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F67B4" w:rsidRDefault="000F67B4" w:rsidP="000F67B4">
      <w:pPr>
        <w:jc w:val="center"/>
        <w:rPr>
          <w:rFonts w:ascii="Arial" w:eastAsia="Arial" w:hAnsi="Arial" w:cs="Arial"/>
          <w:b/>
          <w:bCs/>
          <w:color w:val="1F4E79"/>
          <w:sz w:val="56"/>
          <w:szCs w:val="56"/>
          <w:lang w:val="en-IN" w:eastAsia="en-IN"/>
        </w:rPr>
      </w:pPr>
    </w:p>
    <w:p w:rsidR="000F67B4" w:rsidRDefault="000F67B4" w:rsidP="000F67B4">
      <w:pPr>
        <w:jc w:val="center"/>
        <w:rPr>
          <w:rFonts w:ascii="Arial" w:eastAsia="Arial" w:hAnsi="Arial" w:cs="Arial"/>
          <w:b/>
          <w:bCs/>
          <w:color w:val="1F4E79"/>
          <w:sz w:val="56"/>
          <w:szCs w:val="56"/>
          <w:lang w:val="en-IN" w:eastAsia="en-IN"/>
        </w:rPr>
      </w:pPr>
    </w:p>
    <w:p w:rsidR="001F6839" w:rsidRPr="000F67B4" w:rsidRDefault="00000000" w:rsidP="000F67B4">
      <w:pPr>
        <w:jc w:val="center"/>
        <w:rPr>
          <w:rFonts w:ascii="Arial" w:eastAsia="Arial" w:hAnsi="Arial" w:cs="Arial"/>
          <w:b/>
          <w:bCs/>
          <w:color w:val="1F4E79"/>
          <w:sz w:val="56"/>
          <w:szCs w:val="56"/>
          <w:lang w:val="en-IN" w:eastAsia="en-IN"/>
        </w:rPr>
      </w:pPr>
      <w:r w:rsidRPr="000F67B4">
        <w:rPr>
          <w:rFonts w:ascii="Arial" w:eastAsia="Arial" w:hAnsi="Arial" w:cs="Arial"/>
          <w:b/>
          <w:bCs/>
          <w:color w:val="1F4E79"/>
          <w:sz w:val="56"/>
          <w:szCs w:val="56"/>
          <w:lang w:val="en-IN" w:eastAsia="en-IN"/>
        </w:rPr>
        <w:t>AdventureWorks 2022</w:t>
      </w:r>
    </w:p>
    <w:p w:rsidR="001F6839" w:rsidRPr="000F67B4" w:rsidRDefault="00000000" w:rsidP="000F67B4">
      <w:pPr>
        <w:jc w:val="center"/>
        <w:rPr>
          <w:rFonts w:ascii="Arial" w:eastAsia="Arial" w:hAnsi="Arial" w:cs="Arial"/>
          <w:b/>
          <w:bCs/>
          <w:color w:val="2E75B6"/>
          <w:sz w:val="40"/>
          <w:szCs w:val="40"/>
          <w:lang w:val="en-IN" w:eastAsia="en-IN"/>
        </w:rPr>
      </w:pPr>
      <w:r w:rsidRPr="000F67B4">
        <w:rPr>
          <w:rFonts w:ascii="Arial" w:eastAsia="Arial" w:hAnsi="Arial" w:cs="Arial"/>
          <w:b/>
          <w:bCs/>
          <w:color w:val="2E75B6"/>
          <w:sz w:val="40"/>
          <w:szCs w:val="40"/>
          <w:lang w:val="en-IN" w:eastAsia="en-IN"/>
        </w:rPr>
        <w:t>Exploratory Data Analysis</w:t>
      </w:r>
    </w:p>
    <w:p w:rsidR="001F6839" w:rsidRPr="000F67B4" w:rsidRDefault="00000000" w:rsidP="000F67B4">
      <w:pPr>
        <w:spacing w:after="80" w:line="240" w:lineRule="auto"/>
        <w:jc w:val="center"/>
        <w:rPr>
          <w:rFonts w:ascii="Arial" w:eastAsia="Arial" w:hAnsi="Arial" w:cs="Arial"/>
          <w:color w:val="666666"/>
          <w:sz w:val="28"/>
          <w:szCs w:val="28"/>
          <w:lang w:val="en-IN" w:eastAsia="en-IN"/>
        </w:rPr>
      </w:pPr>
      <w:r w:rsidRPr="000F67B4">
        <w:rPr>
          <w:rFonts w:ascii="Arial" w:eastAsia="Arial" w:hAnsi="Arial" w:cs="Arial"/>
          <w:color w:val="666666"/>
          <w:sz w:val="28"/>
          <w:szCs w:val="28"/>
          <w:lang w:val="en-IN" w:eastAsia="en-IN"/>
        </w:rPr>
        <w:t>Phase 5 — Customer Segmentation (RFM Analysis)</w:t>
      </w:r>
    </w:p>
    <w:p w:rsidR="001F6839" w:rsidRDefault="001F6839" w:rsidP="000F67B4">
      <w:pPr>
        <w:jc w:val="center"/>
      </w:pPr>
    </w:p>
    <w:p w:rsidR="001F6839" w:rsidRPr="000F67B4" w:rsidRDefault="00000000" w:rsidP="000F67B4">
      <w:pPr>
        <w:jc w:val="center"/>
        <w:rPr>
          <w:rFonts w:ascii="Arial" w:eastAsia="Arial" w:hAnsi="Arial" w:cs="Arial"/>
          <w:color w:val="888888"/>
          <w:lang w:val="en-IN" w:eastAsia="en-IN"/>
        </w:rPr>
      </w:pPr>
      <w:r w:rsidRPr="000F67B4">
        <w:rPr>
          <w:rFonts w:ascii="Arial" w:eastAsia="Arial" w:hAnsi="Arial" w:cs="Arial"/>
          <w:color w:val="888888"/>
          <w:lang w:val="en-IN" w:eastAsia="en-IN"/>
        </w:rPr>
        <w:t>Focus: Customer value segmentation based on Recency, Frequency, and Monetary behavior</w:t>
      </w:r>
    </w:p>
    <w:p w:rsidR="001F6839" w:rsidRPr="000F67B4" w:rsidRDefault="00000000" w:rsidP="000F67B4">
      <w:pPr>
        <w:jc w:val="center"/>
        <w:rPr>
          <w:rFonts w:ascii="Arial" w:eastAsia="Arial" w:hAnsi="Arial" w:cs="Arial"/>
          <w:color w:val="888888"/>
          <w:lang w:val="en-IN" w:eastAsia="en-IN"/>
        </w:rPr>
      </w:pPr>
      <w:r w:rsidRPr="000F67B4">
        <w:rPr>
          <w:rFonts w:ascii="Arial" w:eastAsia="Arial" w:hAnsi="Arial" w:cs="Arial"/>
          <w:color w:val="888888"/>
          <w:lang w:val="en-IN" w:eastAsia="en-IN"/>
        </w:rPr>
        <w:t>Tool: SQL Server Management Studio (SSMS)  |  Visualisation: Microsoft Power BI</w:t>
      </w:r>
    </w:p>
    <w:p w:rsidR="000F67B4" w:rsidRDefault="000F67B4">
      <w:r>
        <w:br w:type="page"/>
      </w:r>
    </w:p>
    <w:p w:rsidR="001F6839" w:rsidRDefault="001F6839"/>
    <w:p w:rsidR="001F6839" w:rsidRDefault="00000000" w:rsidP="000F67B4">
      <w:pPr>
        <w:pStyle w:val="Heading1"/>
        <w:keepNext w:val="0"/>
        <w:keepLines w:val="0"/>
        <w:spacing w:before="320" w:after="160" w:line="240" w:lineRule="auto"/>
        <w:rPr>
          <w:rFonts w:ascii="Arial" w:eastAsia="Arial" w:hAnsi="Arial" w:cs="Arial"/>
          <w:color w:val="1F4E79"/>
          <w:sz w:val="32"/>
          <w:szCs w:val="32"/>
          <w:lang w:val="en-IN" w:eastAsia="en-IN"/>
        </w:rPr>
      </w:pPr>
      <w:r w:rsidRPr="000F67B4">
        <w:rPr>
          <w:rFonts w:ascii="Arial" w:eastAsia="Arial" w:hAnsi="Arial" w:cs="Arial"/>
          <w:color w:val="1F4E79"/>
          <w:sz w:val="32"/>
          <w:szCs w:val="32"/>
          <w:lang w:val="en-IN" w:eastAsia="en-IN"/>
        </w:rPr>
        <w:t>Summary of All Phase 5 Findings</w:t>
      </w:r>
    </w:p>
    <w:p w:rsidR="000F67B4" w:rsidRDefault="000F67B4" w:rsidP="000F67B4">
      <w:pPr>
        <w:rPr>
          <w:lang w:val="en-IN" w:eastAsia="en-IN"/>
        </w:rPr>
      </w:pPr>
    </w:p>
    <w:tbl>
      <w:tblPr>
        <w:tblStyle w:val="TableGrid"/>
        <w:tblW w:w="11307" w:type="dxa"/>
        <w:tblLook w:val="04A0" w:firstRow="1" w:lastRow="0" w:firstColumn="1" w:lastColumn="0" w:noHBand="0" w:noVBand="1"/>
      </w:tblPr>
      <w:tblGrid>
        <w:gridCol w:w="1384"/>
        <w:gridCol w:w="9923"/>
      </w:tblGrid>
      <w:tr w:rsidR="000F67B4" w:rsidTr="000F67B4">
        <w:tc>
          <w:tcPr>
            <w:tcW w:w="1384" w:type="dxa"/>
            <w:shd w:val="clear" w:color="auto" w:fill="4F81BD" w:themeFill="accent1"/>
          </w:tcPr>
          <w:p w:rsidR="000F67B4" w:rsidRDefault="000F67B4" w:rsidP="000F67B4">
            <w:pPr>
              <w:rPr>
                <w:rFonts w:ascii="Arial" w:hAnsi="Arial" w:cs="Arial"/>
                <w:b/>
                <w:sz w:val="24"/>
              </w:rPr>
            </w:pPr>
          </w:p>
          <w:p w:rsidR="000F67B4" w:rsidRDefault="000F67B4" w:rsidP="000F67B4">
            <w:pPr>
              <w:rPr>
                <w:lang w:val="en-IN" w:eastAsia="en-IN"/>
              </w:rPr>
            </w:pPr>
            <w:r w:rsidRPr="000F67B4">
              <w:rPr>
                <w:rFonts w:ascii="Arial" w:hAnsi="Arial" w:cs="Arial"/>
                <w:b/>
                <w:color w:val="FFFFFF"/>
                <w:sz w:val="24"/>
              </w:rPr>
              <w:t>Finding</w:t>
            </w:r>
            <w:r>
              <w:rPr>
                <w:rFonts w:ascii="Arial" w:hAnsi="Arial" w:cs="Arial"/>
                <w:b/>
                <w:color w:val="FFFFFF"/>
                <w:sz w:val="24"/>
              </w:rPr>
              <w:t xml:space="preserve"> </w:t>
            </w:r>
            <w:r w:rsidRPr="000F67B4">
              <w:rPr>
                <w:rFonts w:ascii="Arial" w:hAnsi="Arial" w:cs="Arial"/>
                <w:b/>
                <w:color w:val="FFFFFF"/>
                <w:sz w:val="24"/>
              </w:rPr>
              <w:t>1</w:t>
            </w:r>
          </w:p>
        </w:tc>
        <w:tc>
          <w:tcPr>
            <w:tcW w:w="9923" w:type="dxa"/>
          </w:tcPr>
          <w:p w:rsidR="000F67B4" w:rsidRDefault="000F67B4" w:rsidP="000F67B4">
            <w:pPr>
              <w:rPr>
                <w:rFonts w:ascii="Arial" w:hAnsi="Arial" w:cs="Arial"/>
                <w:b/>
                <w:sz w:val="24"/>
              </w:rPr>
            </w:pPr>
            <w:r w:rsidRPr="000F67B4">
              <w:rPr>
                <w:rFonts w:ascii="Arial" w:hAnsi="Arial" w:cs="Arial"/>
                <w:b/>
                <w:sz w:val="24"/>
              </w:rPr>
              <w:t>A small group of customers drives the majority of revenue</w:t>
            </w:r>
          </w:p>
          <w:p w:rsidR="000F67B4" w:rsidRPr="000F67B4" w:rsidRDefault="000F67B4" w:rsidP="000F67B4">
            <w:pPr>
              <w:rPr>
                <w:rFonts w:ascii="Arial" w:hAnsi="Arial" w:cs="Arial"/>
              </w:rPr>
            </w:pPr>
          </w:p>
          <w:p w:rsidR="000F67B4" w:rsidRPr="000F67B4" w:rsidRDefault="000F67B4" w:rsidP="000F67B4">
            <w:pPr>
              <w:rPr>
                <w:rFonts w:ascii="Arial" w:hAnsi="Arial" w:cs="Arial"/>
              </w:rPr>
            </w:pPr>
            <w:r w:rsidRPr="000F67B4">
              <w:rPr>
                <w:rFonts w:ascii="Arial" w:hAnsi="Arial" w:cs="Arial"/>
              </w:rPr>
              <w:t>Top customers generate significantly higher revenue (₹8–10 lakh per customer), indicating strong revenue concentration among a limited number of high-value customers. This highlights the importance of identifying and retaining these customers, as they contribute disproportionately to total business performance.</w:t>
            </w:r>
          </w:p>
        </w:tc>
      </w:tr>
      <w:tr w:rsidR="000F67B4" w:rsidTr="000F67B4">
        <w:tc>
          <w:tcPr>
            <w:tcW w:w="1384" w:type="dxa"/>
            <w:shd w:val="clear" w:color="auto" w:fill="4F81BD" w:themeFill="accent1"/>
          </w:tcPr>
          <w:p w:rsidR="000F67B4" w:rsidRDefault="000F67B4" w:rsidP="000F67B4">
            <w:pPr>
              <w:rPr>
                <w:rFonts w:ascii="Arial" w:hAnsi="Arial" w:cs="Arial"/>
                <w:b/>
                <w:sz w:val="24"/>
              </w:rPr>
            </w:pPr>
          </w:p>
          <w:p w:rsidR="000F67B4" w:rsidRDefault="000F67B4" w:rsidP="000F67B4">
            <w:pPr>
              <w:rPr>
                <w:lang w:val="en-IN" w:eastAsia="en-IN"/>
              </w:rPr>
            </w:pPr>
            <w:r w:rsidRPr="000F67B4">
              <w:rPr>
                <w:rFonts w:ascii="Arial" w:hAnsi="Arial" w:cs="Arial"/>
                <w:b/>
                <w:color w:val="FFFFFF"/>
                <w:sz w:val="24"/>
              </w:rPr>
              <w:t>Findin</w:t>
            </w:r>
            <w:r>
              <w:rPr>
                <w:rFonts w:ascii="Arial" w:hAnsi="Arial" w:cs="Arial"/>
                <w:b/>
                <w:color w:val="FFFFFF"/>
                <w:sz w:val="24"/>
              </w:rPr>
              <w:t xml:space="preserve">g2 </w:t>
            </w:r>
          </w:p>
        </w:tc>
        <w:tc>
          <w:tcPr>
            <w:tcW w:w="9923" w:type="dxa"/>
          </w:tcPr>
          <w:p w:rsidR="000F67B4" w:rsidRDefault="000F67B4" w:rsidP="000F67B4">
            <w:pPr>
              <w:rPr>
                <w:rFonts w:ascii="Arial" w:hAnsi="Arial" w:cs="Arial"/>
                <w:b/>
                <w:sz w:val="24"/>
              </w:rPr>
            </w:pPr>
            <w:r w:rsidRPr="000F67B4">
              <w:rPr>
                <w:rFonts w:ascii="Arial" w:hAnsi="Arial" w:cs="Arial"/>
                <w:b/>
                <w:sz w:val="24"/>
              </w:rPr>
              <w:t>Customer value is highly influenced by recency</w:t>
            </w:r>
          </w:p>
          <w:p w:rsidR="000F67B4" w:rsidRPr="000F67B4" w:rsidRDefault="000F67B4" w:rsidP="000F67B4">
            <w:pPr>
              <w:rPr>
                <w:rFonts w:ascii="Arial" w:hAnsi="Arial" w:cs="Arial"/>
              </w:rPr>
            </w:pPr>
          </w:p>
          <w:p w:rsidR="000F67B4" w:rsidRPr="000F67B4" w:rsidRDefault="000F67B4" w:rsidP="000F67B4">
            <w:pPr>
              <w:rPr>
                <w:rFonts w:ascii="Arial" w:hAnsi="Arial" w:cs="Arial"/>
              </w:rPr>
            </w:pPr>
            <w:r w:rsidRPr="000F67B4">
              <w:rPr>
                <w:rFonts w:ascii="Arial" w:hAnsi="Arial" w:cs="Arial"/>
              </w:rPr>
              <w:t>Customers with similar frequency and spending levels are classified into different segments based on small differences in recency (e.g., 60 vs 120 days). This demonstrates that recent engagement is a key driver of customer value, and timely interaction significantly impacts segmentation.</w:t>
            </w:r>
          </w:p>
        </w:tc>
      </w:tr>
      <w:tr w:rsidR="000F67B4" w:rsidTr="000F67B4">
        <w:tc>
          <w:tcPr>
            <w:tcW w:w="1384" w:type="dxa"/>
            <w:shd w:val="clear" w:color="auto" w:fill="4F81BD" w:themeFill="accent1"/>
          </w:tcPr>
          <w:p w:rsidR="000F67B4" w:rsidRDefault="000F67B4" w:rsidP="000F67B4">
            <w:pPr>
              <w:rPr>
                <w:rFonts w:ascii="Arial" w:hAnsi="Arial" w:cs="Arial"/>
                <w:b/>
                <w:sz w:val="24"/>
              </w:rPr>
            </w:pPr>
          </w:p>
          <w:p w:rsidR="000F67B4" w:rsidRDefault="000F67B4" w:rsidP="000F67B4">
            <w:pPr>
              <w:rPr>
                <w:lang w:val="en-IN" w:eastAsia="en-IN"/>
              </w:rPr>
            </w:pPr>
            <w:r w:rsidRPr="000F67B4">
              <w:rPr>
                <w:rFonts w:ascii="Arial" w:hAnsi="Arial" w:cs="Arial"/>
                <w:b/>
                <w:color w:val="FFFFFF"/>
                <w:sz w:val="24"/>
              </w:rPr>
              <w:t>Finding</w:t>
            </w:r>
            <w:r>
              <w:rPr>
                <w:rFonts w:ascii="Arial" w:hAnsi="Arial" w:cs="Arial"/>
                <w:b/>
                <w:color w:val="FFFFFF"/>
                <w:sz w:val="24"/>
              </w:rPr>
              <w:t xml:space="preserve"> </w:t>
            </w:r>
            <w:r w:rsidRPr="000F67B4">
              <w:rPr>
                <w:rFonts w:ascii="Arial" w:hAnsi="Arial" w:cs="Arial"/>
                <w:b/>
                <w:color w:val="FFFFFF"/>
                <w:sz w:val="24"/>
              </w:rPr>
              <w:t>3</w:t>
            </w:r>
          </w:p>
        </w:tc>
        <w:tc>
          <w:tcPr>
            <w:tcW w:w="9923" w:type="dxa"/>
          </w:tcPr>
          <w:p w:rsidR="000F67B4" w:rsidRDefault="000F67B4" w:rsidP="000F67B4">
            <w:pPr>
              <w:rPr>
                <w:rFonts w:ascii="Arial" w:hAnsi="Arial" w:cs="Arial"/>
                <w:b/>
                <w:sz w:val="24"/>
              </w:rPr>
            </w:pPr>
            <w:r w:rsidRPr="000F67B4">
              <w:rPr>
                <w:rFonts w:ascii="Arial" w:hAnsi="Arial" w:cs="Arial"/>
                <w:b/>
                <w:sz w:val="24"/>
              </w:rPr>
              <w:t>High-value customers can quickly become at-risk</w:t>
            </w:r>
          </w:p>
          <w:p w:rsidR="000F67B4" w:rsidRPr="000F67B4" w:rsidRDefault="000F67B4" w:rsidP="000F67B4">
            <w:pPr>
              <w:rPr>
                <w:rFonts w:ascii="Arial" w:hAnsi="Arial" w:cs="Arial"/>
              </w:rPr>
            </w:pPr>
          </w:p>
          <w:p w:rsidR="000F67B4" w:rsidRPr="000F67B4" w:rsidRDefault="000F67B4" w:rsidP="000F67B4">
            <w:pPr>
              <w:rPr>
                <w:rFonts w:ascii="Arial" w:hAnsi="Arial" w:cs="Arial"/>
              </w:rPr>
            </w:pPr>
            <w:r w:rsidRPr="000F67B4">
              <w:rPr>
                <w:rFonts w:ascii="Arial" w:hAnsi="Arial" w:cs="Arial"/>
              </w:rPr>
              <w:t>Customers with high frequency and high spending shift from 'Champions' to 'Potential Loyalists' with slight delays in purchasing. This indicates that even top customers require continuous engagement, as inactivity can rapidly downgrade their segment.</w:t>
            </w:r>
          </w:p>
        </w:tc>
      </w:tr>
      <w:tr w:rsidR="000F67B4" w:rsidTr="000F67B4">
        <w:tc>
          <w:tcPr>
            <w:tcW w:w="1384" w:type="dxa"/>
            <w:shd w:val="clear" w:color="auto" w:fill="4F81BD" w:themeFill="accent1"/>
          </w:tcPr>
          <w:p w:rsidR="000F67B4" w:rsidRDefault="000F67B4" w:rsidP="000F67B4">
            <w:pPr>
              <w:rPr>
                <w:rFonts w:ascii="Arial" w:hAnsi="Arial" w:cs="Arial"/>
                <w:b/>
                <w:sz w:val="24"/>
              </w:rPr>
            </w:pPr>
          </w:p>
          <w:p w:rsidR="000F67B4" w:rsidRDefault="000F67B4" w:rsidP="000F67B4">
            <w:pPr>
              <w:rPr>
                <w:lang w:val="en-IN" w:eastAsia="en-IN"/>
              </w:rPr>
            </w:pPr>
            <w:r w:rsidRPr="000F67B4">
              <w:rPr>
                <w:rFonts w:ascii="Arial" w:hAnsi="Arial" w:cs="Arial"/>
                <w:b/>
                <w:color w:val="FFFFFF"/>
                <w:sz w:val="24"/>
              </w:rPr>
              <w:t>Finding</w:t>
            </w:r>
            <w:r>
              <w:rPr>
                <w:rFonts w:ascii="Arial" w:hAnsi="Arial" w:cs="Arial"/>
                <w:b/>
                <w:color w:val="FFFFFF"/>
                <w:sz w:val="24"/>
              </w:rPr>
              <w:t xml:space="preserve"> </w:t>
            </w:r>
            <w:r w:rsidRPr="000F67B4">
              <w:rPr>
                <w:rFonts w:ascii="Arial" w:hAnsi="Arial" w:cs="Arial"/>
                <w:b/>
                <w:color w:val="FFFFFF"/>
                <w:sz w:val="24"/>
              </w:rPr>
              <w:t>4</w:t>
            </w:r>
          </w:p>
        </w:tc>
        <w:tc>
          <w:tcPr>
            <w:tcW w:w="9923" w:type="dxa"/>
          </w:tcPr>
          <w:p w:rsidR="000F67B4" w:rsidRDefault="000F67B4" w:rsidP="000F67B4">
            <w:pPr>
              <w:rPr>
                <w:rFonts w:ascii="Arial" w:hAnsi="Arial" w:cs="Arial"/>
                <w:b/>
                <w:sz w:val="24"/>
              </w:rPr>
            </w:pPr>
            <w:r w:rsidRPr="000F67B4">
              <w:rPr>
                <w:rFonts w:ascii="Arial" w:hAnsi="Arial" w:cs="Arial"/>
                <w:b/>
                <w:sz w:val="24"/>
              </w:rPr>
              <w:t>The business has a strong base of high-frequency, high-spend customers</w:t>
            </w:r>
          </w:p>
          <w:p w:rsidR="000F67B4" w:rsidRPr="000F67B4" w:rsidRDefault="000F67B4" w:rsidP="000F67B4">
            <w:pPr>
              <w:rPr>
                <w:rFonts w:ascii="Arial" w:hAnsi="Arial" w:cs="Arial"/>
              </w:rPr>
            </w:pPr>
          </w:p>
          <w:p w:rsidR="000F67B4" w:rsidRPr="000F67B4" w:rsidRDefault="000F67B4" w:rsidP="000F67B4">
            <w:pPr>
              <w:rPr>
                <w:rFonts w:ascii="Arial" w:hAnsi="Arial" w:cs="Arial"/>
              </w:rPr>
            </w:pPr>
            <w:r w:rsidRPr="000F67B4">
              <w:rPr>
                <w:rFonts w:ascii="Arial" w:hAnsi="Arial" w:cs="Arial"/>
              </w:rPr>
              <w:t>Several customers consistently show high order frequency (8–12 orders), high monetary value, and moderate to recent activity. This suggests a stable base of loyal, high-value customers that form the core of the business.</w:t>
            </w:r>
          </w:p>
        </w:tc>
      </w:tr>
      <w:tr w:rsidR="000F67B4" w:rsidTr="000F67B4">
        <w:tc>
          <w:tcPr>
            <w:tcW w:w="1384" w:type="dxa"/>
            <w:shd w:val="clear" w:color="auto" w:fill="4F81BD" w:themeFill="accent1"/>
          </w:tcPr>
          <w:p w:rsidR="000F67B4" w:rsidRDefault="000F67B4" w:rsidP="000F67B4">
            <w:pPr>
              <w:rPr>
                <w:rFonts w:ascii="Arial" w:hAnsi="Arial" w:cs="Arial"/>
                <w:b/>
                <w:sz w:val="24"/>
              </w:rPr>
            </w:pPr>
          </w:p>
          <w:p w:rsidR="000F67B4" w:rsidRDefault="000F67B4" w:rsidP="000F67B4">
            <w:pPr>
              <w:rPr>
                <w:lang w:val="en-IN" w:eastAsia="en-IN"/>
              </w:rPr>
            </w:pPr>
            <w:r w:rsidRPr="000F67B4">
              <w:rPr>
                <w:rFonts w:ascii="Arial" w:hAnsi="Arial" w:cs="Arial"/>
                <w:b/>
                <w:color w:val="FFFFFF"/>
                <w:sz w:val="24"/>
              </w:rPr>
              <w:t>Finding</w:t>
            </w:r>
            <w:r>
              <w:rPr>
                <w:rFonts w:ascii="Arial" w:hAnsi="Arial" w:cs="Arial"/>
                <w:b/>
                <w:color w:val="FFFFFF"/>
                <w:sz w:val="24"/>
              </w:rPr>
              <w:t xml:space="preserve"> </w:t>
            </w:r>
            <w:r w:rsidRPr="000F67B4">
              <w:rPr>
                <w:rFonts w:ascii="Arial" w:hAnsi="Arial" w:cs="Arial"/>
                <w:b/>
                <w:color w:val="FFFFFF"/>
                <w:sz w:val="24"/>
              </w:rPr>
              <w:t>5</w:t>
            </w:r>
          </w:p>
        </w:tc>
        <w:tc>
          <w:tcPr>
            <w:tcW w:w="9923" w:type="dxa"/>
          </w:tcPr>
          <w:p w:rsidR="000F67B4" w:rsidRDefault="000F67B4" w:rsidP="000F67B4">
            <w:pPr>
              <w:rPr>
                <w:rFonts w:ascii="Arial" w:hAnsi="Arial" w:cs="Arial"/>
                <w:b/>
                <w:sz w:val="24"/>
              </w:rPr>
            </w:pPr>
            <w:r w:rsidRPr="000F67B4">
              <w:rPr>
                <w:rFonts w:ascii="Arial" w:hAnsi="Arial" w:cs="Arial"/>
                <w:b/>
                <w:sz w:val="24"/>
              </w:rPr>
              <w:t>Customer segments reveal clear behavioral patterns</w:t>
            </w:r>
          </w:p>
          <w:p w:rsidR="000F67B4" w:rsidRPr="000F67B4" w:rsidRDefault="000F67B4" w:rsidP="000F67B4">
            <w:pPr>
              <w:rPr>
                <w:rFonts w:ascii="Arial" w:hAnsi="Arial" w:cs="Arial"/>
              </w:rPr>
            </w:pPr>
          </w:p>
          <w:p w:rsidR="000F67B4" w:rsidRPr="000F67B4" w:rsidRDefault="000F67B4" w:rsidP="000F67B4">
            <w:pPr>
              <w:rPr>
                <w:rFonts w:ascii="Arial" w:hAnsi="Arial" w:cs="Arial"/>
              </w:rPr>
            </w:pPr>
            <w:r w:rsidRPr="000F67B4">
              <w:rPr>
                <w:rFonts w:ascii="Arial" w:hAnsi="Arial" w:cs="Arial"/>
              </w:rPr>
              <w:t>RFM segmentation categorizes customers into Champions, Loyal Customers, Potential Loyalists, At Risk, and Lost segments, enabling targeted strategies instead of a one-size-fits-all approach.</w:t>
            </w:r>
          </w:p>
        </w:tc>
      </w:tr>
      <w:tr w:rsidR="000F67B4" w:rsidTr="000F67B4">
        <w:tc>
          <w:tcPr>
            <w:tcW w:w="1384" w:type="dxa"/>
            <w:shd w:val="clear" w:color="auto" w:fill="4F81BD" w:themeFill="accent1"/>
          </w:tcPr>
          <w:p w:rsidR="000F67B4" w:rsidRDefault="000F67B4" w:rsidP="000F67B4">
            <w:pPr>
              <w:rPr>
                <w:rFonts w:ascii="Arial" w:hAnsi="Arial" w:cs="Arial"/>
                <w:b/>
                <w:sz w:val="24"/>
              </w:rPr>
            </w:pPr>
          </w:p>
          <w:p w:rsidR="000F67B4" w:rsidRPr="000F67B4" w:rsidRDefault="000F67B4" w:rsidP="000F67B4">
            <w:pPr>
              <w:rPr>
                <w:color w:val="FFFFFF"/>
                <w:lang w:val="en-IN" w:eastAsia="en-IN"/>
              </w:rPr>
            </w:pPr>
            <w:r w:rsidRPr="000F67B4">
              <w:rPr>
                <w:rFonts w:ascii="Arial" w:hAnsi="Arial" w:cs="Arial"/>
                <w:b/>
                <w:color w:val="FFFFFF"/>
                <w:sz w:val="24"/>
              </w:rPr>
              <w:t>Finding</w:t>
            </w:r>
            <w:r>
              <w:rPr>
                <w:rFonts w:ascii="Arial" w:hAnsi="Arial" w:cs="Arial"/>
                <w:b/>
                <w:color w:val="FFFFFF"/>
                <w:sz w:val="24"/>
              </w:rPr>
              <w:t xml:space="preserve"> </w:t>
            </w:r>
            <w:r w:rsidRPr="000F67B4">
              <w:rPr>
                <w:rFonts w:ascii="Arial" w:hAnsi="Arial" w:cs="Arial"/>
                <w:b/>
                <w:color w:val="FFFFFF"/>
                <w:sz w:val="24"/>
              </w:rPr>
              <w:t>6</w:t>
            </w:r>
          </w:p>
        </w:tc>
        <w:tc>
          <w:tcPr>
            <w:tcW w:w="9923" w:type="dxa"/>
          </w:tcPr>
          <w:p w:rsidR="000F67B4" w:rsidRDefault="000F67B4" w:rsidP="000F67B4">
            <w:pPr>
              <w:rPr>
                <w:rFonts w:ascii="Arial" w:hAnsi="Arial" w:cs="Arial"/>
                <w:b/>
                <w:sz w:val="24"/>
              </w:rPr>
            </w:pPr>
            <w:r w:rsidRPr="000F67B4">
              <w:rPr>
                <w:rFonts w:ascii="Arial" w:hAnsi="Arial" w:cs="Arial"/>
                <w:b/>
                <w:sz w:val="24"/>
              </w:rPr>
              <w:t>RFM segmentation enables actionable business strategies</w:t>
            </w:r>
          </w:p>
          <w:p w:rsidR="000F67B4" w:rsidRPr="000F67B4" w:rsidRDefault="000F67B4" w:rsidP="000F67B4">
            <w:pPr>
              <w:rPr>
                <w:rFonts w:ascii="Arial" w:hAnsi="Arial" w:cs="Arial"/>
              </w:rPr>
            </w:pPr>
          </w:p>
          <w:p w:rsidR="000F67B4" w:rsidRPr="000F67B4" w:rsidRDefault="000F67B4" w:rsidP="000F67B4">
            <w:pPr>
              <w:rPr>
                <w:rFonts w:ascii="Arial" w:hAnsi="Arial" w:cs="Arial"/>
              </w:rPr>
            </w:pPr>
            <w:r w:rsidRPr="000F67B4">
              <w:rPr>
                <w:rFonts w:ascii="Arial" w:hAnsi="Arial" w:cs="Arial"/>
              </w:rPr>
              <w:t>Each segment maps directly to business actions such as retention programs for Champions, upselling for Loyal Customers, re-engagement for At Risk customers, and win-back campaigns for Lost customers.</w:t>
            </w:r>
          </w:p>
        </w:tc>
      </w:tr>
    </w:tbl>
    <w:p w:rsidR="000F67B4" w:rsidRPr="000F67B4" w:rsidRDefault="000F67B4" w:rsidP="000F67B4">
      <w:pPr>
        <w:rPr>
          <w:lang w:val="en-IN" w:eastAsia="en-IN"/>
        </w:rPr>
      </w:pPr>
    </w:p>
    <w:p w:rsidR="001F6839" w:rsidRDefault="001F6839"/>
    <w:p w:rsidR="001F6839" w:rsidRPr="000F67B4" w:rsidRDefault="00000000" w:rsidP="000F67B4">
      <w:pPr>
        <w:rPr>
          <w:rFonts w:ascii="Arial" w:hAnsi="Arial" w:cs="Arial"/>
        </w:rPr>
      </w:pPr>
      <w:r w:rsidRPr="000F67B4">
        <w:rPr>
          <w:rFonts w:ascii="Arial" w:hAnsi="Arial" w:cs="Arial"/>
          <w:b/>
          <w:sz w:val="24"/>
        </w:rPr>
        <w:br/>
      </w:r>
    </w:p>
    <w:p w:rsidR="001F6839" w:rsidRPr="000F67B4" w:rsidRDefault="001F6839">
      <w:pPr>
        <w:rPr>
          <w:rFonts w:ascii="Arial" w:hAnsi="Arial" w:cs="Arial"/>
        </w:rPr>
      </w:pPr>
    </w:p>
    <w:p w:rsidR="001F6839" w:rsidRPr="000F67B4" w:rsidRDefault="00000000" w:rsidP="000F67B4">
      <w:pPr>
        <w:rPr>
          <w:rFonts w:ascii="Arial" w:hAnsi="Arial" w:cs="Arial"/>
        </w:rPr>
      </w:pPr>
      <w:r w:rsidRPr="000F67B4">
        <w:rPr>
          <w:rFonts w:ascii="Arial" w:hAnsi="Arial" w:cs="Arial"/>
          <w:b/>
          <w:sz w:val="24"/>
        </w:rPr>
        <w:br/>
      </w:r>
    </w:p>
    <w:p w:rsidR="001F6839" w:rsidRPr="000F67B4" w:rsidRDefault="001F6839" w:rsidP="000F67B4">
      <w:pPr>
        <w:rPr>
          <w:rFonts w:ascii="Arial" w:hAnsi="Arial" w:cs="Arial"/>
        </w:rPr>
      </w:pPr>
    </w:p>
    <w:sectPr w:rsidR="001F6839" w:rsidRPr="000F67B4" w:rsidSect="000F67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073272">
    <w:abstractNumId w:val="8"/>
  </w:num>
  <w:num w:numId="2" w16cid:durableId="1218594300">
    <w:abstractNumId w:val="6"/>
  </w:num>
  <w:num w:numId="3" w16cid:durableId="310212366">
    <w:abstractNumId w:val="5"/>
  </w:num>
  <w:num w:numId="4" w16cid:durableId="386612427">
    <w:abstractNumId w:val="4"/>
  </w:num>
  <w:num w:numId="5" w16cid:durableId="1930499462">
    <w:abstractNumId w:val="7"/>
  </w:num>
  <w:num w:numId="6" w16cid:durableId="1044523873">
    <w:abstractNumId w:val="3"/>
  </w:num>
  <w:num w:numId="7" w16cid:durableId="1333072736">
    <w:abstractNumId w:val="2"/>
  </w:num>
  <w:num w:numId="8" w16cid:durableId="1721322129">
    <w:abstractNumId w:val="1"/>
  </w:num>
  <w:num w:numId="9" w16cid:durableId="131387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7B4"/>
    <w:rsid w:val="0015074B"/>
    <w:rsid w:val="001F6839"/>
    <w:rsid w:val="0029639D"/>
    <w:rsid w:val="00326F90"/>
    <w:rsid w:val="003927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E43B6"/>
  <w14:defaultImageDpi w14:val="300"/>
  <w15:docId w15:val="{18DF2B8C-D7A0-476D-923B-6D2A461E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2026-04-17T17:17:00Z</dcterms:modified>
  <cp:category/>
</cp:coreProperties>
</file>