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55E55" w:rsidRDefault="00000000" w:rsidP="00C23D0E">
      <w:pPr>
        <w:jc w:val="center"/>
        <w:rPr>
          <w:rFonts w:ascii="Arial" w:hAnsi="Arial" w:cs="Arial"/>
          <w:bCs/>
          <w:color w:val="7F7F7F" w:themeColor="text1" w:themeTint="80"/>
          <w:sz w:val="28"/>
          <w:szCs w:val="28"/>
        </w:rPr>
      </w:pPr>
      <w:r w:rsidRPr="00C23D0E">
        <w:rPr>
          <w:rFonts w:ascii="Arial" w:hAnsi="Arial" w:cs="Arial"/>
          <w:b/>
          <w:color w:val="1F497D" w:themeColor="text2"/>
          <w:sz w:val="56"/>
          <w:szCs w:val="56"/>
        </w:rPr>
        <w:t>AdventureWorks 2022</w:t>
      </w:r>
      <w:r w:rsidRPr="00C23D0E">
        <w:rPr>
          <w:rFonts w:ascii="Arial" w:hAnsi="Arial" w:cs="Arial"/>
          <w:b/>
        </w:rPr>
        <w:br/>
      </w:r>
      <w:r w:rsidRPr="00C23D0E">
        <w:rPr>
          <w:rFonts w:ascii="Arial" w:hAnsi="Arial" w:cs="Arial"/>
          <w:b/>
          <w:color w:val="4F81BD" w:themeColor="accent1"/>
          <w:sz w:val="40"/>
          <w:szCs w:val="40"/>
        </w:rPr>
        <w:t>Exploratory Data Analysis</w:t>
      </w:r>
      <w:r w:rsidRPr="00C23D0E">
        <w:rPr>
          <w:rFonts w:ascii="Arial" w:hAnsi="Arial" w:cs="Arial"/>
          <w:b/>
        </w:rPr>
        <w:br/>
      </w:r>
      <w:r w:rsidRPr="00C23D0E">
        <w:rPr>
          <w:rFonts w:ascii="Arial" w:hAnsi="Arial" w:cs="Arial"/>
          <w:bCs/>
          <w:color w:val="404040" w:themeColor="text1" w:themeTint="BF"/>
          <w:sz w:val="28"/>
          <w:szCs w:val="28"/>
        </w:rPr>
        <w:t>Phase 1 — Customer Overview &amp; Acquisition</w:t>
      </w:r>
    </w:p>
    <w:p w:rsidR="00C23D0E" w:rsidRPr="00C23D0E" w:rsidRDefault="00C23D0E" w:rsidP="00C23D0E">
      <w:pPr>
        <w:jc w:val="center"/>
        <w:rPr>
          <w:rFonts w:ascii="Arial" w:hAnsi="Arial" w:cs="Arial"/>
        </w:rPr>
      </w:pPr>
    </w:p>
    <w:p w:rsidR="00C23D0E" w:rsidRPr="00C23D0E" w:rsidRDefault="00000000" w:rsidP="00C23D0E">
      <w:pPr>
        <w:spacing w:after="0"/>
        <w:jc w:val="center"/>
        <w:rPr>
          <w:rFonts w:ascii="Arial" w:hAnsi="Arial" w:cs="Arial"/>
          <w:iCs/>
          <w:color w:val="595959" w:themeColor="text1" w:themeTint="A6"/>
        </w:rPr>
      </w:pPr>
      <w:r w:rsidRPr="00C23D0E">
        <w:rPr>
          <w:rFonts w:ascii="Arial" w:hAnsi="Arial" w:cs="Arial"/>
          <w:i/>
        </w:rPr>
        <w:br/>
      </w:r>
      <w:r w:rsidRPr="00C23D0E">
        <w:rPr>
          <w:rFonts w:ascii="Arial" w:hAnsi="Arial" w:cs="Arial"/>
          <w:iCs/>
          <w:color w:val="595959" w:themeColor="text1" w:themeTint="A6"/>
        </w:rPr>
        <w:t xml:space="preserve">Tool: SQL Server Management Studio (SSMS)   </w:t>
      </w:r>
    </w:p>
    <w:p w:rsidR="00F55E55" w:rsidRPr="00C23D0E" w:rsidRDefault="00000000" w:rsidP="00C23D0E">
      <w:pPr>
        <w:spacing w:after="0"/>
        <w:jc w:val="center"/>
        <w:rPr>
          <w:rFonts w:ascii="Arial" w:hAnsi="Arial" w:cs="Arial"/>
          <w:iCs/>
          <w:color w:val="595959" w:themeColor="text1" w:themeTint="A6"/>
        </w:rPr>
      </w:pPr>
      <w:r w:rsidRPr="00C23D0E">
        <w:rPr>
          <w:rFonts w:ascii="Arial" w:hAnsi="Arial" w:cs="Arial"/>
          <w:iCs/>
          <w:color w:val="595959" w:themeColor="text1" w:themeTint="A6"/>
        </w:rPr>
        <w:t xml:space="preserve"> Visualisation: Microsoft Power BI</w:t>
      </w:r>
    </w:p>
    <w:p w:rsidR="00C23D0E" w:rsidRPr="00C23D0E" w:rsidRDefault="00C23D0E">
      <w:pPr>
        <w:rPr>
          <w:i/>
        </w:rPr>
      </w:pPr>
      <w:r>
        <w:rPr>
          <w:i/>
        </w:rPr>
        <w:br w:type="page"/>
      </w:r>
    </w:p>
    <w:p w:rsidR="00BA0661" w:rsidRPr="00C23D0E" w:rsidRDefault="00000000">
      <w:pPr>
        <w:rPr>
          <w:rFonts w:ascii="Arial" w:hAnsi="Arial" w:cs="Arial"/>
          <w:sz w:val="32"/>
          <w:szCs w:val="32"/>
        </w:rPr>
      </w:pPr>
      <w:r>
        <w:rPr>
          <w:b/>
        </w:rPr>
        <w:lastRenderedPageBreak/>
        <w:br/>
      </w:r>
      <w:r w:rsidRPr="00C23D0E">
        <w:rPr>
          <w:rFonts w:ascii="Arial" w:hAnsi="Arial" w:cs="Arial"/>
          <w:b/>
          <w:color w:val="1F497D" w:themeColor="text2"/>
          <w:sz w:val="32"/>
          <w:szCs w:val="32"/>
        </w:rPr>
        <w:t>Summary of All Phase 1 Findings</w:t>
      </w:r>
      <w:r w:rsidRPr="00C23D0E">
        <w:rPr>
          <w:rFonts w:ascii="Arial" w:hAnsi="Arial" w:cs="Arial"/>
          <w:b/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1934"/>
      </w:tblGrid>
      <w:tr w:rsidR="00BA0661" w:rsidTr="00BA0661">
        <w:tc>
          <w:tcPr>
            <w:tcW w:w="1242" w:type="dxa"/>
            <w:shd w:val="clear" w:color="auto" w:fill="227ACB"/>
          </w:tcPr>
          <w:p w:rsidR="00BA0661" w:rsidRDefault="00BA0661" w:rsidP="00BA0661">
            <w:pPr>
              <w:jc w:val="center"/>
              <w:rPr>
                <w:b/>
              </w:rPr>
            </w:pPr>
          </w:p>
          <w:p w:rsidR="00BA0661" w:rsidRPr="00BA0661" w:rsidRDefault="00BA0661" w:rsidP="00BA0661">
            <w:pPr>
              <w:rPr>
                <w:rFonts w:ascii="Arial" w:hAnsi="Arial" w:cs="Arial"/>
                <w:color w:val="FFFFFF"/>
              </w:rPr>
            </w:pPr>
            <w:r w:rsidRPr="00BA0661">
              <w:rPr>
                <w:rFonts w:ascii="Arial" w:hAnsi="Arial" w:cs="Arial"/>
                <w:b/>
                <w:color w:val="FFFFFF"/>
                <w:sz w:val="20"/>
                <w:szCs w:val="20"/>
              </w:rPr>
              <w:t>Finding 1</w:t>
            </w:r>
          </w:p>
        </w:tc>
        <w:tc>
          <w:tcPr>
            <w:tcW w:w="11934" w:type="dxa"/>
          </w:tcPr>
          <w:p w:rsidR="00BA0661" w:rsidRDefault="00BA0661">
            <w:r w:rsidRPr="00BA0661">
              <w:rPr>
                <w:rFonts w:ascii="Arial" w:hAnsi="Arial" w:cs="Arial"/>
                <w:b/>
                <w:bCs/>
              </w:rPr>
              <w:t>Total customer base is large, with a small inactive segment</w:t>
            </w:r>
            <w:r>
              <w:br/>
            </w:r>
            <w:r w:rsidRPr="00C23D0E">
              <w:rPr>
                <w:rFonts w:ascii="Arial" w:hAnsi="Arial" w:cs="Arial"/>
              </w:rPr>
              <w:t>The dataset contains 19,820 total customers, of which 19,119 are active. Only 701 customers (~3.5%) are inactive, representing a meaningful opportunity for activation campaigns.</w:t>
            </w:r>
          </w:p>
        </w:tc>
      </w:tr>
    </w:tbl>
    <w:p w:rsidR="00BA0661" w:rsidRDefault="00BA066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1934"/>
      </w:tblGrid>
      <w:tr w:rsidR="00BA0661" w:rsidTr="00BA0661">
        <w:tc>
          <w:tcPr>
            <w:tcW w:w="1242" w:type="dxa"/>
            <w:shd w:val="clear" w:color="auto" w:fill="227ACB"/>
          </w:tcPr>
          <w:p w:rsidR="00BA0661" w:rsidRDefault="00BA0661">
            <w:pPr>
              <w:rPr>
                <w:b/>
              </w:rPr>
            </w:pPr>
          </w:p>
          <w:p w:rsidR="00BA0661" w:rsidRPr="00BA0661" w:rsidRDefault="00BA0661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BA0661">
              <w:rPr>
                <w:rFonts w:ascii="Arial" w:hAnsi="Arial" w:cs="Arial"/>
                <w:b/>
                <w:color w:val="FFFFFF"/>
                <w:sz w:val="20"/>
                <w:szCs w:val="20"/>
              </w:rPr>
              <w:t>Finding 2</w:t>
            </w:r>
          </w:p>
        </w:tc>
        <w:tc>
          <w:tcPr>
            <w:tcW w:w="11934" w:type="dxa"/>
          </w:tcPr>
          <w:p w:rsidR="00BA0661" w:rsidRPr="00C23D0E" w:rsidRDefault="00BA0661">
            <w:r w:rsidRPr="00BA0661">
              <w:rPr>
                <w:rFonts w:ascii="Arial" w:hAnsi="Arial" w:cs="Arial"/>
                <w:b/>
                <w:bCs/>
              </w:rPr>
              <w:t>Customer acquisition peaked in 2013</w:t>
            </w:r>
            <w:r>
              <w:br/>
            </w:r>
            <w:r w:rsidRPr="00BA0661">
              <w:rPr>
                <w:rFonts w:ascii="Arial" w:hAnsi="Arial" w:cs="Arial"/>
              </w:rPr>
              <w:t>2011 → 1,406 (partial), 2012 → 2,961, 2013 → 8,730 (peak), 2014 → 6,022 (partial). Indicates strong expansion in 2013.</w:t>
            </w:r>
          </w:p>
        </w:tc>
      </w:tr>
    </w:tbl>
    <w:p w:rsidR="00BA0661" w:rsidRDefault="00BA066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1934"/>
      </w:tblGrid>
      <w:tr w:rsidR="00BA0661" w:rsidTr="00C23D0E">
        <w:tc>
          <w:tcPr>
            <w:tcW w:w="1242" w:type="dxa"/>
            <w:shd w:val="clear" w:color="auto" w:fill="227ACB"/>
          </w:tcPr>
          <w:p w:rsidR="00C23D0E" w:rsidRDefault="00C23D0E">
            <w:pPr>
              <w:rPr>
                <w:b/>
              </w:rPr>
            </w:pPr>
          </w:p>
          <w:p w:rsidR="00BA0661" w:rsidRPr="00C23D0E" w:rsidRDefault="00BA0661">
            <w:pPr>
              <w:rPr>
                <w:rFonts w:ascii="Arial" w:hAnsi="Arial" w:cs="Arial"/>
                <w:b/>
                <w:color w:val="FFFFFF"/>
              </w:rPr>
            </w:pPr>
            <w:r w:rsidRPr="00C23D0E">
              <w:rPr>
                <w:rFonts w:ascii="Arial" w:hAnsi="Arial" w:cs="Arial"/>
                <w:b/>
                <w:color w:val="FFFFFF"/>
                <w:sz w:val="20"/>
                <w:szCs w:val="20"/>
              </w:rPr>
              <w:t>Finding 3</w:t>
            </w:r>
          </w:p>
        </w:tc>
        <w:tc>
          <w:tcPr>
            <w:tcW w:w="11934" w:type="dxa"/>
          </w:tcPr>
          <w:p w:rsidR="00BA0661" w:rsidRPr="00BA0661" w:rsidRDefault="00BA0661" w:rsidP="00BA0661">
            <w:pPr>
              <w:rPr>
                <w:rFonts w:ascii="Arial" w:hAnsi="Arial" w:cs="Arial"/>
              </w:rPr>
            </w:pPr>
            <w:r w:rsidRPr="00BA0661">
              <w:rPr>
                <w:rFonts w:ascii="Arial" w:hAnsi="Arial" w:cs="Arial"/>
                <w:b/>
                <w:bCs/>
              </w:rPr>
              <w:t>Partial-year data impacts trend interpretation</w:t>
            </w:r>
            <w:r w:rsidRPr="00BA0661">
              <w:rPr>
                <w:rFonts w:ascii="Arial" w:hAnsi="Arial" w:cs="Arial"/>
              </w:rPr>
              <w:br/>
              <w:t>2011 and 2014 are incomplete (July start, June end). 2012–2013 are most reliable for comparison.</w:t>
            </w:r>
          </w:p>
          <w:p w:rsidR="00BA0661" w:rsidRDefault="00BA0661">
            <w:pPr>
              <w:rPr>
                <w:b/>
              </w:rPr>
            </w:pPr>
          </w:p>
        </w:tc>
      </w:tr>
    </w:tbl>
    <w:p w:rsidR="00BA0661" w:rsidRDefault="00BA0661">
      <w:pPr>
        <w:rPr>
          <w:b/>
        </w:rPr>
      </w:pPr>
    </w:p>
    <w:p w:rsidR="00BA0661" w:rsidRDefault="00BA0661" w:rsidP="00BA0661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1934"/>
      </w:tblGrid>
      <w:tr w:rsidR="00C23D0E" w:rsidTr="00C23D0E">
        <w:tc>
          <w:tcPr>
            <w:tcW w:w="1242" w:type="dxa"/>
            <w:shd w:val="clear" w:color="auto" w:fill="227ACB"/>
          </w:tcPr>
          <w:p w:rsidR="00C23D0E" w:rsidRDefault="00C23D0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23D0E" w:rsidRPr="00C23D0E" w:rsidRDefault="00C23D0E">
            <w:pPr>
              <w:rPr>
                <w:b/>
                <w:color w:val="FFFFCC"/>
                <w:sz w:val="20"/>
                <w:szCs w:val="20"/>
              </w:rPr>
            </w:pPr>
            <w:r w:rsidRPr="00C23D0E">
              <w:rPr>
                <w:rFonts w:ascii="Arial" w:hAnsi="Arial" w:cs="Arial"/>
                <w:b/>
                <w:color w:val="FFFFCC"/>
                <w:sz w:val="20"/>
                <w:szCs w:val="20"/>
              </w:rPr>
              <w:t>Finding 4</w:t>
            </w:r>
          </w:p>
        </w:tc>
        <w:tc>
          <w:tcPr>
            <w:tcW w:w="11934" w:type="dxa"/>
          </w:tcPr>
          <w:p w:rsidR="00C23D0E" w:rsidRPr="00C23D0E" w:rsidRDefault="00C23D0E">
            <w:pPr>
              <w:rPr>
                <w:rFonts w:ascii="Arial" w:hAnsi="Arial" w:cs="Arial"/>
              </w:rPr>
            </w:pPr>
            <w:r w:rsidRPr="00C23D0E">
              <w:rPr>
                <w:rFonts w:ascii="Arial" w:hAnsi="Arial" w:cs="Arial"/>
                <w:b/>
                <w:bCs/>
              </w:rPr>
              <w:t>Customer distribution is concentrated in key regions</w:t>
            </w:r>
            <w:r w:rsidRPr="00C23D0E">
              <w:rPr>
                <w:rFonts w:ascii="Arial" w:hAnsi="Arial" w:cs="Arial"/>
              </w:rPr>
              <w:br/>
              <w:t>Top: Southwest, Australia, Northwest. Low: Central, Northeast, Southeast. Indicates growth opportunity in underperforming regions.</w:t>
            </w:r>
          </w:p>
        </w:tc>
      </w:tr>
    </w:tbl>
    <w:p w:rsidR="00C23D0E" w:rsidRDefault="00C23D0E">
      <w:pPr>
        <w:rPr>
          <w:b/>
        </w:rPr>
      </w:pPr>
    </w:p>
    <w:p w:rsidR="00BA0661" w:rsidRPr="00C23D0E" w:rsidRDefault="00000000" w:rsidP="00C23D0E">
      <w:pPr>
        <w:rPr>
          <w:rFonts w:ascii="Arial" w:hAnsi="Arial" w:cs="Arial"/>
        </w:rPr>
      </w:pPr>
      <w:r>
        <w:rPr>
          <w:b/>
        </w:rPr>
        <w:br/>
      </w:r>
    </w:p>
    <w:p w:rsidR="00BA0661" w:rsidRDefault="00BA0661"/>
    <w:p w:rsidR="00F55E55" w:rsidRDefault="00F55E55"/>
    <w:sectPr w:rsidR="00F55E55" w:rsidSect="00BA0661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037004">
    <w:abstractNumId w:val="8"/>
  </w:num>
  <w:num w:numId="2" w16cid:durableId="1905212503">
    <w:abstractNumId w:val="6"/>
  </w:num>
  <w:num w:numId="3" w16cid:durableId="101535954">
    <w:abstractNumId w:val="5"/>
  </w:num>
  <w:num w:numId="4" w16cid:durableId="1724793361">
    <w:abstractNumId w:val="4"/>
  </w:num>
  <w:num w:numId="5" w16cid:durableId="1962495623">
    <w:abstractNumId w:val="7"/>
  </w:num>
  <w:num w:numId="6" w16cid:durableId="966742440">
    <w:abstractNumId w:val="3"/>
  </w:num>
  <w:num w:numId="7" w16cid:durableId="1588730240">
    <w:abstractNumId w:val="2"/>
  </w:num>
  <w:num w:numId="8" w16cid:durableId="751241973">
    <w:abstractNumId w:val="1"/>
  </w:num>
  <w:num w:numId="9" w16cid:durableId="183745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BBA"/>
    <w:rsid w:val="00AA1D8D"/>
    <w:rsid w:val="00B47730"/>
    <w:rsid w:val="00BA0661"/>
    <w:rsid w:val="00C23D0E"/>
    <w:rsid w:val="00CB0664"/>
    <w:rsid w:val="00CC0FD6"/>
    <w:rsid w:val="00CE2C1B"/>
    <w:rsid w:val="00F55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1C036"/>
  <w14:defaultImageDpi w14:val="300"/>
  <w15:docId w15:val="{814047E9-5781-444C-B253-5C5DADCA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2026-04-17T17:24:00Z</dcterms:modified>
  <cp:category/>
</cp:coreProperties>
</file>