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55B3283" w14:textId="3E1E455E" w:rsidR="007437AB" w:rsidRPr="00266F1F" w:rsidRDefault="007437AB" w:rsidP="000E4CB0">
      <w:pPr>
        <w:jc w:val="both"/>
        <w:rPr>
          <w:rFonts w:ascii="Verdana" w:hAnsi="Verdana" w:cs="Arial"/>
          <w:sz w:val="18"/>
          <w:szCs w:val="18"/>
        </w:rPr>
      </w:pPr>
    </w:p>
    <w:p w14:paraId="18C1FCD7" w14:textId="5C0B69D5" w:rsidR="006022B5" w:rsidRPr="001D613C" w:rsidRDefault="00305D99" w:rsidP="006022B5">
      <w:pPr>
        <w:tabs>
          <w:tab w:val="left" w:pos="1080"/>
          <w:tab w:val="left" w:pos="7088"/>
        </w:tabs>
        <w:ind w:right="283"/>
        <w:jc w:val="right"/>
        <w:rPr>
          <w:rFonts w:ascii="Verdana" w:eastAsia="Malgun Gothic" w:hAnsi="Verdana" w:cs="Arial"/>
          <w:sz w:val="18"/>
          <w:szCs w:val="18"/>
          <w:lang w:val="el-GR"/>
        </w:rPr>
      </w:pPr>
      <w:r w:rsidRPr="00EF1020">
        <w:rPr>
          <w:rFonts w:ascii="Verdana" w:hAnsi="Verdana" w:cs="Arial"/>
          <w:sz w:val="18"/>
          <w:szCs w:val="18"/>
          <w:lang w:val="el-GR"/>
        </w:rPr>
        <w:t>5</w:t>
      </w:r>
      <w:r>
        <w:rPr>
          <w:rFonts w:ascii="Verdana" w:hAnsi="Verdana" w:cs="Arial"/>
          <w:sz w:val="18"/>
          <w:szCs w:val="18"/>
          <w:lang w:val="el-GR"/>
        </w:rPr>
        <w:t xml:space="preserve"> </w:t>
      </w:r>
      <w:r w:rsidR="00D56B64">
        <w:rPr>
          <w:rFonts w:ascii="Verdana" w:hAnsi="Verdana" w:cs="Arial"/>
          <w:sz w:val="18"/>
          <w:szCs w:val="18"/>
          <w:lang w:val="el-GR"/>
        </w:rPr>
        <w:t>Δεκεμβρίου</w:t>
      </w:r>
      <w:r w:rsidR="006022B5" w:rsidRPr="006022B5">
        <w:rPr>
          <w:rFonts w:ascii="Verdana" w:eastAsia="Malgun Gothic" w:hAnsi="Verdana" w:cs="Arial"/>
          <w:sz w:val="18"/>
          <w:szCs w:val="18"/>
          <w:lang w:val="el-GR"/>
        </w:rPr>
        <w:t>, 202</w:t>
      </w:r>
      <w:r w:rsidR="00CF5C7D">
        <w:rPr>
          <w:rFonts w:ascii="Verdana" w:eastAsia="Malgun Gothic" w:hAnsi="Verdana" w:cs="Arial"/>
          <w:sz w:val="18"/>
          <w:szCs w:val="18"/>
          <w:lang w:val="el-GR"/>
        </w:rPr>
        <w:t>4</w:t>
      </w:r>
    </w:p>
    <w:p w14:paraId="650D9480" w14:textId="77777777" w:rsidR="006022B5" w:rsidRPr="00F07B9A" w:rsidRDefault="006022B5" w:rsidP="006022B5">
      <w:pPr>
        <w:jc w:val="both"/>
        <w:rPr>
          <w:rFonts w:ascii="Verdana" w:hAnsi="Verdana" w:cs="Arial"/>
          <w:sz w:val="18"/>
          <w:szCs w:val="18"/>
          <w:lang w:val="el-GR"/>
        </w:rPr>
      </w:pPr>
    </w:p>
    <w:p w14:paraId="5506EEE1" w14:textId="77777777" w:rsidR="006022B5" w:rsidRPr="00F07B9A" w:rsidRDefault="006022B5" w:rsidP="006022B5">
      <w:pPr>
        <w:jc w:val="center"/>
        <w:rPr>
          <w:rFonts w:ascii="Verdana" w:eastAsia="Malgun Gothic" w:hAnsi="Verdana" w:cs="Arial"/>
          <w:b/>
          <w:sz w:val="18"/>
          <w:szCs w:val="18"/>
          <w:lang w:val="el-GR"/>
        </w:rPr>
      </w:pPr>
    </w:p>
    <w:p w14:paraId="06071BA9" w14:textId="77777777" w:rsidR="006022B5" w:rsidRPr="006022B5" w:rsidRDefault="006022B5" w:rsidP="006022B5">
      <w:pPr>
        <w:jc w:val="center"/>
        <w:rPr>
          <w:rFonts w:ascii="Verdana" w:eastAsia="Malgun Gothic" w:hAnsi="Verdana" w:cs="Arial"/>
          <w:b/>
          <w:sz w:val="24"/>
          <w:szCs w:val="24"/>
          <w:lang w:val="el-GR"/>
        </w:rPr>
      </w:pPr>
      <w:r w:rsidRPr="006022B5">
        <w:rPr>
          <w:rFonts w:ascii="Verdana" w:eastAsia="Malgun Gothic" w:hAnsi="Verdana" w:cs="Arial"/>
          <w:b/>
          <w:sz w:val="24"/>
          <w:szCs w:val="24"/>
          <w:lang w:val="el-GR"/>
        </w:rPr>
        <w:t>ΔΕΛΤΙΟ ΤΥΠΟΥ</w:t>
      </w:r>
    </w:p>
    <w:p w14:paraId="59BCE7C7" w14:textId="77777777" w:rsidR="006022B5" w:rsidRPr="00A36D89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</w:p>
    <w:p w14:paraId="3F149EC6" w14:textId="77777777" w:rsidR="006022B5" w:rsidRPr="00A36D89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</w:p>
    <w:p w14:paraId="151BF7D6" w14:textId="3975C3CD" w:rsidR="006022B5" w:rsidRPr="008E1127" w:rsidRDefault="006022B5" w:rsidP="006022B5">
      <w:pPr>
        <w:keepNext/>
        <w:tabs>
          <w:tab w:val="left" w:pos="6840"/>
        </w:tabs>
        <w:outlineLvl w:val="5"/>
        <w:rPr>
          <w:rFonts w:ascii="Verdana" w:eastAsia="Malgun Gothic" w:hAnsi="Verdana" w:cs="Arial"/>
          <w:b/>
          <w:bCs/>
          <w:u w:val="single"/>
          <w:lang w:val="el-GR"/>
        </w:rPr>
      </w:pPr>
      <w:r w:rsidRPr="006022B5">
        <w:rPr>
          <w:rFonts w:ascii="Verdana" w:eastAsia="Malgun Gothic" w:hAnsi="Verdana" w:cs="Arial"/>
          <w:bCs/>
          <w:u w:val="single"/>
          <w:lang w:val="x-none"/>
        </w:rPr>
        <w:t>ΔΕΙΚΤΗΣ ΤΙΜΩΝ ΚΑΤΑΝΑΛΩΤΗ(ΔΤΚ):</w:t>
      </w:r>
      <w:r w:rsidRPr="006022B5">
        <w:rPr>
          <w:rFonts w:ascii="Verdana" w:eastAsia="Malgun Gothic" w:hAnsi="Verdana" w:cs="Arial"/>
          <w:b/>
          <w:u w:val="single"/>
          <w:lang w:val="el-GR"/>
        </w:rPr>
        <w:t xml:space="preserve"> </w:t>
      </w:r>
      <w:r w:rsidR="00305D99">
        <w:rPr>
          <w:rFonts w:ascii="Verdana" w:eastAsia="Malgun Gothic" w:hAnsi="Verdana" w:cs="Arial"/>
          <w:b/>
          <w:u w:val="single"/>
          <w:lang w:val="el-GR"/>
        </w:rPr>
        <w:t xml:space="preserve">ΝΟΕΜΒΡΙΟΣ </w:t>
      </w:r>
      <w:r w:rsidRPr="006022B5">
        <w:rPr>
          <w:rFonts w:ascii="Verdana" w:eastAsia="Malgun Gothic" w:hAnsi="Verdana" w:cs="Arial"/>
          <w:b/>
          <w:u w:val="single"/>
          <w:lang w:val="x-none"/>
        </w:rPr>
        <w:t>202</w:t>
      </w:r>
      <w:r w:rsidR="00CA7B11">
        <w:rPr>
          <w:rFonts w:ascii="Verdana" w:eastAsia="Malgun Gothic" w:hAnsi="Verdana" w:cs="Arial"/>
          <w:b/>
          <w:u w:val="single"/>
          <w:lang w:val="el-GR"/>
        </w:rPr>
        <w:t>4</w:t>
      </w:r>
    </w:p>
    <w:p w14:paraId="6CFF816A" w14:textId="77777777" w:rsidR="006022B5" w:rsidRPr="00394E48" w:rsidRDefault="006022B5" w:rsidP="006022B5">
      <w:pPr>
        <w:rPr>
          <w:rFonts w:ascii="Verdana" w:eastAsia="Malgun Gothic" w:hAnsi="Verdana" w:cs="Arial"/>
          <w:lang w:val="el-GR"/>
        </w:rPr>
      </w:pPr>
    </w:p>
    <w:p w14:paraId="32482F3F" w14:textId="248832D2" w:rsidR="006022B5" w:rsidRPr="006022B5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lang w:val="el-GR"/>
        </w:rPr>
      </w:pPr>
      <w:r w:rsidRPr="006022B5">
        <w:rPr>
          <w:rFonts w:ascii="Verdana" w:eastAsia="Malgun Gothic" w:hAnsi="Verdana" w:cs="Arial"/>
          <w:b/>
          <w:lang w:val="el-GR"/>
        </w:rPr>
        <w:t xml:space="preserve">Πληθωρισμός </w:t>
      </w:r>
      <w:r w:rsidR="00B51C1D">
        <w:rPr>
          <w:rFonts w:ascii="Verdana" w:eastAsia="Malgun Gothic" w:hAnsi="Verdana" w:cs="Arial"/>
          <w:b/>
          <w:lang w:val="el-GR"/>
        </w:rPr>
        <w:t>1</w:t>
      </w:r>
      <w:r w:rsidR="00E53455">
        <w:rPr>
          <w:rFonts w:ascii="Verdana" w:eastAsia="Malgun Gothic" w:hAnsi="Verdana" w:cs="Arial"/>
          <w:b/>
          <w:lang w:val="el-GR"/>
        </w:rPr>
        <w:t>,</w:t>
      </w:r>
      <w:r w:rsidR="00B51C1D">
        <w:rPr>
          <w:rFonts w:ascii="Verdana" w:eastAsia="Malgun Gothic" w:hAnsi="Verdana" w:cs="Arial"/>
          <w:b/>
          <w:lang w:val="el-GR"/>
        </w:rPr>
        <w:t>5</w:t>
      </w:r>
      <w:r w:rsidRPr="006022B5">
        <w:rPr>
          <w:rFonts w:ascii="Verdana" w:eastAsia="Malgun Gothic" w:hAnsi="Verdana" w:cs="Arial"/>
          <w:b/>
          <w:lang w:val="el-GR"/>
        </w:rPr>
        <w:t>%</w:t>
      </w:r>
    </w:p>
    <w:p w14:paraId="3E882D76" w14:textId="77777777" w:rsidR="00394E48" w:rsidRPr="00394E48" w:rsidRDefault="00394E48" w:rsidP="006022B5">
      <w:pPr>
        <w:tabs>
          <w:tab w:val="left" w:pos="1080"/>
          <w:tab w:val="left" w:pos="6840"/>
        </w:tabs>
        <w:jc w:val="both"/>
        <w:rPr>
          <w:rFonts w:ascii="Arial" w:hAnsi="Arial" w:cs="Arial"/>
          <w:lang w:val="el-GR"/>
        </w:rPr>
      </w:pPr>
    </w:p>
    <w:p w14:paraId="131CCE1B" w14:textId="56807E4F" w:rsidR="006022B5" w:rsidRPr="006022B5" w:rsidRDefault="006022B5" w:rsidP="001C528B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6022B5">
        <w:rPr>
          <w:rFonts w:ascii="Verdana" w:eastAsia="Malgun Gothic" w:hAnsi="Verdana" w:cs="Arial"/>
          <w:sz w:val="18"/>
          <w:szCs w:val="18"/>
          <w:lang w:val="el-GR"/>
        </w:rPr>
        <w:t>Ο Δείκτης Τιμών Καταναλωτή τον</w:t>
      </w:r>
      <w:r w:rsidR="004D783D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B51C1D">
        <w:rPr>
          <w:rFonts w:ascii="Verdana" w:eastAsia="Malgun Gothic" w:hAnsi="Verdana" w:cs="Arial"/>
          <w:sz w:val="18"/>
          <w:szCs w:val="18"/>
          <w:lang w:val="el-GR"/>
        </w:rPr>
        <w:t xml:space="preserve">Νοέμβριο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CA7B11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B51C1D">
        <w:rPr>
          <w:rFonts w:ascii="Verdana" w:eastAsia="Malgun Gothic" w:hAnsi="Verdana" w:cs="Arial"/>
          <w:sz w:val="18"/>
          <w:szCs w:val="18"/>
          <w:lang w:val="el-GR"/>
        </w:rPr>
        <w:t xml:space="preserve">μειώθηκε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κατά </w:t>
      </w:r>
      <w:r w:rsidR="00E53455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B51C1D">
        <w:rPr>
          <w:rFonts w:ascii="Verdana" w:eastAsia="Malgun Gothic" w:hAnsi="Verdana" w:cs="Arial"/>
          <w:sz w:val="18"/>
          <w:szCs w:val="18"/>
          <w:lang w:val="el-GR"/>
        </w:rPr>
        <w:t>43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μονάδες και έφτασε στις 11</w:t>
      </w:r>
      <w:r w:rsidR="001C528B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B51C1D">
        <w:rPr>
          <w:rFonts w:ascii="Verdana" w:eastAsia="Malgun Gothic" w:hAnsi="Verdana" w:cs="Arial"/>
          <w:sz w:val="18"/>
          <w:szCs w:val="18"/>
          <w:lang w:val="el-GR"/>
        </w:rPr>
        <w:t>21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μονάδες σε σύγκριση με 1</w:t>
      </w:r>
      <w:r w:rsidRPr="004A11EF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452DF7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B51C1D">
        <w:rPr>
          <w:rFonts w:ascii="Verdana" w:eastAsia="Malgun Gothic" w:hAnsi="Verdana" w:cs="Arial"/>
          <w:sz w:val="18"/>
          <w:szCs w:val="18"/>
          <w:lang w:val="el-GR"/>
        </w:rPr>
        <w:t>64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μονάδες τον </w:t>
      </w:r>
      <w:r w:rsidR="00B51C1D">
        <w:rPr>
          <w:rFonts w:ascii="Verdana" w:eastAsia="Malgun Gothic" w:hAnsi="Verdana" w:cs="Arial"/>
          <w:sz w:val="18"/>
          <w:szCs w:val="18"/>
          <w:lang w:val="el-GR"/>
        </w:rPr>
        <w:t>Οκτώβριο</w:t>
      </w:r>
      <w:r w:rsidR="008E1127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F50259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4A11E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Ο πληθωρισμός τον</w:t>
      </w:r>
      <w:r w:rsidR="00B51C1D">
        <w:rPr>
          <w:rFonts w:ascii="Verdana" w:eastAsia="Malgun Gothic" w:hAnsi="Verdana" w:cs="Arial"/>
          <w:sz w:val="18"/>
          <w:szCs w:val="18"/>
          <w:lang w:val="el-GR"/>
        </w:rPr>
        <w:t xml:space="preserve"> Νοέμβριο 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CA7B11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 xml:space="preserve"> αυξήθηκε με ρυθμό </w:t>
      </w:r>
      <w:r w:rsidR="00B51C1D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452DF7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B51C1D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6022B5">
        <w:rPr>
          <w:rFonts w:ascii="Verdana" w:eastAsia="Malgun Gothic" w:hAnsi="Verdana" w:cs="Arial"/>
          <w:sz w:val="18"/>
          <w:szCs w:val="18"/>
          <w:lang w:val="el-GR"/>
        </w:rPr>
        <w:t>%. (Πίνακας 1)</w:t>
      </w:r>
    </w:p>
    <w:p w14:paraId="531B97C2" w14:textId="77777777" w:rsidR="006022B5" w:rsidRPr="00F07B9A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1F235050" w14:textId="24A8B703" w:rsidR="00F50259" w:rsidRDefault="00F50259" w:rsidP="00F5025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bookmarkStart w:id="0" w:name="_Hlk65747356"/>
      <w:r>
        <w:rPr>
          <w:rFonts w:ascii="Verdana" w:eastAsia="Malgun Gothic" w:hAnsi="Verdana" w:cs="Arial"/>
          <w:sz w:val="18"/>
          <w:szCs w:val="18"/>
          <w:lang w:val="el-GR"/>
        </w:rPr>
        <w:t>Για την περίοδο Ιανου</w:t>
      </w:r>
      <w:r w:rsidR="00305B05">
        <w:rPr>
          <w:rFonts w:ascii="Verdana" w:eastAsia="Malgun Gothic" w:hAnsi="Verdana" w:cs="Arial"/>
          <w:sz w:val="18"/>
          <w:szCs w:val="18"/>
          <w:lang w:val="el-GR"/>
        </w:rPr>
        <w:t>α</w:t>
      </w:r>
      <w:r>
        <w:rPr>
          <w:rFonts w:ascii="Verdana" w:eastAsia="Malgun Gothic" w:hAnsi="Verdana" w:cs="Arial"/>
          <w:sz w:val="18"/>
          <w:szCs w:val="18"/>
          <w:lang w:val="el-GR"/>
        </w:rPr>
        <w:t>ρ</w:t>
      </w:r>
      <w:r w:rsidR="00305B05">
        <w:rPr>
          <w:rFonts w:ascii="Verdana" w:eastAsia="Malgun Gothic" w:hAnsi="Verdana" w:cs="Arial"/>
          <w:sz w:val="18"/>
          <w:szCs w:val="18"/>
          <w:lang w:val="el-GR"/>
        </w:rPr>
        <w:t xml:space="preserve">ίου 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– </w:t>
      </w:r>
      <w:r w:rsidR="00B51C1D">
        <w:rPr>
          <w:rFonts w:ascii="Verdana" w:eastAsia="Malgun Gothic" w:hAnsi="Verdana" w:cs="Arial"/>
          <w:sz w:val="18"/>
          <w:szCs w:val="18"/>
          <w:lang w:val="el-GR"/>
        </w:rPr>
        <w:t>Νο</w:t>
      </w:r>
      <w:r w:rsidR="00305B05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B51C1D">
        <w:rPr>
          <w:rFonts w:ascii="Verdana" w:eastAsia="Malgun Gothic" w:hAnsi="Verdana" w:cs="Arial"/>
          <w:sz w:val="18"/>
          <w:szCs w:val="18"/>
          <w:lang w:val="el-GR"/>
        </w:rPr>
        <w:t>μβρ</w:t>
      </w:r>
      <w:r w:rsidR="00305B05">
        <w:rPr>
          <w:rFonts w:ascii="Verdana" w:eastAsia="Malgun Gothic" w:hAnsi="Verdana" w:cs="Arial"/>
          <w:sz w:val="18"/>
          <w:szCs w:val="18"/>
          <w:lang w:val="el-GR"/>
        </w:rPr>
        <w:t xml:space="preserve">ίου 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2024, ο ΔΤΚ σημείωσε αύξηση </w:t>
      </w:r>
      <w:r w:rsidR="00452DF7">
        <w:rPr>
          <w:rFonts w:ascii="Verdana" w:eastAsia="Malgun Gothic" w:hAnsi="Verdana" w:cs="Arial"/>
          <w:sz w:val="18"/>
          <w:szCs w:val="18"/>
          <w:lang w:val="el-GR"/>
        </w:rPr>
        <w:t>1</w:t>
      </w:r>
      <w:r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B51C1D">
        <w:rPr>
          <w:rFonts w:ascii="Verdana" w:eastAsia="Malgun Gothic" w:hAnsi="Verdana" w:cs="Arial"/>
          <w:sz w:val="18"/>
          <w:szCs w:val="18"/>
          <w:lang w:val="el-GR"/>
        </w:rPr>
        <w:t>7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% σε σύγκριση με την αντίστοιχη περσινή περίοδο. </w:t>
      </w:r>
      <w:bookmarkEnd w:id="0"/>
      <w:r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266AC247" w14:textId="77777777" w:rsidR="008E4F1A" w:rsidRDefault="008E4F1A" w:rsidP="00F5025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708C1E1" w14:textId="5F92ED6A" w:rsidR="008E4F1A" w:rsidRPr="001C528B" w:rsidRDefault="00305D99" w:rsidP="00087B3C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noProof/>
          <w:sz w:val="18"/>
          <w:szCs w:val="18"/>
          <w:lang w:val="el-GR"/>
        </w:rPr>
        <w:drawing>
          <wp:inline distT="0" distB="0" distL="0" distR="0" wp14:anchorId="70C82EF0" wp14:editId="6DE0AE7D">
            <wp:extent cx="6090285" cy="3907790"/>
            <wp:effectExtent l="0" t="0" r="5715" b="0"/>
            <wp:docPr id="163346213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0285" cy="3907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E77337" w14:textId="77777777" w:rsidR="008E4F1A" w:rsidRPr="00750AF4" w:rsidRDefault="008E4F1A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E994513" w14:textId="77777777" w:rsidR="00C87829" w:rsidRDefault="00C87829" w:rsidP="00750AF4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68602AA" w14:textId="60C0E526" w:rsidR="005B33E2" w:rsidRPr="006022B5" w:rsidRDefault="00F000FF" w:rsidP="00360B5F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B64CC0">
        <w:rPr>
          <w:rFonts w:ascii="Verdana" w:eastAsia="Malgun Gothic" w:hAnsi="Verdana" w:cs="Arial"/>
          <w:sz w:val="18"/>
          <w:szCs w:val="18"/>
          <w:lang w:val="el-GR"/>
        </w:rPr>
        <w:t xml:space="preserve">Η μεγαλύτερη μεταβολή στις οικονομικές κατηγορίες συγκριτικά με τον </w:t>
      </w:r>
      <w:r w:rsidR="00B64CC0">
        <w:rPr>
          <w:rFonts w:ascii="Verdana" w:eastAsia="Malgun Gothic" w:hAnsi="Verdana" w:cs="Arial"/>
          <w:sz w:val="18"/>
          <w:szCs w:val="18"/>
          <w:lang w:val="el-GR"/>
        </w:rPr>
        <w:t xml:space="preserve">Νοέμβριο </w:t>
      </w:r>
      <w:r w:rsidRPr="00B64CC0">
        <w:rPr>
          <w:rFonts w:ascii="Verdana" w:eastAsia="Malgun Gothic" w:hAnsi="Verdana" w:cs="Arial"/>
          <w:sz w:val="18"/>
          <w:szCs w:val="18"/>
          <w:lang w:val="el-GR"/>
        </w:rPr>
        <w:t>του 2023</w:t>
      </w:r>
      <w:r w:rsidR="00B64CC0">
        <w:rPr>
          <w:rFonts w:ascii="Verdana" w:eastAsia="Malgun Gothic" w:hAnsi="Verdana" w:cs="Arial"/>
          <w:sz w:val="18"/>
          <w:szCs w:val="18"/>
          <w:lang w:val="el-GR"/>
        </w:rPr>
        <w:t xml:space="preserve"> και σε σχέση με το προηγούμενο </w:t>
      </w:r>
      <w:r w:rsidR="00862AEA">
        <w:rPr>
          <w:rFonts w:ascii="Verdana" w:eastAsia="Malgun Gothic" w:hAnsi="Verdana" w:cs="Arial"/>
          <w:sz w:val="18"/>
          <w:szCs w:val="18"/>
          <w:lang w:val="el-GR"/>
        </w:rPr>
        <w:t xml:space="preserve">μήνα </w:t>
      </w:r>
      <w:r w:rsidR="00474BD1" w:rsidRPr="00B64CC0">
        <w:rPr>
          <w:rFonts w:ascii="Verdana" w:eastAsia="Malgun Gothic" w:hAnsi="Verdana" w:cs="Arial"/>
          <w:sz w:val="18"/>
          <w:szCs w:val="18"/>
          <w:lang w:val="el-GR"/>
        </w:rPr>
        <w:t xml:space="preserve">καταγράφηκε στα </w:t>
      </w:r>
      <w:r w:rsidR="00B64CC0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Γεωργικά Προϊόντα </w:t>
      </w:r>
      <w:r w:rsidR="00474BD1" w:rsidRPr="00B64CC0">
        <w:rPr>
          <w:rFonts w:ascii="Verdana" w:eastAsia="Malgun Gothic" w:hAnsi="Verdana" w:cs="Arial"/>
          <w:sz w:val="18"/>
          <w:szCs w:val="18"/>
          <w:lang w:val="el-GR"/>
        </w:rPr>
        <w:t xml:space="preserve">με ποσοστό </w:t>
      </w:r>
      <w:r w:rsidR="00B64CC0">
        <w:rPr>
          <w:rFonts w:ascii="Verdana" w:eastAsia="Malgun Gothic" w:hAnsi="Verdana" w:cs="Arial"/>
          <w:sz w:val="18"/>
          <w:szCs w:val="18"/>
          <w:lang w:val="el-GR"/>
        </w:rPr>
        <w:t>8</w:t>
      </w:r>
      <w:r w:rsidR="00474BD1" w:rsidRPr="00B64CC0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B64CC0">
        <w:rPr>
          <w:rFonts w:ascii="Verdana" w:eastAsia="Malgun Gothic" w:hAnsi="Verdana" w:cs="Arial"/>
          <w:sz w:val="18"/>
          <w:szCs w:val="18"/>
          <w:lang w:val="el-GR"/>
        </w:rPr>
        <w:t>91</w:t>
      </w:r>
      <w:r w:rsidR="00474BD1" w:rsidRPr="00B64CC0">
        <w:rPr>
          <w:rFonts w:ascii="Verdana" w:eastAsia="Malgun Gothic" w:hAnsi="Verdana" w:cs="Arial"/>
          <w:sz w:val="18"/>
          <w:szCs w:val="18"/>
          <w:lang w:val="el-GR"/>
        </w:rPr>
        <w:t>%</w:t>
      </w:r>
      <w:r w:rsidR="00B64CC0">
        <w:rPr>
          <w:rFonts w:ascii="Verdana" w:eastAsia="Malgun Gothic" w:hAnsi="Verdana" w:cs="Arial"/>
          <w:sz w:val="18"/>
          <w:szCs w:val="18"/>
          <w:lang w:val="el-GR"/>
        </w:rPr>
        <w:t xml:space="preserve"> και -4,09% αντίστοιχα.</w:t>
      </w:r>
      <w:r w:rsidR="00474BD1" w:rsidRPr="00B64CC0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B64CC0">
        <w:rPr>
          <w:rFonts w:ascii="Verdana" w:eastAsia="Malgun Gothic" w:hAnsi="Verdana" w:cs="Arial"/>
          <w:sz w:val="18"/>
          <w:szCs w:val="18"/>
          <w:lang w:val="el-GR"/>
        </w:rPr>
        <w:t>(Πίνακας 2)</w:t>
      </w:r>
    </w:p>
    <w:p w14:paraId="0AF7ED83" w14:textId="4D812AC4" w:rsidR="00394E48" w:rsidRDefault="00394E48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F527AE4" w14:textId="4A4166ED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4A1673BB" w14:textId="5A629A68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13CA80F1" w14:textId="77777777" w:rsidR="00370C47" w:rsidRDefault="00370C47">
      <w:pPr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4A48B0F8" w14:textId="77777777" w:rsidR="006022B5" w:rsidRPr="00394E48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Cs/>
          <w:sz w:val="18"/>
          <w:szCs w:val="18"/>
          <w:u w:val="single"/>
          <w:lang w:val="el-GR"/>
        </w:rPr>
      </w:pPr>
    </w:p>
    <w:p w14:paraId="7CB30A22" w14:textId="404F346E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lastRenderedPageBreak/>
        <w:t xml:space="preserve">Ανάλυση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Π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οσοστιαίων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Μ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εταβολών</w:t>
      </w:r>
    </w:p>
    <w:p w14:paraId="7B98AA4B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AC9E779" w14:textId="6C5919AE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Συγκριτικά με τον 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 xml:space="preserve">Νοέμβριο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8A42BC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 xml:space="preserve"> οι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μεγαλύτερ</w:t>
      </w:r>
      <w:r w:rsidR="003D1843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="003D1843">
        <w:rPr>
          <w:rFonts w:ascii="Verdana" w:eastAsia="Malgun Gothic" w:hAnsi="Verdana" w:cs="Arial"/>
          <w:sz w:val="18"/>
          <w:szCs w:val="18"/>
          <w:lang w:val="el-GR"/>
        </w:rPr>
        <w:t>ές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παρατηρήθηκ</w:t>
      </w:r>
      <w:r w:rsidR="003D1843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2D32FA">
        <w:rPr>
          <w:rFonts w:ascii="Verdana" w:eastAsia="Malgun Gothic" w:hAnsi="Verdana" w:cs="Arial"/>
          <w:sz w:val="18"/>
          <w:szCs w:val="18"/>
          <w:lang w:val="el-GR"/>
        </w:rPr>
        <w:t>στ</w:t>
      </w:r>
      <w:r w:rsidR="00382E07">
        <w:rPr>
          <w:rFonts w:ascii="Verdana" w:eastAsia="Malgun Gothic" w:hAnsi="Verdana" w:cs="Arial"/>
          <w:sz w:val="18"/>
          <w:szCs w:val="18"/>
          <w:lang w:val="el-GR"/>
        </w:rPr>
        <w:t>ις</w:t>
      </w:r>
      <w:r w:rsidR="00364682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CC1544" w:rsidRPr="00364682">
        <w:rPr>
          <w:rFonts w:ascii="Verdana" w:eastAsia="Malgun Gothic" w:hAnsi="Verdana" w:cs="Arial"/>
          <w:sz w:val="18"/>
          <w:szCs w:val="18"/>
          <w:lang w:val="el-GR"/>
        </w:rPr>
        <w:t>κατηγορί</w:t>
      </w:r>
      <w:r w:rsidR="00CC1544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CC1544" w:rsidRPr="0036468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957A69" w:rsidRPr="00264413">
        <w:rPr>
          <w:rFonts w:ascii="Verdana" w:eastAsia="Malgun Gothic" w:hAnsi="Verdana" w:cs="Arial"/>
          <w:i/>
          <w:iCs/>
          <w:sz w:val="18"/>
          <w:szCs w:val="18"/>
          <w:lang w:val="el-GR"/>
        </w:rPr>
        <w:t>Τρόφιμα και μη Αλκοολούχα ποτά</w:t>
      </w:r>
      <w:r w:rsidR="00957A69">
        <w:rPr>
          <w:rFonts w:ascii="Verdana" w:eastAsia="Malgun Gothic" w:hAnsi="Verdana" w:cs="Arial"/>
          <w:sz w:val="18"/>
          <w:szCs w:val="18"/>
          <w:lang w:val="el-GR"/>
        </w:rPr>
        <w:t xml:space="preserve"> (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26441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>6</w:t>
      </w:r>
      <w:r w:rsidR="00264413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CC1544">
        <w:rPr>
          <w:rFonts w:ascii="Verdana" w:eastAsia="Malgun Gothic" w:hAnsi="Verdana" w:cs="Arial"/>
          <w:sz w:val="18"/>
          <w:szCs w:val="18"/>
          <w:lang w:val="el-GR"/>
        </w:rPr>
        <w:t xml:space="preserve"> και</w:t>
      </w:r>
      <w:r w:rsidR="00CC1544" w:rsidRPr="00CC1544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380663" w:rsidRPr="00BF5331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Εστιατόρια και Ξενοδοχεία 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 xml:space="preserve">(4,2%).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1EC1D9E9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DD18807" w14:textId="0CB3DEF1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i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Σε σχέση με τον</w:t>
      </w:r>
      <w:r w:rsidR="00D703BD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 xml:space="preserve">Οκτώβριο </w:t>
      </w:r>
      <w:r w:rsidR="00196A7C">
        <w:rPr>
          <w:rFonts w:ascii="Verdana" w:eastAsia="Malgun Gothic" w:hAnsi="Verdana" w:cs="Arial"/>
          <w:sz w:val="18"/>
          <w:szCs w:val="18"/>
          <w:lang w:val="el-GR"/>
        </w:rPr>
        <w:t>του 2024</w:t>
      </w:r>
      <w:r w:rsidR="006B7F67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r w:rsidR="00040319">
        <w:rPr>
          <w:rFonts w:ascii="Verdana" w:eastAsia="Malgun Gothic" w:hAnsi="Verdana" w:cs="Arial"/>
          <w:sz w:val="18"/>
          <w:szCs w:val="18"/>
          <w:lang w:val="el-GR"/>
        </w:rPr>
        <w:t>οι</w:t>
      </w:r>
      <w:r w:rsidR="006B7F67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μεγαλύ</w:t>
      </w:r>
      <w:r w:rsidR="00E61415" w:rsidRPr="00E21D72">
        <w:rPr>
          <w:rFonts w:ascii="Verdana" w:eastAsia="Malgun Gothic" w:hAnsi="Verdana" w:cs="Arial"/>
          <w:sz w:val="18"/>
          <w:szCs w:val="18"/>
          <w:lang w:val="el-GR"/>
        </w:rPr>
        <w:t>τερ</w:t>
      </w:r>
      <w:r w:rsidR="00B3085D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6B7F67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="00B3085D">
        <w:rPr>
          <w:rFonts w:ascii="Verdana" w:eastAsia="Malgun Gothic" w:hAnsi="Verdana" w:cs="Arial"/>
          <w:sz w:val="18"/>
          <w:szCs w:val="18"/>
          <w:lang w:val="el-GR"/>
        </w:rPr>
        <w:t>ές</w:t>
      </w:r>
      <w:r w:rsidR="006B7F67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παρατηρήθηκ</w:t>
      </w:r>
      <w:r w:rsidR="00B3085D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E6141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στ</w:t>
      </w:r>
      <w:r w:rsidR="00B3085D">
        <w:rPr>
          <w:rFonts w:ascii="Verdana" w:eastAsia="Malgun Gothic" w:hAnsi="Verdana" w:cs="Arial"/>
          <w:sz w:val="18"/>
          <w:szCs w:val="18"/>
          <w:lang w:val="el-GR"/>
        </w:rPr>
        <w:t>ις</w:t>
      </w:r>
      <w:r w:rsidR="00132903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 w:rsidR="00B3085D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E6141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380663" w:rsidRPr="00264413">
        <w:rPr>
          <w:rFonts w:ascii="Verdana" w:eastAsia="Malgun Gothic" w:hAnsi="Verdana" w:cs="Arial"/>
          <w:i/>
          <w:iCs/>
          <w:sz w:val="18"/>
          <w:szCs w:val="18"/>
          <w:lang w:val="el-GR"/>
        </w:rPr>
        <w:t>Τρόφιμα και μη Αλκοολούχα ποτά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 xml:space="preserve"> (-2,3%) και </w:t>
      </w:r>
      <w:r w:rsidR="00380663" w:rsidRPr="00380663">
        <w:rPr>
          <w:rFonts w:ascii="Verdana" w:eastAsia="Malgun Gothic" w:hAnsi="Verdana" w:cs="Arial"/>
          <w:i/>
          <w:iCs/>
          <w:sz w:val="18"/>
          <w:szCs w:val="18"/>
          <w:lang w:val="el-GR"/>
        </w:rPr>
        <w:t>Ένδυση και Υπόδηση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 xml:space="preserve"> (1,9%) </w:t>
      </w:r>
      <w:r w:rsidR="00132903">
        <w:rPr>
          <w:rFonts w:ascii="Verdana" w:eastAsia="Malgun Gothic" w:hAnsi="Verdana" w:cs="Arial"/>
          <w:sz w:val="18"/>
          <w:szCs w:val="18"/>
          <w:lang w:val="el-GR"/>
        </w:rPr>
        <w:t xml:space="preserve">.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(Πίνακας 1)</w:t>
      </w:r>
    </w:p>
    <w:p w14:paraId="3A5C39DA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CCBF1DC" w14:textId="07289CAB" w:rsidR="00936D92" w:rsidRPr="00936D92" w:rsidRDefault="00936D92" w:rsidP="00936D92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Για την περίοδο Ιανουαρίου </w:t>
      </w:r>
      <w:r w:rsidR="00382E07">
        <w:rPr>
          <w:rFonts w:ascii="Verdana" w:eastAsia="Malgun Gothic" w:hAnsi="Verdana" w:cs="Arial"/>
          <w:sz w:val="18"/>
          <w:szCs w:val="18"/>
          <w:lang w:val="el-GR"/>
        </w:rPr>
        <w:t>–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>Νο</w:t>
      </w:r>
      <w:r w:rsidR="00305B05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>μβρ</w:t>
      </w:r>
      <w:r w:rsidR="00305B05">
        <w:rPr>
          <w:rFonts w:ascii="Verdana" w:eastAsia="Malgun Gothic" w:hAnsi="Verdana" w:cs="Arial"/>
          <w:sz w:val="18"/>
          <w:szCs w:val="18"/>
          <w:lang w:val="el-GR"/>
        </w:rPr>
        <w:t>ί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>ου</w:t>
      </w:r>
      <w:r w:rsidR="00305B0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>2024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, σε σύγκριση με την αντίστοιχη περσινή περίοδο, </w:t>
      </w:r>
      <w:r w:rsidR="00542330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 μεγαλύτερ</w:t>
      </w:r>
      <w:r w:rsidR="00542330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 μεταβολ</w:t>
      </w:r>
      <w:r w:rsidR="00542330">
        <w:rPr>
          <w:rFonts w:ascii="Verdana" w:eastAsia="Malgun Gothic" w:hAnsi="Verdana" w:cs="Arial"/>
          <w:sz w:val="18"/>
          <w:szCs w:val="18"/>
          <w:lang w:val="el-GR"/>
        </w:rPr>
        <w:t>ή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 παρουσιάστηκ</w:t>
      </w:r>
      <w:r w:rsidR="00542330">
        <w:rPr>
          <w:rFonts w:ascii="Verdana" w:eastAsia="Malgun Gothic" w:hAnsi="Verdana" w:cs="Arial"/>
          <w:sz w:val="18"/>
          <w:szCs w:val="18"/>
          <w:lang w:val="el-GR"/>
        </w:rPr>
        <w:t xml:space="preserve">ε 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>στ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 xml:space="preserve">ην 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>κατηγορί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 xml:space="preserve">α </w:t>
      </w:r>
      <w:r w:rsidRPr="00E40B30">
        <w:rPr>
          <w:rFonts w:ascii="Verdana" w:eastAsia="Malgun Gothic" w:hAnsi="Verdana" w:cs="Arial"/>
          <w:i/>
          <w:iCs/>
          <w:sz w:val="18"/>
          <w:szCs w:val="18"/>
          <w:lang w:val="el-GR"/>
        </w:rPr>
        <w:t>Εστιατόρια και Ξενοδοχεία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 (5,</w:t>
      </w:r>
      <w:r w:rsidR="00380663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>%)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936D92">
        <w:rPr>
          <w:rFonts w:ascii="Verdana" w:eastAsia="Malgun Gothic" w:hAnsi="Verdana" w:cs="Arial"/>
          <w:sz w:val="18"/>
          <w:szCs w:val="18"/>
          <w:lang w:val="el-GR"/>
        </w:rPr>
        <w:t xml:space="preserve"> (Πίνακας 1)</w:t>
      </w:r>
    </w:p>
    <w:p w14:paraId="3F2652E4" w14:textId="77777777" w:rsidR="00936D92" w:rsidRPr="00E21D72" w:rsidRDefault="00936D9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24F7C08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E561778" w14:textId="1516CE52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Ανάλυση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Ε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πιπτώσεων σε </w:t>
      </w:r>
      <w:r w:rsidR="00F07B9A"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Μ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ονάδες</w:t>
      </w:r>
    </w:p>
    <w:p w14:paraId="47CF4B42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7686F5C5" w14:textId="78B1024C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Τη μεγαλύτερη </w:t>
      </w:r>
      <w:r w:rsidR="008E6E54">
        <w:rPr>
          <w:rFonts w:ascii="Verdana" w:eastAsia="Malgun Gothic" w:hAnsi="Verdana" w:cs="Arial"/>
          <w:sz w:val="18"/>
          <w:szCs w:val="18"/>
          <w:lang w:val="el-GR"/>
        </w:rPr>
        <w:t xml:space="preserve">θετική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επίδραση στη μεταβολή του ΔΤΚ του</w:t>
      </w:r>
      <w:r w:rsidR="004E0E78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Νοεμβρίου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82524">
        <w:rPr>
          <w:rFonts w:ascii="Verdana" w:eastAsia="Malgun Gothic" w:hAnsi="Verdana" w:cs="Arial"/>
          <w:sz w:val="18"/>
          <w:szCs w:val="18"/>
          <w:lang w:val="el-GR"/>
        </w:rPr>
        <w:t>2024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</w:t>
      </w:r>
      <w:r w:rsidR="009154BF">
        <w:rPr>
          <w:rFonts w:ascii="Verdana" w:hAnsi="Verdana" w:cs="Arial"/>
          <w:sz w:val="18"/>
          <w:szCs w:val="18"/>
          <w:lang w:val="el-GR"/>
        </w:rPr>
        <w:t xml:space="preserve"> </w:t>
      </w:r>
      <w:r w:rsidR="00D56B64">
        <w:rPr>
          <w:rFonts w:ascii="Verdana" w:hAnsi="Verdana" w:cs="Arial"/>
          <w:sz w:val="18"/>
          <w:szCs w:val="18"/>
          <w:lang w:val="el-GR"/>
        </w:rPr>
        <w:t xml:space="preserve">Νοέμβριο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 w:rsidR="00782524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 w:rsidR="00765399">
        <w:rPr>
          <w:rFonts w:ascii="Verdana" w:eastAsia="Malgun Gothic" w:hAnsi="Verdana" w:cs="Arial"/>
          <w:sz w:val="18"/>
          <w:szCs w:val="18"/>
          <w:lang w:val="el-GR"/>
        </w:rPr>
        <w:t>αν οι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 w:rsidR="00765399">
        <w:rPr>
          <w:rFonts w:ascii="Verdana" w:eastAsia="Malgun Gothic" w:hAnsi="Verdana" w:cs="Arial"/>
          <w:sz w:val="18"/>
          <w:szCs w:val="18"/>
          <w:lang w:val="el-GR"/>
        </w:rPr>
        <w:t>ες</w:t>
      </w:r>
      <w:r w:rsidR="00C45A9C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46A4F" w:rsidRPr="00453E42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Τρόφιμα και μη Αλκοολούχα Ποτά 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>1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05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C45A9C">
        <w:rPr>
          <w:rFonts w:ascii="Verdana" w:eastAsia="Malgun Gothic" w:hAnsi="Verdana" w:cs="Arial"/>
          <w:sz w:val="18"/>
          <w:szCs w:val="18"/>
          <w:lang w:val="el-GR"/>
        </w:rPr>
        <w:t xml:space="preserve"> και</w:t>
      </w:r>
      <w:r w:rsidR="00C45A9C" w:rsidRPr="00C45A9C">
        <w:rPr>
          <w:lang w:val="el-GR"/>
        </w:rPr>
        <w:t xml:space="preserve"> </w:t>
      </w:r>
      <w:r w:rsidR="00C45A9C" w:rsidRPr="00465B21">
        <w:rPr>
          <w:rFonts w:ascii="Verdana" w:eastAsia="Malgun Gothic" w:hAnsi="Verdana" w:cs="Arial"/>
          <w:i/>
          <w:iCs/>
          <w:sz w:val="18"/>
          <w:szCs w:val="18"/>
          <w:lang w:val="el-GR"/>
        </w:rPr>
        <w:t>Εστιατόρια και Ξενοδοχεία</w:t>
      </w:r>
      <w:r w:rsidR="00731391">
        <w:rPr>
          <w:rFonts w:ascii="Verdana" w:eastAsia="Malgun Gothic" w:hAnsi="Verdana" w:cs="Arial"/>
          <w:sz w:val="18"/>
          <w:szCs w:val="18"/>
          <w:lang w:val="el-GR"/>
        </w:rPr>
        <w:t xml:space="preserve"> (0</w:t>
      </w:r>
      <w:r w:rsidR="00465B21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44</w:t>
      </w:r>
      <w:r w:rsidR="00731391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646A4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Πίνακας 3)</w:t>
      </w:r>
    </w:p>
    <w:p w14:paraId="6466615B" w14:textId="77777777" w:rsidR="00453E42" w:rsidRDefault="00453E4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E7718B9" w14:textId="3A5C0ED0" w:rsidR="00453E42" w:rsidRPr="00E21D72" w:rsidRDefault="00453E42" w:rsidP="00453E42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Τη μεγαλύτερη 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αρνητική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επίδραση στη μεταβολή του ΔΤΚ του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 xml:space="preserve">Νοεμβρίου </w:t>
      </w:r>
      <w:r>
        <w:rPr>
          <w:rFonts w:ascii="Verdana" w:eastAsia="Malgun Gothic" w:hAnsi="Verdana" w:cs="Arial"/>
          <w:sz w:val="18"/>
          <w:szCs w:val="18"/>
          <w:lang w:val="el-GR"/>
        </w:rPr>
        <w:t>2024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</w:t>
      </w:r>
      <w:r>
        <w:rPr>
          <w:rFonts w:ascii="Verdana" w:hAnsi="Verdana" w:cs="Arial"/>
          <w:sz w:val="18"/>
          <w:szCs w:val="18"/>
          <w:lang w:val="el-GR"/>
        </w:rPr>
        <w:t xml:space="preserve"> </w:t>
      </w:r>
      <w:r w:rsidR="00D56B64">
        <w:rPr>
          <w:rFonts w:ascii="Verdana" w:hAnsi="Verdana" w:cs="Arial"/>
          <w:sz w:val="18"/>
          <w:szCs w:val="18"/>
          <w:lang w:val="el-GR"/>
        </w:rPr>
        <w:t>Νοέμβριο</w:t>
      </w:r>
      <w:r w:rsidR="00360B5F">
        <w:rPr>
          <w:rFonts w:ascii="Verdana" w:hAnsi="Verdana" w:cs="Arial"/>
          <w:sz w:val="18"/>
          <w:szCs w:val="18"/>
          <w:lang w:val="el-GR"/>
        </w:rPr>
        <w:t xml:space="preserve">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του 202</w:t>
      </w:r>
      <w:r>
        <w:rPr>
          <w:rFonts w:ascii="Verdana" w:eastAsia="Malgun Gothic" w:hAnsi="Verdana" w:cs="Arial"/>
          <w:sz w:val="18"/>
          <w:szCs w:val="18"/>
          <w:lang w:val="el-GR"/>
        </w:rPr>
        <w:t>3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>
        <w:rPr>
          <w:rFonts w:ascii="Verdana" w:eastAsia="Malgun Gothic" w:hAnsi="Verdana" w:cs="Arial"/>
          <w:sz w:val="18"/>
          <w:szCs w:val="18"/>
          <w:lang w:val="el-GR"/>
        </w:rPr>
        <w:t>ε η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κατηγορί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α </w:t>
      </w:r>
      <w:r>
        <w:rPr>
          <w:rFonts w:ascii="Verdana" w:eastAsia="Malgun Gothic" w:hAnsi="Verdana" w:cs="Arial"/>
          <w:i/>
          <w:iCs/>
          <w:sz w:val="18"/>
          <w:szCs w:val="18"/>
          <w:lang w:val="el-GR"/>
        </w:rPr>
        <w:t>Μεταφορές</w:t>
      </w:r>
      <w:r w:rsidRPr="00453E42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>(-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0</w:t>
      </w:r>
      <w:r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33</w:t>
      </w:r>
      <w:r>
        <w:rPr>
          <w:rFonts w:ascii="Verdana" w:eastAsia="Malgun Gothic" w:hAnsi="Verdana" w:cs="Arial"/>
          <w:sz w:val="18"/>
          <w:szCs w:val="18"/>
          <w:lang w:val="el-GR"/>
        </w:rPr>
        <w:t>). (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Πίνακας 3)</w:t>
      </w:r>
    </w:p>
    <w:p w14:paraId="328F7BC1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58B7840" w14:textId="193F43A6" w:rsidR="006022B5" w:rsidRPr="00E21D72" w:rsidRDefault="00250774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B60DE9">
        <w:rPr>
          <w:rFonts w:ascii="Verdana" w:eastAsia="Malgun Gothic" w:hAnsi="Verdana" w:cs="Arial"/>
          <w:sz w:val="18"/>
          <w:szCs w:val="18"/>
          <w:lang w:val="el-GR"/>
        </w:rPr>
        <w:t>Τη μεγαλύτερη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επίπτωση </w:t>
      </w:r>
      <w:r w:rsidRPr="00E21D72">
        <w:rPr>
          <w:rFonts w:ascii="Verdana" w:eastAsia="Malgun Gothic" w:hAnsi="Verdana" w:cs="Arial"/>
          <w:iCs/>
          <w:sz w:val="18"/>
          <w:szCs w:val="18"/>
          <w:lang w:val="el-GR"/>
        </w:rPr>
        <w:t>στη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μεταβολή του ΔΤΚ σε σχέση με τον προηγούμενο μήνα</w:t>
      </w:r>
      <w:r>
        <w:rPr>
          <w:rFonts w:ascii="Verdana" w:eastAsia="Malgun Gothic" w:hAnsi="Verdana" w:cs="Arial"/>
          <w:sz w:val="18"/>
          <w:szCs w:val="18"/>
          <w:lang w:val="el-GR"/>
        </w:rPr>
        <w:t xml:space="preserve"> είχ</w:t>
      </w:r>
      <w:r w:rsidR="00F25C5F">
        <w:rPr>
          <w:rFonts w:ascii="Verdana" w:eastAsia="Malgun Gothic" w:hAnsi="Verdana" w:cs="Arial"/>
          <w:sz w:val="18"/>
          <w:szCs w:val="18"/>
          <w:lang w:val="el-GR"/>
        </w:rPr>
        <w:t>ε</w:t>
      </w:r>
      <w:r w:rsidR="005A60BB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F25C5F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5A60BB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>κατηγορ</w:t>
      </w:r>
      <w:r w:rsidR="00F271B1">
        <w:rPr>
          <w:rFonts w:ascii="Verdana" w:eastAsia="Malgun Gothic" w:hAnsi="Verdana" w:cs="Arial"/>
          <w:sz w:val="18"/>
          <w:szCs w:val="18"/>
          <w:lang w:val="el-GR"/>
        </w:rPr>
        <w:t>ί</w:t>
      </w:r>
      <w:r w:rsidR="005A60BB">
        <w:rPr>
          <w:rFonts w:ascii="Verdana" w:eastAsia="Malgun Gothic" w:hAnsi="Verdana" w:cs="Arial"/>
          <w:sz w:val="18"/>
          <w:szCs w:val="18"/>
          <w:lang w:val="el-GR"/>
        </w:rPr>
        <w:t>α</w:t>
      </w:r>
      <w:r w:rsidR="00D56B64" w:rsidRPr="00D56B64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 </w:t>
      </w:r>
      <w:r w:rsidR="00D56B64" w:rsidRPr="00453E42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Τρόφιμα και μη Αλκοολούχα Ποτά 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(-0,55)</w:t>
      </w:r>
      <w:r w:rsidR="00F271B1">
        <w:rPr>
          <w:rFonts w:ascii="Verdana" w:eastAsia="Malgun Gothic" w:hAnsi="Verdana" w:cs="Arial"/>
          <w:iCs/>
          <w:sz w:val="18"/>
          <w:szCs w:val="18"/>
          <w:lang w:val="el-GR"/>
        </w:rPr>
        <w:t>.</w:t>
      </w:r>
      <w:r w:rsidR="00F271B1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022B5" w:rsidRPr="00B77008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Πίνακας 3)</w:t>
      </w:r>
    </w:p>
    <w:p w14:paraId="129100A0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FD1B7A4" w14:textId="61B55F79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Τη μεγαλύτερη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2C4323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επίπτωση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στη μεταβολή του ΔΤΚ του</w:t>
      </w:r>
      <w:r w:rsidR="009F1D8C">
        <w:rPr>
          <w:rFonts w:ascii="Verdana" w:hAnsi="Verdana" w:cs="Arial"/>
          <w:sz w:val="18"/>
          <w:szCs w:val="18"/>
          <w:lang w:val="el-GR"/>
        </w:rPr>
        <w:t xml:space="preserve"> </w:t>
      </w:r>
      <w:r w:rsidR="00D56B64">
        <w:rPr>
          <w:rFonts w:ascii="Verdana" w:hAnsi="Verdana" w:cs="Arial"/>
          <w:sz w:val="18"/>
          <w:szCs w:val="18"/>
          <w:lang w:val="el-GR"/>
        </w:rPr>
        <w:t xml:space="preserve">Νοεμβρίου </w:t>
      </w:r>
      <w:r w:rsidR="002160C6" w:rsidRPr="00E21D72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0A50D8">
        <w:rPr>
          <w:rFonts w:ascii="Verdana" w:eastAsia="Malgun Gothic" w:hAnsi="Verdana" w:cs="Arial"/>
          <w:sz w:val="18"/>
          <w:szCs w:val="18"/>
          <w:lang w:val="el-GR"/>
        </w:rPr>
        <w:t>4</w:t>
      </w:r>
      <w:r w:rsidR="002160C6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σε σύγκριση με το δείκτη το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>υ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 xml:space="preserve"> Νοεμβρίου </w:t>
      </w:r>
      <w:r w:rsidR="002160C6" w:rsidRPr="00E21D72">
        <w:rPr>
          <w:rFonts w:ascii="Verdana" w:eastAsia="Malgun Gothic" w:hAnsi="Verdana" w:cs="Arial"/>
          <w:sz w:val="18"/>
          <w:szCs w:val="18"/>
          <w:lang w:val="el-GR"/>
        </w:rPr>
        <w:t>202</w:t>
      </w:r>
      <w:r w:rsidR="000A50D8">
        <w:rPr>
          <w:rFonts w:ascii="Verdana" w:eastAsia="Malgun Gothic" w:hAnsi="Verdana" w:cs="Arial"/>
          <w:sz w:val="18"/>
          <w:szCs w:val="18"/>
          <w:lang w:val="el-GR"/>
        </w:rPr>
        <w:t>3</w:t>
      </w:r>
      <w:r w:rsidR="002160C6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είχ</w:t>
      </w:r>
      <w:r w:rsidR="001849D2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αν </w:t>
      </w:r>
      <w:r w:rsidR="003149D9">
        <w:rPr>
          <w:rFonts w:ascii="Verdana" w:eastAsia="Malgun Gothic" w:hAnsi="Verdana" w:cs="Arial"/>
          <w:sz w:val="18"/>
          <w:szCs w:val="18"/>
          <w:lang w:val="el-GR"/>
        </w:rPr>
        <w:t>οι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 κατηγορίες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360B5F" w:rsidRPr="00360B5F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Πετρελαιοειδή 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>(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-0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>8),</w:t>
      </w:r>
      <w:r w:rsidR="00D80F1D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οι </w:t>
      </w:r>
      <w:r w:rsidR="00C015F0" w:rsidRPr="00465B21">
        <w:rPr>
          <w:rFonts w:ascii="Verdana" w:eastAsia="Malgun Gothic" w:hAnsi="Verdana" w:cs="Arial"/>
          <w:i/>
          <w:iCs/>
          <w:sz w:val="18"/>
          <w:szCs w:val="18"/>
          <w:lang w:val="el-GR"/>
        </w:rPr>
        <w:t>Υπηρεσίες τροφοδοσίας</w:t>
      </w:r>
      <w:r w:rsidR="00C015F0">
        <w:rPr>
          <w:rFonts w:ascii="Verdana" w:eastAsia="Malgun Gothic" w:hAnsi="Verdana" w:cs="Arial"/>
          <w:sz w:val="18"/>
          <w:szCs w:val="18"/>
          <w:lang w:val="el-GR"/>
        </w:rPr>
        <w:t xml:space="preserve"> (</w:t>
      </w:r>
      <w:r w:rsidR="00C015F0" w:rsidRPr="00C015F0">
        <w:rPr>
          <w:rFonts w:ascii="Verdana" w:eastAsia="Malgun Gothic" w:hAnsi="Verdana" w:cs="Arial"/>
          <w:sz w:val="18"/>
          <w:szCs w:val="18"/>
          <w:lang w:val="el-GR"/>
        </w:rPr>
        <w:t>0</w:t>
      </w:r>
      <w:r w:rsidR="00C015F0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43</w:t>
      </w:r>
      <w:r w:rsidR="00C015F0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 και ο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ι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D56B64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Πατάτες 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>(0,</w:t>
      </w:r>
      <w:r w:rsidR="00D56B64">
        <w:rPr>
          <w:rFonts w:ascii="Verdana" w:eastAsia="Malgun Gothic" w:hAnsi="Verdana" w:cs="Arial"/>
          <w:sz w:val="18"/>
          <w:szCs w:val="18"/>
          <w:lang w:val="el-GR"/>
        </w:rPr>
        <w:t>28</w:t>
      </w:r>
      <w:r w:rsidR="00360B5F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. 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(Πίνακας 4)</w:t>
      </w:r>
    </w:p>
    <w:p w14:paraId="0B7EED4B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1F61FA24" w14:textId="0E5AF3C0" w:rsidR="006022B5" w:rsidRPr="00E21D72" w:rsidRDefault="00D56B64" w:rsidP="006022B5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 xml:space="preserve">Οι </w:t>
      </w:r>
      <w:r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Πατάτες </w:t>
      </w:r>
      <w:r w:rsidR="007E5354">
        <w:rPr>
          <w:rFonts w:ascii="Verdana" w:eastAsia="Malgun Gothic" w:hAnsi="Verdana" w:cs="Arial"/>
          <w:sz w:val="18"/>
          <w:szCs w:val="18"/>
          <w:lang w:val="el-GR"/>
        </w:rPr>
        <w:t>είχ</w:t>
      </w:r>
      <w:r w:rsidR="006B111B">
        <w:rPr>
          <w:rFonts w:ascii="Verdana" w:eastAsia="Malgun Gothic" w:hAnsi="Verdana" w:cs="Arial"/>
          <w:sz w:val="18"/>
          <w:szCs w:val="18"/>
          <w:lang w:val="el-GR"/>
        </w:rPr>
        <w:t>αν</w:t>
      </w:r>
      <w:r w:rsidR="007E5354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τ</w:t>
      </w:r>
      <w:r w:rsidR="00646CF3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μεγαλύτερ</w:t>
      </w:r>
      <w:r w:rsidR="00646CF3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θετική </w:t>
      </w:r>
      <w:r w:rsidR="00D24FF8" w:rsidRPr="00E21D72">
        <w:rPr>
          <w:rFonts w:ascii="Verdana" w:eastAsia="Malgun Gothic" w:hAnsi="Verdana" w:cs="Arial"/>
          <w:sz w:val="18"/>
          <w:szCs w:val="18"/>
          <w:lang w:val="el-GR"/>
        </w:rPr>
        <w:t>επίδρασ</w:t>
      </w:r>
      <w:r w:rsidR="00D24FF8">
        <w:rPr>
          <w:rFonts w:ascii="Verdana" w:eastAsia="Malgun Gothic" w:hAnsi="Verdana" w:cs="Arial"/>
          <w:sz w:val="18"/>
          <w:szCs w:val="18"/>
          <w:lang w:val="el-GR"/>
        </w:rPr>
        <w:t>η</w:t>
      </w:r>
      <w:r w:rsidR="002C4323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στη μεταβολή του ΔΤΚ του</w:t>
      </w:r>
      <w:r w:rsidR="00A02426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>
        <w:rPr>
          <w:rFonts w:ascii="Verdana" w:eastAsia="Malgun Gothic" w:hAnsi="Verdana" w:cs="Arial"/>
          <w:sz w:val="18"/>
          <w:szCs w:val="18"/>
          <w:lang w:val="el-GR"/>
        </w:rPr>
        <w:t>Νοεμβρίου</w:t>
      </w:r>
      <w:r w:rsidR="00FB3CEB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0A50D8">
        <w:rPr>
          <w:rFonts w:ascii="Verdana" w:hAnsi="Verdana" w:cs="Arial"/>
          <w:sz w:val="18"/>
          <w:szCs w:val="18"/>
          <w:lang w:val="el-GR"/>
        </w:rPr>
        <w:t>2024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σε σχέση με τον αντίστοιχο δείκτη του προηγούμενου μήνα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7B55C9">
        <w:rPr>
          <w:rFonts w:ascii="Verdana" w:eastAsia="Malgun Gothic" w:hAnsi="Verdana" w:cs="Arial"/>
          <w:sz w:val="18"/>
          <w:szCs w:val="18"/>
          <w:lang w:val="el-GR"/>
        </w:rPr>
        <w:t>(0,18)</w:t>
      </w:r>
      <w:r w:rsidR="00DC2ABE" w:rsidRPr="00DC2ABE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="007B55C9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r w:rsidR="00042925">
        <w:rPr>
          <w:rFonts w:ascii="Verdana" w:eastAsia="Malgun Gothic" w:hAnsi="Verdana" w:cs="Arial"/>
          <w:sz w:val="18"/>
          <w:szCs w:val="18"/>
          <w:lang w:val="el-GR"/>
        </w:rPr>
        <w:t xml:space="preserve">ενώ τη μεγαλύτερη αρνητική επίδραση είχε η κατηγορία </w:t>
      </w:r>
      <w:r w:rsidR="00FB3CEB">
        <w:rPr>
          <w:rFonts w:ascii="Verdana" w:eastAsia="Malgun Gothic" w:hAnsi="Verdana" w:cs="Arial"/>
          <w:i/>
          <w:iCs/>
          <w:sz w:val="18"/>
          <w:szCs w:val="18"/>
          <w:lang w:val="el-GR"/>
        </w:rPr>
        <w:t xml:space="preserve">Φρέσκα Λαχανικά </w:t>
      </w:r>
      <w:r w:rsidR="00FB546C" w:rsidRPr="00FB546C">
        <w:rPr>
          <w:rFonts w:ascii="Verdana" w:eastAsia="Malgun Gothic" w:hAnsi="Verdana" w:cs="Arial"/>
          <w:sz w:val="18"/>
          <w:szCs w:val="18"/>
          <w:lang w:val="el-GR"/>
        </w:rPr>
        <w:t>(-0</w:t>
      </w:r>
      <w:r w:rsidR="00A81068">
        <w:rPr>
          <w:rFonts w:ascii="Verdana" w:eastAsia="Malgun Gothic" w:hAnsi="Verdana" w:cs="Arial"/>
          <w:sz w:val="18"/>
          <w:szCs w:val="18"/>
          <w:lang w:val="el-GR"/>
        </w:rPr>
        <w:t>,</w:t>
      </w:r>
      <w:r>
        <w:rPr>
          <w:rFonts w:ascii="Verdana" w:eastAsia="Malgun Gothic" w:hAnsi="Verdana" w:cs="Arial"/>
          <w:sz w:val="18"/>
          <w:szCs w:val="18"/>
          <w:lang w:val="el-GR"/>
        </w:rPr>
        <w:t>5</w:t>
      </w:r>
      <w:r w:rsidR="00FB3CEB">
        <w:rPr>
          <w:rFonts w:ascii="Verdana" w:eastAsia="Malgun Gothic" w:hAnsi="Verdana" w:cs="Arial"/>
          <w:sz w:val="18"/>
          <w:szCs w:val="18"/>
          <w:lang w:val="el-GR"/>
        </w:rPr>
        <w:t>6</w:t>
      </w:r>
      <w:r w:rsidR="00FB546C" w:rsidRPr="00FB546C">
        <w:rPr>
          <w:rFonts w:ascii="Verdana" w:eastAsia="Malgun Gothic" w:hAnsi="Verdana" w:cs="Arial"/>
          <w:sz w:val="18"/>
          <w:szCs w:val="18"/>
          <w:lang w:val="el-GR"/>
        </w:rPr>
        <w:t>)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. (Πίνακας 5)</w:t>
      </w:r>
    </w:p>
    <w:p w14:paraId="21B0C671" w14:textId="77777777" w:rsidR="008516BF" w:rsidRPr="00A81068" w:rsidRDefault="008516BF" w:rsidP="008516BF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EF125E5" w14:textId="77777777" w:rsidR="009A2DF0" w:rsidRPr="00A81068" w:rsidRDefault="009A2DF0" w:rsidP="008516BF">
      <w:pPr>
        <w:jc w:val="both"/>
        <w:rPr>
          <w:rFonts w:ascii="Verdana" w:eastAsia="Malgun Gothic" w:hAnsi="Verdana" w:cs="Arial"/>
          <w:sz w:val="12"/>
          <w:szCs w:val="12"/>
          <w:lang w:val="el-GR"/>
        </w:rPr>
      </w:pPr>
    </w:p>
    <w:tbl>
      <w:tblPr>
        <w:tblW w:w="5322" w:type="pct"/>
        <w:jc w:val="center"/>
        <w:tblLayout w:type="fixed"/>
        <w:tblLook w:val="04A0" w:firstRow="1" w:lastRow="0" w:firstColumn="1" w:lastColumn="0" w:noHBand="0" w:noVBand="1"/>
      </w:tblPr>
      <w:tblGrid>
        <w:gridCol w:w="2412"/>
        <w:gridCol w:w="1555"/>
        <w:gridCol w:w="1418"/>
        <w:gridCol w:w="282"/>
        <w:gridCol w:w="1276"/>
        <w:gridCol w:w="1421"/>
        <w:gridCol w:w="1841"/>
      </w:tblGrid>
      <w:tr w:rsidR="008516BF" w:rsidRPr="00FC45BF" w14:paraId="1D00F069" w14:textId="77777777" w:rsidTr="00131127">
        <w:trPr>
          <w:trHeight w:val="270"/>
          <w:jc w:val="center"/>
        </w:trPr>
        <w:tc>
          <w:tcPr>
            <w:tcW w:w="2412" w:type="dxa"/>
            <w:tcBorders>
              <w:left w:val="nil"/>
              <w:bottom w:val="single" w:sz="4" w:space="0" w:color="366092"/>
            </w:tcBorders>
            <w:shd w:val="clear" w:color="FFFFFF" w:fill="FFFFFF"/>
            <w:vAlign w:val="center"/>
          </w:tcPr>
          <w:p w14:paraId="15B9A7FB" w14:textId="77777777" w:rsidR="008516BF" w:rsidRPr="00FC45BF" w:rsidRDefault="008516BF" w:rsidP="00FC5595">
            <w:pP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Πίνακας 1</w:t>
            </w:r>
          </w:p>
        </w:tc>
        <w:tc>
          <w:tcPr>
            <w:tcW w:w="2973" w:type="dxa"/>
            <w:gridSpan w:val="2"/>
            <w:tcBorders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0E6E143D" w14:textId="77777777" w:rsidR="008516BF" w:rsidRPr="00FC45BF" w:rsidRDefault="008516BF" w:rsidP="00FC5595">
            <w:pPr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282" w:type="dxa"/>
            <w:tcBorders>
              <w:bottom w:val="single" w:sz="4" w:space="0" w:color="366092"/>
            </w:tcBorders>
            <w:tcMar>
              <w:left w:w="0" w:type="dxa"/>
              <w:right w:w="0" w:type="dxa"/>
            </w:tcMar>
          </w:tcPr>
          <w:p w14:paraId="300B29A6" w14:textId="77777777" w:rsidR="008516BF" w:rsidRPr="00FC45BF" w:rsidRDefault="008516BF" w:rsidP="00FC5595">
            <w:pPr>
              <w:ind w:right="-75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4538" w:type="dxa"/>
            <w:gridSpan w:val="3"/>
            <w:tcBorders>
              <w:bottom w:val="single" w:sz="4" w:space="0" w:color="366092"/>
            </w:tcBorders>
          </w:tcPr>
          <w:p w14:paraId="374995B4" w14:textId="77777777" w:rsidR="008516BF" w:rsidRPr="00FC45BF" w:rsidRDefault="008516BF" w:rsidP="00FC5595">
            <w:pPr>
              <w:ind w:right="-75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</w:p>
        </w:tc>
      </w:tr>
      <w:tr w:rsidR="008516BF" w:rsidRPr="00FC45BF" w14:paraId="79540F65" w14:textId="77777777" w:rsidTr="00131127">
        <w:trPr>
          <w:trHeight w:val="270"/>
          <w:jc w:val="center"/>
        </w:trPr>
        <w:tc>
          <w:tcPr>
            <w:tcW w:w="2412" w:type="dxa"/>
            <w:vMerge w:val="restar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813B3B3" w14:textId="77777777" w:rsidR="008516BF" w:rsidRPr="00FC45BF" w:rsidRDefault="008516BF" w:rsidP="00FC5595">
            <w:pP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Κατηγορίες Αγαθών και Υπηρεσιών</w:t>
            </w:r>
          </w:p>
        </w:tc>
        <w:tc>
          <w:tcPr>
            <w:tcW w:w="2973" w:type="dxa"/>
            <w:gridSpan w:val="2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36E1C5C6" w14:textId="77777777" w:rsidR="008516BF" w:rsidRPr="00FC45BF" w:rsidRDefault="008516BF" w:rsidP="00FC559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ΔΤΚ (2015=100)</w:t>
            </w:r>
          </w:p>
        </w:tc>
        <w:tc>
          <w:tcPr>
            <w:tcW w:w="282" w:type="dxa"/>
            <w:tcBorders>
              <w:top w:val="single" w:sz="4" w:space="0" w:color="366092"/>
            </w:tcBorders>
            <w:tcMar>
              <w:left w:w="0" w:type="dxa"/>
              <w:right w:w="0" w:type="dxa"/>
            </w:tcMar>
            <w:vAlign w:val="center"/>
          </w:tcPr>
          <w:p w14:paraId="0E6D1E6A" w14:textId="77777777" w:rsidR="008516BF" w:rsidRPr="00FC45BF" w:rsidRDefault="008516BF" w:rsidP="00FC5595">
            <w:pPr>
              <w:ind w:right="-75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4538" w:type="dxa"/>
            <w:gridSpan w:val="3"/>
            <w:tcBorders>
              <w:top w:val="single" w:sz="4" w:space="0" w:color="366092"/>
              <w:bottom w:val="single" w:sz="4" w:space="0" w:color="366092"/>
            </w:tcBorders>
            <w:vAlign w:val="center"/>
          </w:tcPr>
          <w:p w14:paraId="0B34880D" w14:textId="77777777" w:rsidR="008516BF" w:rsidRPr="00FC45BF" w:rsidRDefault="008516BF" w:rsidP="00FC5595">
            <w:pPr>
              <w:ind w:right="-75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Μεταβολές (%)</w:t>
            </w:r>
          </w:p>
        </w:tc>
      </w:tr>
      <w:tr w:rsidR="00B51C1D" w:rsidRPr="00FC45BF" w14:paraId="4BD227C0" w14:textId="77777777" w:rsidTr="00131127">
        <w:trPr>
          <w:trHeight w:val="602"/>
          <w:jc w:val="center"/>
        </w:trPr>
        <w:tc>
          <w:tcPr>
            <w:tcW w:w="2412" w:type="dxa"/>
            <w:vMerge/>
            <w:tcBorders>
              <w:top w:val="single" w:sz="4" w:space="0" w:color="366092"/>
              <w:left w:val="nil"/>
              <w:bottom w:val="single" w:sz="4" w:space="0" w:color="366092"/>
            </w:tcBorders>
            <w:vAlign w:val="center"/>
            <w:hideMark/>
          </w:tcPr>
          <w:p w14:paraId="28DF8A22" w14:textId="77777777" w:rsidR="00B51C1D" w:rsidRPr="00FC45BF" w:rsidRDefault="00B51C1D" w:rsidP="00B51C1D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1555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E552FEC" w14:textId="77777777" w:rsidR="00B51C1D" w:rsidRPr="00FC45BF" w:rsidRDefault="00B51C1D" w:rsidP="00B51C1D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Οκτώβριος</w:t>
            </w:r>
          </w:p>
          <w:p w14:paraId="2CBD1D95" w14:textId="751C3969" w:rsidR="00B51C1D" w:rsidRPr="00FC45BF" w:rsidRDefault="00B51C1D" w:rsidP="00B51C1D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2024</w:t>
            </w:r>
          </w:p>
        </w:tc>
        <w:tc>
          <w:tcPr>
            <w:tcW w:w="1418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439D0F3" w14:textId="7033B72B" w:rsidR="00B51C1D" w:rsidRPr="00FC45BF" w:rsidRDefault="00B51C1D" w:rsidP="00B51C1D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Νοέμβριος</w:t>
            </w:r>
          </w:p>
          <w:p w14:paraId="11415D22" w14:textId="6682E39F" w:rsidR="00B51C1D" w:rsidRPr="00FC45BF" w:rsidRDefault="00B51C1D" w:rsidP="00B51C1D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2024</w:t>
            </w:r>
          </w:p>
        </w:tc>
        <w:tc>
          <w:tcPr>
            <w:tcW w:w="282" w:type="dxa"/>
            <w:tcBorders>
              <w:bottom w:val="single" w:sz="4" w:space="0" w:color="366092"/>
            </w:tcBorders>
            <w:shd w:val="clear" w:color="FFFFFF" w:fill="FFFFFF"/>
            <w:tcMar>
              <w:left w:w="0" w:type="dxa"/>
              <w:right w:w="0" w:type="dxa"/>
            </w:tcMar>
          </w:tcPr>
          <w:p w14:paraId="139E8C70" w14:textId="77777777" w:rsidR="00B51C1D" w:rsidRPr="00FC45BF" w:rsidRDefault="00B51C1D" w:rsidP="00B51C1D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1276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47E692C" w14:textId="0111522F" w:rsidR="00B51C1D" w:rsidRPr="00FC45BF" w:rsidRDefault="00B51C1D" w:rsidP="00B51C1D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Νοε</w:t>
            </w: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24/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Νοε</w:t>
            </w: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23</w:t>
            </w:r>
          </w:p>
        </w:tc>
        <w:tc>
          <w:tcPr>
            <w:tcW w:w="1421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40959793" w14:textId="72B989E4" w:rsidR="00B51C1D" w:rsidRPr="00FC45BF" w:rsidRDefault="00B51C1D" w:rsidP="00B51C1D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Νοε</w:t>
            </w: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24/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Οκτ</w:t>
            </w: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24</w:t>
            </w:r>
          </w:p>
        </w:tc>
        <w:tc>
          <w:tcPr>
            <w:tcW w:w="1841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6A213EF0" w14:textId="33DE5946" w:rsidR="00B51C1D" w:rsidRPr="00FC45BF" w:rsidRDefault="00B51C1D" w:rsidP="00B51C1D">
            <w:pPr>
              <w:ind w:left="-109" w:hanging="31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Ιαν – </w:t>
            </w:r>
            <w:r w:rsidR="00EA49CE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Νοε</w:t>
            </w: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24/</w:t>
            </w:r>
          </w:p>
          <w:p w14:paraId="70CEE272" w14:textId="5E9B7C42" w:rsidR="00B51C1D" w:rsidRPr="00FC45BF" w:rsidRDefault="00B51C1D" w:rsidP="00B51C1D">
            <w:pPr>
              <w:ind w:left="-109" w:hanging="31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Ιαν – </w:t>
            </w:r>
            <w:r w:rsidR="00EA49CE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Νοε</w:t>
            </w:r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23</w:t>
            </w:r>
          </w:p>
        </w:tc>
      </w:tr>
      <w:tr w:rsidR="00EA49CE" w:rsidRPr="00FC45BF" w14:paraId="43FBF73D" w14:textId="77777777" w:rsidTr="00EA49CE">
        <w:trPr>
          <w:trHeight w:val="510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584BBFCC" w14:textId="77777777" w:rsidR="00EA49CE" w:rsidRPr="00FC45BF" w:rsidRDefault="00EA49CE" w:rsidP="00EA49CE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Τρόφιμα και μη Αλκοολούχα Ποτά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D09E726" w14:textId="09C9E869" w:rsidR="00EA49CE" w:rsidRPr="00FC45BF" w:rsidRDefault="00EA49CE" w:rsidP="00EA49CE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12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7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85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FF5882E" w14:textId="26BAD225" w:rsidR="00EA49CE" w:rsidRPr="00B51C1D" w:rsidRDefault="00EA49CE" w:rsidP="00EA49CE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12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4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96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9760B6C" w14:textId="77777777" w:rsidR="00EA49CE" w:rsidRPr="00FC45BF" w:rsidRDefault="00EA49CE" w:rsidP="00EA49CE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0A12FB6" w14:textId="39B0CC9C" w:rsidR="00EA49CE" w:rsidRPr="00FC45BF" w:rsidRDefault="00EA49CE" w:rsidP="00EA49CE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B51C1D">
              <w:rPr>
                <w:rFonts w:ascii="Verdana" w:hAnsi="Verdana"/>
                <w:color w:val="365F91"/>
                <w:sz w:val="18"/>
                <w:szCs w:val="18"/>
              </w:rPr>
              <w:t>4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B51C1D">
              <w:rPr>
                <w:rFonts w:ascii="Verdana" w:hAnsi="Verdana"/>
                <w:color w:val="365F91"/>
                <w:sz w:val="18"/>
                <w:szCs w:val="18"/>
              </w:rPr>
              <w:t>63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2B02E2A" w14:textId="5AE4F8B4" w:rsidR="00EA49CE" w:rsidRPr="00FC45BF" w:rsidRDefault="00EA49CE" w:rsidP="00EA49CE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-2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26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BE7BAF4" w14:textId="5710B650" w:rsidR="00EA49CE" w:rsidRPr="00FC45BF" w:rsidRDefault="00EA49CE" w:rsidP="00EA49CE">
            <w:pPr>
              <w:ind w:right="60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96</w:t>
            </w:r>
          </w:p>
        </w:tc>
      </w:tr>
      <w:tr w:rsidR="00EA49CE" w:rsidRPr="00FC45BF" w14:paraId="40FB4937" w14:textId="77777777" w:rsidTr="00EA49CE">
        <w:trPr>
          <w:trHeight w:val="510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3448AC6A" w14:textId="77777777" w:rsidR="00EA49CE" w:rsidRPr="00FC45BF" w:rsidRDefault="00EA49CE" w:rsidP="00EA49CE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Αλκοολούχα 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οτά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 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Κ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νός</w:t>
            </w:r>
            <w:proofErr w:type="spellEnd"/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30B1C66" w14:textId="02B4181B" w:rsidR="00EA49CE" w:rsidRPr="00FC45BF" w:rsidRDefault="00EA49CE" w:rsidP="00EA49CE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3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69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C4D503E" w14:textId="7FD5368C" w:rsidR="00EA49CE" w:rsidRPr="00B51C1D" w:rsidRDefault="00EA49CE" w:rsidP="00EA49CE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3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78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7D0C3688" w14:textId="77777777" w:rsidR="00EA49CE" w:rsidRPr="00FC45BF" w:rsidRDefault="00EA49CE" w:rsidP="00EA49CE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89501B5" w14:textId="231689D2" w:rsidR="00EA49CE" w:rsidRPr="00FC45BF" w:rsidRDefault="00EA49CE" w:rsidP="00EA49CE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B51C1D">
              <w:rPr>
                <w:rFonts w:ascii="Verdana" w:hAnsi="Verdana"/>
                <w:color w:val="365F91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B51C1D">
              <w:rPr>
                <w:rFonts w:ascii="Verdana" w:hAnsi="Verdana"/>
                <w:color w:val="365F91"/>
                <w:sz w:val="18"/>
                <w:szCs w:val="18"/>
              </w:rPr>
              <w:t>14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76F51CC" w14:textId="711AAD9A" w:rsidR="00EA49CE" w:rsidRPr="00FC45BF" w:rsidRDefault="00EA49CE" w:rsidP="00EA49CE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09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4A1DF2B" w14:textId="64B6BDCA" w:rsidR="00EA49CE" w:rsidRPr="00FC45BF" w:rsidRDefault="00EA49CE" w:rsidP="00EA49CE">
            <w:pPr>
              <w:ind w:right="60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03</w:t>
            </w:r>
          </w:p>
        </w:tc>
      </w:tr>
      <w:tr w:rsidR="00EA49CE" w:rsidRPr="00FC45BF" w14:paraId="30CC1D12" w14:textId="77777777" w:rsidTr="00EA49CE">
        <w:trPr>
          <w:trHeight w:val="374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3349F99" w14:textId="77777777" w:rsidR="00EA49CE" w:rsidRPr="00FC45BF" w:rsidRDefault="00EA49CE" w:rsidP="00EA49CE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Ένδυση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 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Υ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όδηση</w:t>
            </w:r>
            <w:proofErr w:type="spellEnd"/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14DB512E" w14:textId="679DB499" w:rsidR="00EA49CE" w:rsidRPr="00FC45BF" w:rsidRDefault="00EA49CE" w:rsidP="00EA49CE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5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11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CC605B7" w14:textId="02E18F22" w:rsidR="00EA49CE" w:rsidRPr="008E1127" w:rsidRDefault="00EA49CE" w:rsidP="00EA49CE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7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09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3D60A36" w14:textId="77777777" w:rsidR="00EA49CE" w:rsidRPr="00FC45BF" w:rsidRDefault="00EA49CE" w:rsidP="00EA49CE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5526D19" w14:textId="62318F4C" w:rsidR="00EA49CE" w:rsidRPr="00FC45BF" w:rsidRDefault="00EA49CE" w:rsidP="00EA49CE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B51C1D">
              <w:rPr>
                <w:rFonts w:ascii="Verdana" w:hAnsi="Verdana"/>
                <w:color w:val="365F91"/>
                <w:sz w:val="18"/>
                <w:szCs w:val="18"/>
              </w:rPr>
              <w:t>-1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B51C1D">
              <w:rPr>
                <w:rFonts w:ascii="Verdana" w:hAnsi="Verdana"/>
                <w:color w:val="365F91"/>
                <w:sz w:val="18"/>
                <w:szCs w:val="18"/>
              </w:rPr>
              <w:t>85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6300365" w14:textId="6F36BDC3" w:rsidR="00EA49CE" w:rsidRPr="00FC45BF" w:rsidRDefault="00EA49CE" w:rsidP="00EA49CE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88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AFEECB8" w14:textId="7A78C7AC" w:rsidR="00EA49CE" w:rsidRPr="00FC45BF" w:rsidRDefault="00EA49CE" w:rsidP="00EA49CE">
            <w:pPr>
              <w:ind w:right="60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04</w:t>
            </w:r>
          </w:p>
        </w:tc>
      </w:tr>
      <w:tr w:rsidR="00EA49CE" w:rsidRPr="00FC45BF" w14:paraId="64A249B5" w14:textId="77777777" w:rsidTr="00EA49CE">
        <w:trPr>
          <w:trHeight w:val="680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2184074B" w14:textId="77777777" w:rsidR="00EA49CE" w:rsidRPr="00FC45BF" w:rsidRDefault="00EA49CE" w:rsidP="00EA49CE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Στέγαση, Ύδρευση, Ηλεκτρισμός και Υγραέριο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61189439" w14:textId="614A5B9F" w:rsidR="00EA49CE" w:rsidRPr="00FC45BF" w:rsidRDefault="00EA49CE" w:rsidP="00EA49CE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14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5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74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6FB2F98" w14:textId="0CDBDE14" w:rsidR="00EA49CE" w:rsidRPr="00B51C1D" w:rsidRDefault="00EA49CE" w:rsidP="00EA49CE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14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6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08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D5D885F" w14:textId="77777777" w:rsidR="00EA49CE" w:rsidRPr="00FC45BF" w:rsidRDefault="00EA49CE" w:rsidP="00EA49CE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845A085" w14:textId="03891F7C" w:rsidR="00EA49CE" w:rsidRPr="00FC45BF" w:rsidRDefault="00EA49CE" w:rsidP="00EA49CE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B51C1D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B51C1D">
              <w:rPr>
                <w:rFonts w:ascii="Verdana" w:hAnsi="Verdana"/>
                <w:color w:val="365F91"/>
                <w:sz w:val="18"/>
                <w:szCs w:val="18"/>
              </w:rPr>
              <w:t>48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22BD978" w14:textId="3B05A485" w:rsidR="00EA49CE" w:rsidRPr="00FC45BF" w:rsidRDefault="00EA49CE" w:rsidP="00EA49CE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23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742B18D" w14:textId="3078245A" w:rsidR="00EA49CE" w:rsidRPr="00FC45BF" w:rsidRDefault="00EA49CE" w:rsidP="00EA49CE">
            <w:pPr>
              <w:ind w:right="60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16</w:t>
            </w:r>
          </w:p>
        </w:tc>
      </w:tr>
      <w:tr w:rsidR="00EA49CE" w:rsidRPr="00FC45BF" w14:paraId="3A7635E9" w14:textId="77777777" w:rsidTr="00EA49CE">
        <w:trPr>
          <w:trHeight w:val="765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</w:tcBorders>
            <w:shd w:val="clear" w:color="FFFFFF" w:fill="FFFFFF"/>
            <w:vAlign w:val="center"/>
            <w:hideMark/>
          </w:tcPr>
          <w:p w14:paraId="40F29CA4" w14:textId="77777777" w:rsidR="00EA49CE" w:rsidRPr="00FC45BF" w:rsidRDefault="00EA49CE" w:rsidP="00EA49CE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Επίπλωση, Οικιακός Εξοπλισμός και 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Προΐόντα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Καθαρισμού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36700B08" w14:textId="1841DFC6" w:rsidR="00EA49CE" w:rsidRPr="00FC45BF" w:rsidRDefault="00EA49CE" w:rsidP="00EA49CE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105,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67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3640861" w14:textId="36741173" w:rsidR="00EA49CE" w:rsidRPr="00B51C1D" w:rsidRDefault="00EA49CE" w:rsidP="00EA49CE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105,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20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2FA215E1" w14:textId="77777777" w:rsidR="00EA49CE" w:rsidRPr="00FC45BF" w:rsidRDefault="00EA49CE" w:rsidP="00EA49CE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82E2BC1" w14:textId="77F78B9B" w:rsidR="00EA49CE" w:rsidRPr="00FC45BF" w:rsidRDefault="00EA49CE" w:rsidP="00EA49CE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B51C1D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B51C1D">
              <w:rPr>
                <w:rFonts w:ascii="Verdana" w:hAnsi="Verdana"/>
                <w:color w:val="365F91"/>
                <w:sz w:val="18"/>
                <w:szCs w:val="18"/>
              </w:rPr>
              <w:t>16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E519535" w14:textId="7C852EED" w:rsidR="00EA49CE" w:rsidRPr="00FC45BF" w:rsidRDefault="00EA49CE" w:rsidP="00EA49CE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44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AD5E31A" w14:textId="1978667B" w:rsidR="00EA49CE" w:rsidRPr="00FC45BF" w:rsidRDefault="00EA49CE" w:rsidP="00EA49CE">
            <w:pPr>
              <w:ind w:right="60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46</w:t>
            </w:r>
          </w:p>
        </w:tc>
      </w:tr>
      <w:tr w:rsidR="00EA49CE" w:rsidRPr="00FC45BF" w14:paraId="3359A3C0" w14:textId="77777777" w:rsidTr="00EA49CE">
        <w:trPr>
          <w:trHeight w:val="375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3FF00D6" w14:textId="77777777" w:rsidR="00EA49CE" w:rsidRPr="00FC45BF" w:rsidRDefault="00EA49CE" w:rsidP="00EA49CE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Υγεί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8CFFFBD" w14:textId="52E77697" w:rsidR="00EA49CE" w:rsidRPr="00FC45BF" w:rsidRDefault="00EA49CE" w:rsidP="00EA49CE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106,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95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E92C202" w14:textId="0D1DB63B" w:rsidR="00EA49CE" w:rsidRPr="008E1127" w:rsidRDefault="00EA49CE" w:rsidP="00EA49CE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106,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96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F29CA74" w14:textId="77777777" w:rsidR="00EA49CE" w:rsidRPr="00FC45BF" w:rsidRDefault="00EA49CE" w:rsidP="00EA49CE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1488434" w14:textId="12277C5A" w:rsidR="00EA49CE" w:rsidRPr="00FC45BF" w:rsidRDefault="00EA49CE" w:rsidP="00EA49CE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B51C1D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B51C1D">
              <w:rPr>
                <w:rFonts w:ascii="Verdana" w:hAnsi="Verdana"/>
                <w:color w:val="365F91"/>
                <w:sz w:val="18"/>
                <w:szCs w:val="18"/>
              </w:rPr>
              <w:t>44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604A457" w14:textId="4525F46B" w:rsidR="00EA49CE" w:rsidRPr="00FC45BF" w:rsidRDefault="00EA49CE" w:rsidP="00EA49CE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01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B219B8F" w14:textId="1C534C93" w:rsidR="00EA49CE" w:rsidRPr="00FC45BF" w:rsidRDefault="00EA49CE" w:rsidP="00EA49CE">
            <w:pPr>
              <w:ind w:right="60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23</w:t>
            </w:r>
          </w:p>
        </w:tc>
      </w:tr>
      <w:tr w:rsidR="00EA49CE" w:rsidRPr="00FC45BF" w14:paraId="299E5490" w14:textId="77777777" w:rsidTr="00EA49CE">
        <w:trPr>
          <w:trHeight w:val="374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0EBDEAF" w14:textId="77777777" w:rsidR="00EA49CE" w:rsidRPr="00FC45BF" w:rsidRDefault="00EA49CE" w:rsidP="00EA49CE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Μετ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αφορές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3CAA28F" w14:textId="3ECCB8AA" w:rsidR="00EA49CE" w:rsidRPr="00FC45BF" w:rsidRDefault="00EA49CE" w:rsidP="00EA49CE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3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,8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3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FCB30A0" w14:textId="0C696939" w:rsidR="00EA49CE" w:rsidRPr="008E1127" w:rsidRDefault="00EA49CE" w:rsidP="00EA49CE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4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0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8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1153A73" w14:textId="77777777" w:rsidR="00EA49CE" w:rsidRPr="00FC45BF" w:rsidRDefault="00EA49CE" w:rsidP="00EA49CE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6701CD3" w14:textId="0F2724B3" w:rsidR="00EA49CE" w:rsidRPr="00FC45BF" w:rsidRDefault="00EA49CE" w:rsidP="00EA49CE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B51C1D">
              <w:rPr>
                <w:rFonts w:ascii="Verdana" w:hAnsi="Verdana"/>
                <w:color w:val="365F91"/>
                <w:sz w:val="18"/>
                <w:szCs w:val="18"/>
              </w:rPr>
              <w:t>-1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B51C1D">
              <w:rPr>
                <w:rFonts w:ascii="Verdana" w:hAnsi="Verdana"/>
                <w:color w:val="365F91"/>
                <w:sz w:val="18"/>
                <w:szCs w:val="18"/>
              </w:rPr>
              <w:t>84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60EBCB1" w14:textId="7C254A40" w:rsidR="00EA49CE" w:rsidRPr="00FC45BF" w:rsidRDefault="00EA49CE" w:rsidP="00EA49CE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22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E69BDAD" w14:textId="01F6FC4A" w:rsidR="00EA49CE" w:rsidRPr="00FC45BF" w:rsidRDefault="00EA49CE" w:rsidP="00EA49CE">
            <w:pPr>
              <w:ind w:right="60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63</w:t>
            </w:r>
          </w:p>
        </w:tc>
      </w:tr>
      <w:tr w:rsidR="00EA49CE" w:rsidRPr="00FC45BF" w14:paraId="79C16F2A" w14:textId="77777777" w:rsidTr="00EA49CE">
        <w:trPr>
          <w:trHeight w:val="375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A1EF36D" w14:textId="77777777" w:rsidR="00EA49CE" w:rsidRPr="00FC45BF" w:rsidRDefault="00EA49CE" w:rsidP="00EA49CE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ικοινωνίες</w:t>
            </w:r>
            <w:proofErr w:type="spellEnd"/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506D71A4" w14:textId="6283636D" w:rsidR="00EA49CE" w:rsidRPr="00FC45BF" w:rsidRDefault="00EA49CE" w:rsidP="00EA49CE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91,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62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1AD80A4" w14:textId="49903E49" w:rsidR="00EA49CE" w:rsidRPr="00B51C1D" w:rsidRDefault="00EA49CE" w:rsidP="00EA49CE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91,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55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482CC1CF" w14:textId="77777777" w:rsidR="00EA49CE" w:rsidRPr="00FC45BF" w:rsidRDefault="00EA49CE" w:rsidP="00EA49CE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813FECF" w14:textId="6353A658" w:rsidR="00EA49CE" w:rsidRPr="00FC45BF" w:rsidRDefault="00EA49CE" w:rsidP="00EA49CE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B51C1D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B51C1D">
              <w:rPr>
                <w:rFonts w:ascii="Verdana" w:hAnsi="Verdana"/>
                <w:color w:val="365F91"/>
                <w:sz w:val="18"/>
                <w:szCs w:val="18"/>
              </w:rPr>
              <w:t>25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32233885" w14:textId="6943B118" w:rsidR="00EA49CE" w:rsidRPr="00FC45BF" w:rsidRDefault="00EA49CE" w:rsidP="00EA49CE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08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C3C20C2" w14:textId="11D48BDD" w:rsidR="00EA49CE" w:rsidRPr="00FC45BF" w:rsidRDefault="00EA49CE" w:rsidP="00EA49CE">
            <w:pPr>
              <w:ind w:right="60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55</w:t>
            </w:r>
          </w:p>
        </w:tc>
      </w:tr>
      <w:tr w:rsidR="00EA49CE" w:rsidRPr="00FC45BF" w14:paraId="5C3CEC2A" w14:textId="77777777" w:rsidTr="00EA49CE">
        <w:trPr>
          <w:trHeight w:val="374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CD2A369" w14:textId="77777777" w:rsidR="00EA49CE" w:rsidRPr="00FC45BF" w:rsidRDefault="00EA49CE" w:rsidP="00EA49CE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Αν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αψυχή και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ολιτισμός</w:t>
            </w:r>
            <w:proofErr w:type="spellEnd"/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7D39E15" w14:textId="0195157B" w:rsidR="00EA49CE" w:rsidRPr="00FC45BF" w:rsidRDefault="00EA49CE" w:rsidP="00EA49CE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6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57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C64422D" w14:textId="27DB295D" w:rsidR="00EA49CE" w:rsidRPr="00B51C1D" w:rsidRDefault="00EA49CE" w:rsidP="00EA49CE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6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60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D4B9B2E" w14:textId="77777777" w:rsidR="00EA49CE" w:rsidRPr="00FC45BF" w:rsidRDefault="00EA49CE" w:rsidP="00EA49CE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88CFD98" w14:textId="67CDD514" w:rsidR="00EA49CE" w:rsidRPr="00FC45BF" w:rsidRDefault="00EA49CE" w:rsidP="00EA49CE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B51C1D">
              <w:rPr>
                <w:rFonts w:ascii="Verdana" w:hAnsi="Verdana"/>
                <w:color w:val="365F91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B51C1D">
              <w:rPr>
                <w:rFonts w:ascii="Verdana" w:hAnsi="Verdana"/>
                <w:color w:val="365F91"/>
                <w:sz w:val="18"/>
                <w:szCs w:val="18"/>
              </w:rPr>
              <w:t>30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43E96771" w14:textId="2EA34FED" w:rsidR="00EA49CE" w:rsidRPr="00FC45BF" w:rsidRDefault="00EA49CE" w:rsidP="00EA49CE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03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C322EDE" w14:textId="48D4E79A" w:rsidR="00EA49CE" w:rsidRPr="00FC45BF" w:rsidRDefault="00EA49CE" w:rsidP="00EA49CE">
            <w:pPr>
              <w:ind w:right="60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17</w:t>
            </w:r>
          </w:p>
        </w:tc>
      </w:tr>
      <w:tr w:rsidR="00EA49CE" w:rsidRPr="00FC45BF" w14:paraId="23CBF3D1" w14:textId="77777777" w:rsidTr="00EA49CE">
        <w:trPr>
          <w:trHeight w:val="374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83CE84B" w14:textId="77777777" w:rsidR="00EA49CE" w:rsidRPr="00FC45BF" w:rsidRDefault="00EA49CE" w:rsidP="00EA49CE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Εκ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παίδευση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43A84157" w14:textId="0FBD3965" w:rsidR="00EA49CE" w:rsidRPr="00FC45BF" w:rsidRDefault="00EA49CE" w:rsidP="00EA49CE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6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18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8DF7402" w14:textId="269767C5" w:rsidR="00EA49CE" w:rsidRPr="008E1127" w:rsidRDefault="00EA49CE" w:rsidP="00EA49CE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6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18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1F723C8E" w14:textId="77777777" w:rsidR="00EA49CE" w:rsidRPr="00FC45BF" w:rsidRDefault="00EA49CE" w:rsidP="00EA49CE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7C89E687" w14:textId="0473592D" w:rsidR="00EA49CE" w:rsidRPr="00FC45BF" w:rsidRDefault="00EA49CE" w:rsidP="00EA49CE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B51C1D">
              <w:rPr>
                <w:rFonts w:ascii="Verdana" w:hAnsi="Verdana"/>
                <w:color w:val="365F91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B51C1D">
              <w:rPr>
                <w:rFonts w:ascii="Verdana" w:hAnsi="Verdana"/>
                <w:color w:val="365F91"/>
                <w:sz w:val="18"/>
                <w:szCs w:val="18"/>
              </w:rPr>
              <w:t>82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515DCC2B" w14:textId="62D817DB" w:rsidR="00EA49CE" w:rsidRPr="00FC45BF" w:rsidRDefault="00EA49CE" w:rsidP="00EA49CE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00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66E62AB" w14:textId="13469FDD" w:rsidR="00EA49CE" w:rsidRPr="00FC45BF" w:rsidRDefault="00EA49CE" w:rsidP="00EA49CE">
            <w:pPr>
              <w:ind w:right="60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2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72</w:t>
            </w:r>
          </w:p>
        </w:tc>
      </w:tr>
      <w:tr w:rsidR="00EA49CE" w:rsidRPr="00FC45BF" w14:paraId="00E44953" w14:textId="77777777" w:rsidTr="00EA49CE">
        <w:trPr>
          <w:trHeight w:val="510"/>
          <w:jc w:val="center"/>
        </w:trPr>
        <w:tc>
          <w:tcPr>
            <w:tcW w:w="2412" w:type="dxa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2556D85" w14:textId="77777777" w:rsidR="00EA49CE" w:rsidRPr="00FC45BF" w:rsidRDefault="00EA49CE" w:rsidP="00EA49CE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Εστι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ατόρια και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Ξ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ενοδοχεί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1555" w:type="dxa"/>
            <w:tcBorders>
              <w:top w:val="nil"/>
              <w:bottom w:val="nil"/>
            </w:tcBorders>
            <w:shd w:val="clear" w:color="000000" w:fill="FFFFFF"/>
            <w:vAlign w:val="center"/>
            <w:hideMark/>
          </w:tcPr>
          <w:p w14:paraId="025763EF" w14:textId="2EA5BF3F" w:rsidR="00EA49CE" w:rsidRPr="00FC45BF" w:rsidRDefault="00EA49CE" w:rsidP="00EA49CE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30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0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4</w:t>
            </w:r>
          </w:p>
        </w:tc>
        <w:tc>
          <w:tcPr>
            <w:tcW w:w="1418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6DA1686A" w14:textId="1C677947" w:rsidR="00EA49CE" w:rsidRPr="00B51C1D" w:rsidRDefault="00EA49CE" w:rsidP="00EA49CE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29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76</w:t>
            </w:r>
          </w:p>
        </w:tc>
        <w:tc>
          <w:tcPr>
            <w:tcW w:w="282" w:type="dxa"/>
            <w:tcBorders>
              <w:top w:val="nil"/>
              <w:bottom w:val="nil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642FAB3C" w14:textId="77777777" w:rsidR="00EA49CE" w:rsidRPr="00FC45BF" w:rsidRDefault="00EA49CE" w:rsidP="00EA49CE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13C90FF7" w14:textId="2EEA0BAB" w:rsidR="00EA49CE" w:rsidRPr="00FC45BF" w:rsidRDefault="00EA49CE" w:rsidP="00EA49CE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B51C1D">
              <w:rPr>
                <w:rFonts w:ascii="Verdana" w:hAnsi="Verdana"/>
                <w:color w:val="365F91"/>
                <w:sz w:val="18"/>
                <w:szCs w:val="18"/>
              </w:rPr>
              <w:t>4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B51C1D">
              <w:rPr>
                <w:rFonts w:ascii="Verdana" w:hAnsi="Verdana"/>
                <w:color w:val="365F91"/>
                <w:sz w:val="18"/>
                <w:szCs w:val="18"/>
              </w:rPr>
              <w:t>22</w:t>
            </w:r>
          </w:p>
        </w:tc>
        <w:tc>
          <w:tcPr>
            <w:tcW w:w="142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2376312D" w14:textId="00DB5FE0" w:rsidR="00EA49CE" w:rsidRPr="00FC45BF" w:rsidRDefault="00EA49CE" w:rsidP="00EA49CE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22</w:t>
            </w:r>
          </w:p>
        </w:tc>
        <w:tc>
          <w:tcPr>
            <w:tcW w:w="1841" w:type="dxa"/>
            <w:tcBorders>
              <w:top w:val="nil"/>
              <w:bottom w:val="nil"/>
            </w:tcBorders>
            <w:shd w:val="clear" w:color="000000" w:fill="FFFFFF"/>
            <w:vAlign w:val="center"/>
          </w:tcPr>
          <w:p w14:paraId="084958E7" w14:textId="593BA179" w:rsidR="00EA49CE" w:rsidRPr="00FC45BF" w:rsidRDefault="00EA49CE" w:rsidP="00EA49CE">
            <w:pPr>
              <w:ind w:right="60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5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53</w:t>
            </w:r>
          </w:p>
        </w:tc>
      </w:tr>
      <w:tr w:rsidR="00EA49CE" w:rsidRPr="00FC45BF" w14:paraId="0ABA4BC7" w14:textId="77777777" w:rsidTr="00EA49CE">
        <w:trPr>
          <w:trHeight w:val="510"/>
          <w:jc w:val="center"/>
        </w:trPr>
        <w:tc>
          <w:tcPr>
            <w:tcW w:w="2412" w:type="dxa"/>
            <w:tcBorders>
              <w:top w:val="nil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0DD997E" w14:textId="77777777" w:rsidR="00EA49CE" w:rsidRPr="00FC45BF" w:rsidRDefault="00EA49CE" w:rsidP="00EA49CE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Άλλ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 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Α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γα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θά</w:t>
            </w:r>
            <w:proofErr w:type="spellEnd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Υ</w:t>
            </w:r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</w:t>
            </w:r>
            <w:proofErr w:type="spellStart"/>
            <w:r w:rsidRPr="00FC45BF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1555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  <w:hideMark/>
          </w:tcPr>
          <w:p w14:paraId="60565449" w14:textId="3FAE7264" w:rsidR="00EA49CE" w:rsidRPr="00FC45BF" w:rsidRDefault="00EA49CE" w:rsidP="00EA49CE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2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44</w:t>
            </w:r>
          </w:p>
        </w:tc>
        <w:tc>
          <w:tcPr>
            <w:tcW w:w="1418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6AEC4DD5" w14:textId="581332CA" w:rsidR="00EA49CE" w:rsidRPr="008E1127" w:rsidRDefault="00EA49CE" w:rsidP="00EA49CE">
            <w:pPr>
              <w:ind w:right="227"/>
              <w:jc w:val="right"/>
              <w:rPr>
                <w:rFonts w:ascii="Verdana" w:hAnsi="Verdana"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11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1</w:t>
            </w:r>
            <w:r w:rsidRPr="00FC45BF"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>
              <w:rPr>
                <w:rFonts w:ascii="Verdana" w:hAnsi="Verdana"/>
                <w:color w:val="365F91"/>
                <w:sz w:val="18"/>
                <w:szCs w:val="18"/>
                <w:lang w:val="el-GR"/>
              </w:rPr>
              <w:t>94</w:t>
            </w:r>
          </w:p>
        </w:tc>
        <w:tc>
          <w:tcPr>
            <w:tcW w:w="282" w:type="dxa"/>
            <w:tcBorders>
              <w:top w:val="nil"/>
              <w:bottom w:val="single" w:sz="4" w:space="0" w:color="366092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0672D201" w14:textId="77777777" w:rsidR="00EA49CE" w:rsidRPr="00FC45BF" w:rsidRDefault="00EA49CE" w:rsidP="00EA49CE">
            <w:pPr>
              <w:ind w:right="28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7DEF19F2" w14:textId="469316CB" w:rsidR="00EA49CE" w:rsidRPr="00FC45BF" w:rsidRDefault="00EA49CE" w:rsidP="00EA49CE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B51C1D">
              <w:rPr>
                <w:rFonts w:ascii="Verdana" w:hAnsi="Verdana"/>
                <w:color w:val="365F91"/>
                <w:sz w:val="18"/>
                <w:szCs w:val="18"/>
              </w:rPr>
              <w:t>1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B51C1D">
              <w:rPr>
                <w:rFonts w:ascii="Verdana" w:hAnsi="Verdana"/>
                <w:color w:val="365F91"/>
                <w:sz w:val="18"/>
                <w:szCs w:val="18"/>
              </w:rPr>
              <w:t>98</w:t>
            </w:r>
          </w:p>
        </w:tc>
        <w:tc>
          <w:tcPr>
            <w:tcW w:w="1421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58C351D9" w14:textId="525A9193" w:rsidR="00EA49CE" w:rsidRPr="00FC45BF" w:rsidRDefault="00EA49CE" w:rsidP="00EA49CE">
            <w:pPr>
              <w:ind w:right="340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-0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44</w:t>
            </w:r>
          </w:p>
        </w:tc>
        <w:tc>
          <w:tcPr>
            <w:tcW w:w="1841" w:type="dxa"/>
            <w:tcBorders>
              <w:top w:val="nil"/>
              <w:bottom w:val="single" w:sz="4" w:space="0" w:color="366092"/>
            </w:tcBorders>
            <w:shd w:val="clear" w:color="000000" w:fill="FFFFFF"/>
            <w:vAlign w:val="center"/>
          </w:tcPr>
          <w:p w14:paraId="5827D243" w14:textId="5B7E591B" w:rsidR="00EA49CE" w:rsidRPr="00FC45BF" w:rsidRDefault="00EA49CE" w:rsidP="00EA49CE">
            <w:pPr>
              <w:ind w:right="604"/>
              <w:jc w:val="right"/>
              <w:rPr>
                <w:rFonts w:ascii="Verdana" w:hAnsi="Verdana"/>
                <w:color w:val="365F91"/>
                <w:sz w:val="18"/>
                <w:szCs w:val="18"/>
              </w:rPr>
            </w:pP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3</w:t>
            </w:r>
            <w:r>
              <w:rPr>
                <w:rFonts w:ascii="Verdana" w:hAnsi="Verdana"/>
                <w:color w:val="365F91"/>
                <w:sz w:val="18"/>
                <w:szCs w:val="18"/>
              </w:rPr>
              <w:t>,</w:t>
            </w:r>
            <w:r w:rsidRPr="00EA49CE">
              <w:rPr>
                <w:rFonts w:ascii="Verdana" w:hAnsi="Verdana"/>
                <w:color w:val="365F91"/>
                <w:sz w:val="18"/>
                <w:szCs w:val="18"/>
              </w:rPr>
              <w:t>02</w:t>
            </w:r>
          </w:p>
        </w:tc>
      </w:tr>
      <w:tr w:rsidR="00EA49CE" w:rsidRPr="00FC45BF" w14:paraId="7B6D317E" w14:textId="77777777" w:rsidTr="00EA49CE">
        <w:trPr>
          <w:trHeight w:hRule="exact" w:val="567"/>
          <w:jc w:val="center"/>
        </w:trPr>
        <w:tc>
          <w:tcPr>
            <w:tcW w:w="2412" w:type="dxa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27F9D94D" w14:textId="77777777" w:rsidR="00EA49CE" w:rsidRPr="00FC45BF" w:rsidRDefault="00EA49CE" w:rsidP="00EA49CE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proofErr w:type="spellStart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Γενικός</w:t>
            </w:r>
            <w:proofErr w:type="spellEnd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Δείκτης</w:t>
            </w:r>
            <w:proofErr w:type="spellEnd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Τιμών</w:t>
            </w:r>
            <w:proofErr w:type="spellEnd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Κατανα</w:t>
            </w:r>
            <w:proofErr w:type="spellStart"/>
            <w:r w:rsidRPr="00FC45BF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λωτή</w:t>
            </w:r>
            <w:proofErr w:type="spellEnd"/>
          </w:p>
        </w:tc>
        <w:tc>
          <w:tcPr>
            <w:tcW w:w="1555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371227CE" w14:textId="6CAE3375" w:rsidR="00EA49CE" w:rsidRPr="00FC45BF" w:rsidRDefault="00EA49CE" w:rsidP="00EA49CE">
            <w:pPr>
              <w:ind w:right="227"/>
              <w:jc w:val="right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118,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  <w:lang w:val="el-GR"/>
              </w:rPr>
              <w:t>64</w:t>
            </w:r>
          </w:p>
        </w:tc>
        <w:tc>
          <w:tcPr>
            <w:tcW w:w="1418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E8DD297" w14:textId="7FDCEB09" w:rsidR="00EA49CE" w:rsidRPr="00B51C1D" w:rsidRDefault="00EA49CE" w:rsidP="00EA49CE">
            <w:pPr>
              <w:ind w:right="227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FC45BF"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  <w:t>118,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  <w:lang w:val="el-GR"/>
              </w:rPr>
              <w:t>21</w:t>
            </w:r>
          </w:p>
        </w:tc>
        <w:tc>
          <w:tcPr>
            <w:tcW w:w="282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tcMar>
              <w:left w:w="0" w:type="dxa"/>
              <w:right w:w="0" w:type="dxa"/>
            </w:tcMar>
            <w:vAlign w:val="center"/>
          </w:tcPr>
          <w:p w14:paraId="31D4D302" w14:textId="77777777" w:rsidR="00EA49CE" w:rsidRPr="00FC45BF" w:rsidRDefault="00EA49CE" w:rsidP="00EA49CE">
            <w:pPr>
              <w:ind w:right="284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</w:rPr>
            </w:pPr>
          </w:p>
        </w:tc>
        <w:tc>
          <w:tcPr>
            <w:tcW w:w="1276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4CAFB9A2" w14:textId="3EF672D3" w:rsidR="00EA49CE" w:rsidRPr="00B51C1D" w:rsidRDefault="00EA49CE" w:rsidP="00EA49CE">
            <w:pPr>
              <w:ind w:right="340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  <w:lang w:val="el-GR"/>
              </w:rPr>
              <w:t>1,46</w:t>
            </w:r>
          </w:p>
        </w:tc>
        <w:tc>
          <w:tcPr>
            <w:tcW w:w="1421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0C7167C0" w14:textId="139E87BF" w:rsidR="00EA49CE" w:rsidRPr="00EA49CE" w:rsidRDefault="00EA49CE" w:rsidP="00EA49CE">
            <w:pPr>
              <w:ind w:right="340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A49CE">
              <w:rPr>
                <w:rFonts w:ascii="Verdana" w:hAnsi="Verdana"/>
                <w:b/>
                <w:bCs/>
                <w:color w:val="365F91"/>
                <w:sz w:val="18"/>
                <w:szCs w:val="18"/>
                <w:lang w:val="el-GR"/>
              </w:rPr>
              <w:t>-0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  <w:lang w:val="el-GR"/>
              </w:rPr>
              <w:t>,</w:t>
            </w:r>
            <w:r w:rsidRPr="00EA49CE">
              <w:rPr>
                <w:rFonts w:ascii="Verdana" w:hAnsi="Verdana"/>
                <w:b/>
                <w:bCs/>
                <w:color w:val="365F91"/>
                <w:sz w:val="18"/>
                <w:szCs w:val="18"/>
                <w:lang w:val="el-GR"/>
              </w:rPr>
              <w:t>36</w:t>
            </w:r>
          </w:p>
        </w:tc>
        <w:tc>
          <w:tcPr>
            <w:tcW w:w="1841" w:type="dxa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75A5F9CD" w14:textId="47CCFE72" w:rsidR="00EA49CE" w:rsidRPr="00EA49CE" w:rsidRDefault="00EA49CE" w:rsidP="00EA49CE">
            <w:pPr>
              <w:ind w:right="604"/>
              <w:jc w:val="right"/>
              <w:rPr>
                <w:rFonts w:ascii="Verdana" w:hAnsi="Verdana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A49CE">
              <w:rPr>
                <w:rFonts w:ascii="Verdana" w:hAnsi="Verdana"/>
                <w:b/>
                <w:bCs/>
                <w:color w:val="365F91"/>
                <w:sz w:val="18"/>
                <w:szCs w:val="18"/>
                <w:lang w:val="el-GR"/>
              </w:rPr>
              <w:t>1</w:t>
            </w:r>
            <w:r>
              <w:rPr>
                <w:rFonts w:ascii="Verdana" w:hAnsi="Verdana"/>
                <w:b/>
                <w:bCs/>
                <w:color w:val="365F91"/>
                <w:sz w:val="18"/>
                <w:szCs w:val="18"/>
                <w:lang w:val="el-GR"/>
              </w:rPr>
              <w:t>,</w:t>
            </w:r>
            <w:r w:rsidRPr="00EA49CE">
              <w:rPr>
                <w:rFonts w:ascii="Verdana" w:hAnsi="Verdana"/>
                <w:b/>
                <w:bCs/>
                <w:color w:val="365F91"/>
                <w:sz w:val="18"/>
                <w:szCs w:val="18"/>
                <w:lang w:val="el-GR"/>
              </w:rPr>
              <w:t>73</w:t>
            </w:r>
          </w:p>
        </w:tc>
      </w:tr>
    </w:tbl>
    <w:p w14:paraId="7369EA09" w14:textId="77777777" w:rsidR="00D45C33" w:rsidRPr="00E21D72" w:rsidRDefault="00D45C33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tbl>
      <w:tblPr>
        <w:tblW w:w="4953" w:type="pct"/>
        <w:jc w:val="center"/>
        <w:tblLayout w:type="fixed"/>
        <w:tblLook w:val="04A0" w:firstRow="1" w:lastRow="0" w:firstColumn="1" w:lastColumn="0" w:noHBand="0" w:noVBand="1"/>
      </w:tblPr>
      <w:tblGrid>
        <w:gridCol w:w="3074"/>
        <w:gridCol w:w="1911"/>
        <w:gridCol w:w="2319"/>
        <w:gridCol w:w="2194"/>
      </w:tblGrid>
      <w:tr w:rsidR="006022B5" w:rsidRPr="00E21D72" w14:paraId="1B1E2683" w14:textId="77777777" w:rsidTr="00F45D26">
        <w:trPr>
          <w:trHeight w:hRule="exact" w:val="340"/>
          <w:jc w:val="center"/>
        </w:trPr>
        <w:tc>
          <w:tcPr>
            <w:tcW w:w="5000" w:type="pct"/>
            <w:gridSpan w:val="4"/>
            <w:tcBorders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CB4B204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lastRenderedPageBreak/>
              <w:t>Πίνακας 2</w:t>
            </w:r>
          </w:p>
        </w:tc>
      </w:tr>
      <w:tr w:rsidR="006022B5" w:rsidRPr="00E21D72" w14:paraId="67DAE050" w14:textId="77777777" w:rsidTr="00F45D26">
        <w:trPr>
          <w:trHeight w:val="315"/>
          <w:jc w:val="center"/>
        </w:trPr>
        <w:tc>
          <w:tcPr>
            <w:tcW w:w="1618" w:type="pct"/>
            <w:vMerge w:val="restar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6EB82802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Οικονομικές Κατηγορίες</w:t>
            </w:r>
          </w:p>
        </w:tc>
        <w:tc>
          <w:tcPr>
            <w:tcW w:w="1006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9E3CC50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Συντελεστές Στάθμισης</w:t>
            </w:r>
          </w:p>
        </w:tc>
        <w:tc>
          <w:tcPr>
            <w:tcW w:w="2376" w:type="pct"/>
            <w:gridSpan w:val="2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2321EF02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>Μ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  <w:t>εταβολές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  <w:t xml:space="preserve"> (%)</w:t>
            </w:r>
          </w:p>
        </w:tc>
      </w:tr>
      <w:tr w:rsidR="00131127" w:rsidRPr="00E21D72" w14:paraId="23C7C237" w14:textId="77777777" w:rsidTr="00B359F9">
        <w:trPr>
          <w:trHeight w:val="700"/>
          <w:jc w:val="center"/>
        </w:trPr>
        <w:tc>
          <w:tcPr>
            <w:tcW w:w="1618" w:type="pct"/>
            <w:vMerge/>
            <w:tcBorders>
              <w:top w:val="single" w:sz="4" w:space="0" w:color="366092"/>
              <w:left w:val="nil"/>
              <w:bottom w:val="single" w:sz="4" w:space="0" w:color="366092"/>
            </w:tcBorders>
            <w:vAlign w:val="center"/>
            <w:hideMark/>
          </w:tcPr>
          <w:p w14:paraId="52DC4CEE" w14:textId="77777777" w:rsidR="00131127" w:rsidRPr="00E21D72" w:rsidRDefault="00131127" w:rsidP="00131127">
            <w:pPr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006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68802791" w14:textId="77777777" w:rsidR="00131127" w:rsidRPr="00E21D72" w:rsidRDefault="00131127" w:rsidP="00131127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</w:p>
        </w:tc>
        <w:tc>
          <w:tcPr>
            <w:tcW w:w="1221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D67E1B9" w14:textId="27E203C3" w:rsidR="00131127" w:rsidRPr="00E21D72" w:rsidRDefault="00B64CC0" w:rsidP="00131127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Νοε</w:t>
            </w:r>
            <w:r w:rsidR="00131127">
              <w:rPr>
                <w:rFonts w:ascii="Verdana" w:hAnsi="Verdana" w:cs="Arial"/>
                <w:b/>
                <w:bCs/>
                <w:color w:val="365F91"/>
                <w:sz w:val="18"/>
                <w:szCs w:val="18"/>
              </w:rPr>
              <w:t xml:space="preserve"> 24/ </w:t>
            </w:r>
            <w:r>
              <w:rPr>
                <w:rFonts w:ascii="Verdana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Νοε</w:t>
            </w:r>
            <w:r w:rsidR="00131127">
              <w:rPr>
                <w:rFonts w:ascii="Verdana" w:hAnsi="Verdana" w:cs="Arial"/>
                <w:b/>
                <w:bCs/>
                <w:color w:val="365F91"/>
                <w:sz w:val="18"/>
                <w:szCs w:val="18"/>
              </w:rPr>
              <w:t xml:space="preserve"> 23</w:t>
            </w:r>
          </w:p>
        </w:tc>
        <w:tc>
          <w:tcPr>
            <w:tcW w:w="1155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vAlign w:val="center"/>
            <w:hideMark/>
          </w:tcPr>
          <w:p w14:paraId="68FF435A" w14:textId="769535D3" w:rsidR="00131127" w:rsidRPr="00E21D72" w:rsidRDefault="00B64CC0" w:rsidP="00131127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</w:rPr>
            </w:pPr>
            <w:r>
              <w:rPr>
                <w:rFonts w:ascii="Verdana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Νοε</w:t>
            </w:r>
            <w:r w:rsidR="00131127">
              <w:rPr>
                <w:rFonts w:ascii="Verdana" w:hAnsi="Verdana" w:cs="Arial"/>
                <w:b/>
                <w:bCs/>
                <w:color w:val="365F91"/>
                <w:sz w:val="18"/>
                <w:szCs w:val="18"/>
              </w:rPr>
              <w:t xml:space="preserve"> 24/ </w:t>
            </w:r>
            <w:r>
              <w:rPr>
                <w:rFonts w:ascii="Verdana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Οκτ</w:t>
            </w:r>
            <w:r w:rsidR="00131127">
              <w:rPr>
                <w:rFonts w:ascii="Verdana" w:hAnsi="Verdana" w:cs="Arial"/>
                <w:b/>
                <w:bCs/>
                <w:color w:val="365F91"/>
                <w:sz w:val="18"/>
                <w:szCs w:val="18"/>
              </w:rPr>
              <w:t xml:space="preserve"> 24</w:t>
            </w:r>
          </w:p>
        </w:tc>
      </w:tr>
      <w:tr w:rsidR="008F7BA8" w:rsidRPr="00E21D72" w14:paraId="6B065B03" w14:textId="77777777" w:rsidTr="008F7BA8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1728EBF" w14:textId="77777777" w:rsidR="008F7BA8" w:rsidRPr="00E21D72" w:rsidRDefault="008F7BA8" w:rsidP="008F7BA8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Γεωργικά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Προϊόντ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2DB1C43" w14:textId="77777777" w:rsidR="008F7BA8" w:rsidRPr="00E21D72" w:rsidRDefault="008F7BA8" w:rsidP="008F7BA8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749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0AD81F3E" w14:textId="56FAAAD8" w:rsidR="008F7BA8" w:rsidRPr="00B64CC0" w:rsidRDefault="008F7BA8" w:rsidP="001522DF">
            <w:pPr>
              <w:ind w:right="851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8F7BA8">
              <w:rPr>
                <w:rFonts w:ascii="Verdana" w:hAnsi="Verdana" w:cs="Arial"/>
                <w:color w:val="365F91"/>
                <w:sz w:val="18"/>
                <w:szCs w:val="18"/>
              </w:rPr>
              <w:t>8</w:t>
            </w:r>
            <w:r w:rsidR="003D68D7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8F7BA8">
              <w:rPr>
                <w:rFonts w:ascii="Verdana" w:hAnsi="Verdana" w:cs="Arial"/>
                <w:color w:val="365F91"/>
                <w:sz w:val="18"/>
                <w:szCs w:val="18"/>
              </w:rPr>
              <w:t>91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20334C64" w14:textId="79C20E0E" w:rsidR="008F7BA8" w:rsidRPr="00B64CC0" w:rsidRDefault="008F7BA8" w:rsidP="001522DF">
            <w:pPr>
              <w:ind w:right="851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8F7BA8">
              <w:rPr>
                <w:rFonts w:ascii="Verdana" w:hAnsi="Verdana" w:cs="Arial"/>
                <w:color w:val="365F91"/>
                <w:sz w:val="18"/>
                <w:szCs w:val="18"/>
              </w:rPr>
              <w:t>-4</w:t>
            </w:r>
            <w:r w:rsidR="003D68D7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8F7BA8">
              <w:rPr>
                <w:rFonts w:ascii="Verdana" w:hAnsi="Verdana" w:cs="Arial"/>
                <w:color w:val="365F91"/>
                <w:sz w:val="18"/>
                <w:szCs w:val="18"/>
              </w:rPr>
              <w:t>09</w:t>
            </w:r>
          </w:p>
        </w:tc>
      </w:tr>
      <w:tr w:rsidR="008F7BA8" w:rsidRPr="00E21D72" w14:paraId="6A6F5649" w14:textId="77777777" w:rsidTr="008F7BA8">
        <w:trPr>
          <w:trHeight w:val="567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DDE7541" w14:textId="54891598" w:rsidR="008F7BA8" w:rsidRPr="00BD0B8A" w:rsidRDefault="008F7BA8" w:rsidP="008F7BA8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Βιομηχ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ανικά 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Προϊόντα</w:t>
            </w:r>
          </w:p>
          <w:p w14:paraId="0A451F80" w14:textId="77777777" w:rsidR="008F7BA8" w:rsidRPr="00E21D72" w:rsidRDefault="008F7BA8" w:rsidP="008F7BA8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(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εκτός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Πετρελ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αιοειδών)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8D61FBC" w14:textId="77777777" w:rsidR="008F7BA8" w:rsidRPr="00E21D72" w:rsidRDefault="008F7BA8" w:rsidP="008F7BA8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4021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98C258B" w14:textId="63BF7C7F" w:rsidR="008F7BA8" w:rsidRPr="00B64CC0" w:rsidRDefault="008F7BA8" w:rsidP="001522DF">
            <w:pPr>
              <w:ind w:right="851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8F7BA8"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3D68D7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8F7BA8">
              <w:rPr>
                <w:rFonts w:ascii="Verdana" w:hAnsi="Verdana" w:cs="Arial"/>
                <w:color w:val="365F91"/>
                <w:sz w:val="18"/>
                <w:szCs w:val="18"/>
              </w:rPr>
              <w:t>71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408932D1" w14:textId="7B988BAA" w:rsidR="008F7BA8" w:rsidRPr="00B64CC0" w:rsidRDefault="008F7BA8" w:rsidP="001522DF">
            <w:pPr>
              <w:ind w:right="851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8F7BA8">
              <w:rPr>
                <w:rFonts w:ascii="Verdana" w:hAnsi="Verdana" w:cs="Arial"/>
                <w:color w:val="365F91"/>
                <w:sz w:val="18"/>
                <w:szCs w:val="18"/>
              </w:rPr>
              <w:t>-0</w:t>
            </w:r>
            <w:r w:rsidR="003D68D7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8F7BA8">
              <w:rPr>
                <w:rFonts w:ascii="Verdana" w:hAnsi="Verdana" w:cs="Arial"/>
                <w:color w:val="365F91"/>
                <w:sz w:val="18"/>
                <w:szCs w:val="18"/>
              </w:rPr>
              <w:t>13</w:t>
            </w:r>
          </w:p>
        </w:tc>
      </w:tr>
      <w:tr w:rsidR="008F7BA8" w:rsidRPr="00E21D72" w14:paraId="3370FFAD" w14:textId="77777777" w:rsidTr="008F7BA8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C4E30F8" w14:textId="77777777" w:rsidR="008F7BA8" w:rsidRPr="00E21D72" w:rsidRDefault="008F7BA8" w:rsidP="008F7BA8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bookmarkStart w:id="1" w:name="_Hlk149742109"/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Ηλεκτρισμ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ό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ς</w:t>
            </w:r>
            <w:bookmarkEnd w:id="1"/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6EB97CFF" w14:textId="77777777" w:rsidR="008F7BA8" w:rsidRPr="00E21D72" w:rsidRDefault="008F7BA8" w:rsidP="008F7BA8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316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5CFD39D9" w14:textId="661135FB" w:rsidR="008F7BA8" w:rsidRPr="00B64CC0" w:rsidRDefault="008F7BA8" w:rsidP="001522DF">
            <w:pPr>
              <w:ind w:right="851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8F7BA8">
              <w:rPr>
                <w:rFonts w:ascii="Verdana" w:hAnsi="Verdana" w:cs="Arial"/>
                <w:color w:val="365F91"/>
                <w:sz w:val="18"/>
                <w:szCs w:val="18"/>
              </w:rPr>
              <w:t>-4</w:t>
            </w:r>
            <w:r w:rsidR="003D68D7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8F7BA8">
              <w:rPr>
                <w:rFonts w:ascii="Verdana" w:hAnsi="Verdana" w:cs="Arial"/>
                <w:color w:val="365F91"/>
                <w:sz w:val="18"/>
                <w:szCs w:val="18"/>
              </w:rPr>
              <w:t>19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79A1135E" w14:textId="099788F2" w:rsidR="008F7BA8" w:rsidRPr="00B64CC0" w:rsidRDefault="008F7BA8" w:rsidP="001522DF">
            <w:pPr>
              <w:ind w:right="851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8F7BA8"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3D68D7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8F7BA8">
              <w:rPr>
                <w:rFonts w:ascii="Verdana" w:hAnsi="Verdana" w:cs="Arial"/>
                <w:color w:val="365F91"/>
                <w:sz w:val="18"/>
                <w:szCs w:val="18"/>
              </w:rPr>
              <w:t>15</w:t>
            </w:r>
          </w:p>
        </w:tc>
      </w:tr>
      <w:tr w:rsidR="008F7BA8" w:rsidRPr="00E21D72" w14:paraId="55D46229" w14:textId="77777777" w:rsidTr="008F7BA8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10D5383" w14:textId="77777777" w:rsidR="008F7BA8" w:rsidRPr="00E21D72" w:rsidRDefault="008F7BA8" w:rsidP="008F7BA8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Πετρελ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αιοειδή</w:t>
            </w:r>
          </w:p>
        </w:tc>
        <w:tc>
          <w:tcPr>
            <w:tcW w:w="1006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7497CE4" w14:textId="77777777" w:rsidR="008F7BA8" w:rsidRPr="00E21D72" w:rsidRDefault="008F7BA8" w:rsidP="008F7BA8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871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6949086C" w14:textId="5F261387" w:rsidR="008F7BA8" w:rsidRPr="00B64CC0" w:rsidRDefault="008F7BA8" w:rsidP="001522DF">
            <w:pPr>
              <w:ind w:right="851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8F7BA8">
              <w:rPr>
                <w:rFonts w:ascii="Verdana" w:hAnsi="Verdana" w:cs="Arial"/>
                <w:color w:val="365F91"/>
                <w:sz w:val="18"/>
                <w:szCs w:val="18"/>
              </w:rPr>
              <w:t>-5</w:t>
            </w:r>
            <w:r w:rsidR="003D68D7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8F7BA8">
              <w:rPr>
                <w:rFonts w:ascii="Verdana" w:hAnsi="Verdana" w:cs="Arial"/>
                <w:color w:val="365F91"/>
                <w:sz w:val="18"/>
                <w:szCs w:val="18"/>
              </w:rPr>
              <w:t>17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31D51005" w14:textId="222D5744" w:rsidR="008F7BA8" w:rsidRPr="00B64CC0" w:rsidRDefault="008F7BA8" w:rsidP="001522DF">
            <w:pPr>
              <w:ind w:right="851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8F7BA8"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3D68D7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8F7BA8">
              <w:rPr>
                <w:rFonts w:ascii="Verdana" w:hAnsi="Verdana" w:cs="Arial"/>
                <w:color w:val="365F91"/>
                <w:sz w:val="18"/>
                <w:szCs w:val="18"/>
              </w:rPr>
              <w:t>42</w:t>
            </w:r>
          </w:p>
        </w:tc>
      </w:tr>
      <w:tr w:rsidR="008F7BA8" w:rsidRPr="00E21D72" w14:paraId="00D702E5" w14:textId="77777777" w:rsidTr="008F7BA8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</w:tcBorders>
            <w:shd w:val="clear" w:color="FFFFFF" w:fill="FFFFFF"/>
            <w:noWrap/>
            <w:vAlign w:val="center"/>
            <w:hideMark/>
          </w:tcPr>
          <w:p w14:paraId="4FC6B0A3" w14:textId="77777777" w:rsidR="008F7BA8" w:rsidRPr="00E21D72" w:rsidRDefault="008F7BA8" w:rsidP="008F7BA8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Νερό</w:t>
            </w:r>
            <w:proofErr w:type="spellEnd"/>
          </w:p>
        </w:tc>
        <w:tc>
          <w:tcPr>
            <w:tcW w:w="1006" w:type="pct"/>
            <w:tcBorders>
              <w:top w:val="nil"/>
            </w:tcBorders>
            <w:shd w:val="clear" w:color="FFFFFF" w:fill="FFFFFF"/>
            <w:noWrap/>
            <w:vAlign w:val="center"/>
            <w:hideMark/>
          </w:tcPr>
          <w:p w14:paraId="14732CB7" w14:textId="77777777" w:rsidR="008F7BA8" w:rsidRPr="00E21D72" w:rsidRDefault="008F7BA8" w:rsidP="008F7BA8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72</w:t>
            </w:r>
          </w:p>
        </w:tc>
        <w:tc>
          <w:tcPr>
            <w:tcW w:w="1221" w:type="pct"/>
            <w:tcBorders>
              <w:top w:val="nil"/>
              <w:bottom w:val="nil"/>
            </w:tcBorders>
            <w:shd w:val="clear" w:color="auto" w:fill="auto"/>
            <w:noWrap/>
            <w:vAlign w:val="center"/>
          </w:tcPr>
          <w:p w14:paraId="2187379B" w14:textId="5FC0201F" w:rsidR="008F7BA8" w:rsidRPr="00B64CC0" w:rsidRDefault="008F7BA8" w:rsidP="001522DF">
            <w:pPr>
              <w:ind w:right="851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8F7BA8"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3D68D7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8F7BA8">
              <w:rPr>
                <w:rFonts w:ascii="Verdana" w:hAnsi="Verdana" w:cs="Arial"/>
                <w:color w:val="365F91"/>
                <w:sz w:val="18"/>
                <w:szCs w:val="18"/>
              </w:rPr>
              <w:t>00</w:t>
            </w:r>
          </w:p>
        </w:tc>
        <w:tc>
          <w:tcPr>
            <w:tcW w:w="1155" w:type="pct"/>
            <w:tcBorders>
              <w:top w:val="nil"/>
              <w:bottom w:val="nil"/>
              <w:right w:val="nil"/>
            </w:tcBorders>
            <w:shd w:val="clear" w:color="FFFFFF" w:fill="FFFFFF"/>
            <w:noWrap/>
            <w:vAlign w:val="center"/>
          </w:tcPr>
          <w:p w14:paraId="5B6D07F4" w14:textId="139490E8" w:rsidR="008F7BA8" w:rsidRPr="00B64CC0" w:rsidRDefault="008F7BA8" w:rsidP="001522DF">
            <w:pPr>
              <w:ind w:right="851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8F7BA8"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3D68D7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8F7BA8">
              <w:rPr>
                <w:rFonts w:ascii="Verdana" w:hAnsi="Verdana" w:cs="Arial"/>
                <w:color w:val="365F91"/>
                <w:sz w:val="18"/>
                <w:szCs w:val="18"/>
              </w:rPr>
              <w:t>00</w:t>
            </w:r>
          </w:p>
        </w:tc>
      </w:tr>
      <w:tr w:rsidR="008F7BA8" w:rsidRPr="00E21D72" w14:paraId="1CD39D67" w14:textId="77777777" w:rsidTr="008F7BA8">
        <w:trPr>
          <w:trHeight w:val="375"/>
          <w:jc w:val="center"/>
        </w:trPr>
        <w:tc>
          <w:tcPr>
            <w:tcW w:w="1618" w:type="pct"/>
            <w:tcBorders>
              <w:top w:val="nil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396CA35" w14:textId="77777777" w:rsidR="008F7BA8" w:rsidRPr="00E21D72" w:rsidRDefault="008F7BA8" w:rsidP="008F7BA8">
            <w:pPr>
              <w:ind w:left="2"/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Υπ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1006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AD823E0" w14:textId="77777777" w:rsidR="008F7BA8" w:rsidRPr="00E21D72" w:rsidRDefault="008F7BA8" w:rsidP="008F7BA8">
            <w:pPr>
              <w:ind w:right="113"/>
              <w:jc w:val="center"/>
              <w:rPr>
                <w:rFonts w:ascii="Verdana" w:hAnsi="Verdana"/>
                <w:color w:val="365F91"/>
                <w:sz w:val="18"/>
                <w:szCs w:val="18"/>
              </w:rPr>
            </w:pPr>
            <w:r w:rsidRPr="00E21D72">
              <w:rPr>
                <w:rFonts w:ascii="Verdana" w:hAnsi="Verdana"/>
                <w:color w:val="365F91"/>
                <w:sz w:val="18"/>
                <w:szCs w:val="18"/>
              </w:rPr>
              <w:t>3971</w:t>
            </w:r>
          </w:p>
        </w:tc>
        <w:tc>
          <w:tcPr>
            <w:tcW w:w="1221" w:type="pct"/>
            <w:tcBorders>
              <w:top w:val="nil"/>
              <w:bottom w:val="single" w:sz="4" w:space="0" w:color="366092"/>
            </w:tcBorders>
            <w:shd w:val="clear" w:color="auto" w:fill="auto"/>
            <w:noWrap/>
            <w:vAlign w:val="center"/>
          </w:tcPr>
          <w:p w14:paraId="30E53EC3" w14:textId="71C9F711" w:rsidR="008F7BA8" w:rsidRPr="00B64CC0" w:rsidRDefault="008F7BA8" w:rsidP="001522DF">
            <w:pPr>
              <w:ind w:right="851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8F7BA8">
              <w:rPr>
                <w:rFonts w:ascii="Verdana" w:hAnsi="Verdana" w:cs="Arial"/>
                <w:color w:val="365F91"/>
                <w:sz w:val="18"/>
                <w:szCs w:val="18"/>
              </w:rPr>
              <w:t>3</w:t>
            </w:r>
            <w:r w:rsidR="003D68D7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8F7BA8">
              <w:rPr>
                <w:rFonts w:ascii="Verdana" w:hAnsi="Verdana" w:cs="Arial"/>
                <w:color w:val="365F91"/>
                <w:sz w:val="18"/>
                <w:szCs w:val="18"/>
              </w:rPr>
              <w:t>01</w:t>
            </w:r>
          </w:p>
        </w:tc>
        <w:tc>
          <w:tcPr>
            <w:tcW w:w="1155" w:type="pct"/>
            <w:tcBorders>
              <w:top w:val="nil"/>
              <w:bottom w:val="single" w:sz="4" w:space="0" w:color="366092"/>
              <w:right w:val="nil"/>
            </w:tcBorders>
            <w:shd w:val="clear" w:color="FFFFFF" w:fill="FFFFFF"/>
            <w:noWrap/>
            <w:vAlign w:val="center"/>
          </w:tcPr>
          <w:p w14:paraId="65A59861" w14:textId="6B88484E" w:rsidR="008F7BA8" w:rsidRPr="00B64CC0" w:rsidRDefault="008F7BA8" w:rsidP="001522DF">
            <w:pPr>
              <w:ind w:right="851"/>
              <w:jc w:val="right"/>
              <w:rPr>
                <w:rFonts w:ascii="Verdana" w:hAnsi="Verdana" w:cs="Arial"/>
                <w:color w:val="365F91"/>
                <w:sz w:val="18"/>
                <w:szCs w:val="18"/>
              </w:rPr>
            </w:pPr>
            <w:r w:rsidRPr="008F7BA8"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 w:rsidR="003D68D7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8F7BA8">
              <w:rPr>
                <w:rFonts w:ascii="Verdana" w:hAnsi="Verdana" w:cs="Arial"/>
                <w:color w:val="365F91"/>
                <w:sz w:val="18"/>
                <w:szCs w:val="18"/>
              </w:rPr>
              <w:t>02</w:t>
            </w:r>
          </w:p>
        </w:tc>
      </w:tr>
      <w:tr w:rsidR="008F7BA8" w:rsidRPr="00E21D72" w14:paraId="331F509F" w14:textId="77777777" w:rsidTr="008F7BA8">
        <w:trPr>
          <w:trHeight w:val="397"/>
          <w:jc w:val="center"/>
        </w:trPr>
        <w:tc>
          <w:tcPr>
            <w:tcW w:w="1618" w:type="pct"/>
            <w:tcBorders>
              <w:top w:val="single" w:sz="4" w:space="0" w:color="366092"/>
              <w:left w:val="nil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7D4A3BED" w14:textId="77777777" w:rsidR="008F7BA8" w:rsidRPr="00E21D72" w:rsidRDefault="008F7BA8" w:rsidP="008F7BA8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Γενικός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Δείκτης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</w:p>
        </w:tc>
        <w:tc>
          <w:tcPr>
            <w:tcW w:w="1006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23E9E631" w14:textId="77777777" w:rsidR="008F7BA8" w:rsidRPr="00E21D72" w:rsidRDefault="008F7BA8" w:rsidP="008F7BA8">
            <w:pPr>
              <w:ind w:right="113"/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10000</w:t>
            </w:r>
          </w:p>
        </w:tc>
        <w:tc>
          <w:tcPr>
            <w:tcW w:w="1221" w:type="pct"/>
            <w:tcBorders>
              <w:top w:val="single" w:sz="4" w:space="0" w:color="366092"/>
              <w:bottom w:val="single" w:sz="4" w:space="0" w:color="366092"/>
            </w:tcBorders>
            <w:shd w:val="clear" w:color="auto" w:fill="auto"/>
            <w:noWrap/>
            <w:vAlign w:val="center"/>
          </w:tcPr>
          <w:p w14:paraId="5F309946" w14:textId="18B892B9" w:rsidR="008F7BA8" w:rsidRPr="008F7BA8" w:rsidRDefault="008F7BA8" w:rsidP="001522DF">
            <w:pPr>
              <w:ind w:right="851"/>
              <w:jc w:val="right"/>
              <w:rPr>
                <w:rFonts w:ascii="Verdana" w:hAnsi="Verdana" w:cs="Arial"/>
                <w:b/>
                <w:bCs/>
                <w:color w:val="365F91"/>
                <w:sz w:val="18"/>
                <w:szCs w:val="18"/>
              </w:rPr>
            </w:pPr>
            <w:r w:rsidRPr="008F7BA8">
              <w:rPr>
                <w:rFonts w:ascii="Verdana" w:hAnsi="Verdana" w:cs="Arial"/>
                <w:b/>
                <w:bCs/>
                <w:color w:val="365F91"/>
                <w:sz w:val="18"/>
                <w:szCs w:val="18"/>
              </w:rPr>
              <w:t>1</w:t>
            </w:r>
            <w:r w:rsidR="003D68D7">
              <w:rPr>
                <w:rFonts w:ascii="Verdana" w:hAnsi="Verdana" w:cs="Arial"/>
                <w:b/>
                <w:bCs/>
                <w:color w:val="365F91"/>
                <w:sz w:val="18"/>
                <w:szCs w:val="18"/>
                <w:lang w:val="el-GR"/>
              </w:rPr>
              <w:t>,</w:t>
            </w:r>
            <w:r w:rsidRPr="008F7BA8">
              <w:rPr>
                <w:rFonts w:ascii="Verdana" w:hAnsi="Verdana" w:cs="Arial"/>
                <w:b/>
                <w:bCs/>
                <w:color w:val="365F91"/>
                <w:sz w:val="18"/>
                <w:szCs w:val="18"/>
              </w:rPr>
              <w:t>46</w:t>
            </w:r>
          </w:p>
        </w:tc>
        <w:tc>
          <w:tcPr>
            <w:tcW w:w="1155" w:type="pct"/>
            <w:tcBorders>
              <w:top w:val="single" w:sz="4" w:space="0" w:color="366092"/>
              <w:bottom w:val="single" w:sz="4" w:space="0" w:color="366092"/>
              <w:right w:val="nil"/>
            </w:tcBorders>
            <w:shd w:val="clear" w:color="FFFFFF" w:fill="FFFFFF"/>
            <w:noWrap/>
            <w:vAlign w:val="center"/>
          </w:tcPr>
          <w:p w14:paraId="66750A76" w14:textId="5D513B42" w:rsidR="008F7BA8" w:rsidRPr="008F7BA8" w:rsidRDefault="008F7BA8" w:rsidP="001522DF">
            <w:pPr>
              <w:ind w:right="851"/>
              <w:jc w:val="right"/>
              <w:rPr>
                <w:rFonts w:ascii="Verdana" w:hAnsi="Verdana" w:cs="Arial"/>
                <w:b/>
                <w:bCs/>
                <w:color w:val="365F91"/>
                <w:sz w:val="18"/>
                <w:szCs w:val="18"/>
              </w:rPr>
            </w:pPr>
            <w:r w:rsidRPr="008F7BA8">
              <w:rPr>
                <w:rFonts w:ascii="Verdana" w:hAnsi="Verdana" w:cs="Arial"/>
                <w:b/>
                <w:bCs/>
                <w:color w:val="365F91"/>
                <w:sz w:val="18"/>
                <w:szCs w:val="18"/>
              </w:rPr>
              <w:t>-0</w:t>
            </w:r>
            <w:r w:rsidR="003D68D7">
              <w:rPr>
                <w:rFonts w:ascii="Verdana" w:hAnsi="Verdana" w:cs="Arial"/>
                <w:b/>
                <w:bCs/>
                <w:color w:val="365F91"/>
                <w:sz w:val="18"/>
                <w:szCs w:val="18"/>
                <w:lang w:val="el-GR"/>
              </w:rPr>
              <w:t>,</w:t>
            </w:r>
            <w:r w:rsidRPr="008F7BA8">
              <w:rPr>
                <w:rFonts w:ascii="Verdana" w:hAnsi="Verdana" w:cs="Arial"/>
                <w:b/>
                <w:bCs/>
                <w:color w:val="365F91"/>
                <w:sz w:val="18"/>
                <w:szCs w:val="18"/>
              </w:rPr>
              <w:t>36</w:t>
            </w:r>
          </w:p>
        </w:tc>
      </w:tr>
    </w:tbl>
    <w:p w14:paraId="29FEB02E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AB9A93B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6C30497" w14:textId="77777777" w:rsidR="00E21D72" w:rsidRPr="00E21D72" w:rsidRDefault="00E21D72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tbl>
      <w:tblPr>
        <w:tblW w:w="4944" w:type="pct"/>
        <w:jc w:val="center"/>
        <w:tblLayout w:type="fixed"/>
        <w:tblLook w:val="04A0" w:firstRow="1" w:lastRow="0" w:firstColumn="1" w:lastColumn="0" w:noHBand="0" w:noVBand="1"/>
      </w:tblPr>
      <w:tblGrid>
        <w:gridCol w:w="3258"/>
        <w:gridCol w:w="1523"/>
        <w:gridCol w:w="2353"/>
        <w:gridCol w:w="2347"/>
      </w:tblGrid>
      <w:tr w:rsidR="006022B5" w:rsidRPr="00E21D72" w14:paraId="4C388DF5" w14:textId="77777777" w:rsidTr="00B31395">
        <w:trPr>
          <w:trHeight w:hRule="exact" w:val="340"/>
          <w:jc w:val="center"/>
        </w:trPr>
        <w:tc>
          <w:tcPr>
            <w:tcW w:w="3762" w:type="pct"/>
            <w:gridSpan w:val="3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F9E1214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Πίνακας 3</w:t>
            </w:r>
          </w:p>
        </w:tc>
        <w:tc>
          <w:tcPr>
            <w:tcW w:w="1238" w:type="pct"/>
            <w:tcBorders>
              <w:bottom w:val="single" w:sz="4" w:space="0" w:color="366092"/>
            </w:tcBorders>
            <w:shd w:val="clear" w:color="FFFFFF" w:fill="FFFFFF"/>
          </w:tcPr>
          <w:p w14:paraId="5E285458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</w:tr>
      <w:tr w:rsidR="006022B5" w:rsidRPr="00E21D72" w14:paraId="32300C6F" w14:textId="77777777" w:rsidTr="00777AEB">
        <w:trPr>
          <w:trHeight w:val="375"/>
          <w:jc w:val="center"/>
        </w:trPr>
        <w:tc>
          <w:tcPr>
            <w:tcW w:w="1718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30AACF9D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Κατηγορίες Αγαθών και Υπηρεσιών</w:t>
            </w:r>
          </w:p>
        </w:tc>
        <w:tc>
          <w:tcPr>
            <w:tcW w:w="803" w:type="pct"/>
            <w:vMerge w:val="restar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3EB8B2F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Συντελεστές Στάθμισης</w:t>
            </w:r>
          </w:p>
        </w:tc>
        <w:tc>
          <w:tcPr>
            <w:tcW w:w="2479" w:type="pct"/>
            <w:gridSpan w:val="2"/>
            <w:tcBorders>
              <w:top w:val="single" w:sz="4" w:space="0" w:color="366092"/>
              <w:bottom w:val="single" w:sz="4" w:space="0" w:color="366092"/>
            </w:tcBorders>
            <w:shd w:val="clear" w:color="auto" w:fill="auto"/>
            <w:vAlign w:val="center"/>
            <w:hideMark/>
          </w:tcPr>
          <w:p w14:paraId="1E47590D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Επίπ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τωση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(</w:t>
            </w: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μονάδες)</w:t>
            </w:r>
          </w:p>
        </w:tc>
      </w:tr>
      <w:tr w:rsidR="006E65E0" w:rsidRPr="00E21D72" w14:paraId="019AB947" w14:textId="77777777" w:rsidTr="00777AEB">
        <w:trPr>
          <w:trHeight w:val="615"/>
          <w:jc w:val="center"/>
        </w:trPr>
        <w:tc>
          <w:tcPr>
            <w:tcW w:w="1718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7859C773" w14:textId="77777777" w:rsidR="006E65E0" w:rsidRPr="00E21D72" w:rsidRDefault="006E65E0" w:rsidP="006E65E0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</w:p>
        </w:tc>
        <w:tc>
          <w:tcPr>
            <w:tcW w:w="803" w:type="pct"/>
            <w:vMerge/>
            <w:tcBorders>
              <w:top w:val="single" w:sz="4" w:space="0" w:color="366092"/>
              <w:bottom w:val="single" w:sz="4" w:space="0" w:color="366092"/>
            </w:tcBorders>
            <w:vAlign w:val="center"/>
            <w:hideMark/>
          </w:tcPr>
          <w:p w14:paraId="274591C5" w14:textId="77777777" w:rsidR="006E65E0" w:rsidRPr="00E21D72" w:rsidRDefault="006E65E0" w:rsidP="006E65E0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</w:p>
        </w:tc>
        <w:tc>
          <w:tcPr>
            <w:tcW w:w="1241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23F64714" w14:textId="4408D729" w:rsidR="006E65E0" w:rsidRPr="00E21D72" w:rsidRDefault="00B71574" w:rsidP="006E65E0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Νοε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6E65E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Νοε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6E65E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3</w:t>
            </w:r>
          </w:p>
        </w:tc>
        <w:tc>
          <w:tcPr>
            <w:tcW w:w="1238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4C0BF3F4" w14:textId="527F8401" w:rsidR="006E65E0" w:rsidRPr="00E21D72" w:rsidRDefault="00B71574" w:rsidP="006E65E0">
            <w:pPr>
              <w:jc w:val="center"/>
              <w:rPr>
                <w:rFonts w:ascii="Verdana" w:eastAsia="Times New Roman" w:hAnsi="Verdana" w:cs="Arial"/>
                <w:b/>
                <w:bCs/>
                <w:color w:val="366092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Νοε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6E65E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Οκτ</w:t>
            </w:r>
            <w:r w:rsidR="006E65E0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6E65E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</w:p>
        </w:tc>
      </w:tr>
      <w:tr w:rsidR="00EF1020" w:rsidRPr="00E21D72" w14:paraId="5947B44C" w14:textId="77777777" w:rsidTr="00EF1020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27C27FE8" w14:textId="77777777" w:rsidR="00EF1020" w:rsidRPr="00E21D72" w:rsidRDefault="00EF1020" w:rsidP="00EF102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bookmarkStart w:id="2" w:name="_Hlk168556548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Τρόφιμα και μη Αλκοολούχα Ποτά</w:t>
            </w:r>
            <w:bookmarkEnd w:id="2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6BB1BA13" w14:textId="77777777" w:rsidR="00EF1020" w:rsidRPr="00E21D72" w:rsidRDefault="00EF1020" w:rsidP="00EF1020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1906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C3C6B98" w14:textId="17AC1A0B" w:rsidR="00EF1020" w:rsidRPr="00800CDA" w:rsidRDefault="00EF1020" w:rsidP="001522DF">
            <w:pPr>
              <w:ind w:right="851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</w:t>
            </w:r>
            <w:r w:rsidR="003D68D7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05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4F86BAD" w14:textId="441FE4FB" w:rsidR="00EF1020" w:rsidRPr="00800CDA" w:rsidRDefault="00EF1020" w:rsidP="001522DF">
            <w:pPr>
              <w:ind w:right="851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 w:rsidR="003D68D7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55</w:t>
            </w:r>
          </w:p>
        </w:tc>
      </w:tr>
      <w:tr w:rsidR="00EF1020" w:rsidRPr="00E21D72" w14:paraId="15E28FB3" w14:textId="77777777" w:rsidTr="00EF1020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2EDCA964" w14:textId="77777777" w:rsidR="00EF1020" w:rsidRPr="00E21D72" w:rsidRDefault="00EF1020" w:rsidP="00EF102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Αλκοολούχα 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οτά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Κ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νός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625B3CBD" w14:textId="77777777" w:rsidR="00EF1020" w:rsidRPr="00E21D72" w:rsidRDefault="00EF1020" w:rsidP="00EF1020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347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1360F93" w14:textId="205B7EE7" w:rsidR="00EF1020" w:rsidRPr="00800CDA" w:rsidRDefault="00EF1020" w:rsidP="001522DF">
            <w:pPr>
              <w:ind w:right="851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3D68D7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08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2007056" w14:textId="1BB915E4" w:rsidR="00EF1020" w:rsidRPr="00800CDA" w:rsidRDefault="00EF1020" w:rsidP="001522DF">
            <w:pPr>
              <w:ind w:right="851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3D68D7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00</w:t>
            </w:r>
          </w:p>
        </w:tc>
      </w:tr>
      <w:tr w:rsidR="00EF1020" w:rsidRPr="00E21D72" w14:paraId="108CD38A" w14:textId="77777777" w:rsidTr="00EF1020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FAF94A1" w14:textId="77777777" w:rsidR="00EF1020" w:rsidRPr="00E21D72" w:rsidRDefault="00EF1020" w:rsidP="00EF102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Ένδυση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Υ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όδηση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DE5ACB7" w14:textId="77777777" w:rsidR="00EF1020" w:rsidRPr="00E21D72" w:rsidRDefault="00EF1020" w:rsidP="00EF1020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721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F1FEC94" w14:textId="774B0E11" w:rsidR="00EF1020" w:rsidRPr="00800CDA" w:rsidRDefault="00EF1020" w:rsidP="001522DF">
            <w:pPr>
              <w:ind w:right="851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 w:rsidR="003D68D7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15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36C3CC99" w14:textId="2B0F1804" w:rsidR="00EF1020" w:rsidRPr="00800CDA" w:rsidRDefault="00EF1020" w:rsidP="001522DF">
            <w:pPr>
              <w:ind w:right="851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3D68D7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14</w:t>
            </w:r>
          </w:p>
        </w:tc>
      </w:tr>
      <w:tr w:rsidR="00EF1020" w:rsidRPr="00E21D72" w14:paraId="318667D3" w14:textId="77777777" w:rsidTr="00EF1020">
        <w:trPr>
          <w:trHeight w:val="616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59C1354" w14:textId="77777777" w:rsidR="00EF1020" w:rsidRPr="00E21D72" w:rsidRDefault="00EF1020" w:rsidP="00EF102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Στέγαση, Ύδρευση, Ηλεκτρισμός και Υγραέριο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4F9E27D9" w14:textId="77777777" w:rsidR="00EF1020" w:rsidRPr="00E21D72" w:rsidRDefault="00EF1020" w:rsidP="00EF1020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1119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16BA1BA" w14:textId="434EBAAD" w:rsidR="00EF1020" w:rsidRPr="00800CDA" w:rsidRDefault="00EF1020" w:rsidP="001522DF">
            <w:pPr>
              <w:ind w:right="851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 w:rsidR="003D68D7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08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92813A5" w14:textId="468B115A" w:rsidR="00EF1020" w:rsidRPr="00800CDA" w:rsidRDefault="00EF1020" w:rsidP="001522DF">
            <w:pPr>
              <w:ind w:right="851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3D68D7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04</w:t>
            </w:r>
          </w:p>
        </w:tc>
      </w:tr>
      <w:tr w:rsidR="00EF1020" w:rsidRPr="00E21D72" w14:paraId="215783F0" w14:textId="77777777" w:rsidTr="00EF1020">
        <w:trPr>
          <w:trHeight w:val="607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C49E88D" w14:textId="7513D45F" w:rsidR="00EF1020" w:rsidRPr="00E21D72" w:rsidRDefault="00EF1020" w:rsidP="00EF102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Επίπλωση, Οικιακός Εξοπλισμός και </w:t>
            </w:r>
            <w: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Προϊόντα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 xml:space="preserve"> Καθαρισμού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vAlign w:val="center"/>
            <w:hideMark/>
          </w:tcPr>
          <w:p w14:paraId="0A6B31B8" w14:textId="77777777" w:rsidR="00EF1020" w:rsidRPr="00E21D72" w:rsidRDefault="00EF1020" w:rsidP="00EF1020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644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D5F1C6C" w14:textId="772AD076" w:rsidR="00EF1020" w:rsidRPr="00800CDA" w:rsidRDefault="00EF1020" w:rsidP="001522DF">
            <w:pPr>
              <w:ind w:right="851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3D68D7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01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4D242BF" w14:textId="1CA0D482" w:rsidR="00EF1020" w:rsidRPr="00800CDA" w:rsidRDefault="00EF1020" w:rsidP="001522DF">
            <w:pPr>
              <w:ind w:right="851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 w:rsidR="003D68D7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03</w:t>
            </w:r>
          </w:p>
        </w:tc>
      </w:tr>
      <w:tr w:rsidR="00EF1020" w:rsidRPr="00E21D72" w14:paraId="107081D7" w14:textId="77777777" w:rsidTr="00EF1020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56D4CE7" w14:textId="77777777" w:rsidR="00EF1020" w:rsidRPr="00E21D72" w:rsidRDefault="00EF1020" w:rsidP="00EF102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Υγεί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D2C1508" w14:textId="77777777" w:rsidR="00EF1020" w:rsidRPr="00E21D72" w:rsidRDefault="00EF1020" w:rsidP="00EF1020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637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F2FA8F3" w14:textId="5D87DC4A" w:rsidR="00EF1020" w:rsidRPr="00800CDA" w:rsidRDefault="00EF1020" w:rsidP="001522DF">
            <w:pPr>
              <w:ind w:right="851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3D68D7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10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2715256" w14:textId="23FA8113" w:rsidR="00EF1020" w:rsidRPr="00800CDA" w:rsidRDefault="00EF1020" w:rsidP="001522DF">
            <w:pPr>
              <w:ind w:right="851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3D68D7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00</w:t>
            </w:r>
          </w:p>
        </w:tc>
      </w:tr>
      <w:tr w:rsidR="00EF1020" w:rsidRPr="00E21D72" w14:paraId="120C2413" w14:textId="77777777" w:rsidTr="00EF1020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731CB5A" w14:textId="77777777" w:rsidR="00EF1020" w:rsidRPr="00E21D72" w:rsidRDefault="00EF1020" w:rsidP="00EF102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Μετ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αφορές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5C532904" w14:textId="77777777" w:rsidR="00EF1020" w:rsidRPr="00E21D72" w:rsidRDefault="00EF1020" w:rsidP="00EF1020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1524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D5958D0" w14:textId="646F75E6" w:rsidR="00EF1020" w:rsidRPr="00800CDA" w:rsidRDefault="00EF1020" w:rsidP="001522DF">
            <w:pPr>
              <w:ind w:right="851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 w:rsidR="003D68D7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33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7B12603" w14:textId="3315CAA1" w:rsidR="00EF1020" w:rsidRPr="00800CDA" w:rsidRDefault="00EF1020" w:rsidP="001522DF">
            <w:pPr>
              <w:ind w:right="851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3D68D7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04</w:t>
            </w:r>
          </w:p>
        </w:tc>
      </w:tr>
      <w:tr w:rsidR="00EF1020" w:rsidRPr="00E21D72" w14:paraId="211DF7D2" w14:textId="77777777" w:rsidTr="00EF1020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6D09E5A" w14:textId="77777777" w:rsidR="00EF1020" w:rsidRPr="00E21D72" w:rsidRDefault="00EF1020" w:rsidP="00EF102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ικοινωνίες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3C57DE67" w14:textId="77777777" w:rsidR="00EF1020" w:rsidRPr="00E21D72" w:rsidRDefault="00EF1020" w:rsidP="00EF1020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439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1FBEB10" w14:textId="74A2F6EA" w:rsidR="00EF1020" w:rsidRPr="00800CDA" w:rsidRDefault="00EF1020" w:rsidP="001522DF">
            <w:pPr>
              <w:ind w:right="851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3D68D7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01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08758FE5" w14:textId="5B552608" w:rsidR="00EF1020" w:rsidRPr="00800CDA" w:rsidRDefault="00EF1020" w:rsidP="001522DF">
            <w:pPr>
              <w:ind w:right="851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3D68D7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00</w:t>
            </w:r>
          </w:p>
        </w:tc>
      </w:tr>
      <w:tr w:rsidR="00EF1020" w:rsidRPr="00E21D72" w14:paraId="5A0817DE" w14:textId="77777777" w:rsidTr="00EF1020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15B8EC8A" w14:textId="77777777" w:rsidR="00EF1020" w:rsidRPr="00E21D72" w:rsidRDefault="00EF1020" w:rsidP="00EF102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Αν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αψυχή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ολιτισμός</w:t>
            </w:r>
            <w:proofErr w:type="spellEnd"/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25714EA" w14:textId="77777777" w:rsidR="00EF1020" w:rsidRPr="00E21D72" w:rsidRDefault="00EF1020" w:rsidP="00EF1020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575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1CA4A59" w14:textId="0CECCD92" w:rsidR="00EF1020" w:rsidRPr="00800CDA" w:rsidRDefault="00EF1020" w:rsidP="001522DF">
            <w:pPr>
              <w:ind w:right="851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3D68D7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21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892FD32" w14:textId="76A06D42" w:rsidR="00EF1020" w:rsidRPr="00800CDA" w:rsidRDefault="00EF1020" w:rsidP="001522DF">
            <w:pPr>
              <w:ind w:right="851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3D68D7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00</w:t>
            </w:r>
          </w:p>
        </w:tc>
      </w:tr>
      <w:tr w:rsidR="00EF1020" w:rsidRPr="00E21D72" w14:paraId="731D634B" w14:textId="77777777" w:rsidTr="00EF1020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03887C0A" w14:textId="77777777" w:rsidR="00EF1020" w:rsidRPr="00E21D72" w:rsidRDefault="00EF1020" w:rsidP="00EF102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Εκ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παίδευση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260B3DB0" w14:textId="77777777" w:rsidR="00EF1020" w:rsidRPr="00E21D72" w:rsidRDefault="00EF1020" w:rsidP="00EF1020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392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84A494E" w14:textId="04EB72C2" w:rsidR="00EF1020" w:rsidRPr="00800CDA" w:rsidRDefault="00EF1020" w:rsidP="001522DF">
            <w:pPr>
              <w:ind w:right="851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3D68D7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17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74EAE9EF" w14:textId="3BABCD80" w:rsidR="00EF1020" w:rsidRPr="00800CDA" w:rsidRDefault="00EF1020" w:rsidP="001522DF">
            <w:pPr>
              <w:ind w:right="851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3D68D7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00</w:t>
            </w:r>
          </w:p>
        </w:tc>
      </w:tr>
      <w:tr w:rsidR="00EF1020" w:rsidRPr="00E21D72" w14:paraId="68212E85" w14:textId="77777777" w:rsidTr="00EF1020">
        <w:trPr>
          <w:trHeight w:val="375"/>
          <w:jc w:val="center"/>
        </w:trPr>
        <w:tc>
          <w:tcPr>
            <w:tcW w:w="1718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49771C9F" w14:textId="77777777" w:rsidR="00EF1020" w:rsidRPr="00E21D72" w:rsidRDefault="00EF1020" w:rsidP="00EF102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Εστι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ατόρια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Ξ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ενοδοχεί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803" w:type="pct"/>
            <w:tcBorders>
              <w:top w:val="nil"/>
              <w:bottom w:val="nil"/>
            </w:tcBorders>
            <w:shd w:val="clear" w:color="FFFFFF" w:fill="FFFFFF"/>
            <w:noWrap/>
            <w:vAlign w:val="center"/>
            <w:hideMark/>
          </w:tcPr>
          <w:p w14:paraId="7991DAA6" w14:textId="77777777" w:rsidR="00EF1020" w:rsidRPr="00E21D72" w:rsidRDefault="00EF1020" w:rsidP="00EF1020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836</w:t>
            </w:r>
          </w:p>
        </w:tc>
        <w:tc>
          <w:tcPr>
            <w:tcW w:w="1241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B7DF8CE" w14:textId="6B322ED8" w:rsidR="00EF1020" w:rsidRPr="00800CDA" w:rsidRDefault="00EF1020" w:rsidP="001522DF">
            <w:pPr>
              <w:ind w:right="851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3D68D7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44</w:t>
            </w:r>
          </w:p>
        </w:tc>
        <w:tc>
          <w:tcPr>
            <w:tcW w:w="1238" w:type="pct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ABEE342" w14:textId="6E096D44" w:rsidR="00EF1020" w:rsidRPr="00800CDA" w:rsidRDefault="00EF1020" w:rsidP="001522DF">
            <w:pPr>
              <w:ind w:right="851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</w:t>
            </w:r>
            <w:r w:rsidR="003D68D7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0,</w:t>
            </w: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02</w:t>
            </w:r>
          </w:p>
        </w:tc>
      </w:tr>
      <w:tr w:rsidR="00EF1020" w:rsidRPr="00E21D72" w14:paraId="5C63625A" w14:textId="77777777" w:rsidTr="00EF1020">
        <w:trPr>
          <w:trHeight w:val="375"/>
          <w:jc w:val="center"/>
        </w:trPr>
        <w:tc>
          <w:tcPr>
            <w:tcW w:w="1718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5C029276" w14:textId="77777777" w:rsidR="00EF1020" w:rsidRPr="00E21D72" w:rsidRDefault="00EF1020" w:rsidP="00EF1020">
            <w:pPr>
              <w:rPr>
                <w:rFonts w:ascii="Verdana" w:eastAsia="Times New Roman" w:hAnsi="Verdana" w:cs="Arial"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Άλλ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α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Α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γα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θά</w:t>
            </w:r>
            <w:proofErr w:type="spellEnd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 xml:space="preserve"> και 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Υ</w:t>
            </w: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π</w:t>
            </w:r>
            <w:proofErr w:type="spellStart"/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</w:rPr>
              <w:t>ηρεσίες</w:t>
            </w:r>
            <w:proofErr w:type="spellEnd"/>
          </w:p>
        </w:tc>
        <w:tc>
          <w:tcPr>
            <w:tcW w:w="803" w:type="pct"/>
            <w:tcBorders>
              <w:top w:val="nil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9B99327" w14:textId="77777777" w:rsidR="00EF1020" w:rsidRPr="00E21D72" w:rsidRDefault="00EF1020" w:rsidP="00EF1020">
            <w:pPr>
              <w:ind w:firstLineChars="100" w:firstLine="180"/>
              <w:jc w:val="center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860</w:t>
            </w:r>
          </w:p>
        </w:tc>
        <w:tc>
          <w:tcPr>
            <w:tcW w:w="1241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0F4F3AA7" w14:textId="3CBE7594" w:rsidR="00EF1020" w:rsidRPr="00800CDA" w:rsidRDefault="00EF1020" w:rsidP="001522DF">
            <w:pPr>
              <w:ind w:right="851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</w:t>
            </w:r>
            <w:r w:rsidR="003D68D7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19</w:t>
            </w:r>
          </w:p>
        </w:tc>
        <w:tc>
          <w:tcPr>
            <w:tcW w:w="1238" w:type="pct"/>
            <w:tcBorders>
              <w:top w:val="nil"/>
              <w:bottom w:val="single" w:sz="4" w:space="0" w:color="366092"/>
            </w:tcBorders>
            <w:shd w:val="clear" w:color="FFFFFF" w:fill="FFFFFF"/>
            <w:vAlign w:val="center"/>
          </w:tcPr>
          <w:p w14:paraId="6D89D954" w14:textId="0D5FEBDD" w:rsidR="00EF1020" w:rsidRPr="00800CDA" w:rsidRDefault="00EF1020" w:rsidP="001522DF">
            <w:pPr>
              <w:ind w:right="851" w:firstLineChars="100" w:firstLine="180"/>
              <w:jc w:val="right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-0</w:t>
            </w:r>
            <w:r w:rsidR="003D68D7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,</w:t>
            </w:r>
            <w:r w:rsidRPr="00EF1020"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  <w:t>04</w:t>
            </w:r>
          </w:p>
        </w:tc>
      </w:tr>
      <w:tr w:rsidR="00EF1020" w:rsidRPr="00E21D72" w14:paraId="6771A5B6" w14:textId="77777777" w:rsidTr="00EF1020">
        <w:trPr>
          <w:trHeight w:hRule="exact" w:val="567"/>
          <w:jc w:val="center"/>
        </w:trPr>
        <w:tc>
          <w:tcPr>
            <w:tcW w:w="1718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BC0F3D4" w14:textId="77777777" w:rsidR="00EF1020" w:rsidRPr="00E21D72" w:rsidRDefault="00EF1020" w:rsidP="00EF1020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Γενικός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Δείκτης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Τιμών</w:t>
            </w:r>
            <w:proofErr w:type="spellEnd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 xml:space="preserve"> Κατανα</w:t>
            </w:r>
            <w:proofErr w:type="spellStart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  <w:t>λωτή</w:t>
            </w:r>
            <w:proofErr w:type="spellEnd"/>
          </w:p>
        </w:tc>
        <w:tc>
          <w:tcPr>
            <w:tcW w:w="803" w:type="pct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645703C0" w14:textId="77777777" w:rsidR="00EF1020" w:rsidRPr="00800CDA" w:rsidRDefault="00EF1020" w:rsidP="00EF1020">
            <w:pPr>
              <w:ind w:firstLineChars="100" w:firstLine="181"/>
              <w:jc w:val="center"/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</w:pPr>
            <w:r w:rsidRPr="00800CDA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10000</w:t>
            </w:r>
          </w:p>
        </w:tc>
        <w:tc>
          <w:tcPr>
            <w:tcW w:w="1241" w:type="pct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7937C0C7" w14:textId="19DFB813" w:rsidR="00EF1020" w:rsidRPr="00EF1020" w:rsidRDefault="00EF1020" w:rsidP="001522DF">
            <w:pPr>
              <w:ind w:right="851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1</w:t>
            </w:r>
            <w:r w:rsidR="003D68D7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,</w:t>
            </w:r>
            <w:r w:rsidRPr="00EF102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70</w:t>
            </w:r>
          </w:p>
        </w:tc>
        <w:tc>
          <w:tcPr>
            <w:tcW w:w="1238" w:type="pct"/>
            <w:tcBorders>
              <w:top w:val="single" w:sz="4" w:space="0" w:color="366092"/>
              <w:bottom w:val="single" w:sz="4" w:space="0" w:color="366092"/>
            </w:tcBorders>
            <w:shd w:val="clear" w:color="000000" w:fill="FFFFFF"/>
            <w:vAlign w:val="center"/>
          </w:tcPr>
          <w:p w14:paraId="6AEB7EF0" w14:textId="6CC90457" w:rsidR="00EF1020" w:rsidRPr="00EF1020" w:rsidRDefault="00EF1020" w:rsidP="001522DF">
            <w:pPr>
              <w:ind w:right="851" w:firstLineChars="100" w:firstLine="181"/>
              <w:jc w:val="right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F102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-0</w:t>
            </w:r>
            <w:r w:rsidR="003D68D7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,</w:t>
            </w:r>
            <w:r w:rsidRPr="00EF1020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42</w:t>
            </w:r>
          </w:p>
        </w:tc>
      </w:tr>
      <w:tr w:rsidR="006022B5" w:rsidRPr="00A36D89" w14:paraId="29A93ED0" w14:textId="77777777" w:rsidTr="00777AEB">
        <w:trPr>
          <w:trHeight w:val="440"/>
          <w:jc w:val="center"/>
        </w:trPr>
        <w:tc>
          <w:tcPr>
            <w:tcW w:w="5000" w:type="pct"/>
            <w:gridSpan w:val="4"/>
            <w:tcBorders>
              <w:top w:val="single" w:sz="4" w:space="0" w:color="366092"/>
            </w:tcBorders>
            <w:shd w:val="clear" w:color="FFFFFF" w:fill="FFFFFF"/>
            <w:noWrap/>
            <w:vAlign w:val="center"/>
            <w:hideMark/>
          </w:tcPr>
          <w:p w14:paraId="0CA907A1" w14:textId="77777777" w:rsidR="00A36D89" w:rsidRPr="00D4020F" w:rsidRDefault="00A36D89" w:rsidP="006022B5">
            <w:pPr>
              <w:rPr>
                <w:rFonts w:ascii="Verdana" w:eastAsia="Times New Roman" w:hAnsi="Verdana" w:cs="Arial"/>
                <w:bCs/>
                <w:color w:val="2F5496"/>
                <w:sz w:val="6"/>
                <w:szCs w:val="6"/>
                <w:lang w:val="el-GR"/>
              </w:rPr>
            </w:pPr>
          </w:p>
          <w:p w14:paraId="0DEF1FF2" w14:textId="6B71ED49" w:rsidR="006022B5" w:rsidRPr="00E06481" w:rsidRDefault="006022B5" w:rsidP="006022B5">
            <w:pPr>
              <w:rPr>
                <w:rFonts w:ascii="Verdana" w:eastAsia="Times New Roman" w:hAnsi="Verdana" w:cs="Arial"/>
                <w:bCs/>
                <w:color w:val="2F5496"/>
                <w:sz w:val="16"/>
                <w:szCs w:val="16"/>
                <w:lang w:val="el-GR"/>
              </w:rPr>
            </w:pPr>
            <w:r w:rsidRPr="00E06481">
              <w:rPr>
                <w:rFonts w:ascii="Verdana" w:eastAsia="Times New Roman" w:hAnsi="Verdana" w:cs="Arial"/>
                <w:bCs/>
                <w:color w:val="2F5496"/>
                <w:sz w:val="16"/>
                <w:szCs w:val="16"/>
                <w:lang w:val="el-GR"/>
              </w:rPr>
              <w:t xml:space="preserve">Σημείωση: Τα αθροίσματα υπολογίζονται βάσει των επιμέρους επιπτώσεων με άπειρα δεκαδικά και δημοσιεύονται με στρογγυλοποίηση δυο δεκαδικών. Πιθανές διαφορές στα αθροίσματα είναι λόγω σφάλματος στρογγυλοποίησης.    </w:t>
            </w:r>
          </w:p>
        </w:tc>
      </w:tr>
    </w:tbl>
    <w:p w14:paraId="5CDB785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 </w:t>
      </w:r>
    </w:p>
    <w:p w14:paraId="6AA5A0F0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208D04D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1110F0F" w14:textId="4CF1BB18" w:rsidR="00E21D72" w:rsidRDefault="00A36D89" w:rsidP="004C6ABF">
      <w:pPr>
        <w:rPr>
          <w:rFonts w:ascii="Verdana" w:eastAsia="Malgun Gothic" w:hAnsi="Verdana" w:cs="Arial"/>
          <w:sz w:val="18"/>
          <w:szCs w:val="18"/>
          <w:u w:val="single"/>
          <w:lang w:val="el-GR"/>
        </w:rPr>
      </w:pPr>
      <w:r>
        <w:rPr>
          <w:rFonts w:ascii="Verdana" w:eastAsia="Malgun Gothic" w:hAnsi="Verdana" w:cs="Arial"/>
          <w:sz w:val="18"/>
          <w:szCs w:val="18"/>
          <w:u w:val="single"/>
          <w:lang w:val="el-GR"/>
        </w:rPr>
        <w:br w:type="page"/>
      </w:r>
    </w:p>
    <w:tbl>
      <w:tblPr>
        <w:tblW w:w="9461" w:type="dxa"/>
        <w:jc w:val="center"/>
        <w:tblLook w:val="04A0" w:firstRow="1" w:lastRow="0" w:firstColumn="1" w:lastColumn="0" w:noHBand="0" w:noVBand="1"/>
      </w:tblPr>
      <w:tblGrid>
        <w:gridCol w:w="6234"/>
        <w:gridCol w:w="3227"/>
      </w:tblGrid>
      <w:tr w:rsidR="006022B5" w:rsidRPr="00E21D72" w14:paraId="3F2DDA13" w14:textId="77777777" w:rsidTr="00B31395">
        <w:trPr>
          <w:trHeight w:hRule="exact" w:val="340"/>
          <w:jc w:val="center"/>
        </w:trPr>
        <w:tc>
          <w:tcPr>
            <w:tcW w:w="9461" w:type="dxa"/>
            <w:gridSpan w:val="2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7883388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bookmarkStart w:id="3" w:name="OLE_LINK9"/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lastRenderedPageBreak/>
              <w:t>Πίνακας 4</w:t>
            </w:r>
          </w:p>
        </w:tc>
      </w:tr>
      <w:tr w:rsidR="006022B5" w:rsidRPr="00E21D72" w14:paraId="66D24933" w14:textId="77777777" w:rsidTr="00740321">
        <w:trPr>
          <w:trHeight w:val="630"/>
          <w:jc w:val="center"/>
        </w:trPr>
        <w:tc>
          <w:tcPr>
            <w:tcW w:w="6234" w:type="dxa"/>
            <w:vMerge w:val="restart"/>
            <w:tcBorders>
              <w:top w:val="single" w:sz="4" w:space="0" w:color="366092"/>
            </w:tcBorders>
            <w:shd w:val="clear" w:color="FFFFFF" w:fill="FFFFFF"/>
            <w:vAlign w:val="center"/>
            <w:hideMark/>
          </w:tcPr>
          <w:p w14:paraId="5D13D382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Προϊόντα/Υπηρεσίες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CA5FC70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Επίπτωση (μονάδες)</w:t>
            </w:r>
          </w:p>
        </w:tc>
      </w:tr>
      <w:tr w:rsidR="004E3D7E" w:rsidRPr="00E21D72" w14:paraId="5006246C" w14:textId="77777777" w:rsidTr="00740321">
        <w:trPr>
          <w:trHeight w:val="548"/>
          <w:jc w:val="center"/>
        </w:trPr>
        <w:tc>
          <w:tcPr>
            <w:tcW w:w="6234" w:type="dxa"/>
            <w:vMerge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2C4F14AD" w14:textId="77777777" w:rsidR="004E3D7E" w:rsidRPr="00E21D72" w:rsidRDefault="004E3D7E" w:rsidP="004E3D7E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0D900F1" w14:textId="01079AE4" w:rsidR="004E3D7E" w:rsidRPr="00E21D72" w:rsidRDefault="00AE5284" w:rsidP="004E3D7E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Νοε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3B2EDB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Νοε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3B2EDB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3</w:t>
            </w:r>
          </w:p>
        </w:tc>
      </w:tr>
      <w:tr w:rsidR="00216205" w:rsidRPr="00E21D72" w14:paraId="65257A6A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6B01B47" w14:textId="77B84918" w:rsidR="00216205" w:rsidRPr="00E21D72" w:rsidRDefault="00216205" w:rsidP="00216205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proofErr w:type="spellStart"/>
            <w:r>
              <w:rPr>
                <w:rFonts w:ascii="Verdana" w:hAnsi="Verdana" w:cs="Arial"/>
                <w:b/>
                <w:bCs/>
                <w:i/>
                <w:iCs/>
                <w:color w:val="365F91"/>
                <w:sz w:val="18"/>
                <w:szCs w:val="18"/>
              </w:rPr>
              <w:t>Θετική</w:t>
            </w:r>
            <w:proofErr w:type="spellEnd"/>
            <w:r>
              <w:rPr>
                <w:rFonts w:ascii="Verdana" w:hAnsi="Verdana" w:cs="Arial"/>
                <w:b/>
                <w:bCs/>
                <w:i/>
                <w:iCs/>
                <w:color w:val="365F91"/>
                <w:sz w:val="18"/>
                <w:szCs w:val="18"/>
              </w:rPr>
              <w:t xml:space="preserve"> επίπ</w:t>
            </w:r>
            <w:proofErr w:type="spellStart"/>
            <w:r>
              <w:rPr>
                <w:rFonts w:ascii="Verdana" w:hAnsi="Verdana" w:cs="Arial"/>
                <w:b/>
                <w:bCs/>
                <w:i/>
                <w:iCs/>
                <w:color w:val="365F91"/>
                <w:sz w:val="18"/>
                <w:szCs w:val="18"/>
              </w:rPr>
              <w:t>τωση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D1336AD" w14:textId="73D928B5" w:rsidR="00216205" w:rsidRPr="00E21D72" w:rsidRDefault="00216205" w:rsidP="00216205">
            <w:pPr>
              <w:ind w:right="1304" w:firstLineChars="200" w:firstLine="360"/>
              <w:jc w:val="center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 </w:t>
            </w:r>
          </w:p>
        </w:tc>
      </w:tr>
      <w:tr w:rsidR="00BF2B1C" w:rsidRPr="00E21D72" w14:paraId="6E5AF7BA" w14:textId="77777777" w:rsidTr="00FB64A5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9D6202D" w14:textId="264B9747" w:rsidR="00BF2B1C" w:rsidRPr="003A1153" w:rsidRDefault="00BF2B1C" w:rsidP="00BF2B1C">
            <w:pPr>
              <w:ind w:left="321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Υπ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ηρεσίες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τροφοδοσί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569D5F39" w14:textId="71E818EB" w:rsidR="00BF2B1C" w:rsidRPr="003A1153" w:rsidRDefault="00BF2B1C" w:rsidP="00BF2B1C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0,43</w:t>
            </w:r>
          </w:p>
        </w:tc>
      </w:tr>
      <w:tr w:rsidR="00BF2B1C" w:rsidRPr="00E21D72" w14:paraId="33A68CE0" w14:textId="77777777" w:rsidTr="00FB64A5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32DE9B99" w14:textId="75610F6E" w:rsidR="00BF2B1C" w:rsidRPr="003A1153" w:rsidRDefault="00BF2B1C" w:rsidP="00BF2B1C">
            <w:pPr>
              <w:ind w:left="321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Πα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τάτες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21040E55" w14:textId="523449A2" w:rsidR="00BF2B1C" w:rsidRPr="003A1153" w:rsidRDefault="00BF2B1C" w:rsidP="00BF2B1C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0,28</w:t>
            </w:r>
          </w:p>
        </w:tc>
      </w:tr>
      <w:tr w:rsidR="00BF2B1C" w:rsidRPr="00E21D72" w14:paraId="5B57BFFD" w14:textId="77777777" w:rsidTr="00FB64A5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6F5C30A" w14:textId="5587A674" w:rsidR="00BF2B1C" w:rsidRPr="003A1153" w:rsidRDefault="00BF2B1C" w:rsidP="00BF2B1C">
            <w:pPr>
              <w:ind w:left="321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bookmarkStart w:id="4" w:name="_Hlk178677251"/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Φρέσκ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 λαχα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νικά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D4857A8" w14:textId="1A279D01" w:rsidR="00BF2B1C" w:rsidRPr="003A1153" w:rsidRDefault="00BF2B1C" w:rsidP="00BF2B1C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0,19</w:t>
            </w:r>
          </w:p>
        </w:tc>
      </w:tr>
      <w:tr w:rsidR="00BF2B1C" w:rsidRPr="00360B5F" w14:paraId="22FA0A3F" w14:textId="77777777" w:rsidTr="00FB64A5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F3A97CA" w14:textId="18A05820" w:rsidR="00BF2B1C" w:rsidRPr="00360B5F" w:rsidRDefault="00BF2B1C" w:rsidP="00BF2B1C">
            <w:pPr>
              <w:ind w:left="321"/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</w:pPr>
            <w:r w:rsidRPr="00BF2B1C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Υπηρεσίες για τακτική συντήρηση κατοικίας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35DE0F34" w14:textId="44BD44FF" w:rsidR="00BF2B1C" w:rsidRPr="00360B5F" w:rsidRDefault="00BF2B1C" w:rsidP="00BF2B1C">
            <w:pPr>
              <w:ind w:right="1304" w:firstLineChars="200" w:firstLine="360"/>
              <w:jc w:val="right"/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0,14</w:t>
            </w:r>
          </w:p>
        </w:tc>
      </w:tr>
      <w:bookmarkEnd w:id="4"/>
      <w:tr w:rsidR="00EA4C7B" w:rsidRPr="00E21D72" w14:paraId="5F56DE30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</w:tcBorders>
            <w:shd w:val="clear" w:color="FFFFFF" w:fill="FFFFFF"/>
            <w:vAlign w:val="center"/>
          </w:tcPr>
          <w:p w14:paraId="45CA1F54" w14:textId="62998D06" w:rsidR="00EA4C7B" w:rsidRPr="00E21D72" w:rsidRDefault="00EA4C7B" w:rsidP="00EA4C7B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i/>
                <w:iCs/>
                <w:color w:val="365F91"/>
                <w:sz w:val="18"/>
                <w:szCs w:val="18"/>
                <w:lang w:val="el-GR"/>
              </w:rPr>
              <w:t>Αρνητική επίπτωση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7620B1EE" w14:textId="37C419D7" w:rsidR="00EA4C7B" w:rsidRPr="00700DF0" w:rsidRDefault="00EA4C7B" w:rsidP="00EA4C7B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</w:rPr>
            </w:pPr>
          </w:p>
        </w:tc>
      </w:tr>
      <w:tr w:rsidR="00BF2B1C" w:rsidRPr="00E21D72" w14:paraId="157F0974" w14:textId="77777777" w:rsidTr="005040CC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60212099" w14:textId="57558F11" w:rsidR="00BF2B1C" w:rsidRPr="00E21D72" w:rsidRDefault="00BF2B1C" w:rsidP="00BF2B1C">
            <w:pPr>
              <w:ind w:left="326"/>
              <w:rPr>
                <w:rFonts w:ascii="Verdana" w:eastAsia="Times New Roman" w:hAnsi="Verdana" w:cs="Arial"/>
                <w:b/>
                <w:bCs/>
                <w:i/>
                <w:iCs/>
                <w:color w:val="365F91"/>
                <w:sz w:val="18"/>
                <w:szCs w:val="18"/>
                <w:lang w:val="el-GR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Πετρελ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αιοειδή</w:t>
            </w:r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71EC68D8" w14:textId="03473210" w:rsidR="00BF2B1C" w:rsidRPr="003A1153" w:rsidRDefault="00BF2B1C" w:rsidP="00BF2B1C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-0,58</w:t>
            </w:r>
          </w:p>
        </w:tc>
      </w:tr>
      <w:tr w:rsidR="00BF2B1C" w:rsidRPr="00E21D72" w14:paraId="769D35E4" w14:textId="77777777" w:rsidTr="005040CC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E6356C1" w14:textId="2A04D809" w:rsidR="00BF2B1C" w:rsidRDefault="00BF2B1C" w:rsidP="00BF2B1C">
            <w:pPr>
              <w:ind w:left="326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Ηλεκτρισμός</w:t>
            </w:r>
            <w:proofErr w:type="spellEnd"/>
          </w:p>
        </w:tc>
        <w:tc>
          <w:tcPr>
            <w:tcW w:w="3227" w:type="dxa"/>
            <w:tcBorders>
              <w:top w:val="nil"/>
            </w:tcBorders>
            <w:shd w:val="clear" w:color="FFFFFF" w:fill="FFFFFF"/>
            <w:noWrap/>
            <w:vAlign w:val="center"/>
          </w:tcPr>
          <w:p w14:paraId="1403F365" w14:textId="1CDE0DC9" w:rsidR="00BF2B1C" w:rsidRPr="003A1153" w:rsidRDefault="00BF2B1C" w:rsidP="00BF2B1C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-0,25</w:t>
            </w:r>
          </w:p>
        </w:tc>
      </w:tr>
      <w:tr w:rsidR="00EA4C7B" w:rsidRPr="00E21D72" w14:paraId="7CE0AC98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7235CD23" w14:textId="12E6FA06" w:rsidR="00EA4C7B" w:rsidRPr="00E21D72" w:rsidRDefault="00EA4C7B" w:rsidP="00EA4C7B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ΓΕΝΙΚΟ ΣΥΝΟΛΟ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150BB30D" w14:textId="37E0FC5E" w:rsidR="00EA4C7B" w:rsidRPr="00BF2B1C" w:rsidRDefault="00BF2B1C" w:rsidP="00EA4C7B">
            <w:pPr>
              <w:ind w:right="1304" w:firstLineChars="200" w:firstLine="361"/>
              <w:jc w:val="right"/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  <w:t>1</w:t>
            </w:r>
            <w:r w:rsidR="00EA4C7B" w:rsidRPr="00EA4C7B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,</w:t>
            </w:r>
            <w:r w:rsidR="00051603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7</w:t>
            </w:r>
            <w: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</w:rPr>
              <w:t>0</w:t>
            </w:r>
          </w:p>
        </w:tc>
      </w:tr>
      <w:bookmarkEnd w:id="3"/>
    </w:tbl>
    <w:p w14:paraId="42BB662F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n-GB"/>
        </w:rPr>
      </w:pPr>
    </w:p>
    <w:p w14:paraId="2A4BF5B0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3F1D27E5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C90568E" w14:textId="77777777" w:rsidR="006022B5" w:rsidRPr="00A36D89" w:rsidRDefault="006022B5" w:rsidP="00A36D89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285561AD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82DA6E2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</w:rPr>
      </w:pPr>
    </w:p>
    <w:p w14:paraId="4FD7775C" w14:textId="77777777" w:rsidR="00BF2B1C" w:rsidRPr="00D56B64" w:rsidRDefault="00BF2B1C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tbl>
      <w:tblPr>
        <w:tblW w:w="9461" w:type="dxa"/>
        <w:jc w:val="center"/>
        <w:tblLook w:val="04A0" w:firstRow="1" w:lastRow="0" w:firstColumn="1" w:lastColumn="0" w:noHBand="0" w:noVBand="1"/>
      </w:tblPr>
      <w:tblGrid>
        <w:gridCol w:w="6234"/>
        <w:gridCol w:w="3227"/>
      </w:tblGrid>
      <w:tr w:rsidR="006022B5" w:rsidRPr="00E21D72" w14:paraId="59D19A26" w14:textId="77777777" w:rsidTr="00B31395">
        <w:trPr>
          <w:trHeight w:hRule="exact" w:val="340"/>
          <w:jc w:val="center"/>
        </w:trPr>
        <w:tc>
          <w:tcPr>
            <w:tcW w:w="9461" w:type="dxa"/>
            <w:gridSpan w:val="2"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0A682EA1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Πίνακας 5</w:t>
            </w:r>
          </w:p>
        </w:tc>
      </w:tr>
      <w:tr w:rsidR="006022B5" w:rsidRPr="00E21D72" w14:paraId="5E069138" w14:textId="77777777" w:rsidTr="00740321">
        <w:trPr>
          <w:trHeight w:val="630"/>
          <w:jc w:val="center"/>
        </w:trPr>
        <w:tc>
          <w:tcPr>
            <w:tcW w:w="6234" w:type="dxa"/>
            <w:vMerge w:val="restart"/>
            <w:tcBorders>
              <w:top w:val="single" w:sz="4" w:space="0" w:color="366092"/>
            </w:tcBorders>
            <w:shd w:val="clear" w:color="FFFFFF" w:fill="FFFFFF"/>
            <w:vAlign w:val="center"/>
            <w:hideMark/>
          </w:tcPr>
          <w:p w14:paraId="59137E77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Προϊόντα/Υπηρεσίες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5BE79330" w14:textId="77777777" w:rsidR="006022B5" w:rsidRPr="00E21D72" w:rsidRDefault="006022B5" w:rsidP="006022B5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Επίπτωση (μονάδες)</w:t>
            </w:r>
          </w:p>
        </w:tc>
      </w:tr>
      <w:tr w:rsidR="006022B5" w:rsidRPr="00E21D72" w14:paraId="0C3752BC" w14:textId="77777777" w:rsidTr="00740321">
        <w:trPr>
          <w:trHeight w:val="548"/>
          <w:jc w:val="center"/>
        </w:trPr>
        <w:tc>
          <w:tcPr>
            <w:tcW w:w="6234" w:type="dxa"/>
            <w:vMerge/>
            <w:tcBorders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3CFE0A0E" w14:textId="77777777" w:rsidR="006022B5" w:rsidRPr="00E21D72" w:rsidRDefault="006022B5" w:rsidP="006022B5">
            <w:pP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</w:pP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  <w:hideMark/>
          </w:tcPr>
          <w:p w14:paraId="78D48676" w14:textId="0D6932E9" w:rsidR="006022B5" w:rsidRPr="00E21D72" w:rsidRDefault="00DB28E3" w:rsidP="002A7893">
            <w:pPr>
              <w:jc w:val="center"/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</w:rPr>
            </w:pP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Νοε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3B2EDB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/ </w:t>
            </w:r>
            <w:r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Οκτ</w:t>
            </w:r>
            <w:r w:rsidR="003B2EDB" w:rsidRPr="00E21D72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 xml:space="preserve"> 2</w:t>
            </w:r>
            <w:r w:rsidR="003B2EDB">
              <w:rPr>
                <w:rFonts w:ascii="Verdana" w:eastAsia="Times New Roman" w:hAnsi="Verdana" w:cs="Arial"/>
                <w:b/>
                <w:bCs/>
                <w:color w:val="365F91"/>
                <w:sz w:val="18"/>
                <w:szCs w:val="18"/>
                <w:lang w:val="el-GR"/>
              </w:rPr>
              <w:t>4</w:t>
            </w:r>
          </w:p>
        </w:tc>
      </w:tr>
      <w:tr w:rsidR="003968D1" w:rsidRPr="00E21D72" w14:paraId="446C362D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10BE80B9" w14:textId="13825D41" w:rsidR="003968D1" w:rsidRPr="00E21D72" w:rsidRDefault="00936D92" w:rsidP="003968D1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i/>
                <w:iCs/>
                <w:color w:val="365F91"/>
                <w:sz w:val="18"/>
                <w:szCs w:val="18"/>
                <w:lang w:val="el-GR"/>
              </w:rPr>
              <w:t>Θετική επίπτωση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775CF692" w14:textId="77777777" w:rsidR="003968D1" w:rsidRPr="00E21D72" w:rsidRDefault="003968D1" w:rsidP="003968D1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</w:p>
        </w:tc>
      </w:tr>
      <w:tr w:rsidR="00D56B64" w:rsidRPr="00E21D72" w14:paraId="0F1E746A" w14:textId="77777777" w:rsidTr="008D6218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7175C978" w14:textId="7BDFF3AA" w:rsidR="00D56B64" w:rsidRPr="003A1153" w:rsidRDefault="00D56B64" w:rsidP="00D56B64">
            <w:pPr>
              <w:ind w:firstLine="179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Πα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τάτες</w:t>
            </w:r>
            <w:proofErr w:type="spellEnd"/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4EBEF734" w14:textId="25596E00" w:rsidR="00D56B64" w:rsidRPr="00E21D72" w:rsidRDefault="00D56B64" w:rsidP="00D56B64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18</w:t>
            </w:r>
          </w:p>
        </w:tc>
      </w:tr>
      <w:tr w:rsidR="00D56B64" w:rsidRPr="00E21D72" w14:paraId="6B057E0A" w14:textId="77777777" w:rsidTr="008D6218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C7ECBBC" w14:textId="511801C5" w:rsidR="00D56B64" w:rsidRDefault="00D56B64" w:rsidP="00D56B64">
            <w:pPr>
              <w:ind w:firstLine="179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Είδη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Ένδυσης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775AA1FE" w14:textId="3F731FB2" w:rsidR="00D56B64" w:rsidRDefault="00D56B64" w:rsidP="00D56B64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09</w:t>
            </w:r>
          </w:p>
        </w:tc>
      </w:tr>
      <w:tr w:rsidR="00D56B64" w:rsidRPr="00E21D72" w14:paraId="57233FCB" w14:textId="77777777" w:rsidTr="008D6218">
        <w:trPr>
          <w:trHeight w:val="300"/>
          <w:jc w:val="center"/>
        </w:trPr>
        <w:tc>
          <w:tcPr>
            <w:tcW w:w="6234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vAlign w:val="center"/>
          </w:tcPr>
          <w:p w14:paraId="0201F4B0" w14:textId="10D2D203" w:rsidR="00D56B64" w:rsidRPr="00D56B64" w:rsidRDefault="00D56B64" w:rsidP="00D56B64">
            <w:pPr>
              <w:ind w:firstLine="179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Είδη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 Υπ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όδηση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 xml:space="preserve">ς </w:t>
            </w:r>
          </w:p>
        </w:tc>
        <w:tc>
          <w:tcPr>
            <w:tcW w:w="3227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</w:tcPr>
          <w:p w14:paraId="2014C055" w14:textId="469AAC0D" w:rsidR="00D56B64" w:rsidRDefault="00D56B64" w:rsidP="00D56B64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0</w:t>
            </w:r>
            <w:r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,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05</w:t>
            </w:r>
          </w:p>
        </w:tc>
      </w:tr>
      <w:tr w:rsidR="006E21FE" w:rsidRPr="008B1495" w14:paraId="4A4B0AD6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4CF1B693" w14:textId="1562A939" w:rsidR="006E21FE" w:rsidRPr="00E21D72" w:rsidRDefault="006E21FE" w:rsidP="006E21FE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bCs/>
                <w:i/>
                <w:iCs/>
                <w:color w:val="365F91"/>
                <w:sz w:val="18"/>
                <w:szCs w:val="18"/>
                <w:lang w:val="el-GR"/>
              </w:rPr>
              <w:t>Αρνητική επίπτωση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6FF5F87F" w14:textId="77777777" w:rsidR="006E21FE" w:rsidRDefault="006E21FE" w:rsidP="006E21FE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</w:p>
        </w:tc>
      </w:tr>
      <w:tr w:rsidR="00091CF5" w:rsidRPr="008B1495" w14:paraId="73DEB40F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5B219B47" w14:textId="32C52696" w:rsidR="00091CF5" w:rsidRPr="00E21D72" w:rsidRDefault="00091CF5" w:rsidP="00091CF5">
            <w:pPr>
              <w:ind w:firstLine="179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Φρέσκ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 λαχα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νικά</w:t>
            </w:r>
            <w:proofErr w:type="spellEnd"/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334EDF71" w14:textId="6D7CC10F" w:rsidR="00091CF5" w:rsidRDefault="00091CF5" w:rsidP="00091CF5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</w:t>
            </w:r>
            <w:r w:rsidR="00D56B64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5</w:t>
            </w:r>
            <w:r>
              <w:rPr>
                <w:rFonts w:ascii="Verdana" w:hAnsi="Verdana" w:cs="Arial"/>
                <w:color w:val="365F91"/>
                <w:sz w:val="18"/>
                <w:szCs w:val="18"/>
              </w:rPr>
              <w:t>6</w:t>
            </w:r>
          </w:p>
        </w:tc>
      </w:tr>
      <w:tr w:rsidR="00091CF5" w:rsidRPr="008B1495" w14:paraId="06B307CE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nil"/>
              <w:bottom w:val="nil"/>
            </w:tcBorders>
            <w:shd w:val="clear" w:color="FFFFFF" w:fill="FFFFFF"/>
            <w:vAlign w:val="center"/>
          </w:tcPr>
          <w:p w14:paraId="6C621C38" w14:textId="66A398B5" w:rsidR="00091CF5" w:rsidRPr="00EA4C7B" w:rsidRDefault="00091CF5" w:rsidP="00091CF5">
            <w:pPr>
              <w:ind w:firstLine="179"/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Φρέσκ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 xml:space="preserve">α </w:t>
            </w:r>
            <w:proofErr w:type="spellStart"/>
            <w:r>
              <w:rPr>
                <w:rFonts w:ascii="Verdana" w:hAnsi="Verdana" w:cs="Arial"/>
                <w:color w:val="365F91"/>
                <w:sz w:val="18"/>
                <w:szCs w:val="18"/>
              </w:rPr>
              <w:t>φρούτ</w:t>
            </w:r>
            <w:proofErr w:type="spellEnd"/>
            <w:r>
              <w:rPr>
                <w:rFonts w:ascii="Verdana" w:hAnsi="Verdana" w:cs="Arial"/>
                <w:color w:val="365F91"/>
                <w:sz w:val="18"/>
                <w:szCs w:val="18"/>
              </w:rPr>
              <w:t>α</w:t>
            </w:r>
          </w:p>
        </w:tc>
        <w:tc>
          <w:tcPr>
            <w:tcW w:w="3227" w:type="dxa"/>
            <w:tcBorders>
              <w:top w:val="nil"/>
              <w:bottom w:val="nil"/>
            </w:tcBorders>
            <w:shd w:val="clear" w:color="FFFFFF" w:fill="FFFFFF"/>
            <w:noWrap/>
            <w:vAlign w:val="center"/>
          </w:tcPr>
          <w:p w14:paraId="0AE17786" w14:textId="7AA032D3" w:rsidR="00091CF5" w:rsidRPr="00D56B64" w:rsidRDefault="00091CF5" w:rsidP="00091CF5">
            <w:pPr>
              <w:ind w:right="1304" w:firstLineChars="200" w:firstLine="360"/>
              <w:jc w:val="right"/>
              <w:rPr>
                <w:rFonts w:ascii="Verdana" w:eastAsia="Times New Roman" w:hAnsi="Verdana" w:cs="Arial"/>
                <w:bCs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hAnsi="Verdana" w:cs="Arial"/>
                <w:color w:val="365F91"/>
                <w:sz w:val="18"/>
                <w:szCs w:val="18"/>
              </w:rPr>
              <w:t>-0,</w:t>
            </w:r>
            <w:r w:rsidR="00D56B64">
              <w:rPr>
                <w:rFonts w:ascii="Verdana" w:hAnsi="Verdana" w:cs="Arial"/>
                <w:color w:val="365F91"/>
                <w:sz w:val="18"/>
                <w:szCs w:val="18"/>
                <w:lang w:val="el-GR"/>
              </w:rPr>
              <w:t>09</w:t>
            </w:r>
          </w:p>
        </w:tc>
      </w:tr>
      <w:tr w:rsidR="006E21FE" w:rsidRPr="00E21D72" w14:paraId="1696B547" w14:textId="77777777" w:rsidTr="003A1153">
        <w:trPr>
          <w:trHeight w:val="300"/>
          <w:jc w:val="center"/>
        </w:trPr>
        <w:tc>
          <w:tcPr>
            <w:tcW w:w="6234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vAlign w:val="center"/>
          </w:tcPr>
          <w:p w14:paraId="04ECCD32" w14:textId="77777777" w:rsidR="006E21FE" w:rsidRPr="00E21D72" w:rsidRDefault="006E21FE" w:rsidP="006E21FE">
            <w:pPr>
              <w:rPr>
                <w:rFonts w:ascii="Verdana" w:eastAsia="Times New Roman" w:hAnsi="Verdana" w:cs="Arial"/>
                <w:color w:val="365F91"/>
                <w:sz w:val="18"/>
                <w:szCs w:val="18"/>
                <w:lang w:val="el-GR"/>
              </w:rPr>
            </w:pPr>
            <w:r w:rsidRPr="00E21D72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ΓΕΝΙΚΟ ΣΥΝΟΛΟ</w:t>
            </w:r>
          </w:p>
        </w:tc>
        <w:tc>
          <w:tcPr>
            <w:tcW w:w="3227" w:type="dxa"/>
            <w:tcBorders>
              <w:top w:val="single" w:sz="4" w:space="0" w:color="366092"/>
              <w:bottom w:val="single" w:sz="4" w:space="0" w:color="366092"/>
            </w:tcBorders>
            <w:shd w:val="clear" w:color="FFFFFF" w:fill="FFFFFF"/>
            <w:noWrap/>
            <w:vAlign w:val="center"/>
          </w:tcPr>
          <w:p w14:paraId="0B88B50F" w14:textId="5DDF5C02" w:rsidR="00D56B64" w:rsidRPr="00BC5B12" w:rsidRDefault="00D56B64" w:rsidP="00D56B64">
            <w:pPr>
              <w:ind w:right="1296" w:firstLineChars="200" w:firstLine="361"/>
              <w:jc w:val="right"/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</w:pPr>
            <w: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-0</w:t>
            </w:r>
            <w:r w:rsidR="006E21FE"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,</w:t>
            </w:r>
            <w:r>
              <w:rPr>
                <w:rFonts w:ascii="Verdana" w:eastAsia="Times New Roman" w:hAnsi="Verdana" w:cs="Arial"/>
                <w:b/>
                <w:color w:val="365F91"/>
                <w:sz w:val="18"/>
                <w:szCs w:val="18"/>
                <w:lang w:val="el-GR"/>
              </w:rPr>
              <w:t>42</w:t>
            </w:r>
          </w:p>
        </w:tc>
      </w:tr>
    </w:tbl>
    <w:p w14:paraId="2EB51A71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4C43CFC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7648AE1" w14:textId="77777777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07D4ECFE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6FDF1279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08AF74B7" w14:textId="77777777" w:rsid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321070C" w14:textId="77777777" w:rsidR="00091CF5" w:rsidRPr="00091CF5" w:rsidRDefault="00091CF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730B2FA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024F077A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CDE80F4" w14:textId="3657D20F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62226AB4" w14:textId="5D6472C0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1931726" w14:textId="32EC001F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4FFAD0D4" w14:textId="11D17952" w:rsidR="00C8341F" w:rsidRPr="00E21D72" w:rsidRDefault="00C8341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3A34100" w14:textId="59018CB8" w:rsidR="0016172E" w:rsidRPr="00E21D72" w:rsidRDefault="0016172E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B804217" w14:textId="72743EA0" w:rsidR="0016172E" w:rsidRPr="00E21D72" w:rsidRDefault="0016172E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3F07355" w14:textId="77777777" w:rsidR="009048F9" w:rsidRDefault="009048F9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4964EFC1" w14:textId="77777777" w:rsidR="004C6ABF" w:rsidRDefault="004C6AB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22B615A9" w14:textId="77777777" w:rsidR="004C6ABF" w:rsidRDefault="004C6AB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770C1FAA" w14:textId="7C2E5A1A" w:rsidR="004C6ABF" w:rsidRDefault="004C6AB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19438811" w14:textId="12802A74" w:rsidR="00F646E6" w:rsidRDefault="00F646E6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59E95FB5" w14:textId="77777777" w:rsidR="00317671" w:rsidRDefault="00317671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36AC279A" w14:textId="77777777" w:rsidR="004C6ABF" w:rsidRDefault="004C6ABF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3A210296" w14:textId="77777777" w:rsidR="000146DB" w:rsidRDefault="000146DB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u w:val="single"/>
          <w:lang w:val="el-GR"/>
        </w:rPr>
      </w:pPr>
    </w:p>
    <w:p w14:paraId="6F05DBDE" w14:textId="77777777" w:rsidR="006022B5" w:rsidRPr="00E21D72" w:rsidRDefault="006022B5" w:rsidP="006022B5">
      <w:pPr>
        <w:tabs>
          <w:tab w:val="left" w:pos="1080"/>
          <w:tab w:val="left" w:pos="6840"/>
        </w:tabs>
        <w:jc w:val="center"/>
        <w:rPr>
          <w:rFonts w:ascii="Verdana" w:eastAsia="Malgun Gothic" w:hAnsi="Verdana" w:cs="Arial"/>
          <w:b/>
          <w:u w:val="single"/>
          <w:lang w:val="el-GR"/>
        </w:rPr>
      </w:pPr>
      <w:r w:rsidRPr="00E21D72">
        <w:rPr>
          <w:rFonts w:ascii="Verdana" w:eastAsia="Malgun Gothic" w:hAnsi="Verdana" w:cs="Arial"/>
          <w:b/>
          <w:u w:val="single"/>
          <w:lang w:val="el-GR"/>
        </w:rPr>
        <w:lastRenderedPageBreak/>
        <w:t>ΜΕΘΟΔΟΛΟΓΙΚΕΣ ΠΛΗΡΟΦΟΡΙΕΣ</w:t>
      </w:r>
    </w:p>
    <w:p w14:paraId="3C2B4637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</w:p>
    <w:p w14:paraId="63318CA3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Ορισμοί</w:t>
      </w:r>
    </w:p>
    <w:p w14:paraId="7EED2F30" w14:textId="77777777" w:rsidR="006022B5" w:rsidRPr="00E21D72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6C384CCE" w14:textId="3218965D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Ο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Δείκτης Τιμών Καταναλωτή (ΔΤΚ)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είναι οικονομικός δείκτης που καταρτίζεται για τη μέτρηση των διαχρονικών μεταβολών στις τιμές των καταναλωτικών αγαθών και υπηρεσιών που αποκτώνται, χρησιμοποιούνται ή πληρώνονται από τα νοικοκυριά (διαμένουν στην Κύπρο ή έχουν σκοπό να διαμείνουν στην Κύπρο για ένα χρόνο τουλάχιστον)</w:t>
      </w:r>
      <w:r w:rsidR="00FB3CEB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Ο ΔΤΚ αποτελεί τον επίσημο δείκτη για τον υπολογισμό του πληθωρισμού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46E76B27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7069BCC" w14:textId="4E3DFB78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Ο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Πληθωρισμός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δείχνει τη μεταβολή του ΔΤΚ σε σχέση με τον αντίστοιχο μήνα του προηγούμενου έτους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1393B8C7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52471B4" w14:textId="54E2BC2F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Η </w:t>
      </w:r>
      <w:r w:rsidRPr="00E21D72">
        <w:rPr>
          <w:rFonts w:ascii="Verdana" w:eastAsia="Malgun Gothic" w:hAnsi="Verdana" w:cs="Arial"/>
          <w:b/>
          <w:sz w:val="18"/>
          <w:szCs w:val="18"/>
          <w:lang w:val="el-GR"/>
        </w:rPr>
        <w:t>Επίπτωση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αντιπροσωπεύει το ποσό της συνολικής μεταβολής στον ΔΤΚ το οποίο οφείλεται στην αναφερόμενη κατηγορία/αγαθό/υπηρεσία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22ABDD7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CC1A477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proofErr w:type="spellStart"/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Τιμοληψία</w:t>
      </w:r>
      <w:proofErr w:type="spellEnd"/>
    </w:p>
    <w:p w14:paraId="6BCF4E62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AFEFEB0" w14:textId="0DBDC93A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Η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τιμοληψία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διενεργείται μόνο στις αστικές περιοχές των επαρχιών Λευκωσίας, Λάρνακας, Λεμεσού και Πάφου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Για κάθε πόλη οι αυξομειώσεις των τιμών κατά προϊόν κάθε μήνα σταθμίζονται ανάλογα με τον πληθυσμό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Συγκεκριμένα οι συντελεστές στάθμισης για τις τέσσερις επαρχίες: Λευκωσία 42%, Λεμεσός 30%, Λάρνακα 18% και Πάφος 10%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737D6DCA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DE9E601" w14:textId="7FD032E1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Οι τιμές των 805 ειδών και υπηρεσιών, που περιλαμβάνονται στον ΔΤΚ παρακολουθούνται και καταγράφονται μια φορά κάθε μήνα, εκτός από κάποια εποχικά προϊόντα (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π</w:t>
      </w:r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>χ</w:t>
      </w:r>
      <w:proofErr w:type="spellEnd"/>
      <w:r w:rsidR="003A1153">
        <w:rPr>
          <w:rFonts w:ascii="Verdana" w:eastAsia="Malgun Gothic" w:hAnsi="Verdana" w:cs="Arial"/>
          <w:sz w:val="18"/>
          <w:szCs w:val="18"/>
          <w:lang w:val="el-GR"/>
        </w:rPr>
        <w:t>,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λαχανικά και φρούτα), τα κρέατα και τα καύσιμα, των οποίων οι τιμές συλλέγονται κάθε βδομάδα (κάθε Πέμπτη)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1298584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0F3C191" w14:textId="4E41AF0C" w:rsidR="006022B5" w:rsidRPr="00E21D72" w:rsidRDefault="006022B5" w:rsidP="006022B5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Έτος </w:t>
      </w:r>
      <w:r w:rsid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Β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άσης</w:t>
      </w:r>
    </w:p>
    <w:p w14:paraId="12559C64" w14:textId="77777777" w:rsidR="006022B5" w:rsidRPr="00E21D72" w:rsidRDefault="006022B5" w:rsidP="006022B5">
      <w:pPr>
        <w:tabs>
          <w:tab w:val="left" w:pos="945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795D5698" w14:textId="392BFF36" w:rsidR="006022B5" w:rsidRPr="00E21D72" w:rsidRDefault="006022B5" w:rsidP="006022B5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Το έτος βάσης από τον Ιανουάριο του 2006 μέχρι το Δεκέμβριο του 2015 ήταν το 2005=100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Από τον Ιανουάριο του 2016 έτος αναφοράς είναι το 2015=100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0CCFF880" w14:textId="77777777" w:rsidR="006022B5" w:rsidRPr="00E21D72" w:rsidRDefault="006022B5" w:rsidP="006022B5">
      <w:pPr>
        <w:jc w:val="both"/>
        <w:rPr>
          <w:rFonts w:ascii="Verdana" w:eastAsia="Malgun Gothic" w:hAnsi="Verdana" w:cs="Arial"/>
          <w:b/>
          <w:sz w:val="18"/>
          <w:szCs w:val="18"/>
          <w:lang w:val="el-GR"/>
        </w:rPr>
      </w:pPr>
    </w:p>
    <w:p w14:paraId="217CF854" w14:textId="77777777" w:rsidR="006022B5" w:rsidRPr="00E21D72" w:rsidRDefault="006022B5" w:rsidP="006022B5">
      <w:pPr>
        <w:jc w:val="both"/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Ταξινόμηση                                                                                                                  </w:t>
      </w:r>
    </w:p>
    <w:p w14:paraId="524F8056" w14:textId="77777777" w:rsidR="006022B5" w:rsidRPr="00E21D72" w:rsidRDefault="006022B5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4EFB4A91" w14:textId="2BF8B94C" w:rsidR="006022B5" w:rsidRPr="00E21D72" w:rsidRDefault="006022B5" w:rsidP="006022B5">
      <w:pPr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t>Μέχρι τον Δεκέμβριο του 2015, ο ΔΤΚ υπολογιζόταν και δημοσιευόταν βάσει της ταξινόμησης COICOP4 με την οποία η κατηγορία των προϊόντων καθορίζεται μέχρι τα τέσσερα ψηφία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Από τον Ιανουάριο του 2016, ο ΔΤΚ υπολογίζεται και δημοσιεύεται βάσει της ταξινόμησης ECOICOP ακολουθώντας σχετικό κανονισμό της Ευρωπαϊκής Στατιστικής Υπηρεσίας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Ως εκ τούτου, το χαμηλότερο επίπεδο λεπτομέρειας για την ταξινόμηση που χρησιμοποιείται είναι τα πέντε ψηφία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19688906" w14:textId="77777777" w:rsidR="006022B5" w:rsidRPr="00E21D72" w:rsidRDefault="006022B5" w:rsidP="006022B5">
      <w:pPr>
        <w:jc w:val="both"/>
        <w:rPr>
          <w:rFonts w:ascii="Verdana" w:eastAsia="Times New Roman" w:hAnsi="Verdana"/>
          <w:sz w:val="18"/>
          <w:szCs w:val="18"/>
          <w:highlight w:val="yellow"/>
          <w:lang w:val="el-GR"/>
        </w:rPr>
      </w:pPr>
    </w:p>
    <w:p w14:paraId="5A5D77AE" w14:textId="1FAD2A39" w:rsidR="006022B5" w:rsidRPr="00E21D72" w:rsidRDefault="006022B5" w:rsidP="006022B5">
      <w:pPr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 xml:space="preserve">Προϊόντα/Υπηρεσίες και Συντελεστές </w:t>
      </w:r>
      <w:r w:rsid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Σ</w:t>
      </w:r>
      <w:r w:rsidRPr="00E21D72">
        <w:rPr>
          <w:rFonts w:ascii="Verdana" w:eastAsia="Malgun Gothic" w:hAnsi="Verdana" w:cs="Arial"/>
          <w:b/>
          <w:sz w:val="18"/>
          <w:szCs w:val="18"/>
          <w:u w:val="single"/>
          <w:lang w:val="el-GR"/>
        </w:rPr>
        <w:t>τάθμισης</w:t>
      </w:r>
    </w:p>
    <w:p w14:paraId="4EC53982" w14:textId="36200B49" w:rsidR="006022B5" w:rsidRDefault="006022B5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 w:rsidRPr="00E21D72">
        <w:rPr>
          <w:rFonts w:ascii="Verdana" w:eastAsia="Malgun Gothic" w:hAnsi="Verdana" w:cs="Arial"/>
          <w:sz w:val="18"/>
          <w:szCs w:val="18"/>
          <w:lang w:val="el-GR"/>
        </w:rPr>
        <w:br/>
        <w:t>Με ισχύ από τον Ιανουάριο του 2018, τόσο τα προϊόντα που περιέχονται στον ΔΤΚ όσο και οι συντελεστές στάθμισής τους αναθεωρήθηκαν</w:t>
      </w:r>
      <w:r w:rsidR="0043609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Η αναθεώρηση βασίστηκε στα αποτελέσματα της Έρευνας Οικογενειακών Προϋπολογισμών 2015/2016</w:t>
      </w:r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</w:p>
    <w:p w14:paraId="63582840" w14:textId="77777777" w:rsidR="00A6617C" w:rsidRPr="00E21D72" w:rsidRDefault="00A6617C" w:rsidP="006022B5">
      <w:pPr>
        <w:tabs>
          <w:tab w:val="left" w:pos="1080"/>
          <w:tab w:val="left" w:pos="6840"/>
        </w:tabs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3DFBF89B" w14:textId="77777777" w:rsidR="006022B5" w:rsidRPr="00E21D72" w:rsidRDefault="006022B5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067D2B41" w14:textId="77777777" w:rsidR="006022B5" w:rsidRPr="00E21D72" w:rsidRDefault="006022B5" w:rsidP="006022B5">
      <w:pPr>
        <w:rPr>
          <w:rFonts w:ascii="Verdana" w:hAnsi="Verdana"/>
          <w:i/>
          <w:iCs/>
          <w:sz w:val="18"/>
          <w:szCs w:val="18"/>
          <w:lang w:val="el-GR"/>
        </w:rPr>
      </w:pPr>
      <w:r w:rsidRPr="00E21D72">
        <w:rPr>
          <w:rFonts w:ascii="Verdana" w:hAnsi="Verdana"/>
          <w:b/>
          <w:bCs/>
          <w:i/>
          <w:iCs/>
          <w:sz w:val="18"/>
          <w:szCs w:val="18"/>
          <w:lang w:val="el-GR"/>
        </w:rPr>
        <w:t>Για περισσότερες πληροφορίες:</w:t>
      </w:r>
      <w:r w:rsidRPr="00E21D72">
        <w:rPr>
          <w:rFonts w:ascii="Verdana" w:hAnsi="Verdana"/>
          <w:i/>
          <w:iCs/>
          <w:sz w:val="18"/>
          <w:szCs w:val="18"/>
          <w:lang w:val="el-GR"/>
        </w:rPr>
        <w:t xml:space="preserve"> </w:t>
      </w:r>
    </w:p>
    <w:p w14:paraId="0AF10108" w14:textId="77777777" w:rsidR="006022B5" w:rsidRPr="00E21D72" w:rsidRDefault="006022B5" w:rsidP="006022B5">
      <w:pPr>
        <w:rPr>
          <w:rFonts w:ascii="Verdana" w:hAnsi="Verdana"/>
          <w:sz w:val="18"/>
          <w:szCs w:val="18"/>
          <w:lang w:val="el-GR"/>
        </w:rPr>
      </w:pPr>
      <w:r w:rsidRPr="00E21D72">
        <w:rPr>
          <w:rFonts w:ascii="Verdana" w:hAnsi="Verdana"/>
          <w:sz w:val="18"/>
          <w:szCs w:val="18"/>
          <w:lang w:val="el-GR"/>
        </w:rPr>
        <w:t xml:space="preserve">Πύλη Στατιστικής Υπηρεσίας, υπόθεμα </w:t>
      </w:r>
      <w:hyperlink r:id="rId9" w:history="1"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Δείκτες Τιμών</w:t>
        </w:r>
      </w:hyperlink>
    </w:p>
    <w:p w14:paraId="5AC14E05" w14:textId="77777777" w:rsidR="006022B5" w:rsidRPr="00E21D72" w:rsidRDefault="006022B5" w:rsidP="006022B5">
      <w:pPr>
        <w:rPr>
          <w:rFonts w:ascii="Verdana" w:hAnsi="Verdana"/>
          <w:sz w:val="18"/>
          <w:szCs w:val="18"/>
          <w:lang w:val="el-GR"/>
        </w:rPr>
      </w:pPr>
      <w:hyperlink r:id="rId10" w:history="1">
        <w:r w:rsidRPr="00E21D72">
          <w:rPr>
            <w:rFonts w:ascii="Verdana" w:hAnsi="Verdana"/>
            <w:color w:val="0000FF"/>
            <w:sz w:val="18"/>
            <w:szCs w:val="18"/>
            <w:u w:val="single"/>
          </w:rPr>
          <w:t>CYSTAT</w:t>
        </w:r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-</w:t>
        </w:r>
        <w:r w:rsidRPr="00E21D72">
          <w:rPr>
            <w:rFonts w:ascii="Verdana" w:hAnsi="Verdana"/>
            <w:color w:val="0000FF"/>
            <w:sz w:val="18"/>
            <w:szCs w:val="18"/>
            <w:u w:val="single"/>
          </w:rPr>
          <w:t>DB</w:t>
        </w:r>
      </w:hyperlink>
      <w:r w:rsidRPr="00E21D72">
        <w:rPr>
          <w:rFonts w:ascii="Verdana" w:hAnsi="Verdana"/>
          <w:sz w:val="18"/>
          <w:szCs w:val="18"/>
          <w:lang w:val="el-GR"/>
        </w:rPr>
        <w:t xml:space="preserve"> (Βάση Δεδομένων)</w:t>
      </w:r>
    </w:p>
    <w:p w14:paraId="44DB05E9" w14:textId="77777777" w:rsidR="006022B5" w:rsidRPr="00E21D72" w:rsidRDefault="006022B5" w:rsidP="006022B5">
      <w:pPr>
        <w:rPr>
          <w:rFonts w:ascii="Verdana" w:hAnsi="Verdana"/>
          <w:sz w:val="18"/>
          <w:szCs w:val="18"/>
          <w:lang w:val="el-GR"/>
        </w:rPr>
      </w:pPr>
      <w:hyperlink r:id="rId11" w:history="1"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Προκαθορισμένοι Πίνακες</w:t>
        </w:r>
      </w:hyperlink>
      <w:r w:rsidRPr="00E21D72">
        <w:rPr>
          <w:rFonts w:ascii="Verdana" w:hAnsi="Verdana"/>
          <w:sz w:val="18"/>
          <w:szCs w:val="18"/>
          <w:lang w:val="el-GR"/>
        </w:rPr>
        <w:t xml:space="preserve"> (</w:t>
      </w:r>
      <w:r w:rsidRPr="00E21D72">
        <w:rPr>
          <w:rFonts w:ascii="Verdana" w:hAnsi="Verdana"/>
          <w:sz w:val="18"/>
          <w:szCs w:val="18"/>
        </w:rPr>
        <w:t>Excel</w:t>
      </w:r>
      <w:r w:rsidRPr="00E21D72">
        <w:rPr>
          <w:rFonts w:ascii="Verdana" w:hAnsi="Verdana"/>
          <w:sz w:val="18"/>
          <w:szCs w:val="18"/>
          <w:lang w:val="el-GR"/>
        </w:rPr>
        <w:t>)</w:t>
      </w:r>
    </w:p>
    <w:p w14:paraId="217E8B4C" w14:textId="77777777" w:rsidR="006022B5" w:rsidRPr="00E21D72" w:rsidRDefault="006022B5" w:rsidP="006022B5">
      <w:pPr>
        <w:jc w:val="both"/>
        <w:rPr>
          <w:rFonts w:ascii="Verdana" w:hAnsi="Verdana"/>
          <w:sz w:val="18"/>
          <w:szCs w:val="18"/>
          <w:lang w:val="el-GR"/>
        </w:rPr>
      </w:pPr>
      <w:hyperlink r:id="rId12" w:tooltip="Μεθοδολογικές Πληροφορίες" w:history="1">
        <w:r w:rsidRPr="00E21D72">
          <w:rPr>
            <w:rFonts w:ascii="Verdana" w:hAnsi="Verdana"/>
            <w:color w:val="0000FF"/>
            <w:sz w:val="18"/>
            <w:szCs w:val="18"/>
            <w:u w:val="single"/>
            <w:lang w:val="el-GR"/>
          </w:rPr>
          <w:t>Μεθοδολογικές Πληροφορίες</w:t>
        </w:r>
      </w:hyperlink>
    </w:p>
    <w:p w14:paraId="0EB2994F" w14:textId="77777777" w:rsidR="006022B5" w:rsidRPr="00E21D72" w:rsidRDefault="006022B5" w:rsidP="006022B5">
      <w:pPr>
        <w:jc w:val="both"/>
        <w:rPr>
          <w:rFonts w:ascii="Verdana" w:hAnsi="Verdana"/>
          <w:b/>
          <w:bCs/>
          <w:sz w:val="18"/>
          <w:szCs w:val="18"/>
          <w:lang w:val="el-GR"/>
        </w:rPr>
      </w:pPr>
    </w:p>
    <w:p w14:paraId="74B0361A" w14:textId="2A12436C" w:rsidR="006022B5" w:rsidRPr="00E21D72" w:rsidRDefault="006022B5" w:rsidP="006022B5">
      <w:pPr>
        <w:jc w:val="both"/>
        <w:rPr>
          <w:rFonts w:ascii="Verdana" w:hAnsi="Verdana" w:cs="Calibri"/>
          <w:b/>
          <w:bCs/>
          <w:sz w:val="18"/>
          <w:szCs w:val="18"/>
          <w:lang w:val="el-GR"/>
        </w:rPr>
      </w:pP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 xml:space="preserve">Οι </w:t>
      </w:r>
      <w:r w:rsidRPr="00E21D72">
        <w:rPr>
          <w:rFonts w:ascii="Verdana" w:hAnsi="Verdana" w:cs="Calibri"/>
          <w:b/>
          <w:bCs/>
          <w:sz w:val="18"/>
          <w:szCs w:val="18"/>
          <w:u w:val="single"/>
          <w:lang w:val="el-GR"/>
        </w:rPr>
        <w:t>Προκαθορισμένοι Πίνακες</w:t>
      </w: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 xml:space="preserve"> σε μορφή </w:t>
      </w:r>
      <w:r w:rsidRPr="00E21D72">
        <w:rPr>
          <w:rFonts w:ascii="Verdana" w:hAnsi="Verdana" w:cs="Calibri"/>
          <w:b/>
          <w:bCs/>
          <w:sz w:val="18"/>
          <w:szCs w:val="18"/>
        </w:rPr>
        <w:t>Excel</w:t>
      </w: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 xml:space="preserve"> είναι ενημερωμένοι με στοιχεία μέχρι και τον Δεκέμβριο του 2021</w:t>
      </w:r>
      <w:r w:rsidR="003A1153">
        <w:rPr>
          <w:rFonts w:ascii="Verdana" w:hAnsi="Verdana" w:cs="Calibri"/>
          <w:b/>
          <w:bCs/>
          <w:sz w:val="18"/>
          <w:szCs w:val="18"/>
          <w:lang w:val="el-GR"/>
        </w:rPr>
        <w:t>,</w:t>
      </w: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 xml:space="preserve"> Για τον Ιανουάριο 2022 και νεότερα στοιχεία, ενημέρωση γίνεται μόνο στη Βάση Δεδομένων </w:t>
      </w:r>
      <w:r w:rsidRPr="00E21D72">
        <w:rPr>
          <w:rFonts w:ascii="Verdana" w:hAnsi="Verdana" w:cs="Calibri"/>
          <w:b/>
          <w:bCs/>
          <w:sz w:val="18"/>
          <w:szCs w:val="18"/>
        </w:rPr>
        <w:t>CYSTAT</w:t>
      </w:r>
      <w:r w:rsidRPr="00E21D72">
        <w:rPr>
          <w:rFonts w:ascii="Verdana" w:hAnsi="Verdana" w:cs="Calibri"/>
          <w:b/>
          <w:bCs/>
          <w:sz w:val="18"/>
          <w:szCs w:val="18"/>
          <w:lang w:val="el-GR"/>
        </w:rPr>
        <w:t>-</w:t>
      </w:r>
      <w:r w:rsidRPr="00E21D72">
        <w:rPr>
          <w:rFonts w:ascii="Verdana" w:hAnsi="Verdana" w:cs="Calibri"/>
          <w:b/>
          <w:bCs/>
          <w:sz w:val="18"/>
          <w:szCs w:val="18"/>
        </w:rPr>
        <w:t>DB</w:t>
      </w:r>
      <w:r w:rsidR="003C63F9">
        <w:rPr>
          <w:rFonts w:ascii="Verdana" w:hAnsi="Verdana" w:cs="Calibri"/>
          <w:b/>
          <w:bCs/>
          <w:sz w:val="18"/>
          <w:szCs w:val="18"/>
          <w:lang w:val="el-GR"/>
        </w:rPr>
        <w:t>.</w:t>
      </w:r>
    </w:p>
    <w:p w14:paraId="27186B73" w14:textId="77777777" w:rsidR="006022B5" w:rsidRPr="00266F1F" w:rsidRDefault="006022B5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25ECF037" w14:textId="77777777" w:rsidR="004C6ABF" w:rsidRPr="00266F1F" w:rsidRDefault="004C6ABF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</w:p>
    <w:p w14:paraId="5513D082" w14:textId="0C179B16" w:rsidR="004C6ABF" w:rsidRPr="00266F1F" w:rsidRDefault="006022B5" w:rsidP="00AC3F63">
      <w:pPr>
        <w:ind w:right="-79"/>
        <w:jc w:val="both"/>
        <w:rPr>
          <w:rFonts w:ascii="Verdana" w:hAnsi="Verdana"/>
          <w:sz w:val="18"/>
          <w:szCs w:val="18"/>
          <w:lang w:val="el-GR"/>
        </w:rPr>
      </w:pPr>
      <w:r w:rsidRPr="00E21D72">
        <w:rPr>
          <w:rFonts w:ascii="Verdana" w:hAnsi="Verdana"/>
          <w:i/>
          <w:sz w:val="18"/>
          <w:szCs w:val="18"/>
          <w:u w:val="single"/>
          <w:lang w:val="el-GR"/>
        </w:rPr>
        <w:t>Επικοινωνία</w:t>
      </w:r>
      <w:r w:rsidRPr="00E21D72">
        <w:rPr>
          <w:rFonts w:ascii="Verdana" w:hAnsi="Verdana"/>
          <w:sz w:val="18"/>
          <w:szCs w:val="18"/>
          <w:lang w:val="el-GR"/>
        </w:rPr>
        <w:t xml:space="preserve"> </w:t>
      </w:r>
    </w:p>
    <w:p w14:paraId="432FD17D" w14:textId="74B68D91" w:rsidR="004C6ABF" w:rsidRPr="004C6ABF" w:rsidRDefault="004C6ABF" w:rsidP="004C6ABF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bookmarkStart w:id="5" w:name="_Hlk176173046"/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Σωφρόνης</w:t>
      </w:r>
      <w:proofErr w:type="spellEnd"/>
      <w:r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Βίκης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Τηλ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>:+3572</w:t>
      </w:r>
      <w:r w:rsidRPr="004C6ABF">
        <w:rPr>
          <w:rFonts w:ascii="Verdana" w:eastAsia="Malgun Gothic" w:hAnsi="Verdana" w:cs="Arial"/>
          <w:sz w:val="18"/>
          <w:szCs w:val="18"/>
          <w:lang w:val="el-GR"/>
        </w:rPr>
        <w:t>2602206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hyperlink r:id="rId13" w:history="1"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</w:rPr>
          <w:t>svikis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@cystat.mof.gov.cy</w:t>
        </w:r>
      </w:hyperlink>
    </w:p>
    <w:p w14:paraId="610A4C7F" w14:textId="32456CE5" w:rsidR="006022B5" w:rsidRPr="00E21D72" w:rsidRDefault="004C6ABF" w:rsidP="006022B5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 xml:space="preserve">Κυριάκος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Βουτουρής</w:t>
      </w:r>
      <w:proofErr w:type="spellEnd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Τηλ</w:t>
      </w:r>
      <w:proofErr w:type="spellEnd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:+3572260</w:t>
      </w:r>
      <w:r>
        <w:rPr>
          <w:rFonts w:ascii="Verdana" w:eastAsia="Malgun Gothic" w:hAnsi="Verdana" w:cs="Arial"/>
          <w:sz w:val="18"/>
          <w:szCs w:val="18"/>
          <w:lang w:val="el-GR"/>
        </w:rPr>
        <w:t>5132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="006022B5"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hyperlink r:id="rId14" w:history="1"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</w:rPr>
          <w:t>kvoutouris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@cystat.mof.gov.cy</w:t>
        </w:r>
      </w:hyperlink>
    </w:p>
    <w:p w14:paraId="5EC9F783" w14:textId="4EEAEBF0" w:rsidR="004C6ABF" w:rsidRPr="00E21D72" w:rsidRDefault="004C6ABF" w:rsidP="004C6ABF">
      <w:pPr>
        <w:tabs>
          <w:tab w:val="left" w:pos="360"/>
          <w:tab w:val="left" w:pos="6840"/>
        </w:tabs>
        <w:ind w:right="-79"/>
        <w:jc w:val="both"/>
        <w:rPr>
          <w:rFonts w:ascii="Verdana" w:eastAsia="Malgun Gothic" w:hAnsi="Verdana" w:cs="Arial"/>
          <w:sz w:val="18"/>
          <w:szCs w:val="18"/>
          <w:lang w:val="el-GR"/>
        </w:rPr>
      </w:pPr>
      <w:r>
        <w:rPr>
          <w:rFonts w:ascii="Verdana" w:eastAsia="Malgun Gothic" w:hAnsi="Verdana" w:cs="Arial"/>
          <w:sz w:val="18"/>
          <w:szCs w:val="18"/>
          <w:lang w:val="el-GR"/>
        </w:rPr>
        <w:t xml:space="preserve">Φίλιππος </w:t>
      </w:r>
      <w:proofErr w:type="spellStart"/>
      <w:r>
        <w:rPr>
          <w:rFonts w:ascii="Verdana" w:eastAsia="Malgun Gothic" w:hAnsi="Verdana" w:cs="Arial"/>
          <w:sz w:val="18"/>
          <w:szCs w:val="18"/>
          <w:lang w:val="el-GR"/>
        </w:rPr>
        <w:t>Κακούτσης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Τηλ</w:t>
      </w:r>
      <w:proofErr w:type="spellEnd"/>
      <w:r w:rsidRPr="00E21D72">
        <w:rPr>
          <w:rFonts w:ascii="Verdana" w:eastAsia="Malgun Gothic" w:hAnsi="Verdana" w:cs="Arial"/>
          <w:sz w:val="18"/>
          <w:szCs w:val="18"/>
          <w:lang w:val="el-GR"/>
        </w:rPr>
        <w:t>:+3572260</w:t>
      </w:r>
      <w:r>
        <w:rPr>
          <w:rFonts w:ascii="Verdana" w:eastAsia="Malgun Gothic" w:hAnsi="Verdana" w:cs="Arial"/>
          <w:sz w:val="18"/>
          <w:szCs w:val="18"/>
          <w:lang w:val="el-GR"/>
        </w:rPr>
        <w:t>5149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,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Ηλ</w:t>
      </w:r>
      <w:proofErr w:type="spellEnd"/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 </w:t>
      </w:r>
      <w:proofErr w:type="spellStart"/>
      <w:r w:rsidRPr="00E21D72">
        <w:rPr>
          <w:rFonts w:ascii="Verdana" w:eastAsia="Malgun Gothic" w:hAnsi="Verdana" w:cs="Arial"/>
          <w:sz w:val="18"/>
          <w:szCs w:val="18"/>
          <w:lang w:val="el-GR"/>
        </w:rPr>
        <w:t>Ταχ</w:t>
      </w:r>
      <w:proofErr w:type="spellEnd"/>
      <w:r w:rsidR="003C63F9">
        <w:rPr>
          <w:rFonts w:ascii="Verdana" w:eastAsia="Malgun Gothic" w:hAnsi="Verdana" w:cs="Arial"/>
          <w:sz w:val="18"/>
          <w:szCs w:val="18"/>
          <w:lang w:val="el-GR"/>
        </w:rPr>
        <w:t>.</w:t>
      </w:r>
      <w:r w:rsidRPr="00E21D72">
        <w:rPr>
          <w:rFonts w:ascii="Verdana" w:eastAsia="Malgun Gothic" w:hAnsi="Verdana" w:cs="Arial"/>
          <w:sz w:val="18"/>
          <w:szCs w:val="18"/>
          <w:lang w:val="el-GR"/>
        </w:rPr>
        <w:t xml:space="preserve">: </w:t>
      </w:r>
      <w:hyperlink r:id="rId15" w:history="1"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</w:rPr>
          <w:t>fkakoutsis</w:t>
        </w:r>
        <w:r w:rsidR="003C63F9" w:rsidRPr="007A6623">
          <w:rPr>
            <w:rStyle w:val="Hyperlink"/>
            <w:rFonts w:ascii="Verdana" w:eastAsia="Malgun Gothic" w:hAnsi="Verdana" w:cs="Arial"/>
            <w:sz w:val="18"/>
            <w:szCs w:val="18"/>
            <w:lang w:val="el-GR"/>
          </w:rPr>
          <w:t>@cystat.mof.gov.cy</w:t>
        </w:r>
      </w:hyperlink>
    </w:p>
    <w:bookmarkEnd w:id="5"/>
    <w:p w14:paraId="13A37716" w14:textId="011C3740" w:rsidR="001712CF" w:rsidRPr="00E21D72" w:rsidRDefault="001712CF" w:rsidP="000E4CB0">
      <w:pPr>
        <w:jc w:val="both"/>
        <w:rPr>
          <w:rFonts w:ascii="Verdana" w:hAnsi="Verdana" w:cs="Arial"/>
          <w:sz w:val="18"/>
          <w:szCs w:val="18"/>
          <w:lang w:val="el-GR"/>
        </w:rPr>
      </w:pPr>
    </w:p>
    <w:p w14:paraId="2437CE1C" w14:textId="0BEAC8D7" w:rsidR="00761E3A" w:rsidRPr="00E21D72" w:rsidRDefault="00761E3A" w:rsidP="000E4CB0">
      <w:pPr>
        <w:jc w:val="both"/>
        <w:rPr>
          <w:rFonts w:ascii="Verdana" w:hAnsi="Verdana" w:cs="Arial"/>
          <w:sz w:val="18"/>
          <w:szCs w:val="18"/>
          <w:lang w:val="el-GR"/>
        </w:rPr>
      </w:pPr>
    </w:p>
    <w:sectPr w:rsidR="00761E3A" w:rsidRPr="00E21D72" w:rsidSect="008620CD">
      <w:headerReference w:type="default" r:id="rId16"/>
      <w:footerReference w:type="default" r:id="rId17"/>
      <w:headerReference w:type="first" r:id="rId18"/>
      <w:footerReference w:type="first" r:id="rId19"/>
      <w:pgSz w:w="11907" w:h="16840" w:code="9"/>
      <w:pgMar w:top="567" w:right="1185" w:bottom="1021" w:left="1134" w:header="426" w:footer="709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9B740CB" w14:textId="77777777" w:rsidR="00235AF0" w:rsidRDefault="00235AF0" w:rsidP="00FB398F">
      <w:r>
        <w:separator/>
      </w:r>
    </w:p>
  </w:endnote>
  <w:endnote w:type="continuationSeparator" w:id="0">
    <w:p w14:paraId="74DB1364" w14:textId="77777777" w:rsidR="00235AF0" w:rsidRDefault="00235AF0" w:rsidP="00FB39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Verdana">
    <w:panose1 w:val="020B0604030504040204"/>
    <w:charset w:val="A1"/>
    <w:family w:val="swiss"/>
    <w:pitch w:val="variable"/>
    <w:sig w:usb0="A00006FF" w:usb1="4000205B" w:usb2="00000010" w:usb3="00000000" w:csb0="0000019F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A1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A1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C5E4DEB" w14:textId="77777777" w:rsidR="004E4F42" w:rsidRPr="000A1A88" w:rsidRDefault="004E4F42" w:rsidP="00763722">
    <w:pPr>
      <w:pStyle w:val="Footer"/>
      <w:tabs>
        <w:tab w:val="left" w:pos="3375"/>
        <w:tab w:val="left" w:pos="4500"/>
        <w:tab w:val="center" w:pos="4723"/>
      </w:tabs>
    </w:pPr>
    <w:r>
      <w:tab/>
    </w:r>
    <w:r>
      <w:tab/>
    </w:r>
    <w:r>
      <w:tab/>
    </w:r>
    <w:r>
      <w:tab/>
      <w:t>-</w:t>
    </w:r>
    <w:r w:rsidR="00D14CDF">
      <w:fldChar w:fldCharType="begin"/>
    </w:r>
    <w:r w:rsidR="004D4950">
      <w:instrText xml:space="preserve"> PAGE   \* MERGEFORMAT </w:instrText>
    </w:r>
    <w:r w:rsidR="00D14CDF">
      <w:fldChar w:fldCharType="separate"/>
    </w:r>
    <w:r w:rsidR="00FD5B5F">
      <w:rPr>
        <w:noProof/>
      </w:rPr>
      <w:t>2</w:t>
    </w:r>
    <w:r w:rsidR="00D14CDF">
      <w:rPr>
        <w:noProof/>
      </w:rPr>
      <w:fldChar w:fldCharType="end"/>
    </w:r>
    <w:r>
      <w:t>-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314CD8F" w14:textId="77777777" w:rsidR="004E4F42" w:rsidRPr="00233FBF" w:rsidRDefault="004E4F42" w:rsidP="000932CF">
    <w:pPr>
      <w:pStyle w:val="Footer"/>
      <w:pBdr>
        <w:top w:val="single" w:sz="4" w:space="0" w:color="auto"/>
      </w:pBdr>
      <w:tabs>
        <w:tab w:val="left" w:pos="4500"/>
      </w:tabs>
      <w:jc w:val="center"/>
      <w:rPr>
        <w:rFonts w:ascii="Arial" w:hAnsi="Arial" w:cs="Arial"/>
        <w:i/>
        <w:iCs/>
        <w:sz w:val="16"/>
        <w:szCs w:val="16"/>
        <w:lang w:val="el-GR"/>
      </w:rPr>
    </w:pPr>
    <w:r w:rsidRPr="00233FBF">
      <w:rPr>
        <w:rFonts w:ascii="Arial" w:hAnsi="Arial" w:cs="Arial"/>
        <w:i/>
        <w:iCs/>
        <w:sz w:val="16"/>
        <w:szCs w:val="16"/>
        <w:lang w:val="el-GR"/>
      </w:rPr>
      <w:t>Διεύθυνση: Μιχα</w:t>
    </w:r>
    <w:r w:rsidR="00FD5B5F">
      <w:rPr>
        <w:rFonts w:ascii="Arial" w:hAnsi="Arial" w:cs="Arial"/>
        <w:i/>
        <w:iCs/>
        <w:sz w:val="16"/>
        <w:szCs w:val="16"/>
        <w:lang w:val="el-GR"/>
      </w:rPr>
      <w:t>ήλ</w:t>
    </w:r>
    <w:r w:rsidRPr="00233FBF">
      <w:rPr>
        <w:rFonts w:ascii="Arial" w:hAnsi="Arial" w:cs="Arial"/>
        <w:i/>
        <w:iCs/>
        <w:sz w:val="16"/>
        <w:szCs w:val="16"/>
        <w:lang w:val="el-GR"/>
      </w:rPr>
      <w:t xml:space="preserve"> </w:t>
    </w:r>
    <w:proofErr w:type="spellStart"/>
    <w:r w:rsidRPr="00233FBF">
      <w:rPr>
        <w:rFonts w:ascii="Arial" w:hAnsi="Arial" w:cs="Arial"/>
        <w:i/>
        <w:iCs/>
        <w:sz w:val="16"/>
        <w:szCs w:val="16"/>
        <w:lang w:val="el-GR"/>
      </w:rPr>
      <w:t>Καραολή</w:t>
    </w:r>
    <w:proofErr w:type="spellEnd"/>
    <w:r w:rsidRPr="00233FBF">
      <w:rPr>
        <w:rFonts w:ascii="Arial" w:hAnsi="Arial" w:cs="Arial"/>
        <w:i/>
        <w:iCs/>
        <w:sz w:val="16"/>
        <w:szCs w:val="16"/>
        <w:lang w:val="el-GR"/>
      </w:rPr>
      <w:t>, 1444 Λευκωσία, Κύπρος</w:t>
    </w:r>
  </w:p>
  <w:p w14:paraId="701EBEC3" w14:textId="7390D2C8" w:rsidR="004E4F42" w:rsidRPr="00233FBF" w:rsidRDefault="004E4F42" w:rsidP="000932CF">
    <w:pPr>
      <w:pStyle w:val="Footer"/>
      <w:tabs>
        <w:tab w:val="left" w:pos="4500"/>
      </w:tabs>
      <w:jc w:val="center"/>
      <w:rPr>
        <w:rFonts w:ascii="Arial" w:hAnsi="Arial" w:cs="Arial"/>
        <w:i/>
        <w:iCs/>
        <w:sz w:val="16"/>
        <w:szCs w:val="16"/>
        <w:lang w:val="de-DE"/>
      </w:rPr>
    </w:pPr>
    <w:proofErr w:type="spellStart"/>
    <w:r w:rsidRPr="00233FBF">
      <w:rPr>
        <w:rFonts w:ascii="Arial" w:hAnsi="Arial" w:cs="Arial"/>
        <w:i/>
        <w:iCs/>
        <w:sz w:val="16"/>
        <w:szCs w:val="16"/>
        <w:lang w:val="el-GR"/>
      </w:rPr>
      <w:t>Τηλ</w:t>
    </w:r>
    <w:proofErr w:type="spellEnd"/>
    <w:r w:rsidRPr="00474BD1">
      <w:rPr>
        <w:rFonts w:ascii="Arial" w:hAnsi="Arial" w:cs="Arial"/>
        <w:i/>
        <w:iCs/>
        <w:sz w:val="16"/>
        <w:szCs w:val="16"/>
        <w:lang w:val="el-GR"/>
      </w:rPr>
      <w:t xml:space="preserve">.:  22 602129, </w:t>
    </w:r>
    <w:r w:rsidRPr="00233FBF">
      <w:rPr>
        <w:rFonts w:ascii="Arial" w:hAnsi="Arial" w:cs="Arial"/>
        <w:i/>
        <w:iCs/>
        <w:sz w:val="16"/>
        <w:szCs w:val="16"/>
        <w:lang w:val="el-GR"/>
      </w:rPr>
      <w:t>Φαξ</w:t>
    </w:r>
    <w:r w:rsidRPr="00233FBF">
      <w:rPr>
        <w:rFonts w:ascii="Arial" w:hAnsi="Arial" w:cs="Arial"/>
        <w:i/>
        <w:iCs/>
        <w:sz w:val="16"/>
        <w:szCs w:val="16"/>
        <w:lang w:val="de-DE"/>
      </w:rPr>
      <w:t xml:space="preserve">:  22 661313, E-mail: </w:t>
    </w:r>
    <w:hyperlink r:id="rId1" w:history="1">
      <w:r w:rsidRPr="00233FBF">
        <w:rPr>
          <w:rStyle w:val="Hyperlink"/>
          <w:rFonts w:ascii="Arial" w:hAnsi="Arial" w:cs="Arial"/>
          <w:i/>
          <w:iCs/>
          <w:sz w:val="16"/>
          <w:szCs w:val="16"/>
          <w:lang w:val="de-DE"/>
        </w:rPr>
        <w:t>enquiries@cystat.mof.gov.cy</w:t>
      </w:r>
    </w:hyperlink>
    <w:r w:rsidRPr="00233FBF">
      <w:rPr>
        <w:rFonts w:ascii="Arial" w:hAnsi="Arial" w:cs="Arial"/>
        <w:i/>
        <w:iCs/>
        <w:sz w:val="16"/>
        <w:szCs w:val="16"/>
        <w:lang w:val="de-DE"/>
      </w:rPr>
      <w:t xml:space="preserve">  </w:t>
    </w:r>
  </w:p>
  <w:p w14:paraId="66893A8B" w14:textId="77777777" w:rsidR="004E4F42" w:rsidRPr="00233FBF" w:rsidRDefault="004E4F42" w:rsidP="000932CF">
    <w:pPr>
      <w:pStyle w:val="Footer"/>
      <w:tabs>
        <w:tab w:val="left" w:pos="4500"/>
      </w:tabs>
      <w:jc w:val="center"/>
      <w:rPr>
        <w:rFonts w:ascii="Arial" w:hAnsi="Arial" w:cs="Arial"/>
      </w:rPr>
    </w:pPr>
    <w:r w:rsidRPr="00233FBF">
      <w:rPr>
        <w:rFonts w:ascii="Arial" w:hAnsi="Arial" w:cs="Arial"/>
        <w:i/>
        <w:iCs/>
        <w:sz w:val="16"/>
        <w:szCs w:val="16"/>
      </w:rPr>
      <w:t xml:space="preserve">Web site: </w:t>
    </w:r>
    <w:hyperlink r:id="rId2" w:history="1">
      <w:r w:rsidRPr="00233FBF">
        <w:rPr>
          <w:rStyle w:val="Hyperlink"/>
          <w:rFonts w:ascii="Arial" w:hAnsi="Arial" w:cs="Arial"/>
          <w:i/>
          <w:iCs/>
          <w:sz w:val="16"/>
          <w:szCs w:val="16"/>
        </w:rPr>
        <w:t>http://www.cystat</w:t>
      </w:r>
      <w:r w:rsidRPr="00233FBF">
        <w:rPr>
          <w:rStyle w:val="Hyperlink"/>
          <w:rFonts w:ascii="Arial" w:hAnsi="Arial" w:cs="Arial"/>
          <w:i/>
          <w:iCs/>
          <w:sz w:val="16"/>
          <w:szCs w:val="16"/>
          <w:lang w:val="en-GB"/>
        </w:rPr>
        <w:t>.</w:t>
      </w:r>
      <w:r w:rsidRPr="00233FBF">
        <w:rPr>
          <w:rStyle w:val="Hyperlink"/>
          <w:rFonts w:ascii="Arial" w:hAnsi="Arial" w:cs="Arial"/>
          <w:i/>
          <w:iCs/>
          <w:sz w:val="16"/>
          <w:szCs w:val="16"/>
        </w:rPr>
        <w:t>gov.cy</w:t>
      </w:r>
    </w:hyperlink>
    <w:r w:rsidRPr="00233FBF">
      <w:rPr>
        <w:rFonts w:ascii="Arial" w:hAnsi="Arial" w:cs="Arial"/>
        <w:i/>
        <w:iCs/>
        <w:sz w:val="18"/>
      </w:rPr>
      <w:t xml:space="preserve"> 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4A94837" w14:textId="77777777" w:rsidR="00235AF0" w:rsidRDefault="00235AF0" w:rsidP="00FB398F">
      <w:r>
        <w:separator/>
      </w:r>
    </w:p>
  </w:footnote>
  <w:footnote w:type="continuationSeparator" w:id="0">
    <w:p w14:paraId="60C3D0D7" w14:textId="77777777" w:rsidR="00235AF0" w:rsidRDefault="00235AF0" w:rsidP="00FB39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322C9C0" w14:textId="77777777" w:rsidR="004E4F42" w:rsidRPr="00AC704B" w:rsidRDefault="004E4F42" w:rsidP="001C0681">
    <w:pPr>
      <w:pStyle w:val="Header"/>
      <w:tabs>
        <w:tab w:val="clear" w:pos="4153"/>
        <w:tab w:val="clear" w:pos="8306"/>
        <w:tab w:val="left" w:pos="274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>
      <w:rPr>
        <w:rFonts w:ascii="Arial" w:hAnsi="Arial" w:cs="Arial"/>
        <w:bCs/>
        <w:sz w:val="20"/>
        <w:szCs w:val="20"/>
        <w:lang w:val="en-US"/>
      </w:rPr>
      <w:tab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4AF2EC" w14:textId="13591C2C" w:rsidR="004E4F42" w:rsidRDefault="001712CF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ind w:left="-284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noProof/>
        <w:sz w:val="18"/>
        <w:szCs w:val="18"/>
      </w:rPr>
      <w:drawing>
        <wp:anchor distT="0" distB="0" distL="114300" distR="114300" simplePos="0" relativeHeight="251656192" behindDoc="0" locked="0" layoutInCell="1" allowOverlap="1" wp14:anchorId="3290AC8A" wp14:editId="7DB4922F">
          <wp:simplePos x="0" y="0"/>
          <wp:positionH relativeFrom="column">
            <wp:posOffset>523875</wp:posOffset>
          </wp:positionH>
          <wp:positionV relativeFrom="paragraph">
            <wp:posOffset>168910</wp:posOffset>
          </wp:positionV>
          <wp:extent cx="676275" cy="676275"/>
          <wp:effectExtent l="0" t="0" r="0" b="0"/>
          <wp:wrapNone/>
          <wp:docPr id="5" name="Picture 4" descr="£Àƒ∂√™ CMYK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4" descr="£Àƒ∂√™ CMYK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76275" cy="6762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Arial" w:hAnsi="Arial" w:cs="Arial"/>
        <w:bCs/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33809BD" wp14:editId="5EF28F37">
              <wp:simplePos x="0" y="0"/>
              <wp:positionH relativeFrom="column">
                <wp:posOffset>4772660</wp:posOffset>
              </wp:positionH>
              <wp:positionV relativeFrom="paragraph">
                <wp:posOffset>-69215</wp:posOffset>
              </wp:positionV>
              <wp:extent cx="1287780" cy="1047750"/>
              <wp:effectExtent l="0" t="0" r="8255" b="0"/>
              <wp:wrapNone/>
              <wp:docPr id="3" name="Text 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87780" cy="10477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4991D6F2" w14:textId="78D732FF" w:rsidR="004E4F42" w:rsidRDefault="001712CF" w:rsidP="000932CF">
                          <w:r w:rsidRPr="00B96284">
                            <w:rPr>
                              <w:noProof/>
                            </w:rPr>
                            <w:drawing>
                              <wp:inline distT="0" distB="0" distL="0" distR="0" wp14:anchorId="39104761" wp14:editId="2EE741E1">
                                <wp:extent cx="1095375" cy="790575"/>
                                <wp:effectExtent l="0" t="0" r="0" b="0"/>
                                <wp:docPr id="6" name="Picture 4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4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2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095375" cy="790575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733809BD" id="_x0000_t202" coordsize="21600,21600" o:spt="202" path="m,l,21600r21600,l21600,xe">
              <v:stroke joinstyle="miter"/>
              <v:path gradientshapeok="t" o:connecttype="rect"/>
            </v:shapetype>
            <v:shape id="Text Box 14" o:spid="_x0000_s1026" type="#_x0000_t202" style="position:absolute;left:0;text-align:left;margin-left:375.8pt;margin-top:-5.45pt;width:101.4pt;height:82.5pt;z-index:251657216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" strokecolor="white">
              <v:textbox>
                <w:txbxContent>
                  <w:p w14:paraId="4991D6F2" w14:textId="78D732FF" w:rsidR="004E4F42" w:rsidRDefault="001712CF" w:rsidP="000932CF">
                    <w:r w:rsidRPr="00B96284">
                      <w:rPr>
                        <w:noProof/>
                      </w:rPr>
                      <w:drawing>
                        <wp:inline distT="0" distB="0" distL="0" distR="0" wp14:anchorId="39104761" wp14:editId="2EE741E1">
                          <wp:extent cx="1095375" cy="790575"/>
                          <wp:effectExtent l="0" t="0" r="0" b="0"/>
                          <wp:docPr id="6" name="Picture 4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4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095375" cy="790575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rFonts w:ascii="Arial" w:hAnsi="Arial" w:cs="Arial"/>
        <w:bCs/>
        <w:noProof/>
        <w:sz w:val="18"/>
        <w:szCs w:val="18"/>
        <w:lang w:val="en-US"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47DA8F2C" wp14:editId="2000D464">
              <wp:simplePos x="0" y="0"/>
              <wp:positionH relativeFrom="column">
                <wp:posOffset>3439160</wp:posOffset>
              </wp:positionH>
              <wp:positionV relativeFrom="paragraph">
                <wp:posOffset>-221615</wp:posOffset>
              </wp:positionV>
              <wp:extent cx="1468755" cy="1200150"/>
              <wp:effectExtent l="0" t="0" r="0" b="0"/>
              <wp:wrapNone/>
              <wp:docPr id="2" name="Text 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68755" cy="1200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FFFFFF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616EEE85" w14:textId="3B17AE7F" w:rsidR="004E4F42" w:rsidRDefault="001712CF" w:rsidP="000932CF">
                          <w:r w:rsidRPr="00B96284">
                            <w:rPr>
                              <w:noProof/>
                            </w:rPr>
                            <w:drawing>
                              <wp:inline distT="0" distB="0" distL="0" distR="0" wp14:anchorId="408F2A7B" wp14:editId="1D17F4D1">
                                <wp:extent cx="1276350" cy="1009650"/>
                                <wp:effectExtent l="0" t="0" r="0" b="0"/>
                                <wp:docPr id="4" name="Picture 5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5"/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276350" cy="100965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non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7DA8F2C" id="Text Box 15" o:spid="_x0000_s1027" type="#_x0000_t202" style="position:absolute;left:0;text-align:left;margin-left:270.8pt;margin-top:-17.45pt;width:115.65pt;height:94.5pt;z-index:251658240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" strokecolor="white">
              <v:textbox>
                <w:txbxContent>
                  <w:p w14:paraId="616EEE85" w14:textId="3B17AE7F" w:rsidR="004E4F42" w:rsidRDefault="001712CF" w:rsidP="000932CF">
                    <w:r w:rsidRPr="00B96284">
                      <w:rPr>
                        <w:noProof/>
                      </w:rPr>
                      <w:drawing>
                        <wp:inline distT="0" distB="0" distL="0" distR="0" wp14:anchorId="408F2A7B" wp14:editId="1D17F4D1">
                          <wp:extent cx="1276350" cy="1009650"/>
                          <wp:effectExtent l="0" t="0" r="0" b="0"/>
                          <wp:docPr id="4" name="Picture 5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5"/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276350" cy="100965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  <w:p w14:paraId="775607B8" w14:textId="77777777" w:rsidR="004E4F42" w:rsidRDefault="004E4F42" w:rsidP="000932CF">
    <w:pPr>
      <w:pStyle w:val="Header"/>
      <w:tabs>
        <w:tab w:val="clear" w:pos="4153"/>
        <w:tab w:val="clear" w:pos="8306"/>
        <w:tab w:val="center" w:pos="1620"/>
        <w:tab w:val="left" w:pos="6315"/>
      </w:tabs>
      <w:spacing w:line="360" w:lineRule="auto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sz w:val="18"/>
        <w:szCs w:val="18"/>
      </w:rPr>
      <w:tab/>
    </w:r>
  </w:p>
  <w:p w14:paraId="3A7322B1" w14:textId="77777777" w:rsidR="004E4F42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ind w:right="-716"/>
      <w:rPr>
        <w:rFonts w:ascii="Arial" w:hAnsi="Arial" w:cs="Arial"/>
        <w:bCs/>
        <w:sz w:val="18"/>
        <w:szCs w:val="18"/>
      </w:rPr>
    </w:pPr>
  </w:p>
  <w:p w14:paraId="6E06BC16" w14:textId="77777777" w:rsidR="004E4F42" w:rsidRDefault="004E4F42" w:rsidP="000932CF">
    <w:pPr>
      <w:pStyle w:val="Header"/>
      <w:tabs>
        <w:tab w:val="clear" w:pos="4153"/>
        <w:tab w:val="clear" w:pos="8306"/>
        <w:tab w:val="center" w:pos="1620"/>
        <w:tab w:val="center" w:pos="4581"/>
      </w:tabs>
      <w:spacing w:line="360" w:lineRule="auto"/>
      <w:rPr>
        <w:rFonts w:ascii="Arial" w:hAnsi="Arial" w:cs="Arial"/>
        <w:bCs/>
        <w:sz w:val="18"/>
        <w:szCs w:val="18"/>
      </w:rPr>
    </w:pPr>
    <w:r>
      <w:rPr>
        <w:rFonts w:ascii="Arial" w:hAnsi="Arial" w:cs="Arial"/>
        <w:bCs/>
        <w:sz w:val="18"/>
        <w:szCs w:val="18"/>
      </w:rPr>
      <w:tab/>
    </w:r>
    <w:r>
      <w:rPr>
        <w:rFonts w:ascii="Arial" w:hAnsi="Arial" w:cs="Arial"/>
        <w:bCs/>
        <w:sz w:val="18"/>
        <w:szCs w:val="18"/>
      </w:rPr>
      <w:tab/>
    </w:r>
  </w:p>
  <w:p w14:paraId="136A8564" w14:textId="2A169524" w:rsidR="004E4F42" w:rsidRDefault="001712CF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18"/>
        <w:szCs w:val="18"/>
      </w:rPr>
    </w:pPr>
    <w:r w:rsidRPr="00D14CDF">
      <w:rPr>
        <w:rFonts w:ascii="Arial" w:hAnsi="Arial" w:cs="Arial"/>
        <w:b/>
        <w:bCs/>
        <w:noProof/>
        <w:sz w:val="20"/>
        <w:szCs w:val="20"/>
        <w:lang w:val="en-US" w:eastAsia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6B35A09" wp14:editId="52949B4C">
              <wp:simplePos x="0" y="0"/>
              <wp:positionH relativeFrom="column">
                <wp:posOffset>4159250</wp:posOffset>
              </wp:positionH>
              <wp:positionV relativeFrom="paragraph">
                <wp:posOffset>104140</wp:posOffset>
              </wp:positionV>
              <wp:extent cx="1828800" cy="438150"/>
              <wp:effectExtent l="0" t="0" r="0" b="0"/>
              <wp:wrapNone/>
              <wp:docPr id="1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28800" cy="43815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05F9DD1" w14:textId="77777777" w:rsidR="004E4F42" w:rsidRDefault="004E4F42" w:rsidP="000932CF">
                          <w:pPr>
                            <w:spacing w:after="120"/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EF0360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ΣΤΑΤΙΣΤΙΚΗ</w:t>
                          </w:r>
                          <w:r w:rsidRPr="00AC704B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 xml:space="preserve"> </w:t>
                          </w:r>
                          <w:r w:rsidRPr="00EF0360">
                            <w:rPr>
                              <w:rFonts w:ascii="Arial" w:hAnsi="Arial" w:cs="Arial"/>
                              <w:b/>
                              <w:bCs/>
                              <w:sz w:val="20"/>
                              <w:szCs w:val="20"/>
                            </w:rPr>
                            <w:t>ΥΠΗΡΕΣΙΑ</w:t>
                          </w:r>
                          <w:r w:rsidRPr="00BA5A5E"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  <w:t xml:space="preserve"> </w:t>
                          </w:r>
                        </w:p>
                        <w:p w14:paraId="7F363AC1" w14:textId="77777777" w:rsidR="004E4F42" w:rsidRPr="00BA5A5E" w:rsidRDefault="004E4F42" w:rsidP="000932CF">
                          <w:pPr>
                            <w:jc w:val="center"/>
                            <w:rPr>
                              <w:rFonts w:ascii="Arial" w:hAnsi="Arial" w:cs="Arial"/>
                              <w:b/>
                              <w:sz w:val="20"/>
                              <w:szCs w:val="20"/>
                            </w:rPr>
                          </w:pPr>
                          <w:r w:rsidRPr="00AC704B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</w:rPr>
                            <w:t xml:space="preserve">1444 </w:t>
                          </w:r>
                          <w:r w:rsidRPr="00EF0360">
                            <w:rPr>
                              <w:rFonts w:ascii="Arial" w:hAnsi="Arial" w:cs="Arial"/>
                              <w:bCs/>
                              <w:sz w:val="20"/>
                              <w:szCs w:val="20"/>
                            </w:rPr>
                            <w:t>ΛΕΥΚΩΣΙΑ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6B35A09" id="Text Box 16" o:spid="_x0000_s1028" type="#_x0000_t202" style="position:absolute;margin-left:327.5pt;margin-top:8.2pt;width:2in;height:34.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" stroked="f">
              <v:textbox>
                <w:txbxContent>
                  <w:p w14:paraId="505F9DD1" w14:textId="77777777" w:rsidR="004E4F42" w:rsidRDefault="004E4F42" w:rsidP="000932CF">
                    <w:pPr>
                      <w:spacing w:after="120"/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EF0360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ΣΤΑΤΙΣΤΙΚΗ</w:t>
                    </w:r>
                    <w:r w:rsidRPr="00AC704B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 xml:space="preserve"> </w:t>
                    </w:r>
                    <w:r w:rsidRPr="00EF0360">
                      <w:rPr>
                        <w:rFonts w:ascii="Arial" w:hAnsi="Arial" w:cs="Arial"/>
                        <w:b/>
                        <w:bCs/>
                        <w:sz w:val="20"/>
                        <w:szCs w:val="20"/>
                      </w:rPr>
                      <w:t>ΥΠΗΡΕΣΙΑ</w:t>
                    </w:r>
                    <w:r w:rsidRPr="00BA5A5E"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  <w:r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  <w:t xml:space="preserve"> </w:t>
                    </w:r>
                  </w:p>
                  <w:p w14:paraId="7F363AC1" w14:textId="77777777" w:rsidR="004E4F42" w:rsidRPr="00BA5A5E" w:rsidRDefault="004E4F42" w:rsidP="000932CF">
                    <w:pPr>
                      <w:jc w:val="center"/>
                      <w:rPr>
                        <w:rFonts w:ascii="Arial" w:hAnsi="Arial" w:cs="Arial"/>
                        <w:b/>
                        <w:sz w:val="20"/>
                        <w:szCs w:val="20"/>
                      </w:rPr>
                    </w:pPr>
                    <w:r w:rsidRPr="00AC704B"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  <w:t xml:space="preserve">1444 </w:t>
                    </w:r>
                    <w:r w:rsidRPr="00EF0360">
                      <w:rPr>
                        <w:rFonts w:ascii="Arial" w:hAnsi="Arial" w:cs="Arial"/>
                        <w:bCs/>
                        <w:sz w:val="20"/>
                        <w:szCs w:val="20"/>
                      </w:rPr>
                      <w:t>ΛΕΥΚΩΣΙΑ</w:t>
                    </w:r>
                  </w:p>
                </w:txbxContent>
              </v:textbox>
            </v:shape>
          </w:pict>
        </mc:Fallback>
      </mc:AlternateContent>
    </w:r>
  </w:p>
  <w:p w14:paraId="788C084B" w14:textId="77777777" w:rsidR="004E4F42" w:rsidRPr="00AC704B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 w:rsidRPr="00AC704B">
      <w:rPr>
        <w:rFonts w:ascii="Arial" w:hAnsi="Arial" w:cs="Arial"/>
        <w:bCs/>
        <w:sz w:val="18"/>
        <w:szCs w:val="18"/>
        <w:lang w:val="en-US"/>
      </w:rPr>
      <w:t xml:space="preserve">     </w:t>
    </w:r>
    <w:r>
      <w:rPr>
        <w:rFonts w:ascii="Arial" w:hAnsi="Arial" w:cs="Arial"/>
        <w:bCs/>
        <w:sz w:val="18"/>
        <w:szCs w:val="18"/>
        <w:lang w:val="en-US"/>
      </w:rPr>
      <w:t xml:space="preserve">   </w:t>
    </w:r>
    <w:r w:rsidRPr="00EF0360">
      <w:rPr>
        <w:rFonts w:ascii="Arial" w:hAnsi="Arial" w:cs="Arial"/>
        <w:bCs/>
        <w:sz w:val="18"/>
        <w:szCs w:val="18"/>
      </w:rPr>
      <w:t>ΚΥΠΡΙΑΚΗ ΔΗΜΟΚΡΑΤΙΑ</w:t>
    </w:r>
    <w:r w:rsidRPr="00AC704B">
      <w:rPr>
        <w:b/>
        <w:bCs/>
        <w:sz w:val="20"/>
        <w:szCs w:val="20"/>
        <w:lang w:val="en-US"/>
      </w:rPr>
      <w:t xml:space="preserve"> </w:t>
    </w:r>
    <w:r w:rsidRPr="00AC704B">
      <w:rPr>
        <w:b/>
        <w:bCs/>
        <w:sz w:val="20"/>
        <w:szCs w:val="20"/>
        <w:lang w:val="en-US"/>
      </w:rPr>
      <w:tab/>
    </w:r>
  </w:p>
  <w:p w14:paraId="2F272394" w14:textId="54F770FF" w:rsidR="004E4F42" w:rsidRPr="00AC704B" w:rsidRDefault="004E4F42" w:rsidP="000932CF">
    <w:pPr>
      <w:pStyle w:val="Header"/>
      <w:tabs>
        <w:tab w:val="clear" w:pos="4153"/>
        <w:tab w:val="center" w:pos="1620"/>
        <w:tab w:val="left" w:pos="2160"/>
        <w:tab w:val="center" w:pos="7655"/>
      </w:tabs>
      <w:spacing w:line="360" w:lineRule="auto"/>
      <w:rPr>
        <w:rFonts w:ascii="Arial" w:hAnsi="Arial" w:cs="Arial"/>
        <w:bCs/>
        <w:sz w:val="20"/>
        <w:szCs w:val="20"/>
        <w:lang w:val="en-US"/>
      </w:rPr>
    </w:pPr>
    <w:r>
      <w:rPr>
        <w:rFonts w:ascii="Arial" w:hAnsi="Arial" w:cs="Arial"/>
        <w:b/>
        <w:bCs/>
        <w:sz w:val="20"/>
        <w:szCs w:val="20"/>
        <w:lang w:val="en-US"/>
      </w:rPr>
      <w:t xml:space="preserve">  </w:t>
    </w:r>
    <w:r w:rsidRPr="00AC704B">
      <w:rPr>
        <w:rFonts w:ascii="Arial" w:hAnsi="Arial" w:cs="Arial"/>
        <w:b/>
        <w:bCs/>
        <w:sz w:val="22"/>
        <w:szCs w:val="22"/>
        <w:lang w:val="en-US"/>
      </w:rPr>
      <w:tab/>
    </w:r>
    <w:r w:rsidRPr="00AC704B">
      <w:rPr>
        <w:b/>
        <w:bCs/>
        <w:sz w:val="22"/>
        <w:szCs w:val="22"/>
        <w:lang w:val="en-US"/>
      </w:rPr>
      <w:tab/>
    </w:r>
  </w:p>
  <w:p w14:paraId="0B8CA1D6" w14:textId="77777777" w:rsidR="004E4F42" w:rsidRDefault="004E4F4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34648ED"/>
    <w:multiLevelType w:val="hybridMultilevel"/>
    <w:tmpl w:val="9FA888A0"/>
    <w:lvl w:ilvl="0" w:tplc="5DDA0D68">
      <w:start w:val="5"/>
      <w:numFmt w:val="bullet"/>
      <w:lvlText w:val="-"/>
      <w:lvlJc w:val="left"/>
      <w:pPr>
        <w:ind w:left="720" w:hanging="360"/>
      </w:pPr>
      <w:rPr>
        <w:rFonts w:ascii="Verdana" w:eastAsia="Calibri" w:hAnsi="Verdana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AB6379"/>
    <w:multiLevelType w:val="hybridMultilevel"/>
    <w:tmpl w:val="38CEA68C"/>
    <w:lvl w:ilvl="0" w:tplc="7F94C544">
      <w:numFmt w:val="bullet"/>
      <w:lvlText w:val=""/>
      <w:lvlJc w:val="left"/>
      <w:pPr>
        <w:ind w:left="720" w:hanging="360"/>
      </w:pPr>
      <w:rPr>
        <w:rFonts w:ascii="Symbol" w:eastAsia="Malgun Gothic" w:hAnsi="Symbol" w:cs="Arial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06B1A"/>
    <w:multiLevelType w:val="hybridMultilevel"/>
    <w:tmpl w:val="2478907C"/>
    <w:lvl w:ilvl="0" w:tplc="FFFFFFFF">
      <w:start w:val="1"/>
      <w:numFmt w:val="bullet"/>
      <w:lvlText w:val=""/>
      <w:lvlJc w:val="left"/>
      <w:pPr>
        <w:tabs>
          <w:tab w:val="num" w:pos="1154"/>
        </w:tabs>
        <w:ind w:left="1134" w:hanging="340"/>
      </w:pPr>
      <w:rPr>
        <w:rFonts w:ascii="Wingdings" w:hAnsi="Wingdings" w:hint="default"/>
        <w:sz w:val="16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E7E2C00"/>
    <w:multiLevelType w:val="hybridMultilevel"/>
    <w:tmpl w:val="88B86D20"/>
    <w:lvl w:ilvl="0" w:tplc="73D06E4A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0F5446E9"/>
    <w:multiLevelType w:val="hybridMultilevel"/>
    <w:tmpl w:val="5C92E506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5" w15:restartNumberingAfterBreak="0">
    <w:nsid w:val="1E0A0ACC"/>
    <w:multiLevelType w:val="hybridMultilevel"/>
    <w:tmpl w:val="CC22B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3E93858"/>
    <w:multiLevelType w:val="hybridMultilevel"/>
    <w:tmpl w:val="5FE65C88"/>
    <w:lvl w:ilvl="0" w:tplc="D786DBF2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654D102E"/>
    <w:multiLevelType w:val="hybridMultilevel"/>
    <w:tmpl w:val="9C74758C"/>
    <w:lvl w:ilvl="0" w:tplc="0408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211817536">
    <w:abstractNumId w:val="6"/>
  </w:num>
  <w:num w:numId="2" w16cid:durableId="395976286">
    <w:abstractNumId w:val="3"/>
  </w:num>
  <w:num w:numId="3" w16cid:durableId="69277100">
    <w:abstractNumId w:val="4"/>
  </w:num>
  <w:num w:numId="4" w16cid:durableId="734089420">
    <w:abstractNumId w:val="5"/>
  </w:num>
  <w:num w:numId="5" w16cid:durableId="33118843">
    <w:abstractNumId w:val="2"/>
  </w:num>
  <w:num w:numId="6" w16cid:durableId="1167207874">
    <w:abstractNumId w:val="7"/>
  </w:num>
  <w:num w:numId="7" w16cid:durableId="206381341">
    <w:abstractNumId w:val="0"/>
  </w:num>
  <w:num w:numId="8" w16cid:durableId="175022424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398F"/>
    <w:rsid w:val="000018D0"/>
    <w:rsid w:val="00002458"/>
    <w:rsid w:val="0000542E"/>
    <w:rsid w:val="0000572F"/>
    <w:rsid w:val="00013AF3"/>
    <w:rsid w:val="00013E40"/>
    <w:rsid w:val="000146DB"/>
    <w:rsid w:val="000161B1"/>
    <w:rsid w:val="00023312"/>
    <w:rsid w:val="0002394B"/>
    <w:rsid w:val="00023CEB"/>
    <w:rsid w:val="00025498"/>
    <w:rsid w:val="00025A39"/>
    <w:rsid w:val="00026B18"/>
    <w:rsid w:val="00027853"/>
    <w:rsid w:val="00030E18"/>
    <w:rsid w:val="00031D32"/>
    <w:rsid w:val="000323E4"/>
    <w:rsid w:val="00034088"/>
    <w:rsid w:val="0003590E"/>
    <w:rsid w:val="0003603D"/>
    <w:rsid w:val="00037999"/>
    <w:rsid w:val="00040319"/>
    <w:rsid w:val="00042925"/>
    <w:rsid w:val="000446A6"/>
    <w:rsid w:val="00045088"/>
    <w:rsid w:val="00045A06"/>
    <w:rsid w:val="00050391"/>
    <w:rsid w:val="00051603"/>
    <w:rsid w:val="00055291"/>
    <w:rsid w:val="000563D3"/>
    <w:rsid w:val="00057E44"/>
    <w:rsid w:val="00061299"/>
    <w:rsid w:val="0006192B"/>
    <w:rsid w:val="000623EA"/>
    <w:rsid w:val="00062BC7"/>
    <w:rsid w:val="0006328F"/>
    <w:rsid w:val="00070576"/>
    <w:rsid w:val="00071169"/>
    <w:rsid w:val="00075278"/>
    <w:rsid w:val="000752BB"/>
    <w:rsid w:val="00075B75"/>
    <w:rsid w:val="00076629"/>
    <w:rsid w:val="00081ADF"/>
    <w:rsid w:val="00082072"/>
    <w:rsid w:val="00082B42"/>
    <w:rsid w:val="0008371A"/>
    <w:rsid w:val="00083B45"/>
    <w:rsid w:val="00084A02"/>
    <w:rsid w:val="00084BF7"/>
    <w:rsid w:val="000870E9"/>
    <w:rsid w:val="0008778C"/>
    <w:rsid w:val="00087B3C"/>
    <w:rsid w:val="00091CF5"/>
    <w:rsid w:val="000932CF"/>
    <w:rsid w:val="00096ED8"/>
    <w:rsid w:val="000A1A88"/>
    <w:rsid w:val="000A2B5C"/>
    <w:rsid w:val="000A3601"/>
    <w:rsid w:val="000A50D8"/>
    <w:rsid w:val="000A6747"/>
    <w:rsid w:val="000A6FA8"/>
    <w:rsid w:val="000A760C"/>
    <w:rsid w:val="000B4BEA"/>
    <w:rsid w:val="000B5FF1"/>
    <w:rsid w:val="000C1070"/>
    <w:rsid w:val="000C44D1"/>
    <w:rsid w:val="000C4E72"/>
    <w:rsid w:val="000C5D92"/>
    <w:rsid w:val="000C74FC"/>
    <w:rsid w:val="000D04BB"/>
    <w:rsid w:val="000D11C6"/>
    <w:rsid w:val="000D1E7A"/>
    <w:rsid w:val="000E027A"/>
    <w:rsid w:val="000E24B1"/>
    <w:rsid w:val="000E2735"/>
    <w:rsid w:val="000E32D6"/>
    <w:rsid w:val="000E4932"/>
    <w:rsid w:val="000E4CB0"/>
    <w:rsid w:val="000E57F2"/>
    <w:rsid w:val="000E5D96"/>
    <w:rsid w:val="000E72A7"/>
    <w:rsid w:val="000F1162"/>
    <w:rsid w:val="000F3467"/>
    <w:rsid w:val="000F38DE"/>
    <w:rsid w:val="000F448C"/>
    <w:rsid w:val="000F4BC8"/>
    <w:rsid w:val="000F532A"/>
    <w:rsid w:val="000F5D6C"/>
    <w:rsid w:val="00102921"/>
    <w:rsid w:val="0010612E"/>
    <w:rsid w:val="00106852"/>
    <w:rsid w:val="00110F9D"/>
    <w:rsid w:val="00114A67"/>
    <w:rsid w:val="00117099"/>
    <w:rsid w:val="00123DE8"/>
    <w:rsid w:val="001253B6"/>
    <w:rsid w:val="001262C3"/>
    <w:rsid w:val="00127320"/>
    <w:rsid w:val="00127456"/>
    <w:rsid w:val="00130726"/>
    <w:rsid w:val="00131127"/>
    <w:rsid w:val="001312D8"/>
    <w:rsid w:val="0013137B"/>
    <w:rsid w:val="00132903"/>
    <w:rsid w:val="001348EF"/>
    <w:rsid w:val="0013531A"/>
    <w:rsid w:val="00147887"/>
    <w:rsid w:val="0015118B"/>
    <w:rsid w:val="001519CE"/>
    <w:rsid w:val="001522DF"/>
    <w:rsid w:val="00160D4C"/>
    <w:rsid w:val="0016172E"/>
    <w:rsid w:val="00161CF3"/>
    <w:rsid w:val="00162C00"/>
    <w:rsid w:val="001639EF"/>
    <w:rsid w:val="0016589F"/>
    <w:rsid w:val="001708CE"/>
    <w:rsid w:val="001712CF"/>
    <w:rsid w:val="00175D28"/>
    <w:rsid w:val="0017769A"/>
    <w:rsid w:val="00183A01"/>
    <w:rsid w:val="00183DFC"/>
    <w:rsid w:val="00184384"/>
    <w:rsid w:val="001849D2"/>
    <w:rsid w:val="00185FEE"/>
    <w:rsid w:val="00186717"/>
    <w:rsid w:val="00187FFC"/>
    <w:rsid w:val="0019391C"/>
    <w:rsid w:val="00194CF2"/>
    <w:rsid w:val="00195540"/>
    <w:rsid w:val="00196A7C"/>
    <w:rsid w:val="001A2018"/>
    <w:rsid w:val="001A48A9"/>
    <w:rsid w:val="001A62A9"/>
    <w:rsid w:val="001A7649"/>
    <w:rsid w:val="001A794F"/>
    <w:rsid w:val="001B0EBF"/>
    <w:rsid w:val="001B1006"/>
    <w:rsid w:val="001B2C39"/>
    <w:rsid w:val="001B3675"/>
    <w:rsid w:val="001B43BE"/>
    <w:rsid w:val="001B451E"/>
    <w:rsid w:val="001B5E10"/>
    <w:rsid w:val="001B6AB3"/>
    <w:rsid w:val="001B73D5"/>
    <w:rsid w:val="001C0681"/>
    <w:rsid w:val="001C0F5E"/>
    <w:rsid w:val="001C2119"/>
    <w:rsid w:val="001C3B14"/>
    <w:rsid w:val="001C484F"/>
    <w:rsid w:val="001C528B"/>
    <w:rsid w:val="001C62B3"/>
    <w:rsid w:val="001C7C8C"/>
    <w:rsid w:val="001D0D6A"/>
    <w:rsid w:val="001D20A4"/>
    <w:rsid w:val="001D3C3A"/>
    <w:rsid w:val="001D4E16"/>
    <w:rsid w:val="001D613C"/>
    <w:rsid w:val="001E00D1"/>
    <w:rsid w:val="001E0E58"/>
    <w:rsid w:val="001E14F3"/>
    <w:rsid w:val="001E15ED"/>
    <w:rsid w:val="001E31B3"/>
    <w:rsid w:val="001E61AA"/>
    <w:rsid w:val="001E6DD7"/>
    <w:rsid w:val="001E73D7"/>
    <w:rsid w:val="001F2779"/>
    <w:rsid w:val="0020309E"/>
    <w:rsid w:val="0020687D"/>
    <w:rsid w:val="0020742D"/>
    <w:rsid w:val="00210424"/>
    <w:rsid w:val="00210B58"/>
    <w:rsid w:val="002160C6"/>
    <w:rsid w:val="00216205"/>
    <w:rsid w:val="002179A1"/>
    <w:rsid w:val="00222423"/>
    <w:rsid w:val="00223AEE"/>
    <w:rsid w:val="00225B28"/>
    <w:rsid w:val="00226891"/>
    <w:rsid w:val="00226B6C"/>
    <w:rsid w:val="00230D9B"/>
    <w:rsid w:val="002313AC"/>
    <w:rsid w:val="00231C0F"/>
    <w:rsid w:val="00233AD2"/>
    <w:rsid w:val="00233B46"/>
    <w:rsid w:val="002347EE"/>
    <w:rsid w:val="00235014"/>
    <w:rsid w:val="00235AF0"/>
    <w:rsid w:val="00235FB2"/>
    <w:rsid w:val="00237BC1"/>
    <w:rsid w:val="0024026B"/>
    <w:rsid w:val="002404FE"/>
    <w:rsid w:val="002430B4"/>
    <w:rsid w:val="002447D0"/>
    <w:rsid w:val="002454C5"/>
    <w:rsid w:val="00245E19"/>
    <w:rsid w:val="00246AEB"/>
    <w:rsid w:val="00250005"/>
    <w:rsid w:val="00250774"/>
    <w:rsid w:val="002510A6"/>
    <w:rsid w:val="00251CAB"/>
    <w:rsid w:val="0025254F"/>
    <w:rsid w:val="0025560F"/>
    <w:rsid w:val="0025566D"/>
    <w:rsid w:val="002558D3"/>
    <w:rsid w:val="0025595C"/>
    <w:rsid w:val="0025622C"/>
    <w:rsid w:val="002567C4"/>
    <w:rsid w:val="00257149"/>
    <w:rsid w:val="002576E7"/>
    <w:rsid w:val="00260357"/>
    <w:rsid w:val="00260410"/>
    <w:rsid w:val="002633F9"/>
    <w:rsid w:val="00264413"/>
    <w:rsid w:val="00264F04"/>
    <w:rsid w:val="00266F1F"/>
    <w:rsid w:val="00267554"/>
    <w:rsid w:val="0027291A"/>
    <w:rsid w:val="002732AD"/>
    <w:rsid w:val="002738C2"/>
    <w:rsid w:val="002743F0"/>
    <w:rsid w:val="002754E9"/>
    <w:rsid w:val="002809B9"/>
    <w:rsid w:val="00281B90"/>
    <w:rsid w:val="0028338F"/>
    <w:rsid w:val="002915C4"/>
    <w:rsid w:val="00297E6B"/>
    <w:rsid w:val="002A1D1C"/>
    <w:rsid w:val="002A28D1"/>
    <w:rsid w:val="002A4D64"/>
    <w:rsid w:val="002A7893"/>
    <w:rsid w:val="002B03CE"/>
    <w:rsid w:val="002B34BE"/>
    <w:rsid w:val="002B3BB5"/>
    <w:rsid w:val="002B4969"/>
    <w:rsid w:val="002B6554"/>
    <w:rsid w:val="002B7065"/>
    <w:rsid w:val="002C4323"/>
    <w:rsid w:val="002C6C81"/>
    <w:rsid w:val="002C79BD"/>
    <w:rsid w:val="002D05F0"/>
    <w:rsid w:val="002D119D"/>
    <w:rsid w:val="002D270A"/>
    <w:rsid w:val="002D2829"/>
    <w:rsid w:val="002D32FA"/>
    <w:rsid w:val="002D7D4A"/>
    <w:rsid w:val="002E3846"/>
    <w:rsid w:val="002E3F78"/>
    <w:rsid w:val="002F400C"/>
    <w:rsid w:val="002F4D76"/>
    <w:rsid w:val="002F6D26"/>
    <w:rsid w:val="0030107C"/>
    <w:rsid w:val="0030231E"/>
    <w:rsid w:val="003042C4"/>
    <w:rsid w:val="00304CB4"/>
    <w:rsid w:val="00304D9F"/>
    <w:rsid w:val="00305B05"/>
    <w:rsid w:val="00305D99"/>
    <w:rsid w:val="00306076"/>
    <w:rsid w:val="00313F37"/>
    <w:rsid w:val="003141D0"/>
    <w:rsid w:val="003145E8"/>
    <w:rsid w:val="003149D9"/>
    <w:rsid w:val="00315D54"/>
    <w:rsid w:val="003168C1"/>
    <w:rsid w:val="00317671"/>
    <w:rsid w:val="00322EC7"/>
    <w:rsid w:val="00322FBE"/>
    <w:rsid w:val="00325632"/>
    <w:rsid w:val="00327549"/>
    <w:rsid w:val="00327654"/>
    <w:rsid w:val="003342A5"/>
    <w:rsid w:val="00334616"/>
    <w:rsid w:val="00336C36"/>
    <w:rsid w:val="0034293A"/>
    <w:rsid w:val="00343815"/>
    <w:rsid w:val="00344666"/>
    <w:rsid w:val="0034705B"/>
    <w:rsid w:val="00347874"/>
    <w:rsid w:val="003478C2"/>
    <w:rsid w:val="003522BB"/>
    <w:rsid w:val="00352F6C"/>
    <w:rsid w:val="003556EA"/>
    <w:rsid w:val="00355D6D"/>
    <w:rsid w:val="00356FCC"/>
    <w:rsid w:val="003570D2"/>
    <w:rsid w:val="003600FA"/>
    <w:rsid w:val="00360B5F"/>
    <w:rsid w:val="00364682"/>
    <w:rsid w:val="003652ED"/>
    <w:rsid w:val="00365488"/>
    <w:rsid w:val="0037080F"/>
    <w:rsid w:val="00370C47"/>
    <w:rsid w:val="00380663"/>
    <w:rsid w:val="00382E07"/>
    <w:rsid w:val="00386FC7"/>
    <w:rsid w:val="00390A32"/>
    <w:rsid w:val="00394E48"/>
    <w:rsid w:val="003955EC"/>
    <w:rsid w:val="003968D1"/>
    <w:rsid w:val="003A0174"/>
    <w:rsid w:val="003A1153"/>
    <w:rsid w:val="003A1E91"/>
    <w:rsid w:val="003A1FE9"/>
    <w:rsid w:val="003A38E9"/>
    <w:rsid w:val="003A40F2"/>
    <w:rsid w:val="003A50D1"/>
    <w:rsid w:val="003B196D"/>
    <w:rsid w:val="003B2710"/>
    <w:rsid w:val="003B2CC6"/>
    <w:rsid w:val="003B2EDB"/>
    <w:rsid w:val="003B4608"/>
    <w:rsid w:val="003C2392"/>
    <w:rsid w:val="003C3B5F"/>
    <w:rsid w:val="003C5174"/>
    <w:rsid w:val="003C5240"/>
    <w:rsid w:val="003C63F9"/>
    <w:rsid w:val="003C76E6"/>
    <w:rsid w:val="003C7AF2"/>
    <w:rsid w:val="003D1226"/>
    <w:rsid w:val="003D14E0"/>
    <w:rsid w:val="003D1843"/>
    <w:rsid w:val="003D1EA5"/>
    <w:rsid w:val="003D3348"/>
    <w:rsid w:val="003D3F7C"/>
    <w:rsid w:val="003D4E63"/>
    <w:rsid w:val="003D587B"/>
    <w:rsid w:val="003D604F"/>
    <w:rsid w:val="003D6822"/>
    <w:rsid w:val="003D68D7"/>
    <w:rsid w:val="003D724C"/>
    <w:rsid w:val="003E0CE2"/>
    <w:rsid w:val="003E1F23"/>
    <w:rsid w:val="003E510D"/>
    <w:rsid w:val="003E623B"/>
    <w:rsid w:val="003F28F9"/>
    <w:rsid w:val="003F49E4"/>
    <w:rsid w:val="003F4CB3"/>
    <w:rsid w:val="003F4D2F"/>
    <w:rsid w:val="003F5E32"/>
    <w:rsid w:val="003F75F6"/>
    <w:rsid w:val="00404670"/>
    <w:rsid w:val="00405220"/>
    <w:rsid w:val="00410B86"/>
    <w:rsid w:val="00414CA0"/>
    <w:rsid w:val="004164A3"/>
    <w:rsid w:val="00422F54"/>
    <w:rsid w:val="004278F5"/>
    <w:rsid w:val="0043001A"/>
    <w:rsid w:val="00431516"/>
    <w:rsid w:val="00436099"/>
    <w:rsid w:val="004361B3"/>
    <w:rsid w:val="0044249D"/>
    <w:rsid w:val="0044379F"/>
    <w:rsid w:val="00444FCC"/>
    <w:rsid w:val="00446FB1"/>
    <w:rsid w:val="00452753"/>
    <w:rsid w:val="00452DF7"/>
    <w:rsid w:val="00453E42"/>
    <w:rsid w:val="00455525"/>
    <w:rsid w:val="0046078F"/>
    <w:rsid w:val="00463214"/>
    <w:rsid w:val="0046434D"/>
    <w:rsid w:val="004656FA"/>
    <w:rsid w:val="00465B21"/>
    <w:rsid w:val="004677C3"/>
    <w:rsid w:val="00467D59"/>
    <w:rsid w:val="00470E2D"/>
    <w:rsid w:val="00470F4C"/>
    <w:rsid w:val="00471D77"/>
    <w:rsid w:val="00474265"/>
    <w:rsid w:val="0047491B"/>
    <w:rsid w:val="00474BD1"/>
    <w:rsid w:val="00475587"/>
    <w:rsid w:val="00477492"/>
    <w:rsid w:val="00480BC2"/>
    <w:rsid w:val="004845C3"/>
    <w:rsid w:val="00484BE8"/>
    <w:rsid w:val="0049028C"/>
    <w:rsid w:val="004920B1"/>
    <w:rsid w:val="004929C2"/>
    <w:rsid w:val="00493FDD"/>
    <w:rsid w:val="0049586B"/>
    <w:rsid w:val="004A11EF"/>
    <w:rsid w:val="004A2850"/>
    <w:rsid w:val="004A3E44"/>
    <w:rsid w:val="004A5205"/>
    <w:rsid w:val="004A7117"/>
    <w:rsid w:val="004B1104"/>
    <w:rsid w:val="004B2018"/>
    <w:rsid w:val="004B286D"/>
    <w:rsid w:val="004B2896"/>
    <w:rsid w:val="004B38E9"/>
    <w:rsid w:val="004B3FBA"/>
    <w:rsid w:val="004B5321"/>
    <w:rsid w:val="004B6599"/>
    <w:rsid w:val="004C2058"/>
    <w:rsid w:val="004C6ABF"/>
    <w:rsid w:val="004C6CA7"/>
    <w:rsid w:val="004D2A0C"/>
    <w:rsid w:val="004D4357"/>
    <w:rsid w:val="004D4950"/>
    <w:rsid w:val="004D55F1"/>
    <w:rsid w:val="004D63EC"/>
    <w:rsid w:val="004D783D"/>
    <w:rsid w:val="004E0451"/>
    <w:rsid w:val="004E0E78"/>
    <w:rsid w:val="004E1A86"/>
    <w:rsid w:val="004E2393"/>
    <w:rsid w:val="004E3745"/>
    <w:rsid w:val="004E3D7E"/>
    <w:rsid w:val="004E42BE"/>
    <w:rsid w:val="004E4F42"/>
    <w:rsid w:val="004E63D5"/>
    <w:rsid w:val="004F03FD"/>
    <w:rsid w:val="004F52F0"/>
    <w:rsid w:val="004F57F2"/>
    <w:rsid w:val="004F6250"/>
    <w:rsid w:val="004F677C"/>
    <w:rsid w:val="004F6D8F"/>
    <w:rsid w:val="0050077D"/>
    <w:rsid w:val="00505503"/>
    <w:rsid w:val="00510BA3"/>
    <w:rsid w:val="0051107B"/>
    <w:rsid w:val="00512F9C"/>
    <w:rsid w:val="005137BD"/>
    <w:rsid w:val="00527CDB"/>
    <w:rsid w:val="00530D25"/>
    <w:rsid w:val="00530D3A"/>
    <w:rsid w:val="005339AA"/>
    <w:rsid w:val="005341C9"/>
    <w:rsid w:val="00535337"/>
    <w:rsid w:val="005369CA"/>
    <w:rsid w:val="00536DE9"/>
    <w:rsid w:val="00541DEB"/>
    <w:rsid w:val="00541E08"/>
    <w:rsid w:val="00542330"/>
    <w:rsid w:val="00543942"/>
    <w:rsid w:val="00543F41"/>
    <w:rsid w:val="00554FE0"/>
    <w:rsid w:val="00556FD9"/>
    <w:rsid w:val="0055789A"/>
    <w:rsid w:val="00560952"/>
    <w:rsid w:val="00562EB0"/>
    <w:rsid w:val="005643A4"/>
    <w:rsid w:val="005652D1"/>
    <w:rsid w:val="005660A0"/>
    <w:rsid w:val="00566A4F"/>
    <w:rsid w:val="0056743D"/>
    <w:rsid w:val="00567D64"/>
    <w:rsid w:val="005721AA"/>
    <w:rsid w:val="005727E1"/>
    <w:rsid w:val="005808AB"/>
    <w:rsid w:val="00582855"/>
    <w:rsid w:val="00582C86"/>
    <w:rsid w:val="0059136C"/>
    <w:rsid w:val="005945E1"/>
    <w:rsid w:val="0059585B"/>
    <w:rsid w:val="005978D4"/>
    <w:rsid w:val="005A23FA"/>
    <w:rsid w:val="005A2F66"/>
    <w:rsid w:val="005A60BB"/>
    <w:rsid w:val="005A6BBB"/>
    <w:rsid w:val="005B2A67"/>
    <w:rsid w:val="005B33E2"/>
    <w:rsid w:val="005B3DCD"/>
    <w:rsid w:val="005B4AD4"/>
    <w:rsid w:val="005B55A8"/>
    <w:rsid w:val="005C08E4"/>
    <w:rsid w:val="005C2798"/>
    <w:rsid w:val="005C36C3"/>
    <w:rsid w:val="005C56EE"/>
    <w:rsid w:val="005C7E42"/>
    <w:rsid w:val="005D1714"/>
    <w:rsid w:val="005D3A2C"/>
    <w:rsid w:val="005D7638"/>
    <w:rsid w:val="005E2BDE"/>
    <w:rsid w:val="005E3D8C"/>
    <w:rsid w:val="005E5CFB"/>
    <w:rsid w:val="005F12F5"/>
    <w:rsid w:val="005F4185"/>
    <w:rsid w:val="005F6179"/>
    <w:rsid w:val="005F7955"/>
    <w:rsid w:val="005F7A2C"/>
    <w:rsid w:val="005F7C7D"/>
    <w:rsid w:val="00601CF7"/>
    <w:rsid w:val="006022B5"/>
    <w:rsid w:val="006044B7"/>
    <w:rsid w:val="00605F73"/>
    <w:rsid w:val="006071CE"/>
    <w:rsid w:val="006075B5"/>
    <w:rsid w:val="0061018C"/>
    <w:rsid w:val="0061094E"/>
    <w:rsid w:val="00613440"/>
    <w:rsid w:val="00613BE3"/>
    <w:rsid w:val="006147E4"/>
    <w:rsid w:val="00616E81"/>
    <w:rsid w:val="00622A9F"/>
    <w:rsid w:val="0062327B"/>
    <w:rsid w:val="00626C5E"/>
    <w:rsid w:val="00632777"/>
    <w:rsid w:val="00633750"/>
    <w:rsid w:val="00634491"/>
    <w:rsid w:val="0063679C"/>
    <w:rsid w:val="00637055"/>
    <w:rsid w:val="00641D59"/>
    <w:rsid w:val="00644507"/>
    <w:rsid w:val="00646880"/>
    <w:rsid w:val="00646A4F"/>
    <w:rsid w:val="00646CF3"/>
    <w:rsid w:val="006473B8"/>
    <w:rsid w:val="00647D2A"/>
    <w:rsid w:val="006537BB"/>
    <w:rsid w:val="00654DFB"/>
    <w:rsid w:val="00655209"/>
    <w:rsid w:val="0065643E"/>
    <w:rsid w:val="00660714"/>
    <w:rsid w:val="00660862"/>
    <w:rsid w:val="00667E07"/>
    <w:rsid w:val="00671785"/>
    <w:rsid w:val="00672BA9"/>
    <w:rsid w:val="00673005"/>
    <w:rsid w:val="00675B6E"/>
    <w:rsid w:val="00677AB6"/>
    <w:rsid w:val="006804BE"/>
    <w:rsid w:val="00680A4F"/>
    <w:rsid w:val="00680B85"/>
    <w:rsid w:val="0068434A"/>
    <w:rsid w:val="0069008E"/>
    <w:rsid w:val="006904EC"/>
    <w:rsid w:val="0069087E"/>
    <w:rsid w:val="00691311"/>
    <w:rsid w:val="006925C4"/>
    <w:rsid w:val="00694F03"/>
    <w:rsid w:val="006A02B7"/>
    <w:rsid w:val="006A4979"/>
    <w:rsid w:val="006A6C5E"/>
    <w:rsid w:val="006A7019"/>
    <w:rsid w:val="006A7402"/>
    <w:rsid w:val="006B111B"/>
    <w:rsid w:val="006B20A3"/>
    <w:rsid w:val="006B2EBF"/>
    <w:rsid w:val="006B46D5"/>
    <w:rsid w:val="006B46F4"/>
    <w:rsid w:val="006B4CDD"/>
    <w:rsid w:val="006B4E75"/>
    <w:rsid w:val="006B559B"/>
    <w:rsid w:val="006B7F67"/>
    <w:rsid w:val="006C18AA"/>
    <w:rsid w:val="006C3017"/>
    <w:rsid w:val="006C3F13"/>
    <w:rsid w:val="006C73DD"/>
    <w:rsid w:val="006C7AF3"/>
    <w:rsid w:val="006D0B9D"/>
    <w:rsid w:val="006D6548"/>
    <w:rsid w:val="006E0E20"/>
    <w:rsid w:val="006E21FE"/>
    <w:rsid w:val="006E4256"/>
    <w:rsid w:val="006E4BBA"/>
    <w:rsid w:val="006E5F43"/>
    <w:rsid w:val="006E60A6"/>
    <w:rsid w:val="006E65E0"/>
    <w:rsid w:val="006E7A9F"/>
    <w:rsid w:val="006F04B6"/>
    <w:rsid w:val="006F065A"/>
    <w:rsid w:val="006F0F69"/>
    <w:rsid w:val="006F116B"/>
    <w:rsid w:val="006F117F"/>
    <w:rsid w:val="006F13DF"/>
    <w:rsid w:val="006F2780"/>
    <w:rsid w:val="006F47C1"/>
    <w:rsid w:val="006F5DD6"/>
    <w:rsid w:val="006F6C96"/>
    <w:rsid w:val="006F6D3B"/>
    <w:rsid w:val="00700DF0"/>
    <w:rsid w:val="00702F26"/>
    <w:rsid w:val="0070313E"/>
    <w:rsid w:val="00703799"/>
    <w:rsid w:val="00705C5C"/>
    <w:rsid w:val="00711475"/>
    <w:rsid w:val="00716B5C"/>
    <w:rsid w:val="00723D60"/>
    <w:rsid w:val="0072548A"/>
    <w:rsid w:val="007277A6"/>
    <w:rsid w:val="007310AA"/>
    <w:rsid w:val="00731391"/>
    <w:rsid w:val="00733648"/>
    <w:rsid w:val="00740E93"/>
    <w:rsid w:val="007437AB"/>
    <w:rsid w:val="00743AF3"/>
    <w:rsid w:val="00745016"/>
    <w:rsid w:val="00745425"/>
    <w:rsid w:val="00745976"/>
    <w:rsid w:val="00750AF4"/>
    <w:rsid w:val="007534F8"/>
    <w:rsid w:val="007545AD"/>
    <w:rsid w:val="00761E3A"/>
    <w:rsid w:val="00763722"/>
    <w:rsid w:val="00763CC6"/>
    <w:rsid w:val="00764BC1"/>
    <w:rsid w:val="00765399"/>
    <w:rsid w:val="00770869"/>
    <w:rsid w:val="0077314E"/>
    <w:rsid w:val="007738AA"/>
    <w:rsid w:val="00773A57"/>
    <w:rsid w:val="00774B42"/>
    <w:rsid w:val="00777375"/>
    <w:rsid w:val="00777AEB"/>
    <w:rsid w:val="00777FAE"/>
    <w:rsid w:val="007808C0"/>
    <w:rsid w:val="00780A62"/>
    <w:rsid w:val="00782524"/>
    <w:rsid w:val="00783241"/>
    <w:rsid w:val="00784BDC"/>
    <w:rsid w:val="00792F28"/>
    <w:rsid w:val="007935CA"/>
    <w:rsid w:val="0079383F"/>
    <w:rsid w:val="0079543F"/>
    <w:rsid w:val="00795880"/>
    <w:rsid w:val="007A0B56"/>
    <w:rsid w:val="007A358E"/>
    <w:rsid w:val="007A4367"/>
    <w:rsid w:val="007B0867"/>
    <w:rsid w:val="007B1AC1"/>
    <w:rsid w:val="007B1DBF"/>
    <w:rsid w:val="007B441A"/>
    <w:rsid w:val="007B55C9"/>
    <w:rsid w:val="007B5A08"/>
    <w:rsid w:val="007B693D"/>
    <w:rsid w:val="007B7A39"/>
    <w:rsid w:val="007B7C1A"/>
    <w:rsid w:val="007C264F"/>
    <w:rsid w:val="007C4CDC"/>
    <w:rsid w:val="007C75E6"/>
    <w:rsid w:val="007C77AC"/>
    <w:rsid w:val="007D08C2"/>
    <w:rsid w:val="007D37CB"/>
    <w:rsid w:val="007D398A"/>
    <w:rsid w:val="007E041B"/>
    <w:rsid w:val="007E199A"/>
    <w:rsid w:val="007E1A6B"/>
    <w:rsid w:val="007E1AED"/>
    <w:rsid w:val="007E2415"/>
    <w:rsid w:val="007E34F7"/>
    <w:rsid w:val="007E39F3"/>
    <w:rsid w:val="007E405E"/>
    <w:rsid w:val="007E52AF"/>
    <w:rsid w:val="007E5354"/>
    <w:rsid w:val="007E68F4"/>
    <w:rsid w:val="007E6DE2"/>
    <w:rsid w:val="007F07A9"/>
    <w:rsid w:val="007F31BA"/>
    <w:rsid w:val="007F4078"/>
    <w:rsid w:val="0080014B"/>
    <w:rsid w:val="00800C50"/>
    <w:rsid w:val="00800CDA"/>
    <w:rsid w:val="00801793"/>
    <w:rsid w:val="00802E5C"/>
    <w:rsid w:val="00803642"/>
    <w:rsid w:val="008045AC"/>
    <w:rsid w:val="00806EA2"/>
    <w:rsid w:val="00812A2B"/>
    <w:rsid w:val="00812C83"/>
    <w:rsid w:val="0081369E"/>
    <w:rsid w:val="00814A4C"/>
    <w:rsid w:val="008227F7"/>
    <w:rsid w:val="00822B2C"/>
    <w:rsid w:val="0082599A"/>
    <w:rsid w:val="00831AAB"/>
    <w:rsid w:val="00833BCD"/>
    <w:rsid w:val="00834B82"/>
    <w:rsid w:val="0083574E"/>
    <w:rsid w:val="0083640C"/>
    <w:rsid w:val="0083740B"/>
    <w:rsid w:val="008374E3"/>
    <w:rsid w:val="0084157B"/>
    <w:rsid w:val="00842BFB"/>
    <w:rsid w:val="008462BD"/>
    <w:rsid w:val="00846B85"/>
    <w:rsid w:val="00847DC3"/>
    <w:rsid w:val="00847F49"/>
    <w:rsid w:val="0085019F"/>
    <w:rsid w:val="008516BF"/>
    <w:rsid w:val="00853132"/>
    <w:rsid w:val="008535C5"/>
    <w:rsid w:val="00853765"/>
    <w:rsid w:val="0085505A"/>
    <w:rsid w:val="0085516F"/>
    <w:rsid w:val="008620CD"/>
    <w:rsid w:val="00862AEA"/>
    <w:rsid w:val="00867186"/>
    <w:rsid w:val="00867400"/>
    <w:rsid w:val="00870A33"/>
    <w:rsid w:val="00870AF6"/>
    <w:rsid w:val="008756FA"/>
    <w:rsid w:val="00877452"/>
    <w:rsid w:val="00881268"/>
    <w:rsid w:val="00882F5F"/>
    <w:rsid w:val="0088394A"/>
    <w:rsid w:val="008860BD"/>
    <w:rsid w:val="00886D68"/>
    <w:rsid w:val="00887399"/>
    <w:rsid w:val="0088779E"/>
    <w:rsid w:val="008912AF"/>
    <w:rsid w:val="00892114"/>
    <w:rsid w:val="00892CB9"/>
    <w:rsid w:val="008935CB"/>
    <w:rsid w:val="008A2A17"/>
    <w:rsid w:val="008A36AE"/>
    <w:rsid w:val="008A42BC"/>
    <w:rsid w:val="008B0E7E"/>
    <w:rsid w:val="008B1495"/>
    <w:rsid w:val="008B65BD"/>
    <w:rsid w:val="008B7900"/>
    <w:rsid w:val="008C71BF"/>
    <w:rsid w:val="008C7FE0"/>
    <w:rsid w:val="008D3D2B"/>
    <w:rsid w:val="008D5717"/>
    <w:rsid w:val="008D599D"/>
    <w:rsid w:val="008D6230"/>
    <w:rsid w:val="008E06BE"/>
    <w:rsid w:val="008E1127"/>
    <w:rsid w:val="008E44A9"/>
    <w:rsid w:val="008E4709"/>
    <w:rsid w:val="008E4F1A"/>
    <w:rsid w:val="008E5DB5"/>
    <w:rsid w:val="008E6B4D"/>
    <w:rsid w:val="008E6BFF"/>
    <w:rsid w:val="008E6E54"/>
    <w:rsid w:val="008F21AF"/>
    <w:rsid w:val="008F2400"/>
    <w:rsid w:val="008F2CDE"/>
    <w:rsid w:val="008F61BA"/>
    <w:rsid w:val="008F6E3C"/>
    <w:rsid w:val="008F7BA8"/>
    <w:rsid w:val="008F7C55"/>
    <w:rsid w:val="00903F80"/>
    <w:rsid w:val="009048F9"/>
    <w:rsid w:val="00914A23"/>
    <w:rsid w:val="009154BF"/>
    <w:rsid w:val="00915976"/>
    <w:rsid w:val="00922395"/>
    <w:rsid w:val="00924D61"/>
    <w:rsid w:val="00925A71"/>
    <w:rsid w:val="00930754"/>
    <w:rsid w:val="00934F68"/>
    <w:rsid w:val="009355AC"/>
    <w:rsid w:val="00935F38"/>
    <w:rsid w:val="009363D9"/>
    <w:rsid w:val="00936D92"/>
    <w:rsid w:val="00937586"/>
    <w:rsid w:val="009431E2"/>
    <w:rsid w:val="00945596"/>
    <w:rsid w:val="00947889"/>
    <w:rsid w:val="009478BD"/>
    <w:rsid w:val="009530D6"/>
    <w:rsid w:val="009543B2"/>
    <w:rsid w:val="0095675C"/>
    <w:rsid w:val="00956A44"/>
    <w:rsid w:val="00957A69"/>
    <w:rsid w:val="00960173"/>
    <w:rsid w:val="00960E98"/>
    <w:rsid w:val="0096159A"/>
    <w:rsid w:val="00963A82"/>
    <w:rsid w:val="0096449F"/>
    <w:rsid w:val="00972912"/>
    <w:rsid w:val="00973BFC"/>
    <w:rsid w:val="00976D1F"/>
    <w:rsid w:val="00981C81"/>
    <w:rsid w:val="0099059D"/>
    <w:rsid w:val="009913B3"/>
    <w:rsid w:val="00993825"/>
    <w:rsid w:val="00993EFA"/>
    <w:rsid w:val="00996CDB"/>
    <w:rsid w:val="0099770C"/>
    <w:rsid w:val="009A2D24"/>
    <w:rsid w:val="009A2DF0"/>
    <w:rsid w:val="009A2F58"/>
    <w:rsid w:val="009A456C"/>
    <w:rsid w:val="009B00E0"/>
    <w:rsid w:val="009B04C8"/>
    <w:rsid w:val="009B0E01"/>
    <w:rsid w:val="009B292A"/>
    <w:rsid w:val="009B4A26"/>
    <w:rsid w:val="009B518B"/>
    <w:rsid w:val="009B6663"/>
    <w:rsid w:val="009B6BA9"/>
    <w:rsid w:val="009B76D5"/>
    <w:rsid w:val="009C016B"/>
    <w:rsid w:val="009C165D"/>
    <w:rsid w:val="009C2135"/>
    <w:rsid w:val="009C3CEA"/>
    <w:rsid w:val="009C4F43"/>
    <w:rsid w:val="009C583D"/>
    <w:rsid w:val="009D176E"/>
    <w:rsid w:val="009D2611"/>
    <w:rsid w:val="009D53D4"/>
    <w:rsid w:val="009D79D2"/>
    <w:rsid w:val="009E247C"/>
    <w:rsid w:val="009E31BA"/>
    <w:rsid w:val="009F0528"/>
    <w:rsid w:val="009F0806"/>
    <w:rsid w:val="009F0D96"/>
    <w:rsid w:val="009F1D8C"/>
    <w:rsid w:val="009F233B"/>
    <w:rsid w:val="00A02426"/>
    <w:rsid w:val="00A05D16"/>
    <w:rsid w:val="00A0659F"/>
    <w:rsid w:val="00A079BA"/>
    <w:rsid w:val="00A07A8D"/>
    <w:rsid w:val="00A10411"/>
    <w:rsid w:val="00A1320A"/>
    <w:rsid w:val="00A13D14"/>
    <w:rsid w:val="00A14D7C"/>
    <w:rsid w:val="00A14E8C"/>
    <w:rsid w:val="00A20C70"/>
    <w:rsid w:val="00A214BF"/>
    <w:rsid w:val="00A306AF"/>
    <w:rsid w:val="00A30E5B"/>
    <w:rsid w:val="00A33875"/>
    <w:rsid w:val="00A360A1"/>
    <w:rsid w:val="00A369FE"/>
    <w:rsid w:val="00A36D89"/>
    <w:rsid w:val="00A37427"/>
    <w:rsid w:val="00A402B3"/>
    <w:rsid w:val="00A40E5F"/>
    <w:rsid w:val="00A40EA0"/>
    <w:rsid w:val="00A42672"/>
    <w:rsid w:val="00A51834"/>
    <w:rsid w:val="00A544B7"/>
    <w:rsid w:val="00A60399"/>
    <w:rsid w:val="00A618CF"/>
    <w:rsid w:val="00A62770"/>
    <w:rsid w:val="00A62EEB"/>
    <w:rsid w:val="00A65B57"/>
    <w:rsid w:val="00A65E61"/>
    <w:rsid w:val="00A660FF"/>
    <w:rsid w:val="00A6617C"/>
    <w:rsid w:val="00A7260D"/>
    <w:rsid w:val="00A73395"/>
    <w:rsid w:val="00A76C44"/>
    <w:rsid w:val="00A771E3"/>
    <w:rsid w:val="00A81068"/>
    <w:rsid w:val="00A82B4C"/>
    <w:rsid w:val="00A84905"/>
    <w:rsid w:val="00A912D0"/>
    <w:rsid w:val="00A913FF"/>
    <w:rsid w:val="00A93A4C"/>
    <w:rsid w:val="00A94D5D"/>
    <w:rsid w:val="00AA0DA2"/>
    <w:rsid w:val="00AA1B13"/>
    <w:rsid w:val="00AA1D9B"/>
    <w:rsid w:val="00AA2543"/>
    <w:rsid w:val="00AA3804"/>
    <w:rsid w:val="00AA4908"/>
    <w:rsid w:val="00AA55C2"/>
    <w:rsid w:val="00AA6832"/>
    <w:rsid w:val="00AB0ACA"/>
    <w:rsid w:val="00AB1D41"/>
    <w:rsid w:val="00AB62D1"/>
    <w:rsid w:val="00AC0D22"/>
    <w:rsid w:val="00AC3F63"/>
    <w:rsid w:val="00AC5E9A"/>
    <w:rsid w:val="00AC5F2D"/>
    <w:rsid w:val="00AC704B"/>
    <w:rsid w:val="00AD553E"/>
    <w:rsid w:val="00AD5848"/>
    <w:rsid w:val="00AE5284"/>
    <w:rsid w:val="00AE5ADA"/>
    <w:rsid w:val="00AE626B"/>
    <w:rsid w:val="00AF5050"/>
    <w:rsid w:val="00AF5EAF"/>
    <w:rsid w:val="00AF6145"/>
    <w:rsid w:val="00B01386"/>
    <w:rsid w:val="00B01648"/>
    <w:rsid w:val="00B016E5"/>
    <w:rsid w:val="00B01915"/>
    <w:rsid w:val="00B01BB5"/>
    <w:rsid w:val="00B026CC"/>
    <w:rsid w:val="00B03076"/>
    <w:rsid w:val="00B04115"/>
    <w:rsid w:val="00B04AF4"/>
    <w:rsid w:val="00B05214"/>
    <w:rsid w:val="00B10534"/>
    <w:rsid w:val="00B117A0"/>
    <w:rsid w:val="00B1535F"/>
    <w:rsid w:val="00B17785"/>
    <w:rsid w:val="00B26123"/>
    <w:rsid w:val="00B262F1"/>
    <w:rsid w:val="00B3085D"/>
    <w:rsid w:val="00B30D97"/>
    <w:rsid w:val="00B31074"/>
    <w:rsid w:val="00B31395"/>
    <w:rsid w:val="00B3181A"/>
    <w:rsid w:val="00B359F9"/>
    <w:rsid w:val="00B35A7C"/>
    <w:rsid w:val="00B448C6"/>
    <w:rsid w:val="00B44ECD"/>
    <w:rsid w:val="00B450D1"/>
    <w:rsid w:val="00B50006"/>
    <w:rsid w:val="00B51C1D"/>
    <w:rsid w:val="00B53D47"/>
    <w:rsid w:val="00B54A25"/>
    <w:rsid w:val="00B556D6"/>
    <w:rsid w:val="00B5729D"/>
    <w:rsid w:val="00B5778E"/>
    <w:rsid w:val="00B60DE9"/>
    <w:rsid w:val="00B618C3"/>
    <w:rsid w:val="00B632D6"/>
    <w:rsid w:val="00B63652"/>
    <w:rsid w:val="00B639B7"/>
    <w:rsid w:val="00B64CC0"/>
    <w:rsid w:val="00B64FA1"/>
    <w:rsid w:val="00B668B0"/>
    <w:rsid w:val="00B70F5C"/>
    <w:rsid w:val="00B71574"/>
    <w:rsid w:val="00B71873"/>
    <w:rsid w:val="00B71F82"/>
    <w:rsid w:val="00B72F57"/>
    <w:rsid w:val="00B7383A"/>
    <w:rsid w:val="00B75AE5"/>
    <w:rsid w:val="00B77008"/>
    <w:rsid w:val="00B800C0"/>
    <w:rsid w:val="00B8132B"/>
    <w:rsid w:val="00B84C5A"/>
    <w:rsid w:val="00B858F5"/>
    <w:rsid w:val="00B91258"/>
    <w:rsid w:val="00B93668"/>
    <w:rsid w:val="00B96C0D"/>
    <w:rsid w:val="00BA605F"/>
    <w:rsid w:val="00BA68C6"/>
    <w:rsid w:val="00BB0221"/>
    <w:rsid w:val="00BB12F1"/>
    <w:rsid w:val="00BB276E"/>
    <w:rsid w:val="00BB3FEE"/>
    <w:rsid w:val="00BB5EB0"/>
    <w:rsid w:val="00BC245A"/>
    <w:rsid w:val="00BC2EEF"/>
    <w:rsid w:val="00BC31E2"/>
    <w:rsid w:val="00BC5B12"/>
    <w:rsid w:val="00BC7B80"/>
    <w:rsid w:val="00BD0B8A"/>
    <w:rsid w:val="00BD16FA"/>
    <w:rsid w:val="00BD41C3"/>
    <w:rsid w:val="00BD488B"/>
    <w:rsid w:val="00BD7CCC"/>
    <w:rsid w:val="00BE002A"/>
    <w:rsid w:val="00BE0283"/>
    <w:rsid w:val="00BE0316"/>
    <w:rsid w:val="00BE1BC9"/>
    <w:rsid w:val="00BE2763"/>
    <w:rsid w:val="00BE318F"/>
    <w:rsid w:val="00BE31CC"/>
    <w:rsid w:val="00BE5CDA"/>
    <w:rsid w:val="00BE5D20"/>
    <w:rsid w:val="00BE608F"/>
    <w:rsid w:val="00BF23BB"/>
    <w:rsid w:val="00BF2B1C"/>
    <w:rsid w:val="00BF33DD"/>
    <w:rsid w:val="00BF3D69"/>
    <w:rsid w:val="00BF5331"/>
    <w:rsid w:val="00BF5755"/>
    <w:rsid w:val="00BF684B"/>
    <w:rsid w:val="00C002F7"/>
    <w:rsid w:val="00C015F0"/>
    <w:rsid w:val="00C016F3"/>
    <w:rsid w:val="00C10A0F"/>
    <w:rsid w:val="00C15193"/>
    <w:rsid w:val="00C15609"/>
    <w:rsid w:val="00C15A94"/>
    <w:rsid w:val="00C15F6A"/>
    <w:rsid w:val="00C17367"/>
    <w:rsid w:val="00C23EA7"/>
    <w:rsid w:val="00C256F3"/>
    <w:rsid w:val="00C270A2"/>
    <w:rsid w:val="00C310EC"/>
    <w:rsid w:val="00C315B5"/>
    <w:rsid w:val="00C317C4"/>
    <w:rsid w:val="00C35E28"/>
    <w:rsid w:val="00C367C0"/>
    <w:rsid w:val="00C41806"/>
    <w:rsid w:val="00C426AF"/>
    <w:rsid w:val="00C4292A"/>
    <w:rsid w:val="00C42CDD"/>
    <w:rsid w:val="00C454C2"/>
    <w:rsid w:val="00C45A9C"/>
    <w:rsid w:val="00C46780"/>
    <w:rsid w:val="00C469C1"/>
    <w:rsid w:val="00C50659"/>
    <w:rsid w:val="00C51B39"/>
    <w:rsid w:val="00C5338A"/>
    <w:rsid w:val="00C54C3B"/>
    <w:rsid w:val="00C54EF9"/>
    <w:rsid w:val="00C56BBF"/>
    <w:rsid w:val="00C572AA"/>
    <w:rsid w:val="00C57A9A"/>
    <w:rsid w:val="00C6016A"/>
    <w:rsid w:val="00C60B3F"/>
    <w:rsid w:val="00C614D8"/>
    <w:rsid w:val="00C623EB"/>
    <w:rsid w:val="00C64C6B"/>
    <w:rsid w:val="00C65CA1"/>
    <w:rsid w:val="00C66F2E"/>
    <w:rsid w:val="00C6785C"/>
    <w:rsid w:val="00C709D6"/>
    <w:rsid w:val="00C70FD1"/>
    <w:rsid w:val="00C72030"/>
    <w:rsid w:val="00C724F2"/>
    <w:rsid w:val="00C72B76"/>
    <w:rsid w:val="00C72B7C"/>
    <w:rsid w:val="00C733AA"/>
    <w:rsid w:val="00C775BE"/>
    <w:rsid w:val="00C77DC0"/>
    <w:rsid w:val="00C82F1B"/>
    <w:rsid w:val="00C83027"/>
    <w:rsid w:val="00C8341F"/>
    <w:rsid w:val="00C84B8A"/>
    <w:rsid w:val="00C85E65"/>
    <w:rsid w:val="00C87829"/>
    <w:rsid w:val="00C87CA1"/>
    <w:rsid w:val="00C911B4"/>
    <w:rsid w:val="00C91A3F"/>
    <w:rsid w:val="00C91B3B"/>
    <w:rsid w:val="00C91C2D"/>
    <w:rsid w:val="00C94262"/>
    <w:rsid w:val="00C94682"/>
    <w:rsid w:val="00C94CE1"/>
    <w:rsid w:val="00C95C73"/>
    <w:rsid w:val="00C976E1"/>
    <w:rsid w:val="00CA148E"/>
    <w:rsid w:val="00CA3A9A"/>
    <w:rsid w:val="00CA3DB6"/>
    <w:rsid w:val="00CA3F36"/>
    <w:rsid w:val="00CA4C2A"/>
    <w:rsid w:val="00CA622A"/>
    <w:rsid w:val="00CA6A84"/>
    <w:rsid w:val="00CA6FB7"/>
    <w:rsid w:val="00CA7B11"/>
    <w:rsid w:val="00CB2C12"/>
    <w:rsid w:val="00CB33CA"/>
    <w:rsid w:val="00CB6BC1"/>
    <w:rsid w:val="00CB7021"/>
    <w:rsid w:val="00CC1544"/>
    <w:rsid w:val="00CC6900"/>
    <w:rsid w:val="00CD08F5"/>
    <w:rsid w:val="00CD1772"/>
    <w:rsid w:val="00CD3294"/>
    <w:rsid w:val="00CD33F4"/>
    <w:rsid w:val="00CD4524"/>
    <w:rsid w:val="00CD6325"/>
    <w:rsid w:val="00CD7634"/>
    <w:rsid w:val="00CD784D"/>
    <w:rsid w:val="00CE20EA"/>
    <w:rsid w:val="00CE23C2"/>
    <w:rsid w:val="00CE326A"/>
    <w:rsid w:val="00CE3BBD"/>
    <w:rsid w:val="00CE531A"/>
    <w:rsid w:val="00CF3A1C"/>
    <w:rsid w:val="00CF40F8"/>
    <w:rsid w:val="00CF5C7D"/>
    <w:rsid w:val="00D008DA"/>
    <w:rsid w:val="00D01BE4"/>
    <w:rsid w:val="00D02D8A"/>
    <w:rsid w:val="00D039D5"/>
    <w:rsid w:val="00D0416F"/>
    <w:rsid w:val="00D05851"/>
    <w:rsid w:val="00D10FED"/>
    <w:rsid w:val="00D11736"/>
    <w:rsid w:val="00D12EE8"/>
    <w:rsid w:val="00D14CDF"/>
    <w:rsid w:val="00D15FF1"/>
    <w:rsid w:val="00D167F4"/>
    <w:rsid w:val="00D2092A"/>
    <w:rsid w:val="00D21C85"/>
    <w:rsid w:val="00D2216D"/>
    <w:rsid w:val="00D24FF8"/>
    <w:rsid w:val="00D31A6F"/>
    <w:rsid w:val="00D353D1"/>
    <w:rsid w:val="00D364DC"/>
    <w:rsid w:val="00D367DB"/>
    <w:rsid w:val="00D36E05"/>
    <w:rsid w:val="00D370A7"/>
    <w:rsid w:val="00D4020F"/>
    <w:rsid w:val="00D412D4"/>
    <w:rsid w:val="00D4245F"/>
    <w:rsid w:val="00D43FD3"/>
    <w:rsid w:val="00D4420D"/>
    <w:rsid w:val="00D44BB2"/>
    <w:rsid w:val="00D44F27"/>
    <w:rsid w:val="00D45304"/>
    <w:rsid w:val="00D45C33"/>
    <w:rsid w:val="00D46165"/>
    <w:rsid w:val="00D461C7"/>
    <w:rsid w:val="00D50424"/>
    <w:rsid w:val="00D50710"/>
    <w:rsid w:val="00D5140A"/>
    <w:rsid w:val="00D525C9"/>
    <w:rsid w:val="00D53100"/>
    <w:rsid w:val="00D53E44"/>
    <w:rsid w:val="00D55806"/>
    <w:rsid w:val="00D56B64"/>
    <w:rsid w:val="00D57D3E"/>
    <w:rsid w:val="00D616AE"/>
    <w:rsid w:val="00D624AC"/>
    <w:rsid w:val="00D644A0"/>
    <w:rsid w:val="00D646AC"/>
    <w:rsid w:val="00D703BD"/>
    <w:rsid w:val="00D76249"/>
    <w:rsid w:val="00D76618"/>
    <w:rsid w:val="00D80F1D"/>
    <w:rsid w:val="00D84234"/>
    <w:rsid w:val="00D84436"/>
    <w:rsid w:val="00D87367"/>
    <w:rsid w:val="00D962C8"/>
    <w:rsid w:val="00D966DE"/>
    <w:rsid w:val="00D96E33"/>
    <w:rsid w:val="00DA3985"/>
    <w:rsid w:val="00DA54E5"/>
    <w:rsid w:val="00DA696A"/>
    <w:rsid w:val="00DA703D"/>
    <w:rsid w:val="00DA7D12"/>
    <w:rsid w:val="00DB0CBE"/>
    <w:rsid w:val="00DB28E3"/>
    <w:rsid w:val="00DB3E07"/>
    <w:rsid w:val="00DC1908"/>
    <w:rsid w:val="00DC23CF"/>
    <w:rsid w:val="00DC2ABE"/>
    <w:rsid w:val="00DC51F3"/>
    <w:rsid w:val="00DC6562"/>
    <w:rsid w:val="00DD1AD8"/>
    <w:rsid w:val="00DD325B"/>
    <w:rsid w:val="00DE130D"/>
    <w:rsid w:val="00DE23AD"/>
    <w:rsid w:val="00DE24CF"/>
    <w:rsid w:val="00DE2F1C"/>
    <w:rsid w:val="00DE402A"/>
    <w:rsid w:val="00DE407C"/>
    <w:rsid w:val="00DE612D"/>
    <w:rsid w:val="00DE7C7D"/>
    <w:rsid w:val="00DF0516"/>
    <w:rsid w:val="00DF0CEB"/>
    <w:rsid w:val="00DF2992"/>
    <w:rsid w:val="00DF2D0C"/>
    <w:rsid w:val="00DF55F7"/>
    <w:rsid w:val="00DF62C5"/>
    <w:rsid w:val="00DF6C40"/>
    <w:rsid w:val="00E00058"/>
    <w:rsid w:val="00E01B9D"/>
    <w:rsid w:val="00E0468F"/>
    <w:rsid w:val="00E04F5E"/>
    <w:rsid w:val="00E0522E"/>
    <w:rsid w:val="00E05A94"/>
    <w:rsid w:val="00E06481"/>
    <w:rsid w:val="00E10CFC"/>
    <w:rsid w:val="00E10EB7"/>
    <w:rsid w:val="00E120F4"/>
    <w:rsid w:val="00E14CAB"/>
    <w:rsid w:val="00E150B5"/>
    <w:rsid w:val="00E17172"/>
    <w:rsid w:val="00E17F24"/>
    <w:rsid w:val="00E21D72"/>
    <w:rsid w:val="00E3181C"/>
    <w:rsid w:val="00E3280A"/>
    <w:rsid w:val="00E3345E"/>
    <w:rsid w:val="00E372AF"/>
    <w:rsid w:val="00E37D68"/>
    <w:rsid w:val="00E40B30"/>
    <w:rsid w:val="00E40EAE"/>
    <w:rsid w:val="00E4323D"/>
    <w:rsid w:val="00E436AC"/>
    <w:rsid w:val="00E4417F"/>
    <w:rsid w:val="00E44F7A"/>
    <w:rsid w:val="00E44FF8"/>
    <w:rsid w:val="00E5066A"/>
    <w:rsid w:val="00E5084E"/>
    <w:rsid w:val="00E520FB"/>
    <w:rsid w:val="00E52CF9"/>
    <w:rsid w:val="00E53455"/>
    <w:rsid w:val="00E60052"/>
    <w:rsid w:val="00E61415"/>
    <w:rsid w:val="00E61F98"/>
    <w:rsid w:val="00E63F34"/>
    <w:rsid w:val="00E63FEA"/>
    <w:rsid w:val="00E64956"/>
    <w:rsid w:val="00E653D9"/>
    <w:rsid w:val="00E65C3F"/>
    <w:rsid w:val="00E66E69"/>
    <w:rsid w:val="00E6715A"/>
    <w:rsid w:val="00E7563E"/>
    <w:rsid w:val="00E75DC9"/>
    <w:rsid w:val="00E81610"/>
    <w:rsid w:val="00E82863"/>
    <w:rsid w:val="00E84910"/>
    <w:rsid w:val="00E85B28"/>
    <w:rsid w:val="00E87F1B"/>
    <w:rsid w:val="00E91976"/>
    <w:rsid w:val="00E93500"/>
    <w:rsid w:val="00E947A6"/>
    <w:rsid w:val="00E94C35"/>
    <w:rsid w:val="00E97FC7"/>
    <w:rsid w:val="00EA0690"/>
    <w:rsid w:val="00EA391D"/>
    <w:rsid w:val="00EA3956"/>
    <w:rsid w:val="00EA44EA"/>
    <w:rsid w:val="00EA49CE"/>
    <w:rsid w:val="00EA4C7B"/>
    <w:rsid w:val="00EA5BBC"/>
    <w:rsid w:val="00EA6A3C"/>
    <w:rsid w:val="00EA7136"/>
    <w:rsid w:val="00EA71FA"/>
    <w:rsid w:val="00EB2166"/>
    <w:rsid w:val="00EB325A"/>
    <w:rsid w:val="00EB4C22"/>
    <w:rsid w:val="00EB55AD"/>
    <w:rsid w:val="00EC02A5"/>
    <w:rsid w:val="00EC176B"/>
    <w:rsid w:val="00EC18AA"/>
    <w:rsid w:val="00EC2626"/>
    <w:rsid w:val="00EC33CD"/>
    <w:rsid w:val="00EC5BE5"/>
    <w:rsid w:val="00ED0304"/>
    <w:rsid w:val="00ED2650"/>
    <w:rsid w:val="00ED4FC5"/>
    <w:rsid w:val="00ED721A"/>
    <w:rsid w:val="00EE35B6"/>
    <w:rsid w:val="00EE393D"/>
    <w:rsid w:val="00EF01CF"/>
    <w:rsid w:val="00EF1020"/>
    <w:rsid w:val="00EF2D99"/>
    <w:rsid w:val="00EF6A47"/>
    <w:rsid w:val="00EF7AF9"/>
    <w:rsid w:val="00F000FF"/>
    <w:rsid w:val="00F00952"/>
    <w:rsid w:val="00F01495"/>
    <w:rsid w:val="00F056E0"/>
    <w:rsid w:val="00F07913"/>
    <w:rsid w:val="00F07B9A"/>
    <w:rsid w:val="00F10138"/>
    <w:rsid w:val="00F111AB"/>
    <w:rsid w:val="00F13F92"/>
    <w:rsid w:val="00F22ECA"/>
    <w:rsid w:val="00F23FB1"/>
    <w:rsid w:val="00F240E8"/>
    <w:rsid w:val="00F244FA"/>
    <w:rsid w:val="00F25C5F"/>
    <w:rsid w:val="00F271B1"/>
    <w:rsid w:val="00F31079"/>
    <w:rsid w:val="00F32C93"/>
    <w:rsid w:val="00F366A2"/>
    <w:rsid w:val="00F403D4"/>
    <w:rsid w:val="00F44F43"/>
    <w:rsid w:val="00F450E1"/>
    <w:rsid w:val="00F45D26"/>
    <w:rsid w:val="00F50259"/>
    <w:rsid w:val="00F50B51"/>
    <w:rsid w:val="00F50DF4"/>
    <w:rsid w:val="00F52234"/>
    <w:rsid w:val="00F52664"/>
    <w:rsid w:val="00F531E9"/>
    <w:rsid w:val="00F54C0B"/>
    <w:rsid w:val="00F56397"/>
    <w:rsid w:val="00F57AFE"/>
    <w:rsid w:val="00F6278E"/>
    <w:rsid w:val="00F63C41"/>
    <w:rsid w:val="00F63E96"/>
    <w:rsid w:val="00F646E6"/>
    <w:rsid w:val="00F701E3"/>
    <w:rsid w:val="00F702A9"/>
    <w:rsid w:val="00F71008"/>
    <w:rsid w:val="00F71098"/>
    <w:rsid w:val="00F71F8C"/>
    <w:rsid w:val="00F773A3"/>
    <w:rsid w:val="00F82286"/>
    <w:rsid w:val="00F869CA"/>
    <w:rsid w:val="00F86AD4"/>
    <w:rsid w:val="00F93032"/>
    <w:rsid w:val="00F95E96"/>
    <w:rsid w:val="00F97993"/>
    <w:rsid w:val="00FA0113"/>
    <w:rsid w:val="00FA0DBD"/>
    <w:rsid w:val="00FA12B2"/>
    <w:rsid w:val="00FA4663"/>
    <w:rsid w:val="00FA62AF"/>
    <w:rsid w:val="00FA7610"/>
    <w:rsid w:val="00FB02BD"/>
    <w:rsid w:val="00FB398F"/>
    <w:rsid w:val="00FB3CEB"/>
    <w:rsid w:val="00FB4EF8"/>
    <w:rsid w:val="00FB546C"/>
    <w:rsid w:val="00FB54AE"/>
    <w:rsid w:val="00FB709A"/>
    <w:rsid w:val="00FB75AB"/>
    <w:rsid w:val="00FB78DD"/>
    <w:rsid w:val="00FB7F41"/>
    <w:rsid w:val="00FC30F9"/>
    <w:rsid w:val="00FC3EF3"/>
    <w:rsid w:val="00FC45BF"/>
    <w:rsid w:val="00FC5D35"/>
    <w:rsid w:val="00FD02E8"/>
    <w:rsid w:val="00FD2049"/>
    <w:rsid w:val="00FD2140"/>
    <w:rsid w:val="00FD2421"/>
    <w:rsid w:val="00FD5B5F"/>
    <w:rsid w:val="00FD5BDE"/>
    <w:rsid w:val="00FD68EC"/>
    <w:rsid w:val="00FE206E"/>
    <w:rsid w:val="00FE24A5"/>
    <w:rsid w:val="00FE261E"/>
    <w:rsid w:val="00FE31E5"/>
    <w:rsid w:val="00FE3F42"/>
    <w:rsid w:val="00FE6049"/>
    <w:rsid w:val="00FE7206"/>
    <w:rsid w:val="00FF0744"/>
    <w:rsid w:val="00FF19AD"/>
    <w:rsid w:val="00FF1EB5"/>
    <w:rsid w:val="00FF2038"/>
    <w:rsid w:val="00FF292D"/>
    <w:rsid w:val="00FF298D"/>
    <w:rsid w:val="00FF4B55"/>
    <w:rsid w:val="00FF5533"/>
    <w:rsid w:val="00FF6287"/>
    <w:rsid w:val="00FF6A74"/>
    <w:rsid w:val="00FF73FB"/>
    <w:rsid w:val="00FF7578"/>
    <w:rsid w:val="00FF76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Y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4206004"/>
  <w15:chartTrackingRefBased/>
  <w15:docId w15:val="{3C92A706-7834-4F8D-9E56-CCFBA4D13D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Times New Roman"/>
        <w:lang w:val="en-CY" w:eastAsia="en-CY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6785C"/>
    <w:rPr>
      <w:sz w:val="22"/>
      <w:szCs w:val="22"/>
      <w:lang w:val="en-US" w:eastAsia="en-US"/>
    </w:rPr>
  </w:style>
  <w:style w:type="paragraph" w:styleId="Heading6">
    <w:name w:val="heading 6"/>
    <w:basedOn w:val="Normal"/>
    <w:next w:val="Normal"/>
    <w:link w:val="Heading6Char"/>
    <w:qFormat/>
    <w:rsid w:val="00463214"/>
    <w:pPr>
      <w:keepNext/>
      <w:tabs>
        <w:tab w:val="left" w:pos="6840"/>
      </w:tabs>
      <w:jc w:val="center"/>
      <w:outlineLvl w:val="5"/>
    </w:pPr>
    <w:rPr>
      <w:rFonts w:ascii="Times New Roman" w:eastAsia="Times New Roman" w:hAnsi="Times New Roman"/>
      <w:b/>
      <w:bCs/>
      <w:szCs w:val="24"/>
      <w:u w:val="single"/>
      <w:lang w:val="el-G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B398F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FB39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FB398F"/>
    <w:pPr>
      <w:tabs>
        <w:tab w:val="center" w:pos="4153"/>
        <w:tab w:val="right" w:pos="8306"/>
      </w:tabs>
    </w:pPr>
    <w:rPr>
      <w:rFonts w:ascii="Times New Roman" w:eastAsia="Times New Roman" w:hAnsi="Times New Roman"/>
      <w:sz w:val="24"/>
      <w:szCs w:val="24"/>
      <w:lang w:val="el-GR" w:eastAsia="el-GR"/>
    </w:rPr>
  </w:style>
  <w:style w:type="character" w:customStyle="1" w:styleId="HeaderChar">
    <w:name w:val="Header Char"/>
    <w:link w:val="Header"/>
    <w:rsid w:val="00FB398F"/>
    <w:rPr>
      <w:rFonts w:ascii="Times New Roman" w:eastAsia="Times New Roman" w:hAnsi="Times New Roman" w:cs="Times New Roman"/>
      <w:sz w:val="24"/>
      <w:szCs w:val="24"/>
      <w:lang w:val="el-GR" w:eastAsia="el-GR"/>
    </w:rPr>
  </w:style>
  <w:style w:type="paragraph" w:styleId="Footer">
    <w:name w:val="footer"/>
    <w:basedOn w:val="Normal"/>
    <w:link w:val="FooterChar"/>
    <w:unhideWhenUsed/>
    <w:rsid w:val="00FB398F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rsid w:val="00FB398F"/>
  </w:style>
  <w:style w:type="character" w:styleId="Hyperlink">
    <w:name w:val="Hyperlink"/>
    <w:rsid w:val="00B53D47"/>
    <w:rPr>
      <w:color w:val="0000FF"/>
      <w:u w:val="single"/>
    </w:rPr>
  </w:style>
  <w:style w:type="character" w:customStyle="1" w:styleId="Heading6Char">
    <w:name w:val="Heading 6 Char"/>
    <w:link w:val="Heading6"/>
    <w:rsid w:val="00463214"/>
    <w:rPr>
      <w:rFonts w:ascii="Times New Roman" w:eastAsia="Times New Roman" w:hAnsi="Times New Roman"/>
      <w:b/>
      <w:bCs/>
      <w:sz w:val="22"/>
      <w:szCs w:val="24"/>
      <w:u w:val="single"/>
      <w:lang w:eastAsia="en-US"/>
    </w:rPr>
  </w:style>
  <w:style w:type="paragraph" w:customStyle="1" w:styleId="xl35">
    <w:name w:val="xl35"/>
    <w:basedOn w:val="Normal"/>
    <w:rsid w:val="00463214"/>
    <w:pPr>
      <w:pBdr>
        <w:left w:val="single" w:sz="4" w:space="0" w:color="auto"/>
      </w:pBdr>
      <w:spacing w:before="100" w:beforeAutospacing="1" w:after="100" w:afterAutospacing="1"/>
    </w:pPr>
    <w:rPr>
      <w:rFonts w:ascii="Times New Roman" w:eastAsia="Times New Roman" w:hAnsi="Times New Roman"/>
      <w:sz w:val="18"/>
      <w:szCs w:val="18"/>
      <w:lang w:val="en-GB"/>
    </w:rPr>
  </w:style>
  <w:style w:type="paragraph" w:customStyle="1" w:styleId="Default">
    <w:name w:val="Default"/>
    <w:rsid w:val="005341C9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  <w:lang w:val="el-GR" w:eastAsia="el-GR"/>
    </w:rPr>
  </w:style>
  <w:style w:type="paragraph" w:customStyle="1" w:styleId="Normal13pt">
    <w:name w:val="Normal + 13 pt"/>
    <w:aliases w:val="Justified,Left:  0,95 cm"/>
    <w:basedOn w:val="Normal"/>
    <w:rsid w:val="00B30D97"/>
    <w:pPr>
      <w:spacing w:line="264" w:lineRule="auto"/>
      <w:ind w:left="540"/>
      <w:jc w:val="both"/>
    </w:pPr>
    <w:rPr>
      <w:rFonts w:ascii="Times New Roman" w:eastAsia="Times New Roman" w:hAnsi="Times New Roman"/>
      <w:b/>
      <w:sz w:val="26"/>
      <w:szCs w:val="26"/>
      <w:u w:val="single"/>
      <w:lang w:val="el-GR"/>
    </w:rPr>
  </w:style>
  <w:style w:type="character" w:styleId="CommentReference">
    <w:name w:val="annotation reference"/>
    <w:uiPriority w:val="99"/>
    <w:semiHidden/>
    <w:unhideWhenUsed/>
    <w:rsid w:val="0089211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92114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92114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92114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rsid w:val="00892114"/>
    <w:rPr>
      <w:b/>
      <w:bCs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C84B8A"/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C84B8A"/>
  </w:style>
  <w:style w:type="character" w:styleId="EndnoteReference">
    <w:name w:val="endnote reference"/>
    <w:uiPriority w:val="99"/>
    <w:semiHidden/>
    <w:unhideWhenUsed/>
    <w:rsid w:val="00C84B8A"/>
    <w:rPr>
      <w:vertAlign w:val="superscript"/>
    </w:rPr>
  </w:style>
  <w:style w:type="table" w:styleId="TableGrid">
    <w:name w:val="Table Grid"/>
    <w:basedOn w:val="TableNormal"/>
    <w:uiPriority w:val="59"/>
    <w:rsid w:val="00E01B9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618CF"/>
    <w:pPr>
      <w:ind w:left="720"/>
      <w:contextualSpacing/>
    </w:pPr>
  </w:style>
  <w:style w:type="character" w:styleId="PageNumber">
    <w:name w:val="page number"/>
    <w:basedOn w:val="DefaultParagraphFont"/>
    <w:uiPriority w:val="99"/>
    <w:semiHidden/>
    <w:unhideWhenUsed/>
    <w:rsid w:val="00D76249"/>
  </w:style>
  <w:style w:type="character" w:styleId="FollowedHyperlink">
    <w:name w:val="FollowedHyperlink"/>
    <w:uiPriority w:val="99"/>
    <w:semiHidden/>
    <w:unhideWhenUsed/>
    <w:rsid w:val="006022B5"/>
    <w:rPr>
      <w:color w:val="800080"/>
      <w:u w:val="single"/>
    </w:rPr>
  </w:style>
  <w:style w:type="character" w:styleId="UnresolvedMention">
    <w:name w:val="Unresolved Mention"/>
    <w:uiPriority w:val="99"/>
    <w:semiHidden/>
    <w:unhideWhenUsed/>
    <w:rsid w:val="006022B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9598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268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11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913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27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2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833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5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16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8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3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57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yperlink" Target="mailto:svikis@cystat.mof.gov.cy" TargetMode="External"/><Relationship Id="rId18" Type="http://schemas.openxmlformats.org/officeDocument/2006/relationships/header" Target="header2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www.cystat.gov.cy/el/MethodologicalDetails?m=2089" TargetMode="External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cystat.gov.cy/el/KeyFiguresList?s=47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fkakoutsis@cystat.mof.gov.cy" TargetMode="External"/><Relationship Id="rId10" Type="http://schemas.openxmlformats.org/officeDocument/2006/relationships/hyperlink" Target="https://cystatdb.cystat.gov.cy/pxweb/el/8.CYSTAT-DB/8.CYSTAT-DB__Price%20Indices__" TargetMode="External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yperlink" Target="https://www.cystat.gov.cy/el/SubthemeStatistics?s=47" TargetMode="External"/><Relationship Id="rId14" Type="http://schemas.openxmlformats.org/officeDocument/2006/relationships/hyperlink" Target="mailto:kvoutouris@cystat.mof.gov.cy" TargetMode="Externa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://www.cystat.gov.cy" TargetMode="External"/><Relationship Id="rId1" Type="http://schemas.openxmlformats.org/officeDocument/2006/relationships/hyperlink" Target="mailto:enquiries@cystat.mof.gov.cy" TargetMode="Externa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4.emf"/><Relationship Id="rId2" Type="http://schemas.openxmlformats.org/officeDocument/2006/relationships/image" Target="media/image3.emf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62FECDD-D329-4CE8-8FD4-82080B2E01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184</TotalTime>
  <Pages>5</Pages>
  <Words>1233</Words>
  <Characters>7030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8247</CharactersWithSpaces>
  <SharedDoc>false</SharedDoc>
  <HLinks>
    <vt:vector size="12" baseType="variant">
      <vt:variant>
        <vt:i4>4980827</vt:i4>
      </vt:variant>
      <vt:variant>
        <vt:i4>6</vt:i4>
      </vt:variant>
      <vt:variant>
        <vt:i4>0</vt:i4>
      </vt:variant>
      <vt:variant>
        <vt:i4>5</vt:i4>
      </vt:variant>
      <vt:variant>
        <vt:lpwstr>http://www.cystat.gov.cy/</vt:lpwstr>
      </vt:variant>
      <vt:variant>
        <vt:lpwstr/>
      </vt:variant>
      <vt:variant>
        <vt:i4>2293766</vt:i4>
      </vt:variant>
      <vt:variant>
        <vt:i4>3</vt:i4>
      </vt:variant>
      <vt:variant>
        <vt:i4>0</vt:i4>
      </vt:variant>
      <vt:variant>
        <vt:i4>5</vt:i4>
      </vt:variant>
      <vt:variant>
        <vt:lpwstr>mailto:enquiries@cystat.mof.gov.cy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Theodoulou  George</cp:lastModifiedBy>
  <cp:revision>16</cp:revision>
  <cp:lastPrinted>2024-10-03T08:50:00Z</cp:lastPrinted>
  <dcterms:created xsi:type="dcterms:W3CDTF">2024-12-03T11:05:00Z</dcterms:created>
  <dcterms:modified xsi:type="dcterms:W3CDTF">2024-12-05T08:34:00Z</dcterms:modified>
</cp:coreProperties>
</file>