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3283" w14:textId="3E1E455E" w:rsidR="007437AB" w:rsidRPr="00266F1F" w:rsidRDefault="007437AB" w:rsidP="000E4CB0">
      <w:pPr>
        <w:jc w:val="both"/>
        <w:rPr>
          <w:rFonts w:ascii="Verdana" w:hAnsi="Verdana" w:cs="Arial"/>
          <w:sz w:val="18"/>
          <w:szCs w:val="18"/>
        </w:rPr>
      </w:pPr>
    </w:p>
    <w:p w14:paraId="650D9480" w14:textId="0510A605" w:rsidR="006022B5" w:rsidRDefault="00BF1E44" w:rsidP="00BF1E44">
      <w:pPr>
        <w:tabs>
          <w:tab w:val="left" w:pos="1080"/>
          <w:tab w:val="left" w:pos="7088"/>
        </w:tabs>
        <w:ind w:right="283"/>
        <w:jc w:val="right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hAnsi="Verdana" w:cs="Arial"/>
          <w:sz w:val="18"/>
          <w:szCs w:val="18"/>
          <w:lang w:val="el-GR"/>
        </w:rPr>
        <w:t>2</w:t>
      </w:r>
      <w:r w:rsidR="00305D99">
        <w:rPr>
          <w:rFonts w:ascii="Verdana" w:hAnsi="Verdana" w:cs="Arial"/>
          <w:sz w:val="18"/>
          <w:szCs w:val="18"/>
          <w:lang w:val="el-GR"/>
        </w:rPr>
        <w:t xml:space="preserve"> </w:t>
      </w:r>
      <w:r>
        <w:rPr>
          <w:rFonts w:ascii="Verdana" w:hAnsi="Verdana" w:cs="Arial"/>
          <w:sz w:val="18"/>
          <w:szCs w:val="18"/>
          <w:lang w:val="el-GR"/>
        </w:rPr>
        <w:t>Ιανουαρίου</w:t>
      </w:r>
      <w:r w:rsidR="006022B5" w:rsidRPr="006022B5">
        <w:rPr>
          <w:rFonts w:ascii="Verdana" w:eastAsia="Malgun Gothic" w:hAnsi="Verdana" w:cs="Arial"/>
          <w:sz w:val="18"/>
          <w:szCs w:val="18"/>
          <w:lang w:val="el-GR"/>
        </w:rPr>
        <w:t>, 202</w:t>
      </w:r>
      <w:r>
        <w:rPr>
          <w:rFonts w:ascii="Verdana" w:eastAsia="Malgun Gothic" w:hAnsi="Verdana" w:cs="Arial"/>
          <w:sz w:val="18"/>
          <w:szCs w:val="18"/>
          <w:lang w:val="el-GR"/>
        </w:rPr>
        <w:t>5</w:t>
      </w:r>
    </w:p>
    <w:p w14:paraId="0D680384" w14:textId="77777777" w:rsidR="00BF1E44" w:rsidRDefault="00BF1E44" w:rsidP="00BF1E44">
      <w:pPr>
        <w:tabs>
          <w:tab w:val="left" w:pos="1080"/>
          <w:tab w:val="left" w:pos="7088"/>
        </w:tabs>
        <w:ind w:right="283"/>
        <w:jc w:val="center"/>
        <w:rPr>
          <w:rFonts w:ascii="Verdana" w:eastAsia="Malgun Gothic" w:hAnsi="Verdana" w:cs="Arial"/>
          <w:sz w:val="18"/>
          <w:szCs w:val="18"/>
          <w:lang w:val="el-GR"/>
        </w:rPr>
      </w:pPr>
    </w:p>
    <w:p w14:paraId="56EBF85B" w14:textId="77777777" w:rsidR="00BF1E44" w:rsidRDefault="00BF1E44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</w:p>
    <w:p w14:paraId="06071BA9" w14:textId="23BAF8EA" w:rsidR="006022B5" w:rsidRPr="006022B5" w:rsidRDefault="006022B5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  <w:r w:rsidRPr="006022B5">
        <w:rPr>
          <w:rFonts w:ascii="Verdana" w:eastAsia="Malgun Gothic" w:hAnsi="Verdana" w:cs="Arial"/>
          <w:b/>
          <w:sz w:val="24"/>
          <w:szCs w:val="24"/>
          <w:lang w:val="el-GR"/>
        </w:rPr>
        <w:t>ΔΕΛΤΙΟ ΤΥΠΟΥ</w:t>
      </w:r>
    </w:p>
    <w:p w14:paraId="59BCE7C7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3F149EC6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151BF7D6" w14:textId="67A20A26" w:rsidR="006022B5" w:rsidRPr="008E1127" w:rsidRDefault="006022B5" w:rsidP="006022B5">
      <w:pPr>
        <w:keepNext/>
        <w:tabs>
          <w:tab w:val="left" w:pos="6840"/>
        </w:tabs>
        <w:outlineLvl w:val="5"/>
        <w:rPr>
          <w:rFonts w:ascii="Verdana" w:eastAsia="Malgun Gothic" w:hAnsi="Verdana" w:cs="Arial"/>
          <w:b/>
          <w:bCs/>
          <w:u w:val="single"/>
          <w:lang w:val="el-GR"/>
        </w:rPr>
      </w:pPr>
      <w:r w:rsidRPr="006022B5">
        <w:rPr>
          <w:rFonts w:ascii="Verdana" w:eastAsia="Malgun Gothic" w:hAnsi="Verdana" w:cs="Arial"/>
          <w:bCs/>
          <w:u w:val="single"/>
          <w:lang w:val="x-none"/>
        </w:rPr>
        <w:t>ΔΕΙΚΤΗΣ ΤΙΜΩΝ ΚΑΤΑΝΑΛΩΤΗ</w:t>
      </w:r>
      <w:r w:rsidR="001F4366">
        <w:rPr>
          <w:rFonts w:ascii="Verdana" w:eastAsia="Malgun Gothic" w:hAnsi="Verdana" w:cs="Arial"/>
          <w:bCs/>
          <w:u w:val="single"/>
          <w:lang w:val="x-none"/>
        </w:rPr>
        <w:t xml:space="preserve"> </w:t>
      </w:r>
      <w:r w:rsidRPr="006022B5">
        <w:rPr>
          <w:rFonts w:ascii="Verdana" w:eastAsia="Malgun Gothic" w:hAnsi="Verdana" w:cs="Arial"/>
          <w:bCs/>
          <w:u w:val="single"/>
          <w:lang w:val="x-none"/>
        </w:rPr>
        <w:t>(ΔΤΚ):</w:t>
      </w:r>
      <w:r w:rsidRPr="006022B5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="00BF1E44">
        <w:rPr>
          <w:rFonts w:ascii="Verdana" w:eastAsia="Malgun Gothic" w:hAnsi="Verdana" w:cs="Arial"/>
          <w:b/>
          <w:u w:val="single"/>
          <w:lang w:val="el-GR"/>
        </w:rPr>
        <w:t xml:space="preserve">ΔΕΚΕΜΒΡΙΟΣ </w:t>
      </w:r>
      <w:r w:rsidRPr="006022B5">
        <w:rPr>
          <w:rFonts w:ascii="Verdana" w:eastAsia="Malgun Gothic" w:hAnsi="Verdana" w:cs="Arial"/>
          <w:b/>
          <w:u w:val="single"/>
          <w:lang w:val="x-none"/>
        </w:rPr>
        <w:t>202</w:t>
      </w:r>
      <w:r w:rsidR="00CA7B11">
        <w:rPr>
          <w:rFonts w:ascii="Verdana" w:eastAsia="Malgun Gothic" w:hAnsi="Verdana" w:cs="Arial"/>
          <w:b/>
          <w:u w:val="single"/>
          <w:lang w:val="el-GR"/>
        </w:rPr>
        <w:t>4</w:t>
      </w:r>
    </w:p>
    <w:p w14:paraId="6CFF816A" w14:textId="77777777" w:rsidR="006022B5" w:rsidRPr="00394E48" w:rsidRDefault="006022B5" w:rsidP="006022B5">
      <w:pPr>
        <w:rPr>
          <w:rFonts w:ascii="Verdana" w:eastAsia="Malgun Gothic" w:hAnsi="Verdana" w:cs="Arial"/>
          <w:lang w:val="el-GR"/>
        </w:rPr>
      </w:pPr>
    </w:p>
    <w:p w14:paraId="32482F3F" w14:textId="1A83BEA5" w:rsidR="006022B5" w:rsidRPr="006022B5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lang w:val="el-GR"/>
        </w:rPr>
      </w:pPr>
      <w:r w:rsidRPr="006022B5">
        <w:rPr>
          <w:rFonts w:ascii="Verdana" w:eastAsia="Malgun Gothic" w:hAnsi="Verdana" w:cs="Arial"/>
          <w:b/>
          <w:lang w:val="el-GR"/>
        </w:rPr>
        <w:t xml:space="preserve">Πληθωρισμός </w:t>
      </w:r>
      <w:r w:rsidR="00BF1E44">
        <w:rPr>
          <w:rFonts w:ascii="Verdana" w:eastAsia="Malgun Gothic" w:hAnsi="Verdana" w:cs="Arial"/>
          <w:b/>
          <w:lang w:val="el-GR"/>
        </w:rPr>
        <w:t>2</w:t>
      </w:r>
      <w:r w:rsidR="00E53455">
        <w:rPr>
          <w:rFonts w:ascii="Verdana" w:eastAsia="Malgun Gothic" w:hAnsi="Verdana" w:cs="Arial"/>
          <w:b/>
          <w:lang w:val="el-GR"/>
        </w:rPr>
        <w:t>,</w:t>
      </w:r>
      <w:r w:rsidR="00BF1E44">
        <w:rPr>
          <w:rFonts w:ascii="Verdana" w:eastAsia="Malgun Gothic" w:hAnsi="Verdana" w:cs="Arial"/>
          <w:b/>
          <w:lang w:val="el-GR"/>
        </w:rPr>
        <w:t>6</w:t>
      </w:r>
      <w:r w:rsidRPr="006022B5">
        <w:rPr>
          <w:rFonts w:ascii="Verdana" w:eastAsia="Malgun Gothic" w:hAnsi="Verdana" w:cs="Arial"/>
          <w:b/>
          <w:lang w:val="el-GR"/>
        </w:rPr>
        <w:t>%</w:t>
      </w:r>
    </w:p>
    <w:p w14:paraId="3E882D76" w14:textId="77777777" w:rsidR="00394E48" w:rsidRPr="00394E48" w:rsidRDefault="00394E48" w:rsidP="006022B5">
      <w:pPr>
        <w:tabs>
          <w:tab w:val="left" w:pos="1080"/>
          <w:tab w:val="left" w:pos="6840"/>
        </w:tabs>
        <w:jc w:val="both"/>
        <w:rPr>
          <w:rFonts w:ascii="Arial" w:hAnsi="Arial" w:cs="Arial"/>
          <w:lang w:val="el-GR"/>
        </w:rPr>
      </w:pPr>
    </w:p>
    <w:p w14:paraId="131CCE1B" w14:textId="3066D7CD" w:rsidR="006022B5" w:rsidRPr="006022B5" w:rsidRDefault="006022B5" w:rsidP="001C528B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6022B5">
        <w:rPr>
          <w:rFonts w:ascii="Verdana" w:eastAsia="Malgun Gothic" w:hAnsi="Verdana" w:cs="Arial"/>
          <w:sz w:val="18"/>
          <w:szCs w:val="18"/>
          <w:lang w:val="el-GR"/>
        </w:rPr>
        <w:t>Ο Δείκτης Τιμών Καταναλωτή τον</w:t>
      </w:r>
      <w:r w:rsidR="004D783D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CF3190">
        <w:rPr>
          <w:rFonts w:ascii="Verdana" w:eastAsia="Malgun Gothic" w:hAnsi="Verdana" w:cs="Arial"/>
          <w:sz w:val="18"/>
          <w:szCs w:val="18"/>
          <w:lang w:val="el-GR"/>
        </w:rPr>
        <w:t xml:space="preserve">Δεκέμβριο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CA7B1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 xml:space="preserve">αυξήθηκε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κατά </w:t>
      </w:r>
      <w:r w:rsidR="00E53455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>10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και έφτασε στις 11</w:t>
      </w:r>
      <w:r w:rsidR="001C528B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B51C1D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σε σύγκριση με 1</w:t>
      </w:r>
      <w:r w:rsidRPr="004A11EF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>21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τον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 xml:space="preserve"> Νοέμβριο</w:t>
      </w:r>
      <w:r w:rsidR="008E1127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F50259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4A11E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Ο πληθωρισμός τον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 xml:space="preserve"> Δεκέμβριο</w:t>
      </w:r>
      <w:r w:rsidR="00B51C1D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CA7B1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αυξήθηκε με ρυθμό 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%. (Πίνακας 1)</w:t>
      </w:r>
    </w:p>
    <w:p w14:paraId="531B97C2" w14:textId="77777777" w:rsidR="006022B5" w:rsidRPr="00F07B9A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1F235050" w14:textId="32E8CDE2" w:rsidR="00F50259" w:rsidRDefault="00F50259" w:rsidP="00F5025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bookmarkStart w:id="0" w:name="_Hlk65747356"/>
      <w:r>
        <w:rPr>
          <w:rFonts w:ascii="Verdana" w:eastAsia="Malgun Gothic" w:hAnsi="Verdana" w:cs="Arial"/>
          <w:sz w:val="18"/>
          <w:szCs w:val="18"/>
          <w:lang w:val="el-GR"/>
        </w:rPr>
        <w:t>Για την περίοδο Ιανου</w:t>
      </w:r>
      <w:r w:rsidR="00305B05">
        <w:rPr>
          <w:rFonts w:ascii="Verdana" w:eastAsia="Malgun Gothic" w:hAnsi="Verdana" w:cs="Arial"/>
          <w:sz w:val="18"/>
          <w:szCs w:val="18"/>
          <w:lang w:val="el-GR"/>
        </w:rPr>
        <w:t>α</w:t>
      </w:r>
      <w:r>
        <w:rPr>
          <w:rFonts w:ascii="Verdana" w:eastAsia="Malgun Gothic" w:hAnsi="Verdana" w:cs="Arial"/>
          <w:sz w:val="18"/>
          <w:szCs w:val="18"/>
          <w:lang w:val="el-GR"/>
        </w:rPr>
        <w:t>ρ</w:t>
      </w:r>
      <w:r w:rsidR="00305B05">
        <w:rPr>
          <w:rFonts w:ascii="Verdana" w:eastAsia="Malgun Gothic" w:hAnsi="Verdana" w:cs="Arial"/>
          <w:sz w:val="18"/>
          <w:szCs w:val="18"/>
          <w:lang w:val="el-GR"/>
        </w:rPr>
        <w:t xml:space="preserve">ίου </w:t>
      </w:r>
      <w:r>
        <w:rPr>
          <w:rFonts w:ascii="Verdana" w:eastAsia="Malgun Gothic" w:hAnsi="Verdana" w:cs="Arial"/>
          <w:sz w:val="18"/>
          <w:szCs w:val="18"/>
          <w:lang w:val="el-GR"/>
        </w:rPr>
        <w:t>–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 xml:space="preserve"> Δεκεμβρίου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2024, ο ΔΤΚ σημείωσε αύξηση 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1</w:t>
      </w:r>
      <w:r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>8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% σε σύγκριση με την αντίστοιχη περσινή περίοδο. </w:t>
      </w:r>
      <w:bookmarkEnd w:id="0"/>
      <w:r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266AC247" w14:textId="77777777" w:rsidR="008E4F1A" w:rsidRDefault="008E4F1A" w:rsidP="00F5025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708C1E1" w14:textId="3E5C3142" w:rsidR="008E4F1A" w:rsidRPr="001C528B" w:rsidRDefault="00896155" w:rsidP="00087B3C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noProof/>
        </w:rPr>
        <w:drawing>
          <wp:inline distT="0" distB="0" distL="0" distR="0" wp14:anchorId="71DA862B" wp14:editId="675A0D9D">
            <wp:extent cx="6076950" cy="3895724"/>
            <wp:effectExtent l="0" t="0" r="0" b="10160"/>
            <wp:docPr id="20269227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15DC0B-4558-42A2-A2A4-E23BEBC6C4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E77337" w14:textId="77777777" w:rsidR="008E4F1A" w:rsidRPr="00750AF4" w:rsidRDefault="008E4F1A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E994513" w14:textId="77777777" w:rsidR="00C87829" w:rsidRDefault="00C87829" w:rsidP="00750AF4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68602AA" w14:textId="33989F8F" w:rsidR="005B33E2" w:rsidRPr="006022B5" w:rsidRDefault="00F000FF" w:rsidP="00360B5F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B64CC0">
        <w:rPr>
          <w:rFonts w:ascii="Verdana" w:eastAsia="Malgun Gothic" w:hAnsi="Verdana" w:cs="Arial"/>
          <w:sz w:val="18"/>
          <w:szCs w:val="18"/>
          <w:lang w:val="el-GR"/>
        </w:rPr>
        <w:t xml:space="preserve">Η μεγαλύτερη μεταβολή στις οικονομικές κατηγορίες συγκριτικά με τον 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 xml:space="preserve">Δεκέμβριο </w:t>
      </w:r>
      <w:r w:rsidRPr="00B64CC0">
        <w:rPr>
          <w:rFonts w:ascii="Verdana" w:eastAsia="Malgun Gothic" w:hAnsi="Verdana" w:cs="Arial"/>
          <w:sz w:val="18"/>
          <w:szCs w:val="18"/>
          <w:lang w:val="el-GR"/>
        </w:rPr>
        <w:t>του 2023</w:t>
      </w:r>
      <w:r w:rsidR="00B64CC0">
        <w:rPr>
          <w:rFonts w:ascii="Verdana" w:eastAsia="Malgun Gothic" w:hAnsi="Verdana" w:cs="Arial"/>
          <w:sz w:val="18"/>
          <w:szCs w:val="18"/>
          <w:lang w:val="el-GR"/>
        </w:rPr>
        <w:t xml:space="preserve"> και σε σχέση με το προηγούμενο </w:t>
      </w:r>
      <w:r w:rsidR="00862AEA">
        <w:rPr>
          <w:rFonts w:ascii="Verdana" w:eastAsia="Malgun Gothic" w:hAnsi="Verdana" w:cs="Arial"/>
          <w:sz w:val="18"/>
          <w:szCs w:val="18"/>
          <w:lang w:val="el-GR"/>
        </w:rPr>
        <w:t xml:space="preserve">μήνα 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 xml:space="preserve">καταγράφηκε στα </w:t>
      </w:r>
      <w:r w:rsidR="00B64CC0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Γεωργικά Προϊόντα 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 xml:space="preserve">με ποσοστό 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>16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4550C" w:rsidRPr="00D4550C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>%</w:t>
      </w:r>
      <w:r w:rsidR="00B64CC0">
        <w:rPr>
          <w:rFonts w:ascii="Verdana" w:eastAsia="Malgun Gothic" w:hAnsi="Verdana" w:cs="Arial"/>
          <w:sz w:val="18"/>
          <w:szCs w:val="18"/>
          <w:lang w:val="el-GR"/>
        </w:rPr>
        <w:t xml:space="preserve"> και 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B64CC0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4550C" w:rsidRPr="00D4550C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="00B64CC0">
        <w:rPr>
          <w:rFonts w:ascii="Verdana" w:eastAsia="Malgun Gothic" w:hAnsi="Verdana" w:cs="Arial"/>
          <w:sz w:val="18"/>
          <w:szCs w:val="18"/>
          <w:lang w:val="el-GR"/>
        </w:rPr>
        <w:t>% αντίστοιχα.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B64CC0">
        <w:rPr>
          <w:rFonts w:ascii="Verdana" w:eastAsia="Malgun Gothic" w:hAnsi="Verdana" w:cs="Arial"/>
          <w:sz w:val="18"/>
          <w:szCs w:val="18"/>
          <w:lang w:val="el-GR"/>
        </w:rPr>
        <w:t>(Πίνακας 2)</w:t>
      </w:r>
    </w:p>
    <w:p w14:paraId="0AF7ED83" w14:textId="4D812AC4" w:rsidR="00394E48" w:rsidRDefault="00394E48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F527AE4" w14:textId="4A4166ED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4A1673BB" w14:textId="5A629A68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13CA80F1" w14:textId="77777777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4A48B0F8" w14:textId="77777777" w:rsidR="006022B5" w:rsidRPr="00394E48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Cs/>
          <w:sz w:val="18"/>
          <w:szCs w:val="18"/>
          <w:u w:val="single"/>
          <w:lang w:val="el-GR"/>
        </w:rPr>
      </w:pPr>
    </w:p>
    <w:p w14:paraId="7CB30A22" w14:textId="404F346E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lastRenderedPageBreak/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Π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οσοστιαίων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εταβολών</w:t>
      </w:r>
    </w:p>
    <w:p w14:paraId="7B98AA4B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AC9E779" w14:textId="04348610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Συγκριτικά με τον </w:t>
      </w:r>
      <w:r w:rsidR="00233AD8">
        <w:rPr>
          <w:rFonts w:ascii="Verdana" w:eastAsia="Malgun Gothic" w:hAnsi="Verdana" w:cs="Arial"/>
          <w:sz w:val="18"/>
          <w:szCs w:val="18"/>
          <w:lang w:val="el-GR"/>
        </w:rPr>
        <w:t>Δεκέμβριο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8A42BC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 xml:space="preserve"> οι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ές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παρατηρήθηκ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D32FA">
        <w:rPr>
          <w:rFonts w:ascii="Verdana" w:eastAsia="Malgun Gothic" w:hAnsi="Verdana" w:cs="Arial"/>
          <w:sz w:val="18"/>
          <w:szCs w:val="18"/>
          <w:lang w:val="el-GR"/>
        </w:rPr>
        <w:t>στ</w:t>
      </w:r>
      <w:r w:rsidR="00382E07">
        <w:rPr>
          <w:rFonts w:ascii="Verdana" w:eastAsia="Malgun Gothic" w:hAnsi="Verdana" w:cs="Arial"/>
          <w:sz w:val="18"/>
          <w:szCs w:val="18"/>
          <w:lang w:val="el-GR"/>
        </w:rPr>
        <w:t>ις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CC1544" w:rsidRPr="00364682">
        <w:rPr>
          <w:rFonts w:ascii="Verdana" w:eastAsia="Malgun Gothic" w:hAnsi="Verdana" w:cs="Arial"/>
          <w:sz w:val="18"/>
          <w:szCs w:val="18"/>
          <w:lang w:val="el-GR"/>
        </w:rPr>
        <w:t>κατηγορί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CC1544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957A69" w:rsidRPr="00264413">
        <w:rPr>
          <w:rFonts w:ascii="Verdana" w:eastAsia="Malgun Gothic" w:hAnsi="Verdana" w:cs="Arial"/>
          <w:i/>
          <w:iCs/>
          <w:sz w:val="18"/>
          <w:szCs w:val="18"/>
          <w:lang w:val="el-GR"/>
        </w:rPr>
        <w:t>Τρόφιμα και μη Αλκοολούχα ποτά</w:t>
      </w:r>
      <w:r w:rsidR="00957A69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 w:rsidR="00233AD8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26441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="00264413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 xml:space="preserve"> και</w:t>
      </w:r>
      <w:r w:rsidR="00CC1544" w:rsidRPr="00CC1544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380663" w:rsidRPr="00BF53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(4,</w:t>
      </w:r>
      <w:r w:rsidR="00233AD8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 xml:space="preserve">%).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1EC1D9E9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DD18807" w14:textId="0D6FE600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i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Σε σχέση με τον</w:t>
      </w:r>
      <w:r w:rsidR="00D703BD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33AD8">
        <w:rPr>
          <w:rFonts w:ascii="Verdana" w:eastAsia="Malgun Gothic" w:hAnsi="Verdana" w:cs="Arial"/>
          <w:sz w:val="18"/>
          <w:szCs w:val="18"/>
          <w:lang w:val="el-GR"/>
        </w:rPr>
        <w:t>Νοέμβριο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96A7C">
        <w:rPr>
          <w:rFonts w:ascii="Verdana" w:eastAsia="Malgun Gothic" w:hAnsi="Verdana" w:cs="Arial"/>
          <w:sz w:val="18"/>
          <w:szCs w:val="18"/>
          <w:lang w:val="el-GR"/>
        </w:rPr>
        <w:t>του 2024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426606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μεγαλύ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>τερ</w:t>
      </w:r>
      <w:r w:rsidR="00426606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426606">
        <w:rPr>
          <w:rFonts w:ascii="Verdana" w:eastAsia="Malgun Gothic" w:hAnsi="Verdana" w:cs="Arial"/>
          <w:sz w:val="18"/>
          <w:szCs w:val="18"/>
          <w:lang w:val="el-GR"/>
        </w:rPr>
        <w:t>ή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παρατηρήθηκ</w:t>
      </w:r>
      <w:r w:rsidR="009D1417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στ</w:t>
      </w:r>
      <w:r w:rsidR="00426606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9D1417">
        <w:rPr>
          <w:rFonts w:ascii="Verdana" w:eastAsia="Malgun Gothic" w:hAnsi="Verdana" w:cs="Arial"/>
          <w:sz w:val="18"/>
          <w:szCs w:val="18"/>
          <w:lang w:val="el-GR"/>
        </w:rPr>
        <w:t>ν</w:t>
      </w:r>
      <w:r w:rsidR="00132903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426606">
        <w:rPr>
          <w:rFonts w:ascii="Verdana" w:eastAsia="Malgun Gothic" w:hAnsi="Verdana" w:cs="Arial"/>
          <w:sz w:val="18"/>
          <w:szCs w:val="18"/>
          <w:lang w:val="el-GR"/>
        </w:rPr>
        <w:t>α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380663" w:rsidRPr="00264413">
        <w:rPr>
          <w:rFonts w:ascii="Verdana" w:eastAsia="Malgun Gothic" w:hAnsi="Verdana" w:cs="Arial"/>
          <w:i/>
          <w:iCs/>
          <w:sz w:val="18"/>
          <w:szCs w:val="18"/>
          <w:lang w:val="el-GR"/>
        </w:rPr>
        <w:t>Τρόφιμα και μη Αλκοολούχα ποτά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 w:rsidR="00233AD8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233AD8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132903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3A5C39DA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CCBF1DC" w14:textId="5C4C573E" w:rsidR="00936D92" w:rsidRPr="00936D92" w:rsidRDefault="00936D92" w:rsidP="00936D92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Για την περίοδο Ιανουαρίου </w:t>
      </w:r>
      <w:r w:rsidR="00382E07">
        <w:rPr>
          <w:rFonts w:ascii="Verdana" w:eastAsia="Malgun Gothic" w:hAnsi="Verdana" w:cs="Arial"/>
          <w:sz w:val="18"/>
          <w:szCs w:val="18"/>
          <w:lang w:val="el-GR"/>
        </w:rPr>
        <w:t>–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26606">
        <w:rPr>
          <w:rFonts w:ascii="Verdana" w:eastAsia="Malgun Gothic" w:hAnsi="Verdana" w:cs="Arial"/>
          <w:sz w:val="18"/>
          <w:szCs w:val="18"/>
          <w:lang w:val="el-GR"/>
        </w:rPr>
        <w:t xml:space="preserve">Δεκεμβρίου </w:t>
      </w:r>
      <w:r>
        <w:rPr>
          <w:rFonts w:ascii="Verdana" w:eastAsia="Malgun Gothic" w:hAnsi="Verdana" w:cs="Arial"/>
          <w:sz w:val="18"/>
          <w:szCs w:val="18"/>
          <w:lang w:val="el-GR"/>
        </w:rPr>
        <w:t>2024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, σε σύγκριση με την αντίστοιχη περσινή περίοδο, </w:t>
      </w:r>
      <w:r w:rsidR="00542330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542330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542330">
        <w:rPr>
          <w:rFonts w:ascii="Verdana" w:eastAsia="Malgun Gothic" w:hAnsi="Verdana" w:cs="Arial"/>
          <w:sz w:val="18"/>
          <w:szCs w:val="18"/>
          <w:lang w:val="el-GR"/>
        </w:rPr>
        <w:t>ή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παρουσιάστηκ</w:t>
      </w:r>
      <w:r w:rsidR="00542330">
        <w:rPr>
          <w:rFonts w:ascii="Verdana" w:eastAsia="Malgun Gothic" w:hAnsi="Verdana" w:cs="Arial"/>
          <w:sz w:val="18"/>
          <w:szCs w:val="18"/>
          <w:lang w:val="el-GR"/>
        </w:rPr>
        <w:t xml:space="preserve">ε 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>στ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 xml:space="preserve">ην 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>κατηγορί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 xml:space="preserve">α </w:t>
      </w:r>
      <w:r w:rsidRPr="00E40B30">
        <w:rPr>
          <w:rFonts w:ascii="Verdana" w:eastAsia="Malgun Gothic" w:hAnsi="Verdana" w:cs="Arial"/>
          <w:i/>
          <w:iCs/>
          <w:sz w:val="18"/>
          <w:szCs w:val="18"/>
          <w:lang w:val="el-GR"/>
        </w:rPr>
        <w:t>Εστιατόρια και Ξενοδοχεία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(5,</w:t>
      </w:r>
      <w:r w:rsidR="002B0C0E" w:rsidRPr="002B0C0E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(Πίνακας 1)</w:t>
      </w:r>
    </w:p>
    <w:p w14:paraId="3F2652E4" w14:textId="77777777" w:rsidR="00936D92" w:rsidRPr="00E21D72" w:rsidRDefault="00936D9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24F7C08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E561778" w14:textId="1516CE52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πιπτώσεων σε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ονάδες</w:t>
      </w:r>
    </w:p>
    <w:p w14:paraId="47CF4B42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7686F5C5" w14:textId="3ED97E32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 w:rsidR="008E6E54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επίδραση στη μεταβολή του ΔΤΚ του</w:t>
      </w:r>
      <w:r w:rsidR="00833D0E">
        <w:rPr>
          <w:rFonts w:ascii="Verdana" w:eastAsia="Malgun Gothic" w:hAnsi="Verdana" w:cs="Arial"/>
          <w:sz w:val="18"/>
          <w:szCs w:val="18"/>
          <w:lang w:val="el-GR"/>
        </w:rPr>
        <w:t xml:space="preserve"> Δεκεμβρίου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82524">
        <w:rPr>
          <w:rFonts w:ascii="Verdana" w:eastAsia="Malgun Gothic" w:hAnsi="Verdana" w:cs="Arial"/>
          <w:sz w:val="18"/>
          <w:szCs w:val="18"/>
          <w:lang w:val="el-GR"/>
        </w:rPr>
        <w:t>2024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 w:rsidR="009154BF">
        <w:rPr>
          <w:rFonts w:ascii="Verdana" w:hAnsi="Verdana" w:cs="Arial"/>
          <w:sz w:val="18"/>
          <w:szCs w:val="18"/>
          <w:lang w:val="el-GR"/>
        </w:rPr>
        <w:t xml:space="preserve"> </w:t>
      </w:r>
      <w:r w:rsidR="00833D0E">
        <w:rPr>
          <w:rFonts w:ascii="Verdana" w:hAnsi="Verdana" w:cs="Arial"/>
          <w:sz w:val="18"/>
          <w:szCs w:val="18"/>
          <w:lang w:val="el-GR"/>
        </w:rPr>
        <w:t xml:space="preserve">Δεκέμβριο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782524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765399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765399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C45A9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46A4F"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Τρόφιμα και μη Αλκοολούχα Ποτά 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33D0E">
        <w:rPr>
          <w:rFonts w:ascii="Verdana" w:eastAsia="Malgun Gothic" w:hAnsi="Verdana" w:cs="Arial"/>
          <w:sz w:val="18"/>
          <w:szCs w:val="18"/>
          <w:lang w:val="el-GR"/>
        </w:rPr>
        <w:t>69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C45A9C">
        <w:rPr>
          <w:rFonts w:ascii="Verdana" w:eastAsia="Malgun Gothic" w:hAnsi="Verdana" w:cs="Arial"/>
          <w:sz w:val="18"/>
          <w:szCs w:val="18"/>
          <w:lang w:val="el-GR"/>
        </w:rPr>
        <w:t xml:space="preserve"> και</w:t>
      </w:r>
      <w:r w:rsidR="00C45A9C" w:rsidRPr="00C45A9C">
        <w:rPr>
          <w:lang w:val="el-GR"/>
        </w:rPr>
        <w:t xml:space="preserve"> </w:t>
      </w:r>
      <w:r w:rsidR="00C45A9C"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Εστιατόρια και Ξενοδοχεία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 xml:space="preserve"> (0</w:t>
      </w:r>
      <w:r w:rsidR="00465B2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833D0E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46A4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6466615B" w14:textId="77777777" w:rsidR="00453E42" w:rsidRDefault="00453E4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E7718B9" w14:textId="7D71575D" w:rsidR="00453E42" w:rsidRPr="00E21D72" w:rsidRDefault="00453E42" w:rsidP="00453E42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αρνητική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επίδραση στη μεταβολή του ΔΤΚ του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833D0E">
        <w:rPr>
          <w:rFonts w:ascii="Verdana" w:eastAsia="Malgun Gothic" w:hAnsi="Verdana" w:cs="Arial"/>
          <w:sz w:val="18"/>
          <w:szCs w:val="18"/>
          <w:lang w:val="el-GR"/>
        </w:rPr>
        <w:t>Δεκεμβρίου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2024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>
        <w:rPr>
          <w:rFonts w:ascii="Verdana" w:hAnsi="Verdana" w:cs="Arial"/>
          <w:sz w:val="18"/>
          <w:szCs w:val="18"/>
          <w:lang w:val="el-GR"/>
        </w:rPr>
        <w:t xml:space="preserve"> </w:t>
      </w:r>
      <w:r w:rsidR="00833D0E">
        <w:rPr>
          <w:rFonts w:ascii="Verdana" w:hAnsi="Verdana" w:cs="Arial"/>
          <w:sz w:val="18"/>
          <w:szCs w:val="18"/>
          <w:lang w:val="el-GR"/>
        </w:rPr>
        <w:t>Δεκέμβριο</w:t>
      </w:r>
      <w:r w:rsidR="00360B5F">
        <w:rPr>
          <w:rFonts w:ascii="Verdana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>
        <w:rPr>
          <w:rFonts w:ascii="Verdana" w:eastAsia="Malgun Gothic" w:hAnsi="Verdana" w:cs="Arial"/>
          <w:sz w:val="18"/>
          <w:szCs w:val="18"/>
          <w:lang w:val="el-GR"/>
        </w:rPr>
        <w:t>3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>
        <w:rPr>
          <w:rFonts w:ascii="Verdana" w:eastAsia="Malgun Gothic" w:hAnsi="Verdana" w:cs="Arial"/>
          <w:sz w:val="18"/>
          <w:szCs w:val="18"/>
          <w:lang w:val="el-GR"/>
        </w:rPr>
        <w:t>ε 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α </w:t>
      </w:r>
      <w:r w:rsidR="00833D0E" w:rsidRPr="00833D0E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(-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0</w:t>
      </w:r>
      <w:r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33D0E">
        <w:rPr>
          <w:rFonts w:ascii="Verdana" w:eastAsia="Malgun Gothic" w:hAnsi="Verdana" w:cs="Arial"/>
          <w:sz w:val="18"/>
          <w:szCs w:val="18"/>
          <w:lang w:val="el-GR"/>
        </w:rPr>
        <w:t>21</w:t>
      </w:r>
      <w:r>
        <w:rPr>
          <w:rFonts w:ascii="Verdana" w:eastAsia="Malgun Gothic" w:hAnsi="Verdana" w:cs="Arial"/>
          <w:sz w:val="18"/>
          <w:szCs w:val="18"/>
          <w:lang w:val="el-GR"/>
        </w:rPr>
        <w:t>). (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328F7BC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58B7840" w14:textId="71E10E33" w:rsidR="006022B5" w:rsidRPr="00E21D72" w:rsidRDefault="00250774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B60DE9">
        <w:rPr>
          <w:rFonts w:ascii="Verdana" w:eastAsia="Malgun Gothic" w:hAnsi="Verdana" w:cs="Arial"/>
          <w:sz w:val="18"/>
          <w:szCs w:val="18"/>
          <w:lang w:val="el-GR"/>
        </w:rPr>
        <w:t>Τη μεγαλύτερη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επίπτωση </w:t>
      </w:r>
      <w:r w:rsidRPr="00E21D72">
        <w:rPr>
          <w:rFonts w:ascii="Verdana" w:eastAsia="Malgun Gothic" w:hAnsi="Verdana" w:cs="Arial"/>
          <w:iCs/>
          <w:sz w:val="18"/>
          <w:szCs w:val="18"/>
          <w:lang w:val="el-GR"/>
        </w:rPr>
        <w:t>στη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μεταβολή του ΔΤΚ σε σχέση με τον προηγούμενο μήνα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F25C5F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25C5F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κατηγορ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ί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>α</w:t>
      </w:r>
      <w:r w:rsidR="00D56B64" w:rsidRPr="00D56B64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D56B64"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Τρόφιμα και μη Αλκοολούχα Ποτά 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A468E8">
        <w:rPr>
          <w:rFonts w:ascii="Verdana" w:eastAsia="Malgun Gothic" w:hAnsi="Verdana" w:cs="Arial"/>
          <w:sz w:val="18"/>
          <w:szCs w:val="18"/>
          <w:lang w:val="el-GR"/>
        </w:rPr>
        <w:t>16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F271B1">
        <w:rPr>
          <w:rFonts w:ascii="Verdana" w:eastAsia="Malgun Gothic" w:hAnsi="Verdana" w:cs="Arial"/>
          <w:iCs/>
          <w:sz w:val="18"/>
          <w:szCs w:val="18"/>
          <w:lang w:val="el-GR"/>
        </w:rPr>
        <w:t>.</w:t>
      </w:r>
      <w:r w:rsidR="00F271B1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B77008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129100A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FD1B7A4" w14:textId="48E8283A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Τη μεγαλύτερη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C4323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επίπτωση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στη μεταβολή του ΔΤΚ του</w:t>
      </w:r>
      <w:r w:rsidR="009F1D8C">
        <w:rPr>
          <w:rFonts w:ascii="Verdana" w:hAnsi="Verdana" w:cs="Arial"/>
          <w:sz w:val="18"/>
          <w:szCs w:val="18"/>
          <w:lang w:val="el-GR"/>
        </w:rPr>
        <w:t xml:space="preserve"> </w:t>
      </w:r>
      <w:r w:rsidR="00A468E8">
        <w:rPr>
          <w:rFonts w:ascii="Verdana" w:hAnsi="Verdana" w:cs="Arial"/>
          <w:sz w:val="18"/>
          <w:szCs w:val="18"/>
          <w:lang w:val="el-GR"/>
        </w:rPr>
        <w:t>Δεκεμβρίου</w:t>
      </w:r>
      <w:r w:rsidR="00D56B64">
        <w:rPr>
          <w:rFonts w:ascii="Verdana" w:hAnsi="Verdana" w:cs="Arial"/>
          <w:sz w:val="18"/>
          <w:szCs w:val="18"/>
          <w:lang w:val="el-GR"/>
        </w:rPr>
        <w:t xml:space="preserve"> 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0A50D8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σε σύγκριση με το δείκτη το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υ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468E8">
        <w:rPr>
          <w:rFonts w:ascii="Verdana" w:eastAsia="Malgun Gothic" w:hAnsi="Verdana" w:cs="Arial"/>
          <w:sz w:val="18"/>
          <w:szCs w:val="18"/>
          <w:lang w:val="el-GR"/>
        </w:rPr>
        <w:t>Δεκεμβρίου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0A50D8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είχ</w:t>
      </w:r>
      <w:r w:rsidR="001849D2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αν </w:t>
      </w:r>
      <w:r w:rsidR="003149D9"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 κατηγορίες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468E8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Φρέσκα Λαχανικά 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A468E8">
        <w:rPr>
          <w:rFonts w:ascii="Verdana" w:eastAsia="Malgun Gothic" w:hAnsi="Verdana" w:cs="Arial"/>
          <w:sz w:val="18"/>
          <w:szCs w:val="18"/>
          <w:lang w:val="el-GR"/>
        </w:rPr>
        <w:t>90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), </w:t>
      </w:r>
      <w:r w:rsidR="00C015F0"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Υπηρεσίες τροφοδοσίας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 w:rsidR="00C015F0" w:rsidRPr="00C015F0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A468E8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και </w:t>
      </w:r>
      <w:r w:rsidR="00A468E8">
        <w:rPr>
          <w:rFonts w:ascii="Verdana" w:eastAsia="Malgun Gothic" w:hAnsi="Verdana" w:cs="Arial"/>
          <w:sz w:val="18"/>
          <w:szCs w:val="18"/>
          <w:lang w:val="el-GR"/>
        </w:rPr>
        <w:t>το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468E8">
        <w:rPr>
          <w:rFonts w:ascii="Verdana" w:eastAsia="Malgun Gothic" w:hAnsi="Verdana" w:cs="Arial"/>
          <w:i/>
          <w:iCs/>
          <w:sz w:val="18"/>
          <w:szCs w:val="18"/>
          <w:lang w:val="el-GR"/>
        </w:rPr>
        <w:t>Κρέας</w:t>
      </w:r>
      <w:r w:rsidR="00D56B64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A468E8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4)</w:t>
      </w:r>
    </w:p>
    <w:p w14:paraId="0B7EED4B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1F61FA24" w14:textId="34DDA911" w:rsidR="006022B5" w:rsidRPr="00E21D72" w:rsidRDefault="00A468E8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>Τα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A468E8">
        <w:rPr>
          <w:rFonts w:ascii="Verdana" w:eastAsia="Malgun Gothic" w:hAnsi="Verdana" w:cs="Arial"/>
          <w:i/>
          <w:iCs/>
          <w:sz w:val="18"/>
          <w:szCs w:val="18"/>
          <w:lang w:val="el-GR"/>
        </w:rPr>
        <w:t>Φρέσκα Λαχανικά</w:t>
      </w:r>
      <w:r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7E5354">
        <w:rPr>
          <w:rFonts w:ascii="Verdana" w:eastAsia="Malgun Gothic" w:hAnsi="Verdana" w:cs="Arial"/>
          <w:sz w:val="18"/>
          <w:szCs w:val="18"/>
          <w:lang w:val="el-GR"/>
        </w:rPr>
        <w:t>είχ</w:t>
      </w:r>
      <w:r w:rsidR="006B111B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7E535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</w:t>
      </w:r>
      <w:r w:rsidR="00646CF3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646CF3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="00D24FF8" w:rsidRPr="00E21D72">
        <w:rPr>
          <w:rFonts w:ascii="Verdana" w:eastAsia="Malgun Gothic" w:hAnsi="Verdana" w:cs="Arial"/>
          <w:sz w:val="18"/>
          <w:szCs w:val="18"/>
          <w:lang w:val="el-GR"/>
        </w:rPr>
        <w:t>επίδρασ</w:t>
      </w:r>
      <w:r w:rsidR="00D24FF8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2C4323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στη μεταβολή του ΔΤΚ του</w:t>
      </w:r>
      <w:r w:rsidR="00A02426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Δεκεμβρίου</w:t>
      </w:r>
      <w:r w:rsidR="00FB3CEB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A50D8">
        <w:rPr>
          <w:rFonts w:ascii="Verdana" w:hAnsi="Verdana" w:cs="Arial"/>
          <w:sz w:val="18"/>
          <w:szCs w:val="18"/>
          <w:lang w:val="el-GR"/>
        </w:rPr>
        <w:t>2024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 αντίστοιχο δείκτη του προηγούμενου μήνα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B55C9">
        <w:rPr>
          <w:rFonts w:ascii="Verdana" w:eastAsia="Malgun Gothic" w:hAnsi="Verdana" w:cs="Arial"/>
          <w:sz w:val="18"/>
          <w:szCs w:val="18"/>
          <w:lang w:val="el-GR"/>
        </w:rPr>
        <w:t>(0,</w:t>
      </w:r>
      <w:r>
        <w:rPr>
          <w:rFonts w:ascii="Verdana" w:eastAsia="Malgun Gothic" w:hAnsi="Verdana" w:cs="Arial"/>
          <w:sz w:val="18"/>
          <w:szCs w:val="18"/>
          <w:lang w:val="el-GR"/>
        </w:rPr>
        <w:t>58</w:t>
      </w:r>
      <w:r w:rsidR="007B55C9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DC2ABE" w:rsidRPr="00DC2AB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7B55C9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>ενώ τη μεγαλύτερη αρνητική επίδραση είχ</w:t>
      </w:r>
      <w:r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A468E8">
        <w:rPr>
          <w:rFonts w:ascii="Verdana" w:eastAsia="Malgun Gothic" w:hAnsi="Verdana" w:cs="Arial"/>
          <w:i/>
          <w:iCs/>
          <w:sz w:val="18"/>
          <w:szCs w:val="18"/>
          <w:lang w:val="el-GR"/>
        </w:rPr>
        <w:t>Πατάτες</w:t>
      </w:r>
      <w:r w:rsidR="00FB3CEB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FB546C" w:rsidRPr="00FB546C">
        <w:rPr>
          <w:rFonts w:ascii="Verdana" w:eastAsia="Malgun Gothic" w:hAnsi="Verdana" w:cs="Arial"/>
          <w:sz w:val="18"/>
          <w:szCs w:val="18"/>
          <w:lang w:val="el-GR"/>
        </w:rPr>
        <w:t>(-0</w:t>
      </w:r>
      <w:r w:rsidR="00A81068">
        <w:rPr>
          <w:rFonts w:ascii="Verdana" w:eastAsia="Malgun Gothic" w:hAnsi="Verdana" w:cs="Arial"/>
          <w:sz w:val="18"/>
          <w:szCs w:val="18"/>
          <w:lang w:val="el-GR"/>
        </w:rPr>
        <w:t>,</w:t>
      </w:r>
      <w:r>
        <w:rPr>
          <w:rFonts w:ascii="Verdana" w:eastAsia="Malgun Gothic" w:hAnsi="Verdana" w:cs="Arial"/>
          <w:sz w:val="18"/>
          <w:szCs w:val="18"/>
          <w:lang w:val="el-GR"/>
        </w:rPr>
        <w:t>17</w:t>
      </w:r>
      <w:r w:rsidR="00FB546C" w:rsidRPr="00FB546C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. (Πίνακας 5)</w:t>
      </w:r>
    </w:p>
    <w:p w14:paraId="21B0C671" w14:textId="77777777" w:rsidR="008516BF" w:rsidRPr="00A81068" w:rsidRDefault="008516BF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EF125E5" w14:textId="77777777" w:rsidR="009A2DF0" w:rsidRPr="00A81068" w:rsidRDefault="009A2DF0" w:rsidP="008516BF">
      <w:pPr>
        <w:jc w:val="both"/>
        <w:rPr>
          <w:rFonts w:ascii="Verdana" w:eastAsia="Malgun Gothic" w:hAnsi="Verdana" w:cs="Arial"/>
          <w:sz w:val="12"/>
          <w:szCs w:val="12"/>
          <w:lang w:val="el-GR"/>
        </w:rPr>
      </w:pPr>
    </w:p>
    <w:tbl>
      <w:tblPr>
        <w:tblW w:w="5323" w:type="pct"/>
        <w:jc w:val="center"/>
        <w:tblLayout w:type="fixed"/>
        <w:tblLook w:val="04A0" w:firstRow="1" w:lastRow="0" w:firstColumn="1" w:lastColumn="0" w:noHBand="0" w:noVBand="1"/>
      </w:tblPr>
      <w:tblGrid>
        <w:gridCol w:w="2410"/>
        <w:gridCol w:w="1555"/>
        <w:gridCol w:w="1418"/>
        <w:gridCol w:w="282"/>
        <w:gridCol w:w="1280"/>
        <w:gridCol w:w="1421"/>
        <w:gridCol w:w="1841"/>
      </w:tblGrid>
      <w:tr w:rsidR="008516BF" w:rsidRPr="00FC45BF" w14:paraId="1D00F069" w14:textId="77777777" w:rsidTr="0007536D">
        <w:trPr>
          <w:trHeight w:val="270"/>
          <w:jc w:val="center"/>
        </w:trPr>
        <w:tc>
          <w:tcPr>
            <w:tcW w:w="2411" w:type="dxa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</w:tcPr>
          <w:p w14:paraId="15B9A7FB" w14:textId="77777777" w:rsidR="008516BF" w:rsidRPr="00FC45BF" w:rsidRDefault="008516BF" w:rsidP="00FC5595">
            <w:pP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Πίνακας 1</w:t>
            </w:r>
          </w:p>
        </w:tc>
        <w:tc>
          <w:tcPr>
            <w:tcW w:w="2973" w:type="dxa"/>
            <w:gridSpan w:val="2"/>
            <w:tcBorders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E6E143D" w14:textId="77777777" w:rsidR="008516BF" w:rsidRPr="00FC45BF" w:rsidRDefault="008516BF" w:rsidP="00FC5595">
            <w:pPr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282" w:type="dxa"/>
            <w:tcBorders>
              <w:bottom w:val="single" w:sz="4" w:space="0" w:color="366092"/>
            </w:tcBorders>
            <w:tcMar>
              <w:left w:w="0" w:type="dxa"/>
              <w:right w:w="0" w:type="dxa"/>
            </w:tcMar>
          </w:tcPr>
          <w:p w14:paraId="300B29A6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4542" w:type="dxa"/>
            <w:gridSpan w:val="3"/>
            <w:tcBorders>
              <w:bottom w:val="single" w:sz="4" w:space="0" w:color="366092"/>
            </w:tcBorders>
          </w:tcPr>
          <w:p w14:paraId="374995B4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</w:tr>
      <w:tr w:rsidR="008516BF" w:rsidRPr="00FC45BF" w14:paraId="79540F65" w14:textId="77777777" w:rsidTr="0007536D">
        <w:trPr>
          <w:trHeight w:val="270"/>
          <w:jc w:val="center"/>
        </w:trPr>
        <w:tc>
          <w:tcPr>
            <w:tcW w:w="2411" w:type="dxa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813B3B3" w14:textId="77777777" w:rsidR="008516BF" w:rsidRPr="00FC45BF" w:rsidRDefault="008516BF" w:rsidP="00FC5595">
            <w:pP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2973" w:type="dxa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36E1C5C6" w14:textId="77777777" w:rsidR="008516BF" w:rsidRPr="00FC45BF" w:rsidRDefault="008516BF" w:rsidP="00FC559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ΔΤΚ (2015=100)</w:t>
            </w:r>
          </w:p>
        </w:tc>
        <w:tc>
          <w:tcPr>
            <w:tcW w:w="282" w:type="dxa"/>
            <w:tcBorders>
              <w:top w:val="single" w:sz="4" w:space="0" w:color="366092"/>
            </w:tcBorders>
            <w:tcMar>
              <w:left w:w="0" w:type="dxa"/>
              <w:right w:w="0" w:type="dxa"/>
            </w:tcMar>
            <w:vAlign w:val="center"/>
          </w:tcPr>
          <w:p w14:paraId="0E6D1E6A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4542" w:type="dxa"/>
            <w:gridSpan w:val="3"/>
            <w:tcBorders>
              <w:top w:val="single" w:sz="4" w:space="0" w:color="366092"/>
              <w:bottom w:val="single" w:sz="4" w:space="0" w:color="366092"/>
            </w:tcBorders>
            <w:vAlign w:val="center"/>
          </w:tcPr>
          <w:p w14:paraId="0B34880D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Μεταβολές (%)</w:t>
            </w:r>
          </w:p>
        </w:tc>
      </w:tr>
      <w:tr w:rsidR="0007536D" w:rsidRPr="00FC45BF" w14:paraId="4BD227C0" w14:textId="77777777" w:rsidTr="0007536D">
        <w:trPr>
          <w:trHeight w:val="602"/>
          <w:jc w:val="center"/>
        </w:trPr>
        <w:tc>
          <w:tcPr>
            <w:tcW w:w="2411" w:type="dxa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28DF8A22" w14:textId="77777777" w:rsidR="0007536D" w:rsidRPr="00FC45BF" w:rsidRDefault="0007536D" w:rsidP="0007536D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1555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D07A809" w14:textId="77777777" w:rsidR="0007536D" w:rsidRPr="00FC45BF" w:rsidRDefault="0007536D" w:rsidP="0007536D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Νοέμβριος</w:t>
            </w:r>
          </w:p>
          <w:p w14:paraId="2CBD1D95" w14:textId="39C64659" w:rsidR="0007536D" w:rsidRPr="00FC45BF" w:rsidRDefault="0007536D" w:rsidP="0007536D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2024</w:t>
            </w:r>
          </w:p>
        </w:tc>
        <w:tc>
          <w:tcPr>
            <w:tcW w:w="1418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439D0F3" w14:textId="36BA4BE3" w:rsidR="0007536D" w:rsidRPr="0007536D" w:rsidRDefault="0007536D" w:rsidP="0007536D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Δεκέμβριος</w:t>
            </w:r>
          </w:p>
          <w:p w14:paraId="11415D22" w14:textId="6682E39F" w:rsidR="0007536D" w:rsidRPr="00FC45BF" w:rsidRDefault="0007536D" w:rsidP="0007536D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2024</w:t>
            </w:r>
          </w:p>
        </w:tc>
        <w:tc>
          <w:tcPr>
            <w:tcW w:w="282" w:type="dxa"/>
            <w:tcBorders>
              <w:bottom w:val="single" w:sz="4" w:space="0" w:color="366092"/>
            </w:tcBorders>
            <w:shd w:val="clear" w:color="FFFFFF" w:fill="FFFFFF"/>
            <w:tcMar>
              <w:left w:w="0" w:type="dxa"/>
              <w:right w:w="0" w:type="dxa"/>
            </w:tcMar>
          </w:tcPr>
          <w:p w14:paraId="139E8C70" w14:textId="77777777" w:rsidR="0007536D" w:rsidRPr="00FC45BF" w:rsidRDefault="0007536D" w:rsidP="0007536D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1280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47E692C" w14:textId="544DD0DF" w:rsidR="0007536D" w:rsidRPr="00FC45BF" w:rsidRDefault="0007536D" w:rsidP="0007536D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23</w:t>
            </w:r>
          </w:p>
        </w:tc>
        <w:tc>
          <w:tcPr>
            <w:tcW w:w="1421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0959793" w14:textId="720C4B2F" w:rsidR="0007536D" w:rsidRPr="00FC45BF" w:rsidRDefault="0007536D" w:rsidP="0007536D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</w:t>
            </w:r>
          </w:p>
        </w:tc>
        <w:tc>
          <w:tcPr>
            <w:tcW w:w="1841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6A213EF0" w14:textId="3C0B2173" w:rsidR="0007536D" w:rsidRPr="00FC45BF" w:rsidRDefault="0007536D" w:rsidP="0007536D">
            <w:pPr>
              <w:ind w:left="-109" w:hanging="31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Ιαν –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24/</w:t>
            </w:r>
          </w:p>
          <w:p w14:paraId="70CEE272" w14:textId="7F1B8464" w:rsidR="0007536D" w:rsidRPr="00FC45BF" w:rsidRDefault="0007536D" w:rsidP="0007536D">
            <w:pPr>
              <w:ind w:left="-109" w:hanging="31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Ιαν –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23</w:t>
            </w:r>
          </w:p>
        </w:tc>
      </w:tr>
      <w:tr w:rsidR="0007536D" w:rsidRPr="00FC45BF" w14:paraId="43FBF73D" w14:textId="77777777" w:rsidTr="0007536D">
        <w:trPr>
          <w:trHeight w:val="510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584BBFCC" w14:textId="77777777" w:rsidR="0007536D" w:rsidRPr="00FC45BF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Τρόφιμα και μη Αλκοολούχα Ποτά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D09E726" w14:textId="4F42AD75" w:rsidR="0007536D" w:rsidRPr="00FC45BF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12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4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96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FF5882E" w14:textId="593BC6B3" w:rsidR="0007536D" w:rsidRPr="0007536D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125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79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760B6C" w14:textId="77777777" w:rsidR="0007536D" w:rsidRPr="00FC45BF" w:rsidRDefault="0007536D" w:rsidP="0007536D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0A12FB6" w14:textId="4838FCF0" w:rsidR="0007536D" w:rsidRPr="00FC45BF" w:rsidRDefault="0007536D" w:rsidP="0007536D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7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58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2B02E2A" w14:textId="08AD43C9" w:rsidR="0007536D" w:rsidRPr="00FC45BF" w:rsidRDefault="0007536D" w:rsidP="0007536D">
            <w:pPr>
              <w:ind w:right="312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66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BE7BAF4" w14:textId="09CB5C4C" w:rsidR="0007536D" w:rsidRPr="00FC45BF" w:rsidRDefault="0007536D" w:rsidP="0007536D">
            <w:pPr>
              <w:ind w:right="59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34</w:t>
            </w:r>
          </w:p>
        </w:tc>
      </w:tr>
      <w:tr w:rsidR="0007536D" w:rsidRPr="00FC45BF" w14:paraId="40FB4937" w14:textId="77777777" w:rsidTr="0007536D">
        <w:trPr>
          <w:trHeight w:val="510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3448AC6A" w14:textId="77777777" w:rsidR="0007536D" w:rsidRPr="00FC45BF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οτά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Κ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30B1C66" w14:textId="00B105E9" w:rsidR="0007536D" w:rsidRPr="00FC45BF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3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78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4D503E" w14:textId="009A9498" w:rsidR="0007536D" w:rsidRPr="0007536D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103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37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0C3688" w14:textId="77777777" w:rsidR="0007536D" w:rsidRPr="00FC45BF" w:rsidRDefault="0007536D" w:rsidP="0007536D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89501B5" w14:textId="41C8AD51" w:rsidR="0007536D" w:rsidRPr="00FC45BF" w:rsidRDefault="0007536D" w:rsidP="0007536D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20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76F51CC" w14:textId="0AF61563" w:rsidR="0007536D" w:rsidRPr="00FC45BF" w:rsidRDefault="0007536D" w:rsidP="0007536D">
            <w:pPr>
              <w:ind w:right="312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40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4A1DF2B" w14:textId="75EABF64" w:rsidR="0007536D" w:rsidRPr="00FC45BF" w:rsidRDefault="0007536D" w:rsidP="0007536D">
            <w:pPr>
              <w:ind w:right="59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 w:rsidR="002B0C0E">
              <w:rPr>
                <w:rFonts w:ascii="Verdana" w:hAnsi="Verdana"/>
                <w:color w:val="365F91"/>
                <w:sz w:val="18"/>
                <w:szCs w:val="18"/>
              </w:rPr>
              <w:t>5</w:t>
            </w:r>
          </w:p>
        </w:tc>
      </w:tr>
      <w:tr w:rsidR="0007536D" w:rsidRPr="00FC45BF" w14:paraId="30CC1D12" w14:textId="77777777" w:rsidTr="0007536D">
        <w:trPr>
          <w:trHeight w:val="374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349F99" w14:textId="77777777" w:rsidR="0007536D" w:rsidRPr="00FC45BF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Ένδυση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4DB512E" w14:textId="03EA2527" w:rsidR="0007536D" w:rsidRPr="00FC45BF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7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09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C605B7" w14:textId="19D17902" w:rsidR="0007536D" w:rsidRPr="0007536D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107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13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D60A36" w14:textId="77777777" w:rsidR="0007536D" w:rsidRPr="00FC45BF" w:rsidRDefault="0007536D" w:rsidP="0007536D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5526D19" w14:textId="11862773" w:rsidR="0007536D" w:rsidRPr="00FC45BF" w:rsidRDefault="0007536D" w:rsidP="0007536D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64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6300365" w14:textId="501F384A" w:rsidR="0007536D" w:rsidRPr="00FC45BF" w:rsidRDefault="0007536D" w:rsidP="0007536D">
            <w:pPr>
              <w:ind w:right="312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04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AFEECB8" w14:textId="49BD60E1" w:rsidR="0007536D" w:rsidRPr="00FC45BF" w:rsidRDefault="002B0C0E" w:rsidP="0007536D">
            <w:pPr>
              <w:ind w:right="59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>
              <w:rPr>
                <w:rFonts w:ascii="Verdana" w:hAnsi="Verdana"/>
                <w:color w:val="365F91"/>
                <w:sz w:val="18"/>
                <w:szCs w:val="18"/>
              </w:rPr>
              <w:t>-</w:t>
            </w:r>
            <w:r w:rsidR="0007536D" w:rsidRPr="0007536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 w:rsidR="0007536D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="0007536D" w:rsidRPr="0007536D">
              <w:rPr>
                <w:rFonts w:ascii="Verdana" w:hAnsi="Verdana"/>
                <w:color w:val="365F91"/>
                <w:sz w:val="18"/>
                <w:szCs w:val="18"/>
              </w:rPr>
              <w:t>28</w:t>
            </w:r>
          </w:p>
        </w:tc>
      </w:tr>
      <w:tr w:rsidR="0007536D" w:rsidRPr="00FC45BF" w14:paraId="64A249B5" w14:textId="77777777" w:rsidTr="0007536D">
        <w:trPr>
          <w:trHeight w:val="680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2184074B" w14:textId="77777777" w:rsidR="0007536D" w:rsidRPr="00FC45BF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1189439" w14:textId="3E7972DB" w:rsidR="0007536D" w:rsidRPr="00FC45BF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14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08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6FB2F98" w14:textId="325ED886" w:rsidR="0007536D" w:rsidRPr="0007536D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146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40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5D885F" w14:textId="77777777" w:rsidR="0007536D" w:rsidRPr="00FC45BF" w:rsidRDefault="0007536D" w:rsidP="0007536D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845A085" w14:textId="1169845D" w:rsidR="0007536D" w:rsidRPr="00FC45BF" w:rsidRDefault="0007536D" w:rsidP="0007536D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45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22BD978" w14:textId="798FD0FD" w:rsidR="0007536D" w:rsidRPr="00FC45BF" w:rsidRDefault="0007536D" w:rsidP="0007536D">
            <w:pPr>
              <w:ind w:right="312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22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742B18D" w14:textId="74FA8509" w:rsidR="0007536D" w:rsidRPr="00FC45BF" w:rsidRDefault="0007536D" w:rsidP="0007536D">
            <w:pPr>
              <w:ind w:right="59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="002B0C0E">
              <w:rPr>
                <w:rFonts w:ascii="Verdana" w:hAnsi="Verdana"/>
                <w:color w:val="365F91"/>
                <w:sz w:val="18"/>
                <w:szCs w:val="18"/>
              </w:rPr>
              <w:t>19</w:t>
            </w:r>
          </w:p>
        </w:tc>
      </w:tr>
      <w:tr w:rsidR="0007536D" w:rsidRPr="00FC45BF" w14:paraId="3A7635E9" w14:textId="77777777" w:rsidTr="0007536D">
        <w:trPr>
          <w:trHeight w:val="765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40F29CA4" w14:textId="77777777" w:rsidR="0007536D" w:rsidRPr="00FC45BF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Επίπλωση, Οικιακός Εξοπλισμός και 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Προΐόντα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Καθαρισμού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36700B08" w14:textId="0806CB4E" w:rsidR="0007536D" w:rsidRPr="00FC45BF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105,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20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3640861" w14:textId="15B9726B" w:rsidR="0007536D" w:rsidRPr="0007536D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104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60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A215E1" w14:textId="77777777" w:rsidR="0007536D" w:rsidRPr="00FC45BF" w:rsidRDefault="0007536D" w:rsidP="0007536D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2E2BC1" w14:textId="415EB1AA" w:rsidR="0007536D" w:rsidRPr="00FC45BF" w:rsidRDefault="0007536D" w:rsidP="0007536D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23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519535" w14:textId="72458C50" w:rsidR="0007536D" w:rsidRPr="00FC45BF" w:rsidRDefault="0007536D" w:rsidP="0007536D">
            <w:pPr>
              <w:ind w:right="312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57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AD5E31A" w14:textId="718E90B3" w:rsidR="0007536D" w:rsidRPr="00FC45BF" w:rsidRDefault="0007536D" w:rsidP="0007536D">
            <w:pPr>
              <w:ind w:right="59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="002B0C0E">
              <w:rPr>
                <w:rFonts w:ascii="Verdana" w:hAnsi="Verdana"/>
                <w:color w:val="365F91"/>
                <w:sz w:val="18"/>
                <w:szCs w:val="18"/>
              </w:rPr>
              <w:t>45</w:t>
            </w:r>
          </w:p>
        </w:tc>
      </w:tr>
      <w:tr w:rsidR="0007536D" w:rsidRPr="00FC45BF" w14:paraId="3359A3C0" w14:textId="77777777" w:rsidTr="0007536D">
        <w:trPr>
          <w:trHeight w:val="375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3FF00D6" w14:textId="77777777" w:rsidR="0007536D" w:rsidRPr="00FC45BF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Υγεί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8CFFFBD" w14:textId="59EB2058" w:rsidR="0007536D" w:rsidRPr="00FC45BF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106,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96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E92C202" w14:textId="06F378F9" w:rsidR="0007536D" w:rsidRPr="0007536D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107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03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29CA74" w14:textId="77777777" w:rsidR="0007536D" w:rsidRPr="00FC45BF" w:rsidRDefault="0007536D" w:rsidP="0007536D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488434" w14:textId="2663A7EE" w:rsidR="0007536D" w:rsidRPr="00FC45BF" w:rsidRDefault="0007536D" w:rsidP="0007536D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36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04A457" w14:textId="79532E45" w:rsidR="0007536D" w:rsidRPr="00FC45BF" w:rsidRDefault="0007536D" w:rsidP="0007536D">
            <w:pPr>
              <w:ind w:right="312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07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B219B8F" w14:textId="3B3DFED5" w:rsidR="0007536D" w:rsidRPr="00FC45BF" w:rsidRDefault="0007536D" w:rsidP="0007536D">
            <w:pPr>
              <w:ind w:right="59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 w:rsidR="002B0C0E">
              <w:rPr>
                <w:rFonts w:ascii="Verdana" w:hAnsi="Verdana"/>
                <w:color w:val="365F91"/>
                <w:sz w:val="18"/>
                <w:szCs w:val="18"/>
              </w:rPr>
              <w:t>4</w:t>
            </w:r>
          </w:p>
        </w:tc>
      </w:tr>
      <w:tr w:rsidR="0007536D" w:rsidRPr="00FC45BF" w14:paraId="299E5490" w14:textId="77777777" w:rsidTr="0007536D">
        <w:trPr>
          <w:trHeight w:val="374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0EBDEAF" w14:textId="77777777" w:rsidR="0007536D" w:rsidRPr="00FC45BF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Μετ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αφορές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CAA28F" w14:textId="610DDD8D" w:rsidR="0007536D" w:rsidRPr="00FC45BF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4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0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FCB30A0" w14:textId="67EE1F36" w:rsidR="0007536D" w:rsidRPr="0007536D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113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85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153A73" w14:textId="77777777" w:rsidR="0007536D" w:rsidRPr="00FC45BF" w:rsidRDefault="0007536D" w:rsidP="0007536D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701CD3" w14:textId="165352ED" w:rsidR="0007536D" w:rsidRPr="00FC45BF" w:rsidRDefault="0007536D" w:rsidP="0007536D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98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60EBCB1" w14:textId="6077EB86" w:rsidR="0007536D" w:rsidRPr="00FC45BF" w:rsidRDefault="0007536D" w:rsidP="0007536D">
            <w:pPr>
              <w:ind w:right="312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20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E69BDAD" w14:textId="33067556" w:rsidR="0007536D" w:rsidRPr="00FC45BF" w:rsidRDefault="0007536D" w:rsidP="0007536D">
            <w:pPr>
              <w:ind w:right="59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="002B0C0E">
              <w:rPr>
                <w:rFonts w:ascii="Verdana" w:hAnsi="Verdana"/>
                <w:color w:val="365F91"/>
                <w:sz w:val="18"/>
                <w:szCs w:val="18"/>
              </w:rPr>
              <w:t>50</w:t>
            </w:r>
          </w:p>
        </w:tc>
      </w:tr>
      <w:tr w:rsidR="0007536D" w:rsidRPr="00FC45BF" w14:paraId="79C16F2A" w14:textId="77777777" w:rsidTr="0007536D">
        <w:trPr>
          <w:trHeight w:val="375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A1EF36D" w14:textId="77777777" w:rsidR="0007536D" w:rsidRPr="00FC45BF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06D71A4" w14:textId="56EB3202" w:rsidR="0007536D" w:rsidRPr="00FC45BF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91,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55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1AD80A4" w14:textId="10EB3A43" w:rsidR="0007536D" w:rsidRPr="0007536D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91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53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2CC1CF" w14:textId="77777777" w:rsidR="0007536D" w:rsidRPr="00FC45BF" w:rsidRDefault="0007536D" w:rsidP="0007536D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13FECF" w14:textId="0CD9A143" w:rsidR="0007536D" w:rsidRPr="00FC45BF" w:rsidRDefault="0007536D" w:rsidP="0007536D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21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2233885" w14:textId="35BD4424" w:rsidR="0007536D" w:rsidRPr="00FC45BF" w:rsidRDefault="0007536D" w:rsidP="0007536D">
            <w:pPr>
              <w:ind w:right="312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02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C3C20C2" w14:textId="62E234B5" w:rsidR="0007536D" w:rsidRPr="00FC45BF" w:rsidRDefault="0007536D" w:rsidP="0007536D">
            <w:pPr>
              <w:ind w:right="59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5</w:t>
            </w:r>
            <w:r w:rsidR="002B0C0E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</w:p>
        </w:tc>
      </w:tr>
      <w:tr w:rsidR="0007536D" w:rsidRPr="00FC45BF" w14:paraId="5C3CEC2A" w14:textId="77777777" w:rsidTr="0007536D">
        <w:trPr>
          <w:trHeight w:val="374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CD2A369" w14:textId="77777777" w:rsidR="0007536D" w:rsidRPr="00FC45BF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Αν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αψυχή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7D39E15" w14:textId="1224A7BB" w:rsidR="0007536D" w:rsidRPr="00FC45BF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C64422D" w14:textId="20DB2CDD" w:rsidR="0007536D" w:rsidRPr="0007536D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116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45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4B9B2E" w14:textId="77777777" w:rsidR="0007536D" w:rsidRPr="00FC45BF" w:rsidRDefault="0007536D" w:rsidP="0007536D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8CFD98" w14:textId="3BDBB02B" w:rsidR="0007536D" w:rsidRPr="00FC45BF" w:rsidRDefault="0007536D" w:rsidP="0007536D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86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3E96771" w14:textId="50A6F8E8" w:rsidR="0007536D" w:rsidRPr="00FC45BF" w:rsidRDefault="0007536D" w:rsidP="0007536D">
            <w:pPr>
              <w:ind w:right="312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13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C322EDE" w14:textId="07B58C62" w:rsidR="0007536D" w:rsidRPr="00FC45BF" w:rsidRDefault="0007536D" w:rsidP="0007536D">
            <w:pPr>
              <w:ind w:right="59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="002B0C0E">
              <w:rPr>
                <w:rFonts w:ascii="Verdana" w:hAnsi="Verdana"/>
                <w:color w:val="365F91"/>
                <w:sz w:val="18"/>
                <w:szCs w:val="18"/>
              </w:rPr>
              <w:t>23</w:t>
            </w:r>
          </w:p>
        </w:tc>
      </w:tr>
      <w:tr w:rsidR="0007536D" w:rsidRPr="00FC45BF" w14:paraId="23CBF3D1" w14:textId="77777777" w:rsidTr="0007536D">
        <w:trPr>
          <w:trHeight w:val="374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83CE84B" w14:textId="77777777" w:rsidR="0007536D" w:rsidRPr="00FC45BF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Εκ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παίδευση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A84157" w14:textId="6DF98496" w:rsidR="0007536D" w:rsidRPr="00FC45BF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18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DF7402" w14:textId="227FB614" w:rsidR="0007536D" w:rsidRPr="0007536D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116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18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F723C8E" w14:textId="77777777" w:rsidR="0007536D" w:rsidRPr="00FC45BF" w:rsidRDefault="0007536D" w:rsidP="0007536D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89E687" w14:textId="7195F088" w:rsidR="0007536D" w:rsidRPr="00FC45BF" w:rsidRDefault="0007536D" w:rsidP="0007536D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82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5DCC2B" w14:textId="5B65E17D" w:rsidR="0007536D" w:rsidRPr="00FC45BF" w:rsidRDefault="0007536D" w:rsidP="0007536D">
            <w:pPr>
              <w:ind w:right="312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00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66E62AB" w14:textId="7AE88AE1" w:rsidR="0007536D" w:rsidRPr="00FC45BF" w:rsidRDefault="0007536D" w:rsidP="0007536D">
            <w:pPr>
              <w:ind w:right="59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="002B0C0E">
              <w:rPr>
                <w:rFonts w:ascii="Verdana" w:hAnsi="Verdana"/>
                <w:color w:val="365F91"/>
                <w:sz w:val="18"/>
                <w:szCs w:val="18"/>
              </w:rPr>
              <w:t>81</w:t>
            </w:r>
          </w:p>
        </w:tc>
      </w:tr>
      <w:tr w:rsidR="0007536D" w:rsidRPr="00FC45BF" w14:paraId="00E44953" w14:textId="77777777" w:rsidTr="0007536D">
        <w:trPr>
          <w:trHeight w:val="510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556D85" w14:textId="77777777" w:rsidR="0007536D" w:rsidRPr="00FC45BF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Εστι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ατόρια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Ξ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ενοδοχεί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25763EF" w14:textId="44DA078D" w:rsidR="0007536D" w:rsidRPr="00FC45BF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29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76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DA1686A" w14:textId="0DDDDB3E" w:rsidR="0007536D" w:rsidRPr="0007536D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129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98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42FAB3C" w14:textId="77777777" w:rsidR="0007536D" w:rsidRPr="00FC45BF" w:rsidRDefault="0007536D" w:rsidP="0007536D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3C90FF7" w14:textId="4844EEAE" w:rsidR="0007536D" w:rsidRPr="00FC45BF" w:rsidRDefault="0007536D" w:rsidP="0007536D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37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376312D" w14:textId="750A4650" w:rsidR="0007536D" w:rsidRPr="00FC45BF" w:rsidRDefault="0007536D" w:rsidP="0007536D">
            <w:pPr>
              <w:ind w:right="312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17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84958E7" w14:textId="5DE6156F" w:rsidR="0007536D" w:rsidRPr="00FC45BF" w:rsidRDefault="0007536D" w:rsidP="0007536D">
            <w:pPr>
              <w:ind w:right="59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5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="002B0C0E">
              <w:rPr>
                <w:rFonts w:ascii="Verdana" w:hAnsi="Verdana"/>
                <w:color w:val="365F91"/>
                <w:sz w:val="18"/>
                <w:szCs w:val="18"/>
              </w:rPr>
              <w:t>43</w:t>
            </w:r>
          </w:p>
        </w:tc>
      </w:tr>
      <w:tr w:rsidR="0007536D" w:rsidRPr="00FC45BF" w14:paraId="0ABA4BC7" w14:textId="77777777" w:rsidTr="0007536D">
        <w:trPr>
          <w:trHeight w:val="510"/>
          <w:jc w:val="center"/>
        </w:trPr>
        <w:tc>
          <w:tcPr>
            <w:tcW w:w="2411" w:type="dxa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0DD997E" w14:textId="77777777" w:rsidR="0007536D" w:rsidRPr="00FC45BF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Άλλ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γα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θά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Υ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555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  <w:hideMark/>
          </w:tcPr>
          <w:p w14:paraId="60565449" w14:textId="416880F5" w:rsidR="0007536D" w:rsidRPr="00FC45BF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1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94</w:t>
            </w:r>
          </w:p>
        </w:tc>
        <w:tc>
          <w:tcPr>
            <w:tcW w:w="1418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6AEC4DD5" w14:textId="5188CDCA" w:rsidR="0007536D" w:rsidRPr="0007536D" w:rsidRDefault="0007536D" w:rsidP="0007536D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111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69</w:t>
            </w:r>
          </w:p>
        </w:tc>
        <w:tc>
          <w:tcPr>
            <w:tcW w:w="282" w:type="dxa"/>
            <w:tcBorders>
              <w:top w:val="nil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72D201" w14:textId="77777777" w:rsidR="0007536D" w:rsidRPr="00FC45BF" w:rsidRDefault="0007536D" w:rsidP="0007536D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7DEF19F2" w14:textId="57ED6AF0" w:rsidR="0007536D" w:rsidRPr="00FC45BF" w:rsidRDefault="0007536D" w:rsidP="0007536D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83</w:t>
            </w:r>
          </w:p>
        </w:tc>
        <w:tc>
          <w:tcPr>
            <w:tcW w:w="1421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58C351D9" w14:textId="22519B84" w:rsidR="0007536D" w:rsidRPr="00FC45BF" w:rsidRDefault="0007536D" w:rsidP="0007536D">
            <w:pPr>
              <w:ind w:right="312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22</w:t>
            </w:r>
          </w:p>
        </w:tc>
        <w:tc>
          <w:tcPr>
            <w:tcW w:w="1841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5827D243" w14:textId="2B2A3D99" w:rsidR="0007536D" w:rsidRPr="00FC45BF" w:rsidRDefault="002B0C0E" w:rsidP="0007536D">
            <w:pPr>
              <w:ind w:right="59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 w:rsidR="0007536D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91</w:t>
            </w:r>
          </w:p>
        </w:tc>
      </w:tr>
      <w:tr w:rsidR="0007536D" w:rsidRPr="00FC45BF" w14:paraId="7B6D317E" w14:textId="77777777" w:rsidTr="0007536D">
        <w:trPr>
          <w:trHeight w:hRule="exact" w:val="567"/>
          <w:jc w:val="center"/>
        </w:trPr>
        <w:tc>
          <w:tcPr>
            <w:tcW w:w="2411" w:type="dxa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7F9D94D" w14:textId="77777777" w:rsidR="0007536D" w:rsidRPr="00FC45BF" w:rsidRDefault="0007536D" w:rsidP="0007536D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Γενικός</w:t>
            </w:r>
            <w:proofErr w:type="spellEnd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Δείκτης</w:t>
            </w:r>
            <w:proofErr w:type="spellEnd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Τιμών</w:t>
            </w:r>
            <w:proofErr w:type="spellEnd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Κατανα</w:t>
            </w: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1555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371227CE" w14:textId="5A6E30E1" w:rsidR="0007536D" w:rsidRPr="00FC45BF" w:rsidRDefault="0007536D" w:rsidP="0007536D">
            <w:pPr>
              <w:ind w:right="311"/>
              <w:jc w:val="right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118,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  <w:t>21</w:t>
            </w:r>
          </w:p>
        </w:tc>
        <w:tc>
          <w:tcPr>
            <w:tcW w:w="1418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E8DD297" w14:textId="01159079" w:rsidR="0007536D" w:rsidRPr="0007536D" w:rsidRDefault="0007536D" w:rsidP="0007536D">
            <w:pPr>
              <w:ind w:right="311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118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31</w:t>
            </w:r>
          </w:p>
        </w:tc>
        <w:tc>
          <w:tcPr>
            <w:tcW w:w="282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D4D302" w14:textId="77777777" w:rsidR="0007536D" w:rsidRPr="0007536D" w:rsidRDefault="0007536D" w:rsidP="0007536D">
            <w:pPr>
              <w:ind w:right="284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CAFB9A2" w14:textId="3D49DAB6" w:rsidR="0007536D" w:rsidRPr="0007536D" w:rsidRDefault="0007536D" w:rsidP="0007536D">
            <w:pPr>
              <w:ind w:right="227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62</w:t>
            </w:r>
          </w:p>
        </w:tc>
        <w:tc>
          <w:tcPr>
            <w:tcW w:w="1421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0C7167C0" w14:textId="39C6F4B5" w:rsidR="0007536D" w:rsidRPr="0007536D" w:rsidRDefault="0007536D" w:rsidP="0007536D">
            <w:pPr>
              <w:ind w:right="312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08</w:t>
            </w:r>
          </w:p>
        </w:tc>
        <w:tc>
          <w:tcPr>
            <w:tcW w:w="1841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75A5F9CD" w14:textId="32B3A4FF" w:rsidR="0007536D" w:rsidRPr="0007536D" w:rsidRDefault="0007536D" w:rsidP="0007536D">
            <w:pPr>
              <w:ind w:right="597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81</w:t>
            </w:r>
          </w:p>
        </w:tc>
      </w:tr>
    </w:tbl>
    <w:p w14:paraId="7369EA09" w14:textId="77777777" w:rsidR="00D45C33" w:rsidRPr="00E21D72" w:rsidRDefault="00D45C33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53" w:type="pct"/>
        <w:jc w:val="center"/>
        <w:tblLayout w:type="fixed"/>
        <w:tblLook w:val="04A0" w:firstRow="1" w:lastRow="0" w:firstColumn="1" w:lastColumn="0" w:noHBand="0" w:noVBand="1"/>
      </w:tblPr>
      <w:tblGrid>
        <w:gridCol w:w="3074"/>
        <w:gridCol w:w="1911"/>
        <w:gridCol w:w="2319"/>
        <w:gridCol w:w="2194"/>
      </w:tblGrid>
      <w:tr w:rsidR="006022B5" w:rsidRPr="00E21D72" w14:paraId="1B1E2683" w14:textId="77777777" w:rsidTr="00F45D26">
        <w:trPr>
          <w:trHeight w:hRule="exact" w:val="340"/>
          <w:jc w:val="center"/>
        </w:trPr>
        <w:tc>
          <w:tcPr>
            <w:tcW w:w="5000" w:type="pct"/>
            <w:gridSpan w:val="4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B4B204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lastRenderedPageBreak/>
              <w:t>Πίνακας 2</w:t>
            </w:r>
          </w:p>
        </w:tc>
      </w:tr>
      <w:tr w:rsidR="006022B5" w:rsidRPr="00E21D72" w14:paraId="67DAE050" w14:textId="77777777" w:rsidTr="00F45D26">
        <w:trPr>
          <w:trHeight w:val="315"/>
          <w:jc w:val="center"/>
        </w:trPr>
        <w:tc>
          <w:tcPr>
            <w:tcW w:w="1618" w:type="pct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6EB82802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Οικονομικές Κατηγορίες</w:t>
            </w:r>
          </w:p>
        </w:tc>
        <w:tc>
          <w:tcPr>
            <w:tcW w:w="1006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9E3CC5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376" w:type="pct"/>
            <w:gridSpan w:val="2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2321EF02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Μ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εταβολές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(%)</w:t>
            </w:r>
          </w:p>
        </w:tc>
      </w:tr>
      <w:tr w:rsidR="00131127" w:rsidRPr="00E21D72" w14:paraId="23C7C237" w14:textId="77777777" w:rsidTr="00B359F9">
        <w:trPr>
          <w:trHeight w:val="700"/>
          <w:jc w:val="center"/>
        </w:trPr>
        <w:tc>
          <w:tcPr>
            <w:tcW w:w="1618" w:type="pct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52DC4CEE" w14:textId="77777777" w:rsidR="00131127" w:rsidRPr="00E21D72" w:rsidRDefault="00131127" w:rsidP="00131127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006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68802791" w14:textId="77777777" w:rsidR="00131127" w:rsidRPr="00E21D72" w:rsidRDefault="00131127" w:rsidP="00131127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D67E1B9" w14:textId="14B1C986" w:rsidR="00131127" w:rsidRPr="00E21D72" w:rsidRDefault="0007536D" w:rsidP="00131127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="00131127"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 xml:space="preserve"> 24/ </w:t>
            </w:r>
            <w:r>
              <w:rPr>
                <w:rFonts w:ascii="Verdana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="00131127"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 xml:space="preserve"> 23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68FF435A" w14:textId="1A664136" w:rsidR="00131127" w:rsidRPr="00E21D72" w:rsidRDefault="0007536D" w:rsidP="00131127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="00131127"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 xml:space="preserve"> 24/ </w:t>
            </w:r>
            <w:r>
              <w:rPr>
                <w:rFonts w:ascii="Verdana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="00131127"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 xml:space="preserve"> 24</w:t>
            </w:r>
          </w:p>
        </w:tc>
      </w:tr>
      <w:tr w:rsidR="0007536D" w:rsidRPr="00E21D72" w14:paraId="6B065B03" w14:textId="77777777" w:rsidTr="001079D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1728EBF" w14:textId="77777777" w:rsidR="0007536D" w:rsidRPr="00E21D72" w:rsidRDefault="0007536D" w:rsidP="0007536D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Γεωργικά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Προϊόντ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DB1C43" w14:textId="77777777" w:rsidR="0007536D" w:rsidRPr="00E21D72" w:rsidRDefault="0007536D" w:rsidP="0007536D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749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AD81F3E" w14:textId="3DF2290A" w:rsidR="0007536D" w:rsidRPr="0007536D" w:rsidRDefault="0007536D" w:rsidP="001079D8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16</w:t>
            </w:r>
            <w:r w:rsidR="00233AD8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77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20334C64" w14:textId="1414CC92" w:rsidR="0007536D" w:rsidRPr="0007536D" w:rsidRDefault="0007536D" w:rsidP="001079D8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 w:rsidR="00233AD8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58</w:t>
            </w:r>
          </w:p>
        </w:tc>
      </w:tr>
      <w:tr w:rsidR="0007536D" w:rsidRPr="00E21D72" w14:paraId="6A6F5649" w14:textId="77777777" w:rsidTr="001079D8">
        <w:trPr>
          <w:trHeight w:val="567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DDE7541" w14:textId="54891598" w:rsidR="0007536D" w:rsidRPr="00BD0B8A" w:rsidRDefault="0007536D" w:rsidP="0007536D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Βιομηχ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ανικά 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Προϊόντα</w:t>
            </w:r>
          </w:p>
          <w:p w14:paraId="0A451F80" w14:textId="77777777" w:rsidR="0007536D" w:rsidRPr="00E21D72" w:rsidRDefault="0007536D" w:rsidP="0007536D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(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εκτός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αιοειδών)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8D61FBC" w14:textId="77777777" w:rsidR="0007536D" w:rsidRPr="00E21D72" w:rsidRDefault="0007536D" w:rsidP="0007536D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4021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98C258B" w14:textId="6C64A071" w:rsidR="0007536D" w:rsidRPr="0007536D" w:rsidRDefault="0007536D" w:rsidP="001079D8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 w:rsidR="00233AD8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34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408932D1" w14:textId="27E8EC86" w:rsidR="0007536D" w:rsidRPr="0007536D" w:rsidRDefault="0007536D" w:rsidP="001079D8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 w:rsidR="00233AD8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46</w:t>
            </w:r>
          </w:p>
        </w:tc>
      </w:tr>
      <w:tr w:rsidR="0007536D" w:rsidRPr="00E21D72" w14:paraId="3370FFAD" w14:textId="77777777" w:rsidTr="001079D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C4E30F8" w14:textId="77777777" w:rsidR="0007536D" w:rsidRPr="00E21D72" w:rsidRDefault="0007536D" w:rsidP="0007536D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bookmarkStart w:id="1" w:name="_Hlk149742109"/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Ηλεκτρισμ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ό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ς</w:t>
            </w:r>
            <w:bookmarkEnd w:id="1"/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EB97CFF" w14:textId="77777777" w:rsidR="0007536D" w:rsidRPr="00E21D72" w:rsidRDefault="0007536D" w:rsidP="0007536D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316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FD39D9" w14:textId="34E27788" w:rsidR="0007536D" w:rsidRPr="0007536D" w:rsidRDefault="0007536D" w:rsidP="001079D8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 w:rsidR="00233AD8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66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79A1135E" w14:textId="627BC440" w:rsidR="0007536D" w:rsidRPr="0007536D" w:rsidRDefault="0007536D" w:rsidP="001079D8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 w:rsidR="00233AD8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50</w:t>
            </w:r>
          </w:p>
        </w:tc>
      </w:tr>
      <w:tr w:rsidR="0007536D" w:rsidRPr="00E21D72" w14:paraId="55D46229" w14:textId="77777777" w:rsidTr="001079D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10D5383" w14:textId="77777777" w:rsidR="0007536D" w:rsidRPr="00E21D72" w:rsidRDefault="0007536D" w:rsidP="0007536D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αιοειδή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497CE4" w14:textId="77777777" w:rsidR="0007536D" w:rsidRPr="00E21D72" w:rsidRDefault="0007536D" w:rsidP="0007536D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871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949086C" w14:textId="398D0A9C" w:rsidR="0007536D" w:rsidRPr="0007536D" w:rsidRDefault="0007536D" w:rsidP="001079D8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 w:rsidR="00233AD8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42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31D51005" w14:textId="1C9A2F8F" w:rsidR="0007536D" w:rsidRPr="0007536D" w:rsidRDefault="0007536D" w:rsidP="001079D8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 w:rsidR="00233AD8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26</w:t>
            </w:r>
          </w:p>
        </w:tc>
      </w:tr>
      <w:tr w:rsidR="0007536D" w:rsidRPr="00E21D72" w14:paraId="00D702E5" w14:textId="77777777" w:rsidTr="001079D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</w:tcBorders>
            <w:shd w:val="clear" w:color="FFFFFF" w:fill="FFFFFF"/>
            <w:noWrap/>
            <w:vAlign w:val="center"/>
            <w:hideMark/>
          </w:tcPr>
          <w:p w14:paraId="4FC6B0A3" w14:textId="77777777" w:rsidR="0007536D" w:rsidRPr="00E21D72" w:rsidRDefault="0007536D" w:rsidP="0007536D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Νερό</w:t>
            </w:r>
            <w:proofErr w:type="spellEnd"/>
          </w:p>
        </w:tc>
        <w:tc>
          <w:tcPr>
            <w:tcW w:w="1006" w:type="pct"/>
            <w:tcBorders>
              <w:top w:val="nil"/>
            </w:tcBorders>
            <w:shd w:val="clear" w:color="FFFFFF" w:fill="FFFFFF"/>
            <w:noWrap/>
            <w:vAlign w:val="center"/>
            <w:hideMark/>
          </w:tcPr>
          <w:p w14:paraId="14732CB7" w14:textId="77777777" w:rsidR="0007536D" w:rsidRPr="00E21D72" w:rsidRDefault="0007536D" w:rsidP="0007536D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72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187379B" w14:textId="652D689C" w:rsidR="0007536D" w:rsidRPr="0007536D" w:rsidRDefault="0007536D" w:rsidP="001079D8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 w:rsidR="00233AD8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5B6D07F4" w14:textId="67796012" w:rsidR="0007536D" w:rsidRPr="0007536D" w:rsidRDefault="0007536D" w:rsidP="001079D8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 w:rsidR="00233AD8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00</w:t>
            </w:r>
          </w:p>
        </w:tc>
      </w:tr>
      <w:tr w:rsidR="0007536D" w:rsidRPr="00E21D72" w14:paraId="1CD39D67" w14:textId="77777777" w:rsidTr="001079D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396CA35" w14:textId="77777777" w:rsidR="0007536D" w:rsidRPr="00E21D72" w:rsidRDefault="0007536D" w:rsidP="0007536D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006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AD823E0" w14:textId="77777777" w:rsidR="0007536D" w:rsidRPr="00E21D72" w:rsidRDefault="0007536D" w:rsidP="0007536D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3971</w:t>
            </w:r>
          </w:p>
        </w:tc>
        <w:tc>
          <w:tcPr>
            <w:tcW w:w="1221" w:type="pct"/>
            <w:tcBorders>
              <w:top w:val="nil"/>
              <w:bottom w:val="single" w:sz="4" w:space="0" w:color="366092"/>
            </w:tcBorders>
            <w:shd w:val="clear" w:color="auto" w:fill="auto"/>
            <w:noWrap/>
            <w:vAlign w:val="center"/>
          </w:tcPr>
          <w:p w14:paraId="30E53EC3" w14:textId="38E394D7" w:rsidR="0007536D" w:rsidRPr="0007536D" w:rsidRDefault="0007536D" w:rsidP="001079D8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  <w:r w:rsidR="00233AD8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07</w:t>
            </w:r>
          </w:p>
        </w:tc>
        <w:tc>
          <w:tcPr>
            <w:tcW w:w="1155" w:type="pct"/>
            <w:tcBorders>
              <w:top w:val="nil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5A59861" w14:textId="479624BD" w:rsidR="0007536D" w:rsidRPr="0007536D" w:rsidRDefault="0007536D" w:rsidP="001079D8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 w:rsidR="00233AD8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02</w:t>
            </w:r>
          </w:p>
        </w:tc>
      </w:tr>
      <w:tr w:rsidR="0007536D" w:rsidRPr="00E21D72" w14:paraId="331F509F" w14:textId="77777777" w:rsidTr="001079D8">
        <w:trPr>
          <w:trHeight w:val="397"/>
          <w:jc w:val="center"/>
        </w:trPr>
        <w:tc>
          <w:tcPr>
            <w:tcW w:w="1618" w:type="pc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7D4A3BED" w14:textId="77777777" w:rsidR="0007536D" w:rsidRPr="00E21D72" w:rsidRDefault="0007536D" w:rsidP="0007536D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Γενικός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Δείκτης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</w:p>
        </w:tc>
        <w:tc>
          <w:tcPr>
            <w:tcW w:w="1006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3E9E631" w14:textId="77777777" w:rsidR="0007536D" w:rsidRPr="00E21D72" w:rsidRDefault="0007536D" w:rsidP="0007536D">
            <w:pPr>
              <w:ind w:right="113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auto" w:fill="auto"/>
            <w:noWrap/>
            <w:vAlign w:val="center"/>
          </w:tcPr>
          <w:p w14:paraId="5F309946" w14:textId="0004B550" w:rsidR="0007536D" w:rsidRPr="0007536D" w:rsidRDefault="0007536D" w:rsidP="001079D8">
            <w:pPr>
              <w:ind w:right="821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2</w:t>
            </w:r>
            <w:r w:rsidR="00233AD8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62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6750A76" w14:textId="2558CF23" w:rsidR="0007536D" w:rsidRPr="0007536D" w:rsidRDefault="0007536D" w:rsidP="001079D8">
            <w:pPr>
              <w:ind w:right="741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0</w:t>
            </w:r>
            <w:r w:rsidR="00233AD8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08</w:t>
            </w:r>
          </w:p>
        </w:tc>
      </w:tr>
    </w:tbl>
    <w:p w14:paraId="29FEB02E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AB9A93B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6C30497" w14:textId="77777777" w:rsidR="00E21D72" w:rsidRPr="00E21D72" w:rsidRDefault="00E21D7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44" w:type="pct"/>
        <w:jc w:val="center"/>
        <w:tblLayout w:type="fixed"/>
        <w:tblLook w:val="04A0" w:firstRow="1" w:lastRow="0" w:firstColumn="1" w:lastColumn="0" w:noHBand="0" w:noVBand="1"/>
      </w:tblPr>
      <w:tblGrid>
        <w:gridCol w:w="3258"/>
        <w:gridCol w:w="1523"/>
        <w:gridCol w:w="2353"/>
        <w:gridCol w:w="2347"/>
      </w:tblGrid>
      <w:tr w:rsidR="006022B5" w:rsidRPr="00E21D72" w14:paraId="4C388DF5" w14:textId="77777777" w:rsidTr="00B31395">
        <w:trPr>
          <w:trHeight w:hRule="exact" w:val="340"/>
          <w:jc w:val="center"/>
        </w:trPr>
        <w:tc>
          <w:tcPr>
            <w:tcW w:w="3762" w:type="pct"/>
            <w:gridSpan w:val="3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F9E1214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Πίνακας 3</w:t>
            </w:r>
          </w:p>
        </w:tc>
        <w:tc>
          <w:tcPr>
            <w:tcW w:w="1238" w:type="pct"/>
            <w:tcBorders>
              <w:bottom w:val="single" w:sz="4" w:space="0" w:color="366092"/>
            </w:tcBorders>
            <w:shd w:val="clear" w:color="FFFFFF" w:fill="FFFFFF"/>
          </w:tcPr>
          <w:p w14:paraId="5E285458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6022B5" w:rsidRPr="00E21D72" w14:paraId="32300C6F" w14:textId="77777777" w:rsidTr="00777AEB">
        <w:trPr>
          <w:trHeight w:val="375"/>
          <w:jc w:val="center"/>
        </w:trPr>
        <w:tc>
          <w:tcPr>
            <w:tcW w:w="1718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0AACF9D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803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3EB8B2F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479" w:type="pct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auto" w:fill="auto"/>
            <w:vAlign w:val="center"/>
            <w:hideMark/>
          </w:tcPr>
          <w:p w14:paraId="1E47590D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Επίπ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τωση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(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μονάδες)</w:t>
            </w:r>
          </w:p>
        </w:tc>
      </w:tr>
      <w:tr w:rsidR="006E65E0" w:rsidRPr="00E21D72" w14:paraId="019AB947" w14:textId="77777777" w:rsidTr="00777AEB">
        <w:trPr>
          <w:trHeight w:val="615"/>
          <w:jc w:val="center"/>
        </w:trPr>
        <w:tc>
          <w:tcPr>
            <w:tcW w:w="1718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7859C773" w14:textId="77777777" w:rsidR="006E65E0" w:rsidRPr="00E21D72" w:rsidRDefault="006E65E0" w:rsidP="006E65E0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803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274591C5" w14:textId="77777777" w:rsidR="006E65E0" w:rsidRPr="00E21D72" w:rsidRDefault="006E65E0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1241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23F64714" w14:textId="23B18546" w:rsidR="006E65E0" w:rsidRPr="00E21D72" w:rsidRDefault="0007536D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3</w:t>
            </w:r>
          </w:p>
        </w:tc>
        <w:tc>
          <w:tcPr>
            <w:tcW w:w="1238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4C0BF3F4" w14:textId="5698D83D" w:rsidR="006E65E0" w:rsidRPr="00E21D72" w:rsidRDefault="0007536D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07536D" w:rsidRPr="00E21D72" w14:paraId="5947B44C" w14:textId="77777777" w:rsidTr="001079D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7C27FE8" w14:textId="77777777" w:rsidR="0007536D" w:rsidRPr="00E21D72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bookmarkStart w:id="2" w:name="_Hlk168556548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Τρόφιμα και μη Αλκοολούχα Ποτά</w:t>
            </w:r>
            <w:bookmarkEnd w:id="2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BB1BA13" w14:textId="77777777" w:rsidR="0007536D" w:rsidRPr="00E21D72" w:rsidRDefault="0007536D" w:rsidP="0007536D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1906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C3C6B98" w14:textId="70B367B8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69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F86BAD" w14:textId="4423AB1C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16</w:t>
            </w:r>
          </w:p>
        </w:tc>
      </w:tr>
      <w:tr w:rsidR="0007536D" w:rsidRPr="00E21D72" w14:paraId="15E28FB3" w14:textId="77777777" w:rsidTr="001079D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EDCA964" w14:textId="77777777" w:rsidR="0007536D" w:rsidRPr="00E21D72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οτά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Κ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25B3CBD" w14:textId="77777777" w:rsidR="0007536D" w:rsidRPr="00E21D72" w:rsidRDefault="0007536D" w:rsidP="0007536D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347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1360F93" w14:textId="60781895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08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2007056" w14:textId="014AFA04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01</w:t>
            </w:r>
          </w:p>
        </w:tc>
      </w:tr>
      <w:tr w:rsidR="0007536D" w:rsidRPr="00E21D72" w14:paraId="108CD38A" w14:textId="77777777" w:rsidTr="001079D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FAF94A1" w14:textId="77777777" w:rsidR="0007536D" w:rsidRPr="00E21D72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Ένδυση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DE5ACB7" w14:textId="77777777" w:rsidR="0007536D" w:rsidRPr="00E21D72" w:rsidRDefault="0007536D" w:rsidP="0007536D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721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F1FEC94" w14:textId="4F1EC6B7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21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36C3CC99" w14:textId="076B6D6D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07536D" w:rsidRPr="00E21D72" w14:paraId="318667D3" w14:textId="77777777" w:rsidTr="001079D8">
        <w:trPr>
          <w:trHeight w:val="616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59C1354" w14:textId="77777777" w:rsidR="0007536D" w:rsidRPr="00E21D72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4F9E27D9" w14:textId="77777777" w:rsidR="0007536D" w:rsidRPr="00E21D72" w:rsidRDefault="0007536D" w:rsidP="0007536D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1119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16BA1BA" w14:textId="38761394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23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92813A5" w14:textId="5478E673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04</w:t>
            </w:r>
          </w:p>
        </w:tc>
      </w:tr>
      <w:tr w:rsidR="0007536D" w:rsidRPr="00E21D72" w14:paraId="215783F0" w14:textId="77777777" w:rsidTr="001079D8">
        <w:trPr>
          <w:trHeight w:val="607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C49E88D" w14:textId="7513D45F" w:rsidR="0007536D" w:rsidRPr="00E21D72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Επίπλωση, Οικιακός Εξοπλισμός και 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Προϊόντα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Καθαρισμού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A6B31B8" w14:textId="77777777" w:rsidR="0007536D" w:rsidRPr="00E21D72" w:rsidRDefault="0007536D" w:rsidP="0007536D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644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D5F1C6C" w14:textId="1C88A373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D242BF" w14:textId="4E0BFAE2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04</w:t>
            </w:r>
          </w:p>
        </w:tc>
      </w:tr>
      <w:tr w:rsidR="0007536D" w:rsidRPr="00E21D72" w14:paraId="107081D7" w14:textId="77777777" w:rsidTr="001079D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56D4CE7" w14:textId="77777777" w:rsidR="0007536D" w:rsidRPr="00E21D72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Υγεί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D2C1508" w14:textId="77777777" w:rsidR="0007536D" w:rsidRPr="00E21D72" w:rsidRDefault="0007536D" w:rsidP="0007536D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637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F2FA8F3" w14:textId="11AE18CF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09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2715256" w14:textId="49FDA04B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07536D" w:rsidRPr="00E21D72" w14:paraId="120C2413" w14:textId="77777777" w:rsidTr="001079D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31CB5A" w14:textId="77777777" w:rsidR="0007536D" w:rsidRPr="00E21D72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Μετ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αφορές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5C532904" w14:textId="77777777" w:rsidR="0007536D" w:rsidRPr="00E21D72" w:rsidRDefault="0007536D" w:rsidP="0007536D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1524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D5958D0" w14:textId="3E7A0D49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7B12603" w14:textId="547C10DF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04</w:t>
            </w:r>
          </w:p>
        </w:tc>
      </w:tr>
      <w:tr w:rsidR="0007536D" w:rsidRPr="00E21D72" w14:paraId="211DF7D2" w14:textId="77777777" w:rsidTr="001079D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6D09E5A" w14:textId="77777777" w:rsidR="0007536D" w:rsidRPr="00E21D72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C57DE67" w14:textId="77777777" w:rsidR="0007536D" w:rsidRPr="00E21D72" w:rsidRDefault="0007536D" w:rsidP="0007536D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439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FBEB10" w14:textId="397D1C24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01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8758FE5" w14:textId="07EEED73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07536D" w:rsidRPr="00E21D72" w14:paraId="5A0817DE" w14:textId="77777777" w:rsidTr="001079D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5B8EC8A" w14:textId="77777777" w:rsidR="0007536D" w:rsidRPr="00E21D72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Αν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αψυχή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25714EA" w14:textId="77777777" w:rsidR="0007536D" w:rsidRPr="00E21D72" w:rsidRDefault="0007536D" w:rsidP="0007536D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575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CA4A59" w14:textId="567D9441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19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92FD32" w14:textId="57EABF31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01</w:t>
            </w:r>
          </w:p>
        </w:tc>
      </w:tr>
      <w:tr w:rsidR="0007536D" w:rsidRPr="00E21D72" w14:paraId="731D634B" w14:textId="77777777" w:rsidTr="001079D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887C0A" w14:textId="77777777" w:rsidR="0007536D" w:rsidRPr="00E21D72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Εκ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παίδευση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60B3DB0" w14:textId="77777777" w:rsidR="0007536D" w:rsidRPr="00E21D72" w:rsidRDefault="0007536D" w:rsidP="0007536D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392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4A494E" w14:textId="47F76A8B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4EAE9EF" w14:textId="370A20C7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07536D" w:rsidRPr="00E21D72" w14:paraId="68212E85" w14:textId="77777777" w:rsidTr="001079D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9771C9F" w14:textId="77777777" w:rsidR="0007536D" w:rsidRPr="00E21D72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Εστι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ατόρια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Ξ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ενοδοχεί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991DAA6" w14:textId="77777777" w:rsidR="0007536D" w:rsidRPr="00E21D72" w:rsidRDefault="0007536D" w:rsidP="0007536D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836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B7DF8CE" w14:textId="5D1E2382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45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ABEE342" w14:textId="3EAFDA09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02</w:t>
            </w:r>
          </w:p>
        </w:tc>
      </w:tr>
      <w:tr w:rsidR="0007536D" w:rsidRPr="00E21D72" w14:paraId="5C63625A" w14:textId="77777777" w:rsidTr="001079D8">
        <w:trPr>
          <w:trHeight w:val="375"/>
          <w:jc w:val="center"/>
        </w:trPr>
        <w:tc>
          <w:tcPr>
            <w:tcW w:w="1718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C029276" w14:textId="77777777" w:rsidR="0007536D" w:rsidRPr="00E21D72" w:rsidRDefault="0007536D" w:rsidP="0007536D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Άλλ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γα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θά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803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9B99327" w14:textId="77777777" w:rsidR="0007536D" w:rsidRPr="00E21D72" w:rsidRDefault="0007536D" w:rsidP="0007536D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860</w:t>
            </w:r>
          </w:p>
        </w:tc>
        <w:tc>
          <w:tcPr>
            <w:tcW w:w="1241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0F4F3AA7" w14:textId="3A4BD1D0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17</w:t>
            </w:r>
          </w:p>
        </w:tc>
        <w:tc>
          <w:tcPr>
            <w:tcW w:w="1238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6D89D954" w14:textId="30FCA778" w:rsidR="0007536D" w:rsidRPr="00800CDA" w:rsidRDefault="0007536D" w:rsidP="001079D8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 w:rsidR="00233AD8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02</w:t>
            </w:r>
          </w:p>
        </w:tc>
      </w:tr>
      <w:tr w:rsidR="0007536D" w:rsidRPr="00E21D72" w14:paraId="6771A5B6" w14:textId="77777777" w:rsidTr="001079D8">
        <w:trPr>
          <w:trHeight w:hRule="exact" w:val="567"/>
          <w:jc w:val="center"/>
        </w:trPr>
        <w:tc>
          <w:tcPr>
            <w:tcW w:w="1718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BC0F3D4" w14:textId="77777777" w:rsidR="0007536D" w:rsidRPr="00E21D72" w:rsidRDefault="0007536D" w:rsidP="0007536D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Γενικός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Δείκτης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Τιμών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Κατανα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803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45703C0" w14:textId="77777777" w:rsidR="0007536D" w:rsidRPr="00800CDA" w:rsidRDefault="0007536D" w:rsidP="0007536D">
            <w:pPr>
              <w:ind w:firstLineChars="100" w:firstLine="181"/>
              <w:jc w:val="center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800CDA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41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7937C0C7" w14:textId="1F7C354B" w:rsidR="0007536D" w:rsidRPr="0007536D" w:rsidRDefault="0007536D" w:rsidP="001079D8">
            <w:pPr>
              <w:ind w:right="790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3</w:t>
            </w:r>
            <w:r w:rsidR="00233AD8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02</w:t>
            </w:r>
          </w:p>
        </w:tc>
        <w:tc>
          <w:tcPr>
            <w:tcW w:w="1238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6AEB7EF0" w14:textId="777D53BD" w:rsidR="0007536D" w:rsidRPr="0007536D" w:rsidRDefault="0007536D" w:rsidP="001079D8">
            <w:pPr>
              <w:ind w:right="790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0</w:t>
            </w:r>
            <w:r w:rsidR="00233AD8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,</w:t>
            </w:r>
            <w:r w:rsidRPr="0007536D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10</w:t>
            </w:r>
          </w:p>
        </w:tc>
      </w:tr>
      <w:tr w:rsidR="006022B5" w:rsidRPr="001F4366" w14:paraId="29A93ED0" w14:textId="77777777" w:rsidTr="00777AEB">
        <w:trPr>
          <w:trHeight w:val="440"/>
          <w:jc w:val="center"/>
        </w:trPr>
        <w:tc>
          <w:tcPr>
            <w:tcW w:w="5000" w:type="pct"/>
            <w:gridSpan w:val="4"/>
            <w:tcBorders>
              <w:top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0CA907A1" w14:textId="77777777" w:rsidR="00A36D89" w:rsidRPr="00D4020F" w:rsidRDefault="00A36D89" w:rsidP="006022B5">
            <w:pPr>
              <w:rPr>
                <w:rFonts w:ascii="Verdana" w:eastAsia="Times New Roman" w:hAnsi="Verdana" w:cs="Arial"/>
                <w:bCs/>
                <w:color w:val="2F5496"/>
                <w:sz w:val="6"/>
                <w:szCs w:val="6"/>
                <w:lang w:val="el-GR"/>
              </w:rPr>
            </w:pPr>
          </w:p>
          <w:p w14:paraId="0DEF1FF2" w14:textId="26E44094" w:rsidR="006022B5" w:rsidRPr="00E06481" w:rsidRDefault="006022B5" w:rsidP="006022B5">
            <w:pPr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</w:pPr>
            <w:r w:rsidRPr="00E06481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>Σημείωση: Τα αθροίσματα υπολογίζονται βάσει των επιμέρους επιπτώσεων με άπειρα δεκαδικά και δημοσιεύονται με στρογγυλοποίηση δυο δεκαδικών</w:t>
            </w:r>
            <w:r w:rsidR="00233AD8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>,</w:t>
            </w:r>
            <w:r w:rsidRPr="00E06481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 xml:space="preserve"> Πιθανές διαφορές στα αθροίσματα είναι λόγω σφάλματος στρογγυλοποίησης</w:t>
            </w:r>
            <w:r w:rsidR="00233AD8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>,</w:t>
            </w:r>
            <w:r w:rsidRPr="00E06481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 xml:space="preserve">    </w:t>
            </w:r>
          </w:p>
        </w:tc>
      </w:tr>
    </w:tbl>
    <w:p w14:paraId="5CDB785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 </w:t>
      </w:r>
    </w:p>
    <w:p w14:paraId="6AA5A0F0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08D04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1110F0F" w14:textId="4CF1BB18" w:rsidR="00E21D72" w:rsidRDefault="00A36D89" w:rsidP="004C6ABF">
      <w:pPr>
        <w:rPr>
          <w:rFonts w:ascii="Verdana" w:eastAsia="Malgun Gothic" w:hAnsi="Verdana" w:cs="Arial"/>
          <w:sz w:val="18"/>
          <w:szCs w:val="18"/>
          <w:u w:val="single"/>
          <w:lang w:val="el-GR"/>
        </w:rPr>
      </w:pPr>
      <w:r>
        <w:rPr>
          <w:rFonts w:ascii="Verdana" w:eastAsia="Malgun Gothic" w:hAnsi="Verdana" w:cs="Arial"/>
          <w:sz w:val="18"/>
          <w:szCs w:val="18"/>
          <w:u w:val="single"/>
          <w:lang w:val="el-GR"/>
        </w:rPr>
        <w:br w:type="page"/>
      </w:r>
    </w:p>
    <w:p w14:paraId="189EB250" w14:textId="77777777" w:rsidR="00D56B64" w:rsidRPr="00233AD8" w:rsidRDefault="00D56B64" w:rsidP="004C6ABF">
      <w:pPr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6022B5" w:rsidRPr="00E21D72" w14:paraId="3F2DDA13" w14:textId="77777777" w:rsidTr="00B31395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7883388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bookmarkStart w:id="3" w:name="OLE_LINK9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Πίνακας 4</w:t>
            </w:r>
          </w:p>
        </w:tc>
      </w:tr>
      <w:tr w:rsidR="006022B5" w:rsidRPr="00E21D72" w14:paraId="66D24933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D13D382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A5FC7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4E3D7E" w:rsidRPr="00E21D72" w14:paraId="5006246C" w14:textId="77777777" w:rsidTr="0074032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C4F14AD" w14:textId="77777777" w:rsidR="004E3D7E" w:rsidRPr="00E21D72" w:rsidRDefault="004E3D7E" w:rsidP="004E3D7E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0D900F1" w14:textId="1698C678" w:rsidR="004E3D7E" w:rsidRPr="00E21D72" w:rsidRDefault="00B350FC" w:rsidP="004E3D7E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3</w:t>
            </w:r>
          </w:p>
        </w:tc>
      </w:tr>
      <w:tr w:rsidR="00216205" w:rsidRPr="00E21D72" w14:paraId="65257A6A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6B01B47" w14:textId="77B84918" w:rsidR="00216205" w:rsidRPr="00E21D72" w:rsidRDefault="00216205" w:rsidP="00216205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  <w:t>Θετική</w:t>
            </w:r>
            <w:proofErr w:type="spellEnd"/>
            <w:r>
              <w:rPr>
                <w:rFonts w:ascii="Verdana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  <w:t xml:space="preserve"> επίπ</w:t>
            </w: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  <w:t>τωση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D1336AD" w14:textId="73D928B5" w:rsidR="00216205" w:rsidRPr="00E21D72" w:rsidRDefault="00216205" w:rsidP="00216205">
            <w:pPr>
              <w:ind w:right="1304" w:firstLineChars="200" w:firstLine="360"/>
              <w:jc w:val="center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 </w:t>
            </w:r>
          </w:p>
        </w:tc>
      </w:tr>
      <w:tr w:rsidR="00B350FC" w:rsidRPr="00B350FC" w14:paraId="6E5AF7BA" w14:textId="77777777" w:rsidTr="00B350FC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9D6202D" w14:textId="2A9576F7" w:rsidR="00B350FC" w:rsidRPr="00B350FC" w:rsidRDefault="00B350FC" w:rsidP="00B350FC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α λαχα</w:t>
            </w: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569D5F39" w14:textId="73E8534D" w:rsidR="00B350FC" w:rsidRPr="00B350FC" w:rsidRDefault="00B350FC" w:rsidP="00B350FC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233AD8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90</w:t>
            </w:r>
          </w:p>
        </w:tc>
      </w:tr>
      <w:tr w:rsidR="00B350FC" w:rsidRPr="00B350FC" w14:paraId="33A68CE0" w14:textId="77777777" w:rsidTr="00B350FC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2DE9B99" w14:textId="28B249A8" w:rsidR="00B350FC" w:rsidRPr="00B350FC" w:rsidRDefault="00B350FC" w:rsidP="00B350FC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Υπ</w:t>
            </w: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τροφοδοσί</w:t>
            </w:r>
            <w:proofErr w:type="spellEnd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21040E55" w14:textId="085E1D60" w:rsidR="00B350FC" w:rsidRPr="00B350FC" w:rsidRDefault="00B350FC" w:rsidP="00B350FC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233AD8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45</w:t>
            </w:r>
          </w:p>
        </w:tc>
      </w:tr>
      <w:tr w:rsidR="00B350FC" w:rsidRPr="00B350FC" w14:paraId="5B57BFFD" w14:textId="77777777" w:rsidTr="00B350FC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6F5C30A" w14:textId="37BCB6FE" w:rsidR="00B350FC" w:rsidRPr="00B350FC" w:rsidRDefault="00B350FC" w:rsidP="00B350FC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Kρέ</w:t>
            </w:r>
            <w:proofErr w:type="spellEnd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D4857A8" w14:textId="2A15AAC6" w:rsidR="00B350FC" w:rsidRPr="00B350FC" w:rsidRDefault="00B350FC" w:rsidP="00B350FC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233AD8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23</w:t>
            </w:r>
          </w:p>
        </w:tc>
      </w:tr>
      <w:tr w:rsidR="00B350FC" w:rsidRPr="00B350FC" w14:paraId="22FA0A3F" w14:textId="77777777" w:rsidTr="00B350FC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F3A97CA" w14:textId="707F08EB" w:rsidR="00B350FC" w:rsidRPr="00B350FC" w:rsidRDefault="00B350FC" w:rsidP="00B350FC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Πα</w:t>
            </w: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τάτες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35DE0F34" w14:textId="260DA2B3" w:rsidR="00B350FC" w:rsidRPr="00B350FC" w:rsidRDefault="00B350FC" w:rsidP="00B350FC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233AD8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18</w:t>
            </w:r>
          </w:p>
        </w:tc>
      </w:tr>
      <w:tr w:rsidR="00B350FC" w:rsidRPr="00B350FC" w14:paraId="152B0813" w14:textId="77777777" w:rsidTr="00B350FC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B0622BC" w14:textId="0C70407B" w:rsidR="00B350FC" w:rsidRPr="008D33A0" w:rsidRDefault="00B350FC" w:rsidP="00B350FC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r w:rsidRPr="008D33A0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Υπηρεσίες για τακτική συντήρηση κατοικίας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056F2D57" w14:textId="2B25E78E" w:rsidR="00B350FC" w:rsidRDefault="00B350FC" w:rsidP="00B350FC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233AD8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15</w:t>
            </w:r>
          </w:p>
        </w:tc>
      </w:tr>
      <w:tr w:rsidR="00B350FC" w:rsidRPr="00B350FC" w14:paraId="7A2A4B03" w14:textId="77777777" w:rsidTr="00FB64A5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7CD7B29" w14:textId="3C1173E7" w:rsidR="00B350FC" w:rsidRPr="00BF2B1C" w:rsidRDefault="00B350FC" w:rsidP="00BF2B1C">
            <w:pPr>
              <w:ind w:left="321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bookmarkStart w:id="4" w:name="_Hlk178677251"/>
            <w:r w:rsidRPr="00B350FC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Διάφορα άλλα προϊόντα και υπηρεσίες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10FAA21F" w14:textId="3AD958BD" w:rsidR="00B350FC" w:rsidRPr="00233AD8" w:rsidRDefault="00B350FC" w:rsidP="00B350FC">
            <w:pPr>
              <w:ind w:right="1138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1</w:t>
            </w:r>
            <w:r w:rsidR="00233AD8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2</w:t>
            </w:r>
            <w:r w:rsidR="00233AD8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5</w:t>
            </w:r>
          </w:p>
        </w:tc>
      </w:tr>
      <w:bookmarkEnd w:id="4"/>
      <w:tr w:rsidR="00EA4C7B" w:rsidRPr="00E21D72" w14:paraId="5F56DE30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</w:tcBorders>
            <w:shd w:val="clear" w:color="FFFFFF" w:fill="FFFFFF"/>
            <w:vAlign w:val="center"/>
          </w:tcPr>
          <w:p w14:paraId="45CA1F54" w14:textId="62998D06" w:rsidR="00EA4C7B" w:rsidRPr="00E21D72" w:rsidRDefault="00EA4C7B" w:rsidP="00EA4C7B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Αρνητική επίπτωση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620B1EE" w14:textId="37C419D7" w:rsidR="00EA4C7B" w:rsidRPr="00B350FC" w:rsidRDefault="00EA4C7B" w:rsidP="00B350FC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</w:p>
        </w:tc>
      </w:tr>
      <w:tr w:rsidR="00B350FC" w:rsidRPr="00E21D72" w14:paraId="157F0974" w14:textId="77777777" w:rsidTr="00AD62A7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0212099" w14:textId="63D459FA" w:rsidR="00B350FC" w:rsidRPr="00B350FC" w:rsidRDefault="00B350FC" w:rsidP="00B350FC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Είδη</w:t>
            </w:r>
            <w:proofErr w:type="spellEnd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Ένδυσης</w:t>
            </w:r>
            <w:proofErr w:type="spellEnd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</w:tcPr>
          <w:p w14:paraId="71EC68D8" w14:textId="6732A011" w:rsidR="00B350FC" w:rsidRPr="00B350FC" w:rsidRDefault="00B350FC" w:rsidP="00B350FC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233AD8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10</w:t>
            </w:r>
          </w:p>
        </w:tc>
      </w:tr>
      <w:tr w:rsidR="00B350FC" w:rsidRPr="00E21D72" w14:paraId="769D35E4" w14:textId="77777777" w:rsidTr="00AD62A7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E6356C1" w14:textId="03826D26" w:rsidR="00B350FC" w:rsidRPr="00B350FC" w:rsidRDefault="00B350FC" w:rsidP="00B350FC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Ηλεκτρισμός</w:t>
            </w:r>
            <w:proofErr w:type="spellEnd"/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</w:tcPr>
          <w:p w14:paraId="1403F365" w14:textId="04AB1F73" w:rsidR="00B350FC" w:rsidRPr="00B350FC" w:rsidRDefault="00B350FC" w:rsidP="00B350FC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233AD8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04</w:t>
            </w:r>
          </w:p>
        </w:tc>
      </w:tr>
      <w:tr w:rsidR="00EA4C7B" w:rsidRPr="00E21D72" w14:paraId="7CE0AC98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7235CD23" w14:textId="12E6FA06" w:rsidR="00EA4C7B" w:rsidRPr="00E21D72" w:rsidRDefault="00EA4C7B" w:rsidP="00EA4C7B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150BB30D" w14:textId="6895C96D" w:rsidR="00EA4C7B" w:rsidRPr="00BF2B1C" w:rsidRDefault="00B350FC" w:rsidP="00B350FC">
            <w:pPr>
              <w:ind w:right="1138" w:firstLineChars="200" w:firstLine="361"/>
              <w:jc w:val="right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3</w:t>
            </w:r>
            <w:r w:rsidR="00EA4C7B" w:rsidRPr="00EA4C7B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,</w:t>
            </w:r>
            <w:r w:rsidR="00BF2B1C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0</w:t>
            </w: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2</w:t>
            </w:r>
          </w:p>
        </w:tc>
      </w:tr>
      <w:bookmarkEnd w:id="3"/>
    </w:tbl>
    <w:p w14:paraId="42BB662F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n-GB"/>
        </w:rPr>
      </w:pPr>
    </w:p>
    <w:p w14:paraId="2A4BF5B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3F1D27E5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C90568E" w14:textId="77777777" w:rsidR="006022B5" w:rsidRPr="00A36D89" w:rsidRDefault="006022B5" w:rsidP="00A36D8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285561AD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82DA6E2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4FD7775C" w14:textId="77777777" w:rsidR="00BF2B1C" w:rsidRPr="00D56B64" w:rsidRDefault="00BF2B1C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6022B5" w:rsidRPr="00E21D72" w14:paraId="59D19A26" w14:textId="77777777" w:rsidTr="00B31395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A682EA1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Πίνακας 5</w:t>
            </w:r>
          </w:p>
        </w:tc>
      </w:tr>
      <w:tr w:rsidR="006022B5" w:rsidRPr="00E21D72" w14:paraId="5E069138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9137E77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BE7933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6022B5" w:rsidRPr="00E21D72" w14:paraId="0C3752BC" w14:textId="77777777" w:rsidTr="0074032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CFE0A0E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8D48676" w14:textId="07D0566B" w:rsidR="006022B5" w:rsidRPr="00E21D72" w:rsidRDefault="00B350FC" w:rsidP="002A7893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3968D1" w:rsidRPr="00E21D72" w14:paraId="446C362D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0BE80B9" w14:textId="13825D41" w:rsidR="003968D1" w:rsidRPr="00E21D72" w:rsidRDefault="00936D92" w:rsidP="003968D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Θετική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75CF692" w14:textId="77777777" w:rsidR="003968D1" w:rsidRPr="00E21D72" w:rsidRDefault="003968D1" w:rsidP="003968D1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B350FC" w:rsidRPr="00B350FC" w14:paraId="0F1E746A" w14:textId="77777777" w:rsidTr="00ED3E91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175C978" w14:textId="0698705B" w:rsidR="00B350FC" w:rsidRPr="00B350FC" w:rsidRDefault="00B350FC" w:rsidP="00B350FC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α λαχα</w:t>
            </w: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4EBEF734" w14:textId="5A0F6B52" w:rsidR="00B350FC" w:rsidRPr="00B350FC" w:rsidRDefault="00B350FC" w:rsidP="00B350FC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1079D8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58</w:t>
            </w:r>
          </w:p>
        </w:tc>
      </w:tr>
      <w:tr w:rsidR="00B350FC" w:rsidRPr="00B350FC" w14:paraId="6B057E0A" w14:textId="77777777" w:rsidTr="00ED3E91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7ECBBC" w14:textId="57C76CD6" w:rsidR="00B350FC" w:rsidRPr="00B350FC" w:rsidRDefault="00D4550C" w:rsidP="00B350FC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Η</w:t>
            </w:r>
            <w:proofErr w:type="spellStart"/>
            <w:r w:rsidR="00B350FC" w:rsidRPr="00B350FC">
              <w:rPr>
                <w:rFonts w:ascii="Verdana" w:hAnsi="Verdana" w:cs="Arial"/>
                <w:color w:val="365F91"/>
                <w:sz w:val="18"/>
                <w:szCs w:val="18"/>
              </w:rPr>
              <w:t>λεκτρισμός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75AA1FE" w14:textId="1E448D20" w:rsidR="00B350FC" w:rsidRPr="00B350FC" w:rsidRDefault="00B350FC" w:rsidP="00B350FC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1079D8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03</w:t>
            </w:r>
          </w:p>
        </w:tc>
      </w:tr>
      <w:tr w:rsidR="00B350FC" w:rsidRPr="00B350FC" w14:paraId="57233FCB" w14:textId="77777777" w:rsidTr="00ED3E91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201F4B0" w14:textId="529F3097" w:rsidR="00B350FC" w:rsidRPr="00B350FC" w:rsidRDefault="00B350FC" w:rsidP="00B350FC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αιοειδή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2014C055" w14:textId="1D624169" w:rsidR="00B350FC" w:rsidRPr="00B350FC" w:rsidRDefault="00B350FC" w:rsidP="00B350FC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1079D8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03</w:t>
            </w:r>
          </w:p>
        </w:tc>
      </w:tr>
      <w:tr w:rsidR="00B350FC" w:rsidRPr="00B350FC" w14:paraId="27B877AB" w14:textId="77777777" w:rsidTr="00ED3E91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</w:tcPr>
          <w:p w14:paraId="20845BFD" w14:textId="47B28264" w:rsidR="00B350FC" w:rsidRPr="00B350FC" w:rsidRDefault="00B350FC" w:rsidP="00B350FC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Υπ</w:t>
            </w: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τροφοδοσί</w:t>
            </w:r>
            <w:proofErr w:type="spellEnd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</w:tcPr>
          <w:p w14:paraId="10C9C5DD" w14:textId="4B8A599A" w:rsidR="00B350FC" w:rsidRPr="00B350FC" w:rsidRDefault="00B350FC" w:rsidP="00B350FC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1079D8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02</w:t>
            </w:r>
          </w:p>
        </w:tc>
      </w:tr>
      <w:tr w:rsidR="006E21FE" w:rsidRPr="008B1495" w14:paraId="4A4B0AD6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CF1B693" w14:textId="1562A939" w:rsidR="006E21FE" w:rsidRPr="00E21D72" w:rsidRDefault="006E21FE" w:rsidP="006E21F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Αρνητική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6FF5F87F" w14:textId="77777777" w:rsidR="006E21FE" w:rsidRDefault="006E21FE" w:rsidP="00B350FC">
            <w:pPr>
              <w:ind w:left="326" w:right="1280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B350FC" w:rsidRPr="008B1495" w14:paraId="73DEB40F" w14:textId="77777777" w:rsidTr="0027529A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</w:tcPr>
          <w:p w14:paraId="5B219B47" w14:textId="63CCBA35" w:rsidR="00B350FC" w:rsidRPr="00B350FC" w:rsidRDefault="00B350FC" w:rsidP="00B350FC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Πα</w:t>
            </w: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τάτες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</w:tcPr>
          <w:p w14:paraId="334EDF71" w14:textId="262B3129" w:rsidR="00B350FC" w:rsidRPr="00B350FC" w:rsidRDefault="00B350FC" w:rsidP="00B350FC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1079D8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17</w:t>
            </w:r>
          </w:p>
        </w:tc>
      </w:tr>
      <w:tr w:rsidR="00B350FC" w:rsidRPr="008B1495" w14:paraId="5FE1422B" w14:textId="77777777" w:rsidTr="0027529A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</w:tcPr>
          <w:p w14:paraId="0507369C" w14:textId="64B6A70A" w:rsidR="00B350FC" w:rsidRDefault="00B350FC" w:rsidP="00B350FC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 xml:space="preserve">α </w:t>
            </w: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φρούτ</w:t>
            </w:r>
            <w:proofErr w:type="spellEnd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</w:tcPr>
          <w:p w14:paraId="00C6A62A" w14:textId="292AE764" w:rsidR="00B350FC" w:rsidRDefault="00B350FC" w:rsidP="00B350FC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1079D8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10</w:t>
            </w:r>
          </w:p>
        </w:tc>
      </w:tr>
      <w:tr w:rsidR="00B350FC" w:rsidRPr="008B1495" w14:paraId="46075C90" w14:textId="77777777" w:rsidTr="0027529A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</w:tcPr>
          <w:p w14:paraId="733D834F" w14:textId="3DAF0B75" w:rsidR="00B350FC" w:rsidRDefault="00B350FC" w:rsidP="00B350FC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Αερο</w:t>
            </w:r>
            <w:proofErr w:type="spellEnd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πορικά να</w:t>
            </w:r>
            <w:proofErr w:type="spellStart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ύλ</w:t>
            </w:r>
            <w:proofErr w:type="spellEnd"/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</w:tcPr>
          <w:p w14:paraId="19E374DF" w14:textId="69B653C3" w:rsidR="00B350FC" w:rsidRDefault="00B350FC" w:rsidP="00B350FC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1079D8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05</w:t>
            </w:r>
          </w:p>
        </w:tc>
      </w:tr>
      <w:tr w:rsidR="00B350FC" w:rsidRPr="008B1495" w14:paraId="06B307CE" w14:textId="77777777" w:rsidTr="0027529A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</w:tcPr>
          <w:p w14:paraId="6C621C38" w14:textId="100FF8A6" w:rsidR="00B350FC" w:rsidRPr="008D33A0" w:rsidRDefault="00B350FC" w:rsidP="00B350FC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r w:rsidRPr="008D33A0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Διάφορα άλλα προϊόντα και υπηρεσίες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</w:tcPr>
          <w:p w14:paraId="0AE17786" w14:textId="44CDE8BD" w:rsidR="00233AD8" w:rsidRPr="00233AD8" w:rsidRDefault="00B350FC" w:rsidP="00233AD8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1079D8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 w:rsidRPr="00B350FC">
              <w:rPr>
                <w:rFonts w:ascii="Verdana" w:hAnsi="Verdana" w:cs="Arial"/>
                <w:color w:val="365F91"/>
                <w:sz w:val="18"/>
                <w:szCs w:val="18"/>
              </w:rPr>
              <w:t>2</w:t>
            </w:r>
            <w:r w:rsidR="00233AD8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6E21FE" w:rsidRPr="00E21D72" w14:paraId="1696B547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04ECCD32" w14:textId="77777777" w:rsidR="006E21FE" w:rsidRPr="00E21D72" w:rsidRDefault="006E21FE" w:rsidP="006E21F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B88B50F" w14:textId="4153B3A0" w:rsidR="00D56B64" w:rsidRPr="00B350FC" w:rsidRDefault="00D56B64" w:rsidP="00D56B64">
            <w:pPr>
              <w:ind w:right="1296" w:firstLineChars="200" w:firstLine="361"/>
              <w:jc w:val="right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0</w:t>
            </w:r>
            <w:r w:rsidR="006E21FE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,</w:t>
            </w:r>
            <w:r w:rsidR="00B350FC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10</w:t>
            </w:r>
          </w:p>
        </w:tc>
      </w:tr>
    </w:tbl>
    <w:p w14:paraId="2EB51A7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4C43CFC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7648AE1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7D4ECFE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DF1279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8AF74B7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321070C" w14:textId="77777777" w:rsidR="00091CF5" w:rsidRP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730B2FA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FFAD0D4" w14:textId="11D17952" w:rsidR="00C8341F" w:rsidRPr="00E21D72" w:rsidRDefault="00C8341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3A34100" w14:textId="59018CB8" w:rsidR="0016172E" w:rsidRPr="00E21D72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B804217" w14:textId="72743EA0" w:rsidR="0016172E" w:rsidRPr="00E21D72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3F07355" w14:textId="77777777" w:rsidR="009048F9" w:rsidRDefault="009048F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964EFC1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2B615A9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70C1FAA" w14:textId="7C2E5A1A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19438811" w14:textId="12802A74" w:rsidR="00F646E6" w:rsidRDefault="00F646E6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05DB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u w:val="single"/>
          <w:lang w:val="el-GR"/>
        </w:rPr>
      </w:pPr>
      <w:r w:rsidRPr="00E21D72">
        <w:rPr>
          <w:rFonts w:ascii="Verdana" w:eastAsia="Malgun Gothic" w:hAnsi="Verdana" w:cs="Arial"/>
          <w:b/>
          <w:u w:val="single"/>
          <w:lang w:val="el-GR"/>
        </w:rPr>
        <w:lastRenderedPageBreak/>
        <w:t>ΜΕΘΟΔΟΛΟΓΙΚΕΣ ΠΛΗΡΟΦΟΡΙΕΣ</w:t>
      </w:r>
    </w:p>
    <w:p w14:paraId="3C2B4637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3318CA3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Ορισμοί</w:t>
      </w:r>
    </w:p>
    <w:p w14:paraId="7EED2F3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6C384CCE" w14:textId="3218965D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Δείκτης Τιμών Καταναλωτή (ΔΤΚ)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είναι οικονομικός δείκτης που καταρτίζεται για τη μέτρηση των διαχρονικών μεταβολών στις τιμές των καταναλωτικών αγαθών και υπηρεσιών που αποκτώνται, χρησιμοποιούνται ή πληρώνονται από τα νοικοκυριά (διαμένουν στην Κύπρο ή έχουν σκοπό να διαμείνουν στην Κύπρο για ένα χρόνο τουλάχιστον)</w:t>
      </w:r>
      <w:r w:rsidR="00FB3CEB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Ο ΔΤΚ αποτελεί τον επίσημο δείκτη για τον υπολογισμό του πληθωρισμού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46E76B2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7069BCC" w14:textId="4E3DFB78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Πληθωρισμός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δείχνει τη μεταβολή του ΔΤΚ σε σχέση με τον αντίστοιχο μήνα του προηγούμενου έτους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1393B8C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52471B4" w14:textId="54E2BC2F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Επίπτωση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αντιπροσωπεύει το ποσό της συνολικής μεταβολής στον ΔΤΚ το οποίο οφείλεται στην αναφερόμενη κατηγορία/αγαθό/υπηρεσία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22ABDD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CC1A47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proofErr w:type="spellStart"/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Τιμοληψία</w:t>
      </w:r>
      <w:proofErr w:type="spellEnd"/>
    </w:p>
    <w:p w14:paraId="6BCF4E62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AFEFEB0" w14:textId="0DBDC93A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τιμοληψία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διενεργείται μόνο στις αστικές περιοχές των επαρχιών Λευκωσίας, Λάρνακας, Λεμεσού και Πάφου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Για κάθε πόλη οι αυξομειώσεις των τιμών κατά προϊόν κάθε μήνα σταθμίζονται ανάλογα με τον πληθυσμό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Συγκεκριμένα οι συντελεστές στάθμισης για τις τέσσερις επαρχίες: Λευκωσία 42%, Λεμεσός 30%, Λάρνακα 18% και Πάφος 10%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737D6DCA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DE9E601" w14:textId="7FD032E1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Οι τιμές των 805 ειδών και υπηρεσιών, που περιλαμβάνονται στον ΔΤΚ παρακολουθούνται και καταγράφονται μια φορά κάθε μήνα, εκτός από κάποια εποχικά προϊόντα (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π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χ</w:t>
      </w:r>
      <w:proofErr w:type="spellEnd"/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λαχανικά και φρούτα), τα κρέατα και τα καύσιμα, των οποίων οι τιμές συλλέγονται κάθε βδομάδα (κάθε Πέμπτη)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1298584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0F3C191" w14:textId="4E41AF0C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Έτος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Β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άσης</w:t>
      </w:r>
    </w:p>
    <w:p w14:paraId="12559C64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95D5698" w14:textId="392BFF36" w:rsidR="006022B5" w:rsidRPr="00E21D72" w:rsidRDefault="006022B5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Το έτος βάσης από τον Ιανουάριο του 2006 μέχρι το Δεκέμβριο του 2015 ήταν το 2005=100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2016 έτος αναφοράς είναι το 2015=100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CCFF880" w14:textId="77777777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lang w:val="el-GR"/>
        </w:rPr>
      </w:pPr>
    </w:p>
    <w:p w14:paraId="217CF854" w14:textId="77777777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Ταξινόμηση                                                                                                                  </w:t>
      </w:r>
    </w:p>
    <w:p w14:paraId="524F8056" w14:textId="77777777" w:rsidR="006022B5" w:rsidRPr="00E21D72" w:rsidRDefault="006022B5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EFB4A91" w14:textId="2BF8B94C" w:rsidR="006022B5" w:rsidRPr="00E21D72" w:rsidRDefault="006022B5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Μέχρι τον Δεκέμβριο του 2015, ο ΔΤΚ υπολογιζόταν και δημοσιευόταν βάσει της ταξινόμησης COICOP4 με την οποία η κατηγορία των προϊόντων καθορίζεται μέχρι τα τέσσερα ψηφία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2016, ο ΔΤΚ υπολογίζεται και δημοσιεύεται βάσει της ταξινόμησης ECOICOP ακολουθώντας σχετικό κανονισμό της Ευρωπαϊκής Στατιστικής Υπηρεσίας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Ως εκ τούτου, το χαμηλότερο επίπεδο λεπτομέρειας για την ταξινόμηση που χρησιμοποιείται είναι τα πέντε ψηφία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19688906" w14:textId="77777777" w:rsidR="006022B5" w:rsidRPr="00E21D72" w:rsidRDefault="006022B5" w:rsidP="006022B5">
      <w:pPr>
        <w:jc w:val="both"/>
        <w:rPr>
          <w:rFonts w:ascii="Verdana" w:eastAsia="Times New Roman" w:hAnsi="Verdana"/>
          <w:sz w:val="18"/>
          <w:szCs w:val="18"/>
          <w:highlight w:val="yellow"/>
          <w:lang w:val="el-GR"/>
        </w:rPr>
      </w:pPr>
    </w:p>
    <w:p w14:paraId="5A5D77AE" w14:textId="1FAD2A39" w:rsidR="006022B5" w:rsidRPr="00E21D72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Προϊόντα/Υπηρεσίες και Συντελεστές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Σ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τάθμισης</w:t>
      </w:r>
    </w:p>
    <w:p w14:paraId="4EC53982" w14:textId="36200B49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br/>
        <w:t>Με ισχύ από τον Ιανουάριο του 2018, τόσο τα προϊόντα που περιέχονται στον ΔΤΚ όσο και οι συντελεστές στάθμισής τους αναθεωρήθηκαν</w:t>
      </w:r>
      <w:r w:rsidR="0043609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Η αναθεώρηση βασίστηκε στα αποτελέσματα της Έρευνας Οικογενειακών Προϋπολογισμών 2015/2016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63582840" w14:textId="77777777" w:rsidR="00A6617C" w:rsidRPr="00E21D72" w:rsidRDefault="00A6617C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DFBF89B" w14:textId="77777777" w:rsidR="006022B5" w:rsidRPr="00E21D72" w:rsidRDefault="006022B5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67D2B41" w14:textId="77777777" w:rsidR="006022B5" w:rsidRPr="00E21D72" w:rsidRDefault="006022B5" w:rsidP="006022B5">
      <w:pPr>
        <w:rPr>
          <w:rFonts w:ascii="Verdana" w:hAnsi="Verdana"/>
          <w:i/>
          <w:iCs/>
          <w:sz w:val="18"/>
          <w:szCs w:val="18"/>
          <w:lang w:val="el-GR"/>
        </w:rPr>
      </w:pPr>
      <w:r w:rsidRPr="00E21D72">
        <w:rPr>
          <w:rFonts w:ascii="Verdana" w:hAnsi="Verdana"/>
          <w:b/>
          <w:bCs/>
          <w:i/>
          <w:iCs/>
          <w:sz w:val="18"/>
          <w:szCs w:val="18"/>
          <w:lang w:val="el-GR"/>
        </w:rPr>
        <w:t>Για περισσότερες πληροφορίες:</w:t>
      </w:r>
      <w:r w:rsidRPr="00E21D72">
        <w:rPr>
          <w:rFonts w:ascii="Verdana" w:hAnsi="Verdana"/>
          <w:i/>
          <w:iCs/>
          <w:sz w:val="18"/>
          <w:szCs w:val="18"/>
          <w:lang w:val="el-GR"/>
        </w:rPr>
        <w:t xml:space="preserve"> </w:t>
      </w:r>
    </w:p>
    <w:p w14:paraId="0AF10108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sz w:val="18"/>
          <w:szCs w:val="18"/>
          <w:lang w:val="el-GR"/>
        </w:rPr>
        <w:t xml:space="preserve">Πύλη Στατιστικής Υπηρεσίας, υπόθεμα </w:t>
      </w:r>
      <w:hyperlink r:id="rId9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Δείκτες Τιμών</w:t>
        </w:r>
      </w:hyperlink>
    </w:p>
    <w:p w14:paraId="5AC14E05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hyperlink r:id="rId10" w:history="1">
        <w:r w:rsidRPr="00E21D72">
          <w:rPr>
            <w:rFonts w:ascii="Verdana" w:hAnsi="Verdana"/>
            <w:color w:val="0000FF"/>
            <w:sz w:val="18"/>
            <w:szCs w:val="18"/>
            <w:u w:val="single"/>
          </w:rPr>
          <w:t>CYSTAT</w:t>
        </w:r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-</w:t>
        </w:r>
        <w:r w:rsidRPr="00E21D72">
          <w:rPr>
            <w:rFonts w:ascii="Verdana" w:hAnsi="Verdana"/>
            <w:color w:val="0000FF"/>
            <w:sz w:val="18"/>
            <w:szCs w:val="18"/>
            <w:u w:val="single"/>
          </w:rPr>
          <w:t>DB</w:t>
        </w:r>
      </w:hyperlink>
      <w:r w:rsidRPr="00E21D72">
        <w:rPr>
          <w:rFonts w:ascii="Verdana" w:hAnsi="Verdana"/>
          <w:sz w:val="18"/>
          <w:szCs w:val="18"/>
          <w:lang w:val="el-GR"/>
        </w:rPr>
        <w:t xml:space="preserve"> (Βάση Δεδομένων)</w:t>
      </w:r>
    </w:p>
    <w:p w14:paraId="44DB05E9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hyperlink r:id="rId11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Προκαθορισμένοι Πίνακες</w:t>
        </w:r>
      </w:hyperlink>
      <w:r w:rsidRPr="00E21D72">
        <w:rPr>
          <w:rFonts w:ascii="Verdana" w:hAnsi="Verdana"/>
          <w:sz w:val="18"/>
          <w:szCs w:val="18"/>
          <w:lang w:val="el-GR"/>
        </w:rPr>
        <w:t xml:space="preserve"> (</w:t>
      </w:r>
      <w:r w:rsidRPr="00E21D72">
        <w:rPr>
          <w:rFonts w:ascii="Verdana" w:hAnsi="Verdana"/>
          <w:sz w:val="18"/>
          <w:szCs w:val="18"/>
        </w:rPr>
        <w:t>Excel</w:t>
      </w:r>
      <w:r w:rsidRPr="00E21D72">
        <w:rPr>
          <w:rFonts w:ascii="Verdana" w:hAnsi="Verdana"/>
          <w:sz w:val="18"/>
          <w:szCs w:val="18"/>
          <w:lang w:val="el-GR"/>
        </w:rPr>
        <w:t>)</w:t>
      </w:r>
    </w:p>
    <w:p w14:paraId="217E8B4C" w14:textId="77777777" w:rsidR="006022B5" w:rsidRPr="00E21D72" w:rsidRDefault="006022B5" w:rsidP="006022B5">
      <w:pPr>
        <w:jc w:val="both"/>
        <w:rPr>
          <w:rFonts w:ascii="Verdana" w:hAnsi="Verdana"/>
          <w:sz w:val="18"/>
          <w:szCs w:val="18"/>
          <w:lang w:val="el-GR"/>
        </w:rPr>
      </w:pPr>
      <w:hyperlink r:id="rId12" w:tooltip="Μεθοδολογικές Πληροφορίες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Μεθοδολογικές Πληροφορίες</w:t>
        </w:r>
      </w:hyperlink>
    </w:p>
    <w:p w14:paraId="0EB2994F" w14:textId="77777777" w:rsidR="006022B5" w:rsidRPr="00E21D72" w:rsidRDefault="006022B5" w:rsidP="006022B5">
      <w:pPr>
        <w:jc w:val="both"/>
        <w:rPr>
          <w:rFonts w:ascii="Verdana" w:hAnsi="Verdana"/>
          <w:b/>
          <w:bCs/>
          <w:sz w:val="18"/>
          <w:szCs w:val="18"/>
          <w:lang w:val="el-GR"/>
        </w:rPr>
      </w:pPr>
    </w:p>
    <w:p w14:paraId="74B0361A" w14:textId="2A12436C" w:rsidR="006022B5" w:rsidRPr="00E21D72" w:rsidRDefault="006022B5" w:rsidP="006022B5">
      <w:pPr>
        <w:jc w:val="both"/>
        <w:rPr>
          <w:rFonts w:ascii="Verdana" w:hAnsi="Verdana" w:cs="Calibri"/>
          <w:b/>
          <w:bCs/>
          <w:sz w:val="18"/>
          <w:szCs w:val="18"/>
          <w:lang w:val="el-GR"/>
        </w:rPr>
      </w:pP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Οι </w:t>
      </w:r>
      <w:r w:rsidRPr="00E21D72">
        <w:rPr>
          <w:rFonts w:ascii="Verdana" w:hAnsi="Verdana" w:cs="Calibri"/>
          <w:b/>
          <w:bCs/>
          <w:sz w:val="18"/>
          <w:szCs w:val="18"/>
          <w:u w:val="single"/>
          <w:lang w:val="el-GR"/>
        </w:rPr>
        <w:t>Προκαθορισμένοι Πίνακες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σε μορφή </w:t>
      </w:r>
      <w:r w:rsidRPr="00E21D72">
        <w:rPr>
          <w:rFonts w:ascii="Verdana" w:hAnsi="Verdana" w:cs="Calibri"/>
          <w:b/>
          <w:bCs/>
          <w:sz w:val="18"/>
          <w:szCs w:val="18"/>
        </w:rPr>
        <w:t>Excel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είναι ενημερωμένοι με στοιχεία μέχρι και τον Δεκέμβριο του 2021</w:t>
      </w:r>
      <w:r w:rsidR="003A1153">
        <w:rPr>
          <w:rFonts w:ascii="Verdana" w:hAnsi="Verdana" w:cs="Calibri"/>
          <w:b/>
          <w:bCs/>
          <w:sz w:val="18"/>
          <w:szCs w:val="18"/>
          <w:lang w:val="el-GR"/>
        </w:rPr>
        <w:t>,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Για τον Ιανουάριο 2022 και νεότερα στοιχεία, ενημέρωση γίνεται μόνο στη Βάση Δεδομένων </w:t>
      </w:r>
      <w:r w:rsidRPr="00E21D72">
        <w:rPr>
          <w:rFonts w:ascii="Verdana" w:hAnsi="Verdana" w:cs="Calibri"/>
          <w:b/>
          <w:bCs/>
          <w:sz w:val="18"/>
          <w:szCs w:val="18"/>
        </w:rPr>
        <w:t>CYSTAT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>-</w:t>
      </w:r>
      <w:r w:rsidRPr="00E21D72">
        <w:rPr>
          <w:rFonts w:ascii="Verdana" w:hAnsi="Verdana" w:cs="Calibri"/>
          <w:b/>
          <w:bCs/>
          <w:sz w:val="18"/>
          <w:szCs w:val="18"/>
        </w:rPr>
        <w:t>DB</w:t>
      </w:r>
      <w:r w:rsidR="003C63F9">
        <w:rPr>
          <w:rFonts w:ascii="Verdana" w:hAnsi="Verdana" w:cs="Calibri"/>
          <w:b/>
          <w:bCs/>
          <w:sz w:val="18"/>
          <w:szCs w:val="18"/>
          <w:lang w:val="el-GR"/>
        </w:rPr>
        <w:t>.</w:t>
      </w:r>
    </w:p>
    <w:p w14:paraId="25ECF037" w14:textId="77777777" w:rsidR="004C6ABF" w:rsidRPr="00266F1F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513D082" w14:textId="0C179B16" w:rsidR="004C6ABF" w:rsidRPr="00266F1F" w:rsidRDefault="006022B5" w:rsidP="00AC3F63">
      <w:pPr>
        <w:ind w:right="-79"/>
        <w:jc w:val="both"/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i/>
          <w:sz w:val="18"/>
          <w:szCs w:val="18"/>
          <w:u w:val="single"/>
          <w:lang w:val="el-GR"/>
        </w:rPr>
        <w:t>Επικοινωνία</w:t>
      </w:r>
      <w:r w:rsidRPr="00E21D72">
        <w:rPr>
          <w:rFonts w:ascii="Verdana" w:hAnsi="Verdana"/>
          <w:sz w:val="18"/>
          <w:szCs w:val="18"/>
          <w:lang w:val="el-GR"/>
        </w:rPr>
        <w:t xml:space="preserve"> </w:t>
      </w:r>
    </w:p>
    <w:p w14:paraId="432FD17D" w14:textId="74B68D91" w:rsidR="004C6ABF" w:rsidRPr="004C6ABF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bookmarkStart w:id="5" w:name="_Hlk176173046"/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Σωφρόνης</w:t>
      </w:r>
      <w:proofErr w:type="spellEnd"/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Βίκης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:+3572</w:t>
      </w:r>
      <w:r w:rsidRPr="004C6ABF">
        <w:rPr>
          <w:rFonts w:ascii="Verdana" w:eastAsia="Malgun Gothic" w:hAnsi="Verdana" w:cs="Arial"/>
          <w:sz w:val="18"/>
          <w:szCs w:val="18"/>
          <w:lang w:val="el-GR"/>
        </w:rPr>
        <w:t>2602206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3" w:history="1"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svikis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@cystat.mof.gov.cy</w:t>
        </w:r>
      </w:hyperlink>
    </w:p>
    <w:p w14:paraId="610A4C7F" w14:textId="32456CE5" w:rsidR="006022B5" w:rsidRPr="00E21D72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Κυριάκος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Βουτουρής</w:t>
      </w:r>
      <w:proofErr w:type="spellEnd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5132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4" w:history="1"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kvoutouris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@cystat.mof.gov.cy</w:t>
        </w:r>
      </w:hyperlink>
    </w:p>
    <w:p w14:paraId="5EC9F783" w14:textId="4EEAEBF0" w:rsidR="004C6ABF" w:rsidRPr="00E21D72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Φίλιππος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Κακούτσης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5149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5" w:history="1"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fkakoutsis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@cystat.mof.gov.cy</w:t>
        </w:r>
      </w:hyperlink>
    </w:p>
    <w:bookmarkEnd w:id="5"/>
    <w:p w14:paraId="13A37716" w14:textId="011C3740" w:rsidR="001712CF" w:rsidRPr="00E21D72" w:rsidRDefault="001712CF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p w14:paraId="2437CE1C" w14:textId="0BEAC8D7" w:rsidR="00761E3A" w:rsidRPr="00E21D72" w:rsidRDefault="00761E3A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sectPr w:rsidR="00761E3A" w:rsidRPr="00E21D72" w:rsidSect="008620CD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567" w:right="1185" w:bottom="1021" w:left="113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89B30" w14:textId="77777777" w:rsidR="00E11323" w:rsidRDefault="00E11323" w:rsidP="00FB398F">
      <w:r>
        <w:separator/>
      </w:r>
    </w:p>
  </w:endnote>
  <w:endnote w:type="continuationSeparator" w:id="0">
    <w:p w14:paraId="79EEF4F9" w14:textId="77777777" w:rsidR="00E11323" w:rsidRDefault="00E11323" w:rsidP="00FB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E4DEB" w14:textId="77777777" w:rsidR="004E4F42" w:rsidRPr="000A1A88" w:rsidRDefault="004E4F42" w:rsidP="00763722">
    <w:pPr>
      <w:pStyle w:val="Footer"/>
      <w:tabs>
        <w:tab w:val="left" w:pos="3375"/>
        <w:tab w:val="left" w:pos="4500"/>
        <w:tab w:val="center" w:pos="4723"/>
      </w:tabs>
    </w:pPr>
    <w:r>
      <w:tab/>
    </w:r>
    <w:r>
      <w:tab/>
    </w:r>
    <w:r>
      <w:tab/>
    </w:r>
    <w:r>
      <w:tab/>
      <w:t>-</w:t>
    </w:r>
    <w:r w:rsidR="00D14CDF">
      <w:fldChar w:fldCharType="begin"/>
    </w:r>
    <w:r w:rsidR="004D4950">
      <w:instrText xml:space="preserve"> PAGE   \* MERGEFORMAT </w:instrText>
    </w:r>
    <w:r w:rsidR="00D14CDF">
      <w:fldChar w:fldCharType="separate"/>
    </w:r>
    <w:r w:rsidR="00FD5B5F">
      <w:rPr>
        <w:noProof/>
      </w:rPr>
      <w:t>2</w:t>
    </w:r>
    <w:r w:rsidR="00D14CDF">
      <w:rPr>
        <w:noProof/>
      </w:rPr>
      <w:fldChar w:fldCharType="end"/>
    </w:r>
    <w: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4CD8F" w14:textId="77777777" w:rsidR="004E4F42" w:rsidRPr="00233FBF" w:rsidRDefault="004E4F42" w:rsidP="000932CF">
    <w:pPr>
      <w:pStyle w:val="Footer"/>
      <w:pBdr>
        <w:top w:val="single" w:sz="4" w:space="0" w:color="auto"/>
      </w:pBdr>
      <w:tabs>
        <w:tab w:val="left" w:pos="4500"/>
      </w:tabs>
      <w:jc w:val="center"/>
      <w:rPr>
        <w:rFonts w:ascii="Arial" w:hAnsi="Arial" w:cs="Arial"/>
        <w:i/>
        <w:iCs/>
        <w:sz w:val="16"/>
        <w:szCs w:val="16"/>
        <w:lang w:val="el-GR"/>
      </w:rPr>
    </w:pPr>
    <w:r w:rsidRPr="00233FBF">
      <w:rPr>
        <w:rFonts w:ascii="Arial" w:hAnsi="Arial" w:cs="Arial"/>
        <w:i/>
        <w:iCs/>
        <w:sz w:val="16"/>
        <w:szCs w:val="16"/>
        <w:lang w:val="el-GR"/>
      </w:rPr>
      <w:t>Διεύθυνση: Μιχα</w:t>
    </w:r>
    <w:r w:rsidR="00FD5B5F">
      <w:rPr>
        <w:rFonts w:ascii="Arial" w:hAnsi="Arial" w:cs="Arial"/>
        <w:i/>
        <w:iCs/>
        <w:sz w:val="16"/>
        <w:szCs w:val="16"/>
        <w:lang w:val="el-GR"/>
      </w:rPr>
      <w:t>ήλ</w:t>
    </w:r>
    <w:r w:rsidRPr="00233FBF">
      <w:rPr>
        <w:rFonts w:ascii="Arial" w:hAnsi="Arial" w:cs="Arial"/>
        <w:i/>
        <w:iCs/>
        <w:sz w:val="16"/>
        <w:szCs w:val="16"/>
        <w:lang w:val="el-GR"/>
      </w:rPr>
      <w:t xml:space="preserve"> </w:t>
    </w:r>
    <w:proofErr w:type="spellStart"/>
    <w:r w:rsidRPr="00233FBF">
      <w:rPr>
        <w:rFonts w:ascii="Arial" w:hAnsi="Arial" w:cs="Arial"/>
        <w:i/>
        <w:iCs/>
        <w:sz w:val="16"/>
        <w:szCs w:val="16"/>
        <w:lang w:val="el-GR"/>
      </w:rPr>
      <w:t>Καραολή</w:t>
    </w:r>
    <w:proofErr w:type="spellEnd"/>
    <w:r w:rsidRPr="00233FBF">
      <w:rPr>
        <w:rFonts w:ascii="Arial" w:hAnsi="Arial" w:cs="Arial"/>
        <w:i/>
        <w:iCs/>
        <w:sz w:val="16"/>
        <w:szCs w:val="16"/>
        <w:lang w:val="el-GR"/>
      </w:rPr>
      <w:t>, 1444 Λευκωσία, Κύπρος</w:t>
    </w:r>
  </w:p>
  <w:p w14:paraId="701EBEC3" w14:textId="7390D2C8" w:rsidR="004E4F42" w:rsidRPr="00233FBF" w:rsidRDefault="004E4F42" w:rsidP="000932CF">
    <w:pPr>
      <w:pStyle w:val="Footer"/>
      <w:tabs>
        <w:tab w:val="left" w:pos="4500"/>
      </w:tabs>
      <w:jc w:val="center"/>
      <w:rPr>
        <w:rFonts w:ascii="Arial" w:hAnsi="Arial" w:cs="Arial"/>
        <w:i/>
        <w:iCs/>
        <w:sz w:val="16"/>
        <w:szCs w:val="16"/>
        <w:lang w:val="de-DE"/>
      </w:rPr>
    </w:pPr>
    <w:proofErr w:type="spellStart"/>
    <w:r w:rsidRPr="00233FBF">
      <w:rPr>
        <w:rFonts w:ascii="Arial" w:hAnsi="Arial" w:cs="Arial"/>
        <w:i/>
        <w:iCs/>
        <w:sz w:val="16"/>
        <w:szCs w:val="16"/>
        <w:lang w:val="el-GR"/>
      </w:rPr>
      <w:t>Τηλ</w:t>
    </w:r>
    <w:proofErr w:type="spellEnd"/>
    <w:r w:rsidRPr="001F4366">
      <w:rPr>
        <w:rFonts w:ascii="Arial" w:hAnsi="Arial" w:cs="Arial"/>
        <w:i/>
        <w:iCs/>
        <w:sz w:val="16"/>
        <w:szCs w:val="16"/>
      </w:rPr>
      <w:t xml:space="preserve">.:  22 602129, </w:t>
    </w:r>
    <w:r w:rsidRPr="00233FBF">
      <w:rPr>
        <w:rFonts w:ascii="Arial" w:hAnsi="Arial" w:cs="Arial"/>
        <w:i/>
        <w:iCs/>
        <w:sz w:val="16"/>
        <w:szCs w:val="16"/>
        <w:lang w:val="el-GR"/>
      </w:rPr>
      <w:t>Φαξ</w:t>
    </w:r>
    <w:r w:rsidRPr="00233FBF">
      <w:rPr>
        <w:rFonts w:ascii="Arial" w:hAnsi="Arial" w:cs="Arial"/>
        <w:i/>
        <w:iCs/>
        <w:sz w:val="16"/>
        <w:szCs w:val="16"/>
        <w:lang w:val="de-DE"/>
      </w:rPr>
      <w:t xml:space="preserve">:  22 661313, E-mail: </w:t>
    </w:r>
    <w:hyperlink r:id="rId1" w:history="1">
      <w:r w:rsidRPr="00233FBF">
        <w:rPr>
          <w:rStyle w:val="Hyperlink"/>
          <w:rFonts w:ascii="Arial" w:hAnsi="Arial" w:cs="Arial"/>
          <w:i/>
          <w:iCs/>
          <w:sz w:val="16"/>
          <w:szCs w:val="16"/>
          <w:lang w:val="de-DE"/>
        </w:rPr>
        <w:t>enquiries@cystat.mof.gov.cy</w:t>
      </w:r>
    </w:hyperlink>
    <w:r w:rsidRPr="00233FBF">
      <w:rPr>
        <w:rFonts w:ascii="Arial" w:hAnsi="Arial" w:cs="Arial"/>
        <w:i/>
        <w:iCs/>
        <w:sz w:val="16"/>
        <w:szCs w:val="16"/>
        <w:lang w:val="de-DE"/>
      </w:rPr>
      <w:t xml:space="preserve">  </w:t>
    </w:r>
  </w:p>
  <w:p w14:paraId="66893A8B" w14:textId="77777777" w:rsidR="004E4F42" w:rsidRPr="00233FBF" w:rsidRDefault="004E4F42" w:rsidP="000932CF">
    <w:pPr>
      <w:pStyle w:val="Footer"/>
      <w:tabs>
        <w:tab w:val="left" w:pos="4500"/>
      </w:tabs>
      <w:jc w:val="center"/>
      <w:rPr>
        <w:rFonts w:ascii="Arial" w:hAnsi="Arial" w:cs="Arial"/>
      </w:rPr>
    </w:pPr>
    <w:r w:rsidRPr="00233FBF">
      <w:rPr>
        <w:rFonts w:ascii="Arial" w:hAnsi="Arial" w:cs="Arial"/>
        <w:i/>
        <w:iCs/>
        <w:sz w:val="16"/>
        <w:szCs w:val="16"/>
      </w:rPr>
      <w:t xml:space="preserve">Web site: </w:t>
    </w:r>
    <w:hyperlink r:id="rId2" w:history="1">
      <w:r w:rsidRPr="00233FBF">
        <w:rPr>
          <w:rStyle w:val="Hyperlink"/>
          <w:rFonts w:ascii="Arial" w:hAnsi="Arial" w:cs="Arial"/>
          <w:i/>
          <w:iCs/>
          <w:sz w:val="16"/>
          <w:szCs w:val="16"/>
        </w:rPr>
        <w:t>http://www.cystat</w:t>
      </w:r>
      <w:r w:rsidRPr="00233FBF">
        <w:rPr>
          <w:rStyle w:val="Hyperlink"/>
          <w:rFonts w:ascii="Arial" w:hAnsi="Arial" w:cs="Arial"/>
          <w:i/>
          <w:iCs/>
          <w:sz w:val="16"/>
          <w:szCs w:val="16"/>
          <w:lang w:val="en-GB"/>
        </w:rPr>
        <w:t>.</w:t>
      </w:r>
      <w:r w:rsidRPr="00233FBF">
        <w:rPr>
          <w:rStyle w:val="Hyperlink"/>
          <w:rFonts w:ascii="Arial" w:hAnsi="Arial" w:cs="Arial"/>
          <w:i/>
          <w:iCs/>
          <w:sz w:val="16"/>
          <w:szCs w:val="16"/>
        </w:rPr>
        <w:t>gov.cy</w:t>
      </w:r>
    </w:hyperlink>
    <w:r w:rsidRPr="00233FBF">
      <w:rPr>
        <w:rFonts w:ascii="Arial" w:hAnsi="Arial" w:cs="Arial"/>
        <w:i/>
        <w:iCs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94BC9" w14:textId="77777777" w:rsidR="00E11323" w:rsidRDefault="00E11323" w:rsidP="00FB398F">
      <w:r>
        <w:separator/>
      </w:r>
    </w:p>
  </w:footnote>
  <w:footnote w:type="continuationSeparator" w:id="0">
    <w:p w14:paraId="72175398" w14:textId="77777777" w:rsidR="00E11323" w:rsidRDefault="00E11323" w:rsidP="00FB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2C9C0" w14:textId="77777777" w:rsidR="004E4F42" w:rsidRPr="00AC704B" w:rsidRDefault="004E4F42" w:rsidP="001C0681">
    <w:pPr>
      <w:pStyle w:val="Header"/>
      <w:tabs>
        <w:tab w:val="clear" w:pos="4153"/>
        <w:tab w:val="clear" w:pos="8306"/>
        <w:tab w:val="left" w:pos="274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Cs/>
        <w:sz w:val="20"/>
        <w:szCs w:val="20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AF2EC" w14:textId="13591C2C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left="-284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 wp14:anchorId="3290AC8A" wp14:editId="7DB4922F">
          <wp:simplePos x="0" y="0"/>
          <wp:positionH relativeFrom="column">
            <wp:posOffset>523875</wp:posOffset>
          </wp:positionH>
          <wp:positionV relativeFrom="paragraph">
            <wp:posOffset>168910</wp:posOffset>
          </wp:positionV>
          <wp:extent cx="676275" cy="676275"/>
          <wp:effectExtent l="0" t="0" r="0" b="0"/>
          <wp:wrapNone/>
          <wp:docPr id="5" name="Picture 4" descr="£Àƒ∂√™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£Àƒ∂√™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Cs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3809BD" wp14:editId="5EF28F37">
              <wp:simplePos x="0" y="0"/>
              <wp:positionH relativeFrom="column">
                <wp:posOffset>4772660</wp:posOffset>
              </wp:positionH>
              <wp:positionV relativeFrom="paragraph">
                <wp:posOffset>-69215</wp:posOffset>
              </wp:positionV>
              <wp:extent cx="1287780" cy="1047750"/>
              <wp:effectExtent l="0" t="0" r="8255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1047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1D6F2" w14:textId="78D732FF" w:rsidR="004E4F42" w:rsidRDefault="001712CF" w:rsidP="000932CF">
                          <w:r w:rsidRPr="00B96284">
                            <w:rPr>
                              <w:noProof/>
                            </w:rPr>
                            <w:drawing>
                              <wp:inline distT="0" distB="0" distL="0" distR="0" wp14:anchorId="39104761" wp14:editId="2EE741E1">
                                <wp:extent cx="1095375" cy="790575"/>
                                <wp:effectExtent l="0" t="0" r="0" b="0"/>
                                <wp:docPr id="6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5375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3809B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375.8pt;margin-top:-5.45pt;width:101.4pt;height:82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" strokecolor="white">
              <v:textbox>
                <w:txbxContent>
                  <w:p w14:paraId="4991D6F2" w14:textId="78D732FF" w:rsidR="004E4F42" w:rsidRDefault="001712CF" w:rsidP="000932CF">
                    <w:r w:rsidRPr="00B96284">
                      <w:rPr>
                        <w:noProof/>
                      </w:rPr>
                      <w:drawing>
                        <wp:inline distT="0" distB="0" distL="0" distR="0" wp14:anchorId="39104761" wp14:editId="2EE741E1">
                          <wp:extent cx="1095375" cy="790575"/>
                          <wp:effectExtent l="0" t="0" r="0" b="0"/>
                          <wp:docPr id="6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95375" cy="790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Cs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DA8F2C" wp14:editId="2000D464">
              <wp:simplePos x="0" y="0"/>
              <wp:positionH relativeFrom="column">
                <wp:posOffset>3439160</wp:posOffset>
              </wp:positionH>
              <wp:positionV relativeFrom="paragraph">
                <wp:posOffset>-221615</wp:posOffset>
              </wp:positionV>
              <wp:extent cx="1468755" cy="1200150"/>
              <wp:effectExtent l="0" t="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8755" cy="1200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6EEE85" w14:textId="3B17AE7F" w:rsidR="004E4F42" w:rsidRDefault="001712CF" w:rsidP="000932CF">
                          <w:r w:rsidRPr="00B96284">
                            <w:rPr>
                              <w:noProof/>
                            </w:rPr>
                            <w:drawing>
                              <wp:inline distT="0" distB="0" distL="0" distR="0" wp14:anchorId="408F2A7B" wp14:editId="1D17F4D1">
                                <wp:extent cx="1276350" cy="1009650"/>
                                <wp:effectExtent l="0" t="0" r="0" b="0"/>
                                <wp:docPr id="4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76350" cy="1009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A8F2C" id="Text Box 15" o:spid="_x0000_s1027" type="#_x0000_t202" style="position:absolute;left:0;text-align:left;margin-left:270.8pt;margin-top:-17.45pt;width:115.65pt;height:94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" strokecolor="white">
              <v:textbox>
                <w:txbxContent>
                  <w:p w14:paraId="616EEE85" w14:textId="3B17AE7F" w:rsidR="004E4F42" w:rsidRDefault="001712CF" w:rsidP="000932CF">
                    <w:r w:rsidRPr="00B96284">
                      <w:rPr>
                        <w:noProof/>
                      </w:rPr>
                      <w:drawing>
                        <wp:inline distT="0" distB="0" distL="0" distR="0" wp14:anchorId="408F2A7B" wp14:editId="1D17F4D1">
                          <wp:extent cx="1276350" cy="1009650"/>
                          <wp:effectExtent l="0" t="0" r="0" b="0"/>
                          <wp:docPr id="4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76350" cy="1009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75607B8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left" w:pos="6315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</w:p>
  <w:p w14:paraId="3A7322B1" w14:textId="77777777" w:rsidR="004E4F42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right="-716"/>
      <w:rPr>
        <w:rFonts w:ascii="Arial" w:hAnsi="Arial" w:cs="Arial"/>
        <w:bCs/>
        <w:sz w:val="18"/>
        <w:szCs w:val="18"/>
      </w:rPr>
    </w:pPr>
  </w:p>
  <w:p w14:paraId="6E06BC16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center" w:pos="4581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</w:p>
  <w:p w14:paraId="136A8564" w14:textId="2A169524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18"/>
        <w:szCs w:val="18"/>
      </w:rPr>
    </w:pPr>
    <w:r w:rsidRPr="00D14CDF">
      <w:rPr>
        <w:rFonts w:ascii="Arial" w:hAnsi="Arial" w:cs="Arial"/>
        <w:b/>
        <w:bCs/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35A09" wp14:editId="52949B4C">
              <wp:simplePos x="0" y="0"/>
              <wp:positionH relativeFrom="column">
                <wp:posOffset>4159250</wp:posOffset>
              </wp:positionH>
              <wp:positionV relativeFrom="paragraph">
                <wp:posOffset>104140</wp:posOffset>
              </wp:positionV>
              <wp:extent cx="1828800" cy="438150"/>
              <wp:effectExtent l="0" t="0" r="0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F9DD1" w14:textId="77777777" w:rsidR="004E4F42" w:rsidRDefault="004E4F42" w:rsidP="000932CF">
                          <w:pPr>
                            <w:spacing w:after="120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EF0360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ΣΤΑΤΙΣΤΙΚΗ</w:t>
                          </w:r>
                          <w:r w:rsidRPr="00AC704B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F0360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ΥΠΗΡΕΣΙΑ</w:t>
                          </w:r>
                          <w:r w:rsidRPr="00BA5A5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7F363AC1" w14:textId="77777777" w:rsidR="004E4F42" w:rsidRPr="00BA5A5E" w:rsidRDefault="004E4F42" w:rsidP="000932C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AC704B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  <w:t xml:space="preserve">1444 </w:t>
                          </w:r>
                          <w:r w:rsidRPr="00EF0360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  <w:t>ΛΕΥΚΩΣΙΑ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35A09" id="Text Box 16" o:spid="_x0000_s1028" type="#_x0000_t202" style="position:absolute;margin-left:327.5pt;margin-top:8.2pt;width:2in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" stroked="f">
              <v:textbox>
                <w:txbxContent>
                  <w:p w14:paraId="505F9DD1" w14:textId="77777777" w:rsidR="004E4F42" w:rsidRDefault="004E4F42" w:rsidP="000932CF">
                    <w:pPr>
                      <w:spacing w:after="120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EF0360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ΣΤΑΤΙΣΤΙΚΗ</w:t>
                    </w:r>
                    <w:r w:rsidRPr="00AC704B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EF0360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ΥΠΗΡΕΣΙΑ</w:t>
                    </w:r>
                    <w:r w:rsidRPr="00BA5A5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</w:p>
                  <w:p w14:paraId="7F363AC1" w14:textId="77777777" w:rsidR="004E4F42" w:rsidRPr="00BA5A5E" w:rsidRDefault="004E4F42" w:rsidP="000932CF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AC704B"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 xml:space="preserve">1444 </w:t>
                    </w:r>
                    <w:r w:rsidRPr="00EF0360"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>ΛΕΥΚΩΣΙΑ</w:t>
                    </w:r>
                  </w:p>
                </w:txbxContent>
              </v:textbox>
            </v:shape>
          </w:pict>
        </mc:Fallback>
      </mc:AlternateContent>
    </w:r>
  </w:p>
  <w:p w14:paraId="788C084B" w14:textId="77777777" w:rsidR="004E4F42" w:rsidRPr="00AC704B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 w:rsidRPr="00AC704B">
      <w:rPr>
        <w:rFonts w:ascii="Arial" w:hAnsi="Arial" w:cs="Arial"/>
        <w:bCs/>
        <w:sz w:val="18"/>
        <w:szCs w:val="18"/>
        <w:lang w:val="en-US"/>
      </w:rPr>
      <w:t xml:space="preserve">     </w:t>
    </w:r>
    <w:r>
      <w:rPr>
        <w:rFonts w:ascii="Arial" w:hAnsi="Arial" w:cs="Arial"/>
        <w:bCs/>
        <w:sz w:val="18"/>
        <w:szCs w:val="18"/>
        <w:lang w:val="en-US"/>
      </w:rPr>
      <w:t xml:space="preserve">   </w:t>
    </w:r>
    <w:r w:rsidRPr="00EF0360">
      <w:rPr>
        <w:rFonts w:ascii="Arial" w:hAnsi="Arial" w:cs="Arial"/>
        <w:bCs/>
        <w:sz w:val="18"/>
        <w:szCs w:val="18"/>
      </w:rPr>
      <w:t>ΚΥΠΡΙΑΚΗ ΔΗΜΟΚΡΑΤΙΑ</w:t>
    </w:r>
    <w:r w:rsidRPr="00AC704B">
      <w:rPr>
        <w:b/>
        <w:bCs/>
        <w:sz w:val="20"/>
        <w:szCs w:val="20"/>
        <w:lang w:val="en-US"/>
      </w:rPr>
      <w:t xml:space="preserve"> </w:t>
    </w:r>
    <w:r w:rsidRPr="00AC704B">
      <w:rPr>
        <w:b/>
        <w:bCs/>
        <w:sz w:val="20"/>
        <w:szCs w:val="20"/>
        <w:lang w:val="en-US"/>
      </w:rPr>
      <w:tab/>
    </w:r>
  </w:p>
  <w:p w14:paraId="2F272394" w14:textId="54F770FF" w:rsidR="004E4F42" w:rsidRPr="00AC704B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/>
        <w:bCs/>
        <w:sz w:val="20"/>
        <w:szCs w:val="20"/>
        <w:lang w:val="en-US"/>
      </w:rPr>
      <w:t xml:space="preserve">  </w:t>
    </w:r>
    <w:r w:rsidRPr="00AC704B">
      <w:rPr>
        <w:rFonts w:ascii="Arial" w:hAnsi="Arial" w:cs="Arial"/>
        <w:b/>
        <w:bCs/>
        <w:sz w:val="22"/>
        <w:szCs w:val="22"/>
        <w:lang w:val="en-US"/>
      </w:rPr>
      <w:tab/>
    </w:r>
    <w:r w:rsidRPr="00AC704B">
      <w:rPr>
        <w:b/>
        <w:bCs/>
        <w:sz w:val="22"/>
        <w:szCs w:val="22"/>
        <w:lang w:val="en-US"/>
      </w:rPr>
      <w:tab/>
    </w:r>
  </w:p>
  <w:p w14:paraId="0B8CA1D6" w14:textId="77777777" w:rsidR="004E4F42" w:rsidRDefault="004E4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48ED"/>
    <w:multiLevelType w:val="hybridMultilevel"/>
    <w:tmpl w:val="9FA888A0"/>
    <w:lvl w:ilvl="0" w:tplc="5DDA0D68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379"/>
    <w:multiLevelType w:val="hybridMultilevel"/>
    <w:tmpl w:val="38CEA68C"/>
    <w:lvl w:ilvl="0" w:tplc="7F94C544">
      <w:numFmt w:val="bullet"/>
      <w:lvlText w:val=""/>
      <w:lvlJc w:val="left"/>
      <w:pPr>
        <w:ind w:left="720" w:hanging="360"/>
      </w:pPr>
      <w:rPr>
        <w:rFonts w:ascii="Symbol" w:eastAsia="Malgun Gothic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6B1A"/>
    <w:multiLevelType w:val="hybridMultilevel"/>
    <w:tmpl w:val="2478907C"/>
    <w:lvl w:ilvl="0" w:tplc="FFFFFFFF">
      <w:start w:val="1"/>
      <w:numFmt w:val="bullet"/>
      <w:lvlText w:val=""/>
      <w:lvlJc w:val="left"/>
      <w:pPr>
        <w:tabs>
          <w:tab w:val="num" w:pos="1154"/>
        </w:tabs>
        <w:ind w:left="1134" w:hanging="3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2C00"/>
    <w:multiLevelType w:val="hybridMultilevel"/>
    <w:tmpl w:val="88B86D20"/>
    <w:lvl w:ilvl="0" w:tplc="73D06E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5446E9"/>
    <w:multiLevelType w:val="hybridMultilevel"/>
    <w:tmpl w:val="5C92E5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E0A0ACC"/>
    <w:multiLevelType w:val="hybridMultilevel"/>
    <w:tmpl w:val="CC22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858"/>
    <w:multiLevelType w:val="hybridMultilevel"/>
    <w:tmpl w:val="5FE65C88"/>
    <w:lvl w:ilvl="0" w:tplc="D786DB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4D102E"/>
    <w:multiLevelType w:val="hybridMultilevel"/>
    <w:tmpl w:val="9C74758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817536">
    <w:abstractNumId w:val="6"/>
  </w:num>
  <w:num w:numId="2" w16cid:durableId="395976286">
    <w:abstractNumId w:val="3"/>
  </w:num>
  <w:num w:numId="3" w16cid:durableId="69277100">
    <w:abstractNumId w:val="4"/>
  </w:num>
  <w:num w:numId="4" w16cid:durableId="734089420">
    <w:abstractNumId w:val="5"/>
  </w:num>
  <w:num w:numId="5" w16cid:durableId="33118843">
    <w:abstractNumId w:val="2"/>
  </w:num>
  <w:num w:numId="6" w16cid:durableId="1167207874">
    <w:abstractNumId w:val="7"/>
  </w:num>
  <w:num w:numId="7" w16cid:durableId="206381341">
    <w:abstractNumId w:val="0"/>
  </w:num>
  <w:num w:numId="8" w16cid:durableId="175022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8F"/>
    <w:rsid w:val="000018D0"/>
    <w:rsid w:val="00002458"/>
    <w:rsid w:val="0000542E"/>
    <w:rsid w:val="0000572F"/>
    <w:rsid w:val="00013AF3"/>
    <w:rsid w:val="00013E40"/>
    <w:rsid w:val="000161B1"/>
    <w:rsid w:val="00023312"/>
    <w:rsid w:val="0002394B"/>
    <w:rsid w:val="00023CEB"/>
    <w:rsid w:val="00025498"/>
    <w:rsid w:val="00025A39"/>
    <w:rsid w:val="00026B18"/>
    <w:rsid w:val="00027853"/>
    <w:rsid w:val="00030E18"/>
    <w:rsid w:val="00031D32"/>
    <w:rsid w:val="000323E4"/>
    <w:rsid w:val="00034088"/>
    <w:rsid w:val="0003590E"/>
    <w:rsid w:val="0003603D"/>
    <w:rsid w:val="00037999"/>
    <w:rsid w:val="00040319"/>
    <w:rsid w:val="00042925"/>
    <w:rsid w:val="000446A6"/>
    <w:rsid w:val="00045088"/>
    <w:rsid w:val="00045A06"/>
    <w:rsid w:val="00050391"/>
    <w:rsid w:val="00051603"/>
    <w:rsid w:val="00055291"/>
    <w:rsid w:val="000563D3"/>
    <w:rsid w:val="00057E44"/>
    <w:rsid w:val="00061299"/>
    <w:rsid w:val="0006192B"/>
    <w:rsid w:val="000623EA"/>
    <w:rsid w:val="00062BC7"/>
    <w:rsid w:val="0006328F"/>
    <w:rsid w:val="00070576"/>
    <w:rsid w:val="00071169"/>
    <w:rsid w:val="00075278"/>
    <w:rsid w:val="000752BB"/>
    <w:rsid w:val="0007536D"/>
    <w:rsid w:val="00075B75"/>
    <w:rsid w:val="00076629"/>
    <w:rsid w:val="00081ADF"/>
    <w:rsid w:val="00082072"/>
    <w:rsid w:val="00082B42"/>
    <w:rsid w:val="0008371A"/>
    <w:rsid w:val="00083B45"/>
    <w:rsid w:val="00084A02"/>
    <w:rsid w:val="00084BF7"/>
    <w:rsid w:val="000870E9"/>
    <w:rsid w:val="0008778C"/>
    <w:rsid w:val="00087B3C"/>
    <w:rsid w:val="00091CF5"/>
    <w:rsid w:val="000932CF"/>
    <w:rsid w:val="00096ED8"/>
    <w:rsid w:val="000A1A88"/>
    <w:rsid w:val="000A2B5C"/>
    <w:rsid w:val="000A3601"/>
    <w:rsid w:val="000A50D8"/>
    <w:rsid w:val="000A6747"/>
    <w:rsid w:val="000A6FA8"/>
    <w:rsid w:val="000B4BEA"/>
    <w:rsid w:val="000B5FF1"/>
    <w:rsid w:val="000C1070"/>
    <w:rsid w:val="000C44D1"/>
    <w:rsid w:val="000C4E72"/>
    <w:rsid w:val="000C5D92"/>
    <w:rsid w:val="000C74FC"/>
    <w:rsid w:val="000D04BB"/>
    <w:rsid w:val="000D11C6"/>
    <w:rsid w:val="000D1E7A"/>
    <w:rsid w:val="000E027A"/>
    <w:rsid w:val="000E24B1"/>
    <w:rsid w:val="000E2735"/>
    <w:rsid w:val="000E32D6"/>
    <w:rsid w:val="000E4932"/>
    <w:rsid w:val="000E4CB0"/>
    <w:rsid w:val="000E57F2"/>
    <w:rsid w:val="000E5D96"/>
    <w:rsid w:val="000E72A7"/>
    <w:rsid w:val="000F1162"/>
    <w:rsid w:val="000F3467"/>
    <w:rsid w:val="000F38DE"/>
    <w:rsid w:val="000F448C"/>
    <w:rsid w:val="000F4BC8"/>
    <w:rsid w:val="000F532A"/>
    <w:rsid w:val="000F5D6C"/>
    <w:rsid w:val="00102921"/>
    <w:rsid w:val="0010612E"/>
    <w:rsid w:val="00106852"/>
    <w:rsid w:val="001079D8"/>
    <w:rsid w:val="00110F9D"/>
    <w:rsid w:val="00114A67"/>
    <w:rsid w:val="00117099"/>
    <w:rsid w:val="00123DE8"/>
    <w:rsid w:val="001253B6"/>
    <w:rsid w:val="001262C3"/>
    <w:rsid w:val="00127320"/>
    <w:rsid w:val="00127456"/>
    <w:rsid w:val="00130726"/>
    <w:rsid w:val="00131127"/>
    <w:rsid w:val="001312D8"/>
    <w:rsid w:val="0013137B"/>
    <w:rsid w:val="00132903"/>
    <w:rsid w:val="001348EF"/>
    <w:rsid w:val="0013531A"/>
    <w:rsid w:val="00147887"/>
    <w:rsid w:val="0015118B"/>
    <w:rsid w:val="001519CE"/>
    <w:rsid w:val="00160D4C"/>
    <w:rsid w:val="0016172E"/>
    <w:rsid w:val="00161CF3"/>
    <w:rsid w:val="00162C00"/>
    <w:rsid w:val="001639EF"/>
    <w:rsid w:val="0016589F"/>
    <w:rsid w:val="001708CE"/>
    <w:rsid w:val="001712CF"/>
    <w:rsid w:val="00175D28"/>
    <w:rsid w:val="0017769A"/>
    <w:rsid w:val="00183A01"/>
    <w:rsid w:val="00183DFC"/>
    <w:rsid w:val="00184384"/>
    <w:rsid w:val="001849D2"/>
    <w:rsid w:val="00185FEE"/>
    <w:rsid w:val="00186717"/>
    <w:rsid w:val="00187FFC"/>
    <w:rsid w:val="0019391C"/>
    <w:rsid w:val="00194CF2"/>
    <w:rsid w:val="00195540"/>
    <w:rsid w:val="00196A7C"/>
    <w:rsid w:val="001A2018"/>
    <w:rsid w:val="001A48A9"/>
    <w:rsid w:val="001A62A9"/>
    <w:rsid w:val="001A7649"/>
    <w:rsid w:val="001A794F"/>
    <w:rsid w:val="001B0EBF"/>
    <w:rsid w:val="001B1006"/>
    <w:rsid w:val="001B2C39"/>
    <w:rsid w:val="001B3675"/>
    <w:rsid w:val="001B43BE"/>
    <w:rsid w:val="001B451E"/>
    <w:rsid w:val="001B5E10"/>
    <w:rsid w:val="001B6AB3"/>
    <w:rsid w:val="001B73D5"/>
    <w:rsid w:val="001C0681"/>
    <w:rsid w:val="001C0F5E"/>
    <w:rsid w:val="001C2119"/>
    <w:rsid w:val="001C3B14"/>
    <w:rsid w:val="001C484F"/>
    <w:rsid w:val="001C528B"/>
    <w:rsid w:val="001C62B3"/>
    <w:rsid w:val="001C7C8C"/>
    <w:rsid w:val="001D0D6A"/>
    <w:rsid w:val="001D20A4"/>
    <w:rsid w:val="001D3C3A"/>
    <w:rsid w:val="001D4E16"/>
    <w:rsid w:val="001D613C"/>
    <w:rsid w:val="001E00D1"/>
    <w:rsid w:val="001E0E58"/>
    <w:rsid w:val="001E14F3"/>
    <w:rsid w:val="001E15ED"/>
    <w:rsid w:val="001E31B3"/>
    <w:rsid w:val="001E61AA"/>
    <w:rsid w:val="001E6DD7"/>
    <w:rsid w:val="001E73D7"/>
    <w:rsid w:val="001F2779"/>
    <w:rsid w:val="001F4366"/>
    <w:rsid w:val="0020309E"/>
    <w:rsid w:val="0020687D"/>
    <w:rsid w:val="0020742D"/>
    <w:rsid w:val="00210424"/>
    <w:rsid w:val="00210B58"/>
    <w:rsid w:val="002160C6"/>
    <w:rsid w:val="00216205"/>
    <w:rsid w:val="002179A1"/>
    <w:rsid w:val="00222423"/>
    <w:rsid w:val="00223AEE"/>
    <w:rsid w:val="00225B28"/>
    <w:rsid w:val="00226891"/>
    <w:rsid w:val="00226B6C"/>
    <w:rsid w:val="00230D9B"/>
    <w:rsid w:val="002313AC"/>
    <w:rsid w:val="00231C0F"/>
    <w:rsid w:val="00233AD2"/>
    <w:rsid w:val="00233AD8"/>
    <w:rsid w:val="00233B46"/>
    <w:rsid w:val="002347EE"/>
    <w:rsid w:val="00235014"/>
    <w:rsid w:val="00235FB2"/>
    <w:rsid w:val="00237BC1"/>
    <w:rsid w:val="0024026B"/>
    <w:rsid w:val="002404FE"/>
    <w:rsid w:val="002430B4"/>
    <w:rsid w:val="002447D0"/>
    <w:rsid w:val="002454C5"/>
    <w:rsid w:val="00245E19"/>
    <w:rsid w:val="00246AEB"/>
    <w:rsid w:val="00250005"/>
    <w:rsid w:val="00250774"/>
    <w:rsid w:val="002510A6"/>
    <w:rsid w:val="00251CAB"/>
    <w:rsid w:val="0025254F"/>
    <w:rsid w:val="0025560F"/>
    <w:rsid w:val="0025566D"/>
    <w:rsid w:val="002558D3"/>
    <w:rsid w:val="0025595C"/>
    <w:rsid w:val="0025622C"/>
    <w:rsid w:val="002567C4"/>
    <w:rsid w:val="00257149"/>
    <w:rsid w:val="002576E7"/>
    <w:rsid w:val="00260357"/>
    <w:rsid w:val="00260410"/>
    <w:rsid w:val="002633F9"/>
    <w:rsid w:val="00264413"/>
    <w:rsid w:val="00264F04"/>
    <w:rsid w:val="00266F1F"/>
    <w:rsid w:val="00267554"/>
    <w:rsid w:val="0027291A"/>
    <w:rsid w:val="002732AD"/>
    <w:rsid w:val="002738C2"/>
    <w:rsid w:val="002743F0"/>
    <w:rsid w:val="002754E9"/>
    <w:rsid w:val="002809B9"/>
    <w:rsid w:val="00281B90"/>
    <w:rsid w:val="0028338F"/>
    <w:rsid w:val="002915C4"/>
    <w:rsid w:val="00297E6B"/>
    <w:rsid w:val="002A1D1C"/>
    <w:rsid w:val="002A28D1"/>
    <w:rsid w:val="002A4D64"/>
    <w:rsid w:val="002A7893"/>
    <w:rsid w:val="002B03CE"/>
    <w:rsid w:val="002B0C0E"/>
    <w:rsid w:val="002B34BE"/>
    <w:rsid w:val="002B3BB5"/>
    <w:rsid w:val="002B4969"/>
    <w:rsid w:val="002B6554"/>
    <w:rsid w:val="002B7065"/>
    <w:rsid w:val="002C4323"/>
    <w:rsid w:val="002C6C81"/>
    <w:rsid w:val="002C79BD"/>
    <w:rsid w:val="002D05F0"/>
    <w:rsid w:val="002D119D"/>
    <w:rsid w:val="002D270A"/>
    <w:rsid w:val="002D2829"/>
    <w:rsid w:val="002D32FA"/>
    <w:rsid w:val="002D7D4A"/>
    <w:rsid w:val="002E3846"/>
    <w:rsid w:val="002E3F78"/>
    <w:rsid w:val="002F400C"/>
    <w:rsid w:val="002F4D76"/>
    <w:rsid w:val="002F5806"/>
    <w:rsid w:val="002F6D26"/>
    <w:rsid w:val="0030107C"/>
    <w:rsid w:val="0030231E"/>
    <w:rsid w:val="003042C4"/>
    <w:rsid w:val="00304CB4"/>
    <w:rsid w:val="00304D9F"/>
    <w:rsid w:val="00305B05"/>
    <w:rsid w:val="00305D99"/>
    <w:rsid w:val="00306076"/>
    <w:rsid w:val="00313F37"/>
    <w:rsid w:val="003141D0"/>
    <w:rsid w:val="003145E8"/>
    <w:rsid w:val="003149D9"/>
    <w:rsid w:val="00315D54"/>
    <w:rsid w:val="003168C1"/>
    <w:rsid w:val="00317671"/>
    <w:rsid w:val="00322EC7"/>
    <w:rsid w:val="00322FBE"/>
    <w:rsid w:val="00325632"/>
    <w:rsid w:val="00327549"/>
    <w:rsid w:val="00327654"/>
    <w:rsid w:val="003342A5"/>
    <w:rsid w:val="00334616"/>
    <w:rsid w:val="00336C36"/>
    <w:rsid w:val="0034293A"/>
    <w:rsid w:val="00343815"/>
    <w:rsid w:val="00344666"/>
    <w:rsid w:val="0034705B"/>
    <w:rsid w:val="00347874"/>
    <w:rsid w:val="003478C2"/>
    <w:rsid w:val="003522BB"/>
    <w:rsid w:val="00352F6C"/>
    <w:rsid w:val="003556EA"/>
    <w:rsid w:val="00355D6D"/>
    <w:rsid w:val="00356FCC"/>
    <w:rsid w:val="003570D2"/>
    <w:rsid w:val="003600FA"/>
    <w:rsid w:val="00360B5F"/>
    <w:rsid w:val="00364682"/>
    <w:rsid w:val="003652ED"/>
    <w:rsid w:val="00365488"/>
    <w:rsid w:val="0037080F"/>
    <w:rsid w:val="00370C47"/>
    <w:rsid w:val="00380663"/>
    <w:rsid w:val="00382E07"/>
    <w:rsid w:val="00386FC7"/>
    <w:rsid w:val="00390A32"/>
    <w:rsid w:val="00394E48"/>
    <w:rsid w:val="003955EC"/>
    <w:rsid w:val="003968D1"/>
    <w:rsid w:val="003A0174"/>
    <w:rsid w:val="003A1153"/>
    <w:rsid w:val="003A1E91"/>
    <w:rsid w:val="003A1FE9"/>
    <w:rsid w:val="003A38E9"/>
    <w:rsid w:val="003A40F2"/>
    <w:rsid w:val="003A50D1"/>
    <w:rsid w:val="003B196D"/>
    <w:rsid w:val="003B2710"/>
    <w:rsid w:val="003B2CC6"/>
    <w:rsid w:val="003B2EDB"/>
    <w:rsid w:val="003B4608"/>
    <w:rsid w:val="003C2392"/>
    <w:rsid w:val="003C3B5F"/>
    <w:rsid w:val="003C5174"/>
    <w:rsid w:val="003C5240"/>
    <w:rsid w:val="003C63F9"/>
    <w:rsid w:val="003C76E6"/>
    <w:rsid w:val="003C7AF2"/>
    <w:rsid w:val="003D1226"/>
    <w:rsid w:val="003D14E0"/>
    <w:rsid w:val="003D1843"/>
    <w:rsid w:val="003D1EA5"/>
    <w:rsid w:val="003D3348"/>
    <w:rsid w:val="003D3F7C"/>
    <w:rsid w:val="003D4E63"/>
    <w:rsid w:val="003D587B"/>
    <w:rsid w:val="003D604F"/>
    <w:rsid w:val="003D6822"/>
    <w:rsid w:val="003D724C"/>
    <w:rsid w:val="003E0CE2"/>
    <w:rsid w:val="003E1F23"/>
    <w:rsid w:val="003E510D"/>
    <w:rsid w:val="003E623B"/>
    <w:rsid w:val="003F28F9"/>
    <w:rsid w:val="003F49E4"/>
    <w:rsid w:val="003F4CB3"/>
    <w:rsid w:val="003F4D2F"/>
    <w:rsid w:val="003F5E32"/>
    <w:rsid w:val="003F75F6"/>
    <w:rsid w:val="00404670"/>
    <w:rsid w:val="00405220"/>
    <w:rsid w:val="00410B86"/>
    <w:rsid w:val="00414CA0"/>
    <w:rsid w:val="004164A3"/>
    <w:rsid w:val="00422F54"/>
    <w:rsid w:val="00426606"/>
    <w:rsid w:val="004278F5"/>
    <w:rsid w:val="0043001A"/>
    <w:rsid w:val="00431516"/>
    <w:rsid w:val="00436099"/>
    <w:rsid w:val="004361B3"/>
    <w:rsid w:val="0044249D"/>
    <w:rsid w:val="0044379F"/>
    <w:rsid w:val="00444FCC"/>
    <w:rsid w:val="00446FB1"/>
    <w:rsid w:val="00452753"/>
    <w:rsid w:val="00452DF7"/>
    <w:rsid w:val="00453E42"/>
    <w:rsid w:val="00455525"/>
    <w:rsid w:val="0046078F"/>
    <w:rsid w:val="00463214"/>
    <w:rsid w:val="0046434D"/>
    <w:rsid w:val="004656FA"/>
    <w:rsid w:val="00465B21"/>
    <w:rsid w:val="004677C3"/>
    <w:rsid w:val="00467D59"/>
    <w:rsid w:val="00470E2D"/>
    <w:rsid w:val="00470F4C"/>
    <w:rsid w:val="00471D77"/>
    <w:rsid w:val="00474265"/>
    <w:rsid w:val="0047491B"/>
    <w:rsid w:val="00474BD1"/>
    <w:rsid w:val="00475587"/>
    <w:rsid w:val="00477492"/>
    <w:rsid w:val="00480BC2"/>
    <w:rsid w:val="004845C3"/>
    <w:rsid w:val="00484BE8"/>
    <w:rsid w:val="0049028C"/>
    <w:rsid w:val="004920B1"/>
    <w:rsid w:val="004929C2"/>
    <w:rsid w:val="00493FDD"/>
    <w:rsid w:val="0049586B"/>
    <w:rsid w:val="004A11EF"/>
    <w:rsid w:val="004A2850"/>
    <w:rsid w:val="004A3E44"/>
    <w:rsid w:val="004A5205"/>
    <w:rsid w:val="004A7117"/>
    <w:rsid w:val="004B1104"/>
    <w:rsid w:val="004B2018"/>
    <w:rsid w:val="004B286D"/>
    <w:rsid w:val="004B2896"/>
    <w:rsid w:val="004B38E9"/>
    <w:rsid w:val="004B3FBA"/>
    <w:rsid w:val="004B5321"/>
    <w:rsid w:val="004B6599"/>
    <w:rsid w:val="004C2058"/>
    <w:rsid w:val="004C6ABF"/>
    <w:rsid w:val="004C6CA7"/>
    <w:rsid w:val="004D2A0C"/>
    <w:rsid w:val="004D4357"/>
    <w:rsid w:val="004D4950"/>
    <w:rsid w:val="004D55F1"/>
    <w:rsid w:val="004D63EC"/>
    <w:rsid w:val="004D783D"/>
    <w:rsid w:val="004E0451"/>
    <w:rsid w:val="004E0E78"/>
    <w:rsid w:val="004E1A86"/>
    <w:rsid w:val="004E2393"/>
    <w:rsid w:val="004E3745"/>
    <w:rsid w:val="004E3D7E"/>
    <w:rsid w:val="004E42BE"/>
    <w:rsid w:val="004E4F42"/>
    <w:rsid w:val="004E63D5"/>
    <w:rsid w:val="004F03FD"/>
    <w:rsid w:val="004F52F0"/>
    <w:rsid w:val="004F57F2"/>
    <w:rsid w:val="004F6250"/>
    <w:rsid w:val="004F677C"/>
    <w:rsid w:val="004F6D8F"/>
    <w:rsid w:val="0050077D"/>
    <w:rsid w:val="00505503"/>
    <w:rsid w:val="00510BA3"/>
    <w:rsid w:val="0051107B"/>
    <w:rsid w:val="00512F9C"/>
    <w:rsid w:val="005137BD"/>
    <w:rsid w:val="00527CDB"/>
    <w:rsid w:val="00530D25"/>
    <w:rsid w:val="00530D3A"/>
    <w:rsid w:val="005339AA"/>
    <w:rsid w:val="005341C9"/>
    <w:rsid w:val="00535337"/>
    <w:rsid w:val="005369CA"/>
    <w:rsid w:val="00536DE9"/>
    <w:rsid w:val="00541DEB"/>
    <w:rsid w:val="00541E08"/>
    <w:rsid w:val="00542330"/>
    <w:rsid w:val="00543942"/>
    <w:rsid w:val="00543F41"/>
    <w:rsid w:val="00554FE0"/>
    <w:rsid w:val="00556FD9"/>
    <w:rsid w:val="0055789A"/>
    <w:rsid w:val="00560952"/>
    <w:rsid w:val="00562EB0"/>
    <w:rsid w:val="005643A4"/>
    <w:rsid w:val="005652D1"/>
    <w:rsid w:val="005660A0"/>
    <w:rsid w:val="00566A4F"/>
    <w:rsid w:val="0056743D"/>
    <w:rsid w:val="00567D64"/>
    <w:rsid w:val="005721AA"/>
    <w:rsid w:val="005727E1"/>
    <w:rsid w:val="005808AB"/>
    <w:rsid w:val="00582855"/>
    <w:rsid w:val="00582C86"/>
    <w:rsid w:val="0059136C"/>
    <w:rsid w:val="005945E1"/>
    <w:rsid w:val="0059585B"/>
    <w:rsid w:val="005978D4"/>
    <w:rsid w:val="005A23FA"/>
    <w:rsid w:val="005A2F66"/>
    <w:rsid w:val="005A60BB"/>
    <w:rsid w:val="005A6BBB"/>
    <w:rsid w:val="005B2A67"/>
    <w:rsid w:val="005B33E2"/>
    <w:rsid w:val="005B3DCD"/>
    <w:rsid w:val="005B4AD4"/>
    <w:rsid w:val="005B55A8"/>
    <w:rsid w:val="005C08E4"/>
    <w:rsid w:val="005C2798"/>
    <w:rsid w:val="005C36C3"/>
    <w:rsid w:val="005C56EE"/>
    <w:rsid w:val="005C7E42"/>
    <w:rsid w:val="005D1714"/>
    <w:rsid w:val="005D3A2C"/>
    <w:rsid w:val="005D7638"/>
    <w:rsid w:val="005E2BDE"/>
    <w:rsid w:val="005E3D8C"/>
    <w:rsid w:val="005E5CFB"/>
    <w:rsid w:val="005F12F5"/>
    <w:rsid w:val="005F4185"/>
    <w:rsid w:val="005F6179"/>
    <w:rsid w:val="005F7955"/>
    <w:rsid w:val="005F7A2C"/>
    <w:rsid w:val="005F7C7D"/>
    <w:rsid w:val="00601CF7"/>
    <w:rsid w:val="006022B5"/>
    <w:rsid w:val="006044B7"/>
    <w:rsid w:val="00605F73"/>
    <w:rsid w:val="006071CE"/>
    <w:rsid w:val="006075B5"/>
    <w:rsid w:val="0061018C"/>
    <w:rsid w:val="0061094E"/>
    <w:rsid w:val="00613440"/>
    <w:rsid w:val="00613BE3"/>
    <w:rsid w:val="006147E4"/>
    <w:rsid w:val="00616E81"/>
    <w:rsid w:val="00622A9F"/>
    <w:rsid w:val="0062327B"/>
    <w:rsid w:val="00626C5E"/>
    <w:rsid w:val="00632777"/>
    <w:rsid w:val="00633750"/>
    <w:rsid w:val="00634491"/>
    <w:rsid w:val="0063679C"/>
    <w:rsid w:val="00637055"/>
    <w:rsid w:val="00641D59"/>
    <w:rsid w:val="00644507"/>
    <w:rsid w:val="00646880"/>
    <w:rsid w:val="00646A4F"/>
    <w:rsid w:val="00646CF3"/>
    <w:rsid w:val="006473B8"/>
    <w:rsid w:val="00647D2A"/>
    <w:rsid w:val="006537BB"/>
    <w:rsid w:val="00654DFB"/>
    <w:rsid w:val="00655209"/>
    <w:rsid w:val="0065643E"/>
    <w:rsid w:val="00660714"/>
    <w:rsid w:val="00660862"/>
    <w:rsid w:val="00667E07"/>
    <w:rsid w:val="00671785"/>
    <w:rsid w:val="00672BA9"/>
    <w:rsid w:val="00673005"/>
    <w:rsid w:val="00675B6E"/>
    <w:rsid w:val="00677AB6"/>
    <w:rsid w:val="006804BE"/>
    <w:rsid w:val="00680A4F"/>
    <w:rsid w:val="00680B85"/>
    <w:rsid w:val="0068434A"/>
    <w:rsid w:val="0069008E"/>
    <w:rsid w:val="006904EC"/>
    <w:rsid w:val="0069087E"/>
    <w:rsid w:val="00691311"/>
    <w:rsid w:val="006925C4"/>
    <w:rsid w:val="00694F03"/>
    <w:rsid w:val="006A02B7"/>
    <w:rsid w:val="006A4979"/>
    <w:rsid w:val="006A6C5E"/>
    <w:rsid w:val="006A7019"/>
    <w:rsid w:val="006A7402"/>
    <w:rsid w:val="006B111B"/>
    <w:rsid w:val="006B20A3"/>
    <w:rsid w:val="006B2EBF"/>
    <w:rsid w:val="006B46D5"/>
    <w:rsid w:val="006B46F4"/>
    <w:rsid w:val="006B4CDD"/>
    <w:rsid w:val="006B4E75"/>
    <w:rsid w:val="006B7F67"/>
    <w:rsid w:val="006C18AA"/>
    <w:rsid w:val="006C3017"/>
    <w:rsid w:val="006C3F13"/>
    <w:rsid w:val="006C73DD"/>
    <w:rsid w:val="006C7AF3"/>
    <w:rsid w:val="006D0B9D"/>
    <w:rsid w:val="006D6548"/>
    <w:rsid w:val="006E0E20"/>
    <w:rsid w:val="006E21FE"/>
    <w:rsid w:val="006E4256"/>
    <w:rsid w:val="006E4BBA"/>
    <w:rsid w:val="006E5F43"/>
    <w:rsid w:val="006E60A6"/>
    <w:rsid w:val="006E65E0"/>
    <w:rsid w:val="006E7A9F"/>
    <w:rsid w:val="006F04B6"/>
    <w:rsid w:val="006F065A"/>
    <w:rsid w:val="006F0F69"/>
    <w:rsid w:val="006F116B"/>
    <w:rsid w:val="006F117F"/>
    <w:rsid w:val="006F13DF"/>
    <w:rsid w:val="006F2780"/>
    <w:rsid w:val="006F47C1"/>
    <w:rsid w:val="006F5DD6"/>
    <w:rsid w:val="006F6C96"/>
    <w:rsid w:val="006F6D3B"/>
    <w:rsid w:val="00700DF0"/>
    <w:rsid w:val="00702F26"/>
    <w:rsid w:val="0070313E"/>
    <w:rsid w:val="00703799"/>
    <w:rsid w:val="00705C5C"/>
    <w:rsid w:val="00711475"/>
    <w:rsid w:val="00716B5C"/>
    <w:rsid w:val="00721CD6"/>
    <w:rsid w:val="00723D60"/>
    <w:rsid w:val="0072548A"/>
    <w:rsid w:val="007277A6"/>
    <w:rsid w:val="007310AA"/>
    <w:rsid w:val="00731391"/>
    <w:rsid w:val="00733648"/>
    <w:rsid w:val="00740E93"/>
    <w:rsid w:val="007437AB"/>
    <w:rsid w:val="00743AF3"/>
    <w:rsid w:val="00745016"/>
    <w:rsid w:val="00745425"/>
    <w:rsid w:val="00745976"/>
    <w:rsid w:val="00750AF4"/>
    <w:rsid w:val="007534F8"/>
    <w:rsid w:val="007545AD"/>
    <w:rsid w:val="00761E3A"/>
    <w:rsid w:val="00763722"/>
    <w:rsid w:val="00763CC6"/>
    <w:rsid w:val="00764BC1"/>
    <w:rsid w:val="00765399"/>
    <w:rsid w:val="00770869"/>
    <w:rsid w:val="0077314E"/>
    <w:rsid w:val="007738AA"/>
    <w:rsid w:val="00773A57"/>
    <w:rsid w:val="00774B42"/>
    <w:rsid w:val="00775BF6"/>
    <w:rsid w:val="00777375"/>
    <w:rsid w:val="00777AEB"/>
    <w:rsid w:val="00777FAE"/>
    <w:rsid w:val="007808C0"/>
    <w:rsid w:val="00780A62"/>
    <w:rsid w:val="00782524"/>
    <w:rsid w:val="00783241"/>
    <w:rsid w:val="00784BDC"/>
    <w:rsid w:val="007869EA"/>
    <w:rsid w:val="00792F28"/>
    <w:rsid w:val="007935CA"/>
    <w:rsid w:val="0079383F"/>
    <w:rsid w:val="0079543F"/>
    <w:rsid w:val="00795880"/>
    <w:rsid w:val="007A0B56"/>
    <w:rsid w:val="007A358E"/>
    <w:rsid w:val="007A4367"/>
    <w:rsid w:val="007B0867"/>
    <w:rsid w:val="007B1AC1"/>
    <w:rsid w:val="007B1DBF"/>
    <w:rsid w:val="007B2595"/>
    <w:rsid w:val="007B441A"/>
    <w:rsid w:val="007B55C9"/>
    <w:rsid w:val="007B5A08"/>
    <w:rsid w:val="007B693D"/>
    <w:rsid w:val="007B7A39"/>
    <w:rsid w:val="007B7C1A"/>
    <w:rsid w:val="007C264F"/>
    <w:rsid w:val="007C4CDC"/>
    <w:rsid w:val="007C75E6"/>
    <w:rsid w:val="007C77AC"/>
    <w:rsid w:val="007D08C2"/>
    <w:rsid w:val="007D37CB"/>
    <w:rsid w:val="007D398A"/>
    <w:rsid w:val="007E041B"/>
    <w:rsid w:val="007E199A"/>
    <w:rsid w:val="007E1A6B"/>
    <w:rsid w:val="007E1AED"/>
    <w:rsid w:val="007E2415"/>
    <w:rsid w:val="007E34F7"/>
    <w:rsid w:val="007E39F3"/>
    <w:rsid w:val="007E405E"/>
    <w:rsid w:val="007E52AF"/>
    <w:rsid w:val="007E5354"/>
    <w:rsid w:val="007E68F4"/>
    <w:rsid w:val="007E6DE2"/>
    <w:rsid w:val="007F07A9"/>
    <w:rsid w:val="007F30D6"/>
    <w:rsid w:val="007F31BA"/>
    <w:rsid w:val="007F4078"/>
    <w:rsid w:val="0080014B"/>
    <w:rsid w:val="00800C50"/>
    <w:rsid w:val="00800CDA"/>
    <w:rsid w:val="00801793"/>
    <w:rsid w:val="00802E5C"/>
    <w:rsid w:val="00803642"/>
    <w:rsid w:val="008045AC"/>
    <w:rsid w:val="00806EA2"/>
    <w:rsid w:val="00812A2B"/>
    <w:rsid w:val="00812C83"/>
    <w:rsid w:val="0081369E"/>
    <w:rsid w:val="00814A4C"/>
    <w:rsid w:val="008227F7"/>
    <w:rsid w:val="00822B2C"/>
    <w:rsid w:val="0082599A"/>
    <w:rsid w:val="00831AAB"/>
    <w:rsid w:val="00833BCD"/>
    <w:rsid w:val="00833D0E"/>
    <w:rsid w:val="00834B82"/>
    <w:rsid w:val="0083574E"/>
    <w:rsid w:val="0083640C"/>
    <w:rsid w:val="0083740B"/>
    <w:rsid w:val="008374E3"/>
    <w:rsid w:val="0084157B"/>
    <w:rsid w:val="00842BFB"/>
    <w:rsid w:val="008462BD"/>
    <w:rsid w:val="00846B85"/>
    <w:rsid w:val="00847DC3"/>
    <w:rsid w:val="00847F49"/>
    <w:rsid w:val="0085019F"/>
    <w:rsid w:val="008516BF"/>
    <w:rsid w:val="00853132"/>
    <w:rsid w:val="008535C5"/>
    <w:rsid w:val="00853765"/>
    <w:rsid w:val="0085505A"/>
    <w:rsid w:val="0085516F"/>
    <w:rsid w:val="008620CD"/>
    <w:rsid w:val="00862AEA"/>
    <w:rsid w:val="00867186"/>
    <w:rsid w:val="00867400"/>
    <w:rsid w:val="00870A33"/>
    <w:rsid w:val="00870AF6"/>
    <w:rsid w:val="008756FA"/>
    <w:rsid w:val="00877452"/>
    <w:rsid w:val="00881268"/>
    <w:rsid w:val="00882F5F"/>
    <w:rsid w:val="0088394A"/>
    <w:rsid w:val="008860BD"/>
    <w:rsid w:val="00886D68"/>
    <w:rsid w:val="00887399"/>
    <w:rsid w:val="0088779E"/>
    <w:rsid w:val="008912AF"/>
    <w:rsid w:val="00892114"/>
    <w:rsid w:val="00892CB9"/>
    <w:rsid w:val="008935CB"/>
    <w:rsid w:val="00896155"/>
    <w:rsid w:val="008A2A17"/>
    <w:rsid w:val="008A36AE"/>
    <w:rsid w:val="008A42BC"/>
    <w:rsid w:val="008B0E7E"/>
    <w:rsid w:val="008B1495"/>
    <w:rsid w:val="008B65BD"/>
    <w:rsid w:val="008B7900"/>
    <w:rsid w:val="008C71BF"/>
    <w:rsid w:val="008C7FE0"/>
    <w:rsid w:val="008D33A0"/>
    <w:rsid w:val="008D3D2B"/>
    <w:rsid w:val="008D5717"/>
    <w:rsid w:val="008D599D"/>
    <w:rsid w:val="008D6230"/>
    <w:rsid w:val="008E06BE"/>
    <w:rsid w:val="008E1127"/>
    <w:rsid w:val="008E44A9"/>
    <w:rsid w:val="008E4709"/>
    <w:rsid w:val="008E4F1A"/>
    <w:rsid w:val="008E5DB5"/>
    <w:rsid w:val="008E6B4D"/>
    <w:rsid w:val="008E6BFF"/>
    <w:rsid w:val="008E6E54"/>
    <w:rsid w:val="008F21AF"/>
    <w:rsid w:val="008F2400"/>
    <w:rsid w:val="008F2CDE"/>
    <w:rsid w:val="008F61BA"/>
    <w:rsid w:val="008F6E3C"/>
    <w:rsid w:val="008F7BA8"/>
    <w:rsid w:val="008F7C55"/>
    <w:rsid w:val="00903F80"/>
    <w:rsid w:val="009048F9"/>
    <w:rsid w:val="00914A23"/>
    <w:rsid w:val="009154BF"/>
    <w:rsid w:val="00915976"/>
    <w:rsid w:val="00922395"/>
    <w:rsid w:val="00924D61"/>
    <w:rsid w:val="00925A71"/>
    <w:rsid w:val="00930754"/>
    <w:rsid w:val="00934F68"/>
    <w:rsid w:val="009355AC"/>
    <w:rsid w:val="00935F38"/>
    <w:rsid w:val="009363D9"/>
    <w:rsid w:val="00936D92"/>
    <w:rsid w:val="00937586"/>
    <w:rsid w:val="009431E2"/>
    <w:rsid w:val="00945596"/>
    <w:rsid w:val="00947889"/>
    <w:rsid w:val="009478BD"/>
    <w:rsid w:val="009530D6"/>
    <w:rsid w:val="009543B2"/>
    <w:rsid w:val="0095675C"/>
    <w:rsid w:val="00956A44"/>
    <w:rsid w:val="00957A69"/>
    <w:rsid w:val="00960173"/>
    <w:rsid w:val="00960E98"/>
    <w:rsid w:val="0096159A"/>
    <w:rsid w:val="00963A82"/>
    <w:rsid w:val="0096449F"/>
    <w:rsid w:val="00972912"/>
    <w:rsid w:val="00973BFC"/>
    <w:rsid w:val="00976D1F"/>
    <w:rsid w:val="00981C81"/>
    <w:rsid w:val="0099059D"/>
    <w:rsid w:val="009913B3"/>
    <w:rsid w:val="00993825"/>
    <w:rsid w:val="00993EFA"/>
    <w:rsid w:val="00996CDB"/>
    <w:rsid w:val="0099770C"/>
    <w:rsid w:val="009A2D24"/>
    <w:rsid w:val="009A2DF0"/>
    <w:rsid w:val="009A2F58"/>
    <w:rsid w:val="009A456C"/>
    <w:rsid w:val="009B00E0"/>
    <w:rsid w:val="009B04C8"/>
    <w:rsid w:val="009B0E01"/>
    <w:rsid w:val="009B292A"/>
    <w:rsid w:val="009B4A26"/>
    <w:rsid w:val="009B518B"/>
    <w:rsid w:val="009B6663"/>
    <w:rsid w:val="009B6BA9"/>
    <w:rsid w:val="009B76D5"/>
    <w:rsid w:val="009C016B"/>
    <w:rsid w:val="009C165D"/>
    <w:rsid w:val="009C2135"/>
    <w:rsid w:val="009C3CEA"/>
    <w:rsid w:val="009C4F43"/>
    <w:rsid w:val="009C583D"/>
    <w:rsid w:val="009D1417"/>
    <w:rsid w:val="009D176E"/>
    <w:rsid w:val="009D2611"/>
    <w:rsid w:val="009D53D4"/>
    <w:rsid w:val="009D79D2"/>
    <w:rsid w:val="009E247C"/>
    <w:rsid w:val="009E31BA"/>
    <w:rsid w:val="009F0528"/>
    <w:rsid w:val="009F0806"/>
    <w:rsid w:val="009F0D96"/>
    <w:rsid w:val="009F1D8C"/>
    <w:rsid w:val="009F233B"/>
    <w:rsid w:val="00A02426"/>
    <w:rsid w:val="00A05D16"/>
    <w:rsid w:val="00A0659F"/>
    <w:rsid w:val="00A079BA"/>
    <w:rsid w:val="00A07A8D"/>
    <w:rsid w:val="00A10411"/>
    <w:rsid w:val="00A1320A"/>
    <w:rsid w:val="00A13D14"/>
    <w:rsid w:val="00A14D7C"/>
    <w:rsid w:val="00A14E8C"/>
    <w:rsid w:val="00A20C70"/>
    <w:rsid w:val="00A214BF"/>
    <w:rsid w:val="00A306AF"/>
    <w:rsid w:val="00A30E5B"/>
    <w:rsid w:val="00A33875"/>
    <w:rsid w:val="00A360A1"/>
    <w:rsid w:val="00A369FE"/>
    <w:rsid w:val="00A36D89"/>
    <w:rsid w:val="00A37427"/>
    <w:rsid w:val="00A402B3"/>
    <w:rsid w:val="00A40E5F"/>
    <w:rsid w:val="00A40EA0"/>
    <w:rsid w:val="00A42672"/>
    <w:rsid w:val="00A468E8"/>
    <w:rsid w:val="00A51834"/>
    <w:rsid w:val="00A544B7"/>
    <w:rsid w:val="00A60399"/>
    <w:rsid w:val="00A618CF"/>
    <w:rsid w:val="00A62770"/>
    <w:rsid w:val="00A62EEB"/>
    <w:rsid w:val="00A65B57"/>
    <w:rsid w:val="00A65E61"/>
    <w:rsid w:val="00A660FF"/>
    <w:rsid w:val="00A6617C"/>
    <w:rsid w:val="00A7260D"/>
    <w:rsid w:val="00A73395"/>
    <w:rsid w:val="00A76C44"/>
    <w:rsid w:val="00A771E3"/>
    <w:rsid w:val="00A81068"/>
    <w:rsid w:val="00A82B4C"/>
    <w:rsid w:val="00A84905"/>
    <w:rsid w:val="00A912D0"/>
    <w:rsid w:val="00A913FF"/>
    <w:rsid w:val="00A93A4C"/>
    <w:rsid w:val="00A94D5D"/>
    <w:rsid w:val="00AA0DA2"/>
    <w:rsid w:val="00AA1B13"/>
    <w:rsid w:val="00AA1D9B"/>
    <w:rsid w:val="00AA2543"/>
    <w:rsid w:val="00AA3804"/>
    <w:rsid w:val="00AA4908"/>
    <w:rsid w:val="00AA55C2"/>
    <w:rsid w:val="00AA6832"/>
    <w:rsid w:val="00AB0ACA"/>
    <w:rsid w:val="00AB1D41"/>
    <w:rsid w:val="00AB62D1"/>
    <w:rsid w:val="00AC0D22"/>
    <w:rsid w:val="00AC3F63"/>
    <w:rsid w:val="00AC5E9A"/>
    <w:rsid w:val="00AC5F2D"/>
    <w:rsid w:val="00AC704B"/>
    <w:rsid w:val="00AD553E"/>
    <w:rsid w:val="00AD5848"/>
    <w:rsid w:val="00AE5284"/>
    <w:rsid w:val="00AE5ADA"/>
    <w:rsid w:val="00AE626B"/>
    <w:rsid w:val="00AF5050"/>
    <w:rsid w:val="00AF5EAF"/>
    <w:rsid w:val="00AF6145"/>
    <w:rsid w:val="00B01386"/>
    <w:rsid w:val="00B01648"/>
    <w:rsid w:val="00B016E5"/>
    <w:rsid w:val="00B01915"/>
    <w:rsid w:val="00B01BB5"/>
    <w:rsid w:val="00B026CC"/>
    <w:rsid w:val="00B03076"/>
    <w:rsid w:val="00B04115"/>
    <w:rsid w:val="00B04AF4"/>
    <w:rsid w:val="00B05214"/>
    <w:rsid w:val="00B10534"/>
    <w:rsid w:val="00B117A0"/>
    <w:rsid w:val="00B1535F"/>
    <w:rsid w:val="00B17785"/>
    <w:rsid w:val="00B26123"/>
    <w:rsid w:val="00B262F1"/>
    <w:rsid w:val="00B3085D"/>
    <w:rsid w:val="00B30D97"/>
    <w:rsid w:val="00B31074"/>
    <w:rsid w:val="00B31395"/>
    <w:rsid w:val="00B3181A"/>
    <w:rsid w:val="00B350FC"/>
    <w:rsid w:val="00B359F9"/>
    <w:rsid w:val="00B35A7C"/>
    <w:rsid w:val="00B448C6"/>
    <w:rsid w:val="00B44ECD"/>
    <w:rsid w:val="00B450D1"/>
    <w:rsid w:val="00B50006"/>
    <w:rsid w:val="00B51C1D"/>
    <w:rsid w:val="00B53D47"/>
    <w:rsid w:val="00B54A25"/>
    <w:rsid w:val="00B556D6"/>
    <w:rsid w:val="00B5729D"/>
    <w:rsid w:val="00B5778E"/>
    <w:rsid w:val="00B60DE9"/>
    <w:rsid w:val="00B618C3"/>
    <w:rsid w:val="00B632D6"/>
    <w:rsid w:val="00B63652"/>
    <w:rsid w:val="00B639B7"/>
    <w:rsid w:val="00B64CC0"/>
    <w:rsid w:val="00B64FA1"/>
    <w:rsid w:val="00B668B0"/>
    <w:rsid w:val="00B70F5C"/>
    <w:rsid w:val="00B71574"/>
    <w:rsid w:val="00B71873"/>
    <w:rsid w:val="00B71F82"/>
    <w:rsid w:val="00B72F57"/>
    <w:rsid w:val="00B7383A"/>
    <w:rsid w:val="00B75AE5"/>
    <w:rsid w:val="00B77008"/>
    <w:rsid w:val="00B800C0"/>
    <w:rsid w:val="00B8132B"/>
    <w:rsid w:val="00B84C5A"/>
    <w:rsid w:val="00B858F5"/>
    <w:rsid w:val="00B91258"/>
    <w:rsid w:val="00B93668"/>
    <w:rsid w:val="00B96C0D"/>
    <w:rsid w:val="00BA605F"/>
    <w:rsid w:val="00BA68C6"/>
    <w:rsid w:val="00BB0221"/>
    <w:rsid w:val="00BB12F1"/>
    <w:rsid w:val="00BB276E"/>
    <w:rsid w:val="00BB3FEE"/>
    <w:rsid w:val="00BB5EB0"/>
    <w:rsid w:val="00BC245A"/>
    <w:rsid w:val="00BC2EEF"/>
    <w:rsid w:val="00BC31E2"/>
    <w:rsid w:val="00BC5B12"/>
    <w:rsid w:val="00BC7B80"/>
    <w:rsid w:val="00BD0B8A"/>
    <w:rsid w:val="00BD16FA"/>
    <w:rsid w:val="00BD41C3"/>
    <w:rsid w:val="00BD488B"/>
    <w:rsid w:val="00BD7CCC"/>
    <w:rsid w:val="00BE002A"/>
    <w:rsid w:val="00BE0283"/>
    <w:rsid w:val="00BE0316"/>
    <w:rsid w:val="00BE1BC9"/>
    <w:rsid w:val="00BE2763"/>
    <w:rsid w:val="00BE318F"/>
    <w:rsid w:val="00BE31CC"/>
    <w:rsid w:val="00BE5CDA"/>
    <w:rsid w:val="00BE5D20"/>
    <w:rsid w:val="00BE608F"/>
    <w:rsid w:val="00BF1E44"/>
    <w:rsid w:val="00BF23BB"/>
    <w:rsid w:val="00BF2B1C"/>
    <w:rsid w:val="00BF33DD"/>
    <w:rsid w:val="00BF3D69"/>
    <w:rsid w:val="00BF5331"/>
    <w:rsid w:val="00BF5755"/>
    <w:rsid w:val="00BF684B"/>
    <w:rsid w:val="00C002F7"/>
    <w:rsid w:val="00C015F0"/>
    <w:rsid w:val="00C016F3"/>
    <w:rsid w:val="00C10A0F"/>
    <w:rsid w:val="00C15193"/>
    <w:rsid w:val="00C15609"/>
    <w:rsid w:val="00C15A94"/>
    <w:rsid w:val="00C15F6A"/>
    <w:rsid w:val="00C17367"/>
    <w:rsid w:val="00C23EA7"/>
    <w:rsid w:val="00C256F3"/>
    <w:rsid w:val="00C270A2"/>
    <w:rsid w:val="00C310EC"/>
    <w:rsid w:val="00C315B5"/>
    <w:rsid w:val="00C317C4"/>
    <w:rsid w:val="00C35E28"/>
    <w:rsid w:val="00C367C0"/>
    <w:rsid w:val="00C41806"/>
    <w:rsid w:val="00C426AF"/>
    <w:rsid w:val="00C4292A"/>
    <w:rsid w:val="00C42CDD"/>
    <w:rsid w:val="00C454C2"/>
    <w:rsid w:val="00C45A9C"/>
    <w:rsid w:val="00C46780"/>
    <w:rsid w:val="00C469C1"/>
    <w:rsid w:val="00C50659"/>
    <w:rsid w:val="00C51B39"/>
    <w:rsid w:val="00C5338A"/>
    <w:rsid w:val="00C54C3B"/>
    <w:rsid w:val="00C54EF9"/>
    <w:rsid w:val="00C56BBF"/>
    <w:rsid w:val="00C572AA"/>
    <w:rsid w:val="00C57A9A"/>
    <w:rsid w:val="00C6016A"/>
    <w:rsid w:val="00C60B3F"/>
    <w:rsid w:val="00C614D8"/>
    <w:rsid w:val="00C623EB"/>
    <w:rsid w:val="00C64C6B"/>
    <w:rsid w:val="00C65CA1"/>
    <w:rsid w:val="00C66F2E"/>
    <w:rsid w:val="00C6785C"/>
    <w:rsid w:val="00C709D6"/>
    <w:rsid w:val="00C70FD1"/>
    <w:rsid w:val="00C72030"/>
    <w:rsid w:val="00C724F2"/>
    <w:rsid w:val="00C72B76"/>
    <w:rsid w:val="00C72B7C"/>
    <w:rsid w:val="00C733AA"/>
    <w:rsid w:val="00C775BE"/>
    <w:rsid w:val="00C77DC0"/>
    <w:rsid w:val="00C82F1B"/>
    <w:rsid w:val="00C83027"/>
    <w:rsid w:val="00C8341F"/>
    <w:rsid w:val="00C84B8A"/>
    <w:rsid w:val="00C85E65"/>
    <w:rsid w:val="00C87829"/>
    <w:rsid w:val="00C87CA1"/>
    <w:rsid w:val="00C911B4"/>
    <w:rsid w:val="00C91A3F"/>
    <w:rsid w:val="00C91B3B"/>
    <w:rsid w:val="00C91C2D"/>
    <w:rsid w:val="00C933E7"/>
    <w:rsid w:val="00C94262"/>
    <w:rsid w:val="00C94682"/>
    <w:rsid w:val="00C94CE1"/>
    <w:rsid w:val="00C95C73"/>
    <w:rsid w:val="00C976E1"/>
    <w:rsid w:val="00CA148E"/>
    <w:rsid w:val="00CA3A9A"/>
    <w:rsid w:val="00CA3DB6"/>
    <w:rsid w:val="00CA3F36"/>
    <w:rsid w:val="00CA4C2A"/>
    <w:rsid w:val="00CA622A"/>
    <w:rsid w:val="00CA6A84"/>
    <w:rsid w:val="00CA6FB7"/>
    <w:rsid w:val="00CA7B11"/>
    <w:rsid w:val="00CB2C12"/>
    <w:rsid w:val="00CB6BC1"/>
    <w:rsid w:val="00CB7021"/>
    <w:rsid w:val="00CC1544"/>
    <w:rsid w:val="00CC6900"/>
    <w:rsid w:val="00CD08F5"/>
    <w:rsid w:val="00CD1772"/>
    <w:rsid w:val="00CD3294"/>
    <w:rsid w:val="00CD33F4"/>
    <w:rsid w:val="00CD4524"/>
    <w:rsid w:val="00CD6325"/>
    <w:rsid w:val="00CD7634"/>
    <w:rsid w:val="00CD784D"/>
    <w:rsid w:val="00CE20EA"/>
    <w:rsid w:val="00CE23C2"/>
    <w:rsid w:val="00CE326A"/>
    <w:rsid w:val="00CE3BBD"/>
    <w:rsid w:val="00CE531A"/>
    <w:rsid w:val="00CF3190"/>
    <w:rsid w:val="00CF3A1C"/>
    <w:rsid w:val="00CF40F8"/>
    <w:rsid w:val="00CF5C7D"/>
    <w:rsid w:val="00D008DA"/>
    <w:rsid w:val="00D01BE4"/>
    <w:rsid w:val="00D02D8A"/>
    <w:rsid w:val="00D039D5"/>
    <w:rsid w:val="00D0416F"/>
    <w:rsid w:val="00D05851"/>
    <w:rsid w:val="00D10FED"/>
    <w:rsid w:val="00D11736"/>
    <w:rsid w:val="00D12EE8"/>
    <w:rsid w:val="00D14CDF"/>
    <w:rsid w:val="00D15FF1"/>
    <w:rsid w:val="00D167F4"/>
    <w:rsid w:val="00D2092A"/>
    <w:rsid w:val="00D21C85"/>
    <w:rsid w:val="00D2216D"/>
    <w:rsid w:val="00D24FF8"/>
    <w:rsid w:val="00D31A6F"/>
    <w:rsid w:val="00D353D1"/>
    <w:rsid w:val="00D364DC"/>
    <w:rsid w:val="00D367DB"/>
    <w:rsid w:val="00D36E05"/>
    <w:rsid w:val="00D370A7"/>
    <w:rsid w:val="00D4020F"/>
    <w:rsid w:val="00D412D4"/>
    <w:rsid w:val="00D4245F"/>
    <w:rsid w:val="00D43FD3"/>
    <w:rsid w:val="00D4420D"/>
    <w:rsid w:val="00D44BB2"/>
    <w:rsid w:val="00D44F27"/>
    <w:rsid w:val="00D45304"/>
    <w:rsid w:val="00D4550C"/>
    <w:rsid w:val="00D45C33"/>
    <w:rsid w:val="00D46165"/>
    <w:rsid w:val="00D461C7"/>
    <w:rsid w:val="00D50424"/>
    <w:rsid w:val="00D50710"/>
    <w:rsid w:val="00D5140A"/>
    <w:rsid w:val="00D525C9"/>
    <w:rsid w:val="00D53100"/>
    <w:rsid w:val="00D53E44"/>
    <w:rsid w:val="00D55806"/>
    <w:rsid w:val="00D56B64"/>
    <w:rsid w:val="00D57D3E"/>
    <w:rsid w:val="00D616AE"/>
    <w:rsid w:val="00D624AC"/>
    <w:rsid w:val="00D644A0"/>
    <w:rsid w:val="00D646AC"/>
    <w:rsid w:val="00D703BD"/>
    <w:rsid w:val="00D76249"/>
    <w:rsid w:val="00D76618"/>
    <w:rsid w:val="00D80F1D"/>
    <w:rsid w:val="00D831A8"/>
    <w:rsid w:val="00D84234"/>
    <w:rsid w:val="00D84436"/>
    <w:rsid w:val="00D87367"/>
    <w:rsid w:val="00D962C8"/>
    <w:rsid w:val="00D966DE"/>
    <w:rsid w:val="00D96E33"/>
    <w:rsid w:val="00DA3985"/>
    <w:rsid w:val="00DA54E5"/>
    <w:rsid w:val="00DA696A"/>
    <w:rsid w:val="00DA703D"/>
    <w:rsid w:val="00DA7D12"/>
    <w:rsid w:val="00DB0CBE"/>
    <w:rsid w:val="00DB28E3"/>
    <w:rsid w:val="00DB3E07"/>
    <w:rsid w:val="00DC1908"/>
    <w:rsid w:val="00DC23CF"/>
    <w:rsid w:val="00DC2ABE"/>
    <w:rsid w:val="00DC51F3"/>
    <w:rsid w:val="00DC6562"/>
    <w:rsid w:val="00DD1AD8"/>
    <w:rsid w:val="00DD325B"/>
    <w:rsid w:val="00DE130D"/>
    <w:rsid w:val="00DE23AD"/>
    <w:rsid w:val="00DE24CF"/>
    <w:rsid w:val="00DE2F1C"/>
    <w:rsid w:val="00DE402A"/>
    <w:rsid w:val="00DE407C"/>
    <w:rsid w:val="00DE612D"/>
    <w:rsid w:val="00DE7C7D"/>
    <w:rsid w:val="00DF0516"/>
    <w:rsid w:val="00DF0CEB"/>
    <w:rsid w:val="00DF2992"/>
    <w:rsid w:val="00DF2D0C"/>
    <w:rsid w:val="00DF55F7"/>
    <w:rsid w:val="00DF62C5"/>
    <w:rsid w:val="00DF6C40"/>
    <w:rsid w:val="00E00058"/>
    <w:rsid w:val="00E01B9D"/>
    <w:rsid w:val="00E0468F"/>
    <w:rsid w:val="00E04F5E"/>
    <w:rsid w:val="00E0522E"/>
    <w:rsid w:val="00E05A94"/>
    <w:rsid w:val="00E06481"/>
    <w:rsid w:val="00E10CFC"/>
    <w:rsid w:val="00E10EB7"/>
    <w:rsid w:val="00E11323"/>
    <w:rsid w:val="00E120F4"/>
    <w:rsid w:val="00E14CAB"/>
    <w:rsid w:val="00E150B5"/>
    <w:rsid w:val="00E17172"/>
    <w:rsid w:val="00E17F24"/>
    <w:rsid w:val="00E21D72"/>
    <w:rsid w:val="00E3181C"/>
    <w:rsid w:val="00E3280A"/>
    <w:rsid w:val="00E3345E"/>
    <w:rsid w:val="00E372AF"/>
    <w:rsid w:val="00E37D68"/>
    <w:rsid w:val="00E40B30"/>
    <w:rsid w:val="00E40EAE"/>
    <w:rsid w:val="00E4323D"/>
    <w:rsid w:val="00E436AC"/>
    <w:rsid w:val="00E4417F"/>
    <w:rsid w:val="00E44F7A"/>
    <w:rsid w:val="00E44FF8"/>
    <w:rsid w:val="00E5066A"/>
    <w:rsid w:val="00E5084E"/>
    <w:rsid w:val="00E520FB"/>
    <w:rsid w:val="00E52CF9"/>
    <w:rsid w:val="00E53455"/>
    <w:rsid w:val="00E60052"/>
    <w:rsid w:val="00E613ED"/>
    <w:rsid w:val="00E61415"/>
    <w:rsid w:val="00E61F98"/>
    <w:rsid w:val="00E63F34"/>
    <w:rsid w:val="00E63FEA"/>
    <w:rsid w:val="00E64956"/>
    <w:rsid w:val="00E653D9"/>
    <w:rsid w:val="00E65C3F"/>
    <w:rsid w:val="00E66E69"/>
    <w:rsid w:val="00E6715A"/>
    <w:rsid w:val="00E7563E"/>
    <w:rsid w:val="00E75DC9"/>
    <w:rsid w:val="00E81610"/>
    <w:rsid w:val="00E82863"/>
    <w:rsid w:val="00E84910"/>
    <w:rsid w:val="00E85B28"/>
    <w:rsid w:val="00E87F1B"/>
    <w:rsid w:val="00E91976"/>
    <w:rsid w:val="00E93500"/>
    <w:rsid w:val="00E947A6"/>
    <w:rsid w:val="00E94C35"/>
    <w:rsid w:val="00E97FC7"/>
    <w:rsid w:val="00EA0690"/>
    <w:rsid w:val="00EA391D"/>
    <w:rsid w:val="00EA3956"/>
    <w:rsid w:val="00EA44EA"/>
    <w:rsid w:val="00EA49CE"/>
    <w:rsid w:val="00EA4C7B"/>
    <w:rsid w:val="00EA5BBC"/>
    <w:rsid w:val="00EA6A3C"/>
    <w:rsid w:val="00EA7136"/>
    <w:rsid w:val="00EA71FA"/>
    <w:rsid w:val="00EB2166"/>
    <w:rsid w:val="00EB325A"/>
    <w:rsid w:val="00EB4C22"/>
    <w:rsid w:val="00EB55AD"/>
    <w:rsid w:val="00EC02A5"/>
    <w:rsid w:val="00EC176B"/>
    <w:rsid w:val="00EC18AA"/>
    <w:rsid w:val="00EC2626"/>
    <w:rsid w:val="00EC33CD"/>
    <w:rsid w:val="00EC5BE5"/>
    <w:rsid w:val="00ED0304"/>
    <w:rsid w:val="00ED2650"/>
    <w:rsid w:val="00ED4FC5"/>
    <w:rsid w:val="00ED721A"/>
    <w:rsid w:val="00EE35B6"/>
    <w:rsid w:val="00EE393D"/>
    <w:rsid w:val="00EF01CF"/>
    <w:rsid w:val="00EF1020"/>
    <w:rsid w:val="00EF2D99"/>
    <w:rsid w:val="00EF6A47"/>
    <w:rsid w:val="00EF7AF9"/>
    <w:rsid w:val="00F000FF"/>
    <w:rsid w:val="00F00952"/>
    <w:rsid w:val="00F01495"/>
    <w:rsid w:val="00F056E0"/>
    <w:rsid w:val="00F07913"/>
    <w:rsid w:val="00F07B9A"/>
    <w:rsid w:val="00F10138"/>
    <w:rsid w:val="00F111AB"/>
    <w:rsid w:val="00F13F92"/>
    <w:rsid w:val="00F22ECA"/>
    <w:rsid w:val="00F23FB1"/>
    <w:rsid w:val="00F240E8"/>
    <w:rsid w:val="00F244FA"/>
    <w:rsid w:val="00F25C5F"/>
    <w:rsid w:val="00F271B1"/>
    <w:rsid w:val="00F31079"/>
    <w:rsid w:val="00F32C93"/>
    <w:rsid w:val="00F366A2"/>
    <w:rsid w:val="00F403D4"/>
    <w:rsid w:val="00F44F43"/>
    <w:rsid w:val="00F450E1"/>
    <w:rsid w:val="00F45D26"/>
    <w:rsid w:val="00F50259"/>
    <w:rsid w:val="00F50B51"/>
    <w:rsid w:val="00F50DF4"/>
    <w:rsid w:val="00F52234"/>
    <w:rsid w:val="00F52664"/>
    <w:rsid w:val="00F531E9"/>
    <w:rsid w:val="00F54C0B"/>
    <w:rsid w:val="00F56397"/>
    <w:rsid w:val="00F57AFE"/>
    <w:rsid w:val="00F6278E"/>
    <w:rsid w:val="00F63C41"/>
    <w:rsid w:val="00F63E96"/>
    <w:rsid w:val="00F646E6"/>
    <w:rsid w:val="00F701E3"/>
    <w:rsid w:val="00F702A9"/>
    <w:rsid w:val="00F71008"/>
    <w:rsid w:val="00F71098"/>
    <w:rsid w:val="00F71F8C"/>
    <w:rsid w:val="00F773A3"/>
    <w:rsid w:val="00F82286"/>
    <w:rsid w:val="00F86AD4"/>
    <w:rsid w:val="00F93032"/>
    <w:rsid w:val="00F95E96"/>
    <w:rsid w:val="00F97993"/>
    <w:rsid w:val="00FA0113"/>
    <w:rsid w:val="00FA0DBD"/>
    <w:rsid w:val="00FA12B2"/>
    <w:rsid w:val="00FA4663"/>
    <w:rsid w:val="00FA62AF"/>
    <w:rsid w:val="00FA7610"/>
    <w:rsid w:val="00FB02BD"/>
    <w:rsid w:val="00FB398F"/>
    <w:rsid w:val="00FB3CEB"/>
    <w:rsid w:val="00FB4EF8"/>
    <w:rsid w:val="00FB546C"/>
    <w:rsid w:val="00FB54AE"/>
    <w:rsid w:val="00FB709A"/>
    <w:rsid w:val="00FB75AB"/>
    <w:rsid w:val="00FB78DD"/>
    <w:rsid w:val="00FB7F41"/>
    <w:rsid w:val="00FC30F9"/>
    <w:rsid w:val="00FC3EF3"/>
    <w:rsid w:val="00FC45BF"/>
    <w:rsid w:val="00FC5D35"/>
    <w:rsid w:val="00FD02E8"/>
    <w:rsid w:val="00FD2049"/>
    <w:rsid w:val="00FD2140"/>
    <w:rsid w:val="00FD2421"/>
    <w:rsid w:val="00FD5B5F"/>
    <w:rsid w:val="00FD5BDE"/>
    <w:rsid w:val="00FD68EC"/>
    <w:rsid w:val="00FE206E"/>
    <w:rsid w:val="00FE24A5"/>
    <w:rsid w:val="00FE261E"/>
    <w:rsid w:val="00FE31E5"/>
    <w:rsid w:val="00FE3F42"/>
    <w:rsid w:val="00FE6049"/>
    <w:rsid w:val="00FE7206"/>
    <w:rsid w:val="00FF0744"/>
    <w:rsid w:val="00FF19AD"/>
    <w:rsid w:val="00FF1EB5"/>
    <w:rsid w:val="00FF2038"/>
    <w:rsid w:val="00FF292D"/>
    <w:rsid w:val="00FF298D"/>
    <w:rsid w:val="00FF4B55"/>
    <w:rsid w:val="00FF5533"/>
    <w:rsid w:val="00FF6287"/>
    <w:rsid w:val="00FF6A74"/>
    <w:rsid w:val="00FF73FB"/>
    <w:rsid w:val="00FF7578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206004"/>
  <w15:chartTrackingRefBased/>
  <w15:docId w15:val="{3C92A706-7834-4F8D-9E56-CCFBA4D1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CY" w:eastAsia="en-C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5C"/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63214"/>
    <w:pPr>
      <w:keepNext/>
      <w:tabs>
        <w:tab w:val="left" w:pos="6840"/>
      </w:tabs>
      <w:jc w:val="center"/>
      <w:outlineLvl w:val="5"/>
    </w:pPr>
    <w:rPr>
      <w:rFonts w:ascii="Times New Roman" w:eastAsia="Times New Roman" w:hAnsi="Times New Roman"/>
      <w:b/>
      <w:bCs/>
      <w:szCs w:val="24"/>
      <w:u w:val="single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39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B398F"/>
    <w:pPr>
      <w:tabs>
        <w:tab w:val="center" w:pos="4153"/>
        <w:tab w:val="right" w:pos="8306"/>
      </w:tabs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customStyle="1" w:styleId="HeaderChar">
    <w:name w:val="Header Char"/>
    <w:link w:val="Header"/>
    <w:rsid w:val="00FB398F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Footer">
    <w:name w:val="footer"/>
    <w:basedOn w:val="Normal"/>
    <w:link w:val="FooterChar"/>
    <w:unhideWhenUsed/>
    <w:rsid w:val="00FB39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98F"/>
  </w:style>
  <w:style w:type="character" w:styleId="Hyperlink">
    <w:name w:val="Hyperlink"/>
    <w:rsid w:val="00B53D47"/>
    <w:rPr>
      <w:color w:val="0000FF"/>
      <w:u w:val="single"/>
    </w:rPr>
  </w:style>
  <w:style w:type="character" w:customStyle="1" w:styleId="Heading6Char">
    <w:name w:val="Heading 6 Char"/>
    <w:link w:val="Heading6"/>
    <w:rsid w:val="00463214"/>
    <w:rPr>
      <w:rFonts w:ascii="Times New Roman" w:eastAsia="Times New Roman" w:hAnsi="Times New Roman"/>
      <w:b/>
      <w:bCs/>
      <w:sz w:val="22"/>
      <w:szCs w:val="24"/>
      <w:u w:val="single"/>
      <w:lang w:eastAsia="en-US"/>
    </w:rPr>
  </w:style>
  <w:style w:type="paragraph" w:customStyle="1" w:styleId="xl35">
    <w:name w:val="xl35"/>
    <w:basedOn w:val="Normal"/>
    <w:rsid w:val="00463214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8"/>
      <w:szCs w:val="18"/>
      <w:lang w:val="en-GB"/>
    </w:rPr>
  </w:style>
  <w:style w:type="paragraph" w:customStyle="1" w:styleId="Default">
    <w:name w:val="Default"/>
    <w:rsid w:val="005341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l-GR" w:eastAsia="el-GR"/>
    </w:rPr>
  </w:style>
  <w:style w:type="paragraph" w:customStyle="1" w:styleId="Normal13pt">
    <w:name w:val="Normal + 13 pt"/>
    <w:aliases w:val="Justified,Left:  0,95 cm"/>
    <w:basedOn w:val="Normal"/>
    <w:rsid w:val="00B30D97"/>
    <w:pPr>
      <w:spacing w:line="264" w:lineRule="auto"/>
      <w:ind w:left="540"/>
      <w:jc w:val="both"/>
    </w:pPr>
    <w:rPr>
      <w:rFonts w:ascii="Times New Roman" w:eastAsia="Times New Roman" w:hAnsi="Times New Roman"/>
      <w:b/>
      <w:sz w:val="26"/>
      <w:szCs w:val="26"/>
      <w:u w:val="single"/>
      <w:lang w:val="el-GR"/>
    </w:rPr>
  </w:style>
  <w:style w:type="character" w:styleId="CommentReference">
    <w:name w:val="annotation reference"/>
    <w:uiPriority w:val="99"/>
    <w:semiHidden/>
    <w:unhideWhenUsed/>
    <w:rsid w:val="00892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1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1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9211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B8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B8A"/>
  </w:style>
  <w:style w:type="character" w:styleId="EndnoteReference">
    <w:name w:val="endnote reference"/>
    <w:uiPriority w:val="99"/>
    <w:semiHidden/>
    <w:unhideWhenUsed/>
    <w:rsid w:val="00C84B8A"/>
    <w:rPr>
      <w:vertAlign w:val="superscript"/>
    </w:rPr>
  </w:style>
  <w:style w:type="table" w:styleId="TableGrid">
    <w:name w:val="Table Grid"/>
    <w:basedOn w:val="TableNormal"/>
    <w:uiPriority w:val="59"/>
    <w:rsid w:val="00E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8C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76249"/>
  </w:style>
  <w:style w:type="character" w:styleId="FollowedHyperlink">
    <w:name w:val="FollowedHyperlink"/>
    <w:uiPriority w:val="99"/>
    <w:semiHidden/>
    <w:unhideWhenUsed/>
    <w:rsid w:val="006022B5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602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mailto:svikis@cystat.mof.gov.cy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ystat.gov.cy/el/MethodologicalDetails?m=208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ystat.gov.cy/el/KeyFiguresList?s=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akoutsis@cystat.mof.gov.cy" TargetMode="External"/><Relationship Id="rId10" Type="http://schemas.openxmlformats.org/officeDocument/2006/relationships/hyperlink" Target="https://cystatdb.cystat.gov.cy/pxweb/el/8.CYSTAT-DB/8.CYSTAT-DB__Price%20Indices__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cystat.gov.cy/el/SubthemeStatistics?s=47" TargetMode="External"/><Relationship Id="rId14" Type="http://schemas.openxmlformats.org/officeDocument/2006/relationships/hyperlink" Target="mailto:kvoutouris@cystat.mof.gov.cy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ystat.gov.cy" TargetMode="External"/><Relationship Id="rId1" Type="http://schemas.openxmlformats.org/officeDocument/2006/relationships/hyperlink" Target="mailto:enquiries@cystat.mof.gov.c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100"/>
            </a:pPr>
            <a:r>
              <a:rPr lang="el-GR" sz="1100">
                <a:latin typeface="Verdana" pitchFamily="34" charset="0"/>
                <a:ea typeface="Verdana" pitchFamily="34" charset="0"/>
                <a:cs typeface="Verdana" pitchFamily="34" charset="0"/>
              </a:rPr>
              <a:t>Διακύμανση</a:t>
            </a:r>
            <a:r>
              <a:rPr lang="el-GR" sz="1100" baseline="0">
                <a:latin typeface="Verdana" pitchFamily="34" charset="0"/>
                <a:ea typeface="Verdana" pitchFamily="34" charset="0"/>
                <a:cs typeface="Verdana" pitchFamily="34" charset="0"/>
              </a:rPr>
              <a:t> Πληθωρισμού</a:t>
            </a:r>
            <a:endParaRPr lang="el-GR" sz="1100">
              <a:latin typeface="Verdana" pitchFamily="34" charset="0"/>
              <a:ea typeface="Verdana" pitchFamily="34" charset="0"/>
              <a:cs typeface="Verdana" pitchFamily="34" charset="0"/>
            </a:endParaRPr>
          </a:p>
        </c:rich>
      </c:tx>
      <c:layout>
        <c:manualLayout>
          <c:xMode val="edge"/>
          <c:yMode val="edge"/>
          <c:x val="0.32132698146274036"/>
          <c:y val="2.6079876295137951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1769323227119989E-2"/>
          <c:y val="0.12148473557161647"/>
          <c:w val="0.88916275509617448"/>
          <c:h val="0.63674711042158016"/>
        </c:manualLayout>
      </c:layout>
      <c:lineChart>
        <c:grouping val="standard"/>
        <c:varyColors val="0"/>
        <c:ser>
          <c:idx val="0"/>
          <c:order val="0"/>
          <c:tx>
            <c:strRef>
              <c:f>Chart_GR!$H$4</c:f>
              <c:strCache>
                <c:ptCount val="1"/>
                <c:pt idx="0">
                  <c:v> Πληθωρισμός</c:v>
                </c:pt>
              </c:strCache>
            </c:strRef>
          </c:tx>
          <c:marker>
            <c:symbol val="none"/>
          </c:marker>
          <c:cat>
            <c:multiLvlStrRef>
              <c:f>Chart_GR!$F$116:$G$140</c:f>
              <c:multiLvlStrCache>
                <c:ptCount val="25"/>
                <c:lvl>
                  <c:pt idx="0">
                    <c:v>ΔΕΚ</c:v>
                  </c:pt>
                  <c:pt idx="1">
                    <c:v>ΙΑΝ</c:v>
                  </c:pt>
                  <c:pt idx="2">
                    <c:v>ΦΕΒ</c:v>
                  </c:pt>
                  <c:pt idx="3">
                    <c:v>ΜΑΡ</c:v>
                  </c:pt>
                  <c:pt idx="4">
                    <c:v>ΑΠΡ</c:v>
                  </c:pt>
                  <c:pt idx="5">
                    <c:v>ΜΑΪΟΣ</c:v>
                  </c:pt>
                  <c:pt idx="6">
                    <c:v>ΙΟΥΝ</c:v>
                  </c:pt>
                  <c:pt idx="7">
                    <c:v>ΙΟΥΛ</c:v>
                  </c:pt>
                  <c:pt idx="8">
                    <c:v>ΑΥΓ</c:v>
                  </c:pt>
                  <c:pt idx="9">
                    <c:v>ΣΕΠ</c:v>
                  </c:pt>
                  <c:pt idx="10">
                    <c:v>ΟΚΤ</c:v>
                  </c:pt>
                  <c:pt idx="11">
                    <c:v>ΝΟΕ</c:v>
                  </c:pt>
                  <c:pt idx="12">
                    <c:v>ΔΕΚ</c:v>
                  </c:pt>
                  <c:pt idx="13">
                    <c:v>ΙΑΝ</c:v>
                  </c:pt>
                  <c:pt idx="14">
                    <c:v>ΦΕΒ</c:v>
                  </c:pt>
                  <c:pt idx="15">
                    <c:v>ΜΑΡ</c:v>
                  </c:pt>
                  <c:pt idx="16">
                    <c:v>ΑΠΡ</c:v>
                  </c:pt>
                  <c:pt idx="17">
                    <c:v>ΜΑΪΟΣ</c:v>
                  </c:pt>
                  <c:pt idx="18">
                    <c:v>ΙΟΥΝ</c:v>
                  </c:pt>
                  <c:pt idx="19">
                    <c:v>ΙΟΥΛ</c:v>
                  </c:pt>
                  <c:pt idx="20">
                    <c:v>ΑΥΓ</c:v>
                  </c:pt>
                  <c:pt idx="21">
                    <c:v>ΣΕΠ</c:v>
                  </c:pt>
                  <c:pt idx="22">
                    <c:v>ΟΚΤ</c:v>
                  </c:pt>
                  <c:pt idx="23">
                    <c:v>ΝΟΕ</c:v>
                  </c:pt>
                  <c:pt idx="24">
                    <c:v>ΔΕΚ</c:v>
                  </c:pt>
                </c:lvl>
                <c:lvl>
                  <c:pt idx="1">
                    <c:v>2023</c:v>
                  </c:pt>
                  <c:pt idx="13">
                    <c:v>2024</c:v>
                  </c:pt>
                </c:lvl>
              </c:multiLvlStrCache>
              <c:extLst/>
            </c:multiLvlStrRef>
          </c:cat>
          <c:val>
            <c:numRef>
              <c:f>Chart_GR!$H$116:$H$140</c:f>
              <c:numCache>
                <c:formatCode>0.0</c:formatCode>
                <c:ptCount val="25"/>
                <c:pt idx="0">
                  <c:v>7.9</c:v>
                </c:pt>
                <c:pt idx="1">
                  <c:v>7.1</c:v>
                </c:pt>
                <c:pt idx="2">
                  <c:v>6.7</c:v>
                </c:pt>
                <c:pt idx="3">
                  <c:v>5.8</c:v>
                </c:pt>
                <c:pt idx="4">
                  <c:v>3.7</c:v>
                </c:pt>
                <c:pt idx="5">
                  <c:v>3</c:v>
                </c:pt>
                <c:pt idx="6">
                  <c:v>1.9</c:v>
                </c:pt>
                <c:pt idx="7">
                  <c:v>1.5</c:v>
                </c:pt>
                <c:pt idx="8">
                  <c:v>2.6</c:v>
                </c:pt>
                <c:pt idx="9">
                  <c:v>4</c:v>
                </c:pt>
                <c:pt idx="10">
                  <c:v>3.5</c:v>
                </c:pt>
                <c:pt idx="11">
                  <c:v>1.7</c:v>
                </c:pt>
                <c:pt idx="12">
                  <c:v>1.6</c:v>
                </c:pt>
                <c:pt idx="13">
                  <c:v>1.7</c:v>
                </c:pt>
                <c:pt idx="14">
                  <c:v>1.8</c:v>
                </c:pt>
                <c:pt idx="15">
                  <c:v>1.2</c:v>
                </c:pt>
                <c:pt idx="16">
                  <c:v>2.4</c:v>
                </c:pt>
                <c:pt idx="17">
                  <c:v>2.7</c:v>
                </c:pt>
                <c:pt idx="18">
                  <c:v>2.9</c:v>
                </c:pt>
                <c:pt idx="19">
                  <c:v>2.1</c:v>
                </c:pt>
                <c:pt idx="20">
                  <c:v>1.5</c:v>
                </c:pt>
                <c:pt idx="21">
                  <c:v>0.7</c:v>
                </c:pt>
                <c:pt idx="22">
                  <c:v>0.6</c:v>
                </c:pt>
                <c:pt idx="23">
                  <c:v>1.5</c:v>
                </c:pt>
                <c:pt idx="24">
                  <c:v>2.6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1246-4B9C-A80A-9403DDF4DB40}"/>
            </c:ext>
          </c:extLst>
        </c:ser>
        <c:ser>
          <c:idx val="1"/>
          <c:order val="1"/>
          <c:tx>
            <c:strRef>
              <c:f>Chart_GR!$I$4</c:f>
              <c:strCache>
                <c:ptCount val="1"/>
                <c:pt idx="0">
                  <c:v> Μέση Ετήσια Μεταβολή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  <a:prstDash val="sysDash"/>
            </a:ln>
          </c:spPr>
          <c:marker>
            <c:symbol val="none"/>
          </c:marker>
          <c:cat>
            <c:multiLvlStrRef>
              <c:f>Chart_GR!$F$116:$G$140</c:f>
              <c:multiLvlStrCache>
                <c:ptCount val="25"/>
                <c:lvl>
                  <c:pt idx="0">
                    <c:v>ΔΕΚ</c:v>
                  </c:pt>
                  <c:pt idx="1">
                    <c:v>ΙΑΝ</c:v>
                  </c:pt>
                  <c:pt idx="2">
                    <c:v>ΦΕΒ</c:v>
                  </c:pt>
                  <c:pt idx="3">
                    <c:v>ΜΑΡ</c:v>
                  </c:pt>
                  <c:pt idx="4">
                    <c:v>ΑΠΡ</c:v>
                  </c:pt>
                  <c:pt idx="5">
                    <c:v>ΜΑΪΟΣ</c:v>
                  </c:pt>
                  <c:pt idx="6">
                    <c:v>ΙΟΥΝ</c:v>
                  </c:pt>
                  <c:pt idx="7">
                    <c:v>ΙΟΥΛ</c:v>
                  </c:pt>
                  <c:pt idx="8">
                    <c:v>ΑΥΓ</c:v>
                  </c:pt>
                  <c:pt idx="9">
                    <c:v>ΣΕΠ</c:v>
                  </c:pt>
                  <c:pt idx="10">
                    <c:v>ΟΚΤ</c:v>
                  </c:pt>
                  <c:pt idx="11">
                    <c:v>ΝΟΕ</c:v>
                  </c:pt>
                  <c:pt idx="12">
                    <c:v>ΔΕΚ</c:v>
                  </c:pt>
                  <c:pt idx="13">
                    <c:v>ΙΑΝ</c:v>
                  </c:pt>
                  <c:pt idx="14">
                    <c:v>ΦΕΒ</c:v>
                  </c:pt>
                  <c:pt idx="15">
                    <c:v>ΜΑΡ</c:v>
                  </c:pt>
                  <c:pt idx="16">
                    <c:v>ΑΠΡ</c:v>
                  </c:pt>
                  <c:pt idx="17">
                    <c:v>ΜΑΪΟΣ</c:v>
                  </c:pt>
                  <c:pt idx="18">
                    <c:v>ΙΟΥΝ</c:v>
                  </c:pt>
                  <c:pt idx="19">
                    <c:v>ΙΟΥΛ</c:v>
                  </c:pt>
                  <c:pt idx="20">
                    <c:v>ΑΥΓ</c:v>
                  </c:pt>
                  <c:pt idx="21">
                    <c:v>ΣΕΠ</c:v>
                  </c:pt>
                  <c:pt idx="22">
                    <c:v>ΟΚΤ</c:v>
                  </c:pt>
                  <c:pt idx="23">
                    <c:v>ΝΟΕ</c:v>
                  </c:pt>
                  <c:pt idx="24">
                    <c:v>ΔΕΚ</c:v>
                  </c:pt>
                </c:lvl>
                <c:lvl>
                  <c:pt idx="1">
                    <c:v>2023</c:v>
                  </c:pt>
                  <c:pt idx="13">
                    <c:v>2024</c:v>
                  </c:pt>
                </c:lvl>
              </c:multiLvlStrCache>
              <c:extLst/>
            </c:multiLvlStrRef>
          </c:cat>
          <c:val>
            <c:numRef>
              <c:f>Chart_GR!$I$116:$I$140</c:f>
              <c:numCache>
                <c:formatCode>0.0</c:formatCode>
                <c:ptCount val="25"/>
                <c:pt idx="0">
                  <c:v>8.3954829799333996</c:v>
                </c:pt>
                <c:pt idx="1">
                  <c:v>8.5273324381602844</c:v>
                </c:pt>
                <c:pt idx="2">
                  <c:v>8.5244371489724635</c:v>
                </c:pt>
                <c:pt idx="3">
                  <c:v>8.4019360774431284</c:v>
                </c:pt>
                <c:pt idx="4">
                  <c:v>7.9531011692933751</c:v>
                </c:pt>
                <c:pt idx="5">
                  <c:v>7.4256020438739245</c:v>
                </c:pt>
                <c:pt idx="6">
                  <c:v>6.7650994108119367</c:v>
                </c:pt>
                <c:pt idx="7">
                  <c:v>5.9728815662912549</c:v>
                </c:pt>
                <c:pt idx="8">
                  <c:v>5.4489722044654743</c:v>
                </c:pt>
                <c:pt idx="9">
                  <c:v>5.0638623326960008</c:v>
                </c:pt>
                <c:pt idx="10">
                  <c:v>4.6289264232334926</c:v>
                </c:pt>
                <c:pt idx="11">
                  <c:v>4.0515570438416137</c:v>
                </c:pt>
                <c:pt idx="12">
                  <c:v>3.5413418875164693</c:v>
                </c:pt>
                <c:pt idx="13">
                  <c:v>3.1080436467711969</c:v>
                </c:pt>
                <c:pt idx="14">
                  <c:v>2.7218399667833459</c:v>
                </c:pt>
                <c:pt idx="15">
                  <c:v>2.349867524742244</c:v>
                </c:pt>
                <c:pt idx="16">
                  <c:v>2.2450331125827949</c:v>
                </c:pt>
                <c:pt idx="17">
                  <c:v>2.2226300143134869</c:v>
                </c:pt>
                <c:pt idx="18">
                  <c:v>2.3070890955595225</c:v>
                </c:pt>
                <c:pt idx="19">
                  <c:v>2.3598992797329466</c:v>
                </c:pt>
                <c:pt idx="20">
                  <c:v>2.2641619679219405</c:v>
                </c:pt>
                <c:pt idx="21">
                  <c:v>1.9844071892903159</c:v>
                </c:pt>
                <c:pt idx="22">
                  <c:v>1.7398941691406433</c:v>
                </c:pt>
                <c:pt idx="23">
                  <c:v>1.7185767198451662</c:v>
                </c:pt>
                <c:pt idx="24">
                  <c:v>1.8002301862481751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1246-4B9C-A80A-9403DDF4DB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999552"/>
        <c:axId val="149480192"/>
      </c:lineChart>
      <c:catAx>
        <c:axId val="144999552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low"/>
        <c:spPr>
          <a:ln/>
        </c:spPr>
        <c:txPr>
          <a:bodyPr rot="-5400000" vert="horz" anchor="t" anchorCtr="1"/>
          <a:lstStyle/>
          <a:p>
            <a:pPr>
              <a:defRPr sz="900">
                <a:latin typeface="Verdana" pitchFamily="34" charset="0"/>
                <a:ea typeface="Verdana" pitchFamily="34" charset="0"/>
                <a:cs typeface="Verdana" pitchFamily="34" charset="0"/>
              </a:defRPr>
            </a:pPr>
            <a:endParaRPr lang="en-CY"/>
          </a:p>
        </c:txPr>
        <c:crossAx val="149480192"/>
        <c:crossesAt val="-2"/>
        <c:auto val="1"/>
        <c:lblAlgn val="ctr"/>
        <c:lblOffset val="100"/>
        <c:noMultiLvlLbl val="0"/>
      </c:catAx>
      <c:valAx>
        <c:axId val="149480192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l-GR" sz="900">
                    <a:latin typeface="Verdana" panose="020B0604030504040204" pitchFamily="34" charset="0"/>
                    <a:ea typeface="Verdana" panose="020B0604030504040204" pitchFamily="34" charset="0"/>
                  </a:rPr>
                  <a:t>%</a:t>
                </a:r>
                <a:endParaRPr lang="en-US" sz="900">
                  <a:latin typeface="Verdana" panose="020B0604030504040204" pitchFamily="34" charset="0"/>
                  <a:ea typeface="Verdana" panose="020B0604030504040204" pitchFamily="34" charset="0"/>
                </a:endParaRPr>
              </a:p>
            </c:rich>
          </c:tx>
          <c:layout>
            <c:manualLayout>
              <c:xMode val="edge"/>
              <c:yMode val="edge"/>
              <c:x val="6.6875653082549636E-3"/>
              <c:y val="0.36495726293512637"/>
            </c:manualLayout>
          </c:layout>
          <c:overlay val="0"/>
        </c:title>
        <c:numFmt formatCode="0.0" sourceLinked="0"/>
        <c:majorTickMark val="none"/>
        <c:min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 sz="900">
                <a:latin typeface="Verdana" pitchFamily="34" charset="0"/>
                <a:ea typeface="Verdana" pitchFamily="34" charset="0"/>
                <a:cs typeface="Verdana" pitchFamily="34" charset="0"/>
              </a:defRPr>
            </a:pPr>
            <a:endParaRPr lang="en-CY"/>
          </a:p>
        </c:txPr>
        <c:crossAx val="14499955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19003299352471223"/>
          <c:y val="0.9390298145073569"/>
          <c:w val="0.62487925686405199"/>
          <c:h val="5.194853360721214E-2"/>
        </c:manualLayout>
      </c:layout>
      <c:overlay val="0"/>
      <c:txPr>
        <a:bodyPr/>
        <a:lstStyle/>
        <a:p>
          <a:pPr>
            <a:defRPr sz="900" b="1">
              <a:latin typeface="Verdana" pitchFamily="34" charset="0"/>
              <a:ea typeface="Verdana" pitchFamily="34" charset="0"/>
              <a:cs typeface="Verdana" pitchFamily="34" charset="0"/>
            </a:defRPr>
          </a:pPr>
          <a:endParaRPr lang="en-CY"/>
        </a:p>
      </c:txPr>
    </c:legend>
    <c:plotVisOnly val="1"/>
    <c:dispBlanksAs val="gap"/>
    <c:showDLblsOverMax val="0"/>
  </c:chart>
  <c:spPr>
    <a:ln w="9525">
      <a:solidFill>
        <a:srgbClr val="558ED5">
          <a:alpha val="50000"/>
        </a:srgbClr>
      </a:solidFill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 2007 - 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 2007 - 2010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 2007 - 2010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FECDD-D329-4CE8-8FD4-82080B2E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8356</CharactersWithSpaces>
  <SharedDoc>false</SharedDoc>
  <HLinks>
    <vt:vector size="12" baseType="variant">
      <vt:variant>
        <vt:i4>4980827</vt:i4>
      </vt:variant>
      <vt:variant>
        <vt:i4>6</vt:i4>
      </vt:variant>
      <vt:variant>
        <vt:i4>0</vt:i4>
      </vt:variant>
      <vt:variant>
        <vt:i4>5</vt:i4>
      </vt:variant>
      <vt:variant>
        <vt:lpwstr>http://www.cystat.gov.cy/</vt:lpwstr>
      </vt:variant>
      <vt:variant>
        <vt:lpwstr/>
      </vt:variant>
      <vt:variant>
        <vt:i4>2293766</vt:i4>
      </vt:variant>
      <vt:variant>
        <vt:i4>3</vt:i4>
      </vt:variant>
      <vt:variant>
        <vt:i4>0</vt:i4>
      </vt:variant>
      <vt:variant>
        <vt:i4>5</vt:i4>
      </vt:variant>
      <vt:variant>
        <vt:lpwstr>mailto:enquiries@cystat.mof.gov.cy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Theodoulou  George</cp:lastModifiedBy>
  <cp:revision>20</cp:revision>
  <cp:lastPrinted>2024-10-03T08:50:00Z</cp:lastPrinted>
  <dcterms:created xsi:type="dcterms:W3CDTF">2024-12-03T11:05:00Z</dcterms:created>
  <dcterms:modified xsi:type="dcterms:W3CDTF">2025-01-02T09:28:00Z</dcterms:modified>
</cp:coreProperties>
</file>