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B3283" w14:textId="3E1E455E" w:rsidR="007437AB" w:rsidRPr="00266F1F" w:rsidRDefault="007437AB" w:rsidP="000E4CB0">
      <w:pPr>
        <w:jc w:val="both"/>
        <w:rPr>
          <w:rFonts w:ascii="Verdana" w:hAnsi="Verdana" w:cs="Arial"/>
          <w:sz w:val="18"/>
          <w:szCs w:val="18"/>
        </w:rPr>
      </w:pPr>
    </w:p>
    <w:p w14:paraId="650D9480" w14:textId="515C0FDF" w:rsidR="006022B5" w:rsidRDefault="0020780D" w:rsidP="00BF1E44">
      <w:pPr>
        <w:tabs>
          <w:tab w:val="left" w:pos="1080"/>
          <w:tab w:val="left" w:pos="7088"/>
        </w:tabs>
        <w:ind w:right="283"/>
        <w:jc w:val="right"/>
        <w:rPr>
          <w:rFonts w:ascii="Verdana" w:eastAsia="Malgun Gothic" w:hAnsi="Verdana" w:cs="Arial"/>
          <w:sz w:val="18"/>
          <w:szCs w:val="18"/>
          <w:lang w:val="el-GR"/>
        </w:rPr>
      </w:pPr>
      <w:r>
        <w:rPr>
          <w:rFonts w:ascii="Verdana" w:hAnsi="Verdana" w:cs="Arial"/>
          <w:sz w:val="18"/>
          <w:szCs w:val="18"/>
          <w:lang w:val="el-GR"/>
        </w:rPr>
        <w:t>8</w:t>
      </w:r>
      <w:r w:rsidR="00B3364B">
        <w:rPr>
          <w:rFonts w:ascii="Verdana" w:hAnsi="Verdana" w:cs="Arial"/>
          <w:sz w:val="18"/>
          <w:szCs w:val="18"/>
          <w:lang w:val="el-GR"/>
        </w:rPr>
        <w:t xml:space="preserve"> </w:t>
      </w:r>
      <w:r>
        <w:rPr>
          <w:rFonts w:ascii="Verdana" w:hAnsi="Verdana" w:cs="Arial"/>
          <w:sz w:val="18"/>
          <w:szCs w:val="18"/>
          <w:lang w:val="el-GR"/>
        </w:rPr>
        <w:t xml:space="preserve"> Μαΐου</w:t>
      </w:r>
      <w:r w:rsidR="006022B5" w:rsidRPr="006022B5">
        <w:rPr>
          <w:rFonts w:ascii="Verdana" w:eastAsia="Malgun Gothic" w:hAnsi="Verdana" w:cs="Arial"/>
          <w:sz w:val="18"/>
          <w:szCs w:val="18"/>
          <w:lang w:val="el-GR"/>
        </w:rPr>
        <w:t>, 202</w:t>
      </w:r>
      <w:r w:rsidR="00BF1E44">
        <w:rPr>
          <w:rFonts w:ascii="Verdana" w:eastAsia="Malgun Gothic" w:hAnsi="Verdana" w:cs="Arial"/>
          <w:sz w:val="18"/>
          <w:szCs w:val="18"/>
          <w:lang w:val="el-GR"/>
        </w:rPr>
        <w:t>5</w:t>
      </w:r>
    </w:p>
    <w:p w14:paraId="0D680384" w14:textId="77777777" w:rsidR="00BF1E44" w:rsidRDefault="00BF1E44" w:rsidP="00BF1E44">
      <w:pPr>
        <w:tabs>
          <w:tab w:val="left" w:pos="1080"/>
          <w:tab w:val="left" w:pos="7088"/>
        </w:tabs>
        <w:ind w:right="283"/>
        <w:jc w:val="center"/>
        <w:rPr>
          <w:rFonts w:ascii="Verdana" w:eastAsia="Malgun Gothic" w:hAnsi="Verdana" w:cs="Arial"/>
          <w:sz w:val="18"/>
          <w:szCs w:val="18"/>
          <w:lang w:val="el-GR"/>
        </w:rPr>
      </w:pPr>
    </w:p>
    <w:p w14:paraId="56EBF85B" w14:textId="77777777" w:rsidR="00BF1E44" w:rsidRDefault="00BF1E44" w:rsidP="006022B5">
      <w:pPr>
        <w:jc w:val="center"/>
        <w:rPr>
          <w:rFonts w:ascii="Verdana" w:eastAsia="Malgun Gothic" w:hAnsi="Verdana" w:cs="Arial"/>
          <w:b/>
          <w:sz w:val="24"/>
          <w:szCs w:val="24"/>
          <w:lang w:val="el-GR"/>
        </w:rPr>
      </w:pPr>
    </w:p>
    <w:p w14:paraId="06071BA9" w14:textId="23BAF8EA"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2FE6D59E" w:rsidR="006022B5" w:rsidRPr="008E1127"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20780D">
        <w:rPr>
          <w:rFonts w:ascii="Verdana" w:eastAsia="Malgun Gothic" w:hAnsi="Verdana" w:cs="Arial"/>
          <w:b/>
          <w:u w:val="single"/>
          <w:lang w:val="el-GR"/>
        </w:rPr>
        <w:t>ΑΠΡΙΛΙΟΣ</w:t>
      </w:r>
      <w:r w:rsidR="00FF18DE">
        <w:rPr>
          <w:rFonts w:ascii="Verdana" w:eastAsia="Malgun Gothic" w:hAnsi="Verdana" w:cs="Arial"/>
          <w:b/>
          <w:u w:val="single"/>
          <w:lang w:val="el-GR"/>
        </w:rPr>
        <w:t xml:space="preserve"> </w:t>
      </w:r>
      <w:r w:rsidRPr="006022B5">
        <w:rPr>
          <w:rFonts w:ascii="Verdana" w:eastAsia="Malgun Gothic" w:hAnsi="Verdana" w:cs="Arial"/>
          <w:b/>
          <w:u w:val="single"/>
          <w:lang w:val="x-none"/>
        </w:rPr>
        <w:t>202</w:t>
      </w:r>
      <w:r w:rsidR="0039267A">
        <w:rPr>
          <w:rFonts w:ascii="Verdana" w:eastAsia="Malgun Gothic" w:hAnsi="Verdana" w:cs="Arial"/>
          <w:b/>
          <w:u w:val="single"/>
          <w:lang w:val="x-none"/>
        </w:rPr>
        <w:t>5</w:t>
      </w:r>
    </w:p>
    <w:p w14:paraId="6CFF816A" w14:textId="77777777" w:rsidR="006022B5" w:rsidRPr="00394E48" w:rsidRDefault="006022B5" w:rsidP="006022B5">
      <w:pPr>
        <w:rPr>
          <w:rFonts w:ascii="Verdana" w:eastAsia="Malgun Gothic" w:hAnsi="Verdana" w:cs="Arial"/>
          <w:lang w:val="el-GR"/>
        </w:rPr>
      </w:pPr>
    </w:p>
    <w:p w14:paraId="32482F3F" w14:textId="156ED138"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20780D">
        <w:rPr>
          <w:rFonts w:ascii="Verdana" w:eastAsia="Malgun Gothic" w:hAnsi="Verdana" w:cs="Arial"/>
          <w:b/>
          <w:lang w:val="el-GR"/>
        </w:rPr>
        <w:t>0</w:t>
      </w:r>
      <w:r w:rsidR="00E53455">
        <w:rPr>
          <w:rFonts w:ascii="Verdana" w:eastAsia="Malgun Gothic" w:hAnsi="Verdana" w:cs="Arial"/>
          <w:b/>
          <w:lang w:val="el-GR"/>
        </w:rPr>
        <w:t>,</w:t>
      </w:r>
      <w:r w:rsidR="0020780D">
        <w:rPr>
          <w:rFonts w:ascii="Verdana" w:eastAsia="Malgun Gothic" w:hAnsi="Verdana" w:cs="Arial"/>
          <w:b/>
          <w:lang w:val="el-GR"/>
        </w:rPr>
        <w:t>2</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5C3EA487" w:rsidR="006022B5" w:rsidRPr="006022B5" w:rsidRDefault="006022B5" w:rsidP="001C528B">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Ο Δείκτης Τιμών Καταναλωτή τον</w:t>
      </w:r>
      <w:r w:rsidR="004D783D" w:rsidRPr="00111708">
        <w:rPr>
          <w:rFonts w:ascii="Verdana" w:eastAsia="Malgun Gothic" w:hAnsi="Verdana" w:cs="Arial"/>
          <w:sz w:val="18"/>
          <w:szCs w:val="18"/>
          <w:lang w:val="el-GR"/>
        </w:rPr>
        <w:t xml:space="preserve"> </w:t>
      </w:r>
      <w:r w:rsidR="0020780D">
        <w:rPr>
          <w:rFonts w:ascii="Verdana" w:eastAsia="Malgun Gothic" w:hAnsi="Verdana" w:cs="Arial"/>
          <w:sz w:val="18"/>
          <w:szCs w:val="18"/>
          <w:lang w:val="el-GR"/>
        </w:rPr>
        <w:t>Απρίλιο</w:t>
      </w:r>
      <w:r w:rsidR="00FF18DE"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202</w:t>
      </w:r>
      <w:r w:rsidR="0039267A"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w:t>
      </w:r>
      <w:r w:rsidR="00FF18DE" w:rsidRPr="00111708">
        <w:rPr>
          <w:rFonts w:ascii="Verdana" w:eastAsia="Malgun Gothic" w:hAnsi="Verdana" w:cs="Arial"/>
          <w:sz w:val="18"/>
          <w:szCs w:val="18"/>
          <w:lang w:val="el-GR"/>
        </w:rPr>
        <w:t xml:space="preserve">αυξήθηκε </w:t>
      </w:r>
      <w:r w:rsidRPr="00111708">
        <w:rPr>
          <w:rFonts w:ascii="Verdana" w:eastAsia="Malgun Gothic" w:hAnsi="Verdana" w:cs="Arial"/>
          <w:sz w:val="18"/>
          <w:szCs w:val="18"/>
          <w:lang w:val="el-GR"/>
        </w:rPr>
        <w:t xml:space="preserve">κατά </w:t>
      </w:r>
      <w:r w:rsidR="00FF18DE" w:rsidRPr="00111708">
        <w:rPr>
          <w:rFonts w:ascii="Verdana" w:eastAsia="Malgun Gothic" w:hAnsi="Verdana" w:cs="Arial"/>
          <w:sz w:val="18"/>
          <w:szCs w:val="18"/>
          <w:lang w:val="el-GR"/>
        </w:rPr>
        <w:t>0,</w:t>
      </w:r>
      <w:r w:rsidR="0020780D">
        <w:rPr>
          <w:rFonts w:ascii="Verdana" w:eastAsia="Malgun Gothic" w:hAnsi="Verdana" w:cs="Arial"/>
          <w:sz w:val="18"/>
          <w:szCs w:val="18"/>
          <w:lang w:val="el-GR"/>
        </w:rPr>
        <w:t>06</w:t>
      </w:r>
      <w:r w:rsidRPr="00111708">
        <w:rPr>
          <w:rFonts w:ascii="Verdana" w:eastAsia="Malgun Gothic" w:hAnsi="Verdana" w:cs="Arial"/>
          <w:sz w:val="18"/>
          <w:szCs w:val="18"/>
          <w:lang w:val="el-GR"/>
        </w:rPr>
        <w:t xml:space="preserve"> μονάδες και έφτασε στις 11</w:t>
      </w:r>
      <w:r w:rsidR="00FF18DE"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20780D">
        <w:rPr>
          <w:rFonts w:ascii="Verdana" w:eastAsia="Malgun Gothic" w:hAnsi="Verdana" w:cs="Arial"/>
          <w:sz w:val="18"/>
          <w:szCs w:val="18"/>
          <w:lang w:val="el-GR"/>
        </w:rPr>
        <w:t>31</w:t>
      </w:r>
      <w:r w:rsidRPr="00111708">
        <w:rPr>
          <w:rFonts w:ascii="Verdana" w:eastAsia="Malgun Gothic" w:hAnsi="Verdana" w:cs="Arial"/>
          <w:sz w:val="18"/>
          <w:szCs w:val="18"/>
          <w:lang w:val="el-GR"/>
        </w:rPr>
        <w:t xml:space="preserve"> μονάδες σε σύγκριση με 11</w:t>
      </w:r>
      <w:r w:rsidR="00111708" w:rsidRPr="00111708">
        <w:rPr>
          <w:rFonts w:ascii="Verdana" w:eastAsia="Malgun Gothic" w:hAnsi="Verdana" w:cs="Arial"/>
          <w:sz w:val="18"/>
          <w:szCs w:val="18"/>
          <w:lang w:val="el-GR"/>
        </w:rPr>
        <w:t>7</w:t>
      </w:r>
      <w:r w:rsidRPr="00111708">
        <w:rPr>
          <w:rFonts w:ascii="Verdana" w:eastAsia="Malgun Gothic" w:hAnsi="Verdana" w:cs="Arial"/>
          <w:sz w:val="18"/>
          <w:szCs w:val="18"/>
          <w:lang w:val="el-GR"/>
        </w:rPr>
        <w:t>,</w:t>
      </w:r>
      <w:r w:rsidR="0020780D">
        <w:rPr>
          <w:rFonts w:ascii="Verdana" w:eastAsia="Malgun Gothic" w:hAnsi="Verdana" w:cs="Arial"/>
          <w:sz w:val="18"/>
          <w:szCs w:val="18"/>
          <w:lang w:val="el-GR"/>
        </w:rPr>
        <w:t>25</w:t>
      </w:r>
      <w:r w:rsidRPr="00111708">
        <w:rPr>
          <w:rFonts w:ascii="Verdana" w:eastAsia="Malgun Gothic" w:hAnsi="Verdana" w:cs="Arial"/>
          <w:sz w:val="18"/>
          <w:szCs w:val="18"/>
          <w:lang w:val="el-GR"/>
        </w:rPr>
        <w:t xml:space="preserve"> μονάδες τον</w:t>
      </w:r>
      <w:r w:rsidR="00896155" w:rsidRPr="00111708">
        <w:rPr>
          <w:rFonts w:ascii="Verdana" w:eastAsia="Malgun Gothic" w:hAnsi="Verdana" w:cs="Arial"/>
          <w:sz w:val="18"/>
          <w:szCs w:val="18"/>
          <w:lang w:val="el-GR"/>
        </w:rPr>
        <w:t xml:space="preserve"> </w:t>
      </w:r>
      <w:r w:rsidR="0020780D">
        <w:rPr>
          <w:rFonts w:ascii="Verdana" w:eastAsia="Malgun Gothic" w:hAnsi="Verdana" w:cs="Arial"/>
          <w:sz w:val="18"/>
          <w:szCs w:val="18"/>
          <w:lang w:val="el-GR"/>
        </w:rPr>
        <w:t xml:space="preserve">Μάρτιο </w:t>
      </w:r>
      <w:r w:rsidRPr="00111708">
        <w:rPr>
          <w:rFonts w:ascii="Verdana" w:eastAsia="Malgun Gothic" w:hAnsi="Verdana" w:cs="Arial"/>
          <w:sz w:val="18"/>
          <w:szCs w:val="18"/>
          <w:lang w:val="el-GR"/>
        </w:rPr>
        <w:t>202</w:t>
      </w:r>
      <w:r w:rsidR="00B06FC6"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Ο πληθωρισμός τον</w:t>
      </w:r>
      <w:r w:rsidR="00896155" w:rsidRPr="00111708">
        <w:rPr>
          <w:rFonts w:ascii="Verdana" w:eastAsia="Malgun Gothic" w:hAnsi="Verdana" w:cs="Arial"/>
          <w:sz w:val="18"/>
          <w:szCs w:val="18"/>
          <w:lang w:val="el-GR"/>
        </w:rPr>
        <w:t xml:space="preserve"> </w:t>
      </w:r>
      <w:r w:rsidR="0020780D">
        <w:rPr>
          <w:rFonts w:ascii="Verdana" w:eastAsia="Malgun Gothic" w:hAnsi="Verdana" w:cs="Arial"/>
          <w:sz w:val="18"/>
          <w:szCs w:val="18"/>
          <w:lang w:val="el-GR"/>
        </w:rPr>
        <w:t xml:space="preserve">Απρίλιο </w:t>
      </w:r>
      <w:r w:rsidRPr="00111708">
        <w:rPr>
          <w:rFonts w:ascii="Verdana" w:eastAsia="Malgun Gothic" w:hAnsi="Verdana" w:cs="Arial"/>
          <w:sz w:val="18"/>
          <w:szCs w:val="18"/>
          <w:lang w:val="el-GR"/>
        </w:rPr>
        <w:t>202</w:t>
      </w:r>
      <w:r w:rsidR="00555A9F" w:rsidRPr="00111708">
        <w:rPr>
          <w:rFonts w:ascii="Verdana" w:eastAsia="Malgun Gothic" w:hAnsi="Verdana" w:cs="Arial"/>
          <w:sz w:val="18"/>
          <w:szCs w:val="18"/>
          <w:lang w:val="el-GR"/>
        </w:rPr>
        <w:t>5</w:t>
      </w:r>
      <w:r w:rsidRPr="00111708">
        <w:rPr>
          <w:rFonts w:ascii="Verdana" w:eastAsia="Malgun Gothic" w:hAnsi="Verdana" w:cs="Arial"/>
          <w:sz w:val="18"/>
          <w:szCs w:val="18"/>
          <w:lang w:val="el-GR"/>
        </w:rPr>
        <w:t xml:space="preserve"> αυξήθηκε με ρυθμό </w:t>
      </w:r>
      <w:r w:rsidR="0020780D">
        <w:rPr>
          <w:rFonts w:ascii="Verdana" w:eastAsia="Malgun Gothic" w:hAnsi="Verdana" w:cs="Arial"/>
          <w:sz w:val="18"/>
          <w:szCs w:val="18"/>
          <w:lang w:val="el-GR"/>
        </w:rPr>
        <w:t>0</w:t>
      </w:r>
      <w:r w:rsidR="00452DF7" w:rsidRPr="00111708">
        <w:rPr>
          <w:rFonts w:ascii="Verdana" w:eastAsia="Malgun Gothic" w:hAnsi="Verdana" w:cs="Arial"/>
          <w:sz w:val="18"/>
          <w:szCs w:val="18"/>
          <w:lang w:val="el-GR"/>
        </w:rPr>
        <w:t>,</w:t>
      </w:r>
      <w:r w:rsidR="0020780D">
        <w:rPr>
          <w:rFonts w:ascii="Verdana" w:eastAsia="Malgun Gothic" w:hAnsi="Verdana" w:cs="Arial"/>
          <w:sz w:val="18"/>
          <w:szCs w:val="18"/>
          <w:lang w:val="el-GR"/>
        </w:rPr>
        <w:t>2</w:t>
      </w:r>
      <w:r w:rsidRPr="00111708">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517B7C02" w14:textId="21F7F70E" w:rsidR="00A63680" w:rsidRPr="00FF18DE" w:rsidRDefault="00A63680" w:rsidP="00F50259">
      <w:pPr>
        <w:tabs>
          <w:tab w:val="left" w:pos="1080"/>
          <w:tab w:val="left" w:pos="6840"/>
        </w:tabs>
        <w:jc w:val="both"/>
        <w:rPr>
          <w:rFonts w:ascii="Verdana" w:eastAsia="Malgun Gothic" w:hAnsi="Verdana" w:cs="Arial"/>
          <w:sz w:val="18"/>
          <w:szCs w:val="18"/>
          <w:lang w:val="el-GR"/>
        </w:rPr>
      </w:pPr>
    </w:p>
    <w:p w14:paraId="09DA2430" w14:textId="50CF2C31" w:rsidR="00A63680" w:rsidRPr="00C80D18" w:rsidRDefault="0020780D" w:rsidP="0004388D">
      <w:pPr>
        <w:tabs>
          <w:tab w:val="left" w:pos="1080"/>
          <w:tab w:val="left" w:pos="6840"/>
        </w:tabs>
        <w:jc w:val="center"/>
        <w:rPr>
          <w:rFonts w:ascii="Verdana" w:eastAsia="Malgun Gothic" w:hAnsi="Verdana" w:cs="Arial"/>
          <w:sz w:val="18"/>
          <w:szCs w:val="18"/>
          <w:lang w:val="el-GR"/>
        </w:rPr>
      </w:pPr>
      <w:r>
        <w:rPr>
          <w:noProof/>
          <w:lang w:val="en-GB" w:eastAsia="en-GB"/>
        </w:rPr>
        <w:drawing>
          <wp:inline distT="0" distB="0" distL="0" distR="0" wp14:anchorId="36DF289F" wp14:editId="2A2626EB">
            <wp:extent cx="6032126" cy="4040840"/>
            <wp:effectExtent l="0" t="0" r="6985" b="17145"/>
            <wp:docPr id="1988074047" name="Chart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15DC0B-4558-42A2-A2A4-E23BEBC6C4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08C1E1" w14:textId="51F0D1A2" w:rsidR="008E4F1A" w:rsidRPr="001C528B" w:rsidRDefault="008E4F1A" w:rsidP="0004388D">
      <w:pPr>
        <w:tabs>
          <w:tab w:val="left" w:pos="1080"/>
          <w:tab w:val="left" w:pos="6840"/>
        </w:tabs>
        <w:jc w:val="both"/>
        <w:rPr>
          <w:rFonts w:ascii="Verdana" w:eastAsia="Malgun Gothic" w:hAnsi="Verdana" w:cs="Arial"/>
          <w:sz w:val="18"/>
          <w:szCs w:val="18"/>
          <w:lang w:val="el-GR"/>
        </w:rPr>
      </w:pPr>
    </w:p>
    <w:p w14:paraId="4DE77337" w14:textId="77777777" w:rsidR="008E4F1A" w:rsidRPr="00750AF4" w:rsidRDefault="008E4F1A" w:rsidP="006022B5">
      <w:pPr>
        <w:tabs>
          <w:tab w:val="left" w:pos="1080"/>
          <w:tab w:val="left" w:pos="6840"/>
        </w:tabs>
        <w:jc w:val="both"/>
        <w:rPr>
          <w:rFonts w:ascii="Verdana" w:eastAsia="Malgun Gothic" w:hAnsi="Verdana" w:cs="Arial"/>
          <w:sz w:val="18"/>
          <w:szCs w:val="18"/>
          <w:lang w:val="el-GR"/>
        </w:rPr>
      </w:pPr>
    </w:p>
    <w:p w14:paraId="0E994513" w14:textId="77777777" w:rsidR="00C87829" w:rsidRDefault="00C87829" w:rsidP="00750AF4">
      <w:pPr>
        <w:tabs>
          <w:tab w:val="left" w:pos="1080"/>
          <w:tab w:val="left" w:pos="6840"/>
        </w:tabs>
        <w:jc w:val="both"/>
        <w:rPr>
          <w:rFonts w:ascii="Verdana" w:eastAsia="Malgun Gothic" w:hAnsi="Verdana" w:cs="Arial"/>
          <w:sz w:val="18"/>
          <w:szCs w:val="18"/>
          <w:lang w:val="el-GR"/>
        </w:rPr>
      </w:pPr>
    </w:p>
    <w:p w14:paraId="0AF7ED83" w14:textId="21D87926" w:rsidR="00394E48" w:rsidRDefault="00765BDC" w:rsidP="00765BDC">
      <w:pPr>
        <w:jc w:val="both"/>
        <w:rPr>
          <w:rFonts w:ascii="Verdana" w:eastAsia="Malgun Gothic" w:hAnsi="Verdana" w:cs="Arial"/>
          <w:b/>
          <w:sz w:val="18"/>
          <w:szCs w:val="18"/>
          <w:u w:val="single"/>
          <w:lang w:val="el-GR"/>
        </w:rPr>
      </w:pPr>
      <w:r w:rsidRPr="00765BDC">
        <w:rPr>
          <w:rFonts w:ascii="Verdana" w:eastAsia="Malgun Gothic" w:hAnsi="Verdana" w:cs="Arial"/>
          <w:sz w:val="18"/>
          <w:szCs w:val="18"/>
          <w:lang w:val="el-GR"/>
        </w:rPr>
        <w:t>Οι μεγαλύτερες θετικές μεταβολές στις οικονομικές κατηγορίες συγκριτικά με τον Απρίλιο του 2024 σημειώθηκαν στα Γεωργικά Προϊόντα (9,3%) και στις Υπηρεσίες (3,7%) ενώ οι μεγαλύτερες αρνητικές μεταβολές παρατηρήθηκαν στα Πετρελαιοειδή (-9,4%) και τον Ηλεκτρισμό (-8,8%). Σε σχέση με το Μάρτιο 2025 η μεγαλύτερη μεταβολή καταγράφηκε στο Ηλεκτρισμό με ποσοστό -8,5%. (Πίνακας 2)</w:t>
      </w:r>
    </w:p>
    <w:p w14:paraId="6F527AE4" w14:textId="4A4166ED" w:rsidR="00370C47" w:rsidRDefault="00370C47">
      <w:pPr>
        <w:rPr>
          <w:rFonts w:ascii="Verdana" w:eastAsia="Malgun Gothic" w:hAnsi="Verdana" w:cs="Arial"/>
          <w:b/>
          <w:sz w:val="18"/>
          <w:szCs w:val="18"/>
          <w:u w:val="single"/>
          <w:lang w:val="el-GR"/>
        </w:rPr>
      </w:pPr>
    </w:p>
    <w:p w14:paraId="64934141" w14:textId="77777777" w:rsidR="00C81A07" w:rsidRDefault="00C81A07">
      <w:pPr>
        <w:rPr>
          <w:rFonts w:ascii="Verdana" w:eastAsia="Malgun Gothic" w:hAnsi="Verdana" w:cs="Arial"/>
          <w:b/>
          <w:sz w:val="18"/>
          <w:szCs w:val="18"/>
          <w:u w:val="single"/>
          <w:lang w:val="el-GR"/>
        </w:rPr>
      </w:pPr>
    </w:p>
    <w:p w14:paraId="4A1673BB" w14:textId="5A629A68" w:rsidR="00370C47" w:rsidRDefault="00370C47">
      <w:pPr>
        <w:rPr>
          <w:rFonts w:ascii="Verdana" w:eastAsia="Malgun Gothic" w:hAnsi="Verdana" w:cs="Arial"/>
          <w:b/>
          <w:sz w:val="18"/>
          <w:szCs w:val="18"/>
          <w:u w:val="single"/>
          <w:lang w:val="el-GR"/>
        </w:rPr>
      </w:pPr>
    </w:p>
    <w:p w14:paraId="7CB30A22" w14:textId="404F346E"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1865CBB1"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Συγκριτικά με τον </w:t>
      </w:r>
      <w:r w:rsidR="006314AA">
        <w:rPr>
          <w:rFonts w:ascii="Verdana" w:eastAsia="Malgun Gothic" w:hAnsi="Verdana" w:cs="Arial"/>
          <w:sz w:val="18"/>
          <w:szCs w:val="18"/>
          <w:lang w:val="el-GR"/>
        </w:rPr>
        <w:t>Απρίλιο</w:t>
      </w:r>
      <w:r w:rsidR="00A15339"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του 202</w:t>
      </w:r>
      <w:r w:rsidR="001547F3" w:rsidRPr="00111708">
        <w:rPr>
          <w:rFonts w:ascii="Verdana" w:eastAsia="Malgun Gothic" w:hAnsi="Verdana" w:cs="Arial"/>
          <w:sz w:val="18"/>
          <w:szCs w:val="18"/>
          <w:lang w:val="el-GR"/>
        </w:rPr>
        <w:t>4</w:t>
      </w:r>
      <w:r w:rsidRPr="00111708">
        <w:rPr>
          <w:rFonts w:ascii="Verdana" w:eastAsia="Malgun Gothic" w:hAnsi="Verdana" w:cs="Arial"/>
          <w:sz w:val="18"/>
          <w:szCs w:val="18"/>
          <w:lang w:val="el-GR"/>
        </w:rPr>
        <w:t>,</w:t>
      </w:r>
      <w:r w:rsidR="003C63F9" w:rsidRPr="00111708">
        <w:rPr>
          <w:rFonts w:ascii="Verdana" w:eastAsia="Malgun Gothic" w:hAnsi="Verdana" w:cs="Arial"/>
          <w:sz w:val="18"/>
          <w:szCs w:val="18"/>
          <w:lang w:val="el-GR"/>
        </w:rPr>
        <w:t xml:space="preserve"> οι</w:t>
      </w:r>
      <w:r w:rsidR="00364682" w:rsidRPr="00111708">
        <w:rPr>
          <w:rFonts w:ascii="Verdana" w:eastAsia="Malgun Gothic" w:hAnsi="Verdana" w:cs="Arial"/>
          <w:sz w:val="18"/>
          <w:szCs w:val="18"/>
          <w:lang w:val="el-GR"/>
        </w:rPr>
        <w:t xml:space="preserve"> μεγαλύτερ</w:t>
      </w:r>
      <w:r w:rsidR="003D1843" w:rsidRPr="00111708">
        <w:rPr>
          <w:rFonts w:ascii="Verdana" w:eastAsia="Malgun Gothic" w:hAnsi="Verdana" w:cs="Arial"/>
          <w:sz w:val="18"/>
          <w:szCs w:val="18"/>
          <w:lang w:val="el-GR"/>
        </w:rPr>
        <w:t>ες</w:t>
      </w:r>
      <w:r w:rsidR="00364682" w:rsidRPr="00111708">
        <w:rPr>
          <w:rFonts w:ascii="Verdana" w:eastAsia="Malgun Gothic" w:hAnsi="Verdana" w:cs="Arial"/>
          <w:sz w:val="18"/>
          <w:szCs w:val="18"/>
          <w:lang w:val="el-GR"/>
        </w:rPr>
        <w:t xml:space="preserve"> μεταβολ</w:t>
      </w:r>
      <w:r w:rsidR="003D1843" w:rsidRPr="00111708">
        <w:rPr>
          <w:rFonts w:ascii="Verdana" w:eastAsia="Malgun Gothic" w:hAnsi="Verdana" w:cs="Arial"/>
          <w:sz w:val="18"/>
          <w:szCs w:val="18"/>
          <w:lang w:val="el-GR"/>
        </w:rPr>
        <w:t>ές</w:t>
      </w:r>
      <w:r w:rsidR="00364682" w:rsidRPr="00111708">
        <w:rPr>
          <w:rFonts w:ascii="Verdana" w:eastAsia="Malgun Gothic" w:hAnsi="Verdana" w:cs="Arial"/>
          <w:sz w:val="18"/>
          <w:szCs w:val="18"/>
          <w:lang w:val="el-GR"/>
        </w:rPr>
        <w:t xml:space="preserve"> παρατηρήθηκ</w:t>
      </w:r>
      <w:r w:rsidR="003D1843" w:rsidRPr="00111708">
        <w:rPr>
          <w:rFonts w:ascii="Verdana" w:eastAsia="Malgun Gothic" w:hAnsi="Verdana" w:cs="Arial"/>
          <w:sz w:val="18"/>
          <w:szCs w:val="18"/>
          <w:lang w:val="el-GR"/>
        </w:rPr>
        <w:t>αν</w:t>
      </w:r>
      <w:r w:rsidR="00364682" w:rsidRPr="00111708">
        <w:rPr>
          <w:rFonts w:ascii="Verdana" w:eastAsia="Malgun Gothic" w:hAnsi="Verdana" w:cs="Arial"/>
          <w:sz w:val="18"/>
          <w:szCs w:val="18"/>
          <w:lang w:val="el-GR"/>
        </w:rPr>
        <w:t xml:space="preserve"> </w:t>
      </w:r>
      <w:r w:rsidR="002D32FA" w:rsidRPr="00111708">
        <w:rPr>
          <w:rFonts w:ascii="Verdana" w:eastAsia="Malgun Gothic" w:hAnsi="Verdana" w:cs="Arial"/>
          <w:sz w:val="18"/>
          <w:szCs w:val="18"/>
          <w:lang w:val="el-GR"/>
        </w:rPr>
        <w:t>στ</w:t>
      </w:r>
      <w:r w:rsidR="00382E07" w:rsidRPr="00111708">
        <w:rPr>
          <w:rFonts w:ascii="Verdana" w:eastAsia="Malgun Gothic" w:hAnsi="Verdana" w:cs="Arial"/>
          <w:sz w:val="18"/>
          <w:szCs w:val="18"/>
          <w:lang w:val="el-GR"/>
        </w:rPr>
        <w:t>ις</w:t>
      </w:r>
      <w:r w:rsidR="00364682" w:rsidRPr="00111708">
        <w:rPr>
          <w:rFonts w:ascii="Verdana" w:eastAsia="Malgun Gothic" w:hAnsi="Verdana" w:cs="Arial"/>
          <w:sz w:val="18"/>
          <w:szCs w:val="18"/>
          <w:lang w:val="el-GR"/>
        </w:rPr>
        <w:t xml:space="preserve"> </w:t>
      </w:r>
      <w:r w:rsidR="00CC1544" w:rsidRPr="00111708">
        <w:rPr>
          <w:rFonts w:ascii="Verdana" w:eastAsia="Malgun Gothic" w:hAnsi="Verdana" w:cs="Arial"/>
          <w:sz w:val="18"/>
          <w:szCs w:val="18"/>
          <w:lang w:val="el-GR"/>
        </w:rPr>
        <w:t xml:space="preserve">κατηγορίες </w:t>
      </w:r>
      <w:r w:rsidR="00111708">
        <w:rPr>
          <w:rFonts w:ascii="Verdana" w:eastAsia="Malgun Gothic" w:hAnsi="Verdana" w:cs="Arial"/>
          <w:sz w:val="18"/>
          <w:szCs w:val="18"/>
          <w:lang w:val="el-GR"/>
        </w:rPr>
        <w:t xml:space="preserve"> </w:t>
      </w:r>
      <w:r w:rsidR="00A15339" w:rsidRPr="00111708">
        <w:rPr>
          <w:rFonts w:ascii="Verdana" w:eastAsia="Malgun Gothic" w:hAnsi="Verdana" w:cs="Arial"/>
          <w:i/>
          <w:iCs/>
          <w:sz w:val="18"/>
          <w:szCs w:val="18"/>
          <w:lang w:val="el-GR"/>
        </w:rPr>
        <w:t>Ένδυση και Υπόδηση</w:t>
      </w:r>
      <w:r w:rsidR="00A15339" w:rsidRPr="00111708">
        <w:rPr>
          <w:rFonts w:ascii="Verdana" w:eastAsia="Malgun Gothic" w:hAnsi="Verdana" w:cs="Arial"/>
          <w:sz w:val="18"/>
          <w:szCs w:val="18"/>
          <w:lang w:val="el-GR"/>
        </w:rPr>
        <w:t xml:space="preserve"> </w:t>
      </w:r>
      <w:r w:rsidR="00957A69"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w:t>
      </w:r>
      <w:r w:rsidR="00111708" w:rsidRPr="00111708">
        <w:rPr>
          <w:rFonts w:ascii="Verdana" w:eastAsia="Malgun Gothic" w:hAnsi="Verdana" w:cs="Arial"/>
          <w:sz w:val="18"/>
          <w:szCs w:val="18"/>
          <w:lang w:val="el-GR"/>
        </w:rPr>
        <w:t>7</w:t>
      </w:r>
      <w:r w:rsidR="00264413" w:rsidRPr="00111708">
        <w:rPr>
          <w:rFonts w:ascii="Verdana" w:eastAsia="Malgun Gothic" w:hAnsi="Verdana" w:cs="Arial"/>
          <w:sz w:val="18"/>
          <w:szCs w:val="18"/>
          <w:lang w:val="el-GR"/>
        </w:rPr>
        <w:t>,</w:t>
      </w:r>
      <w:r w:rsidR="006314AA">
        <w:rPr>
          <w:rFonts w:ascii="Verdana" w:eastAsia="Malgun Gothic" w:hAnsi="Verdana" w:cs="Arial"/>
          <w:sz w:val="18"/>
          <w:szCs w:val="18"/>
          <w:lang w:val="el-GR"/>
        </w:rPr>
        <w:t>1</w:t>
      </w:r>
      <w:r w:rsidR="00264413" w:rsidRPr="00111708">
        <w:rPr>
          <w:rFonts w:ascii="Verdana" w:eastAsia="Malgun Gothic" w:hAnsi="Verdana" w:cs="Arial"/>
          <w:sz w:val="18"/>
          <w:szCs w:val="18"/>
          <w:lang w:val="el-GR"/>
        </w:rPr>
        <w:t>%)</w:t>
      </w:r>
      <w:r w:rsidR="00A15339"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 xml:space="preserve">Εστιατόρια και Ξενοδοχεία </w:t>
      </w:r>
      <w:r w:rsidR="00111708" w:rsidRPr="00111708">
        <w:rPr>
          <w:rFonts w:ascii="Verdana" w:eastAsia="Malgun Gothic" w:hAnsi="Verdana" w:cs="Arial"/>
          <w:sz w:val="18"/>
          <w:szCs w:val="18"/>
          <w:lang w:val="el-GR"/>
        </w:rPr>
        <w:t>(5,</w:t>
      </w:r>
      <w:r w:rsidR="006314AA">
        <w:rPr>
          <w:rFonts w:ascii="Verdana" w:eastAsia="Malgun Gothic" w:hAnsi="Verdana" w:cs="Arial"/>
          <w:sz w:val="18"/>
          <w:szCs w:val="18"/>
          <w:lang w:val="el-GR"/>
        </w:rPr>
        <w:t>2</w:t>
      </w:r>
      <w:r w:rsidR="00111708" w:rsidRPr="00111708">
        <w:rPr>
          <w:rFonts w:ascii="Verdana" w:eastAsia="Malgun Gothic" w:hAnsi="Verdana" w:cs="Arial"/>
          <w:sz w:val="18"/>
          <w:szCs w:val="18"/>
          <w:lang w:val="el-GR"/>
        </w:rPr>
        <w:t xml:space="preserve">%), </w:t>
      </w:r>
      <w:r w:rsidR="00A15339" w:rsidRPr="00111708">
        <w:rPr>
          <w:rFonts w:ascii="Verdana" w:eastAsia="Malgun Gothic" w:hAnsi="Verdana" w:cs="Arial"/>
          <w:i/>
          <w:iCs/>
          <w:sz w:val="18"/>
          <w:szCs w:val="18"/>
          <w:lang w:val="el-GR"/>
        </w:rPr>
        <w:t>Εκπαίδευση</w:t>
      </w:r>
      <w:r w:rsidR="00A15339" w:rsidRPr="00111708">
        <w:rPr>
          <w:rFonts w:ascii="Verdana" w:eastAsia="Malgun Gothic" w:hAnsi="Verdana" w:cs="Arial"/>
          <w:sz w:val="18"/>
          <w:szCs w:val="18"/>
          <w:lang w:val="el-GR"/>
        </w:rPr>
        <w:t xml:space="preserve"> (3,7%)</w:t>
      </w:r>
      <w:r w:rsidR="006314AA">
        <w:rPr>
          <w:rFonts w:ascii="Verdana" w:eastAsia="Malgun Gothic" w:hAnsi="Verdana" w:cs="Arial"/>
          <w:sz w:val="18"/>
          <w:szCs w:val="18"/>
          <w:lang w:val="el-GR"/>
        </w:rPr>
        <w:t xml:space="preserve"> και </w:t>
      </w:r>
      <w:r w:rsidR="006314AA" w:rsidRPr="006314AA">
        <w:rPr>
          <w:rFonts w:ascii="Verdana" w:eastAsia="Malgun Gothic" w:hAnsi="Verdana" w:cs="Arial"/>
          <w:i/>
          <w:iCs/>
          <w:sz w:val="18"/>
          <w:szCs w:val="18"/>
          <w:lang w:val="el-GR"/>
        </w:rPr>
        <w:t>Μεταφορές</w:t>
      </w:r>
      <w:r w:rsidR="006314AA">
        <w:rPr>
          <w:rFonts w:ascii="Verdana" w:eastAsia="Malgun Gothic" w:hAnsi="Verdana" w:cs="Arial"/>
          <w:sz w:val="18"/>
          <w:szCs w:val="18"/>
          <w:lang w:val="el-GR"/>
        </w:rPr>
        <w:t xml:space="preserve"> (-3,6%)</w:t>
      </w:r>
      <w:r w:rsidR="00111708" w:rsidRPr="00111708">
        <w:rPr>
          <w:rFonts w:ascii="Verdana" w:eastAsia="Malgun Gothic" w:hAnsi="Verdana" w:cs="Arial"/>
          <w:sz w:val="18"/>
          <w:szCs w:val="18"/>
          <w:lang w:val="el-GR"/>
        </w:rPr>
        <w:t>.</w:t>
      </w:r>
      <w:r w:rsidR="0038066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1EC1D9E9" w14:textId="77777777" w:rsidR="006022B5" w:rsidRPr="00B442B0" w:rsidRDefault="006022B5" w:rsidP="006022B5">
      <w:pPr>
        <w:tabs>
          <w:tab w:val="left" w:pos="1080"/>
          <w:tab w:val="left" w:pos="6840"/>
        </w:tabs>
        <w:jc w:val="both"/>
        <w:rPr>
          <w:rFonts w:ascii="Verdana" w:eastAsia="Malgun Gothic" w:hAnsi="Verdana" w:cs="Arial"/>
          <w:sz w:val="18"/>
          <w:szCs w:val="18"/>
          <w:highlight w:val="yellow"/>
          <w:lang w:val="el-GR"/>
        </w:rPr>
      </w:pPr>
    </w:p>
    <w:p w14:paraId="0DD18807" w14:textId="4A53431B" w:rsidR="006022B5" w:rsidRPr="00111708" w:rsidRDefault="006022B5" w:rsidP="006022B5">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Σε σχέση με τον</w:t>
      </w:r>
      <w:r w:rsidR="00D703BD"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Μάρτιο</w:t>
      </w:r>
      <w:r w:rsidR="008125E2" w:rsidRPr="00111708">
        <w:rPr>
          <w:rFonts w:ascii="Verdana" w:eastAsia="Malgun Gothic" w:hAnsi="Verdana" w:cs="Arial"/>
          <w:sz w:val="18"/>
          <w:szCs w:val="18"/>
          <w:lang w:val="el-GR"/>
        </w:rPr>
        <w:t xml:space="preserve"> </w:t>
      </w:r>
      <w:r w:rsidR="00196A7C" w:rsidRPr="00111708">
        <w:rPr>
          <w:rFonts w:ascii="Verdana" w:eastAsia="Malgun Gothic" w:hAnsi="Verdana" w:cs="Arial"/>
          <w:sz w:val="18"/>
          <w:szCs w:val="18"/>
          <w:lang w:val="el-GR"/>
        </w:rPr>
        <w:t>του 202</w:t>
      </w:r>
      <w:r w:rsidR="00A15339" w:rsidRPr="00111708">
        <w:rPr>
          <w:rFonts w:ascii="Verdana" w:eastAsia="Malgun Gothic" w:hAnsi="Verdana" w:cs="Arial"/>
          <w:sz w:val="18"/>
          <w:szCs w:val="18"/>
          <w:lang w:val="el-GR"/>
        </w:rPr>
        <w:t>5</w:t>
      </w:r>
      <w:r w:rsidR="006B7F67"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οι</w:t>
      </w:r>
      <w:r w:rsidR="006B7F67" w:rsidRPr="00111708">
        <w:rPr>
          <w:rFonts w:ascii="Verdana" w:eastAsia="Malgun Gothic" w:hAnsi="Verdana" w:cs="Arial"/>
          <w:sz w:val="18"/>
          <w:szCs w:val="18"/>
          <w:lang w:val="el-GR"/>
        </w:rPr>
        <w:t xml:space="preserve"> μεγαλύ</w:t>
      </w:r>
      <w:r w:rsidR="00E61415" w:rsidRPr="00111708">
        <w:rPr>
          <w:rFonts w:ascii="Verdana" w:eastAsia="Malgun Gothic" w:hAnsi="Verdana" w:cs="Arial"/>
          <w:sz w:val="18"/>
          <w:szCs w:val="18"/>
          <w:lang w:val="el-GR"/>
        </w:rPr>
        <w:t>τερ</w:t>
      </w:r>
      <w:r w:rsidR="006314AA">
        <w:rPr>
          <w:rFonts w:ascii="Verdana" w:eastAsia="Malgun Gothic" w:hAnsi="Verdana" w:cs="Arial"/>
          <w:sz w:val="18"/>
          <w:szCs w:val="18"/>
          <w:lang w:val="el-GR"/>
        </w:rPr>
        <w:t>ε</w:t>
      </w:r>
      <w:r w:rsidR="005F3E17">
        <w:rPr>
          <w:rFonts w:ascii="Verdana" w:eastAsia="Malgun Gothic" w:hAnsi="Verdana" w:cs="Arial"/>
          <w:sz w:val="18"/>
          <w:szCs w:val="18"/>
          <w:lang w:val="el-GR"/>
        </w:rPr>
        <w:t>ς</w:t>
      </w:r>
      <w:r w:rsidR="006B7F67" w:rsidRPr="00111708">
        <w:rPr>
          <w:rFonts w:ascii="Verdana" w:eastAsia="Malgun Gothic" w:hAnsi="Verdana" w:cs="Arial"/>
          <w:sz w:val="18"/>
          <w:szCs w:val="18"/>
          <w:lang w:val="el-GR"/>
        </w:rPr>
        <w:t xml:space="preserve"> μεταβολ</w:t>
      </w:r>
      <w:r w:rsidR="006314AA">
        <w:rPr>
          <w:rFonts w:ascii="Verdana" w:eastAsia="Malgun Gothic" w:hAnsi="Verdana" w:cs="Arial"/>
          <w:sz w:val="18"/>
          <w:szCs w:val="18"/>
          <w:lang w:val="el-GR"/>
        </w:rPr>
        <w:t xml:space="preserve">ές </w:t>
      </w:r>
      <w:r w:rsidR="006B7F67" w:rsidRPr="00111708">
        <w:rPr>
          <w:rFonts w:ascii="Verdana" w:eastAsia="Malgun Gothic" w:hAnsi="Verdana" w:cs="Arial"/>
          <w:sz w:val="18"/>
          <w:szCs w:val="18"/>
          <w:lang w:val="el-GR"/>
        </w:rPr>
        <w:t>παρατηρήθηκ</w:t>
      </w:r>
      <w:r w:rsidR="006314AA">
        <w:rPr>
          <w:rFonts w:ascii="Verdana" w:eastAsia="Malgun Gothic" w:hAnsi="Verdana" w:cs="Arial"/>
          <w:sz w:val="18"/>
          <w:szCs w:val="18"/>
          <w:lang w:val="el-GR"/>
        </w:rPr>
        <w:t>αν</w:t>
      </w:r>
      <w:r w:rsidR="00E61415"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 xml:space="preserve">στις </w:t>
      </w:r>
      <w:r w:rsidR="00132903" w:rsidRPr="00111708">
        <w:rPr>
          <w:rFonts w:ascii="Verdana" w:eastAsia="Malgun Gothic" w:hAnsi="Verdana" w:cs="Arial"/>
          <w:sz w:val="18"/>
          <w:szCs w:val="18"/>
          <w:lang w:val="el-GR"/>
        </w:rPr>
        <w:t>κατηγορί</w:t>
      </w:r>
      <w:r w:rsidR="00426606" w:rsidRPr="00111708">
        <w:rPr>
          <w:rFonts w:ascii="Verdana" w:eastAsia="Malgun Gothic" w:hAnsi="Verdana" w:cs="Arial"/>
          <w:sz w:val="18"/>
          <w:szCs w:val="18"/>
          <w:lang w:val="el-GR"/>
        </w:rPr>
        <w:t>α</w:t>
      </w:r>
      <w:r w:rsidR="00E61415" w:rsidRPr="00111708">
        <w:rPr>
          <w:rFonts w:ascii="Verdana" w:eastAsia="Malgun Gothic" w:hAnsi="Verdana" w:cs="Arial"/>
          <w:sz w:val="18"/>
          <w:szCs w:val="18"/>
          <w:lang w:val="el-GR"/>
        </w:rPr>
        <w:t xml:space="preserve"> </w:t>
      </w:r>
      <w:r w:rsidR="00111708" w:rsidRPr="00111708">
        <w:rPr>
          <w:rFonts w:ascii="Verdana" w:eastAsia="Malgun Gothic" w:hAnsi="Verdana" w:cs="Arial"/>
          <w:i/>
          <w:iCs/>
          <w:sz w:val="18"/>
          <w:szCs w:val="18"/>
          <w:lang w:val="el-GR"/>
        </w:rPr>
        <w:t>Ένδυση και Υπόδηση</w:t>
      </w:r>
      <w:r w:rsidR="00111708" w:rsidRPr="00111708">
        <w:rPr>
          <w:rFonts w:ascii="Verdana" w:eastAsia="Malgun Gothic" w:hAnsi="Verdana" w:cs="Arial"/>
          <w:sz w:val="18"/>
          <w:szCs w:val="18"/>
          <w:lang w:val="el-GR"/>
        </w:rPr>
        <w:t xml:space="preserve"> (</w:t>
      </w:r>
      <w:r w:rsidR="006314AA">
        <w:rPr>
          <w:rFonts w:ascii="Verdana" w:eastAsia="Malgun Gothic" w:hAnsi="Verdana" w:cs="Arial"/>
          <w:sz w:val="18"/>
          <w:szCs w:val="18"/>
          <w:lang w:val="el-GR"/>
        </w:rPr>
        <w:t>4</w:t>
      </w:r>
      <w:r w:rsidR="00111708" w:rsidRPr="00111708">
        <w:rPr>
          <w:rFonts w:ascii="Verdana" w:eastAsia="Malgun Gothic" w:hAnsi="Verdana" w:cs="Arial"/>
          <w:sz w:val="18"/>
          <w:szCs w:val="18"/>
          <w:lang w:val="el-GR"/>
        </w:rPr>
        <w:t>,</w:t>
      </w:r>
      <w:r w:rsidR="006314AA">
        <w:rPr>
          <w:rFonts w:ascii="Verdana" w:eastAsia="Malgun Gothic" w:hAnsi="Verdana" w:cs="Arial"/>
          <w:sz w:val="18"/>
          <w:szCs w:val="18"/>
          <w:lang w:val="el-GR"/>
        </w:rPr>
        <w:t>7</w:t>
      </w:r>
      <w:r w:rsidR="00111708" w:rsidRPr="00111708">
        <w:rPr>
          <w:rFonts w:ascii="Verdana" w:eastAsia="Malgun Gothic" w:hAnsi="Verdana" w:cs="Arial"/>
          <w:sz w:val="18"/>
          <w:szCs w:val="18"/>
          <w:lang w:val="el-GR"/>
        </w:rPr>
        <w:t>%)</w:t>
      </w:r>
      <w:r w:rsidR="006314AA">
        <w:rPr>
          <w:rFonts w:ascii="Verdana" w:eastAsia="Malgun Gothic" w:hAnsi="Verdana" w:cs="Arial"/>
          <w:sz w:val="18"/>
          <w:szCs w:val="18"/>
          <w:lang w:val="el-GR"/>
        </w:rPr>
        <w:t xml:space="preserve"> και </w:t>
      </w:r>
      <w:r w:rsidR="006314AA" w:rsidRPr="006314AA">
        <w:rPr>
          <w:rFonts w:ascii="Verdana" w:eastAsia="Malgun Gothic" w:hAnsi="Verdana" w:cs="Arial"/>
          <w:i/>
          <w:iCs/>
          <w:sz w:val="18"/>
          <w:szCs w:val="18"/>
          <w:lang w:val="el-GR"/>
        </w:rPr>
        <w:t>Στέγαση, Ύδρευση, Ηλεκτρισμός και Υγραέριο</w:t>
      </w:r>
      <w:r w:rsidR="006314AA">
        <w:rPr>
          <w:rFonts w:ascii="Verdana" w:eastAsia="Malgun Gothic" w:hAnsi="Verdana" w:cs="Arial"/>
          <w:sz w:val="18"/>
          <w:szCs w:val="18"/>
          <w:lang w:val="el-GR"/>
        </w:rPr>
        <w:t xml:space="preserve"> (-3,1)</w:t>
      </w:r>
      <w:r w:rsidR="00132903" w:rsidRPr="00111708">
        <w:rPr>
          <w:rFonts w:ascii="Verdana" w:eastAsia="Malgun Gothic" w:hAnsi="Verdana" w:cs="Arial"/>
          <w:sz w:val="18"/>
          <w:szCs w:val="18"/>
          <w:lang w:val="el-GR"/>
        </w:rPr>
        <w:t xml:space="preserve">. </w:t>
      </w:r>
      <w:r w:rsidRPr="00111708">
        <w:rPr>
          <w:rFonts w:ascii="Verdana" w:eastAsia="Malgun Gothic" w:hAnsi="Verdana" w:cs="Arial"/>
          <w:sz w:val="18"/>
          <w:szCs w:val="18"/>
          <w:lang w:val="el-GR"/>
        </w:rPr>
        <w:t>(Πίνακας 1)</w:t>
      </w:r>
    </w:p>
    <w:p w14:paraId="22DB350F" w14:textId="77777777" w:rsidR="00A15339" w:rsidRPr="00111708" w:rsidRDefault="00A15339" w:rsidP="006022B5">
      <w:pPr>
        <w:tabs>
          <w:tab w:val="left" w:pos="1080"/>
          <w:tab w:val="left" w:pos="6840"/>
        </w:tabs>
        <w:jc w:val="both"/>
        <w:rPr>
          <w:rFonts w:ascii="Verdana" w:eastAsia="Malgun Gothic" w:hAnsi="Verdana" w:cs="Arial"/>
          <w:i/>
          <w:sz w:val="18"/>
          <w:szCs w:val="18"/>
          <w:lang w:val="el-GR"/>
        </w:rPr>
      </w:pPr>
    </w:p>
    <w:p w14:paraId="4E0D3452" w14:textId="4A342155" w:rsidR="00A15339" w:rsidRPr="00E21D72" w:rsidRDefault="00A15339" w:rsidP="00A15339">
      <w:pPr>
        <w:tabs>
          <w:tab w:val="left" w:pos="1080"/>
          <w:tab w:val="left" w:pos="6840"/>
        </w:tabs>
        <w:jc w:val="both"/>
        <w:rPr>
          <w:rFonts w:ascii="Verdana" w:eastAsia="Malgun Gothic" w:hAnsi="Verdana" w:cs="Arial"/>
          <w:sz w:val="18"/>
          <w:szCs w:val="18"/>
          <w:lang w:val="el-GR"/>
        </w:rPr>
      </w:pPr>
      <w:r w:rsidRPr="00111708">
        <w:rPr>
          <w:rFonts w:ascii="Verdana" w:eastAsia="Malgun Gothic" w:hAnsi="Verdana" w:cs="Arial"/>
          <w:sz w:val="18"/>
          <w:szCs w:val="18"/>
          <w:lang w:val="el-GR"/>
        </w:rPr>
        <w:t xml:space="preserve">Για την περίοδο Ιανουαρίου – </w:t>
      </w:r>
      <w:r w:rsidR="006314AA">
        <w:rPr>
          <w:rFonts w:ascii="Verdana" w:eastAsia="Malgun Gothic" w:hAnsi="Verdana" w:cs="Arial"/>
          <w:sz w:val="18"/>
          <w:szCs w:val="18"/>
          <w:lang w:val="el-GR"/>
        </w:rPr>
        <w:t>Απριλίου</w:t>
      </w:r>
      <w:r w:rsidRPr="00111708">
        <w:rPr>
          <w:rFonts w:ascii="Verdana" w:eastAsia="Malgun Gothic" w:hAnsi="Verdana" w:cs="Arial"/>
          <w:sz w:val="18"/>
          <w:szCs w:val="18"/>
          <w:lang w:val="el-GR"/>
        </w:rPr>
        <w:t xml:space="preserve"> 2025, σε σύγκριση με την αντίστοιχη περσινή περίοδο, οι μεγαλύτερες μεταβολές παρουσιάστηκαν στις κατηγορίες </w:t>
      </w:r>
      <w:r w:rsidRPr="00111708">
        <w:rPr>
          <w:rFonts w:ascii="Verdana" w:eastAsia="Malgun Gothic" w:hAnsi="Verdana" w:cs="Arial"/>
          <w:i/>
          <w:iCs/>
          <w:sz w:val="18"/>
          <w:szCs w:val="18"/>
          <w:lang w:val="el-GR"/>
        </w:rPr>
        <w:t>Ένδυση και Υπόδηση</w:t>
      </w:r>
      <w:r w:rsidRPr="00111708">
        <w:rPr>
          <w:rFonts w:ascii="Verdana" w:eastAsia="Malgun Gothic" w:hAnsi="Verdana" w:cs="Arial"/>
          <w:sz w:val="18"/>
          <w:szCs w:val="18"/>
          <w:lang w:val="el-GR"/>
        </w:rPr>
        <w:t xml:space="preserve"> (-</w:t>
      </w:r>
      <w:r w:rsidR="00111708">
        <w:rPr>
          <w:rFonts w:ascii="Verdana" w:eastAsia="Malgun Gothic" w:hAnsi="Verdana" w:cs="Arial"/>
          <w:sz w:val="18"/>
          <w:szCs w:val="18"/>
          <w:lang w:val="el-GR"/>
        </w:rPr>
        <w:t>5</w:t>
      </w:r>
      <w:r w:rsidRPr="00111708">
        <w:rPr>
          <w:rFonts w:ascii="Verdana" w:eastAsia="Malgun Gothic" w:hAnsi="Verdana" w:cs="Arial"/>
          <w:sz w:val="18"/>
          <w:szCs w:val="18"/>
          <w:lang w:val="el-GR"/>
        </w:rPr>
        <w:t>,</w:t>
      </w:r>
      <w:r w:rsidR="00C73188">
        <w:rPr>
          <w:rFonts w:ascii="Verdana" w:eastAsia="Malgun Gothic" w:hAnsi="Verdana" w:cs="Arial"/>
          <w:sz w:val="18"/>
          <w:szCs w:val="18"/>
          <w:lang w:val="el-GR"/>
        </w:rPr>
        <w:t>8</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Εστιατόρια και Ξενοδοχεία (</w:t>
      </w:r>
      <w:r w:rsidR="00111708">
        <w:rPr>
          <w:rFonts w:ascii="Verdana" w:eastAsia="Malgun Gothic" w:hAnsi="Verdana" w:cs="Arial"/>
          <w:i/>
          <w:iCs/>
          <w:sz w:val="18"/>
          <w:szCs w:val="18"/>
          <w:lang w:val="el-GR"/>
        </w:rPr>
        <w:t>4</w:t>
      </w:r>
      <w:r w:rsidRPr="00111708">
        <w:rPr>
          <w:rFonts w:ascii="Verdana" w:eastAsia="Malgun Gothic" w:hAnsi="Verdana" w:cs="Arial"/>
          <w:i/>
          <w:iCs/>
          <w:sz w:val="18"/>
          <w:szCs w:val="18"/>
          <w:lang w:val="el-GR"/>
        </w:rPr>
        <w:t>,</w:t>
      </w:r>
      <w:r w:rsidR="00C73188">
        <w:rPr>
          <w:rFonts w:ascii="Verdana" w:eastAsia="Malgun Gothic" w:hAnsi="Verdana" w:cs="Arial"/>
          <w:i/>
          <w:iCs/>
          <w:sz w:val="18"/>
          <w:szCs w:val="18"/>
          <w:lang w:val="el-GR"/>
        </w:rPr>
        <w:t>5</w:t>
      </w:r>
      <w:r w:rsidRPr="00111708">
        <w:rPr>
          <w:rFonts w:ascii="Verdana" w:eastAsia="Malgun Gothic" w:hAnsi="Verdana" w:cs="Arial"/>
          <w:i/>
          <w:iCs/>
          <w:sz w:val="18"/>
          <w:szCs w:val="18"/>
          <w:lang w:val="el-GR"/>
        </w:rPr>
        <w:t>%)</w:t>
      </w:r>
      <w:r w:rsidR="00336F31">
        <w:rPr>
          <w:rFonts w:ascii="Verdana" w:eastAsia="Malgun Gothic" w:hAnsi="Verdana" w:cs="Arial"/>
          <w:i/>
          <w:iCs/>
          <w:sz w:val="18"/>
          <w:szCs w:val="18"/>
          <w:lang w:val="el-GR"/>
        </w:rPr>
        <w:t xml:space="preserve"> και</w:t>
      </w:r>
      <w:r w:rsidRPr="00111708">
        <w:rPr>
          <w:rFonts w:ascii="Verdana" w:eastAsia="Malgun Gothic" w:hAnsi="Verdana" w:cs="Arial"/>
          <w:sz w:val="18"/>
          <w:szCs w:val="18"/>
          <w:lang w:val="el-GR"/>
        </w:rPr>
        <w:t xml:space="preserve"> </w:t>
      </w:r>
      <w:r w:rsidRPr="00111708">
        <w:rPr>
          <w:rFonts w:ascii="Verdana" w:eastAsia="Malgun Gothic" w:hAnsi="Verdana" w:cs="Arial"/>
          <w:i/>
          <w:iCs/>
          <w:sz w:val="18"/>
          <w:szCs w:val="18"/>
          <w:lang w:val="el-GR"/>
        </w:rPr>
        <w:t>Εκπαίδευση</w:t>
      </w:r>
      <w:r w:rsidRPr="00111708">
        <w:rPr>
          <w:rFonts w:ascii="Verdana" w:eastAsia="Malgun Gothic" w:hAnsi="Verdana" w:cs="Arial"/>
          <w:sz w:val="18"/>
          <w:szCs w:val="18"/>
          <w:lang w:val="el-GR"/>
        </w:rPr>
        <w:t xml:space="preserve"> (3,7%)</w:t>
      </w:r>
      <w:r w:rsidR="00336F31">
        <w:rPr>
          <w:rFonts w:ascii="Verdana" w:eastAsia="Malgun Gothic" w:hAnsi="Verdana" w:cs="Arial"/>
          <w:sz w:val="18"/>
          <w:szCs w:val="18"/>
          <w:lang w:val="el-GR"/>
        </w:rPr>
        <w:t>.</w:t>
      </w:r>
      <w:r w:rsidRPr="00111708">
        <w:rPr>
          <w:rFonts w:ascii="Verdana" w:eastAsia="Malgun Gothic" w:hAnsi="Verdana" w:cs="Arial"/>
          <w:sz w:val="18"/>
          <w:szCs w:val="18"/>
          <w:lang w:val="el-GR"/>
        </w:rPr>
        <w:t xml:space="preserve"> (Πίνακας 1)</w:t>
      </w:r>
    </w:p>
    <w:p w14:paraId="424F7C08" w14:textId="77777777" w:rsidR="006022B5" w:rsidRPr="00B06FC6"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2E7718B9" w14:textId="277C7F20" w:rsidR="00453E42" w:rsidRPr="00336F31" w:rsidRDefault="006022B5" w:rsidP="00997963">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w:t>
      </w:r>
      <w:r w:rsidR="008E6E54" w:rsidRPr="00336F31">
        <w:rPr>
          <w:rFonts w:ascii="Verdana" w:eastAsia="Malgun Gothic" w:hAnsi="Verdana" w:cs="Arial"/>
          <w:sz w:val="18"/>
          <w:szCs w:val="18"/>
          <w:lang w:val="el-GR"/>
        </w:rPr>
        <w:t xml:space="preserve">θετική </w:t>
      </w:r>
      <w:r w:rsidRPr="00336F31">
        <w:rPr>
          <w:rFonts w:ascii="Verdana" w:eastAsia="Malgun Gothic" w:hAnsi="Verdana" w:cs="Arial"/>
          <w:sz w:val="18"/>
          <w:szCs w:val="18"/>
          <w:lang w:val="el-GR"/>
        </w:rPr>
        <w:t>επίδραση στη μεταβολή του ΔΤΚ του</w:t>
      </w:r>
      <w:r w:rsidR="00833D0E" w:rsidRPr="00336F31">
        <w:rPr>
          <w:rFonts w:ascii="Verdana" w:eastAsia="Malgun Gothic" w:hAnsi="Verdana" w:cs="Arial"/>
          <w:sz w:val="18"/>
          <w:szCs w:val="18"/>
          <w:lang w:val="el-GR"/>
        </w:rPr>
        <w:t xml:space="preserve"> </w:t>
      </w:r>
      <w:r w:rsidR="00C73188">
        <w:rPr>
          <w:rFonts w:ascii="Verdana" w:eastAsia="Malgun Gothic" w:hAnsi="Verdana" w:cs="Arial"/>
          <w:sz w:val="18"/>
          <w:szCs w:val="18"/>
          <w:lang w:val="el-GR"/>
        </w:rPr>
        <w:t>Απριλίου</w:t>
      </w:r>
      <w:r w:rsidR="00DC7611" w:rsidRPr="00336F31">
        <w:rPr>
          <w:rFonts w:ascii="Verdana" w:eastAsia="Malgun Gothic" w:hAnsi="Verdana" w:cs="Arial"/>
          <w:sz w:val="18"/>
          <w:szCs w:val="18"/>
          <w:lang w:val="el-GR"/>
        </w:rPr>
        <w:t xml:space="preserve"> </w:t>
      </w:r>
      <w:r w:rsidR="00782524"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Pr="00336F31">
        <w:rPr>
          <w:rFonts w:ascii="Verdana" w:eastAsia="Malgun Gothic" w:hAnsi="Verdana" w:cs="Arial"/>
          <w:sz w:val="18"/>
          <w:szCs w:val="18"/>
          <w:lang w:val="el-GR"/>
        </w:rPr>
        <w:t xml:space="preserve"> σε σχέση με τον</w:t>
      </w:r>
      <w:r w:rsidR="009154BF" w:rsidRPr="00336F31">
        <w:rPr>
          <w:rFonts w:ascii="Verdana" w:hAnsi="Verdana" w:cs="Arial"/>
          <w:sz w:val="18"/>
          <w:szCs w:val="18"/>
          <w:lang w:val="el-GR"/>
        </w:rPr>
        <w:t xml:space="preserve"> </w:t>
      </w:r>
      <w:r w:rsidR="00C73188">
        <w:rPr>
          <w:rFonts w:ascii="Verdana" w:hAnsi="Verdana" w:cs="Arial"/>
          <w:sz w:val="18"/>
          <w:szCs w:val="18"/>
          <w:lang w:val="el-GR"/>
        </w:rPr>
        <w:t>Απρίλιο</w:t>
      </w:r>
      <w:r w:rsidRPr="00336F31">
        <w:rPr>
          <w:rFonts w:ascii="Verdana" w:eastAsia="Malgun Gothic" w:hAnsi="Verdana" w:cs="Arial"/>
          <w:sz w:val="18"/>
          <w:szCs w:val="18"/>
          <w:lang w:val="el-GR"/>
        </w:rPr>
        <w:t xml:space="preserve"> 202</w:t>
      </w:r>
      <w:r w:rsidR="00DC7611" w:rsidRPr="00336F31">
        <w:rPr>
          <w:rFonts w:ascii="Verdana" w:eastAsia="Malgun Gothic" w:hAnsi="Verdana" w:cs="Arial"/>
          <w:sz w:val="18"/>
          <w:szCs w:val="18"/>
          <w:lang w:val="el-GR"/>
        </w:rPr>
        <w:t>4</w:t>
      </w:r>
      <w:r w:rsidRPr="00336F31">
        <w:rPr>
          <w:rFonts w:ascii="Verdana" w:eastAsia="Malgun Gothic" w:hAnsi="Verdana" w:cs="Arial"/>
          <w:sz w:val="18"/>
          <w:szCs w:val="18"/>
          <w:lang w:val="el-GR"/>
        </w:rPr>
        <w:t xml:space="preserve"> είχ</w:t>
      </w:r>
      <w:r w:rsidR="00765399" w:rsidRPr="00336F31">
        <w:rPr>
          <w:rFonts w:ascii="Verdana" w:eastAsia="Malgun Gothic" w:hAnsi="Verdana" w:cs="Arial"/>
          <w:sz w:val="18"/>
          <w:szCs w:val="18"/>
          <w:lang w:val="el-GR"/>
        </w:rPr>
        <w:t>αν οι</w:t>
      </w:r>
      <w:r w:rsidRPr="00336F31">
        <w:rPr>
          <w:rFonts w:ascii="Verdana" w:eastAsia="Malgun Gothic" w:hAnsi="Verdana" w:cs="Arial"/>
          <w:sz w:val="18"/>
          <w:szCs w:val="18"/>
          <w:lang w:val="el-GR"/>
        </w:rPr>
        <w:t xml:space="preserve"> κατηγορί</w:t>
      </w:r>
      <w:r w:rsidR="00765399" w:rsidRPr="00336F31">
        <w:rPr>
          <w:rFonts w:ascii="Verdana" w:eastAsia="Malgun Gothic" w:hAnsi="Verdana" w:cs="Arial"/>
          <w:sz w:val="18"/>
          <w:szCs w:val="18"/>
          <w:lang w:val="el-GR"/>
        </w:rPr>
        <w:t>ες</w:t>
      </w:r>
      <w:r w:rsidR="00C73188" w:rsidRPr="00C73188">
        <w:rPr>
          <w:lang w:val="el-GR"/>
        </w:rPr>
        <w:t xml:space="preserve"> </w:t>
      </w:r>
      <w:r w:rsidR="00C73188" w:rsidRPr="005F3E17">
        <w:rPr>
          <w:rFonts w:ascii="Verdana" w:eastAsia="Malgun Gothic" w:hAnsi="Verdana" w:cs="Arial"/>
          <w:i/>
          <w:iCs/>
          <w:sz w:val="18"/>
          <w:szCs w:val="18"/>
          <w:lang w:val="el-GR"/>
        </w:rPr>
        <w:t>Τρόφιμα και μη Αλκοολούχα Ποτά</w:t>
      </w:r>
      <w:r w:rsidR="00997963" w:rsidRPr="00336F31">
        <w:rPr>
          <w:rFonts w:ascii="Verdana" w:eastAsia="Malgun Gothic" w:hAnsi="Verdana" w:cs="Arial"/>
          <w:sz w:val="18"/>
          <w:szCs w:val="18"/>
          <w:lang w:val="el-GR"/>
        </w:rPr>
        <w:t xml:space="preserve"> (0,</w:t>
      </w:r>
      <w:r w:rsidR="00C73188">
        <w:rPr>
          <w:rFonts w:ascii="Verdana" w:eastAsia="Malgun Gothic" w:hAnsi="Verdana" w:cs="Arial"/>
          <w:sz w:val="18"/>
          <w:szCs w:val="18"/>
          <w:lang w:val="el-GR"/>
        </w:rPr>
        <w:t>59</w:t>
      </w:r>
      <w:r w:rsidR="00997963" w:rsidRPr="00336F31">
        <w:rPr>
          <w:rFonts w:ascii="Verdana" w:eastAsia="Malgun Gothic" w:hAnsi="Verdana" w:cs="Arial"/>
          <w:sz w:val="18"/>
          <w:szCs w:val="18"/>
          <w:lang w:val="el-GR"/>
        </w:rPr>
        <w:t>) και</w:t>
      </w:r>
      <w:r w:rsidR="00C45A9C" w:rsidRPr="00336F31">
        <w:rPr>
          <w:rFonts w:ascii="Verdana" w:eastAsia="Malgun Gothic" w:hAnsi="Verdana" w:cs="Arial"/>
          <w:sz w:val="18"/>
          <w:szCs w:val="18"/>
          <w:lang w:val="el-GR"/>
        </w:rPr>
        <w:t xml:space="preserve"> </w:t>
      </w:r>
      <w:r w:rsidR="00336F31" w:rsidRPr="00336F31">
        <w:rPr>
          <w:rFonts w:ascii="Verdana" w:eastAsia="Malgun Gothic" w:hAnsi="Verdana" w:cs="Arial"/>
          <w:i/>
          <w:iCs/>
          <w:sz w:val="18"/>
          <w:szCs w:val="18"/>
          <w:lang w:val="el-GR"/>
        </w:rPr>
        <w:t xml:space="preserve">Εστιατόρια και Ξενοδοχεία </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0</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5</w:t>
      </w:r>
      <w:r w:rsidR="00C73188">
        <w:rPr>
          <w:rFonts w:ascii="Verdana" w:eastAsia="Malgun Gothic" w:hAnsi="Verdana" w:cs="Arial"/>
          <w:sz w:val="18"/>
          <w:szCs w:val="18"/>
          <w:lang w:val="el-GR"/>
        </w:rPr>
        <w:t>5</w:t>
      </w:r>
      <w:r w:rsidR="00F271B1" w:rsidRPr="00336F31">
        <w:rPr>
          <w:rFonts w:ascii="Verdana" w:eastAsia="Malgun Gothic" w:hAnsi="Verdana" w:cs="Arial"/>
          <w:sz w:val="18"/>
          <w:szCs w:val="18"/>
          <w:lang w:val="el-GR"/>
        </w:rPr>
        <w:t>)</w:t>
      </w:r>
      <w:r w:rsidR="00997963" w:rsidRPr="00336F31">
        <w:rPr>
          <w:rFonts w:ascii="Verdana" w:eastAsia="Malgun Gothic" w:hAnsi="Verdana" w:cs="Arial"/>
          <w:sz w:val="18"/>
          <w:szCs w:val="18"/>
          <w:lang w:val="el-GR"/>
        </w:rPr>
        <w:t xml:space="preserve"> </w:t>
      </w:r>
      <w:r w:rsidR="009B041C" w:rsidRPr="00336F31">
        <w:rPr>
          <w:rFonts w:ascii="Verdana" w:eastAsia="Malgun Gothic" w:hAnsi="Verdana" w:cs="Arial"/>
          <w:sz w:val="18"/>
          <w:szCs w:val="18"/>
          <w:lang w:val="el-GR"/>
        </w:rPr>
        <w:t>ε</w:t>
      </w:r>
      <w:r w:rsidR="00997963" w:rsidRPr="00336F31">
        <w:rPr>
          <w:rFonts w:ascii="Verdana" w:eastAsia="Malgun Gothic" w:hAnsi="Verdana" w:cs="Arial"/>
          <w:sz w:val="18"/>
          <w:szCs w:val="18"/>
          <w:lang w:val="el-GR"/>
        </w:rPr>
        <w:t>νώ τ</w:t>
      </w:r>
      <w:r w:rsidR="00453E42" w:rsidRPr="00336F31">
        <w:rPr>
          <w:rFonts w:ascii="Verdana" w:eastAsia="Malgun Gothic" w:hAnsi="Verdana" w:cs="Arial"/>
          <w:sz w:val="18"/>
          <w:szCs w:val="18"/>
          <w:lang w:val="el-GR"/>
        </w:rPr>
        <w:t>η μεγαλύτερη αρνητική επίδραση στη μεταβολή του ΔΤΚ του</w:t>
      </w:r>
      <w:r w:rsidR="00360B5F" w:rsidRPr="00336F31">
        <w:rPr>
          <w:rFonts w:ascii="Verdana" w:eastAsia="Malgun Gothic" w:hAnsi="Verdana" w:cs="Arial"/>
          <w:sz w:val="18"/>
          <w:szCs w:val="18"/>
          <w:lang w:val="el-GR"/>
        </w:rPr>
        <w:t xml:space="preserve"> </w:t>
      </w:r>
      <w:r w:rsidR="00C73188">
        <w:rPr>
          <w:rFonts w:ascii="Verdana" w:eastAsia="Malgun Gothic" w:hAnsi="Verdana" w:cs="Arial"/>
          <w:sz w:val="18"/>
          <w:szCs w:val="18"/>
          <w:lang w:val="el-GR"/>
        </w:rPr>
        <w:t>Απριλίου</w:t>
      </w:r>
      <w:r w:rsidR="00DC7611" w:rsidRPr="00336F31">
        <w:rPr>
          <w:rFonts w:ascii="Verdana" w:eastAsia="Malgun Gothic" w:hAnsi="Verdana" w:cs="Arial"/>
          <w:sz w:val="18"/>
          <w:szCs w:val="18"/>
          <w:lang w:val="el-GR"/>
        </w:rPr>
        <w:t xml:space="preserve">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5</w:t>
      </w:r>
      <w:r w:rsidR="00453E42" w:rsidRPr="00336F31">
        <w:rPr>
          <w:rFonts w:ascii="Verdana" w:eastAsia="Malgun Gothic" w:hAnsi="Verdana" w:cs="Arial"/>
          <w:sz w:val="18"/>
          <w:szCs w:val="18"/>
          <w:lang w:val="el-GR"/>
        </w:rPr>
        <w:t xml:space="preserve"> σε σχέση με τον</w:t>
      </w:r>
      <w:r w:rsidR="00453E42" w:rsidRPr="00336F31">
        <w:rPr>
          <w:rFonts w:ascii="Verdana" w:hAnsi="Verdana" w:cs="Arial"/>
          <w:sz w:val="18"/>
          <w:szCs w:val="18"/>
          <w:lang w:val="el-GR"/>
        </w:rPr>
        <w:t xml:space="preserve"> </w:t>
      </w:r>
      <w:r w:rsidR="00C73188">
        <w:rPr>
          <w:rFonts w:ascii="Verdana" w:hAnsi="Verdana" w:cs="Arial"/>
          <w:sz w:val="18"/>
          <w:szCs w:val="18"/>
          <w:lang w:val="el-GR"/>
        </w:rPr>
        <w:t xml:space="preserve">Απρίλιο </w:t>
      </w:r>
      <w:r w:rsidR="00453E42" w:rsidRPr="00336F31">
        <w:rPr>
          <w:rFonts w:ascii="Verdana" w:eastAsia="Malgun Gothic" w:hAnsi="Verdana" w:cs="Arial"/>
          <w:sz w:val="18"/>
          <w:szCs w:val="18"/>
          <w:lang w:val="el-GR"/>
        </w:rPr>
        <w:t>202</w:t>
      </w:r>
      <w:r w:rsidR="00DC7611" w:rsidRPr="00336F31">
        <w:rPr>
          <w:rFonts w:ascii="Verdana" w:eastAsia="Malgun Gothic" w:hAnsi="Verdana" w:cs="Arial"/>
          <w:sz w:val="18"/>
          <w:szCs w:val="18"/>
          <w:lang w:val="el-GR"/>
        </w:rPr>
        <w:t>4</w:t>
      </w:r>
      <w:r w:rsidR="00453E42" w:rsidRPr="00336F31">
        <w:rPr>
          <w:rFonts w:ascii="Verdana" w:eastAsia="Malgun Gothic" w:hAnsi="Verdana" w:cs="Arial"/>
          <w:sz w:val="18"/>
          <w:szCs w:val="18"/>
          <w:lang w:val="el-GR"/>
        </w:rPr>
        <w:t xml:space="preserve"> είχε η κατηγορία </w:t>
      </w:r>
      <w:r w:rsidR="00C73188">
        <w:rPr>
          <w:rFonts w:ascii="Verdana" w:eastAsia="Malgun Gothic" w:hAnsi="Verdana" w:cs="Arial"/>
          <w:i/>
          <w:iCs/>
          <w:sz w:val="18"/>
          <w:szCs w:val="18"/>
          <w:lang w:val="el-GR"/>
        </w:rPr>
        <w:t>Μεταφορές</w:t>
      </w:r>
      <w:r w:rsidR="00453E42" w:rsidRPr="00336F31">
        <w:rPr>
          <w:rFonts w:ascii="Verdana" w:eastAsia="Malgun Gothic" w:hAnsi="Verdana" w:cs="Arial"/>
          <w:i/>
          <w:iCs/>
          <w:sz w:val="18"/>
          <w:szCs w:val="18"/>
          <w:lang w:val="el-GR"/>
        </w:rPr>
        <w:t xml:space="preserve"> </w:t>
      </w:r>
      <w:r w:rsidR="00453E42" w:rsidRPr="00336F31">
        <w:rPr>
          <w:rFonts w:ascii="Verdana" w:eastAsia="Malgun Gothic" w:hAnsi="Verdana" w:cs="Arial"/>
          <w:sz w:val="18"/>
          <w:szCs w:val="18"/>
          <w:lang w:val="el-GR"/>
        </w:rPr>
        <w:t>(-</w:t>
      </w:r>
      <w:r w:rsidR="00D56B64" w:rsidRPr="00336F31">
        <w:rPr>
          <w:rFonts w:ascii="Verdana" w:eastAsia="Malgun Gothic" w:hAnsi="Verdana" w:cs="Arial"/>
          <w:sz w:val="18"/>
          <w:szCs w:val="18"/>
          <w:lang w:val="el-GR"/>
        </w:rPr>
        <w:t>0</w:t>
      </w:r>
      <w:r w:rsidR="00453E42" w:rsidRPr="00336F31">
        <w:rPr>
          <w:rFonts w:ascii="Verdana" w:eastAsia="Malgun Gothic" w:hAnsi="Verdana" w:cs="Arial"/>
          <w:sz w:val="18"/>
          <w:szCs w:val="18"/>
          <w:lang w:val="el-GR"/>
        </w:rPr>
        <w:t>,</w:t>
      </w:r>
      <w:r w:rsidR="00C73188">
        <w:rPr>
          <w:rFonts w:ascii="Verdana" w:eastAsia="Malgun Gothic" w:hAnsi="Verdana" w:cs="Arial"/>
          <w:sz w:val="18"/>
          <w:szCs w:val="18"/>
          <w:lang w:val="el-GR"/>
        </w:rPr>
        <w:t>66</w:t>
      </w:r>
      <w:r w:rsidR="00453E42" w:rsidRPr="00336F31">
        <w:rPr>
          <w:rFonts w:ascii="Verdana" w:eastAsia="Malgun Gothic" w:hAnsi="Verdana" w:cs="Arial"/>
          <w:sz w:val="18"/>
          <w:szCs w:val="18"/>
          <w:lang w:val="el-GR"/>
        </w:rPr>
        <w:t>). (Πίνακας 3)</w:t>
      </w:r>
    </w:p>
    <w:p w14:paraId="328F7BC1" w14:textId="77777777" w:rsidR="006022B5" w:rsidRPr="00336F31" w:rsidRDefault="006022B5" w:rsidP="006022B5">
      <w:pPr>
        <w:tabs>
          <w:tab w:val="left" w:pos="1080"/>
          <w:tab w:val="left" w:pos="6840"/>
        </w:tabs>
        <w:jc w:val="both"/>
        <w:rPr>
          <w:rFonts w:ascii="Verdana" w:eastAsia="Malgun Gothic" w:hAnsi="Verdana" w:cs="Arial"/>
          <w:sz w:val="18"/>
          <w:szCs w:val="18"/>
          <w:lang w:val="el-GR"/>
        </w:rPr>
      </w:pPr>
    </w:p>
    <w:p w14:paraId="2F248189" w14:textId="77777777" w:rsidR="00765BDC" w:rsidRPr="00336F31" w:rsidRDefault="00765BDC" w:rsidP="00765BDC">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 xml:space="preserve">Τη μεγαλύτερη επίπτωση </w:t>
      </w:r>
      <w:r w:rsidRPr="00336F31">
        <w:rPr>
          <w:rFonts w:ascii="Verdana" w:eastAsia="Malgun Gothic" w:hAnsi="Verdana" w:cs="Arial"/>
          <w:iCs/>
          <w:sz w:val="18"/>
          <w:szCs w:val="18"/>
          <w:lang w:val="el-GR"/>
        </w:rPr>
        <w:t>στη</w:t>
      </w:r>
      <w:r w:rsidRPr="00336F31">
        <w:rPr>
          <w:rFonts w:ascii="Verdana" w:eastAsia="Malgun Gothic" w:hAnsi="Verdana" w:cs="Arial"/>
          <w:sz w:val="18"/>
          <w:szCs w:val="18"/>
          <w:lang w:val="el-GR"/>
        </w:rPr>
        <w:t xml:space="preserve"> μεταβολή του ΔΤΚ </w:t>
      </w:r>
      <w:r>
        <w:rPr>
          <w:rFonts w:ascii="Verdana" w:eastAsia="Malgun Gothic" w:hAnsi="Verdana" w:cs="Arial"/>
          <w:sz w:val="18"/>
          <w:szCs w:val="18"/>
          <w:lang w:val="el-GR"/>
        </w:rPr>
        <w:t xml:space="preserve">τον Απρίλιο 2025 </w:t>
      </w:r>
      <w:r w:rsidRPr="00336F31">
        <w:rPr>
          <w:rFonts w:ascii="Verdana" w:eastAsia="Malgun Gothic" w:hAnsi="Verdana" w:cs="Arial"/>
          <w:sz w:val="18"/>
          <w:szCs w:val="18"/>
          <w:lang w:val="el-GR"/>
        </w:rPr>
        <w:t xml:space="preserve">σε σχέση με τον </w:t>
      </w:r>
      <w:r>
        <w:rPr>
          <w:rFonts w:ascii="Verdana" w:eastAsia="Malgun Gothic" w:hAnsi="Verdana" w:cs="Arial"/>
          <w:sz w:val="18"/>
          <w:szCs w:val="18"/>
          <w:lang w:val="el-GR"/>
        </w:rPr>
        <w:t>Μάρτιο 2025</w:t>
      </w:r>
      <w:r w:rsidRPr="00336F31">
        <w:rPr>
          <w:rFonts w:ascii="Verdana" w:eastAsia="Malgun Gothic" w:hAnsi="Verdana" w:cs="Arial"/>
          <w:sz w:val="18"/>
          <w:szCs w:val="18"/>
          <w:lang w:val="el-GR"/>
        </w:rPr>
        <w:t xml:space="preserve"> είχε η κατηγορία</w:t>
      </w:r>
      <w:r w:rsidRPr="00336F31">
        <w:rPr>
          <w:rFonts w:ascii="Verdana" w:eastAsia="Malgun Gothic" w:hAnsi="Verdana" w:cs="Arial"/>
          <w:i/>
          <w:iCs/>
          <w:sz w:val="18"/>
          <w:szCs w:val="18"/>
          <w:lang w:val="el-GR"/>
        </w:rPr>
        <w:t xml:space="preserve"> </w:t>
      </w:r>
      <w:r w:rsidRPr="00C73188">
        <w:rPr>
          <w:rFonts w:ascii="Verdana" w:eastAsia="Malgun Gothic" w:hAnsi="Verdana" w:cs="Arial"/>
          <w:i/>
          <w:iCs/>
          <w:sz w:val="18"/>
          <w:szCs w:val="18"/>
          <w:lang w:val="el-GR"/>
        </w:rPr>
        <w:t xml:space="preserve">Στέγαση, Ύδρευση, Ηλεκτρισμός και Υγραέριο </w:t>
      </w:r>
      <w:r w:rsidRPr="00336F31">
        <w:rPr>
          <w:rFonts w:ascii="Verdana" w:eastAsia="Malgun Gothic" w:hAnsi="Verdana" w:cs="Arial"/>
          <w:i/>
          <w:iCs/>
          <w:sz w:val="18"/>
          <w:szCs w:val="18"/>
          <w:lang w:val="el-GR"/>
        </w:rPr>
        <w:t>(</w:t>
      </w:r>
      <w:r>
        <w:rPr>
          <w:rFonts w:ascii="Verdana" w:eastAsia="Malgun Gothic" w:hAnsi="Verdana" w:cs="Arial"/>
          <w:i/>
          <w:iCs/>
          <w:sz w:val="18"/>
          <w:szCs w:val="18"/>
          <w:lang w:val="el-GR"/>
        </w:rPr>
        <w:t>-</w:t>
      </w:r>
      <w:r w:rsidRPr="00336F31">
        <w:rPr>
          <w:rFonts w:ascii="Verdana" w:eastAsia="Malgun Gothic" w:hAnsi="Verdana" w:cs="Arial"/>
          <w:sz w:val="18"/>
          <w:szCs w:val="18"/>
          <w:lang w:val="el-GR"/>
        </w:rPr>
        <w:t>0,</w:t>
      </w:r>
      <w:r>
        <w:rPr>
          <w:rFonts w:ascii="Verdana" w:eastAsia="Malgun Gothic" w:hAnsi="Verdana" w:cs="Arial"/>
          <w:sz w:val="18"/>
          <w:szCs w:val="18"/>
          <w:lang w:val="el-GR"/>
        </w:rPr>
        <w:t>51</w:t>
      </w:r>
      <w:r w:rsidRPr="00336F31">
        <w:rPr>
          <w:rFonts w:ascii="Verdana" w:eastAsia="Malgun Gothic" w:hAnsi="Verdana" w:cs="Arial"/>
          <w:sz w:val="18"/>
          <w:szCs w:val="18"/>
          <w:lang w:val="el-GR"/>
        </w:rPr>
        <w:t>)</w:t>
      </w:r>
      <w:r w:rsidRPr="00336F31">
        <w:rPr>
          <w:rFonts w:ascii="Verdana" w:eastAsia="Malgun Gothic" w:hAnsi="Verdana" w:cs="Arial"/>
          <w:iCs/>
          <w:sz w:val="18"/>
          <w:szCs w:val="18"/>
          <w:lang w:val="el-GR"/>
        </w:rPr>
        <w:t>.</w:t>
      </w:r>
      <w:r w:rsidRPr="00336F31">
        <w:rPr>
          <w:rFonts w:ascii="Verdana" w:eastAsia="Malgun Gothic" w:hAnsi="Verdana" w:cs="Arial"/>
          <w:sz w:val="18"/>
          <w:szCs w:val="18"/>
          <w:lang w:val="el-GR"/>
        </w:rPr>
        <w:t xml:space="preserve"> (Πίνακας 3)</w:t>
      </w:r>
    </w:p>
    <w:p w14:paraId="268A34B8" w14:textId="77777777" w:rsidR="00765BDC" w:rsidRPr="00B442B0" w:rsidRDefault="00765BDC" w:rsidP="00765BDC">
      <w:pPr>
        <w:tabs>
          <w:tab w:val="left" w:pos="1080"/>
          <w:tab w:val="left" w:pos="6840"/>
        </w:tabs>
        <w:jc w:val="both"/>
        <w:rPr>
          <w:rFonts w:ascii="Verdana" w:eastAsia="Malgun Gothic" w:hAnsi="Verdana" w:cs="Arial"/>
          <w:sz w:val="18"/>
          <w:szCs w:val="18"/>
          <w:highlight w:val="yellow"/>
          <w:lang w:val="el-GR"/>
        </w:rPr>
      </w:pPr>
    </w:p>
    <w:p w14:paraId="1F15496B" w14:textId="77777777" w:rsidR="00765BDC" w:rsidRPr="00E21D72" w:rsidRDefault="00765BDC" w:rsidP="00765BDC">
      <w:pPr>
        <w:tabs>
          <w:tab w:val="left" w:pos="1080"/>
          <w:tab w:val="left" w:pos="6840"/>
        </w:tabs>
        <w:jc w:val="both"/>
        <w:rPr>
          <w:rFonts w:ascii="Verdana" w:eastAsia="Malgun Gothic" w:hAnsi="Verdana" w:cs="Arial"/>
          <w:sz w:val="18"/>
          <w:szCs w:val="18"/>
          <w:lang w:val="el-GR"/>
        </w:rPr>
      </w:pPr>
      <w:r w:rsidRPr="00336F31">
        <w:rPr>
          <w:rFonts w:ascii="Verdana" w:eastAsia="Malgun Gothic" w:hAnsi="Verdana" w:cs="Arial"/>
          <w:sz w:val="18"/>
          <w:szCs w:val="18"/>
          <w:lang w:val="el-GR"/>
        </w:rPr>
        <w:t>Τη μεγαλύτερη θετική επίπτωση στη μεταβολή του ΔΤΚ του</w:t>
      </w:r>
      <w:r w:rsidRPr="00336F31">
        <w:rPr>
          <w:rFonts w:ascii="Verdana" w:hAnsi="Verdana" w:cs="Arial"/>
          <w:sz w:val="18"/>
          <w:szCs w:val="18"/>
          <w:lang w:val="el-GR"/>
        </w:rPr>
        <w:t xml:space="preserve"> </w:t>
      </w:r>
      <w:r>
        <w:rPr>
          <w:rFonts w:ascii="Verdana" w:hAnsi="Verdana" w:cs="Arial"/>
          <w:sz w:val="18"/>
          <w:szCs w:val="18"/>
          <w:lang w:val="el-GR"/>
        </w:rPr>
        <w:t>Απριλίου</w:t>
      </w:r>
      <w:r w:rsidRPr="00336F31">
        <w:rPr>
          <w:rFonts w:ascii="Verdana" w:hAnsi="Verdana" w:cs="Arial"/>
          <w:sz w:val="18"/>
          <w:szCs w:val="18"/>
          <w:lang w:val="el-GR"/>
        </w:rPr>
        <w:t xml:space="preserve"> </w:t>
      </w:r>
      <w:r w:rsidRPr="00336F31">
        <w:rPr>
          <w:rFonts w:ascii="Verdana" w:eastAsia="Malgun Gothic" w:hAnsi="Verdana" w:cs="Arial"/>
          <w:sz w:val="18"/>
          <w:szCs w:val="18"/>
          <w:lang w:val="el-GR"/>
        </w:rPr>
        <w:t xml:space="preserve">2025 σε σύγκριση με το δείκτη του </w:t>
      </w:r>
      <w:r>
        <w:rPr>
          <w:rFonts w:ascii="Verdana" w:eastAsia="Malgun Gothic" w:hAnsi="Verdana" w:cs="Arial"/>
          <w:sz w:val="18"/>
          <w:szCs w:val="18"/>
          <w:lang w:val="el-GR"/>
        </w:rPr>
        <w:t>Απριλίου</w:t>
      </w:r>
      <w:r w:rsidRPr="00336F31">
        <w:rPr>
          <w:rFonts w:ascii="Verdana" w:eastAsia="Malgun Gothic" w:hAnsi="Verdana" w:cs="Arial"/>
          <w:sz w:val="18"/>
          <w:szCs w:val="18"/>
          <w:lang w:val="el-GR"/>
        </w:rPr>
        <w:t xml:space="preserve"> 2024 είχαν </w:t>
      </w:r>
      <w:r>
        <w:rPr>
          <w:rFonts w:ascii="Verdana" w:eastAsia="Malgun Gothic" w:hAnsi="Verdana" w:cs="Arial"/>
          <w:sz w:val="18"/>
          <w:szCs w:val="18"/>
          <w:lang w:val="el-GR"/>
        </w:rPr>
        <w:t xml:space="preserve">οι </w:t>
      </w:r>
      <w:r w:rsidRPr="00336F31">
        <w:rPr>
          <w:rFonts w:ascii="Verdana" w:eastAsia="Malgun Gothic" w:hAnsi="Verdana" w:cs="Arial"/>
          <w:i/>
          <w:iCs/>
          <w:sz w:val="18"/>
          <w:szCs w:val="18"/>
          <w:lang w:val="el-GR"/>
        </w:rPr>
        <w:t>Υπηρεσίες Τροφοδοσίας</w:t>
      </w:r>
      <w:r>
        <w:rPr>
          <w:rFonts w:ascii="Verdana" w:eastAsia="Malgun Gothic" w:hAnsi="Verdana" w:cs="Arial"/>
          <w:i/>
          <w:iCs/>
          <w:sz w:val="18"/>
          <w:szCs w:val="18"/>
          <w:lang w:val="el-GR"/>
        </w:rPr>
        <w:t xml:space="preserve"> (0,57) και τα Φρέσκα Φρούτα (0,37)</w:t>
      </w:r>
      <w:r w:rsidRPr="00336F31">
        <w:rPr>
          <w:rFonts w:ascii="Verdana" w:eastAsia="Malgun Gothic" w:hAnsi="Verdana" w:cs="Arial"/>
          <w:sz w:val="18"/>
          <w:szCs w:val="18"/>
          <w:lang w:val="el-GR"/>
        </w:rPr>
        <w:t xml:space="preserve">, ενώ τη μεγαλύτερη αρνητική επίδραση είχαν τα </w:t>
      </w:r>
      <w:r w:rsidRPr="00C73188">
        <w:rPr>
          <w:rFonts w:ascii="Verdana" w:eastAsia="Malgun Gothic" w:hAnsi="Verdana" w:cs="Arial"/>
          <w:i/>
          <w:iCs/>
          <w:sz w:val="18"/>
          <w:szCs w:val="18"/>
          <w:lang w:val="el-GR"/>
        </w:rPr>
        <w:t>Πετρελαιοειδή</w:t>
      </w:r>
      <w:r w:rsidRPr="00336F31">
        <w:rPr>
          <w:rFonts w:ascii="Verdana" w:eastAsia="Malgun Gothic" w:hAnsi="Verdana" w:cs="Arial"/>
          <w:sz w:val="18"/>
          <w:szCs w:val="18"/>
          <w:lang w:val="el-GR"/>
        </w:rPr>
        <w:t xml:space="preserve"> (-0,</w:t>
      </w:r>
      <w:r>
        <w:rPr>
          <w:rFonts w:ascii="Verdana" w:eastAsia="Malgun Gothic" w:hAnsi="Verdana" w:cs="Arial"/>
          <w:sz w:val="18"/>
          <w:szCs w:val="18"/>
          <w:lang w:val="el-GR"/>
        </w:rPr>
        <w:t>25</w:t>
      </w:r>
      <w:r w:rsidRPr="00336F31">
        <w:rPr>
          <w:rFonts w:ascii="Verdana" w:eastAsia="Malgun Gothic" w:hAnsi="Verdana" w:cs="Arial"/>
          <w:sz w:val="18"/>
          <w:szCs w:val="18"/>
          <w:lang w:val="el-GR"/>
        </w:rPr>
        <w:t>). (Πίνακας 4)</w:t>
      </w:r>
    </w:p>
    <w:p w14:paraId="0EAE47CB" w14:textId="77777777" w:rsidR="00765BDC" w:rsidRPr="00E21D72" w:rsidRDefault="00765BDC" w:rsidP="00765BDC">
      <w:pPr>
        <w:tabs>
          <w:tab w:val="left" w:pos="1080"/>
          <w:tab w:val="left" w:pos="6840"/>
        </w:tabs>
        <w:jc w:val="both"/>
        <w:rPr>
          <w:rFonts w:ascii="Verdana" w:eastAsia="Malgun Gothic" w:hAnsi="Verdana" w:cs="Arial"/>
          <w:sz w:val="18"/>
          <w:szCs w:val="18"/>
          <w:lang w:val="el-GR"/>
        </w:rPr>
      </w:pPr>
    </w:p>
    <w:p w14:paraId="4F04F9E2" w14:textId="28A0DF71" w:rsidR="00765BDC" w:rsidRPr="00E21D72" w:rsidRDefault="00765BDC" w:rsidP="00765BDC">
      <w:pPr>
        <w:jc w:val="both"/>
        <w:rPr>
          <w:rFonts w:ascii="Verdana" w:eastAsia="Malgun Gothic" w:hAnsi="Verdana" w:cs="Arial"/>
          <w:sz w:val="18"/>
          <w:szCs w:val="18"/>
          <w:lang w:val="el-GR"/>
        </w:rPr>
      </w:pPr>
      <w:r>
        <w:rPr>
          <w:rFonts w:ascii="Verdana" w:eastAsia="Malgun Gothic" w:hAnsi="Verdana" w:cs="Arial"/>
          <w:sz w:val="18"/>
          <w:szCs w:val="18"/>
          <w:lang w:val="el-GR"/>
        </w:rPr>
        <w:t>Τα</w:t>
      </w:r>
      <w:r w:rsidRPr="00336F31">
        <w:rPr>
          <w:rFonts w:ascii="Verdana" w:eastAsia="Malgun Gothic" w:hAnsi="Verdana" w:cs="Arial"/>
          <w:sz w:val="18"/>
          <w:szCs w:val="18"/>
          <w:lang w:val="el-GR"/>
        </w:rPr>
        <w:t xml:space="preserve"> </w:t>
      </w:r>
      <w:r w:rsidRPr="00C73188">
        <w:rPr>
          <w:rFonts w:ascii="Verdana" w:eastAsia="Malgun Gothic" w:hAnsi="Verdana" w:cs="Arial"/>
          <w:i/>
          <w:iCs/>
          <w:sz w:val="18"/>
          <w:szCs w:val="18"/>
          <w:lang w:val="el-GR"/>
        </w:rPr>
        <w:t>Είδη Ένδυσης</w:t>
      </w:r>
      <w:r>
        <w:rPr>
          <w:rFonts w:ascii="Verdana" w:eastAsia="Malgun Gothic" w:hAnsi="Verdana" w:cs="Arial"/>
          <w:sz w:val="18"/>
          <w:szCs w:val="18"/>
          <w:lang w:val="el-GR"/>
        </w:rPr>
        <w:t xml:space="preserve"> (0,20) και τα </w:t>
      </w:r>
      <w:r w:rsidRPr="00C73188">
        <w:rPr>
          <w:rFonts w:ascii="Verdana" w:eastAsia="Malgun Gothic" w:hAnsi="Verdana" w:cs="Arial"/>
          <w:i/>
          <w:iCs/>
          <w:sz w:val="18"/>
          <w:szCs w:val="18"/>
          <w:lang w:val="el-GR"/>
        </w:rPr>
        <w:t>Αεροπορικά Ναύλα</w:t>
      </w:r>
      <w:r>
        <w:rPr>
          <w:rFonts w:ascii="Verdana" w:eastAsia="Malgun Gothic" w:hAnsi="Verdana" w:cs="Arial"/>
          <w:sz w:val="18"/>
          <w:szCs w:val="18"/>
          <w:lang w:val="el-GR"/>
        </w:rPr>
        <w:t xml:space="preserve"> (0,17)</w:t>
      </w:r>
      <w:r w:rsidRPr="00336F31">
        <w:rPr>
          <w:rFonts w:ascii="Verdana" w:eastAsia="Malgun Gothic" w:hAnsi="Verdana" w:cs="Arial"/>
          <w:sz w:val="18"/>
          <w:szCs w:val="18"/>
          <w:lang w:val="el-GR"/>
        </w:rPr>
        <w:t xml:space="preserve"> είχαν τη μεγαλύτερη θετική επίδραση στη μεταβολή του ΔΤΚ του </w:t>
      </w:r>
      <w:r>
        <w:rPr>
          <w:rFonts w:ascii="Verdana" w:eastAsia="Malgun Gothic" w:hAnsi="Verdana" w:cs="Arial"/>
          <w:sz w:val="18"/>
          <w:szCs w:val="18"/>
          <w:lang w:val="el-GR"/>
        </w:rPr>
        <w:t>Απριλίου</w:t>
      </w:r>
      <w:r w:rsidRPr="00336F31">
        <w:rPr>
          <w:rFonts w:ascii="Verdana" w:eastAsia="Malgun Gothic" w:hAnsi="Verdana" w:cs="Arial"/>
          <w:sz w:val="18"/>
          <w:szCs w:val="18"/>
          <w:lang w:val="el-GR"/>
        </w:rPr>
        <w:t xml:space="preserve"> </w:t>
      </w:r>
      <w:r w:rsidRPr="00336F31">
        <w:rPr>
          <w:rFonts w:ascii="Verdana" w:hAnsi="Verdana" w:cs="Arial"/>
          <w:sz w:val="18"/>
          <w:szCs w:val="18"/>
          <w:lang w:val="el-GR"/>
        </w:rPr>
        <w:t>2025</w:t>
      </w:r>
      <w:r w:rsidRPr="00336F31">
        <w:rPr>
          <w:rFonts w:ascii="Verdana" w:eastAsia="Malgun Gothic" w:hAnsi="Verdana" w:cs="Arial"/>
          <w:sz w:val="18"/>
          <w:szCs w:val="18"/>
          <w:lang w:val="el-GR"/>
        </w:rPr>
        <w:t xml:space="preserve"> σε σχέση με τον αντίστοιχο δείκτη του</w:t>
      </w:r>
      <w:r>
        <w:rPr>
          <w:rFonts w:ascii="Verdana" w:eastAsia="Malgun Gothic" w:hAnsi="Verdana" w:cs="Arial"/>
          <w:sz w:val="18"/>
          <w:szCs w:val="18"/>
          <w:lang w:val="el-GR"/>
        </w:rPr>
        <w:t xml:space="preserve"> Μαρτίου 2025</w:t>
      </w:r>
      <w:r w:rsidRPr="00336F31">
        <w:rPr>
          <w:rFonts w:ascii="Verdana" w:eastAsia="Malgun Gothic" w:hAnsi="Verdana" w:cs="Arial"/>
          <w:sz w:val="18"/>
          <w:szCs w:val="18"/>
          <w:lang w:val="el-GR"/>
        </w:rPr>
        <w:t>, ενώ τη μεγαλύτερη αρνητική επίδραση είχ</w:t>
      </w:r>
      <w:r>
        <w:rPr>
          <w:rFonts w:ascii="Verdana" w:eastAsia="Malgun Gothic" w:hAnsi="Verdana" w:cs="Arial"/>
          <w:sz w:val="18"/>
          <w:szCs w:val="18"/>
          <w:lang w:val="el-GR"/>
        </w:rPr>
        <w:t>ε</w:t>
      </w:r>
      <w:r w:rsidRPr="00336F31">
        <w:rPr>
          <w:rFonts w:ascii="Verdana" w:eastAsia="Malgun Gothic" w:hAnsi="Verdana" w:cs="Arial"/>
          <w:sz w:val="18"/>
          <w:szCs w:val="18"/>
          <w:lang w:val="el-GR"/>
        </w:rPr>
        <w:t xml:space="preserve"> </w:t>
      </w:r>
      <w:r>
        <w:rPr>
          <w:rFonts w:ascii="Verdana" w:eastAsia="Malgun Gothic" w:hAnsi="Verdana" w:cs="Arial"/>
          <w:sz w:val="18"/>
          <w:szCs w:val="18"/>
          <w:lang w:val="el-GR"/>
        </w:rPr>
        <w:t>ο</w:t>
      </w:r>
      <w:r w:rsidRPr="00336F31">
        <w:rPr>
          <w:rFonts w:ascii="Verdana" w:eastAsia="Malgun Gothic" w:hAnsi="Verdana" w:cs="Arial"/>
          <w:sz w:val="18"/>
          <w:szCs w:val="18"/>
          <w:lang w:val="el-GR"/>
        </w:rPr>
        <w:t xml:space="preserve"> </w:t>
      </w:r>
      <w:r>
        <w:rPr>
          <w:rFonts w:ascii="Verdana" w:eastAsia="Malgun Gothic" w:hAnsi="Verdana" w:cs="Arial"/>
          <w:i/>
          <w:iCs/>
          <w:sz w:val="18"/>
          <w:szCs w:val="18"/>
          <w:lang w:val="el-GR"/>
        </w:rPr>
        <w:t>Ηλεκτρισμός</w:t>
      </w:r>
      <w:r w:rsidRPr="00336F31">
        <w:rPr>
          <w:rFonts w:ascii="Verdana" w:eastAsia="Malgun Gothic" w:hAnsi="Verdana" w:cs="Arial"/>
          <w:sz w:val="18"/>
          <w:szCs w:val="18"/>
          <w:lang w:val="el-GR"/>
        </w:rPr>
        <w:t xml:space="preserve"> (-0,</w:t>
      </w:r>
      <w:r>
        <w:rPr>
          <w:rFonts w:ascii="Verdana" w:eastAsia="Malgun Gothic" w:hAnsi="Verdana" w:cs="Arial"/>
          <w:sz w:val="18"/>
          <w:szCs w:val="18"/>
          <w:lang w:val="el-GR"/>
        </w:rPr>
        <w:t>48</w:t>
      </w:r>
      <w:r w:rsidRPr="00336F31">
        <w:rPr>
          <w:rFonts w:ascii="Verdana" w:eastAsia="Malgun Gothic" w:hAnsi="Verdana" w:cs="Arial"/>
          <w:sz w:val="18"/>
          <w:szCs w:val="18"/>
          <w:lang w:val="el-GR"/>
        </w:rPr>
        <w:t>). (Πίνακας 5)</w:t>
      </w:r>
    </w:p>
    <w:p w14:paraId="564B8734" w14:textId="0E700A96" w:rsidR="008125E2" w:rsidRDefault="008125E2" w:rsidP="008516BF">
      <w:pPr>
        <w:jc w:val="both"/>
        <w:rPr>
          <w:rFonts w:ascii="Verdana" w:eastAsia="Malgun Gothic" w:hAnsi="Verdana" w:cs="Arial"/>
          <w:sz w:val="18"/>
          <w:szCs w:val="18"/>
          <w:lang w:val="el-GR"/>
        </w:rPr>
      </w:pPr>
    </w:p>
    <w:p w14:paraId="7B52DCDA" w14:textId="77777777" w:rsidR="00336F31" w:rsidRPr="00F260F0" w:rsidRDefault="00336F31" w:rsidP="008516BF">
      <w:pPr>
        <w:jc w:val="both"/>
        <w:rPr>
          <w:rFonts w:ascii="Verdana" w:eastAsia="Malgun Gothic" w:hAnsi="Verdana" w:cs="Arial"/>
          <w:sz w:val="18"/>
          <w:szCs w:val="18"/>
          <w:lang w:val="el-GR"/>
        </w:rPr>
      </w:pPr>
    </w:p>
    <w:p w14:paraId="4EF125E5" w14:textId="77777777" w:rsidR="009A2DF0" w:rsidRPr="00A81068" w:rsidRDefault="009A2DF0" w:rsidP="008516BF">
      <w:pPr>
        <w:jc w:val="both"/>
        <w:rPr>
          <w:rFonts w:ascii="Verdana" w:eastAsia="Malgun Gothic" w:hAnsi="Verdana" w:cs="Arial"/>
          <w:sz w:val="12"/>
          <w:szCs w:val="12"/>
          <w:lang w:val="el-GR"/>
        </w:rPr>
      </w:pPr>
    </w:p>
    <w:tbl>
      <w:tblPr>
        <w:tblW w:w="5249" w:type="pct"/>
        <w:jc w:val="center"/>
        <w:tblLayout w:type="fixed"/>
        <w:tblLook w:val="04A0" w:firstRow="1" w:lastRow="0" w:firstColumn="1" w:lastColumn="0" w:noHBand="0" w:noVBand="1"/>
      </w:tblPr>
      <w:tblGrid>
        <w:gridCol w:w="2466"/>
        <w:gridCol w:w="1593"/>
        <w:gridCol w:w="1447"/>
        <w:gridCol w:w="288"/>
        <w:gridCol w:w="1454"/>
        <w:gridCol w:w="1308"/>
        <w:gridCol w:w="1736"/>
      </w:tblGrid>
      <w:tr w:rsidR="00D23532" w:rsidRPr="00C80D18" w14:paraId="1D00F069" w14:textId="27C1EA9C" w:rsidTr="001C7724">
        <w:trPr>
          <w:trHeight w:val="270"/>
          <w:jc w:val="center"/>
        </w:trPr>
        <w:tc>
          <w:tcPr>
            <w:tcW w:w="2411" w:type="dxa"/>
            <w:tcBorders>
              <w:left w:val="nil"/>
              <w:bottom w:val="single" w:sz="4" w:space="0" w:color="366092"/>
            </w:tcBorders>
            <w:shd w:val="clear" w:color="FFFFFF" w:fill="FFFFFF"/>
            <w:vAlign w:val="center"/>
          </w:tcPr>
          <w:p w14:paraId="15B9A7FB" w14:textId="77777777" w:rsidR="00D23532" w:rsidRPr="00C80D18" w:rsidRDefault="00D23532"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Πίνακας 1</w:t>
            </w:r>
          </w:p>
        </w:tc>
        <w:tc>
          <w:tcPr>
            <w:tcW w:w="2973" w:type="dxa"/>
            <w:gridSpan w:val="2"/>
            <w:tcBorders>
              <w:bottom w:val="single" w:sz="4" w:space="0" w:color="366092"/>
            </w:tcBorders>
            <w:shd w:val="clear" w:color="FFFFFF" w:fill="FFFFFF"/>
            <w:noWrap/>
            <w:vAlign w:val="center"/>
          </w:tcPr>
          <w:p w14:paraId="0E6E143D" w14:textId="77777777" w:rsidR="00D23532" w:rsidRPr="00C80D18" w:rsidRDefault="00D23532" w:rsidP="00FC5595">
            <w:pPr>
              <w:jc w:val="center"/>
              <w:rPr>
                <w:rFonts w:ascii="Verdana" w:eastAsia="Times New Roman" w:hAnsi="Verdana" w:cs="Arial"/>
                <w:color w:val="365F91"/>
                <w:sz w:val="18"/>
                <w:szCs w:val="18"/>
                <w:lang w:val="el-GR"/>
              </w:rPr>
            </w:pPr>
          </w:p>
        </w:tc>
        <w:tc>
          <w:tcPr>
            <w:tcW w:w="282" w:type="dxa"/>
            <w:tcBorders>
              <w:bottom w:val="single" w:sz="4" w:space="0" w:color="366092"/>
            </w:tcBorders>
            <w:tcMar>
              <w:left w:w="0" w:type="dxa"/>
              <w:right w:w="0" w:type="dxa"/>
            </w:tcMar>
          </w:tcPr>
          <w:p w14:paraId="300B29A6" w14:textId="77777777" w:rsidR="00D23532" w:rsidRPr="00C80D18" w:rsidRDefault="00D23532" w:rsidP="00FC5595">
            <w:pPr>
              <w:ind w:right="-75"/>
              <w:jc w:val="center"/>
              <w:rPr>
                <w:rFonts w:ascii="Verdana" w:eastAsia="Times New Roman" w:hAnsi="Verdana" w:cs="Arial"/>
                <w:color w:val="365F91"/>
                <w:sz w:val="18"/>
                <w:szCs w:val="18"/>
                <w:lang w:val="el-GR"/>
              </w:rPr>
            </w:pPr>
          </w:p>
        </w:tc>
        <w:tc>
          <w:tcPr>
            <w:tcW w:w="4399" w:type="dxa"/>
            <w:gridSpan w:val="3"/>
            <w:tcBorders>
              <w:bottom w:val="single" w:sz="4" w:space="0" w:color="366092"/>
            </w:tcBorders>
          </w:tcPr>
          <w:p w14:paraId="55521A0B" w14:textId="77777777" w:rsidR="00D23532" w:rsidRPr="00C80D18" w:rsidRDefault="00D23532" w:rsidP="00FC5595">
            <w:pPr>
              <w:ind w:right="-75"/>
              <w:jc w:val="center"/>
              <w:rPr>
                <w:rFonts w:ascii="Verdana" w:eastAsia="Times New Roman" w:hAnsi="Verdana" w:cs="Arial"/>
                <w:color w:val="365F91"/>
                <w:sz w:val="18"/>
                <w:szCs w:val="18"/>
                <w:lang w:val="el-GR"/>
              </w:rPr>
            </w:pPr>
          </w:p>
        </w:tc>
      </w:tr>
      <w:tr w:rsidR="003337C1" w:rsidRPr="00C80D18" w14:paraId="79540F65" w14:textId="49BDFAC0" w:rsidTr="00D23532">
        <w:trPr>
          <w:trHeight w:val="270"/>
          <w:jc w:val="center"/>
        </w:trPr>
        <w:tc>
          <w:tcPr>
            <w:tcW w:w="2411" w:type="dxa"/>
            <w:vMerge w:val="restart"/>
            <w:tcBorders>
              <w:top w:val="single" w:sz="4" w:space="0" w:color="366092"/>
              <w:left w:val="nil"/>
              <w:bottom w:val="single" w:sz="4" w:space="0" w:color="366092"/>
            </w:tcBorders>
            <w:shd w:val="clear" w:color="FFFFFF" w:fill="FFFFFF"/>
            <w:vAlign w:val="center"/>
            <w:hideMark/>
          </w:tcPr>
          <w:p w14:paraId="4813B3B3" w14:textId="77777777" w:rsidR="003337C1" w:rsidRPr="00C80D18" w:rsidRDefault="003337C1"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Κατηγορίες Αγαθών και Υπηρεσιών</w:t>
            </w:r>
          </w:p>
        </w:tc>
        <w:tc>
          <w:tcPr>
            <w:tcW w:w="2973" w:type="dxa"/>
            <w:gridSpan w:val="2"/>
            <w:tcBorders>
              <w:top w:val="single" w:sz="4" w:space="0" w:color="366092"/>
              <w:bottom w:val="single" w:sz="4" w:space="0" w:color="366092"/>
            </w:tcBorders>
            <w:shd w:val="clear" w:color="FFFFFF" w:fill="FFFFFF"/>
            <w:noWrap/>
            <w:vAlign w:val="center"/>
            <w:hideMark/>
          </w:tcPr>
          <w:p w14:paraId="36E1C5C6" w14:textId="77777777" w:rsidR="003337C1" w:rsidRPr="00C80D18" w:rsidRDefault="003337C1" w:rsidP="00FC5595">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ΔΤΚ (2015=100)</w:t>
            </w:r>
          </w:p>
        </w:tc>
        <w:tc>
          <w:tcPr>
            <w:tcW w:w="282" w:type="dxa"/>
            <w:tcBorders>
              <w:top w:val="single" w:sz="4" w:space="0" w:color="366092"/>
            </w:tcBorders>
            <w:tcMar>
              <w:left w:w="0" w:type="dxa"/>
              <w:right w:w="0" w:type="dxa"/>
            </w:tcMar>
            <w:vAlign w:val="center"/>
          </w:tcPr>
          <w:p w14:paraId="0E6D1E6A" w14:textId="77777777" w:rsidR="003337C1" w:rsidRPr="00C80D18" w:rsidRDefault="003337C1" w:rsidP="00FC5595">
            <w:pPr>
              <w:ind w:right="-75"/>
              <w:jc w:val="center"/>
              <w:rPr>
                <w:rFonts w:ascii="Verdana" w:eastAsia="Times New Roman" w:hAnsi="Verdana" w:cs="Arial"/>
                <w:b/>
                <w:bCs/>
                <w:color w:val="365F91"/>
                <w:sz w:val="18"/>
                <w:szCs w:val="18"/>
                <w:lang w:val="el-GR"/>
              </w:rPr>
            </w:pPr>
          </w:p>
        </w:tc>
        <w:tc>
          <w:tcPr>
            <w:tcW w:w="4399" w:type="dxa"/>
            <w:gridSpan w:val="3"/>
            <w:tcBorders>
              <w:top w:val="single" w:sz="4" w:space="0" w:color="366092"/>
              <w:bottom w:val="single" w:sz="4" w:space="0" w:color="366092"/>
            </w:tcBorders>
            <w:vAlign w:val="center"/>
          </w:tcPr>
          <w:p w14:paraId="18498107" w14:textId="28348BF3" w:rsidR="003337C1" w:rsidRPr="00C80D18" w:rsidRDefault="003337C1" w:rsidP="00FC5595">
            <w:pPr>
              <w:ind w:right="-75"/>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Μεταβολές (%)</w:t>
            </w:r>
          </w:p>
        </w:tc>
      </w:tr>
      <w:tr w:rsidR="00B442B0" w:rsidRPr="00C80D18" w14:paraId="4BD227C0" w14:textId="56E7A4E3" w:rsidTr="00635691">
        <w:trPr>
          <w:trHeight w:val="602"/>
          <w:jc w:val="center"/>
        </w:trPr>
        <w:tc>
          <w:tcPr>
            <w:tcW w:w="2411" w:type="dxa"/>
            <w:vMerge/>
            <w:tcBorders>
              <w:top w:val="single" w:sz="4" w:space="0" w:color="366092"/>
              <w:left w:val="nil"/>
              <w:bottom w:val="single" w:sz="4" w:space="0" w:color="366092"/>
            </w:tcBorders>
            <w:vAlign w:val="center"/>
            <w:hideMark/>
          </w:tcPr>
          <w:p w14:paraId="28DF8A22" w14:textId="77777777" w:rsidR="00B442B0" w:rsidRPr="00C80D18" w:rsidRDefault="00B442B0" w:rsidP="00B442B0">
            <w:pPr>
              <w:rPr>
                <w:rFonts w:ascii="Verdana" w:eastAsia="Times New Roman" w:hAnsi="Verdana" w:cs="Arial"/>
                <w:b/>
                <w:bCs/>
                <w:color w:val="365F91"/>
                <w:sz w:val="18"/>
                <w:szCs w:val="18"/>
                <w:lang w:val="el-GR"/>
              </w:rPr>
            </w:pPr>
          </w:p>
        </w:tc>
        <w:tc>
          <w:tcPr>
            <w:tcW w:w="1558" w:type="dxa"/>
            <w:tcBorders>
              <w:top w:val="single" w:sz="4" w:space="0" w:color="366092"/>
              <w:bottom w:val="single" w:sz="4" w:space="0" w:color="366092"/>
            </w:tcBorders>
            <w:shd w:val="clear" w:color="FFFFFF" w:fill="FFFFFF"/>
            <w:vAlign w:val="center"/>
            <w:hideMark/>
          </w:tcPr>
          <w:p w14:paraId="50458DC9" w14:textId="77777777" w:rsidR="0020780D" w:rsidRPr="00B442B0" w:rsidRDefault="0020780D" w:rsidP="0020780D">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Μάρτιος</w:t>
            </w:r>
          </w:p>
          <w:p w14:paraId="2CBD1D95" w14:textId="175D2AF8" w:rsidR="00B442B0" w:rsidRPr="00C80D18" w:rsidRDefault="0020780D" w:rsidP="0020780D">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1415" w:type="dxa"/>
            <w:tcBorders>
              <w:top w:val="single" w:sz="4" w:space="0" w:color="366092"/>
              <w:bottom w:val="single" w:sz="4" w:space="0" w:color="366092"/>
            </w:tcBorders>
            <w:shd w:val="clear" w:color="FFFFFF" w:fill="FFFFFF"/>
            <w:vAlign w:val="center"/>
            <w:hideMark/>
          </w:tcPr>
          <w:p w14:paraId="0439D0F3" w14:textId="31FD8BFC" w:rsidR="00B442B0" w:rsidRPr="00B442B0" w:rsidRDefault="0020780D"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Απρίλιος</w:t>
            </w:r>
          </w:p>
          <w:p w14:paraId="11415D22" w14:textId="0C666C01" w:rsidR="00B442B0" w:rsidRPr="00C80D18" w:rsidRDefault="00B442B0" w:rsidP="00B442B0">
            <w:pPr>
              <w:jc w:val="cente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282" w:type="dxa"/>
            <w:tcBorders>
              <w:bottom w:val="single" w:sz="4" w:space="0" w:color="366092"/>
            </w:tcBorders>
            <w:shd w:val="clear" w:color="FFFFFF" w:fill="FFFFFF"/>
            <w:tcMar>
              <w:left w:w="0" w:type="dxa"/>
              <w:right w:w="0" w:type="dxa"/>
            </w:tcMar>
          </w:tcPr>
          <w:p w14:paraId="139E8C70" w14:textId="77777777" w:rsidR="00B442B0" w:rsidRPr="00C80D18" w:rsidRDefault="00B442B0" w:rsidP="00B442B0">
            <w:pPr>
              <w:rPr>
                <w:rFonts w:ascii="Verdana" w:eastAsia="Times New Roman" w:hAnsi="Verdana" w:cs="Arial"/>
                <w:b/>
                <w:bCs/>
                <w:color w:val="365F91"/>
                <w:sz w:val="18"/>
                <w:szCs w:val="18"/>
                <w:lang w:val="el-GR"/>
              </w:rPr>
            </w:pPr>
          </w:p>
        </w:tc>
        <w:tc>
          <w:tcPr>
            <w:tcW w:w="1422" w:type="dxa"/>
            <w:tcBorders>
              <w:top w:val="single" w:sz="4" w:space="0" w:color="366092"/>
              <w:bottom w:val="single" w:sz="4" w:space="0" w:color="366092"/>
            </w:tcBorders>
            <w:shd w:val="clear" w:color="FFFFFF" w:fill="FFFFFF"/>
            <w:vAlign w:val="center"/>
            <w:hideMark/>
          </w:tcPr>
          <w:p w14:paraId="447E692C" w14:textId="08A1841B" w:rsidR="00B442B0" w:rsidRPr="00C80D18" w:rsidRDefault="00F47CFD" w:rsidP="00B442B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w:t>
            </w:r>
            <w:r w:rsidR="00B442B0"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00B442B0" w:rsidRPr="00C80D18">
              <w:rPr>
                <w:rFonts w:ascii="Verdana" w:eastAsia="Times New Roman" w:hAnsi="Verdana" w:cs="Arial"/>
                <w:b/>
                <w:bCs/>
                <w:color w:val="365F91"/>
                <w:sz w:val="18"/>
                <w:szCs w:val="18"/>
                <w:lang w:val="el-GR"/>
              </w:rPr>
              <w:t xml:space="preserve"> 24</w:t>
            </w:r>
          </w:p>
        </w:tc>
        <w:tc>
          <w:tcPr>
            <w:tcW w:w="1279" w:type="dxa"/>
            <w:tcBorders>
              <w:top w:val="single" w:sz="4" w:space="0" w:color="366092"/>
              <w:bottom w:val="single" w:sz="4" w:space="0" w:color="366092"/>
            </w:tcBorders>
            <w:shd w:val="clear" w:color="FFFFFF" w:fill="FFFFFF"/>
            <w:vAlign w:val="center"/>
            <w:hideMark/>
          </w:tcPr>
          <w:p w14:paraId="40959793" w14:textId="48613A6F" w:rsidR="00B442B0" w:rsidRPr="00C80D18" w:rsidRDefault="00F47CFD" w:rsidP="00B442B0">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Απρ</w:t>
            </w:r>
            <w:r w:rsidR="00B442B0"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Μαρ</w:t>
            </w:r>
            <w:r w:rsidR="00B442B0" w:rsidRPr="00C80D18">
              <w:rPr>
                <w:rFonts w:ascii="Verdana" w:eastAsia="Times New Roman" w:hAnsi="Verdana" w:cs="Arial"/>
                <w:b/>
                <w:bCs/>
                <w:color w:val="365F91"/>
                <w:sz w:val="18"/>
                <w:szCs w:val="18"/>
                <w:lang w:val="el-GR"/>
              </w:rPr>
              <w:t xml:space="preserve"> 2</w:t>
            </w:r>
            <w:r w:rsidR="00B442B0" w:rsidRPr="00C80D18">
              <w:rPr>
                <w:rFonts w:ascii="Verdana" w:eastAsia="Times New Roman" w:hAnsi="Verdana" w:cs="Arial"/>
                <w:b/>
                <w:bCs/>
                <w:color w:val="365F91"/>
                <w:sz w:val="18"/>
                <w:szCs w:val="18"/>
              </w:rPr>
              <w:t>5</w:t>
            </w:r>
          </w:p>
        </w:tc>
        <w:tc>
          <w:tcPr>
            <w:tcW w:w="1698" w:type="dxa"/>
            <w:tcBorders>
              <w:top w:val="single" w:sz="4" w:space="0" w:color="366092"/>
              <w:bottom w:val="single" w:sz="4" w:space="0" w:color="366092"/>
            </w:tcBorders>
            <w:shd w:val="clear" w:color="FFFFFF" w:fill="FFFFFF"/>
            <w:vAlign w:val="center"/>
          </w:tcPr>
          <w:p w14:paraId="4348F3C6" w14:textId="70CD65EC"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sidR="00F47CFD">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w:t>
            </w:r>
          </w:p>
          <w:p w14:paraId="0FAD6CEA" w14:textId="51FBED1E" w:rsidR="00B442B0" w:rsidRPr="00C80D18" w:rsidRDefault="00B442B0" w:rsidP="00635691">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 xml:space="preserve">Ιαν – </w:t>
            </w:r>
            <w:r w:rsidR="00F47CFD">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24</w:t>
            </w:r>
          </w:p>
        </w:tc>
      </w:tr>
      <w:tr w:rsidR="006314AA" w:rsidRPr="00C80D18" w14:paraId="43FBF73D" w14:textId="0B37F553" w:rsidTr="006314AA">
        <w:trPr>
          <w:trHeight w:val="510"/>
          <w:jc w:val="center"/>
        </w:trPr>
        <w:tc>
          <w:tcPr>
            <w:tcW w:w="2411" w:type="dxa"/>
            <w:tcBorders>
              <w:top w:val="nil"/>
              <w:left w:val="nil"/>
              <w:bottom w:val="nil"/>
            </w:tcBorders>
            <w:shd w:val="clear" w:color="FFFFFF" w:fill="FFFFFF"/>
            <w:vAlign w:val="center"/>
            <w:hideMark/>
          </w:tcPr>
          <w:p w14:paraId="584BBFCC" w14:textId="77777777" w:rsidR="006314AA" w:rsidRPr="00C80D18" w:rsidRDefault="006314AA" w:rsidP="006314AA">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Τρόφιμα και μη Αλκοολούχα Ποτά</w:t>
            </w:r>
          </w:p>
        </w:tc>
        <w:tc>
          <w:tcPr>
            <w:tcW w:w="1558" w:type="dxa"/>
            <w:tcBorders>
              <w:top w:val="nil"/>
              <w:bottom w:val="nil"/>
            </w:tcBorders>
            <w:shd w:val="clear" w:color="000000" w:fill="FFFFFF"/>
            <w:vAlign w:val="center"/>
            <w:hideMark/>
          </w:tcPr>
          <w:p w14:paraId="6D09E726" w14:textId="1347E229"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121</w:t>
            </w:r>
            <w:r>
              <w:rPr>
                <w:rFonts w:ascii="Verdana" w:hAnsi="Verdana"/>
                <w:color w:val="365F91"/>
                <w:sz w:val="18"/>
                <w:szCs w:val="18"/>
              </w:rPr>
              <w:t>,</w:t>
            </w:r>
            <w:r w:rsidRPr="0020780D">
              <w:rPr>
                <w:rFonts w:ascii="Verdana" w:hAnsi="Verdana"/>
                <w:color w:val="365F91"/>
                <w:sz w:val="18"/>
                <w:szCs w:val="18"/>
              </w:rPr>
              <w:t>53</w:t>
            </w:r>
          </w:p>
        </w:tc>
        <w:tc>
          <w:tcPr>
            <w:tcW w:w="1415" w:type="dxa"/>
            <w:tcBorders>
              <w:top w:val="nil"/>
              <w:bottom w:val="nil"/>
            </w:tcBorders>
            <w:shd w:val="clear" w:color="000000" w:fill="FFFFFF"/>
            <w:vAlign w:val="center"/>
          </w:tcPr>
          <w:p w14:paraId="2FF5882E" w14:textId="1202E487"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122</w:t>
            </w:r>
            <w:r>
              <w:rPr>
                <w:rFonts w:ascii="Verdana" w:hAnsi="Verdana"/>
                <w:color w:val="365F91"/>
                <w:sz w:val="18"/>
                <w:szCs w:val="18"/>
              </w:rPr>
              <w:t>,</w:t>
            </w:r>
            <w:r w:rsidRPr="0020780D">
              <w:rPr>
                <w:rFonts w:ascii="Verdana" w:hAnsi="Verdana"/>
                <w:color w:val="365F91"/>
                <w:sz w:val="18"/>
                <w:szCs w:val="18"/>
              </w:rPr>
              <w:t>45</w:t>
            </w:r>
          </w:p>
        </w:tc>
        <w:tc>
          <w:tcPr>
            <w:tcW w:w="282" w:type="dxa"/>
            <w:tcBorders>
              <w:top w:val="nil"/>
              <w:bottom w:val="nil"/>
            </w:tcBorders>
            <w:shd w:val="clear" w:color="000000" w:fill="FFFFFF"/>
            <w:tcMar>
              <w:left w:w="0" w:type="dxa"/>
              <w:right w:w="0" w:type="dxa"/>
            </w:tcMar>
            <w:vAlign w:val="center"/>
          </w:tcPr>
          <w:p w14:paraId="79760B6C"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40A12FB6" w14:textId="3FCFCE47"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2</w:t>
            </w:r>
            <w:r>
              <w:rPr>
                <w:rFonts w:ascii="Verdana" w:hAnsi="Verdana"/>
                <w:color w:val="365F91"/>
                <w:sz w:val="18"/>
                <w:szCs w:val="18"/>
              </w:rPr>
              <w:t>,</w:t>
            </w:r>
            <w:r w:rsidRPr="0020780D">
              <w:rPr>
                <w:rFonts w:ascii="Verdana" w:hAnsi="Verdana"/>
                <w:color w:val="365F91"/>
                <w:sz w:val="18"/>
                <w:szCs w:val="18"/>
              </w:rPr>
              <w:t>59</w:t>
            </w:r>
          </w:p>
        </w:tc>
        <w:tc>
          <w:tcPr>
            <w:tcW w:w="1279" w:type="dxa"/>
            <w:tcBorders>
              <w:top w:val="nil"/>
              <w:bottom w:val="nil"/>
            </w:tcBorders>
            <w:shd w:val="clear" w:color="000000" w:fill="FFFFFF"/>
            <w:vAlign w:val="center"/>
          </w:tcPr>
          <w:p w14:paraId="02B02E2A" w14:textId="13C270B2"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76</w:t>
            </w:r>
          </w:p>
        </w:tc>
        <w:tc>
          <w:tcPr>
            <w:tcW w:w="1698" w:type="dxa"/>
            <w:tcBorders>
              <w:top w:val="nil"/>
              <w:bottom w:val="nil"/>
            </w:tcBorders>
            <w:shd w:val="clear" w:color="000000" w:fill="FFFFFF"/>
            <w:vAlign w:val="center"/>
          </w:tcPr>
          <w:p w14:paraId="7CCB19FC" w14:textId="33F50C83"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2</w:t>
            </w:r>
            <w:r>
              <w:rPr>
                <w:rFonts w:ascii="Verdana" w:hAnsi="Verdana"/>
                <w:color w:val="365F91"/>
                <w:sz w:val="18"/>
                <w:szCs w:val="18"/>
              </w:rPr>
              <w:t>,</w:t>
            </w:r>
            <w:r w:rsidRPr="0020780D">
              <w:rPr>
                <w:rFonts w:ascii="Verdana" w:hAnsi="Verdana"/>
                <w:color w:val="365F91"/>
                <w:sz w:val="18"/>
                <w:szCs w:val="18"/>
              </w:rPr>
              <w:t>93</w:t>
            </w:r>
          </w:p>
        </w:tc>
      </w:tr>
      <w:tr w:rsidR="006314AA" w:rsidRPr="00C80D18" w14:paraId="40FB4937" w14:textId="16B0D887" w:rsidTr="006314AA">
        <w:trPr>
          <w:trHeight w:val="510"/>
          <w:jc w:val="center"/>
        </w:trPr>
        <w:tc>
          <w:tcPr>
            <w:tcW w:w="2411" w:type="dxa"/>
            <w:tcBorders>
              <w:top w:val="nil"/>
              <w:left w:val="nil"/>
              <w:bottom w:val="nil"/>
            </w:tcBorders>
            <w:shd w:val="clear" w:color="FFFFFF" w:fill="FFFFFF"/>
            <w:vAlign w:val="center"/>
            <w:hideMark/>
          </w:tcPr>
          <w:p w14:paraId="3448AC6A" w14:textId="77777777" w:rsidR="006314AA" w:rsidRPr="00C80D18" w:rsidRDefault="006314AA" w:rsidP="006314AA">
            <w:pPr>
              <w:rPr>
                <w:rFonts w:ascii="Verdana" w:eastAsia="Times New Roman" w:hAnsi="Verdana" w:cs="Arial"/>
                <w:color w:val="365F91"/>
                <w:sz w:val="18"/>
                <w:szCs w:val="18"/>
              </w:rPr>
            </w:pPr>
            <w:r w:rsidRPr="00C80D18">
              <w:rPr>
                <w:rFonts w:ascii="Verdana" w:eastAsia="Times New Roman" w:hAnsi="Verdana" w:cs="Arial"/>
                <w:color w:val="365F91"/>
                <w:sz w:val="18"/>
                <w:szCs w:val="18"/>
                <w:lang w:val="el-GR"/>
              </w:rPr>
              <w:t>Αλκοολούχα Π</w:t>
            </w:r>
            <w:proofErr w:type="spellStart"/>
            <w:r w:rsidRPr="00C80D18">
              <w:rPr>
                <w:rFonts w:ascii="Verdana" w:eastAsia="Times New Roman" w:hAnsi="Verdana" w:cs="Arial"/>
                <w:color w:val="365F91"/>
                <w:sz w:val="18"/>
                <w:szCs w:val="18"/>
              </w:rPr>
              <w:t>οτά</w:t>
            </w:r>
            <w:proofErr w:type="spellEnd"/>
            <w:r w:rsidRPr="00C80D18">
              <w:rPr>
                <w:rFonts w:ascii="Verdana" w:eastAsia="Times New Roman" w:hAnsi="Verdana" w:cs="Arial"/>
                <w:color w:val="365F91"/>
                <w:sz w:val="18"/>
                <w:szCs w:val="18"/>
              </w:rPr>
              <w:t xml:space="preserve"> και </w:t>
            </w:r>
            <w:r w:rsidRPr="00C80D18">
              <w:rPr>
                <w:rFonts w:ascii="Verdana" w:eastAsia="Times New Roman" w:hAnsi="Verdana" w:cs="Arial"/>
                <w:color w:val="365F91"/>
                <w:sz w:val="18"/>
                <w:szCs w:val="18"/>
                <w:lang w:val="el-GR"/>
              </w:rPr>
              <w:t>Κ</w:t>
            </w:r>
            <w:r w:rsidRPr="00C80D18">
              <w:rPr>
                <w:rFonts w:ascii="Verdana" w:eastAsia="Times New Roman" w:hAnsi="Verdana" w:cs="Arial"/>
                <w:color w:val="365F91"/>
                <w:sz w:val="18"/>
                <w:szCs w:val="18"/>
              </w:rPr>
              <w:t>απ</w:t>
            </w:r>
            <w:proofErr w:type="spellStart"/>
            <w:r w:rsidRPr="00C80D18">
              <w:rPr>
                <w:rFonts w:ascii="Verdana" w:eastAsia="Times New Roman" w:hAnsi="Verdana" w:cs="Arial"/>
                <w:color w:val="365F91"/>
                <w:sz w:val="18"/>
                <w:szCs w:val="18"/>
              </w:rPr>
              <w:t>νός</w:t>
            </w:r>
            <w:proofErr w:type="spellEnd"/>
          </w:p>
        </w:tc>
        <w:tc>
          <w:tcPr>
            <w:tcW w:w="1558" w:type="dxa"/>
            <w:tcBorders>
              <w:top w:val="nil"/>
              <w:bottom w:val="nil"/>
            </w:tcBorders>
            <w:shd w:val="clear" w:color="000000" w:fill="FFFFFF"/>
            <w:vAlign w:val="center"/>
            <w:hideMark/>
          </w:tcPr>
          <w:p w14:paraId="630B1C66" w14:textId="6FA27D53"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103</w:t>
            </w:r>
            <w:r>
              <w:rPr>
                <w:rFonts w:ascii="Verdana" w:hAnsi="Verdana"/>
                <w:color w:val="365F91"/>
                <w:sz w:val="18"/>
                <w:szCs w:val="18"/>
              </w:rPr>
              <w:t>,</w:t>
            </w:r>
            <w:r w:rsidRPr="0020780D">
              <w:rPr>
                <w:rFonts w:ascii="Verdana" w:hAnsi="Verdana"/>
                <w:color w:val="365F91"/>
                <w:sz w:val="18"/>
                <w:szCs w:val="18"/>
              </w:rPr>
              <w:t>67</w:t>
            </w:r>
          </w:p>
        </w:tc>
        <w:tc>
          <w:tcPr>
            <w:tcW w:w="1415" w:type="dxa"/>
            <w:tcBorders>
              <w:top w:val="nil"/>
              <w:bottom w:val="nil"/>
            </w:tcBorders>
            <w:shd w:val="clear" w:color="000000" w:fill="FFFFFF"/>
            <w:vAlign w:val="center"/>
          </w:tcPr>
          <w:p w14:paraId="3C4D503E" w14:textId="15184062"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103</w:t>
            </w:r>
            <w:r>
              <w:rPr>
                <w:rFonts w:ascii="Verdana" w:hAnsi="Verdana"/>
                <w:color w:val="365F91"/>
                <w:sz w:val="18"/>
                <w:szCs w:val="18"/>
              </w:rPr>
              <w:t>,</w:t>
            </w:r>
            <w:r w:rsidRPr="0020780D">
              <w:rPr>
                <w:rFonts w:ascii="Verdana" w:hAnsi="Verdana"/>
                <w:color w:val="365F91"/>
                <w:sz w:val="18"/>
                <w:szCs w:val="18"/>
              </w:rPr>
              <w:t>49</w:t>
            </w:r>
          </w:p>
        </w:tc>
        <w:tc>
          <w:tcPr>
            <w:tcW w:w="282" w:type="dxa"/>
            <w:tcBorders>
              <w:top w:val="nil"/>
              <w:bottom w:val="nil"/>
            </w:tcBorders>
            <w:shd w:val="clear" w:color="000000" w:fill="FFFFFF"/>
            <w:tcMar>
              <w:left w:w="0" w:type="dxa"/>
              <w:right w:w="0" w:type="dxa"/>
            </w:tcMar>
            <w:vAlign w:val="center"/>
          </w:tcPr>
          <w:p w14:paraId="7D0C3688"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89501B5" w14:textId="3EE1C6B3"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0</w:t>
            </w:r>
            <w:r>
              <w:rPr>
                <w:rFonts w:ascii="Verdana" w:hAnsi="Verdana"/>
                <w:color w:val="365F91"/>
                <w:sz w:val="18"/>
                <w:szCs w:val="18"/>
              </w:rPr>
              <w:t>,</w:t>
            </w:r>
            <w:r w:rsidRPr="0020780D">
              <w:rPr>
                <w:rFonts w:ascii="Verdana" w:hAnsi="Verdana"/>
                <w:color w:val="365F91"/>
                <w:sz w:val="18"/>
                <w:szCs w:val="18"/>
              </w:rPr>
              <w:t>98</w:t>
            </w:r>
          </w:p>
        </w:tc>
        <w:tc>
          <w:tcPr>
            <w:tcW w:w="1279" w:type="dxa"/>
            <w:tcBorders>
              <w:top w:val="nil"/>
              <w:bottom w:val="nil"/>
            </w:tcBorders>
            <w:shd w:val="clear" w:color="000000" w:fill="FFFFFF"/>
            <w:vAlign w:val="center"/>
          </w:tcPr>
          <w:p w14:paraId="676F51CC" w14:textId="713F03A5"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17</w:t>
            </w:r>
          </w:p>
        </w:tc>
        <w:tc>
          <w:tcPr>
            <w:tcW w:w="1698" w:type="dxa"/>
            <w:tcBorders>
              <w:top w:val="nil"/>
              <w:bottom w:val="nil"/>
            </w:tcBorders>
            <w:shd w:val="clear" w:color="000000" w:fill="FFFFFF"/>
            <w:vAlign w:val="center"/>
          </w:tcPr>
          <w:p w14:paraId="196F6FD0" w14:textId="301BA959"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38</w:t>
            </w:r>
          </w:p>
        </w:tc>
      </w:tr>
      <w:tr w:rsidR="006314AA" w:rsidRPr="00C80D18" w14:paraId="30CC1D12" w14:textId="63213DF3" w:rsidTr="006314AA">
        <w:trPr>
          <w:trHeight w:val="374"/>
          <w:jc w:val="center"/>
        </w:trPr>
        <w:tc>
          <w:tcPr>
            <w:tcW w:w="2411" w:type="dxa"/>
            <w:tcBorders>
              <w:top w:val="nil"/>
              <w:left w:val="nil"/>
              <w:bottom w:val="nil"/>
            </w:tcBorders>
            <w:shd w:val="clear" w:color="FFFFFF" w:fill="FFFFFF"/>
            <w:noWrap/>
            <w:vAlign w:val="center"/>
            <w:hideMark/>
          </w:tcPr>
          <w:p w14:paraId="03349F99"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Ένδυση</w:t>
            </w:r>
            <w:proofErr w:type="spellEnd"/>
            <w:r w:rsidRPr="00C80D18">
              <w:rPr>
                <w:rFonts w:ascii="Verdana" w:eastAsia="Times New Roman" w:hAnsi="Verdana" w:cs="Arial"/>
                <w:color w:val="365F91"/>
                <w:sz w:val="18"/>
                <w:szCs w:val="18"/>
              </w:rPr>
              <w:t xml:space="preserve"> και </w:t>
            </w:r>
            <w:r w:rsidRPr="00C80D18">
              <w:rPr>
                <w:rFonts w:ascii="Verdana" w:eastAsia="Times New Roman" w:hAnsi="Verdana" w:cs="Arial"/>
                <w:color w:val="365F91"/>
                <w:sz w:val="18"/>
                <w:szCs w:val="18"/>
                <w:lang w:val="el-GR"/>
              </w:rPr>
              <w:t>Υ</w:t>
            </w:r>
            <w:r w:rsidRPr="00C80D18">
              <w:rPr>
                <w:rFonts w:ascii="Verdana" w:eastAsia="Times New Roman" w:hAnsi="Verdana" w:cs="Arial"/>
                <w:color w:val="365F91"/>
                <w:sz w:val="18"/>
                <w:szCs w:val="18"/>
              </w:rPr>
              <w:t>π</w:t>
            </w:r>
            <w:proofErr w:type="spellStart"/>
            <w:r w:rsidRPr="00C80D18">
              <w:rPr>
                <w:rFonts w:ascii="Verdana" w:eastAsia="Times New Roman" w:hAnsi="Verdana" w:cs="Arial"/>
                <w:color w:val="365F91"/>
                <w:sz w:val="18"/>
                <w:szCs w:val="18"/>
              </w:rPr>
              <w:t>όδηση</w:t>
            </w:r>
            <w:proofErr w:type="spellEnd"/>
          </w:p>
        </w:tc>
        <w:tc>
          <w:tcPr>
            <w:tcW w:w="1558" w:type="dxa"/>
            <w:tcBorders>
              <w:top w:val="nil"/>
              <w:bottom w:val="nil"/>
            </w:tcBorders>
            <w:shd w:val="clear" w:color="000000" w:fill="FFFFFF"/>
            <w:vAlign w:val="center"/>
            <w:hideMark/>
          </w:tcPr>
          <w:p w14:paraId="14DB512E" w14:textId="1D0BA37D"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96</w:t>
            </w:r>
            <w:r>
              <w:rPr>
                <w:rFonts w:ascii="Verdana" w:hAnsi="Verdana"/>
                <w:color w:val="365F91"/>
                <w:sz w:val="18"/>
                <w:szCs w:val="18"/>
              </w:rPr>
              <w:t>,</w:t>
            </w:r>
            <w:r w:rsidRPr="0020780D">
              <w:rPr>
                <w:rFonts w:ascii="Verdana" w:hAnsi="Verdana"/>
                <w:color w:val="365F91"/>
                <w:sz w:val="18"/>
                <w:szCs w:val="18"/>
              </w:rPr>
              <w:t>32</w:t>
            </w:r>
          </w:p>
        </w:tc>
        <w:tc>
          <w:tcPr>
            <w:tcW w:w="1415" w:type="dxa"/>
            <w:tcBorders>
              <w:top w:val="nil"/>
              <w:bottom w:val="nil"/>
            </w:tcBorders>
            <w:shd w:val="clear" w:color="000000" w:fill="FFFFFF"/>
            <w:vAlign w:val="center"/>
          </w:tcPr>
          <w:p w14:paraId="3CC605B7" w14:textId="25EE5E88"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100</w:t>
            </w:r>
            <w:r>
              <w:rPr>
                <w:rFonts w:ascii="Verdana" w:hAnsi="Verdana"/>
                <w:color w:val="365F91"/>
                <w:sz w:val="18"/>
                <w:szCs w:val="18"/>
              </w:rPr>
              <w:t>,</w:t>
            </w:r>
            <w:r w:rsidRPr="0020780D">
              <w:rPr>
                <w:rFonts w:ascii="Verdana" w:hAnsi="Verdana"/>
                <w:color w:val="365F91"/>
                <w:sz w:val="18"/>
                <w:szCs w:val="18"/>
              </w:rPr>
              <w:t>84</w:t>
            </w:r>
          </w:p>
        </w:tc>
        <w:tc>
          <w:tcPr>
            <w:tcW w:w="282" w:type="dxa"/>
            <w:tcBorders>
              <w:top w:val="nil"/>
              <w:bottom w:val="nil"/>
            </w:tcBorders>
            <w:shd w:val="clear" w:color="000000" w:fill="FFFFFF"/>
            <w:tcMar>
              <w:left w:w="0" w:type="dxa"/>
              <w:right w:w="0" w:type="dxa"/>
            </w:tcMar>
            <w:vAlign w:val="center"/>
          </w:tcPr>
          <w:p w14:paraId="13D60A36"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5526D19" w14:textId="463430B4"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-7</w:t>
            </w:r>
            <w:r>
              <w:rPr>
                <w:rFonts w:ascii="Verdana" w:hAnsi="Verdana"/>
                <w:color w:val="365F91"/>
                <w:sz w:val="18"/>
                <w:szCs w:val="18"/>
              </w:rPr>
              <w:t>,</w:t>
            </w:r>
            <w:r w:rsidRPr="0020780D">
              <w:rPr>
                <w:rFonts w:ascii="Verdana" w:hAnsi="Verdana"/>
                <w:color w:val="365F91"/>
                <w:sz w:val="18"/>
                <w:szCs w:val="18"/>
              </w:rPr>
              <w:t>06</w:t>
            </w:r>
          </w:p>
        </w:tc>
        <w:tc>
          <w:tcPr>
            <w:tcW w:w="1279" w:type="dxa"/>
            <w:tcBorders>
              <w:top w:val="nil"/>
              <w:bottom w:val="nil"/>
            </w:tcBorders>
            <w:shd w:val="clear" w:color="000000" w:fill="FFFFFF"/>
            <w:vAlign w:val="center"/>
          </w:tcPr>
          <w:p w14:paraId="16300365" w14:textId="3AAF313F"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4</w:t>
            </w:r>
            <w:r>
              <w:rPr>
                <w:rFonts w:ascii="Verdana" w:hAnsi="Verdana"/>
                <w:color w:val="365F91"/>
                <w:sz w:val="18"/>
                <w:szCs w:val="18"/>
              </w:rPr>
              <w:t>,</w:t>
            </w:r>
            <w:r w:rsidRPr="006314AA">
              <w:rPr>
                <w:rFonts w:ascii="Verdana" w:hAnsi="Verdana"/>
                <w:color w:val="365F91"/>
                <w:sz w:val="18"/>
                <w:szCs w:val="18"/>
              </w:rPr>
              <w:t>69</w:t>
            </w:r>
          </w:p>
        </w:tc>
        <w:tc>
          <w:tcPr>
            <w:tcW w:w="1698" w:type="dxa"/>
            <w:tcBorders>
              <w:top w:val="nil"/>
              <w:bottom w:val="nil"/>
            </w:tcBorders>
            <w:shd w:val="clear" w:color="000000" w:fill="FFFFFF"/>
            <w:vAlign w:val="center"/>
          </w:tcPr>
          <w:p w14:paraId="0D5286BF" w14:textId="654FEFE1"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-5</w:t>
            </w:r>
            <w:r>
              <w:rPr>
                <w:rFonts w:ascii="Verdana" w:hAnsi="Verdana"/>
                <w:color w:val="365F91"/>
                <w:sz w:val="18"/>
                <w:szCs w:val="18"/>
              </w:rPr>
              <w:t>,</w:t>
            </w:r>
            <w:r w:rsidRPr="0020780D">
              <w:rPr>
                <w:rFonts w:ascii="Verdana" w:hAnsi="Verdana"/>
                <w:color w:val="365F91"/>
                <w:sz w:val="18"/>
                <w:szCs w:val="18"/>
              </w:rPr>
              <w:t>75</w:t>
            </w:r>
          </w:p>
        </w:tc>
      </w:tr>
      <w:tr w:rsidR="006314AA" w:rsidRPr="00C80D18" w14:paraId="64A249B5" w14:textId="3207FD58" w:rsidTr="006314AA">
        <w:trPr>
          <w:trHeight w:val="680"/>
          <w:jc w:val="center"/>
        </w:trPr>
        <w:tc>
          <w:tcPr>
            <w:tcW w:w="2411" w:type="dxa"/>
            <w:tcBorders>
              <w:top w:val="nil"/>
              <w:left w:val="nil"/>
              <w:bottom w:val="nil"/>
            </w:tcBorders>
            <w:shd w:val="clear" w:color="FFFFFF" w:fill="FFFFFF"/>
            <w:vAlign w:val="center"/>
            <w:hideMark/>
          </w:tcPr>
          <w:p w14:paraId="2184074B" w14:textId="77777777" w:rsidR="006314AA" w:rsidRPr="00C80D18" w:rsidRDefault="006314AA" w:rsidP="006314AA">
            <w:pPr>
              <w:rPr>
                <w:rFonts w:ascii="Verdana" w:eastAsia="Times New Roman" w:hAnsi="Verdana" w:cs="Arial"/>
                <w:color w:val="365F91"/>
                <w:sz w:val="18"/>
                <w:szCs w:val="18"/>
                <w:lang w:val="el-GR"/>
              </w:rPr>
            </w:pPr>
            <w:bookmarkStart w:id="0" w:name="_Hlk194442311"/>
            <w:r w:rsidRPr="00C80D18">
              <w:rPr>
                <w:rFonts w:ascii="Verdana" w:eastAsia="Times New Roman" w:hAnsi="Verdana" w:cs="Arial"/>
                <w:color w:val="365F91"/>
                <w:sz w:val="18"/>
                <w:szCs w:val="18"/>
                <w:lang w:val="el-GR"/>
              </w:rPr>
              <w:t>Στέγαση, Ύδρευση, Ηλεκτρισμός και Υγραέριο</w:t>
            </w:r>
          </w:p>
        </w:tc>
        <w:tc>
          <w:tcPr>
            <w:tcW w:w="1558" w:type="dxa"/>
            <w:tcBorders>
              <w:top w:val="nil"/>
              <w:bottom w:val="nil"/>
            </w:tcBorders>
            <w:shd w:val="clear" w:color="000000" w:fill="FFFFFF"/>
            <w:vAlign w:val="center"/>
            <w:hideMark/>
          </w:tcPr>
          <w:p w14:paraId="61189439" w14:textId="4866E9CB"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147</w:t>
            </w:r>
            <w:r>
              <w:rPr>
                <w:rFonts w:ascii="Verdana" w:hAnsi="Verdana"/>
                <w:color w:val="365F91"/>
                <w:sz w:val="18"/>
                <w:szCs w:val="18"/>
              </w:rPr>
              <w:t>,</w:t>
            </w:r>
            <w:r w:rsidRPr="0020780D">
              <w:rPr>
                <w:rFonts w:ascii="Verdana" w:hAnsi="Verdana"/>
                <w:color w:val="365F91"/>
                <w:sz w:val="18"/>
                <w:szCs w:val="18"/>
              </w:rPr>
              <w:t>12</w:t>
            </w:r>
          </w:p>
        </w:tc>
        <w:tc>
          <w:tcPr>
            <w:tcW w:w="1415" w:type="dxa"/>
            <w:tcBorders>
              <w:top w:val="nil"/>
              <w:bottom w:val="nil"/>
            </w:tcBorders>
            <w:shd w:val="clear" w:color="000000" w:fill="FFFFFF"/>
            <w:vAlign w:val="center"/>
          </w:tcPr>
          <w:p w14:paraId="06FB2F98" w14:textId="1235B3C9"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142</w:t>
            </w:r>
            <w:r>
              <w:rPr>
                <w:rFonts w:ascii="Verdana" w:hAnsi="Verdana"/>
                <w:color w:val="365F91"/>
                <w:sz w:val="18"/>
                <w:szCs w:val="18"/>
              </w:rPr>
              <w:t>,</w:t>
            </w:r>
            <w:r w:rsidRPr="0020780D">
              <w:rPr>
                <w:rFonts w:ascii="Verdana" w:hAnsi="Verdana"/>
                <w:color w:val="365F91"/>
                <w:sz w:val="18"/>
                <w:szCs w:val="18"/>
              </w:rPr>
              <w:t>58</w:t>
            </w:r>
          </w:p>
        </w:tc>
        <w:tc>
          <w:tcPr>
            <w:tcW w:w="282" w:type="dxa"/>
            <w:tcBorders>
              <w:top w:val="nil"/>
              <w:bottom w:val="nil"/>
            </w:tcBorders>
            <w:shd w:val="clear" w:color="000000" w:fill="FFFFFF"/>
            <w:tcMar>
              <w:left w:w="0" w:type="dxa"/>
              <w:right w:w="0" w:type="dxa"/>
            </w:tcMar>
            <w:vAlign w:val="center"/>
          </w:tcPr>
          <w:p w14:paraId="6D5D885F"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3845A085" w14:textId="5397E9E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41</w:t>
            </w:r>
          </w:p>
        </w:tc>
        <w:tc>
          <w:tcPr>
            <w:tcW w:w="1279" w:type="dxa"/>
            <w:tcBorders>
              <w:top w:val="nil"/>
              <w:bottom w:val="nil"/>
            </w:tcBorders>
            <w:shd w:val="clear" w:color="000000" w:fill="FFFFFF"/>
            <w:vAlign w:val="center"/>
          </w:tcPr>
          <w:p w14:paraId="622BD978" w14:textId="38BC05FB"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-3</w:t>
            </w:r>
            <w:r>
              <w:rPr>
                <w:rFonts w:ascii="Verdana" w:hAnsi="Verdana"/>
                <w:color w:val="365F91"/>
                <w:sz w:val="18"/>
                <w:szCs w:val="18"/>
              </w:rPr>
              <w:t>,</w:t>
            </w:r>
            <w:r w:rsidRPr="006314AA">
              <w:rPr>
                <w:rFonts w:ascii="Verdana" w:hAnsi="Verdana"/>
                <w:color w:val="365F91"/>
                <w:sz w:val="18"/>
                <w:szCs w:val="18"/>
              </w:rPr>
              <w:t>09</w:t>
            </w:r>
          </w:p>
        </w:tc>
        <w:tc>
          <w:tcPr>
            <w:tcW w:w="1698" w:type="dxa"/>
            <w:tcBorders>
              <w:top w:val="nil"/>
              <w:bottom w:val="nil"/>
            </w:tcBorders>
            <w:shd w:val="clear" w:color="000000" w:fill="FFFFFF"/>
            <w:vAlign w:val="center"/>
          </w:tcPr>
          <w:p w14:paraId="778ED608" w14:textId="6EC48205"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82</w:t>
            </w:r>
          </w:p>
        </w:tc>
      </w:tr>
      <w:bookmarkEnd w:id="0"/>
      <w:tr w:rsidR="006314AA" w:rsidRPr="00C80D18" w14:paraId="3A7635E9" w14:textId="3DB5F288" w:rsidTr="006314AA">
        <w:trPr>
          <w:trHeight w:val="765"/>
          <w:jc w:val="center"/>
        </w:trPr>
        <w:tc>
          <w:tcPr>
            <w:tcW w:w="2411" w:type="dxa"/>
            <w:tcBorders>
              <w:top w:val="nil"/>
              <w:left w:val="nil"/>
              <w:bottom w:val="nil"/>
            </w:tcBorders>
            <w:shd w:val="clear" w:color="FFFFFF" w:fill="FFFFFF"/>
            <w:vAlign w:val="center"/>
            <w:hideMark/>
          </w:tcPr>
          <w:p w14:paraId="40F29CA4" w14:textId="77777777" w:rsidR="006314AA" w:rsidRPr="00C80D18" w:rsidRDefault="006314AA" w:rsidP="006314AA">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 xml:space="preserve">Επίπλωση, Οικιακός Εξοπλισμός και </w:t>
            </w:r>
            <w:proofErr w:type="spellStart"/>
            <w:r w:rsidRPr="00C80D18">
              <w:rPr>
                <w:rFonts w:ascii="Verdana" w:eastAsia="Times New Roman" w:hAnsi="Verdana" w:cs="Arial"/>
                <w:color w:val="365F91"/>
                <w:sz w:val="18"/>
                <w:szCs w:val="18"/>
                <w:lang w:val="el-GR"/>
              </w:rPr>
              <w:t>Προΐόντα</w:t>
            </w:r>
            <w:proofErr w:type="spellEnd"/>
            <w:r w:rsidRPr="00C80D18">
              <w:rPr>
                <w:rFonts w:ascii="Verdana" w:eastAsia="Times New Roman" w:hAnsi="Verdana" w:cs="Arial"/>
                <w:color w:val="365F91"/>
                <w:sz w:val="18"/>
                <w:szCs w:val="18"/>
                <w:lang w:val="el-GR"/>
              </w:rPr>
              <w:t xml:space="preserve"> Καθαρισμού</w:t>
            </w:r>
          </w:p>
        </w:tc>
        <w:tc>
          <w:tcPr>
            <w:tcW w:w="1558" w:type="dxa"/>
            <w:tcBorders>
              <w:top w:val="nil"/>
              <w:bottom w:val="nil"/>
            </w:tcBorders>
            <w:shd w:val="clear" w:color="000000" w:fill="FFFFFF"/>
            <w:vAlign w:val="center"/>
            <w:hideMark/>
          </w:tcPr>
          <w:p w14:paraId="36700B08" w14:textId="7931935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104</w:t>
            </w:r>
            <w:r>
              <w:rPr>
                <w:rFonts w:ascii="Verdana" w:hAnsi="Verdana"/>
                <w:color w:val="365F91"/>
                <w:sz w:val="18"/>
                <w:szCs w:val="18"/>
              </w:rPr>
              <w:t>,</w:t>
            </w:r>
            <w:r w:rsidRPr="0020780D">
              <w:rPr>
                <w:rFonts w:ascii="Verdana" w:hAnsi="Verdana"/>
                <w:color w:val="365F91"/>
                <w:sz w:val="18"/>
                <w:szCs w:val="18"/>
              </w:rPr>
              <w:t>01</w:t>
            </w:r>
          </w:p>
        </w:tc>
        <w:tc>
          <w:tcPr>
            <w:tcW w:w="1415" w:type="dxa"/>
            <w:tcBorders>
              <w:top w:val="nil"/>
              <w:bottom w:val="nil"/>
            </w:tcBorders>
            <w:shd w:val="clear" w:color="000000" w:fill="FFFFFF"/>
            <w:vAlign w:val="center"/>
          </w:tcPr>
          <w:p w14:paraId="03640861" w14:textId="5B09C8CE"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104</w:t>
            </w:r>
            <w:r>
              <w:rPr>
                <w:rFonts w:ascii="Verdana" w:hAnsi="Verdana"/>
                <w:color w:val="365F91"/>
                <w:sz w:val="18"/>
                <w:szCs w:val="18"/>
              </w:rPr>
              <w:t>,</w:t>
            </w:r>
            <w:r w:rsidRPr="0020780D">
              <w:rPr>
                <w:rFonts w:ascii="Verdana" w:hAnsi="Verdana"/>
                <w:color w:val="365F91"/>
                <w:sz w:val="18"/>
                <w:szCs w:val="18"/>
              </w:rPr>
              <w:t>41</w:t>
            </w:r>
          </w:p>
        </w:tc>
        <w:tc>
          <w:tcPr>
            <w:tcW w:w="282" w:type="dxa"/>
            <w:tcBorders>
              <w:top w:val="nil"/>
              <w:bottom w:val="nil"/>
            </w:tcBorders>
            <w:shd w:val="clear" w:color="000000" w:fill="FFFFFF"/>
            <w:tcMar>
              <w:left w:w="0" w:type="dxa"/>
              <w:right w:w="0" w:type="dxa"/>
            </w:tcMar>
            <w:vAlign w:val="center"/>
          </w:tcPr>
          <w:p w14:paraId="2FA215E1"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2E2BC1" w14:textId="6230243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-0</w:t>
            </w:r>
            <w:r>
              <w:rPr>
                <w:rFonts w:ascii="Verdana" w:hAnsi="Verdana"/>
                <w:color w:val="365F91"/>
                <w:sz w:val="18"/>
                <w:szCs w:val="18"/>
              </w:rPr>
              <w:t>,</w:t>
            </w:r>
            <w:r w:rsidRPr="0020780D">
              <w:rPr>
                <w:rFonts w:ascii="Verdana" w:hAnsi="Verdana"/>
                <w:color w:val="365F91"/>
                <w:sz w:val="18"/>
                <w:szCs w:val="18"/>
              </w:rPr>
              <w:t>62</w:t>
            </w:r>
          </w:p>
        </w:tc>
        <w:tc>
          <w:tcPr>
            <w:tcW w:w="1279" w:type="dxa"/>
            <w:tcBorders>
              <w:top w:val="nil"/>
              <w:bottom w:val="nil"/>
            </w:tcBorders>
            <w:shd w:val="clear" w:color="000000" w:fill="FFFFFF"/>
            <w:vAlign w:val="center"/>
          </w:tcPr>
          <w:p w14:paraId="1E519535" w14:textId="3256F20B"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38</w:t>
            </w:r>
          </w:p>
        </w:tc>
        <w:tc>
          <w:tcPr>
            <w:tcW w:w="1698" w:type="dxa"/>
            <w:tcBorders>
              <w:top w:val="nil"/>
              <w:bottom w:val="nil"/>
            </w:tcBorders>
            <w:shd w:val="clear" w:color="000000" w:fill="FFFFFF"/>
            <w:vAlign w:val="center"/>
          </w:tcPr>
          <w:p w14:paraId="08262E8A" w14:textId="5FEC0148"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-0</w:t>
            </w:r>
            <w:r>
              <w:rPr>
                <w:rFonts w:ascii="Verdana" w:hAnsi="Verdana"/>
                <w:color w:val="365F91"/>
                <w:sz w:val="18"/>
                <w:szCs w:val="18"/>
              </w:rPr>
              <w:t>,</w:t>
            </w:r>
            <w:r w:rsidRPr="0020780D">
              <w:rPr>
                <w:rFonts w:ascii="Verdana" w:hAnsi="Verdana"/>
                <w:color w:val="365F91"/>
                <w:sz w:val="18"/>
                <w:szCs w:val="18"/>
              </w:rPr>
              <w:t>68</w:t>
            </w:r>
          </w:p>
        </w:tc>
      </w:tr>
      <w:tr w:rsidR="006314AA" w:rsidRPr="00C80D18" w14:paraId="3359A3C0" w14:textId="3BD42386" w:rsidTr="006314AA">
        <w:trPr>
          <w:trHeight w:val="375"/>
          <w:jc w:val="center"/>
        </w:trPr>
        <w:tc>
          <w:tcPr>
            <w:tcW w:w="2411" w:type="dxa"/>
            <w:tcBorders>
              <w:top w:val="nil"/>
              <w:left w:val="nil"/>
              <w:bottom w:val="nil"/>
            </w:tcBorders>
            <w:shd w:val="clear" w:color="FFFFFF" w:fill="FFFFFF"/>
            <w:noWrap/>
            <w:vAlign w:val="center"/>
            <w:hideMark/>
          </w:tcPr>
          <w:p w14:paraId="63FF00D6"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Υγεί</w:t>
            </w:r>
            <w:proofErr w:type="spellEnd"/>
            <w:r w:rsidRPr="00C80D18">
              <w:rPr>
                <w:rFonts w:ascii="Verdana" w:eastAsia="Times New Roman" w:hAnsi="Verdana" w:cs="Arial"/>
                <w:color w:val="365F91"/>
                <w:sz w:val="18"/>
                <w:szCs w:val="18"/>
              </w:rPr>
              <w:t>α</w:t>
            </w:r>
          </w:p>
        </w:tc>
        <w:tc>
          <w:tcPr>
            <w:tcW w:w="1558" w:type="dxa"/>
            <w:tcBorders>
              <w:top w:val="nil"/>
              <w:bottom w:val="nil"/>
            </w:tcBorders>
            <w:shd w:val="clear" w:color="000000" w:fill="FFFFFF"/>
            <w:vAlign w:val="center"/>
            <w:hideMark/>
          </w:tcPr>
          <w:p w14:paraId="48CFFFBD" w14:textId="4138C5FB"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108</w:t>
            </w:r>
            <w:r>
              <w:rPr>
                <w:rFonts w:ascii="Verdana" w:hAnsi="Verdana"/>
                <w:color w:val="365F91"/>
                <w:sz w:val="18"/>
                <w:szCs w:val="18"/>
              </w:rPr>
              <w:t>,</w:t>
            </w:r>
            <w:r w:rsidRPr="0020780D">
              <w:rPr>
                <w:rFonts w:ascii="Verdana" w:hAnsi="Verdana"/>
                <w:color w:val="365F91"/>
                <w:sz w:val="18"/>
                <w:szCs w:val="18"/>
              </w:rPr>
              <w:t>23</w:t>
            </w:r>
          </w:p>
        </w:tc>
        <w:tc>
          <w:tcPr>
            <w:tcW w:w="1415" w:type="dxa"/>
            <w:tcBorders>
              <w:top w:val="nil"/>
              <w:bottom w:val="nil"/>
            </w:tcBorders>
            <w:shd w:val="clear" w:color="000000" w:fill="FFFFFF"/>
            <w:vAlign w:val="center"/>
          </w:tcPr>
          <w:p w14:paraId="6E92C202" w14:textId="14611C3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107</w:t>
            </w:r>
            <w:r>
              <w:rPr>
                <w:rFonts w:ascii="Verdana" w:hAnsi="Verdana"/>
                <w:color w:val="365F91"/>
                <w:sz w:val="18"/>
                <w:szCs w:val="18"/>
              </w:rPr>
              <w:t>,</w:t>
            </w:r>
            <w:r w:rsidRPr="0020780D">
              <w:rPr>
                <w:rFonts w:ascii="Verdana" w:hAnsi="Verdana"/>
                <w:color w:val="365F91"/>
                <w:sz w:val="18"/>
                <w:szCs w:val="18"/>
              </w:rPr>
              <w:t>89</w:t>
            </w:r>
          </w:p>
        </w:tc>
        <w:tc>
          <w:tcPr>
            <w:tcW w:w="282" w:type="dxa"/>
            <w:tcBorders>
              <w:top w:val="nil"/>
              <w:bottom w:val="nil"/>
            </w:tcBorders>
            <w:shd w:val="clear" w:color="000000" w:fill="FFFFFF"/>
            <w:tcMar>
              <w:left w:w="0" w:type="dxa"/>
              <w:right w:w="0" w:type="dxa"/>
            </w:tcMar>
            <w:vAlign w:val="center"/>
          </w:tcPr>
          <w:p w14:paraId="0F29CA74"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1488434" w14:textId="400CD96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55</w:t>
            </w:r>
          </w:p>
        </w:tc>
        <w:tc>
          <w:tcPr>
            <w:tcW w:w="1279" w:type="dxa"/>
            <w:tcBorders>
              <w:top w:val="nil"/>
              <w:bottom w:val="nil"/>
            </w:tcBorders>
            <w:shd w:val="clear" w:color="000000" w:fill="FFFFFF"/>
            <w:vAlign w:val="center"/>
          </w:tcPr>
          <w:p w14:paraId="6604A457" w14:textId="5947BEC9"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31</w:t>
            </w:r>
          </w:p>
        </w:tc>
        <w:tc>
          <w:tcPr>
            <w:tcW w:w="1698" w:type="dxa"/>
            <w:tcBorders>
              <w:top w:val="nil"/>
              <w:bottom w:val="nil"/>
            </w:tcBorders>
            <w:shd w:val="clear" w:color="000000" w:fill="FFFFFF"/>
            <w:vAlign w:val="center"/>
          </w:tcPr>
          <w:p w14:paraId="546398C8" w14:textId="3E7199BF"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73</w:t>
            </w:r>
          </w:p>
        </w:tc>
      </w:tr>
      <w:tr w:rsidR="006314AA" w:rsidRPr="00C80D18" w14:paraId="299E5490" w14:textId="0BE906FA" w:rsidTr="006314AA">
        <w:trPr>
          <w:trHeight w:val="374"/>
          <w:jc w:val="center"/>
        </w:trPr>
        <w:tc>
          <w:tcPr>
            <w:tcW w:w="2411" w:type="dxa"/>
            <w:tcBorders>
              <w:top w:val="nil"/>
              <w:left w:val="nil"/>
              <w:bottom w:val="nil"/>
            </w:tcBorders>
            <w:shd w:val="clear" w:color="FFFFFF" w:fill="FFFFFF"/>
            <w:noWrap/>
            <w:vAlign w:val="center"/>
            <w:hideMark/>
          </w:tcPr>
          <w:p w14:paraId="10EBDEAF"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Μετ</w:t>
            </w:r>
            <w:proofErr w:type="spellEnd"/>
            <w:r w:rsidRPr="00C80D18">
              <w:rPr>
                <w:rFonts w:ascii="Verdana" w:eastAsia="Times New Roman" w:hAnsi="Verdana" w:cs="Arial"/>
                <w:color w:val="365F91"/>
                <w:sz w:val="18"/>
                <w:szCs w:val="18"/>
              </w:rPr>
              <w:t>αφορές</w:t>
            </w:r>
          </w:p>
        </w:tc>
        <w:tc>
          <w:tcPr>
            <w:tcW w:w="1558" w:type="dxa"/>
            <w:tcBorders>
              <w:top w:val="nil"/>
              <w:bottom w:val="nil"/>
            </w:tcBorders>
            <w:shd w:val="clear" w:color="000000" w:fill="FFFFFF"/>
            <w:vAlign w:val="center"/>
            <w:hideMark/>
          </w:tcPr>
          <w:p w14:paraId="43CAA28F" w14:textId="2B822CEB"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114</w:t>
            </w:r>
            <w:r>
              <w:rPr>
                <w:rFonts w:ascii="Verdana" w:hAnsi="Verdana"/>
                <w:color w:val="365F91"/>
                <w:sz w:val="18"/>
                <w:szCs w:val="18"/>
              </w:rPr>
              <w:t>,</w:t>
            </w:r>
            <w:r w:rsidRPr="0020780D">
              <w:rPr>
                <w:rFonts w:ascii="Verdana" w:hAnsi="Verdana"/>
                <w:color w:val="365F91"/>
                <w:sz w:val="18"/>
                <w:szCs w:val="18"/>
              </w:rPr>
              <w:t>75</w:t>
            </w:r>
          </w:p>
        </w:tc>
        <w:tc>
          <w:tcPr>
            <w:tcW w:w="1415" w:type="dxa"/>
            <w:tcBorders>
              <w:top w:val="nil"/>
              <w:bottom w:val="nil"/>
            </w:tcBorders>
            <w:shd w:val="clear" w:color="000000" w:fill="FFFFFF"/>
            <w:vAlign w:val="center"/>
          </w:tcPr>
          <w:p w14:paraId="4FCB30A0" w14:textId="344BF31A"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114</w:t>
            </w:r>
            <w:r>
              <w:rPr>
                <w:rFonts w:ascii="Verdana" w:hAnsi="Verdana"/>
                <w:color w:val="365F91"/>
                <w:sz w:val="18"/>
                <w:szCs w:val="18"/>
              </w:rPr>
              <w:t>,</w:t>
            </w:r>
            <w:r w:rsidRPr="0020780D">
              <w:rPr>
                <w:rFonts w:ascii="Verdana" w:hAnsi="Verdana"/>
                <w:color w:val="365F91"/>
                <w:sz w:val="18"/>
                <w:szCs w:val="18"/>
              </w:rPr>
              <w:t>72</w:t>
            </w:r>
          </w:p>
        </w:tc>
        <w:tc>
          <w:tcPr>
            <w:tcW w:w="282" w:type="dxa"/>
            <w:tcBorders>
              <w:top w:val="nil"/>
              <w:bottom w:val="nil"/>
            </w:tcBorders>
            <w:shd w:val="clear" w:color="000000" w:fill="FFFFFF"/>
            <w:tcMar>
              <w:left w:w="0" w:type="dxa"/>
              <w:right w:w="0" w:type="dxa"/>
            </w:tcMar>
            <w:vAlign w:val="center"/>
          </w:tcPr>
          <w:p w14:paraId="41153A73"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66701CD3" w14:textId="5B4AF34B"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-3</w:t>
            </w:r>
            <w:r>
              <w:rPr>
                <w:rFonts w:ascii="Verdana" w:hAnsi="Verdana"/>
                <w:color w:val="365F91"/>
                <w:sz w:val="18"/>
                <w:szCs w:val="18"/>
              </w:rPr>
              <w:t>,</w:t>
            </w:r>
            <w:r w:rsidRPr="0020780D">
              <w:rPr>
                <w:rFonts w:ascii="Verdana" w:hAnsi="Verdana"/>
                <w:color w:val="365F91"/>
                <w:sz w:val="18"/>
                <w:szCs w:val="18"/>
              </w:rPr>
              <w:t>63</w:t>
            </w:r>
          </w:p>
        </w:tc>
        <w:tc>
          <w:tcPr>
            <w:tcW w:w="1279" w:type="dxa"/>
            <w:tcBorders>
              <w:top w:val="nil"/>
              <w:bottom w:val="nil"/>
            </w:tcBorders>
            <w:shd w:val="clear" w:color="000000" w:fill="FFFFFF"/>
            <w:vAlign w:val="center"/>
          </w:tcPr>
          <w:p w14:paraId="760EBCB1" w14:textId="307E49B4"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03</w:t>
            </w:r>
          </w:p>
        </w:tc>
        <w:tc>
          <w:tcPr>
            <w:tcW w:w="1698" w:type="dxa"/>
            <w:tcBorders>
              <w:top w:val="nil"/>
              <w:bottom w:val="nil"/>
            </w:tcBorders>
            <w:shd w:val="clear" w:color="000000" w:fill="FFFFFF"/>
            <w:vAlign w:val="center"/>
          </w:tcPr>
          <w:p w14:paraId="05BD61E4" w14:textId="0B391CD6"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06</w:t>
            </w:r>
          </w:p>
        </w:tc>
      </w:tr>
      <w:tr w:rsidR="006314AA" w:rsidRPr="00C80D18" w14:paraId="79C16F2A" w14:textId="4D611CBA" w:rsidTr="006314AA">
        <w:trPr>
          <w:trHeight w:val="375"/>
          <w:jc w:val="center"/>
        </w:trPr>
        <w:tc>
          <w:tcPr>
            <w:tcW w:w="2411" w:type="dxa"/>
            <w:tcBorders>
              <w:top w:val="nil"/>
              <w:left w:val="nil"/>
              <w:bottom w:val="nil"/>
            </w:tcBorders>
            <w:shd w:val="clear" w:color="FFFFFF" w:fill="FFFFFF"/>
            <w:noWrap/>
            <w:vAlign w:val="center"/>
            <w:hideMark/>
          </w:tcPr>
          <w:p w14:paraId="3A1EF36D" w14:textId="77777777" w:rsidR="006314AA" w:rsidRPr="00C80D18" w:rsidRDefault="006314AA" w:rsidP="006314AA">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Επ</w:t>
            </w:r>
            <w:proofErr w:type="spellStart"/>
            <w:r w:rsidRPr="00C80D18">
              <w:rPr>
                <w:rFonts w:ascii="Verdana" w:eastAsia="Times New Roman" w:hAnsi="Verdana" w:cs="Arial"/>
                <w:color w:val="365F91"/>
                <w:sz w:val="18"/>
                <w:szCs w:val="18"/>
              </w:rPr>
              <w:t>ικοινωνίες</w:t>
            </w:r>
            <w:proofErr w:type="spellEnd"/>
          </w:p>
        </w:tc>
        <w:tc>
          <w:tcPr>
            <w:tcW w:w="1558" w:type="dxa"/>
            <w:tcBorders>
              <w:top w:val="nil"/>
              <w:bottom w:val="nil"/>
            </w:tcBorders>
            <w:shd w:val="clear" w:color="000000" w:fill="FFFFFF"/>
            <w:vAlign w:val="center"/>
            <w:hideMark/>
          </w:tcPr>
          <w:p w14:paraId="506D71A4" w14:textId="7D2B023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91</w:t>
            </w:r>
            <w:r>
              <w:rPr>
                <w:rFonts w:ascii="Verdana" w:hAnsi="Verdana"/>
                <w:color w:val="365F91"/>
                <w:sz w:val="18"/>
                <w:szCs w:val="18"/>
              </w:rPr>
              <w:t>,</w:t>
            </w:r>
            <w:r w:rsidRPr="0020780D">
              <w:rPr>
                <w:rFonts w:ascii="Verdana" w:hAnsi="Verdana"/>
                <w:color w:val="365F91"/>
                <w:sz w:val="18"/>
                <w:szCs w:val="18"/>
              </w:rPr>
              <w:t>63</w:t>
            </w:r>
          </w:p>
        </w:tc>
        <w:tc>
          <w:tcPr>
            <w:tcW w:w="1415" w:type="dxa"/>
            <w:tcBorders>
              <w:top w:val="nil"/>
              <w:bottom w:val="nil"/>
            </w:tcBorders>
            <w:shd w:val="clear" w:color="000000" w:fill="FFFFFF"/>
            <w:vAlign w:val="center"/>
          </w:tcPr>
          <w:p w14:paraId="11AD80A4" w14:textId="3CF692F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91</w:t>
            </w:r>
            <w:r>
              <w:rPr>
                <w:rFonts w:ascii="Verdana" w:hAnsi="Verdana"/>
                <w:color w:val="365F91"/>
                <w:sz w:val="18"/>
                <w:szCs w:val="18"/>
              </w:rPr>
              <w:t>,</w:t>
            </w:r>
            <w:r w:rsidRPr="0020780D">
              <w:rPr>
                <w:rFonts w:ascii="Verdana" w:hAnsi="Verdana"/>
                <w:color w:val="365F91"/>
                <w:sz w:val="18"/>
                <w:szCs w:val="18"/>
              </w:rPr>
              <w:t>45</w:t>
            </w:r>
          </w:p>
        </w:tc>
        <w:tc>
          <w:tcPr>
            <w:tcW w:w="282" w:type="dxa"/>
            <w:tcBorders>
              <w:top w:val="nil"/>
              <w:bottom w:val="nil"/>
            </w:tcBorders>
            <w:shd w:val="clear" w:color="000000" w:fill="FFFFFF"/>
            <w:tcMar>
              <w:left w:w="0" w:type="dxa"/>
              <w:right w:w="0" w:type="dxa"/>
            </w:tcMar>
            <w:vAlign w:val="center"/>
          </w:tcPr>
          <w:p w14:paraId="482CC1CF"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13FECF" w14:textId="56B6410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-0</w:t>
            </w:r>
            <w:r>
              <w:rPr>
                <w:rFonts w:ascii="Verdana" w:hAnsi="Verdana"/>
                <w:color w:val="365F91"/>
                <w:sz w:val="18"/>
                <w:szCs w:val="18"/>
              </w:rPr>
              <w:t>,</w:t>
            </w:r>
            <w:r w:rsidRPr="0020780D">
              <w:rPr>
                <w:rFonts w:ascii="Verdana" w:hAnsi="Verdana"/>
                <w:color w:val="365F91"/>
                <w:sz w:val="18"/>
                <w:szCs w:val="18"/>
              </w:rPr>
              <w:t>11</w:t>
            </w:r>
          </w:p>
        </w:tc>
        <w:tc>
          <w:tcPr>
            <w:tcW w:w="1279" w:type="dxa"/>
            <w:tcBorders>
              <w:top w:val="nil"/>
              <w:bottom w:val="nil"/>
            </w:tcBorders>
            <w:shd w:val="clear" w:color="000000" w:fill="FFFFFF"/>
            <w:vAlign w:val="center"/>
          </w:tcPr>
          <w:p w14:paraId="32233885" w14:textId="251FE14F"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20</w:t>
            </w:r>
          </w:p>
        </w:tc>
        <w:tc>
          <w:tcPr>
            <w:tcW w:w="1698" w:type="dxa"/>
            <w:tcBorders>
              <w:top w:val="nil"/>
              <w:bottom w:val="nil"/>
            </w:tcBorders>
            <w:shd w:val="clear" w:color="000000" w:fill="FFFFFF"/>
            <w:vAlign w:val="center"/>
          </w:tcPr>
          <w:p w14:paraId="2197EE8E" w14:textId="6E1E2AEE"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0</w:t>
            </w:r>
            <w:r>
              <w:rPr>
                <w:rFonts w:ascii="Verdana" w:hAnsi="Verdana"/>
                <w:color w:val="365F91"/>
                <w:sz w:val="18"/>
                <w:szCs w:val="18"/>
              </w:rPr>
              <w:t>,</w:t>
            </w:r>
            <w:r w:rsidRPr="0020780D">
              <w:rPr>
                <w:rFonts w:ascii="Verdana" w:hAnsi="Verdana"/>
                <w:color w:val="365F91"/>
                <w:sz w:val="18"/>
                <w:szCs w:val="18"/>
              </w:rPr>
              <w:t>07</w:t>
            </w:r>
          </w:p>
        </w:tc>
      </w:tr>
      <w:tr w:rsidR="006314AA" w:rsidRPr="00C80D18" w14:paraId="5C3CEC2A" w14:textId="5CA76F0A" w:rsidTr="006314AA">
        <w:trPr>
          <w:trHeight w:val="374"/>
          <w:jc w:val="center"/>
        </w:trPr>
        <w:tc>
          <w:tcPr>
            <w:tcW w:w="2411" w:type="dxa"/>
            <w:tcBorders>
              <w:top w:val="nil"/>
              <w:left w:val="nil"/>
              <w:bottom w:val="nil"/>
            </w:tcBorders>
            <w:shd w:val="clear" w:color="FFFFFF" w:fill="FFFFFF"/>
            <w:noWrap/>
            <w:vAlign w:val="center"/>
            <w:hideMark/>
          </w:tcPr>
          <w:p w14:paraId="0CD2A369"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Αν</w:t>
            </w:r>
            <w:proofErr w:type="spellEnd"/>
            <w:r w:rsidRPr="00C80D18">
              <w:rPr>
                <w:rFonts w:ascii="Verdana" w:eastAsia="Times New Roman" w:hAnsi="Verdana" w:cs="Arial"/>
                <w:color w:val="365F91"/>
                <w:sz w:val="18"/>
                <w:szCs w:val="18"/>
              </w:rPr>
              <w:t>αψυχή και</w:t>
            </w:r>
            <w:r w:rsidRPr="00C80D18">
              <w:rPr>
                <w:rFonts w:ascii="Verdana" w:eastAsia="Times New Roman" w:hAnsi="Verdana" w:cs="Arial"/>
                <w:color w:val="365F91"/>
                <w:sz w:val="18"/>
                <w:szCs w:val="18"/>
                <w:lang w:val="el-GR"/>
              </w:rPr>
              <w:t xml:space="preserve"> Π</w:t>
            </w:r>
            <w:proofErr w:type="spellStart"/>
            <w:r w:rsidRPr="00C80D18">
              <w:rPr>
                <w:rFonts w:ascii="Verdana" w:eastAsia="Times New Roman" w:hAnsi="Verdana" w:cs="Arial"/>
                <w:color w:val="365F91"/>
                <w:sz w:val="18"/>
                <w:szCs w:val="18"/>
              </w:rPr>
              <w:t>ολιτισμός</w:t>
            </w:r>
            <w:proofErr w:type="spellEnd"/>
          </w:p>
        </w:tc>
        <w:tc>
          <w:tcPr>
            <w:tcW w:w="1558" w:type="dxa"/>
            <w:tcBorders>
              <w:top w:val="nil"/>
              <w:bottom w:val="nil"/>
            </w:tcBorders>
            <w:shd w:val="clear" w:color="000000" w:fill="FFFFFF"/>
            <w:vAlign w:val="center"/>
            <w:hideMark/>
          </w:tcPr>
          <w:p w14:paraId="07D39E15" w14:textId="44BE532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116</w:t>
            </w:r>
            <w:r>
              <w:rPr>
                <w:rFonts w:ascii="Verdana" w:hAnsi="Verdana"/>
                <w:color w:val="365F91"/>
                <w:sz w:val="18"/>
                <w:szCs w:val="18"/>
              </w:rPr>
              <w:t>,</w:t>
            </w:r>
            <w:r w:rsidRPr="0020780D">
              <w:rPr>
                <w:rFonts w:ascii="Verdana" w:hAnsi="Verdana"/>
                <w:color w:val="365F91"/>
                <w:sz w:val="18"/>
                <w:szCs w:val="18"/>
              </w:rPr>
              <w:t>75</w:t>
            </w:r>
          </w:p>
        </w:tc>
        <w:tc>
          <w:tcPr>
            <w:tcW w:w="1415" w:type="dxa"/>
            <w:tcBorders>
              <w:top w:val="nil"/>
              <w:bottom w:val="nil"/>
            </w:tcBorders>
            <w:shd w:val="clear" w:color="000000" w:fill="FFFFFF"/>
            <w:vAlign w:val="center"/>
          </w:tcPr>
          <w:p w14:paraId="5C64422D" w14:textId="148BE291"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116</w:t>
            </w:r>
            <w:r>
              <w:rPr>
                <w:rFonts w:ascii="Verdana" w:hAnsi="Verdana"/>
                <w:color w:val="365F91"/>
                <w:sz w:val="18"/>
                <w:szCs w:val="18"/>
              </w:rPr>
              <w:t>,</w:t>
            </w:r>
            <w:r w:rsidRPr="0020780D">
              <w:rPr>
                <w:rFonts w:ascii="Verdana" w:hAnsi="Verdana"/>
                <w:color w:val="365F91"/>
                <w:sz w:val="18"/>
                <w:szCs w:val="18"/>
              </w:rPr>
              <w:t>72</w:t>
            </w:r>
          </w:p>
        </w:tc>
        <w:tc>
          <w:tcPr>
            <w:tcW w:w="282" w:type="dxa"/>
            <w:tcBorders>
              <w:top w:val="nil"/>
              <w:bottom w:val="nil"/>
            </w:tcBorders>
            <w:shd w:val="clear" w:color="000000" w:fill="FFFFFF"/>
            <w:tcMar>
              <w:left w:w="0" w:type="dxa"/>
              <w:right w:w="0" w:type="dxa"/>
            </w:tcMar>
            <w:vAlign w:val="center"/>
          </w:tcPr>
          <w:p w14:paraId="0D4B9B2E"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288CFD98" w14:textId="180A382E"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2</w:t>
            </w:r>
            <w:r>
              <w:rPr>
                <w:rFonts w:ascii="Verdana" w:hAnsi="Verdana"/>
                <w:color w:val="365F91"/>
                <w:sz w:val="18"/>
                <w:szCs w:val="18"/>
              </w:rPr>
              <w:t>,</w:t>
            </w:r>
            <w:r w:rsidRPr="0020780D">
              <w:rPr>
                <w:rFonts w:ascii="Verdana" w:hAnsi="Verdana"/>
                <w:color w:val="365F91"/>
                <w:sz w:val="18"/>
                <w:szCs w:val="18"/>
              </w:rPr>
              <w:t>49</w:t>
            </w:r>
          </w:p>
        </w:tc>
        <w:tc>
          <w:tcPr>
            <w:tcW w:w="1279" w:type="dxa"/>
            <w:tcBorders>
              <w:top w:val="nil"/>
              <w:bottom w:val="nil"/>
            </w:tcBorders>
            <w:shd w:val="clear" w:color="000000" w:fill="FFFFFF"/>
            <w:vAlign w:val="center"/>
          </w:tcPr>
          <w:p w14:paraId="43E96771" w14:textId="29DCEA23"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03</w:t>
            </w:r>
          </w:p>
        </w:tc>
        <w:tc>
          <w:tcPr>
            <w:tcW w:w="1698" w:type="dxa"/>
            <w:tcBorders>
              <w:top w:val="nil"/>
              <w:bottom w:val="nil"/>
            </w:tcBorders>
            <w:shd w:val="clear" w:color="000000" w:fill="FFFFFF"/>
            <w:vAlign w:val="center"/>
          </w:tcPr>
          <w:p w14:paraId="1E5BA7FB" w14:textId="4258D6B2"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2</w:t>
            </w:r>
            <w:r>
              <w:rPr>
                <w:rFonts w:ascii="Verdana" w:hAnsi="Verdana"/>
                <w:color w:val="365F91"/>
                <w:sz w:val="18"/>
                <w:szCs w:val="18"/>
              </w:rPr>
              <w:t>,</w:t>
            </w:r>
            <w:r w:rsidRPr="0020780D">
              <w:rPr>
                <w:rFonts w:ascii="Verdana" w:hAnsi="Verdana"/>
                <w:color w:val="365F91"/>
                <w:sz w:val="18"/>
                <w:szCs w:val="18"/>
              </w:rPr>
              <w:t>62</w:t>
            </w:r>
          </w:p>
        </w:tc>
      </w:tr>
      <w:tr w:rsidR="006314AA" w:rsidRPr="00C80D18" w14:paraId="23CBF3D1" w14:textId="3D47F764" w:rsidTr="006314AA">
        <w:trPr>
          <w:trHeight w:val="374"/>
          <w:jc w:val="center"/>
        </w:trPr>
        <w:tc>
          <w:tcPr>
            <w:tcW w:w="2411" w:type="dxa"/>
            <w:tcBorders>
              <w:top w:val="nil"/>
              <w:left w:val="nil"/>
              <w:bottom w:val="nil"/>
            </w:tcBorders>
            <w:shd w:val="clear" w:color="FFFFFF" w:fill="FFFFFF"/>
            <w:noWrap/>
            <w:vAlign w:val="center"/>
            <w:hideMark/>
          </w:tcPr>
          <w:p w14:paraId="283CE84B"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Εκ</w:t>
            </w:r>
            <w:proofErr w:type="spellEnd"/>
            <w:r w:rsidRPr="00C80D18">
              <w:rPr>
                <w:rFonts w:ascii="Verdana" w:eastAsia="Times New Roman" w:hAnsi="Verdana" w:cs="Arial"/>
                <w:color w:val="365F91"/>
                <w:sz w:val="18"/>
                <w:szCs w:val="18"/>
              </w:rPr>
              <w:t>παίδευση</w:t>
            </w:r>
          </w:p>
        </w:tc>
        <w:tc>
          <w:tcPr>
            <w:tcW w:w="1558" w:type="dxa"/>
            <w:tcBorders>
              <w:top w:val="nil"/>
              <w:bottom w:val="nil"/>
            </w:tcBorders>
            <w:shd w:val="clear" w:color="000000" w:fill="FFFFFF"/>
            <w:vAlign w:val="center"/>
            <w:hideMark/>
          </w:tcPr>
          <w:p w14:paraId="43A84157" w14:textId="2CEA4860"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116</w:t>
            </w:r>
            <w:r>
              <w:rPr>
                <w:rFonts w:ascii="Verdana" w:hAnsi="Verdana"/>
                <w:color w:val="365F91"/>
                <w:sz w:val="18"/>
                <w:szCs w:val="18"/>
              </w:rPr>
              <w:t>,</w:t>
            </w:r>
            <w:r w:rsidRPr="0020780D">
              <w:rPr>
                <w:rFonts w:ascii="Verdana" w:hAnsi="Verdana"/>
                <w:color w:val="365F91"/>
                <w:sz w:val="18"/>
                <w:szCs w:val="18"/>
              </w:rPr>
              <w:t>08</w:t>
            </w:r>
          </w:p>
        </w:tc>
        <w:tc>
          <w:tcPr>
            <w:tcW w:w="1415" w:type="dxa"/>
            <w:tcBorders>
              <w:top w:val="nil"/>
              <w:bottom w:val="nil"/>
            </w:tcBorders>
            <w:shd w:val="clear" w:color="000000" w:fill="FFFFFF"/>
            <w:vAlign w:val="center"/>
          </w:tcPr>
          <w:p w14:paraId="28DF7402" w14:textId="6F15D46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116</w:t>
            </w:r>
            <w:r>
              <w:rPr>
                <w:rFonts w:ascii="Verdana" w:hAnsi="Verdana"/>
                <w:color w:val="365F91"/>
                <w:sz w:val="18"/>
                <w:szCs w:val="18"/>
              </w:rPr>
              <w:t>,</w:t>
            </w:r>
            <w:r w:rsidRPr="0020780D">
              <w:rPr>
                <w:rFonts w:ascii="Verdana" w:hAnsi="Verdana"/>
                <w:color w:val="365F91"/>
                <w:sz w:val="18"/>
                <w:szCs w:val="18"/>
              </w:rPr>
              <w:t>08</w:t>
            </w:r>
          </w:p>
        </w:tc>
        <w:tc>
          <w:tcPr>
            <w:tcW w:w="282" w:type="dxa"/>
            <w:tcBorders>
              <w:top w:val="nil"/>
              <w:bottom w:val="nil"/>
            </w:tcBorders>
            <w:shd w:val="clear" w:color="000000" w:fill="FFFFFF"/>
            <w:tcMar>
              <w:left w:w="0" w:type="dxa"/>
              <w:right w:w="0" w:type="dxa"/>
            </w:tcMar>
            <w:vAlign w:val="center"/>
          </w:tcPr>
          <w:p w14:paraId="1F723C8E"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C89E687" w14:textId="48372571"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3</w:t>
            </w:r>
            <w:r>
              <w:rPr>
                <w:rFonts w:ascii="Verdana" w:hAnsi="Verdana"/>
                <w:color w:val="365F91"/>
                <w:sz w:val="18"/>
                <w:szCs w:val="18"/>
              </w:rPr>
              <w:t>,</w:t>
            </w:r>
            <w:r w:rsidRPr="0020780D">
              <w:rPr>
                <w:rFonts w:ascii="Verdana" w:hAnsi="Verdana"/>
                <w:color w:val="365F91"/>
                <w:sz w:val="18"/>
                <w:szCs w:val="18"/>
              </w:rPr>
              <w:t>73</w:t>
            </w:r>
          </w:p>
        </w:tc>
        <w:tc>
          <w:tcPr>
            <w:tcW w:w="1279" w:type="dxa"/>
            <w:tcBorders>
              <w:top w:val="nil"/>
              <w:bottom w:val="nil"/>
            </w:tcBorders>
            <w:shd w:val="clear" w:color="000000" w:fill="FFFFFF"/>
            <w:vAlign w:val="center"/>
          </w:tcPr>
          <w:p w14:paraId="515DCC2B" w14:textId="29EE3420"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00</w:t>
            </w:r>
          </w:p>
        </w:tc>
        <w:tc>
          <w:tcPr>
            <w:tcW w:w="1698" w:type="dxa"/>
            <w:tcBorders>
              <w:top w:val="nil"/>
              <w:bottom w:val="nil"/>
            </w:tcBorders>
            <w:shd w:val="clear" w:color="000000" w:fill="FFFFFF"/>
            <w:vAlign w:val="center"/>
          </w:tcPr>
          <w:p w14:paraId="0CEA7B71" w14:textId="6645E8CB"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3</w:t>
            </w:r>
            <w:r>
              <w:rPr>
                <w:rFonts w:ascii="Verdana" w:hAnsi="Verdana"/>
                <w:color w:val="365F91"/>
                <w:sz w:val="18"/>
                <w:szCs w:val="18"/>
              </w:rPr>
              <w:t>,</w:t>
            </w:r>
            <w:r w:rsidRPr="0020780D">
              <w:rPr>
                <w:rFonts w:ascii="Verdana" w:hAnsi="Verdana"/>
                <w:color w:val="365F91"/>
                <w:sz w:val="18"/>
                <w:szCs w:val="18"/>
              </w:rPr>
              <w:t>73</w:t>
            </w:r>
          </w:p>
        </w:tc>
      </w:tr>
      <w:tr w:rsidR="006314AA" w:rsidRPr="00C80D18" w14:paraId="00E44953" w14:textId="1A8E55CD" w:rsidTr="006314AA">
        <w:trPr>
          <w:trHeight w:val="510"/>
          <w:jc w:val="center"/>
        </w:trPr>
        <w:tc>
          <w:tcPr>
            <w:tcW w:w="2411" w:type="dxa"/>
            <w:tcBorders>
              <w:top w:val="nil"/>
              <w:left w:val="nil"/>
              <w:bottom w:val="nil"/>
            </w:tcBorders>
            <w:shd w:val="clear" w:color="FFFFFF" w:fill="FFFFFF"/>
            <w:noWrap/>
            <w:vAlign w:val="center"/>
            <w:hideMark/>
          </w:tcPr>
          <w:p w14:paraId="62556D85"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Εστι</w:t>
            </w:r>
            <w:proofErr w:type="spellEnd"/>
            <w:r w:rsidRPr="00C80D18">
              <w:rPr>
                <w:rFonts w:ascii="Verdana" w:eastAsia="Times New Roman" w:hAnsi="Verdana" w:cs="Arial"/>
                <w:color w:val="365F91"/>
                <w:sz w:val="18"/>
                <w:szCs w:val="18"/>
              </w:rPr>
              <w:t>ατόρια και</w:t>
            </w:r>
            <w:r w:rsidRPr="00C80D18">
              <w:rPr>
                <w:rFonts w:ascii="Verdana" w:eastAsia="Times New Roman" w:hAnsi="Verdana" w:cs="Arial"/>
                <w:color w:val="365F91"/>
                <w:sz w:val="18"/>
                <w:szCs w:val="18"/>
                <w:lang w:val="el-GR"/>
              </w:rPr>
              <w:t xml:space="preserve"> Ξ</w:t>
            </w:r>
            <w:proofErr w:type="spellStart"/>
            <w:r w:rsidRPr="00C80D18">
              <w:rPr>
                <w:rFonts w:ascii="Verdana" w:eastAsia="Times New Roman" w:hAnsi="Verdana" w:cs="Arial"/>
                <w:color w:val="365F91"/>
                <w:sz w:val="18"/>
                <w:szCs w:val="18"/>
              </w:rPr>
              <w:t>ενοδοχεί</w:t>
            </w:r>
            <w:proofErr w:type="spellEnd"/>
            <w:r w:rsidRPr="00C80D18">
              <w:rPr>
                <w:rFonts w:ascii="Verdana" w:eastAsia="Times New Roman" w:hAnsi="Verdana" w:cs="Arial"/>
                <w:color w:val="365F91"/>
                <w:sz w:val="18"/>
                <w:szCs w:val="18"/>
              </w:rPr>
              <w:t>α</w:t>
            </w:r>
          </w:p>
        </w:tc>
        <w:tc>
          <w:tcPr>
            <w:tcW w:w="1558" w:type="dxa"/>
            <w:tcBorders>
              <w:top w:val="nil"/>
              <w:bottom w:val="nil"/>
            </w:tcBorders>
            <w:shd w:val="clear" w:color="000000" w:fill="FFFFFF"/>
            <w:vAlign w:val="center"/>
            <w:hideMark/>
          </w:tcPr>
          <w:p w14:paraId="025763EF" w14:textId="6A7D800C"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132</w:t>
            </w:r>
            <w:r>
              <w:rPr>
                <w:rFonts w:ascii="Verdana" w:hAnsi="Verdana"/>
                <w:color w:val="365F91"/>
                <w:sz w:val="18"/>
                <w:szCs w:val="18"/>
              </w:rPr>
              <w:t>,</w:t>
            </w:r>
            <w:r w:rsidRPr="0020780D">
              <w:rPr>
                <w:rFonts w:ascii="Verdana" w:hAnsi="Verdana"/>
                <w:color w:val="365F91"/>
                <w:sz w:val="18"/>
                <w:szCs w:val="18"/>
              </w:rPr>
              <w:t>70</w:t>
            </w:r>
          </w:p>
        </w:tc>
        <w:tc>
          <w:tcPr>
            <w:tcW w:w="1415" w:type="dxa"/>
            <w:tcBorders>
              <w:top w:val="nil"/>
              <w:bottom w:val="nil"/>
            </w:tcBorders>
            <w:shd w:val="clear" w:color="000000" w:fill="FFFFFF"/>
            <w:vAlign w:val="center"/>
          </w:tcPr>
          <w:p w14:paraId="6DA1686A" w14:textId="60FD19B9"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133</w:t>
            </w:r>
            <w:r>
              <w:rPr>
                <w:rFonts w:ascii="Verdana" w:hAnsi="Verdana"/>
                <w:color w:val="365F91"/>
                <w:sz w:val="18"/>
                <w:szCs w:val="18"/>
              </w:rPr>
              <w:t>,</w:t>
            </w:r>
            <w:r w:rsidRPr="0020780D">
              <w:rPr>
                <w:rFonts w:ascii="Verdana" w:hAnsi="Verdana"/>
                <w:color w:val="365F91"/>
                <w:sz w:val="18"/>
                <w:szCs w:val="18"/>
              </w:rPr>
              <w:t>28</w:t>
            </w:r>
          </w:p>
        </w:tc>
        <w:tc>
          <w:tcPr>
            <w:tcW w:w="282" w:type="dxa"/>
            <w:tcBorders>
              <w:top w:val="nil"/>
              <w:bottom w:val="nil"/>
            </w:tcBorders>
            <w:shd w:val="clear" w:color="000000" w:fill="FFFFFF"/>
            <w:tcMar>
              <w:left w:w="0" w:type="dxa"/>
              <w:right w:w="0" w:type="dxa"/>
            </w:tcMar>
            <w:vAlign w:val="center"/>
          </w:tcPr>
          <w:p w14:paraId="642FAB3C"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3C90FF7" w14:textId="297512E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5</w:t>
            </w:r>
            <w:r>
              <w:rPr>
                <w:rFonts w:ascii="Verdana" w:hAnsi="Verdana"/>
                <w:color w:val="365F91"/>
                <w:sz w:val="18"/>
                <w:szCs w:val="18"/>
              </w:rPr>
              <w:t>,</w:t>
            </w:r>
            <w:r w:rsidRPr="0020780D">
              <w:rPr>
                <w:rFonts w:ascii="Verdana" w:hAnsi="Verdana"/>
                <w:color w:val="365F91"/>
                <w:sz w:val="18"/>
                <w:szCs w:val="18"/>
              </w:rPr>
              <w:t>23</w:t>
            </w:r>
          </w:p>
        </w:tc>
        <w:tc>
          <w:tcPr>
            <w:tcW w:w="1279" w:type="dxa"/>
            <w:tcBorders>
              <w:top w:val="nil"/>
              <w:bottom w:val="nil"/>
            </w:tcBorders>
            <w:shd w:val="clear" w:color="000000" w:fill="FFFFFF"/>
            <w:vAlign w:val="center"/>
          </w:tcPr>
          <w:p w14:paraId="2376312D" w14:textId="230EB04D"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44</w:t>
            </w:r>
          </w:p>
        </w:tc>
        <w:tc>
          <w:tcPr>
            <w:tcW w:w="1698" w:type="dxa"/>
            <w:tcBorders>
              <w:top w:val="nil"/>
              <w:bottom w:val="nil"/>
            </w:tcBorders>
            <w:shd w:val="clear" w:color="000000" w:fill="FFFFFF"/>
            <w:vAlign w:val="center"/>
          </w:tcPr>
          <w:p w14:paraId="617E5257" w14:textId="41370644"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4</w:t>
            </w:r>
            <w:r>
              <w:rPr>
                <w:rFonts w:ascii="Verdana" w:hAnsi="Verdana"/>
                <w:color w:val="365F91"/>
                <w:sz w:val="18"/>
                <w:szCs w:val="18"/>
              </w:rPr>
              <w:t>,</w:t>
            </w:r>
            <w:r w:rsidRPr="0020780D">
              <w:rPr>
                <w:rFonts w:ascii="Verdana" w:hAnsi="Verdana"/>
                <w:color w:val="365F91"/>
                <w:sz w:val="18"/>
                <w:szCs w:val="18"/>
              </w:rPr>
              <w:t>48</w:t>
            </w:r>
          </w:p>
        </w:tc>
      </w:tr>
      <w:tr w:rsidR="006314AA" w:rsidRPr="00C80D18" w14:paraId="0ABA4BC7" w14:textId="4629CEA3" w:rsidTr="006314AA">
        <w:trPr>
          <w:trHeight w:val="510"/>
          <w:jc w:val="center"/>
        </w:trPr>
        <w:tc>
          <w:tcPr>
            <w:tcW w:w="2411" w:type="dxa"/>
            <w:tcBorders>
              <w:top w:val="nil"/>
              <w:left w:val="nil"/>
              <w:bottom w:val="single" w:sz="4" w:space="0" w:color="366092"/>
            </w:tcBorders>
            <w:shd w:val="clear" w:color="FFFFFF" w:fill="FFFFFF"/>
            <w:noWrap/>
            <w:vAlign w:val="center"/>
            <w:hideMark/>
          </w:tcPr>
          <w:p w14:paraId="50DD997E" w14:textId="77777777" w:rsidR="006314AA" w:rsidRPr="00C80D18" w:rsidRDefault="006314AA" w:rsidP="006314AA">
            <w:pPr>
              <w:rPr>
                <w:rFonts w:ascii="Verdana" w:eastAsia="Times New Roman" w:hAnsi="Verdana" w:cs="Arial"/>
                <w:color w:val="365F91"/>
                <w:sz w:val="18"/>
                <w:szCs w:val="18"/>
              </w:rPr>
            </w:pPr>
            <w:proofErr w:type="spellStart"/>
            <w:r w:rsidRPr="00C80D18">
              <w:rPr>
                <w:rFonts w:ascii="Verdana" w:eastAsia="Times New Roman" w:hAnsi="Verdana" w:cs="Arial"/>
                <w:color w:val="365F91"/>
                <w:sz w:val="18"/>
                <w:szCs w:val="18"/>
              </w:rPr>
              <w:t>Άλλ</w:t>
            </w:r>
            <w:proofErr w:type="spellEnd"/>
            <w:r w:rsidRPr="00C80D18">
              <w:rPr>
                <w:rFonts w:ascii="Verdana" w:eastAsia="Times New Roman" w:hAnsi="Verdana" w:cs="Arial"/>
                <w:color w:val="365F91"/>
                <w:sz w:val="18"/>
                <w:szCs w:val="18"/>
              </w:rPr>
              <w:t xml:space="preserve">α </w:t>
            </w:r>
            <w:r w:rsidRPr="00C80D18">
              <w:rPr>
                <w:rFonts w:ascii="Verdana" w:eastAsia="Times New Roman" w:hAnsi="Verdana" w:cs="Arial"/>
                <w:color w:val="365F91"/>
                <w:sz w:val="18"/>
                <w:szCs w:val="18"/>
                <w:lang w:val="el-GR"/>
              </w:rPr>
              <w:t>Α</w:t>
            </w:r>
            <w:r w:rsidRPr="00C80D18">
              <w:rPr>
                <w:rFonts w:ascii="Verdana" w:eastAsia="Times New Roman" w:hAnsi="Verdana" w:cs="Arial"/>
                <w:color w:val="365F91"/>
                <w:sz w:val="18"/>
                <w:szCs w:val="18"/>
              </w:rPr>
              <w:t>γα</w:t>
            </w:r>
            <w:proofErr w:type="spellStart"/>
            <w:r w:rsidRPr="00C80D18">
              <w:rPr>
                <w:rFonts w:ascii="Verdana" w:eastAsia="Times New Roman" w:hAnsi="Verdana" w:cs="Arial"/>
                <w:color w:val="365F91"/>
                <w:sz w:val="18"/>
                <w:szCs w:val="18"/>
              </w:rPr>
              <w:t>θά</w:t>
            </w:r>
            <w:proofErr w:type="spellEnd"/>
            <w:r w:rsidRPr="00C80D18">
              <w:rPr>
                <w:rFonts w:ascii="Verdana" w:eastAsia="Times New Roman" w:hAnsi="Verdana" w:cs="Arial"/>
                <w:color w:val="365F91"/>
                <w:sz w:val="18"/>
                <w:szCs w:val="18"/>
              </w:rPr>
              <w:t xml:space="preserve"> και</w:t>
            </w:r>
            <w:r w:rsidRPr="00C80D18">
              <w:rPr>
                <w:rFonts w:ascii="Verdana" w:eastAsia="Times New Roman" w:hAnsi="Verdana" w:cs="Arial"/>
                <w:color w:val="365F91"/>
                <w:sz w:val="18"/>
                <w:szCs w:val="18"/>
                <w:lang w:val="el-GR"/>
              </w:rPr>
              <w:t xml:space="preserve"> Υ</w:t>
            </w:r>
            <w:r w:rsidRPr="00C80D18">
              <w:rPr>
                <w:rFonts w:ascii="Verdana" w:eastAsia="Times New Roman" w:hAnsi="Verdana" w:cs="Arial"/>
                <w:color w:val="365F91"/>
                <w:sz w:val="18"/>
                <w:szCs w:val="18"/>
              </w:rPr>
              <w:t>π</w:t>
            </w:r>
            <w:proofErr w:type="spellStart"/>
            <w:r w:rsidRPr="00C80D18">
              <w:rPr>
                <w:rFonts w:ascii="Verdana" w:eastAsia="Times New Roman" w:hAnsi="Verdana" w:cs="Arial"/>
                <w:color w:val="365F91"/>
                <w:sz w:val="18"/>
                <w:szCs w:val="18"/>
              </w:rPr>
              <w:t>ηρεσίες</w:t>
            </w:r>
            <w:proofErr w:type="spellEnd"/>
          </w:p>
        </w:tc>
        <w:tc>
          <w:tcPr>
            <w:tcW w:w="1558" w:type="dxa"/>
            <w:tcBorders>
              <w:top w:val="nil"/>
              <w:bottom w:val="single" w:sz="4" w:space="0" w:color="366092"/>
            </w:tcBorders>
            <w:shd w:val="clear" w:color="000000" w:fill="FFFFFF"/>
            <w:vAlign w:val="center"/>
            <w:hideMark/>
          </w:tcPr>
          <w:p w14:paraId="60565449" w14:textId="2DF9A303"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111</w:t>
            </w:r>
            <w:r>
              <w:rPr>
                <w:rFonts w:ascii="Verdana" w:hAnsi="Verdana"/>
                <w:color w:val="365F91"/>
                <w:sz w:val="18"/>
                <w:szCs w:val="18"/>
              </w:rPr>
              <w:t>,</w:t>
            </w:r>
            <w:r w:rsidRPr="0020780D">
              <w:rPr>
                <w:rFonts w:ascii="Verdana" w:hAnsi="Verdana"/>
                <w:color w:val="365F91"/>
                <w:sz w:val="18"/>
                <w:szCs w:val="18"/>
              </w:rPr>
              <w:t>84</w:t>
            </w:r>
          </w:p>
        </w:tc>
        <w:tc>
          <w:tcPr>
            <w:tcW w:w="1415" w:type="dxa"/>
            <w:tcBorders>
              <w:top w:val="nil"/>
              <w:bottom w:val="single" w:sz="4" w:space="0" w:color="366092"/>
            </w:tcBorders>
            <w:shd w:val="clear" w:color="000000" w:fill="FFFFFF"/>
            <w:vAlign w:val="center"/>
          </w:tcPr>
          <w:p w14:paraId="6AEC4DD5" w14:textId="685DB8E5"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112</w:t>
            </w:r>
            <w:r>
              <w:rPr>
                <w:rFonts w:ascii="Verdana" w:hAnsi="Verdana"/>
                <w:color w:val="365F91"/>
                <w:sz w:val="18"/>
                <w:szCs w:val="18"/>
              </w:rPr>
              <w:t>,</w:t>
            </w:r>
            <w:r w:rsidRPr="0020780D">
              <w:rPr>
                <w:rFonts w:ascii="Verdana" w:hAnsi="Verdana"/>
                <w:color w:val="365F91"/>
                <w:sz w:val="18"/>
                <w:szCs w:val="18"/>
              </w:rPr>
              <w:t>25</w:t>
            </w:r>
          </w:p>
        </w:tc>
        <w:tc>
          <w:tcPr>
            <w:tcW w:w="282" w:type="dxa"/>
            <w:tcBorders>
              <w:top w:val="nil"/>
              <w:bottom w:val="single" w:sz="4" w:space="0" w:color="366092"/>
            </w:tcBorders>
            <w:shd w:val="clear" w:color="000000" w:fill="FFFFFF"/>
            <w:tcMar>
              <w:left w:w="0" w:type="dxa"/>
              <w:right w:w="0" w:type="dxa"/>
            </w:tcMar>
            <w:vAlign w:val="center"/>
          </w:tcPr>
          <w:p w14:paraId="0672D201" w14:textId="77777777" w:rsidR="006314AA" w:rsidRPr="00C80D18" w:rsidRDefault="006314AA" w:rsidP="006314AA">
            <w:pPr>
              <w:ind w:right="284"/>
              <w:jc w:val="right"/>
              <w:rPr>
                <w:rFonts w:ascii="Verdana" w:hAnsi="Verdana"/>
                <w:color w:val="365F91"/>
                <w:sz w:val="18"/>
                <w:szCs w:val="18"/>
              </w:rPr>
            </w:pPr>
          </w:p>
        </w:tc>
        <w:tc>
          <w:tcPr>
            <w:tcW w:w="1422" w:type="dxa"/>
            <w:tcBorders>
              <w:top w:val="nil"/>
              <w:bottom w:val="single" w:sz="4" w:space="0" w:color="366092"/>
            </w:tcBorders>
            <w:shd w:val="clear" w:color="000000" w:fill="FFFFFF"/>
            <w:vAlign w:val="center"/>
          </w:tcPr>
          <w:p w14:paraId="7DEF19F2" w14:textId="680B440A" w:rsidR="006314AA" w:rsidRPr="00C80D18" w:rsidRDefault="006314AA" w:rsidP="006314AA">
            <w:pPr>
              <w:ind w:right="311"/>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03</w:t>
            </w:r>
          </w:p>
        </w:tc>
        <w:tc>
          <w:tcPr>
            <w:tcW w:w="1279" w:type="dxa"/>
            <w:tcBorders>
              <w:top w:val="nil"/>
              <w:bottom w:val="single" w:sz="4" w:space="0" w:color="366092"/>
            </w:tcBorders>
            <w:shd w:val="clear" w:color="000000" w:fill="FFFFFF"/>
            <w:vAlign w:val="center"/>
          </w:tcPr>
          <w:p w14:paraId="58C351D9" w14:textId="3E213C08" w:rsidR="006314AA" w:rsidRPr="00C80D18" w:rsidRDefault="006314AA" w:rsidP="006314AA">
            <w:pPr>
              <w:ind w:right="311"/>
              <w:jc w:val="right"/>
              <w:rPr>
                <w:rFonts w:ascii="Verdana" w:hAnsi="Verdana"/>
                <w:color w:val="365F91"/>
                <w:sz w:val="18"/>
                <w:szCs w:val="18"/>
              </w:rPr>
            </w:pPr>
            <w:r w:rsidRPr="006314AA">
              <w:rPr>
                <w:rFonts w:ascii="Verdana" w:hAnsi="Verdana"/>
                <w:color w:val="365F91"/>
                <w:sz w:val="18"/>
                <w:szCs w:val="18"/>
              </w:rPr>
              <w:t>0</w:t>
            </w:r>
            <w:r>
              <w:rPr>
                <w:rFonts w:ascii="Verdana" w:hAnsi="Verdana"/>
                <w:color w:val="365F91"/>
                <w:sz w:val="18"/>
                <w:szCs w:val="18"/>
              </w:rPr>
              <w:t>,</w:t>
            </w:r>
            <w:r w:rsidRPr="006314AA">
              <w:rPr>
                <w:rFonts w:ascii="Verdana" w:hAnsi="Verdana"/>
                <w:color w:val="365F91"/>
                <w:sz w:val="18"/>
                <w:szCs w:val="18"/>
              </w:rPr>
              <w:t>37</w:t>
            </w:r>
          </w:p>
        </w:tc>
        <w:tc>
          <w:tcPr>
            <w:tcW w:w="1698" w:type="dxa"/>
            <w:tcBorders>
              <w:top w:val="nil"/>
              <w:bottom w:val="single" w:sz="4" w:space="0" w:color="366092"/>
            </w:tcBorders>
            <w:shd w:val="clear" w:color="000000" w:fill="FFFFFF"/>
            <w:vAlign w:val="center"/>
          </w:tcPr>
          <w:p w14:paraId="4CE926CB" w14:textId="5A6B3462" w:rsidR="006314AA" w:rsidRPr="00C80D18" w:rsidRDefault="006314AA" w:rsidP="006314AA">
            <w:pPr>
              <w:ind w:right="462"/>
              <w:jc w:val="right"/>
              <w:rPr>
                <w:rFonts w:ascii="Verdana" w:hAnsi="Verdana"/>
                <w:color w:val="365F91"/>
                <w:sz w:val="18"/>
                <w:szCs w:val="18"/>
              </w:rPr>
            </w:pPr>
            <w:r w:rsidRPr="0020780D">
              <w:rPr>
                <w:rFonts w:ascii="Verdana" w:hAnsi="Verdana"/>
                <w:color w:val="365F91"/>
                <w:sz w:val="18"/>
                <w:szCs w:val="18"/>
              </w:rPr>
              <w:t>1</w:t>
            </w:r>
            <w:r>
              <w:rPr>
                <w:rFonts w:ascii="Verdana" w:hAnsi="Verdana"/>
                <w:color w:val="365F91"/>
                <w:sz w:val="18"/>
                <w:szCs w:val="18"/>
              </w:rPr>
              <w:t>,</w:t>
            </w:r>
            <w:r w:rsidRPr="0020780D">
              <w:rPr>
                <w:rFonts w:ascii="Verdana" w:hAnsi="Verdana"/>
                <w:color w:val="365F91"/>
                <w:sz w:val="18"/>
                <w:szCs w:val="18"/>
              </w:rPr>
              <w:t>24</w:t>
            </w:r>
          </w:p>
        </w:tc>
      </w:tr>
      <w:tr w:rsidR="006314AA" w:rsidRPr="00C80D18" w14:paraId="7B6D317E" w14:textId="278222F2" w:rsidTr="006314AA">
        <w:trPr>
          <w:trHeight w:hRule="exact" w:val="567"/>
          <w:jc w:val="center"/>
        </w:trPr>
        <w:tc>
          <w:tcPr>
            <w:tcW w:w="2411" w:type="dxa"/>
            <w:tcBorders>
              <w:top w:val="single" w:sz="4" w:space="0" w:color="366092"/>
              <w:left w:val="nil"/>
              <w:bottom w:val="single" w:sz="4" w:space="0" w:color="366092"/>
            </w:tcBorders>
            <w:shd w:val="clear" w:color="FFFFFF" w:fill="FFFFFF"/>
            <w:noWrap/>
            <w:vAlign w:val="center"/>
          </w:tcPr>
          <w:p w14:paraId="27F9D94D" w14:textId="77777777" w:rsidR="006314AA" w:rsidRPr="00C80D18" w:rsidRDefault="006314AA" w:rsidP="006314AA">
            <w:pPr>
              <w:rPr>
                <w:rFonts w:ascii="Verdana" w:eastAsia="Times New Roman" w:hAnsi="Verdana" w:cs="Arial"/>
                <w:b/>
                <w:bCs/>
                <w:color w:val="365F91"/>
                <w:sz w:val="18"/>
                <w:szCs w:val="18"/>
              </w:rPr>
            </w:pPr>
            <w:proofErr w:type="spellStart"/>
            <w:r w:rsidRPr="00C80D18">
              <w:rPr>
                <w:rFonts w:ascii="Verdana" w:eastAsia="Times New Roman" w:hAnsi="Verdana" w:cs="Arial"/>
                <w:b/>
                <w:bCs/>
                <w:color w:val="365F91"/>
                <w:sz w:val="18"/>
                <w:szCs w:val="18"/>
              </w:rPr>
              <w:t>Γενικός</w:t>
            </w:r>
            <w:proofErr w:type="spellEnd"/>
            <w:r w:rsidRPr="00C80D18">
              <w:rPr>
                <w:rFonts w:ascii="Verdana" w:eastAsia="Times New Roman" w:hAnsi="Verdana" w:cs="Arial"/>
                <w:b/>
                <w:bCs/>
                <w:color w:val="365F91"/>
                <w:sz w:val="18"/>
                <w:szCs w:val="18"/>
              </w:rPr>
              <w:t xml:space="preserve"> </w:t>
            </w:r>
            <w:proofErr w:type="spellStart"/>
            <w:r w:rsidRPr="00C80D18">
              <w:rPr>
                <w:rFonts w:ascii="Verdana" w:eastAsia="Times New Roman" w:hAnsi="Verdana" w:cs="Arial"/>
                <w:b/>
                <w:bCs/>
                <w:color w:val="365F91"/>
                <w:sz w:val="18"/>
                <w:szCs w:val="18"/>
              </w:rPr>
              <w:t>Δείκτης</w:t>
            </w:r>
            <w:proofErr w:type="spellEnd"/>
            <w:r w:rsidRPr="00C80D18">
              <w:rPr>
                <w:rFonts w:ascii="Verdana" w:eastAsia="Times New Roman" w:hAnsi="Verdana" w:cs="Arial"/>
                <w:b/>
                <w:bCs/>
                <w:color w:val="365F91"/>
                <w:sz w:val="18"/>
                <w:szCs w:val="18"/>
              </w:rPr>
              <w:t xml:space="preserve"> </w:t>
            </w:r>
            <w:proofErr w:type="spellStart"/>
            <w:r w:rsidRPr="00C80D18">
              <w:rPr>
                <w:rFonts w:ascii="Verdana" w:eastAsia="Times New Roman" w:hAnsi="Verdana" w:cs="Arial"/>
                <w:b/>
                <w:bCs/>
                <w:color w:val="365F91"/>
                <w:sz w:val="18"/>
                <w:szCs w:val="18"/>
              </w:rPr>
              <w:t>Τιμών</w:t>
            </w:r>
            <w:proofErr w:type="spellEnd"/>
            <w:r w:rsidRPr="00C80D18">
              <w:rPr>
                <w:rFonts w:ascii="Verdana" w:eastAsia="Times New Roman" w:hAnsi="Verdana" w:cs="Arial"/>
                <w:b/>
                <w:bCs/>
                <w:color w:val="365F91"/>
                <w:sz w:val="18"/>
                <w:szCs w:val="18"/>
              </w:rPr>
              <w:t xml:space="preserve"> Κατανα</w:t>
            </w:r>
            <w:proofErr w:type="spellStart"/>
            <w:r w:rsidRPr="00C80D18">
              <w:rPr>
                <w:rFonts w:ascii="Verdana" w:eastAsia="Times New Roman" w:hAnsi="Verdana" w:cs="Arial"/>
                <w:b/>
                <w:bCs/>
                <w:color w:val="365F91"/>
                <w:sz w:val="18"/>
                <w:szCs w:val="18"/>
              </w:rPr>
              <w:t>λωτή</w:t>
            </w:r>
            <w:proofErr w:type="spellEnd"/>
          </w:p>
        </w:tc>
        <w:tc>
          <w:tcPr>
            <w:tcW w:w="1558" w:type="dxa"/>
            <w:tcBorders>
              <w:top w:val="single" w:sz="4" w:space="0" w:color="366092"/>
              <w:bottom w:val="single" w:sz="4" w:space="0" w:color="366092"/>
            </w:tcBorders>
            <w:shd w:val="clear" w:color="000000" w:fill="FFFFFF"/>
            <w:vAlign w:val="center"/>
          </w:tcPr>
          <w:p w14:paraId="371227CE" w14:textId="7A6BD510" w:rsidR="006314AA" w:rsidRPr="0020780D" w:rsidRDefault="006314AA" w:rsidP="006314AA">
            <w:pPr>
              <w:ind w:right="311"/>
              <w:jc w:val="right"/>
              <w:rPr>
                <w:rFonts w:ascii="Verdana" w:hAnsi="Verdana"/>
                <w:b/>
                <w:bCs/>
                <w:color w:val="365F91"/>
                <w:sz w:val="18"/>
                <w:szCs w:val="18"/>
              </w:rPr>
            </w:pPr>
            <w:r w:rsidRPr="0020780D">
              <w:rPr>
                <w:rFonts w:ascii="Verdana" w:hAnsi="Verdana"/>
                <w:b/>
                <w:bCs/>
                <w:color w:val="365F91"/>
                <w:sz w:val="18"/>
                <w:szCs w:val="18"/>
              </w:rPr>
              <w:t>117</w:t>
            </w:r>
            <w:r>
              <w:rPr>
                <w:rFonts w:ascii="Verdana" w:hAnsi="Verdana"/>
                <w:b/>
                <w:bCs/>
                <w:color w:val="365F91"/>
                <w:sz w:val="18"/>
                <w:szCs w:val="18"/>
              </w:rPr>
              <w:t>,</w:t>
            </w:r>
            <w:r w:rsidRPr="0020780D">
              <w:rPr>
                <w:rFonts w:ascii="Verdana" w:hAnsi="Verdana"/>
                <w:b/>
                <w:bCs/>
                <w:color w:val="365F91"/>
                <w:sz w:val="18"/>
                <w:szCs w:val="18"/>
              </w:rPr>
              <w:t>25</w:t>
            </w:r>
          </w:p>
        </w:tc>
        <w:tc>
          <w:tcPr>
            <w:tcW w:w="1415" w:type="dxa"/>
            <w:tcBorders>
              <w:top w:val="single" w:sz="4" w:space="0" w:color="366092"/>
              <w:bottom w:val="single" w:sz="4" w:space="0" w:color="366092"/>
            </w:tcBorders>
            <w:shd w:val="clear" w:color="000000" w:fill="FFFFFF"/>
            <w:vAlign w:val="center"/>
          </w:tcPr>
          <w:p w14:paraId="4E8DD297" w14:textId="5F66EE2E" w:rsidR="006314AA" w:rsidRPr="0020780D" w:rsidRDefault="006314AA" w:rsidP="006314AA">
            <w:pPr>
              <w:ind w:right="311"/>
              <w:jc w:val="right"/>
              <w:rPr>
                <w:rFonts w:ascii="Verdana" w:hAnsi="Verdana"/>
                <w:b/>
                <w:bCs/>
                <w:color w:val="365F91"/>
                <w:sz w:val="18"/>
                <w:szCs w:val="18"/>
              </w:rPr>
            </w:pPr>
            <w:r w:rsidRPr="0020780D">
              <w:rPr>
                <w:rFonts w:ascii="Verdana" w:hAnsi="Verdana"/>
                <w:b/>
                <w:bCs/>
                <w:color w:val="365F91"/>
                <w:sz w:val="18"/>
                <w:szCs w:val="18"/>
              </w:rPr>
              <w:t>117</w:t>
            </w:r>
            <w:r>
              <w:rPr>
                <w:rFonts w:ascii="Verdana" w:hAnsi="Verdana"/>
                <w:b/>
                <w:bCs/>
                <w:color w:val="365F91"/>
                <w:sz w:val="18"/>
                <w:szCs w:val="18"/>
              </w:rPr>
              <w:t>,</w:t>
            </w:r>
            <w:r w:rsidRPr="0020780D">
              <w:rPr>
                <w:rFonts w:ascii="Verdana" w:hAnsi="Verdana"/>
                <w:b/>
                <w:bCs/>
                <w:color w:val="365F91"/>
                <w:sz w:val="18"/>
                <w:szCs w:val="18"/>
              </w:rPr>
              <w:t>31</w:t>
            </w:r>
          </w:p>
        </w:tc>
        <w:tc>
          <w:tcPr>
            <w:tcW w:w="282"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6314AA" w:rsidRPr="00B442B0" w:rsidRDefault="006314AA" w:rsidP="006314AA">
            <w:pPr>
              <w:ind w:right="284"/>
              <w:jc w:val="right"/>
              <w:rPr>
                <w:rFonts w:ascii="Verdana" w:hAnsi="Verdana"/>
                <w:b/>
                <w:bCs/>
                <w:color w:val="365F91"/>
                <w:sz w:val="18"/>
                <w:szCs w:val="18"/>
              </w:rPr>
            </w:pPr>
          </w:p>
        </w:tc>
        <w:tc>
          <w:tcPr>
            <w:tcW w:w="1422" w:type="dxa"/>
            <w:tcBorders>
              <w:top w:val="single" w:sz="4" w:space="0" w:color="366092"/>
              <w:bottom w:val="single" w:sz="4" w:space="0" w:color="366092"/>
            </w:tcBorders>
            <w:shd w:val="clear" w:color="000000" w:fill="FFFFFF"/>
            <w:vAlign w:val="center"/>
          </w:tcPr>
          <w:p w14:paraId="4CAFB9A2" w14:textId="59F71524" w:rsidR="006314AA" w:rsidRPr="006314AA" w:rsidRDefault="006314AA" w:rsidP="006314AA">
            <w:pPr>
              <w:ind w:right="311"/>
              <w:jc w:val="right"/>
              <w:rPr>
                <w:rFonts w:ascii="Verdana" w:hAnsi="Verdana"/>
                <w:b/>
                <w:bCs/>
                <w:color w:val="365F91"/>
                <w:sz w:val="18"/>
                <w:szCs w:val="18"/>
              </w:rPr>
            </w:pPr>
            <w:r w:rsidRPr="006314AA">
              <w:rPr>
                <w:rFonts w:ascii="Verdana" w:hAnsi="Verdana"/>
                <w:b/>
                <w:bCs/>
                <w:color w:val="365F91"/>
                <w:sz w:val="18"/>
                <w:szCs w:val="18"/>
              </w:rPr>
              <w:t>0,19</w:t>
            </w:r>
          </w:p>
        </w:tc>
        <w:tc>
          <w:tcPr>
            <w:tcW w:w="1279" w:type="dxa"/>
            <w:tcBorders>
              <w:top w:val="single" w:sz="4" w:space="0" w:color="366092"/>
              <w:bottom w:val="single" w:sz="4" w:space="0" w:color="366092"/>
            </w:tcBorders>
            <w:shd w:val="clear" w:color="000000" w:fill="FFFFFF"/>
            <w:vAlign w:val="center"/>
          </w:tcPr>
          <w:p w14:paraId="0C7167C0" w14:textId="1905B95B" w:rsidR="006314AA" w:rsidRPr="006314AA" w:rsidRDefault="006314AA" w:rsidP="006314AA">
            <w:pPr>
              <w:ind w:right="311"/>
              <w:jc w:val="right"/>
              <w:rPr>
                <w:rFonts w:ascii="Verdana" w:hAnsi="Verdana"/>
                <w:b/>
                <w:bCs/>
                <w:color w:val="365F91"/>
                <w:sz w:val="18"/>
                <w:szCs w:val="18"/>
              </w:rPr>
            </w:pPr>
            <w:r w:rsidRPr="006314AA">
              <w:rPr>
                <w:rFonts w:ascii="Verdana" w:hAnsi="Verdana"/>
                <w:b/>
                <w:bCs/>
                <w:color w:val="365F91"/>
                <w:sz w:val="18"/>
                <w:szCs w:val="18"/>
              </w:rPr>
              <w:t>0</w:t>
            </w:r>
            <w:r>
              <w:rPr>
                <w:rFonts w:ascii="Verdana" w:hAnsi="Verdana"/>
                <w:b/>
                <w:bCs/>
                <w:color w:val="365F91"/>
                <w:sz w:val="18"/>
                <w:szCs w:val="18"/>
              </w:rPr>
              <w:t>,</w:t>
            </w:r>
            <w:r w:rsidRPr="006314AA">
              <w:rPr>
                <w:rFonts w:ascii="Verdana" w:hAnsi="Verdana"/>
                <w:b/>
                <w:bCs/>
                <w:color w:val="365F91"/>
                <w:sz w:val="18"/>
                <w:szCs w:val="18"/>
              </w:rPr>
              <w:t>05</w:t>
            </w:r>
          </w:p>
        </w:tc>
        <w:tc>
          <w:tcPr>
            <w:tcW w:w="1698" w:type="dxa"/>
            <w:tcBorders>
              <w:top w:val="single" w:sz="4" w:space="0" w:color="366092"/>
              <w:bottom w:val="single" w:sz="4" w:space="0" w:color="366092"/>
            </w:tcBorders>
            <w:shd w:val="clear" w:color="000000" w:fill="FFFFFF"/>
            <w:vAlign w:val="center"/>
          </w:tcPr>
          <w:p w14:paraId="468378A7" w14:textId="281B3DFE" w:rsidR="006314AA" w:rsidRPr="006314AA" w:rsidRDefault="006314AA" w:rsidP="006314AA">
            <w:pPr>
              <w:ind w:right="462"/>
              <w:jc w:val="right"/>
              <w:rPr>
                <w:rFonts w:ascii="Verdana" w:hAnsi="Verdana"/>
                <w:b/>
                <w:bCs/>
                <w:color w:val="365F91"/>
                <w:sz w:val="18"/>
                <w:szCs w:val="18"/>
              </w:rPr>
            </w:pPr>
            <w:r w:rsidRPr="006314AA">
              <w:rPr>
                <w:rFonts w:ascii="Verdana" w:hAnsi="Verdana"/>
                <w:b/>
                <w:bCs/>
                <w:color w:val="365F91"/>
                <w:sz w:val="18"/>
                <w:szCs w:val="18"/>
              </w:rPr>
              <w:t>1,53</w:t>
            </w:r>
          </w:p>
        </w:tc>
      </w:tr>
    </w:tbl>
    <w:p w14:paraId="54B905E2" w14:textId="77777777" w:rsidR="008125E2" w:rsidRDefault="008125E2" w:rsidP="006022B5">
      <w:pPr>
        <w:tabs>
          <w:tab w:val="left" w:pos="1080"/>
          <w:tab w:val="left" w:pos="6840"/>
        </w:tabs>
        <w:jc w:val="both"/>
        <w:rPr>
          <w:rFonts w:ascii="Verdana" w:eastAsia="Malgun Gothic" w:hAnsi="Verdana" w:cs="Arial"/>
          <w:sz w:val="18"/>
          <w:szCs w:val="18"/>
          <w:lang w:val="el-GR"/>
        </w:rPr>
      </w:pPr>
    </w:p>
    <w:tbl>
      <w:tblPr>
        <w:tblW w:w="4953" w:type="pct"/>
        <w:jc w:val="center"/>
        <w:tblLayout w:type="fixed"/>
        <w:tblLook w:val="04A0" w:firstRow="1" w:lastRow="0" w:firstColumn="1" w:lastColumn="0" w:noHBand="0" w:noVBand="1"/>
      </w:tblPr>
      <w:tblGrid>
        <w:gridCol w:w="3143"/>
        <w:gridCol w:w="1954"/>
        <w:gridCol w:w="2372"/>
        <w:gridCol w:w="2243"/>
      </w:tblGrid>
      <w:tr w:rsidR="006022B5" w:rsidRPr="00E21D72" w14:paraId="1B1E2683" w14:textId="77777777" w:rsidTr="00F45D26">
        <w:trPr>
          <w:trHeight w:hRule="exact" w:val="340"/>
          <w:jc w:val="center"/>
        </w:trPr>
        <w:tc>
          <w:tcPr>
            <w:tcW w:w="5000" w:type="pct"/>
            <w:gridSpan w:val="4"/>
            <w:tcBorders>
              <w:left w:val="nil"/>
              <w:bottom w:val="single" w:sz="4" w:space="0" w:color="366092"/>
            </w:tcBorders>
            <w:shd w:val="clear" w:color="FFFFFF" w:fill="FFFFFF"/>
            <w:vAlign w:val="center"/>
            <w:hideMark/>
          </w:tcPr>
          <w:p w14:paraId="5CB4B204"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lastRenderedPageBreak/>
              <w:t>Πίνακας 2</w:t>
            </w:r>
          </w:p>
        </w:tc>
      </w:tr>
      <w:tr w:rsidR="006022B5" w:rsidRPr="00E21D72" w14:paraId="67DAE050" w14:textId="77777777" w:rsidTr="00F45D26">
        <w:trPr>
          <w:trHeight w:val="315"/>
          <w:jc w:val="center"/>
        </w:trPr>
        <w:tc>
          <w:tcPr>
            <w:tcW w:w="1618"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Οικονομικές Κατηγορίες</w:t>
            </w:r>
          </w:p>
        </w:tc>
        <w:tc>
          <w:tcPr>
            <w:tcW w:w="1006" w:type="pct"/>
            <w:vMerge w:val="restart"/>
            <w:tcBorders>
              <w:top w:val="single" w:sz="4" w:space="0" w:color="366092"/>
              <w:bottom w:val="single" w:sz="4" w:space="0" w:color="366092"/>
            </w:tcBorders>
            <w:shd w:val="clear" w:color="FFFFFF" w:fill="FFFFFF"/>
            <w:vAlign w:val="center"/>
            <w:hideMark/>
          </w:tcPr>
          <w:p w14:paraId="29E3CC50" w14:textId="77777777" w:rsidR="006022B5" w:rsidRPr="00E21D72" w:rsidRDefault="006022B5" w:rsidP="006022B5">
            <w:pPr>
              <w:jc w:val="cente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Συντελεστές Στάθμισης</w:t>
            </w:r>
          </w:p>
        </w:tc>
        <w:tc>
          <w:tcPr>
            <w:tcW w:w="2376"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E21D72" w:rsidRDefault="006022B5" w:rsidP="006022B5">
            <w:pPr>
              <w:jc w:val="center"/>
              <w:rPr>
                <w:rFonts w:ascii="Verdana" w:eastAsia="Times New Roman" w:hAnsi="Verdana" w:cs="Arial"/>
                <w:b/>
                <w:bCs/>
                <w:color w:val="366092"/>
                <w:sz w:val="18"/>
                <w:szCs w:val="18"/>
              </w:rPr>
            </w:pPr>
            <w:r w:rsidRPr="00E21D72">
              <w:rPr>
                <w:rFonts w:ascii="Verdana" w:eastAsia="Times New Roman" w:hAnsi="Verdana" w:cs="Arial"/>
                <w:b/>
                <w:bCs/>
                <w:color w:val="366092"/>
                <w:sz w:val="18"/>
                <w:szCs w:val="18"/>
              </w:rPr>
              <w:t>Μ</w:t>
            </w:r>
            <w:proofErr w:type="spellStart"/>
            <w:r w:rsidRPr="00E21D72">
              <w:rPr>
                <w:rFonts w:ascii="Verdana" w:eastAsia="Times New Roman" w:hAnsi="Verdana" w:cs="Arial"/>
                <w:b/>
                <w:bCs/>
                <w:color w:val="366092"/>
                <w:sz w:val="18"/>
                <w:szCs w:val="18"/>
                <w:lang w:val="el-GR"/>
              </w:rPr>
              <w:t>εταβολές</w:t>
            </w:r>
            <w:proofErr w:type="spellEnd"/>
            <w:r w:rsidRPr="00E21D72">
              <w:rPr>
                <w:rFonts w:ascii="Verdana" w:eastAsia="Times New Roman" w:hAnsi="Verdana" w:cs="Arial"/>
                <w:b/>
                <w:bCs/>
                <w:color w:val="366092"/>
                <w:sz w:val="18"/>
                <w:szCs w:val="18"/>
              </w:rPr>
              <w:t xml:space="preserve"> (%)</w:t>
            </w:r>
          </w:p>
        </w:tc>
      </w:tr>
      <w:tr w:rsidR="00765BDC" w:rsidRPr="00E21D72" w14:paraId="23C7C237" w14:textId="77777777" w:rsidTr="00B359F9">
        <w:trPr>
          <w:trHeight w:val="700"/>
          <w:jc w:val="center"/>
        </w:trPr>
        <w:tc>
          <w:tcPr>
            <w:tcW w:w="1618" w:type="pct"/>
            <w:vMerge/>
            <w:tcBorders>
              <w:top w:val="single" w:sz="4" w:space="0" w:color="366092"/>
              <w:left w:val="nil"/>
              <w:bottom w:val="single" w:sz="4" w:space="0" w:color="366092"/>
            </w:tcBorders>
            <w:vAlign w:val="center"/>
            <w:hideMark/>
          </w:tcPr>
          <w:p w14:paraId="52DC4CEE" w14:textId="77777777" w:rsidR="00765BDC" w:rsidRPr="00E21D72" w:rsidRDefault="00765BDC" w:rsidP="00765BDC">
            <w:pPr>
              <w:rPr>
                <w:rFonts w:ascii="Verdana" w:eastAsia="Times New Roman" w:hAnsi="Verdana" w:cs="Arial"/>
                <w:b/>
                <w:bCs/>
                <w:color w:val="366092"/>
                <w:sz w:val="18"/>
                <w:szCs w:val="18"/>
              </w:rPr>
            </w:pPr>
          </w:p>
        </w:tc>
        <w:tc>
          <w:tcPr>
            <w:tcW w:w="1006" w:type="pct"/>
            <w:vMerge/>
            <w:tcBorders>
              <w:top w:val="single" w:sz="4" w:space="0" w:color="366092"/>
              <w:bottom w:val="single" w:sz="4" w:space="0" w:color="366092"/>
            </w:tcBorders>
            <w:vAlign w:val="center"/>
            <w:hideMark/>
          </w:tcPr>
          <w:p w14:paraId="68802791" w14:textId="77777777" w:rsidR="00765BDC" w:rsidRPr="00E21D72" w:rsidRDefault="00765BDC" w:rsidP="00765BDC">
            <w:pPr>
              <w:jc w:val="center"/>
              <w:rPr>
                <w:rFonts w:ascii="Verdana" w:eastAsia="Times New Roman" w:hAnsi="Verdana" w:cs="Arial"/>
                <w:b/>
                <w:bCs/>
                <w:color w:val="366092"/>
                <w:sz w:val="18"/>
                <w:szCs w:val="18"/>
              </w:rPr>
            </w:pPr>
          </w:p>
        </w:tc>
        <w:tc>
          <w:tcPr>
            <w:tcW w:w="1221" w:type="pct"/>
            <w:tcBorders>
              <w:top w:val="single" w:sz="4" w:space="0" w:color="366092"/>
              <w:bottom w:val="single" w:sz="4" w:space="0" w:color="366092"/>
            </w:tcBorders>
            <w:shd w:val="clear" w:color="FFFFFF" w:fill="FFFFFF"/>
            <w:vAlign w:val="center"/>
            <w:hideMark/>
          </w:tcPr>
          <w:p w14:paraId="5D67E1B9" w14:textId="08F877CD" w:rsidR="00765BDC" w:rsidRPr="00E21D72" w:rsidRDefault="00765BDC" w:rsidP="00765BDC">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24</w:t>
            </w:r>
          </w:p>
        </w:tc>
        <w:tc>
          <w:tcPr>
            <w:tcW w:w="1155" w:type="pct"/>
            <w:tcBorders>
              <w:top w:val="single" w:sz="4" w:space="0" w:color="366092"/>
              <w:bottom w:val="single" w:sz="4" w:space="0" w:color="366092"/>
              <w:right w:val="nil"/>
            </w:tcBorders>
            <w:shd w:val="clear" w:color="FFFFFF" w:fill="FFFFFF"/>
            <w:vAlign w:val="center"/>
            <w:hideMark/>
          </w:tcPr>
          <w:p w14:paraId="68FF435A" w14:textId="314AB89F" w:rsidR="00765BDC" w:rsidRPr="00E21D72" w:rsidRDefault="00765BDC" w:rsidP="00765BDC">
            <w:pPr>
              <w:jc w:val="center"/>
              <w:rPr>
                <w:rFonts w:ascii="Verdana" w:eastAsia="Times New Roman" w:hAnsi="Verdana" w:cs="Arial"/>
                <w:b/>
                <w:bCs/>
                <w:color w:val="366092"/>
                <w:sz w:val="18"/>
                <w:szCs w:val="18"/>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w:t>
            </w:r>
            <w:r w:rsidRPr="00C80D18">
              <w:rPr>
                <w:rFonts w:ascii="Verdana" w:eastAsia="Times New Roman" w:hAnsi="Verdana" w:cs="Arial"/>
                <w:b/>
                <w:bCs/>
                <w:color w:val="365F91"/>
                <w:sz w:val="18"/>
                <w:szCs w:val="18"/>
              </w:rPr>
              <w:t>5</w:t>
            </w:r>
          </w:p>
        </w:tc>
      </w:tr>
      <w:tr w:rsidR="00F47CFD" w:rsidRPr="00E21D72" w14:paraId="6B065B03" w14:textId="77777777" w:rsidTr="00F47CFD">
        <w:trPr>
          <w:trHeight w:val="375"/>
          <w:jc w:val="center"/>
        </w:trPr>
        <w:tc>
          <w:tcPr>
            <w:tcW w:w="1618" w:type="pct"/>
            <w:tcBorders>
              <w:top w:val="nil"/>
              <w:left w:val="nil"/>
              <w:bottom w:val="nil"/>
            </w:tcBorders>
            <w:shd w:val="clear" w:color="FFFFFF" w:fill="FFFFFF"/>
            <w:noWrap/>
            <w:vAlign w:val="center"/>
            <w:hideMark/>
          </w:tcPr>
          <w:p w14:paraId="41728EBF" w14:textId="77777777" w:rsidR="00F47CFD" w:rsidRPr="00E21D72" w:rsidRDefault="00F47CFD" w:rsidP="00F47CFD">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Γεωργικά</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Προϊόντ</w:t>
            </w:r>
            <w:proofErr w:type="spellEnd"/>
            <w:r w:rsidRPr="00E21D72">
              <w:rPr>
                <w:rFonts w:ascii="Verdana" w:eastAsia="Times New Roman" w:hAnsi="Verdana" w:cs="Arial"/>
                <w:color w:val="365F91"/>
                <w:sz w:val="18"/>
                <w:szCs w:val="18"/>
              </w:rPr>
              <w:t>α</w:t>
            </w:r>
          </w:p>
        </w:tc>
        <w:tc>
          <w:tcPr>
            <w:tcW w:w="1006" w:type="pct"/>
            <w:tcBorders>
              <w:top w:val="nil"/>
              <w:bottom w:val="nil"/>
            </w:tcBorders>
            <w:shd w:val="clear" w:color="FFFFFF" w:fill="FFFFFF"/>
            <w:noWrap/>
            <w:vAlign w:val="center"/>
            <w:hideMark/>
          </w:tcPr>
          <w:p w14:paraId="62DB1C43"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749</w:t>
            </w:r>
          </w:p>
        </w:tc>
        <w:tc>
          <w:tcPr>
            <w:tcW w:w="1221" w:type="pct"/>
            <w:tcBorders>
              <w:top w:val="nil"/>
              <w:bottom w:val="nil"/>
            </w:tcBorders>
            <w:shd w:val="clear" w:color="auto" w:fill="auto"/>
            <w:noWrap/>
            <w:vAlign w:val="center"/>
          </w:tcPr>
          <w:p w14:paraId="0AD81F3E" w14:textId="0C5E5D57"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9</w:t>
            </w:r>
            <w:r>
              <w:rPr>
                <w:rFonts w:ascii="Verdana" w:hAnsi="Verdana"/>
                <w:color w:val="365F91"/>
                <w:sz w:val="18"/>
                <w:szCs w:val="18"/>
              </w:rPr>
              <w:t>,</w:t>
            </w:r>
            <w:r w:rsidRPr="00F47CFD">
              <w:rPr>
                <w:rFonts w:ascii="Verdana" w:hAnsi="Verdana"/>
                <w:color w:val="365F91"/>
                <w:sz w:val="18"/>
                <w:szCs w:val="18"/>
              </w:rPr>
              <w:t>33</w:t>
            </w:r>
          </w:p>
        </w:tc>
        <w:tc>
          <w:tcPr>
            <w:tcW w:w="1155" w:type="pct"/>
            <w:tcBorders>
              <w:top w:val="nil"/>
              <w:bottom w:val="nil"/>
              <w:right w:val="nil"/>
            </w:tcBorders>
            <w:shd w:val="clear" w:color="FFFFFF" w:fill="FFFFFF"/>
            <w:noWrap/>
            <w:vAlign w:val="center"/>
          </w:tcPr>
          <w:p w14:paraId="20334C64" w14:textId="09D5BE31"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1</w:t>
            </w:r>
            <w:r>
              <w:rPr>
                <w:rFonts w:ascii="Verdana" w:hAnsi="Verdana"/>
                <w:color w:val="365F91"/>
                <w:sz w:val="18"/>
                <w:szCs w:val="18"/>
              </w:rPr>
              <w:t>,</w:t>
            </w:r>
            <w:r w:rsidRPr="00F47CFD">
              <w:rPr>
                <w:rFonts w:ascii="Verdana" w:hAnsi="Verdana"/>
                <w:color w:val="365F91"/>
                <w:sz w:val="18"/>
                <w:szCs w:val="18"/>
              </w:rPr>
              <w:t>55</w:t>
            </w:r>
          </w:p>
        </w:tc>
      </w:tr>
      <w:tr w:rsidR="00F47CFD" w:rsidRPr="00E21D72" w14:paraId="6A6F5649" w14:textId="77777777" w:rsidTr="00F47CFD">
        <w:trPr>
          <w:trHeight w:val="567"/>
          <w:jc w:val="center"/>
        </w:trPr>
        <w:tc>
          <w:tcPr>
            <w:tcW w:w="1618" w:type="pct"/>
            <w:tcBorders>
              <w:top w:val="nil"/>
              <w:left w:val="nil"/>
              <w:bottom w:val="nil"/>
            </w:tcBorders>
            <w:shd w:val="clear" w:color="FFFFFF" w:fill="FFFFFF"/>
            <w:noWrap/>
            <w:vAlign w:val="center"/>
            <w:hideMark/>
          </w:tcPr>
          <w:p w14:paraId="6DDE7541" w14:textId="54891598" w:rsidR="00F47CFD" w:rsidRPr="00BD0B8A" w:rsidRDefault="00F47CFD" w:rsidP="00F47CFD">
            <w:pPr>
              <w:ind w:left="2"/>
              <w:rPr>
                <w:rFonts w:ascii="Verdana" w:eastAsia="Times New Roman" w:hAnsi="Verdana" w:cs="Arial"/>
                <w:color w:val="365F91"/>
                <w:sz w:val="18"/>
                <w:szCs w:val="18"/>
                <w:lang w:val="el-GR"/>
              </w:rPr>
            </w:pPr>
            <w:proofErr w:type="spellStart"/>
            <w:r w:rsidRPr="00E21D72">
              <w:rPr>
                <w:rFonts w:ascii="Verdana" w:eastAsia="Times New Roman" w:hAnsi="Verdana" w:cs="Arial"/>
                <w:color w:val="365F91"/>
                <w:sz w:val="18"/>
                <w:szCs w:val="18"/>
              </w:rPr>
              <w:t>Βιομηχ</w:t>
            </w:r>
            <w:proofErr w:type="spellEnd"/>
            <w:r w:rsidRPr="00E21D72">
              <w:rPr>
                <w:rFonts w:ascii="Verdana" w:eastAsia="Times New Roman" w:hAnsi="Verdana" w:cs="Arial"/>
                <w:color w:val="365F91"/>
                <w:sz w:val="18"/>
                <w:szCs w:val="18"/>
              </w:rPr>
              <w:t xml:space="preserve">ανικά </w:t>
            </w:r>
            <w:r>
              <w:rPr>
                <w:rFonts w:ascii="Verdana" w:eastAsia="Times New Roman" w:hAnsi="Verdana" w:cs="Arial"/>
                <w:color w:val="365F91"/>
                <w:sz w:val="18"/>
                <w:szCs w:val="18"/>
                <w:lang w:val="el-GR"/>
              </w:rPr>
              <w:t>Προϊόντα</w:t>
            </w:r>
          </w:p>
          <w:p w14:paraId="0A451F80" w14:textId="77777777" w:rsidR="00F47CFD" w:rsidRPr="00E21D72" w:rsidRDefault="00F47CFD" w:rsidP="00F47CF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w:t>
            </w:r>
            <w:proofErr w:type="spellStart"/>
            <w:r w:rsidRPr="00E21D72">
              <w:rPr>
                <w:rFonts w:ascii="Verdana" w:eastAsia="Times New Roman" w:hAnsi="Verdana" w:cs="Arial"/>
                <w:color w:val="365F91"/>
                <w:sz w:val="18"/>
                <w:szCs w:val="18"/>
              </w:rPr>
              <w:t>εκτός</w:t>
            </w:r>
            <w:proofErr w:type="spellEnd"/>
            <w:r w:rsidRPr="00E21D72">
              <w:rPr>
                <w:rFonts w:ascii="Verdana" w:eastAsia="Times New Roman" w:hAnsi="Verdana" w:cs="Arial"/>
                <w:color w:val="365F91"/>
                <w:sz w:val="18"/>
                <w:szCs w:val="18"/>
              </w:rPr>
              <w:t xml:space="preserve"> </w:t>
            </w: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αιοειδών)</w:t>
            </w:r>
          </w:p>
        </w:tc>
        <w:tc>
          <w:tcPr>
            <w:tcW w:w="1006" w:type="pct"/>
            <w:tcBorders>
              <w:top w:val="nil"/>
              <w:bottom w:val="nil"/>
            </w:tcBorders>
            <w:shd w:val="clear" w:color="FFFFFF" w:fill="FFFFFF"/>
            <w:noWrap/>
            <w:vAlign w:val="center"/>
            <w:hideMark/>
          </w:tcPr>
          <w:p w14:paraId="18D61FBC"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4021</w:t>
            </w:r>
          </w:p>
        </w:tc>
        <w:tc>
          <w:tcPr>
            <w:tcW w:w="1221" w:type="pct"/>
            <w:tcBorders>
              <w:top w:val="nil"/>
              <w:bottom w:val="nil"/>
            </w:tcBorders>
            <w:shd w:val="clear" w:color="auto" w:fill="auto"/>
            <w:noWrap/>
            <w:vAlign w:val="center"/>
          </w:tcPr>
          <w:p w14:paraId="698C258B" w14:textId="338F7D2A"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-1</w:t>
            </w:r>
            <w:r>
              <w:rPr>
                <w:rFonts w:ascii="Verdana" w:hAnsi="Verdana"/>
                <w:color w:val="365F91"/>
                <w:sz w:val="18"/>
                <w:szCs w:val="18"/>
              </w:rPr>
              <w:t>,</w:t>
            </w:r>
            <w:r w:rsidRPr="00F47CFD">
              <w:rPr>
                <w:rFonts w:ascii="Verdana" w:hAnsi="Verdana"/>
                <w:color w:val="365F91"/>
                <w:sz w:val="18"/>
                <w:szCs w:val="18"/>
              </w:rPr>
              <w:t>72</w:t>
            </w:r>
          </w:p>
        </w:tc>
        <w:tc>
          <w:tcPr>
            <w:tcW w:w="1155" w:type="pct"/>
            <w:tcBorders>
              <w:top w:val="nil"/>
              <w:bottom w:val="nil"/>
              <w:right w:val="nil"/>
            </w:tcBorders>
            <w:shd w:val="clear" w:color="FFFFFF" w:fill="FFFFFF"/>
            <w:noWrap/>
            <w:vAlign w:val="center"/>
          </w:tcPr>
          <w:p w14:paraId="408932D1" w14:textId="7410E24C"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0</w:t>
            </w:r>
            <w:r>
              <w:rPr>
                <w:rFonts w:ascii="Verdana" w:hAnsi="Verdana"/>
                <w:color w:val="365F91"/>
                <w:sz w:val="18"/>
                <w:szCs w:val="18"/>
              </w:rPr>
              <w:t>,</w:t>
            </w:r>
            <w:r w:rsidRPr="00F47CFD">
              <w:rPr>
                <w:rFonts w:ascii="Verdana" w:hAnsi="Verdana"/>
                <w:color w:val="365F91"/>
                <w:sz w:val="18"/>
                <w:szCs w:val="18"/>
              </w:rPr>
              <w:t>91</w:t>
            </w:r>
          </w:p>
        </w:tc>
      </w:tr>
      <w:tr w:rsidR="00F47CFD" w:rsidRPr="00E21D72" w14:paraId="3370FFAD" w14:textId="77777777" w:rsidTr="00F47CFD">
        <w:trPr>
          <w:trHeight w:val="375"/>
          <w:jc w:val="center"/>
        </w:trPr>
        <w:tc>
          <w:tcPr>
            <w:tcW w:w="1618" w:type="pct"/>
            <w:tcBorders>
              <w:top w:val="nil"/>
              <w:left w:val="nil"/>
              <w:bottom w:val="nil"/>
            </w:tcBorders>
            <w:shd w:val="clear" w:color="FFFFFF" w:fill="FFFFFF"/>
            <w:noWrap/>
            <w:vAlign w:val="center"/>
            <w:hideMark/>
          </w:tcPr>
          <w:p w14:paraId="4C4E30F8" w14:textId="77777777" w:rsidR="00F47CFD" w:rsidRPr="00E21D72" w:rsidRDefault="00F47CFD" w:rsidP="00F47CFD">
            <w:pPr>
              <w:ind w:left="2"/>
              <w:rPr>
                <w:rFonts w:ascii="Verdana" w:eastAsia="Times New Roman" w:hAnsi="Verdana" w:cs="Arial"/>
                <w:color w:val="365F91"/>
                <w:sz w:val="18"/>
                <w:szCs w:val="18"/>
              </w:rPr>
            </w:pPr>
            <w:bookmarkStart w:id="1" w:name="_Hlk149742109"/>
            <w:proofErr w:type="spellStart"/>
            <w:r w:rsidRPr="00E21D72">
              <w:rPr>
                <w:rFonts w:ascii="Verdana" w:eastAsia="Times New Roman" w:hAnsi="Verdana" w:cs="Arial"/>
                <w:color w:val="365F91"/>
                <w:sz w:val="18"/>
                <w:szCs w:val="18"/>
              </w:rPr>
              <w:t>Ηλεκτρισμ</w:t>
            </w:r>
            <w:proofErr w:type="spellEnd"/>
            <w:r w:rsidRPr="00E21D72">
              <w:rPr>
                <w:rFonts w:ascii="Verdana" w:eastAsia="Times New Roman" w:hAnsi="Verdana" w:cs="Arial"/>
                <w:color w:val="365F91"/>
                <w:sz w:val="18"/>
                <w:szCs w:val="18"/>
                <w:lang w:val="el-GR"/>
              </w:rPr>
              <w:t>ό</w:t>
            </w:r>
            <w:r w:rsidRPr="00E21D72">
              <w:rPr>
                <w:rFonts w:ascii="Verdana" w:eastAsia="Times New Roman" w:hAnsi="Verdana" w:cs="Arial"/>
                <w:color w:val="365F91"/>
                <w:sz w:val="18"/>
                <w:szCs w:val="18"/>
              </w:rPr>
              <w:t>ς</w:t>
            </w:r>
            <w:bookmarkEnd w:id="1"/>
          </w:p>
        </w:tc>
        <w:tc>
          <w:tcPr>
            <w:tcW w:w="1006" w:type="pct"/>
            <w:tcBorders>
              <w:top w:val="nil"/>
              <w:bottom w:val="nil"/>
            </w:tcBorders>
            <w:shd w:val="clear" w:color="FFFFFF" w:fill="FFFFFF"/>
            <w:noWrap/>
            <w:vAlign w:val="center"/>
            <w:hideMark/>
          </w:tcPr>
          <w:p w14:paraId="6EB97CFF"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316</w:t>
            </w:r>
          </w:p>
        </w:tc>
        <w:tc>
          <w:tcPr>
            <w:tcW w:w="1221" w:type="pct"/>
            <w:tcBorders>
              <w:top w:val="nil"/>
              <w:bottom w:val="nil"/>
            </w:tcBorders>
            <w:shd w:val="clear" w:color="auto" w:fill="auto"/>
            <w:noWrap/>
            <w:vAlign w:val="center"/>
          </w:tcPr>
          <w:p w14:paraId="5CFD39D9" w14:textId="4714CEE6"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-8</w:t>
            </w:r>
            <w:r>
              <w:rPr>
                <w:rFonts w:ascii="Verdana" w:hAnsi="Verdana"/>
                <w:color w:val="365F91"/>
                <w:sz w:val="18"/>
                <w:szCs w:val="18"/>
              </w:rPr>
              <w:t>,</w:t>
            </w:r>
            <w:r w:rsidRPr="00F47CFD">
              <w:rPr>
                <w:rFonts w:ascii="Verdana" w:hAnsi="Verdana"/>
                <w:color w:val="365F91"/>
                <w:sz w:val="18"/>
                <w:szCs w:val="18"/>
              </w:rPr>
              <w:t>81</w:t>
            </w:r>
          </w:p>
        </w:tc>
        <w:tc>
          <w:tcPr>
            <w:tcW w:w="1155" w:type="pct"/>
            <w:tcBorders>
              <w:top w:val="nil"/>
              <w:bottom w:val="nil"/>
              <w:right w:val="nil"/>
            </w:tcBorders>
            <w:shd w:val="clear" w:color="FFFFFF" w:fill="FFFFFF"/>
            <w:noWrap/>
            <w:vAlign w:val="center"/>
          </w:tcPr>
          <w:p w14:paraId="79A1135E" w14:textId="5FCF3313"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-8</w:t>
            </w:r>
            <w:r>
              <w:rPr>
                <w:rFonts w:ascii="Verdana" w:hAnsi="Verdana"/>
                <w:color w:val="365F91"/>
                <w:sz w:val="18"/>
                <w:szCs w:val="18"/>
              </w:rPr>
              <w:t>,</w:t>
            </w:r>
            <w:r w:rsidRPr="00F47CFD">
              <w:rPr>
                <w:rFonts w:ascii="Verdana" w:hAnsi="Verdana"/>
                <w:color w:val="365F91"/>
                <w:sz w:val="18"/>
                <w:szCs w:val="18"/>
              </w:rPr>
              <w:t>50</w:t>
            </w:r>
          </w:p>
        </w:tc>
      </w:tr>
      <w:tr w:rsidR="00F47CFD" w:rsidRPr="00E21D72" w14:paraId="55D46229" w14:textId="77777777" w:rsidTr="00F47CFD">
        <w:trPr>
          <w:trHeight w:val="375"/>
          <w:jc w:val="center"/>
        </w:trPr>
        <w:tc>
          <w:tcPr>
            <w:tcW w:w="1618" w:type="pct"/>
            <w:tcBorders>
              <w:top w:val="nil"/>
              <w:left w:val="nil"/>
              <w:bottom w:val="nil"/>
            </w:tcBorders>
            <w:shd w:val="clear" w:color="FFFFFF" w:fill="FFFFFF"/>
            <w:noWrap/>
            <w:vAlign w:val="center"/>
            <w:hideMark/>
          </w:tcPr>
          <w:p w14:paraId="110D5383" w14:textId="77777777" w:rsidR="00F47CFD" w:rsidRPr="00E21D72" w:rsidRDefault="00F47CFD" w:rsidP="00F47CFD">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Πετρελ</w:t>
            </w:r>
            <w:proofErr w:type="spellEnd"/>
            <w:r w:rsidRPr="00E21D72">
              <w:rPr>
                <w:rFonts w:ascii="Verdana" w:eastAsia="Times New Roman" w:hAnsi="Verdana" w:cs="Arial"/>
                <w:color w:val="365F91"/>
                <w:sz w:val="18"/>
                <w:szCs w:val="18"/>
              </w:rPr>
              <w:t>αιοειδή</w:t>
            </w:r>
          </w:p>
        </w:tc>
        <w:tc>
          <w:tcPr>
            <w:tcW w:w="1006" w:type="pct"/>
            <w:tcBorders>
              <w:top w:val="nil"/>
              <w:bottom w:val="nil"/>
            </w:tcBorders>
            <w:shd w:val="clear" w:color="FFFFFF" w:fill="FFFFFF"/>
            <w:noWrap/>
            <w:vAlign w:val="center"/>
            <w:hideMark/>
          </w:tcPr>
          <w:p w14:paraId="47497CE4"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871</w:t>
            </w:r>
          </w:p>
        </w:tc>
        <w:tc>
          <w:tcPr>
            <w:tcW w:w="1221" w:type="pct"/>
            <w:tcBorders>
              <w:top w:val="nil"/>
              <w:bottom w:val="nil"/>
            </w:tcBorders>
            <w:shd w:val="clear" w:color="auto" w:fill="auto"/>
            <w:noWrap/>
            <w:vAlign w:val="center"/>
          </w:tcPr>
          <w:p w14:paraId="6949086C" w14:textId="081FABD7"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-9</w:t>
            </w:r>
            <w:r>
              <w:rPr>
                <w:rFonts w:ascii="Verdana" w:hAnsi="Verdana"/>
                <w:color w:val="365F91"/>
                <w:sz w:val="18"/>
                <w:szCs w:val="18"/>
              </w:rPr>
              <w:t>,</w:t>
            </w:r>
            <w:r w:rsidRPr="00F47CFD">
              <w:rPr>
                <w:rFonts w:ascii="Verdana" w:hAnsi="Verdana"/>
                <w:color w:val="365F91"/>
                <w:sz w:val="18"/>
                <w:szCs w:val="18"/>
              </w:rPr>
              <w:t>41</w:t>
            </w:r>
          </w:p>
        </w:tc>
        <w:tc>
          <w:tcPr>
            <w:tcW w:w="1155" w:type="pct"/>
            <w:tcBorders>
              <w:top w:val="nil"/>
              <w:bottom w:val="nil"/>
              <w:right w:val="nil"/>
            </w:tcBorders>
            <w:shd w:val="clear" w:color="FFFFFF" w:fill="FFFFFF"/>
            <w:noWrap/>
            <w:vAlign w:val="center"/>
          </w:tcPr>
          <w:p w14:paraId="31D51005" w14:textId="7BF16D9E"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-2</w:t>
            </w:r>
            <w:r>
              <w:rPr>
                <w:rFonts w:ascii="Verdana" w:hAnsi="Verdana"/>
                <w:color w:val="365F91"/>
                <w:sz w:val="18"/>
                <w:szCs w:val="18"/>
              </w:rPr>
              <w:t>,</w:t>
            </w:r>
            <w:r w:rsidRPr="00F47CFD">
              <w:rPr>
                <w:rFonts w:ascii="Verdana" w:hAnsi="Verdana"/>
                <w:color w:val="365F91"/>
                <w:sz w:val="18"/>
                <w:szCs w:val="18"/>
              </w:rPr>
              <w:t>65</w:t>
            </w:r>
          </w:p>
        </w:tc>
      </w:tr>
      <w:tr w:rsidR="00F47CFD" w:rsidRPr="00E21D72" w14:paraId="00D702E5" w14:textId="77777777" w:rsidTr="00F47CFD">
        <w:trPr>
          <w:trHeight w:val="375"/>
          <w:jc w:val="center"/>
        </w:trPr>
        <w:tc>
          <w:tcPr>
            <w:tcW w:w="1618" w:type="pct"/>
            <w:tcBorders>
              <w:top w:val="nil"/>
              <w:left w:val="nil"/>
            </w:tcBorders>
            <w:shd w:val="clear" w:color="FFFFFF" w:fill="FFFFFF"/>
            <w:noWrap/>
            <w:vAlign w:val="center"/>
            <w:hideMark/>
          </w:tcPr>
          <w:p w14:paraId="4FC6B0A3" w14:textId="77777777" w:rsidR="00F47CFD" w:rsidRPr="00E21D72" w:rsidRDefault="00F47CFD" w:rsidP="00F47CFD">
            <w:pPr>
              <w:ind w:left="2"/>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Νερό</w:t>
            </w:r>
            <w:proofErr w:type="spellEnd"/>
          </w:p>
        </w:tc>
        <w:tc>
          <w:tcPr>
            <w:tcW w:w="1006" w:type="pct"/>
            <w:tcBorders>
              <w:top w:val="nil"/>
            </w:tcBorders>
            <w:shd w:val="clear" w:color="FFFFFF" w:fill="FFFFFF"/>
            <w:noWrap/>
            <w:vAlign w:val="center"/>
            <w:hideMark/>
          </w:tcPr>
          <w:p w14:paraId="14732CB7"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72</w:t>
            </w:r>
          </w:p>
        </w:tc>
        <w:tc>
          <w:tcPr>
            <w:tcW w:w="1221" w:type="pct"/>
            <w:tcBorders>
              <w:top w:val="nil"/>
              <w:bottom w:val="nil"/>
            </w:tcBorders>
            <w:shd w:val="clear" w:color="auto" w:fill="auto"/>
            <w:noWrap/>
            <w:vAlign w:val="center"/>
          </w:tcPr>
          <w:p w14:paraId="2187379B" w14:textId="4926BF63"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0</w:t>
            </w:r>
            <w:r>
              <w:rPr>
                <w:rFonts w:ascii="Verdana" w:hAnsi="Verdana"/>
                <w:color w:val="365F91"/>
                <w:sz w:val="18"/>
                <w:szCs w:val="18"/>
              </w:rPr>
              <w:t>,</w:t>
            </w:r>
            <w:r w:rsidRPr="00F47CFD">
              <w:rPr>
                <w:rFonts w:ascii="Verdana" w:hAnsi="Verdana"/>
                <w:color w:val="365F91"/>
                <w:sz w:val="18"/>
                <w:szCs w:val="18"/>
              </w:rPr>
              <w:t>00</w:t>
            </w:r>
          </w:p>
        </w:tc>
        <w:tc>
          <w:tcPr>
            <w:tcW w:w="1155" w:type="pct"/>
            <w:tcBorders>
              <w:top w:val="nil"/>
              <w:bottom w:val="nil"/>
              <w:right w:val="nil"/>
            </w:tcBorders>
            <w:shd w:val="clear" w:color="FFFFFF" w:fill="FFFFFF"/>
            <w:noWrap/>
            <w:vAlign w:val="center"/>
          </w:tcPr>
          <w:p w14:paraId="5B6D07F4" w14:textId="1A4A4A08"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0</w:t>
            </w:r>
            <w:r>
              <w:rPr>
                <w:rFonts w:ascii="Verdana" w:hAnsi="Verdana"/>
                <w:color w:val="365F91"/>
                <w:sz w:val="18"/>
                <w:szCs w:val="18"/>
              </w:rPr>
              <w:t>,</w:t>
            </w:r>
            <w:r w:rsidRPr="00F47CFD">
              <w:rPr>
                <w:rFonts w:ascii="Verdana" w:hAnsi="Verdana"/>
                <w:color w:val="365F91"/>
                <w:sz w:val="18"/>
                <w:szCs w:val="18"/>
              </w:rPr>
              <w:t>00</w:t>
            </w:r>
          </w:p>
        </w:tc>
      </w:tr>
      <w:tr w:rsidR="00F47CFD" w:rsidRPr="00E21D72" w14:paraId="1CD39D67" w14:textId="77777777" w:rsidTr="00F47CFD">
        <w:trPr>
          <w:trHeight w:val="375"/>
          <w:jc w:val="center"/>
        </w:trPr>
        <w:tc>
          <w:tcPr>
            <w:tcW w:w="1618" w:type="pct"/>
            <w:tcBorders>
              <w:top w:val="nil"/>
              <w:left w:val="nil"/>
              <w:bottom w:val="single" w:sz="4" w:space="0" w:color="366092"/>
            </w:tcBorders>
            <w:shd w:val="clear" w:color="FFFFFF" w:fill="FFFFFF"/>
            <w:noWrap/>
            <w:vAlign w:val="center"/>
            <w:hideMark/>
          </w:tcPr>
          <w:p w14:paraId="5396CA35" w14:textId="77777777" w:rsidR="00F47CFD" w:rsidRPr="00E21D72" w:rsidRDefault="00F47CFD" w:rsidP="00F47CFD">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Υπ</w:t>
            </w:r>
            <w:proofErr w:type="spellStart"/>
            <w:r w:rsidRPr="00E21D72">
              <w:rPr>
                <w:rFonts w:ascii="Verdana" w:eastAsia="Times New Roman" w:hAnsi="Verdana" w:cs="Arial"/>
                <w:color w:val="365F91"/>
                <w:sz w:val="18"/>
                <w:szCs w:val="18"/>
              </w:rPr>
              <w:t>ηρεσίες</w:t>
            </w:r>
            <w:proofErr w:type="spellEnd"/>
          </w:p>
        </w:tc>
        <w:tc>
          <w:tcPr>
            <w:tcW w:w="1006" w:type="pct"/>
            <w:tcBorders>
              <w:top w:val="nil"/>
              <w:bottom w:val="single" w:sz="4" w:space="0" w:color="366092"/>
            </w:tcBorders>
            <w:shd w:val="clear" w:color="FFFFFF" w:fill="FFFFFF"/>
            <w:noWrap/>
            <w:vAlign w:val="center"/>
            <w:hideMark/>
          </w:tcPr>
          <w:p w14:paraId="5AD823E0" w14:textId="77777777" w:rsidR="00F47CFD" w:rsidRPr="00E21D72" w:rsidRDefault="00F47CFD" w:rsidP="00F47CFD">
            <w:pPr>
              <w:ind w:right="113"/>
              <w:jc w:val="center"/>
              <w:rPr>
                <w:rFonts w:ascii="Verdana" w:hAnsi="Verdana"/>
                <w:color w:val="365F91"/>
                <w:sz w:val="18"/>
                <w:szCs w:val="18"/>
              </w:rPr>
            </w:pPr>
            <w:r w:rsidRPr="00E21D72">
              <w:rPr>
                <w:rFonts w:ascii="Verdana" w:hAnsi="Verdana"/>
                <w:color w:val="365F91"/>
                <w:sz w:val="18"/>
                <w:szCs w:val="18"/>
              </w:rPr>
              <w:t>3971</w:t>
            </w:r>
          </w:p>
        </w:tc>
        <w:tc>
          <w:tcPr>
            <w:tcW w:w="1221" w:type="pct"/>
            <w:tcBorders>
              <w:top w:val="nil"/>
              <w:bottom w:val="single" w:sz="4" w:space="0" w:color="366092"/>
            </w:tcBorders>
            <w:shd w:val="clear" w:color="auto" w:fill="auto"/>
            <w:noWrap/>
            <w:vAlign w:val="center"/>
          </w:tcPr>
          <w:p w14:paraId="30E53EC3" w14:textId="3195B109"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3</w:t>
            </w:r>
            <w:r>
              <w:rPr>
                <w:rFonts w:ascii="Verdana" w:hAnsi="Verdana"/>
                <w:color w:val="365F91"/>
                <w:sz w:val="18"/>
                <w:szCs w:val="18"/>
              </w:rPr>
              <w:t>,</w:t>
            </w:r>
            <w:r w:rsidRPr="00F47CFD">
              <w:rPr>
                <w:rFonts w:ascii="Verdana" w:hAnsi="Verdana"/>
                <w:color w:val="365F91"/>
                <w:sz w:val="18"/>
                <w:szCs w:val="18"/>
              </w:rPr>
              <w:t>69</w:t>
            </w:r>
          </w:p>
        </w:tc>
        <w:tc>
          <w:tcPr>
            <w:tcW w:w="1155" w:type="pct"/>
            <w:tcBorders>
              <w:top w:val="nil"/>
              <w:bottom w:val="single" w:sz="4" w:space="0" w:color="366092"/>
              <w:right w:val="nil"/>
            </w:tcBorders>
            <w:shd w:val="clear" w:color="FFFFFF" w:fill="FFFFFF"/>
            <w:noWrap/>
            <w:vAlign w:val="center"/>
          </w:tcPr>
          <w:p w14:paraId="65A59861" w14:textId="08BEE95A" w:rsidR="00F47CFD" w:rsidRPr="0007536D" w:rsidRDefault="00F47CFD" w:rsidP="00F47CFD">
            <w:pPr>
              <w:ind w:right="821"/>
              <w:jc w:val="right"/>
              <w:rPr>
                <w:rFonts w:ascii="Verdana" w:hAnsi="Verdana"/>
                <w:color w:val="365F91"/>
                <w:sz w:val="18"/>
                <w:szCs w:val="18"/>
              </w:rPr>
            </w:pPr>
            <w:r w:rsidRPr="00F47CFD">
              <w:rPr>
                <w:rFonts w:ascii="Verdana" w:hAnsi="Verdana"/>
                <w:color w:val="365F91"/>
                <w:sz w:val="18"/>
                <w:szCs w:val="18"/>
              </w:rPr>
              <w:t>0</w:t>
            </w:r>
            <w:r>
              <w:rPr>
                <w:rFonts w:ascii="Verdana" w:hAnsi="Verdana"/>
                <w:color w:val="365F91"/>
                <w:sz w:val="18"/>
                <w:szCs w:val="18"/>
              </w:rPr>
              <w:t>,</w:t>
            </w:r>
            <w:r w:rsidRPr="00F47CFD">
              <w:rPr>
                <w:rFonts w:ascii="Verdana" w:hAnsi="Verdana"/>
                <w:color w:val="365F91"/>
                <w:sz w:val="18"/>
                <w:szCs w:val="18"/>
              </w:rPr>
              <w:t>56</w:t>
            </w:r>
          </w:p>
        </w:tc>
      </w:tr>
      <w:tr w:rsidR="00F47CFD" w:rsidRPr="00E21D72" w14:paraId="331F509F" w14:textId="77777777" w:rsidTr="00F47CFD">
        <w:trPr>
          <w:trHeight w:val="397"/>
          <w:jc w:val="center"/>
        </w:trPr>
        <w:tc>
          <w:tcPr>
            <w:tcW w:w="1618" w:type="pct"/>
            <w:tcBorders>
              <w:top w:val="single" w:sz="4" w:space="0" w:color="366092"/>
              <w:left w:val="nil"/>
              <w:bottom w:val="single" w:sz="4" w:space="0" w:color="366092"/>
            </w:tcBorders>
            <w:shd w:val="clear" w:color="FFFFFF" w:fill="FFFFFF"/>
            <w:noWrap/>
            <w:vAlign w:val="center"/>
          </w:tcPr>
          <w:p w14:paraId="7D4A3BED" w14:textId="77777777" w:rsidR="00F47CFD" w:rsidRPr="00E21D72" w:rsidRDefault="00F47CFD" w:rsidP="00F47CFD">
            <w:pPr>
              <w:rPr>
                <w:rFonts w:ascii="Verdana" w:eastAsia="Times New Roman" w:hAnsi="Verdana" w:cs="Arial"/>
                <w:b/>
                <w:bCs/>
                <w:color w:val="365F91"/>
                <w:sz w:val="18"/>
                <w:szCs w:val="18"/>
              </w:rPr>
            </w:pPr>
            <w:proofErr w:type="spellStart"/>
            <w:r w:rsidRPr="00E21D72">
              <w:rPr>
                <w:rFonts w:ascii="Verdana" w:eastAsia="Times New Roman" w:hAnsi="Verdana" w:cs="Arial"/>
                <w:b/>
                <w:bCs/>
                <w:color w:val="365F91"/>
                <w:sz w:val="18"/>
                <w:szCs w:val="18"/>
              </w:rPr>
              <w:t>Γενικός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Δείκτης</w:t>
            </w:r>
            <w:proofErr w:type="spellEnd"/>
            <w:r w:rsidRPr="00E21D72">
              <w:rPr>
                <w:rFonts w:ascii="Verdana" w:eastAsia="Times New Roman" w:hAnsi="Verdana" w:cs="Arial"/>
                <w:b/>
                <w:bCs/>
                <w:color w:val="365F91"/>
                <w:sz w:val="18"/>
                <w:szCs w:val="18"/>
              </w:rPr>
              <w:t xml:space="preserve"> </w:t>
            </w:r>
          </w:p>
        </w:tc>
        <w:tc>
          <w:tcPr>
            <w:tcW w:w="1006" w:type="pct"/>
            <w:tcBorders>
              <w:top w:val="single" w:sz="4" w:space="0" w:color="366092"/>
              <w:bottom w:val="single" w:sz="4" w:space="0" w:color="366092"/>
            </w:tcBorders>
            <w:shd w:val="clear" w:color="FFFFFF" w:fill="FFFFFF"/>
            <w:noWrap/>
            <w:vAlign w:val="center"/>
          </w:tcPr>
          <w:p w14:paraId="23E9E631" w14:textId="77777777" w:rsidR="00F47CFD" w:rsidRPr="00E21D72" w:rsidRDefault="00F47CFD" w:rsidP="00F47CFD">
            <w:pPr>
              <w:ind w:right="113"/>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10000</w:t>
            </w:r>
          </w:p>
        </w:tc>
        <w:tc>
          <w:tcPr>
            <w:tcW w:w="1221" w:type="pct"/>
            <w:tcBorders>
              <w:top w:val="single" w:sz="4" w:space="0" w:color="366092"/>
              <w:bottom w:val="single" w:sz="4" w:space="0" w:color="366092"/>
            </w:tcBorders>
            <w:shd w:val="clear" w:color="auto" w:fill="auto"/>
            <w:noWrap/>
            <w:vAlign w:val="center"/>
          </w:tcPr>
          <w:p w14:paraId="5F309946" w14:textId="7E6FC157" w:rsidR="00F47CFD" w:rsidRPr="00F47CFD" w:rsidRDefault="00F47CFD" w:rsidP="00F47CFD">
            <w:pPr>
              <w:ind w:right="821"/>
              <w:jc w:val="right"/>
              <w:rPr>
                <w:rFonts w:ascii="Verdana" w:hAnsi="Verdana"/>
                <w:b/>
                <w:bCs/>
                <w:color w:val="365F91"/>
                <w:sz w:val="18"/>
                <w:szCs w:val="18"/>
              </w:rPr>
            </w:pPr>
            <w:r w:rsidRPr="00F47CFD">
              <w:rPr>
                <w:rFonts w:ascii="Verdana" w:hAnsi="Verdana"/>
                <w:b/>
                <w:bCs/>
                <w:color w:val="365F91"/>
                <w:sz w:val="18"/>
                <w:szCs w:val="18"/>
              </w:rPr>
              <w:t>0</w:t>
            </w:r>
            <w:r>
              <w:rPr>
                <w:rFonts w:ascii="Verdana" w:hAnsi="Verdana"/>
                <w:b/>
                <w:bCs/>
                <w:color w:val="365F91"/>
                <w:sz w:val="18"/>
                <w:szCs w:val="18"/>
              </w:rPr>
              <w:t>,</w:t>
            </w:r>
            <w:r w:rsidRPr="00F47CFD">
              <w:rPr>
                <w:rFonts w:ascii="Verdana" w:hAnsi="Verdana"/>
                <w:b/>
                <w:bCs/>
                <w:color w:val="365F91"/>
                <w:sz w:val="18"/>
                <w:szCs w:val="18"/>
              </w:rPr>
              <w:t>19</w:t>
            </w:r>
          </w:p>
        </w:tc>
        <w:tc>
          <w:tcPr>
            <w:tcW w:w="1155" w:type="pct"/>
            <w:tcBorders>
              <w:top w:val="single" w:sz="4" w:space="0" w:color="366092"/>
              <w:bottom w:val="single" w:sz="4" w:space="0" w:color="366092"/>
              <w:right w:val="nil"/>
            </w:tcBorders>
            <w:shd w:val="clear" w:color="FFFFFF" w:fill="FFFFFF"/>
            <w:noWrap/>
            <w:vAlign w:val="center"/>
          </w:tcPr>
          <w:p w14:paraId="66750A76" w14:textId="18A85423" w:rsidR="00F47CFD" w:rsidRPr="00F47CFD" w:rsidRDefault="00F47CFD" w:rsidP="00F47CFD">
            <w:pPr>
              <w:ind w:right="821"/>
              <w:jc w:val="right"/>
              <w:rPr>
                <w:rFonts w:ascii="Verdana" w:hAnsi="Verdana"/>
                <w:b/>
                <w:bCs/>
                <w:color w:val="365F91"/>
                <w:sz w:val="18"/>
                <w:szCs w:val="18"/>
              </w:rPr>
            </w:pPr>
            <w:r w:rsidRPr="00F47CFD">
              <w:rPr>
                <w:rFonts w:ascii="Verdana" w:hAnsi="Verdana"/>
                <w:b/>
                <w:bCs/>
                <w:color w:val="365F91"/>
                <w:sz w:val="18"/>
                <w:szCs w:val="18"/>
              </w:rPr>
              <w:t>0</w:t>
            </w:r>
            <w:r>
              <w:rPr>
                <w:rFonts w:ascii="Verdana" w:hAnsi="Verdana"/>
                <w:b/>
                <w:bCs/>
                <w:color w:val="365F91"/>
                <w:sz w:val="18"/>
                <w:szCs w:val="18"/>
              </w:rPr>
              <w:t>,</w:t>
            </w:r>
            <w:r w:rsidRPr="00F47CFD">
              <w:rPr>
                <w:rFonts w:ascii="Verdana" w:hAnsi="Verdana"/>
                <w:b/>
                <w:bCs/>
                <w:color w:val="365F91"/>
                <w:sz w:val="18"/>
                <w:szCs w:val="18"/>
              </w:rPr>
              <w:t>05</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331"/>
        <w:gridCol w:w="1557"/>
        <w:gridCol w:w="2406"/>
        <w:gridCol w:w="2400"/>
      </w:tblGrid>
      <w:tr w:rsidR="006022B5" w:rsidRPr="00E21D72"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3</w:t>
            </w:r>
          </w:p>
        </w:tc>
        <w:tc>
          <w:tcPr>
            <w:tcW w:w="1238" w:type="pct"/>
            <w:tcBorders>
              <w:bottom w:val="single" w:sz="4" w:space="0" w:color="366092"/>
            </w:tcBorders>
            <w:shd w:val="clear" w:color="FFFFFF" w:fill="FFFFFF"/>
          </w:tcPr>
          <w:p w14:paraId="5E285458" w14:textId="77777777" w:rsidR="006022B5" w:rsidRPr="00E21D72" w:rsidRDefault="006022B5" w:rsidP="006022B5">
            <w:pPr>
              <w:rPr>
                <w:rFonts w:ascii="Verdana" w:eastAsia="Times New Roman" w:hAnsi="Verdana" w:cs="Arial"/>
                <w:b/>
                <w:bCs/>
                <w:color w:val="365F91"/>
                <w:sz w:val="18"/>
                <w:szCs w:val="18"/>
                <w:lang w:val="el-GR"/>
              </w:rPr>
            </w:pPr>
          </w:p>
        </w:tc>
      </w:tr>
      <w:tr w:rsidR="006022B5" w:rsidRPr="00E21D72"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E21D72" w:rsidRDefault="006022B5" w:rsidP="006022B5">
            <w:pPr>
              <w:jc w:val="cente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Επίπ</w:t>
            </w:r>
            <w:proofErr w:type="spellStart"/>
            <w:r w:rsidRPr="00E21D72">
              <w:rPr>
                <w:rFonts w:ascii="Verdana" w:eastAsia="Times New Roman" w:hAnsi="Verdana" w:cs="Arial"/>
                <w:b/>
                <w:bCs/>
                <w:color w:val="365F91"/>
                <w:sz w:val="18"/>
                <w:szCs w:val="18"/>
              </w:rPr>
              <w:t>τωση</w:t>
            </w:r>
            <w:proofErr w:type="spellEnd"/>
            <w:r w:rsidRPr="00E21D72">
              <w:rPr>
                <w:rFonts w:ascii="Verdana" w:eastAsia="Times New Roman" w:hAnsi="Verdana" w:cs="Arial"/>
                <w:b/>
                <w:bCs/>
                <w:color w:val="365F91"/>
                <w:sz w:val="18"/>
                <w:szCs w:val="18"/>
              </w:rPr>
              <w:t xml:space="preserve"> (</w:t>
            </w:r>
            <w:r w:rsidRPr="00E21D72">
              <w:rPr>
                <w:rFonts w:ascii="Verdana" w:eastAsia="Times New Roman" w:hAnsi="Verdana" w:cs="Arial"/>
                <w:b/>
                <w:bCs/>
                <w:color w:val="365F91"/>
                <w:sz w:val="18"/>
                <w:szCs w:val="18"/>
                <w:lang w:val="el-GR"/>
              </w:rPr>
              <w:t>μονάδες)</w:t>
            </w:r>
          </w:p>
        </w:tc>
      </w:tr>
      <w:tr w:rsidR="0001436B" w:rsidRPr="00E21D72"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01436B" w:rsidRPr="00E21D72" w:rsidRDefault="0001436B" w:rsidP="0001436B">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01436B" w:rsidRPr="00E21D72" w:rsidRDefault="0001436B" w:rsidP="0001436B">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50C6CA6F" w:rsidR="0001436B" w:rsidRPr="00E21D72" w:rsidRDefault="0001436B" w:rsidP="0001436B">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24</w:t>
            </w:r>
          </w:p>
        </w:tc>
        <w:tc>
          <w:tcPr>
            <w:tcW w:w="1238" w:type="pct"/>
            <w:tcBorders>
              <w:top w:val="nil"/>
              <w:bottom w:val="single" w:sz="4" w:space="0" w:color="366092"/>
            </w:tcBorders>
            <w:shd w:val="clear" w:color="FFFFFF" w:fill="FFFFFF"/>
            <w:vAlign w:val="center"/>
          </w:tcPr>
          <w:p w14:paraId="4C0BF3F4" w14:textId="39E0A902" w:rsidR="0001436B" w:rsidRPr="00E21D72" w:rsidRDefault="0001436B" w:rsidP="0001436B">
            <w:pPr>
              <w:jc w:val="center"/>
              <w:rPr>
                <w:rFonts w:ascii="Verdana" w:eastAsia="Times New Roman" w:hAnsi="Verdana" w:cs="Arial"/>
                <w:b/>
                <w:bCs/>
                <w:color w:val="366092"/>
                <w:sz w:val="18"/>
                <w:szCs w:val="18"/>
                <w:lang w:val="el-GR"/>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w:t>
            </w:r>
            <w:r w:rsidRPr="00C80D18">
              <w:rPr>
                <w:rFonts w:ascii="Verdana" w:eastAsia="Times New Roman" w:hAnsi="Verdana" w:cs="Arial"/>
                <w:b/>
                <w:bCs/>
                <w:color w:val="365F91"/>
                <w:sz w:val="18"/>
                <w:szCs w:val="18"/>
              </w:rPr>
              <w:t>5</w:t>
            </w:r>
          </w:p>
        </w:tc>
      </w:tr>
      <w:tr w:rsidR="0001436B" w:rsidRPr="00E21D72" w14:paraId="5947B44C" w14:textId="77777777" w:rsidTr="0001436B">
        <w:trPr>
          <w:trHeight w:val="375"/>
          <w:jc w:val="center"/>
        </w:trPr>
        <w:tc>
          <w:tcPr>
            <w:tcW w:w="1718" w:type="pct"/>
            <w:tcBorders>
              <w:top w:val="nil"/>
              <w:bottom w:val="nil"/>
            </w:tcBorders>
            <w:shd w:val="clear" w:color="FFFFFF" w:fill="FFFFFF"/>
            <w:vAlign w:val="center"/>
            <w:hideMark/>
          </w:tcPr>
          <w:p w14:paraId="27C27FE8" w14:textId="77777777" w:rsidR="0001436B" w:rsidRPr="00E21D72" w:rsidRDefault="0001436B" w:rsidP="0001436B">
            <w:pPr>
              <w:rPr>
                <w:rFonts w:ascii="Verdana" w:eastAsia="Times New Roman" w:hAnsi="Verdana" w:cs="Arial"/>
                <w:color w:val="365F91"/>
                <w:sz w:val="18"/>
                <w:szCs w:val="18"/>
                <w:lang w:val="el-GR"/>
              </w:rPr>
            </w:pPr>
            <w:bookmarkStart w:id="2" w:name="_Hlk168556548"/>
            <w:r w:rsidRPr="00E21D72">
              <w:rPr>
                <w:rFonts w:ascii="Verdana" w:eastAsia="Times New Roman" w:hAnsi="Verdana" w:cs="Arial"/>
                <w:color w:val="365F91"/>
                <w:sz w:val="18"/>
                <w:szCs w:val="18"/>
                <w:lang w:val="el-GR"/>
              </w:rPr>
              <w:t>Τρόφιμα και μη Αλκοολούχα Ποτά</w:t>
            </w:r>
            <w:bookmarkEnd w:id="2"/>
          </w:p>
        </w:tc>
        <w:tc>
          <w:tcPr>
            <w:tcW w:w="803" w:type="pct"/>
            <w:tcBorders>
              <w:top w:val="nil"/>
              <w:bottom w:val="nil"/>
            </w:tcBorders>
            <w:shd w:val="clear" w:color="FFFFFF" w:fill="FFFFFF"/>
            <w:vAlign w:val="center"/>
            <w:hideMark/>
          </w:tcPr>
          <w:p w14:paraId="6BB1BA13"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0CD5C6A3"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59</w:t>
            </w:r>
          </w:p>
        </w:tc>
        <w:tc>
          <w:tcPr>
            <w:tcW w:w="1238" w:type="pct"/>
            <w:tcBorders>
              <w:top w:val="nil"/>
              <w:bottom w:val="nil"/>
            </w:tcBorders>
            <w:shd w:val="clear" w:color="FFFFFF" w:fill="FFFFFF"/>
            <w:vAlign w:val="center"/>
          </w:tcPr>
          <w:p w14:paraId="54F86BAD" w14:textId="193FA6EF"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17</w:t>
            </w:r>
          </w:p>
        </w:tc>
      </w:tr>
      <w:tr w:rsidR="0001436B" w:rsidRPr="00E21D72" w14:paraId="15E28FB3" w14:textId="77777777" w:rsidTr="0001436B">
        <w:trPr>
          <w:trHeight w:val="375"/>
          <w:jc w:val="center"/>
        </w:trPr>
        <w:tc>
          <w:tcPr>
            <w:tcW w:w="1718" w:type="pct"/>
            <w:tcBorders>
              <w:top w:val="nil"/>
              <w:bottom w:val="nil"/>
            </w:tcBorders>
            <w:shd w:val="clear" w:color="FFFFFF" w:fill="FFFFFF"/>
            <w:vAlign w:val="center"/>
            <w:hideMark/>
          </w:tcPr>
          <w:p w14:paraId="2EDCA964" w14:textId="77777777" w:rsidR="0001436B" w:rsidRPr="00E21D72" w:rsidRDefault="0001436B" w:rsidP="0001436B">
            <w:pPr>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Αλκοολούχα Π</w:t>
            </w:r>
            <w:proofErr w:type="spellStart"/>
            <w:r w:rsidRPr="00E21D72">
              <w:rPr>
                <w:rFonts w:ascii="Verdana" w:eastAsia="Times New Roman" w:hAnsi="Verdana" w:cs="Arial"/>
                <w:color w:val="365F91"/>
                <w:sz w:val="18"/>
                <w:szCs w:val="18"/>
              </w:rPr>
              <w:t>οτά</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Κ</w:t>
            </w:r>
            <w:r w:rsidRPr="00E21D72">
              <w:rPr>
                <w:rFonts w:ascii="Verdana" w:eastAsia="Times New Roman" w:hAnsi="Verdana" w:cs="Arial"/>
                <w:color w:val="365F91"/>
                <w:sz w:val="18"/>
                <w:szCs w:val="18"/>
              </w:rPr>
              <w:t>απ</w:t>
            </w:r>
            <w:proofErr w:type="spellStart"/>
            <w:r w:rsidRPr="00E21D72">
              <w:rPr>
                <w:rFonts w:ascii="Verdana" w:eastAsia="Times New Roman" w:hAnsi="Verdana" w:cs="Arial"/>
                <w:color w:val="365F91"/>
                <w:sz w:val="18"/>
                <w:szCs w:val="18"/>
              </w:rPr>
              <w:t>νός</w:t>
            </w:r>
            <w:proofErr w:type="spellEnd"/>
          </w:p>
        </w:tc>
        <w:tc>
          <w:tcPr>
            <w:tcW w:w="803" w:type="pct"/>
            <w:tcBorders>
              <w:top w:val="nil"/>
              <w:bottom w:val="nil"/>
            </w:tcBorders>
            <w:shd w:val="clear" w:color="FFFFFF" w:fill="FFFFFF"/>
            <w:vAlign w:val="center"/>
            <w:hideMark/>
          </w:tcPr>
          <w:p w14:paraId="625B3CBD"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5DFC644A"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03</w:t>
            </w:r>
          </w:p>
        </w:tc>
        <w:tc>
          <w:tcPr>
            <w:tcW w:w="1238" w:type="pct"/>
            <w:tcBorders>
              <w:top w:val="nil"/>
              <w:bottom w:val="nil"/>
            </w:tcBorders>
            <w:shd w:val="clear" w:color="FFFFFF" w:fill="FFFFFF"/>
            <w:vAlign w:val="center"/>
          </w:tcPr>
          <w:p w14:paraId="72007056" w14:textId="3FF1A26D"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01</w:t>
            </w:r>
          </w:p>
        </w:tc>
      </w:tr>
      <w:tr w:rsidR="0001436B" w:rsidRPr="00E21D72" w14:paraId="108CD38A" w14:textId="77777777" w:rsidTr="0001436B">
        <w:trPr>
          <w:trHeight w:val="375"/>
          <w:jc w:val="center"/>
        </w:trPr>
        <w:tc>
          <w:tcPr>
            <w:tcW w:w="1718" w:type="pct"/>
            <w:tcBorders>
              <w:top w:val="nil"/>
              <w:bottom w:val="nil"/>
            </w:tcBorders>
            <w:shd w:val="clear" w:color="FFFFFF" w:fill="FFFFFF"/>
            <w:noWrap/>
            <w:vAlign w:val="center"/>
            <w:hideMark/>
          </w:tcPr>
          <w:p w14:paraId="2FAF94A1"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Ένδυση</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w:t>
            </w:r>
            <w:proofErr w:type="spellStart"/>
            <w:r w:rsidRPr="00E21D72">
              <w:rPr>
                <w:rFonts w:ascii="Verdana" w:eastAsia="Times New Roman" w:hAnsi="Verdana" w:cs="Arial"/>
                <w:color w:val="365F91"/>
                <w:sz w:val="18"/>
                <w:szCs w:val="18"/>
              </w:rPr>
              <w:t>όδηση</w:t>
            </w:r>
            <w:proofErr w:type="spellEnd"/>
          </w:p>
        </w:tc>
        <w:tc>
          <w:tcPr>
            <w:tcW w:w="803" w:type="pct"/>
            <w:tcBorders>
              <w:top w:val="nil"/>
              <w:bottom w:val="nil"/>
            </w:tcBorders>
            <w:shd w:val="clear" w:color="FFFFFF" w:fill="FFFFFF"/>
            <w:noWrap/>
            <w:vAlign w:val="center"/>
            <w:hideMark/>
          </w:tcPr>
          <w:p w14:paraId="7DE5ACB7"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430F07D2"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55</w:t>
            </w:r>
          </w:p>
        </w:tc>
        <w:tc>
          <w:tcPr>
            <w:tcW w:w="1238" w:type="pct"/>
            <w:tcBorders>
              <w:top w:val="nil"/>
              <w:bottom w:val="nil"/>
            </w:tcBorders>
            <w:shd w:val="clear" w:color="FFFFFF" w:fill="FFFFFF"/>
            <w:vAlign w:val="center"/>
          </w:tcPr>
          <w:p w14:paraId="36C3CC99" w14:textId="08D2EFB2"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33</w:t>
            </w:r>
          </w:p>
        </w:tc>
      </w:tr>
      <w:tr w:rsidR="0001436B" w:rsidRPr="00E21D72" w14:paraId="318667D3" w14:textId="77777777" w:rsidTr="0001436B">
        <w:trPr>
          <w:trHeight w:val="616"/>
          <w:jc w:val="center"/>
        </w:trPr>
        <w:tc>
          <w:tcPr>
            <w:tcW w:w="1718" w:type="pct"/>
            <w:tcBorders>
              <w:top w:val="nil"/>
              <w:bottom w:val="nil"/>
            </w:tcBorders>
            <w:shd w:val="clear" w:color="FFFFFF" w:fill="FFFFFF"/>
            <w:vAlign w:val="center"/>
            <w:hideMark/>
          </w:tcPr>
          <w:p w14:paraId="059C1354" w14:textId="77777777" w:rsidR="0001436B" w:rsidRPr="00E21D72" w:rsidRDefault="0001436B" w:rsidP="0001436B">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494382AA"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23</w:t>
            </w:r>
          </w:p>
        </w:tc>
        <w:tc>
          <w:tcPr>
            <w:tcW w:w="1238" w:type="pct"/>
            <w:tcBorders>
              <w:top w:val="nil"/>
              <w:bottom w:val="nil"/>
            </w:tcBorders>
            <w:shd w:val="clear" w:color="FFFFFF" w:fill="FFFFFF"/>
            <w:vAlign w:val="center"/>
          </w:tcPr>
          <w:p w14:paraId="192813A5" w14:textId="03C4739A"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51</w:t>
            </w:r>
          </w:p>
        </w:tc>
      </w:tr>
      <w:tr w:rsidR="0001436B" w:rsidRPr="00E21D72" w14:paraId="215783F0" w14:textId="77777777" w:rsidTr="0001436B">
        <w:trPr>
          <w:trHeight w:val="607"/>
          <w:jc w:val="center"/>
        </w:trPr>
        <w:tc>
          <w:tcPr>
            <w:tcW w:w="1718" w:type="pct"/>
            <w:tcBorders>
              <w:top w:val="nil"/>
              <w:bottom w:val="nil"/>
            </w:tcBorders>
            <w:shd w:val="clear" w:color="FFFFFF" w:fill="FFFFFF"/>
            <w:vAlign w:val="center"/>
            <w:hideMark/>
          </w:tcPr>
          <w:p w14:paraId="0C49E88D" w14:textId="7513D45F" w:rsidR="0001436B" w:rsidRPr="00E21D72" w:rsidRDefault="0001436B" w:rsidP="0001436B">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 xml:space="preserve">Επίπλωση, Οικιακός Εξοπλισμός και </w:t>
            </w:r>
            <w:r>
              <w:rPr>
                <w:rFonts w:ascii="Verdana" w:eastAsia="Times New Roman" w:hAnsi="Verdana" w:cs="Arial"/>
                <w:color w:val="365F91"/>
                <w:sz w:val="18"/>
                <w:szCs w:val="18"/>
                <w:lang w:val="el-GR"/>
              </w:rPr>
              <w:t>Προϊόντα</w:t>
            </w:r>
            <w:r w:rsidRPr="00E21D72">
              <w:rPr>
                <w:rFonts w:ascii="Verdana" w:eastAsia="Times New Roman" w:hAnsi="Verdana" w:cs="Arial"/>
                <w:color w:val="365F91"/>
                <w:sz w:val="18"/>
                <w:szCs w:val="18"/>
                <w:lang w:val="el-GR"/>
              </w:rPr>
              <w:t xml:space="preserve"> Καθαρισμού</w:t>
            </w:r>
          </w:p>
        </w:tc>
        <w:tc>
          <w:tcPr>
            <w:tcW w:w="803" w:type="pct"/>
            <w:tcBorders>
              <w:top w:val="nil"/>
              <w:bottom w:val="nil"/>
            </w:tcBorders>
            <w:shd w:val="clear" w:color="FFFFFF" w:fill="FFFFFF"/>
            <w:vAlign w:val="center"/>
            <w:hideMark/>
          </w:tcPr>
          <w:p w14:paraId="0A6B31B8"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127DCEE4"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04</w:t>
            </w:r>
          </w:p>
        </w:tc>
        <w:tc>
          <w:tcPr>
            <w:tcW w:w="1238" w:type="pct"/>
            <w:tcBorders>
              <w:top w:val="nil"/>
              <w:bottom w:val="nil"/>
            </w:tcBorders>
            <w:shd w:val="clear" w:color="FFFFFF" w:fill="FFFFFF"/>
            <w:vAlign w:val="center"/>
          </w:tcPr>
          <w:p w14:paraId="54D242BF" w14:textId="09D2D049"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03</w:t>
            </w:r>
          </w:p>
        </w:tc>
      </w:tr>
      <w:tr w:rsidR="0001436B" w:rsidRPr="00E21D72" w14:paraId="107081D7" w14:textId="77777777" w:rsidTr="0001436B">
        <w:trPr>
          <w:trHeight w:val="375"/>
          <w:jc w:val="center"/>
        </w:trPr>
        <w:tc>
          <w:tcPr>
            <w:tcW w:w="1718" w:type="pct"/>
            <w:tcBorders>
              <w:top w:val="nil"/>
              <w:bottom w:val="nil"/>
            </w:tcBorders>
            <w:shd w:val="clear" w:color="FFFFFF" w:fill="FFFFFF"/>
            <w:noWrap/>
            <w:vAlign w:val="center"/>
            <w:hideMark/>
          </w:tcPr>
          <w:p w14:paraId="356D4CE7"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Υγεί</w:t>
            </w:r>
            <w:proofErr w:type="spellEnd"/>
            <w:r w:rsidRPr="00E21D72">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3D2C1508"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7EC012ED"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11</w:t>
            </w:r>
          </w:p>
        </w:tc>
        <w:tc>
          <w:tcPr>
            <w:tcW w:w="1238" w:type="pct"/>
            <w:tcBorders>
              <w:top w:val="nil"/>
              <w:bottom w:val="nil"/>
            </w:tcBorders>
            <w:shd w:val="clear" w:color="FFFFFF" w:fill="FFFFFF"/>
            <w:vAlign w:val="center"/>
          </w:tcPr>
          <w:p w14:paraId="42715256" w14:textId="6F6871B8"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02</w:t>
            </w:r>
          </w:p>
        </w:tc>
      </w:tr>
      <w:tr w:rsidR="0001436B" w:rsidRPr="00E21D72" w14:paraId="120C2413" w14:textId="77777777" w:rsidTr="0001436B">
        <w:trPr>
          <w:trHeight w:val="375"/>
          <w:jc w:val="center"/>
        </w:trPr>
        <w:tc>
          <w:tcPr>
            <w:tcW w:w="1718" w:type="pct"/>
            <w:tcBorders>
              <w:top w:val="nil"/>
              <w:bottom w:val="nil"/>
            </w:tcBorders>
            <w:shd w:val="clear" w:color="FFFFFF" w:fill="FFFFFF"/>
            <w:noWrap/>
            <w:vAlign w:val="center"/>
            <w:hideMark/>
          </w:tcPr>
          <w:p w14:paraId="4731CB5A"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Μετ</w:t>
            </w:r>
            <w:proofErr w:type="spellEnd"/>
            <w:r w:rsidRPr="00E21D72">
              <w:rPr>
                <w:rFonts w:ascii="Verdana" w:eastAsia="Times New Roman" w:hAnsi="Verdana" w:cs="Arial"/>
                <w:color w:val="365F91"/>
                <w:sz w:val="18"/>
                <w:szCs w:val="18"/>
              </w:rPr>
              <w:t>αφορές</w:t>
            </w:r>
          </w:p>
        </w:tc>
        <w:tc>
          <w:tcPr>
            <w:tcW w:w="803" w:type="pct"/>
            <w:tcBorders>
              <w:top w:val="nil"/>
              <w:bottom w:val="nil"/>
            </w:tcBorders>
            <w:shd w:val="clear" w:color="FFFFFF" w:fill="FFFFFF"/>
            <w:noWrap/>
            <w:vAlign w:val="center"/>
            <w:hideMark/>
          </w:tcPr>
          <w:p w14:paraId="5C532904"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5D461525"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66</w:t>
            </w:r>
          </w:p>
        </w:tc>
        <w:tc>
          <w:tcPr>
            <w:tcW w:w="1238" w:type="pct"/>
            <w:tcBorders>
              <w:top w:val="nil"/>
              <w:bottom w:val="nil"/>
            </w:tcBorders>
            <w:shd w:val="clear" w:color="FFFFFF" w:fill="FFFFFF"/>
            <w:vAlign w:val="center"/>
          </w:tcPr>
          <w:p w14:paraId="67B12603" w14:textId="50546970"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00</w:t>
            </w:r>
          </w:p>
        </w:tc>
      </w:tr>
      <w:tr w:rsidR="0001436B" w:rsidRPr="00E21D72" w14:paraId="211DF7D2" w14:textId="77777777" w:rsidTr="0001436B">
        <w:trPr>
          <w:trHeight w:val="375"/>
          <w:jc w:val="center"/>
        </w:trPr>
        <w:tc>
          <w:tcPr>
            <w:tcW w:w="1718" w:type="pct"/>
            <w:tcBorders>
              <w:top w:val="nil"/>
              <w:bottom w:val="nil"/>
            </w:tcBorders>
            <w:shd w:val="clear" w:color="FFFFFF" w:fill="FFFFFF"/>
            <w:noWrap/>
            <w:vAlign w:val="center"/>
            <w:hideMark/>
          </w:tcPr>
          <w:p w14:paraId="76D09E5A" w14:textId="77777777" w:rsidR="0001436B" w:rsidRPr="00E21D72" w:rsidRDefault="0001436B" w:rsidP="0001436B">
            <w:pPr>
              <w:rPr>
                <w:rFonts w:ascii="Verdana" w:eastAsia="Times New Roman" w:hAnsi="Verdana" w:cs="Arial"/>
                <w:color w:val="365F91"/>
                <w:sz w:val="18"/>
                <w:szCs w:val="18"/>
              </w:rPr>
            </w:pPr>
            <w:r w:rsidRPr="00E21D72">
              <w:rPr>
                <w:rFonts w:ascii="Verdana" w:eastAsia="Times New Roman" w:hAnsi="Verdana" w:cs="Arial"/>
                <w:color w:val="365F91"/>
                <w:sz w:val="18"/>
                <w:szCs w:val="18"/>
              </w:rPr>
              <w:t>Επ</w:t>
            </w:r>
            <w:proofErr w:type="spellStart"/>
            <w:r w:rsidRPr="00E21D72">
              <w:rPr>
                <w:rFonts w:ascii="Verdana" w:eastAsia="Times New Roman" w:hAnsi="Verdana" w:cs="Arial"/>
                <w:color w:val="365F91"/>
                <w:sz w:val="18"/>
                <w:szCs w:val="18"/>
              </w:rPr>
              <w:t>ικοινωνίες</w:t>
            </w:r>
            <w:proofErr w:type="spellEnd"/>
          </w:p>
        </w:tc>
        <w:tc>
          <w:tcPr>
            <w:tcW w:w="803" w:type="pct"/>
            <w:tcBorders>
              <w:top w:val="nil"/>
              <w:bottom w:val="nil"/>
            </w:tcBorders>
            <w:shd w:val="clear" w:color="FFFFFF" w:fill="FFFFFF"/>
            <w:noWrap/>
            <w:vAlign w:val="center"/>
            <w:hideMark/>
          </w:tcPr>
          <w:p w14:paraId="3C57DE67"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19908B9E"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00</w:t>
            </w:r>
          </w:p>
        </w:tc>
        <w:tc>
          <w:tcPr>
            <w:tcW w:w="1238" w:type="pct"/>
            <w:tcBorders>
              <w:top w:val="nil"/>
              <w:bottom w:val="nil"/>
            </w:tcBorders>
            <w:shd w:val="clear" w:color="FFFFFF" w:fill="FFFFFF"/>
            <w:vAlign w:val="center"/>
          </w:tcPr>
          <w:p w14:paraId="08758FE5" w14:textId="5DCF6E61"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01</w:t>
            </w:r>
          </w:p>
        </w:tc>
      </w:tr>
      <w:tr w:rsidR="0001436B" w:rsidRPr="00E21D72" w14:paraId="5A0817DE" w14:textId="77777777" w:rsidTr="0001436B">
        <w:trPr>
          <w:trHeight w:val="375"/>
          <w:jc w:val="center"/>
        </w:trPr>
        <w:tc>
          <w:tcPr>
            <w:tcW w:w="1718" w:type="pct"/>
            <w:tcBorders>
              <w:top w:val="nil"/>
              <w:bottom w:val="nil"/>
            </w:tcBorders>
            <w:shd w:val="clear" w:color="FFFFFF" w:fill="FFFFFF"/>
            <w:noWrap/>
            <w:vAlign w:val="center"/>
            <w:hideMark/>
          </w:tcPr>
          <w:p w14:paraId="15B8EC8A"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Αν</w:t>
            </w:r>
            <w:proofErr w:type="spellEnd"/>
            <w:r w:rsidRPr="00E21D72">
              <w:rPr>
                <w:rFonts w:ascii="Verdana" w:eastAsia="Times New Roman" w:hAnsi="Verdana" w:cs="Arial"/>
                <w:color w:val="365F91"/>
                <w:sz w:val="18"/>
                <w:szCs w:val="18"/>
              </w:rPr>
              <w:t xml:space="preserve">αψυχή και </w:t>
            </w:r>
            <w:r w:rsidRPr="00E21D72">
              <w:rPr>
                <w:rFonts w:ascii="Verdana" w:eastAsia="Times New Roman" w:hAnsi="Verdana" w:cs="Arial"/>
                <w:color w:val="365F91"/>
                <w:sz w:val="18"/>
                <w:szCs w:val="18"/>
                <w:lang w:val="el-GR"/>
              </w:rPr>
              <w:t>Π</w:t>
            </w:r>
            <w:proofErr w:type="spellStart"/>
            <w:r w:rsidRPr="00E21D72">
              <w:rPr>
                <w:rFonts w:ascii="Verdana" w:eastAsia="Times New Roman" w:hAnsi="Verdana" w:cs="Arial"/>
                <w:color w:val="365F91"/>
                <w:sz w:val="18"/>
                <w:szCs w:val="18"/>
              </w:rPr>
              <w:t>ολιτισμός</w:t>
            </w:r>
            <w:proofErr w:type="spellEnd"/>
          </w:p>
        </w:tc>
        <w:tc>
          <w:tcPr>
            <w:tcW w:w="803" w:type="pct"/>
            <w:tcBorders>
              <w:top w:val="nil"/>
              <w:bottom w:val="nil"/>
            </w:tcBorders>
            <w:shd w:val="clear" w:color="FFFFFF" w:fill="FFFFFF"/>
            <w:noWrap/>
            <w:vAlign w:val="center"/>
            <w:hideMark/>
          </w:tcPr>
          <w:p w14:paraId="725714EA"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64ADF014"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16</w:t>
            </w:r>
          </w:p>
        </w:tc>
        <w:tc>
          <w:tcPr>
            <w:tcW w:w="1238" w:type="pct"/>
            <w:tcBorders>
              <w:top w:val="nil"/>
              <w:bottom w:val="nil"/>
            </w:tcBorders>
            <w:shd w:val="clear" w:color="FFFFFF" w:fill="FFFFFF"/>
            <w:vAlign w:val="center"/>
          </w:tcPr>
          <w:p w14:paraId="1892FD32" w14:textId="55986B21"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00</w:t>
            </w:r>
          </w:p>
        </w:tc>
      </w:tr>
      <w:tr w:rsidR="0001436B" w:rsidRPr="00E21D72" w14:paraId="731D634B" w14:textId="77777777" w:rsidTr="0001436B">
        <w:trPr>
          <w:trHeight w:val="375"/>
          <w:jc w:val="center"/>
        </w:trPr>
        <w:tc>
          <w:tcPr>
            <w:tcW w:w="1718" w:type="pct"/>
            <w:tcBorders>
              <w:top w:val="nil"/>
              <w:bottom w:val="nil"/>
            </w:tcBorders>
            <w:shd w:val="clear" w:color="FFFFFF" w:fill="FFFFFF"/>
            <w:noWrap/>
            <w:vAlign w:val="center"/>
            <w:hideMark/>
          </w:tcPr>
          <w:p w14:paraId="03887C0A"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Εκ</w:t>
            </w:r>
            <w:proofErr w:type="spellEnd"/>
            <w:r w:rsidRPr="00E21D72">
              <w:rPr>
                <w:rFonts w:ascii="Verdana" w:eastAsia="Times New Roman" w:hAnsi="Verdana" w:cs="Arial"/>
                <w:color w:val="365F91"/>
                <w:sz w:val="18"/>
                <w:szCs w:val="18"/>
              </w:rPr>
              <w:t>παίδευση</w:t>
            </w:r>
          </w:p>
        </w:tc>
        <w:tc>
          <w:tcPr>
            <w:tcW w:w="803" w:type="pct"/>
            <w:tcBorders>
              <w:top w:val="nil"/>
              <w:bottom w:val="nil"/>
            </w:tcBorders>
            <w:shd w:val="clear" w:color="FFFFFF" w:fill="FFFFFF"/>
            <w:noWrap/>
            <w:vAlign w:val="center"/>
            <w:hideMark/>
          </w:tcPr>
          <w:p w14:paraId="260B3DB0"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258757A8"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16</w:t>
            </w:r>
          </w:p>
        </w:tc>
        <w:tc>
          <w:tcPr>
            <w:tcW w:w="1238" w:type="pct"/>
            <w:tcBorders>
              <w:top w:val="nil"/>
              <w:bottom w:val="nil"/>
            </w:tcBorders>
            <w:shd w:val="clear" w:color="FFFFFF" w:fill="FFFFFF"/>
            <w:vAlign w:val="center"/>
          </w:tcPr>
          <w:p w14:paraId="74EAE9EF" w14:textId="635EB35C"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00</w:t>
            </w:r>
          </w:p>
        </w:tc>
      </w:tr>
      <w:tr w:rsidR="0001436B" w:rsidRPr="00E21D72" w14:paraId="68212E85" w14:textId="77777777" w:rsidTr="0001436B">
        <w:trPr>
          <w:trHeight w:val="375"/>
          <w:jc w:val="center"/>
        </w:trPr>
        <w:tc>
          <w:tcPr>
            <w:tcW w:w="1718" w:type="pct"/>
            <w:tcBorders>
              <w:top w:val="nil"/>
              <w:bottom w:val="nil"/>
            </w:tcBorders>
            <w:shd w:val="clear" w:color="FFFFFF" w:fill="FFFFFF"/>
            <w:noWrap/>
            <w:vAlign w:val="center"/>
            <w:hideMark/>
          </w:tcPr>
          <w:p w14:paraId="49771C9F"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Εστι</w:t>
            </w:r>
            <w:proofErr w:type="spellEnd"/>
            <w:r w:rsidRPr="00E21D72">
              <w:rPr>
                <w:rFonts w:ascii="Verdana" w:eastAsia="Times New Roman" w:hAnsi="Verdana" w:cs="Arial"/>
                <w:color w:val="365F91"/>
                <w:sz w:val="18"/>
                <w:szCs w:val="18"/>
              </w:rPr>
              <w:t xml:space="preserve">ατόρια και </w:t>
            </w:r>
            <w:r w:rsidRPr="00E21D72">
              <w:rPr>
                <w:rFonts w:ascii="Verdana" w:eastAsia="Times New Roman" w:hAnsi="Verdana" w:cs="Arial"/>
                <w:color w:val="365F91"/>
                <w:sz w:val="18"/>
                <w:szCs w:val="18"/>
                <w:lang w:val="el-GR"/>
              </w:rPr>
              <w:t>Ξ</w:t>
            </w:r>
            <w:proofErr w:type="spellStart"/>
            <w:r w:rsidRPr="00E21D72">
              <w:rPr>
                <w:rFonts w:ascii="Verdana" w:eastAsia="Times New Roman" w:hAnsi="Verdana" w:cs="Arial"/>
                <w:color w:val="365F91"/>
                <w:sz w:val="18"/>
                <w:szCs w:val="18"/>
              </w:rPr>
              <w:t>ενοδοχεί</w:t>
            </w:r>
            <w:proofErr w:type="spellEnd"/>
            <w:r w:rsidRPr="00E21D72">
              <w:rPr>
                <w:rFonts w:ascii="Verdana" w:eastAsia="Times New Roman" w:hAnsi="Verdana" w:cs="Arial"/>
                <w:color w:val="365F91"/>
                <w:sz w:val="18"/>
                <w:szCs w:val="18"/>
              </w:rPr>
              <w:t>α</w:t>
            </w:r>
          </w:p>
        </w:tc>
        <w:tc>
          <w:tcPr>
            <w:tcW w:w="803" w:type="pct"/>
            <w:tcBorders>
              <w:top w:val="nil"/>
              <w:bottom w:val="nil"/>
            </w:tcBorders>
            <w:shd w:val="clear" w:color="FFFFFF" w:fill="FFFFFF"/>
            <w:noWrap/>
            <w:vAlign w:val="center"/>
            <w:hideMark/>
          </w:tcPr>
          <w:p w14:paraId="7991DAA6"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69A1E285"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55</w:t>
            </w:r>
          </w:p>
        </w:tc>
        <w:tc>
          <w:tcPr>
            <w:tcW w:w="1238" w:type="pct"/>
            <w:tcBorders>
              <w:top w:val="nil"/>
              <w:bottom w:val="nil"/>
            </w:tcBorders>
            <w:shd w:val="clear" w:color="FFFFFF" w:fill="FFFFFF"/>
            <w:vAlign w:val="center"/>
          </w:tcPr>
          <w:p w14:paraId="5ABEE342" w14:textId="68ED042E"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05</w:t>
            </w:r>
          </w:p>
        </w:tc>
      </w:tr>
      <w:tr w:rsidR="0001436B" w:rsidRPr="00E21D72" w14:paraId="5C63625A" w14:textId="77777777" w:rsidTr="0001436B">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01436B" w:rsidRPr="00E21D72" w:rsidRDefault="0001436B" w:rsidP="0001436B">
            <w:pPr>
              <w:rPr>
                <w:rFonts w:ascii="Verdana" w:eastAsia="Times New Roman" w:hAnsi="Verdana" w:cs="Arial"/>
                <w:color w:val="365F91"/>
                <w:sz w:val="18"/>
                <w:szCs w:val="18"/>
              </w:rPr>
            </w:pPr>
            <w:proofErr w:type="spellStart"/>
            <w:r w:rsidRPr="00E21D72">
              <w:rPr>
                <w:rFonts w:ascii="Verdana" w:eastAsia="Times New Roman" w:hAnsi="Verdana" w:cs="Arial"/>
                <w:color w:val="365F91"/>
                <w:sz w:val="18"/>
                <w:szCs w:val="18"/>
              </w:rPr>
              <w:t>Άλλ</w:t>
            </w:r>
            <w:proofErr w:type="spellEnd"/>
            <w:r w:rsidRPr="00E21D72">
              <w:rPr>
                <w:rFonts w:ascii="Verdana" w:eastAsia="Times New Roman" w:hAnsi="Verdana" w:cs="Arial"/>
                <w:color w:val="365F91"/>
                <w:sz w:val="18"/>
                <w:szCs w:val="18"/>
              </w:rPr>
              <w:t xml:space="preserve">α </w:t>
            </w:r>
            <w:r w:rsidRPr="00E21D72">
              <w:rPr>
                <w:rFonts w:ascii="Verdana" w:eastAsia="Times New Roman" w:hAnsi="Verdana" w:cs="Arial"/>
                <w:color w:val="365F91"/>
                <w:sz w:val="18"/>
                <w:szCs w:val="18"/>
                <w:lang w:val="el-GR"/>
              </w:rPr>
              <w:t>Α</w:t>
            </w:r>
            <w:r w:rsidRPr="00E21D72">
              <w:rPr>
                <w:rFonts w:ascii="Verdana" w:eastAsia="Times New Roman" w:hAnsi="Verdana" w:cs="Arial"/>
                <w:color w:val="365F91"/>
                <w:sz w:val="18"/>
                <w:szCs w:val="18"/>
              </w:rPr>
              <w:t>γα</w:t>
            </w:r>
            <w:proofErr w:type="spellStart"/>
            <w:r w:rsidRPr="00E21D72">
              <w:rPr>
                <w:rFonts w:ascii="Verdana" w:eastAsia="Times New Roman" w:hAnsi="Verdana" w:cs="Arial"/>
                <w:color w:val="365F91"/>
                <w:sz w:val="18"/>
                <w:szCs w:val="18"/>
              </w:rPr>
              <w:t>θά</w:t>
            </w:r>
            <w:proofErr w:type="spellEnd"/>
            <w:r w:rsidRPr="00E21D72">
              <w:rPr>
                <w:rFonts w:ascii="Verdana" w:eastAsia="Times New Roman" w:hAnsi="Verdana" w:cs="Arial"/>
                <w:color w:val="365F91"/>
                <w:sz w:val="18"/>
                <w:szCs w:val="18"/>
              </w:rPr>
              <w:t xml:space="preserve">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w:t>
            </w:r>
            <w:proofErr w:type="spellStart"/>
            <w:r w:rsidRPr="00E21D72">
              <w:rPr>
                <w:rFonts w:ascii="Verdana" w:eastAsia="Times New Roman" w:hAnsi="Verdana" w:cs="Arial"/>
                <w:color w:val="365F91"/>
                <w:sz w:val="18"/>
                <w:szCs w:val="18"/>
              </w:rPr>
              <w:t>ηρεσίες</w:t>
            </w:r>
            <w:proofErr w:type="spellEnd"/>
          </w:p>
        </w:tc>
        <w:tc>
          <w:tcPr>
            <w:tcW w:w="803" w:type="pct"/>
            <w:tcBorders>
              <w:top w:val="nil"/>
              <w:bottom w:val="single" w:sz="4" w:space="0" w:color="366092"/>
            </w:tcBorders>
            <w:shd w:val="clear" w:color="FFFFFF" w:fill="FFFFFF"/>
            <w:noWrap/>
            <w:vAlign w:val="center"/>
            <w:hideMark/>
          </w:tcPr>
          <w:p w14:paraId="69B99327" w14:textId="77777777" w:rsidR="0001436B" w:rsidRPr="00E21D72" w:rsidRDefault="0001436B" w:rsidP="0001436B">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3BE41900"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10</w:t>
            </w:r>
          </w:p>
        </w:tc>
        <w:tc>
          <w:tcPr>
            <w:tcW w:w="1238" w:type="pct"/>
            <w:tcBorders>
              <w:top w:val="nil"/>
              <w:bottom w:val="single" w:sz="4" w:space="0" w:color="366092"/>
            </w:tcBorders>
            <w:shd w:val="clear" w:color="FFFFFF" w:fill="FFFFFF"/>
            <w:vAlign w:val="center"/>
          </w:tcPr>
          <w:p w14:paraId="6D89D954" w14:textId="673386F6" w:rsidR="0001436B" w:rsidRPr="00800CDA" w:rsidRDefault="0001436B" w:rsidP="0001436B">
            <w:pPr>
              <w:ind w:right="786" w:firstLineChars="100" w:firstLine="180"/>
              <w:jc w:val="right"/>
              <w:rPr>
                <w:rFonts w:ascii="Verdana" w:eastAsia="Times New Roman" w:hAnsi="Verdana" w:cs="Arial"/>
                <w:color w:val="365F91"/>
                <w:sz w:val="18"/>
                <w:szCs w:val="18"/>
                <w:lang w:val="el-GR"/>
              </w:rPr>
            </w:pPr>
            <w:r w:rsidRPr="0001436B">
              <w:rPr>
                <w:rFonts w:ascii="Verdana" w:eastAsia="Times New Roman" w:hAnsi="Verdana" w:cs="Arial"/>
                <w:color w:val="365F91"/>
                <w:sz w:val="18"/>
                <w:szCs w:val="18"/>
                <w:lang w:val="el-GR"/>
              </w:rPr>
              <w:t>0</w:t>
            </w:r>
            <w:r w:rsidR="00D62C8A">
              <w:rPr>
                <w:rFonts w:ascii="Verdana" w:eastAsia="Times New Roman" w:hAnsi="Verdana" w:cs="Arial"/>
                <w:color w:val="365F91"/>
                <w:sz w:val="18"/>
                <w:szCs w:val="18"/>
                <w:lang w:val="el-GR"/>
              </w:rPr>
              <w:t>,</w:t>
            </w:r>
            <w:r w:rsidRPr="0001436B">
              <w:rPr>
                <w:rFonts w:ascii="Verdana" w:eastAsia="Times New Roman" w:hAnsi="Verdana" w:cs="Arial"/>
                <w:color w:val="365F91"/>
                <w:sz w:val="18"/>
                <w:szCs w:val="18"/>
                <w:lang w:val="el-GR"/>
              </w:rPr>
              <w:t>04</w:t>
            </w:r>
          </w:p>
        </w:tc>
      </w:tr>
      <w:tr w:rsidR="0001436B" w:rsidRPr="00E21D72" w14:paraId="6771A5B6" w14:textId="77777777" w:rsidTr="0001436B">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01436B" w:rsidRPr="00E21D72" w:rsidRDefault="0001436B" w:rsidP="0001436B">
            <w:pPr>
              <w:rPr>
                <w:rFonts w:ascii="Verdana" w:eastAsia="Times New Roman" w:hAnsi="Verdana" w:cs="Arial"/>
                <w:b/>
                <w:bCs/>
                <w:color w:val="365F91"/>
                <w:sz w:val="18"/>
                <w:szCs w:val="18"/>
              </w:rPr>
            </w:pPr>
            <w:proofErr w:type="spellStart"/>
            <w:r w:rsidRPr="00E21D72">
              <w:rPr>
                <w:rFonts w:ascii="Verdana" w:eastAsia="Times New Roman" w:hAnsi="Verdana" w:cs="Arial"/>
                <w:b/>
                <w:bCs/>
                <w:color w:val="365F91"/>
                <w:sz w:val="18"/>
                <w:szCs w:val="18"/>
              </w:rPr>
              <w:t>Γενικός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Δείκτης</w:t>
            </w:r>
            <w:proofErr w:type="spellEnd"/>
            <w:r w:rsidRPr="00E21D72">
              <w:rPr>
                <w:rFonts w:ascii="Verdana" w:eastAsia="Times New Roman" w:hAnsi="Verdana" w:cs="Arial"/>
                <w:b/>
                <w:bCs/>
                <w:color w:val="365F91"/>
                <w:sz w:val="18"/>
                <w:szCs w:val="18"/>
              </w:rPr>
              <w:t xml:space="preserve"> </w:t>
            </w:r>
            <w:proofErr w:type="spellStart"/>
            <w:r w:rsidRPr="00E21D72">
              <w:rPr>
                <w:rFonts w:ascii="Verdana" w:eastAsia="Times New Roman" w:hAnsi="Verdana" w:cs="Arial"/>
                <w:b/>
                <w:bCs/>
                <w:color w:val="365F91"/>
                <w:sz w:val="18"/>
                <w:szCs w:val="18"/>
              </w:rPr>
              <w:t>Τιμών</w:t>
            </w:r>
            <w:proofErr w:type="spellEnd"/>
            <w:r w:rsidRPr="00E21D72">
              <w:rPr>
                <w:rFonts w:ascii="Verdana" w:eastAsia="Times New Roman" w:hAnsi="Verdana" w:cs="Arial"/>
                <w:b/>
                <w:bCs/>
                <w:color w:val="365F91"/>
                <w:sz w:val="18"/>
                <w:szCs w:val="18"/>
              </w:rPr>
              <w:t xml:space="preserve"> Κατανα</w:t>
            </w:r>
            <w:proofErr w:type="spellStart"/>
            <w:r w:rsidRPr="00E21D72">
              <w:rPr>
                <w:rFonts w:ascii="Verdana" w:eastAsia="Times New Roman" w:hAnsi="Verdana" w:cs="Arial"/>
                <w:b/>
                <w:bCs/>
                <w:color w:val="365F91"/>
                <w:sz w:val="18"/>
                <w:szCs w:val="18"/>
              </w:rPr>
              <w:t>λωτή</w:t>
            </w:r>
            <w:proofErr w:type="spellEnd"/>
          </w:p>
        </w:tc>
        <w:tc>
          <w:tcPr>
            <w:tcW w:w="803" w:type="pct"/>
            <w:tcBorders>
              <w:top w:val="single" w:sz="4" w:space="0" w:color="366092"/>
              <w:bottom w:val="single" w:sz="4" w:space="0" w:color="366092"/>
            </w:tcBorders>
            <w:shd w:val="clear" w:color="FFFFFF" w:fill="FFFFFF"/>
            <w:noWrap/>
            <w:vAlign w:val="center"/>
            <w:hideMark/>
          </w:tcPr>
          <w:p w14:paraId="645703C0" w14:textId="77777777" w:rsidR="0001436B" w:rsidRPr="00800CDA" w:rsidRDefault="0001436B" w:rsidP="0001436B">
            <w:pPr>
              <w:ind w:firstLineChars="100" w:firstLine="181"/>
              <w:jc w:val="center"/>
              <w:rPr>
                <w:rFonts w:ascii="Verdana" w:eastAsia="Times New Roman" w:hAnsi="Verdana" w:cs="Arial"/>
                <w:b/>
                <w:color w:val="365F91"/>
                <w:sz w:val="18"/>
                <w:szCs w:val="18"/>
                <w:lang w:val="el-GR"/>
              </w:rPr>
            </w:pPr>
            <w:r w:rsidRPr="00800CDA">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6BC6F05C" w:rsidR="0001436B" w:rsidRPr="0001436B" w:rsidRDefault="0001436B" w:rsidP="0001436B">
            <w:pPr>
              <w:ind w:right="786" w:firstLineChars="100" w:firstLine="181"/>
              <w:jc w:val="right"/>
              <w:rPr>
                <w:rFonts w:ascii="Verdana" w:eastAsia="Times New Roman" w:hAnsi="Verdana" w:cs="Arial"/>
                <w:b/>
                <w:bCs/>
                <w:color w:val="365F91"/>
                <w:sz w:val="18"/>
                <w:szCs w:val="18"/>
                <w:lang w:val="el-GR"/>
              </w:rPr>
            </w:pPr>
            <w:r w:rsidRPr="0001436B">
              <w:rPr>
                <w:rFonts w:ascii="Verdana" w:eastAsia="Times New Roman" w:hAnsi="Verdana" w:cs="Arial"/>
                <w:b/>
                <w:bCs/>
                <w:color w:val="365F91"/>
                <w:sz w:val="18"/>
                <w:szCs w:val="18"/>
                <w:lang w:val="el-GR"/>
              </w:rPr>
              <w:t>0</w:t>
            </w:r>
            <w:r w:rsidR="00D62C8A">
              <w:rPr>
                <w:rFonts w:ascii="Verdana" w:eastAsia="Times New Roman" w:hAnsi="Verdana" w:cs="Arial"/>
                <w:b/>
                <w:bCs/>
                <w:color w:val="365F91"/>
                <w:sz w:val="18"/>
                <w:szCs w:val="18"/>
                <w:lang w:val="el-GR"/>
              </w:rPr>
              <w:t>,</w:t>
            </w:r>
            <w:r w:rsidRPr="0001436B">
              <w:rPr>
                <w:rFonts w:ascii="Verdana" w:eastAsia="Times New Roman" w:hAnsi="Verdana" w:cs="Arial"/>
                <w:b/>
                <w:bCs/>
                <w:color w:val="365F91"/>
                <w:sz w:val="18"/>
                <w:szCs w:val="18"/>
                <w:lang w:val="el-GR"/>
              </w:rPr>
              <w:t>22</w:t>
            </w:r>
          </w:p>
        </w:tc>
        <w:tc>
          <w:tcPr>
            <w:tcW w:w="1238" w:type="pct"/>
            <w:tcBorders>
              <w:top w:val="single" w:sz="4" w:space="0" w:color="366092"/>
              <w:bottom w:val="single" w:sz="4" w:space="0" w:color="366092"/>
            </w:tcBorders>
            <w:shd w:val="clear" w:color="000000" w:fill="FFFFFF"/>
            <w:vAlign w:val="center"/>
          </w:tcPr>
          <w:p w14:paraId="6AEB7EF0" w14:textId="78EAC565" w:rsidR="0001436B" w:rsidRPr="0001436B" w:rsidRDefault="0001436B" w:rsidP="0001436B">
            <w:pPr>
              <w:ind w:right="786" w:firstLineChars="100" w:firstLine="181"/>
              <w:jc w:val="right"/>
              <w:rPr>
                <w:rFonts w:ascii="Verdana" w:eastAsia="Times New Roman" w:hAnsi="Verdana" w:cs="Arial"/>
                <w:b/>
                <w:bCs/>
                <w:color w:val="365F91"/>
                <w:sz w:val="18"/>
                <w:szCs w:val="18"/>
                <w:lang w:val="el-GR"/>
              </w:rPr>
            </w:pPr>
            <w:r w:rsidRPr="0001436B">
              <w:rPr>
                <w:rFonts w:ascii="Verdana" w:eastAsia="Times New Roman" w:hAnsi="Verdana" w:cs="Arial"/>
                <w:b/>
                <w:bCs/>
                <w:color w:val="365F91"/>
                <w:sz w:val="18"/>
                <w:szCs w:val="18"/>
                <w:lang w:val="el-GR"/>
              </w:rPr>
              <w:t>0</w:t>
            </w:r>
            <w:r w:rsidR="00D62C8A">
              <w:rPr>
                <w:rFonts w:ascii="Verdana" w:eastAsia="Times New Roman" w:hAnsi="Verdana" w:cs="Arial"/>
                <w:b/>
                <w:bCs/>
                <w:color w:val="365F91"/>
                <w:sz w:val="18"/>
                <w:szCs w:val="18"/>
                <w:lang w:val="el-GR"/>
              </w:rPr>
              <w:t>,</w:t>
            </w:r>
            <w:r w:rsidRPr="0001436B">
              <w:rPr>
                <w:rFonts w:ascii="Verdana" w:eastAsia="Times New Roman" w:hAnsi="Verdana" w:cs="Arial"/>
                <w:b/>
                <w:bCs/>
                <w:color w:val="365F91"/>
                <w:sz w:val="18"/>
                <w:szCs w:val="18"/>
                <w:lang w:val="el-GR"/>
              </w:rPr>
              <w:t>06</w:t>
            </w:r>
          </w:p>
        </w:tc>
      </w:tr>
      <w:tr w:rsidR="006022B5" w:rsidRPr="005D5F35"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CA907A1" w14:textId="77777777" w:rsidR="00A36D89" w:rsidRPr="00D4020F" w:rsidRDefault="00A36D89" w:rsidP="006022B5">
            <w:pPr>
              <w:rPr>
                <w:rFonts w:ascii="Verdana" w:eastAsia="Times New Roman" w:hAnsi="Verdana" w:cs="Arial"/>
                <w:bCs/>
                <w:color w:val="2F5496"/>
                <w:sz w:val="6"/>
                <w:szCs w:val="6"/>
                <w:lang w:val="el-GR"/>
              </w:rPr>
            </w:pPr>
          </w:p>
          <w:p w14:paraId="0DEF1FF2" w14:textId="34885900" w:rsidR="006022B5" w:rsidRPr="00E06481" w:rsidRDefault="006022B5" w:rsidP="006022B5">
            <w:pPr>
              <w:rPr>
                <w:rFonts w:ascii="Verdana" w:eastAsia="Times New Roman" w:hAnsi="Verdana" w:cs="Arial"/>
                <w:bCs/>
                <w:color w:val="2F5496"/>
                <w:sz w:val="16"/>
                <w:szCs w:val="16"/>
                <w:lang w:val="el-GR"/>
              </w:rPr>
            </w:pPr>
            <w:r w:rsidRPr="00E06481">
              <w:rPr>
                <w:rFonts w:ascii="Verdana" w:eastAsia="Times New Roman" w:hAnsi="Verdana" w:cs="Arial"/>
                <w:bCs/>
                <w:color w:val="2F5496"/>
                <w:sz w:val="16"/>
                <w:szCs w:val="16"/>
                <w:lang w:val="el-GR"/>
              </w:rPr>
              <w:t>Σημείωση: Τα αθροίσματα υπολογίζονται βάσει των επιμέρους επιπτώσεων με άπειρα δεκαδικά και δημοσιεύονται με στρογγυλοποίηση δυο δεκαδικών</w:t>
            </w:r>
            <w:r w:rsidR="005D5F35" w:rsidRPr="005D5F35">
              <w:rPr>
                <w:rFonts w:ascii="Verdana" w:eastAsia="Times New Roman" w:hAnsi="Verdana" w:cs="Arial"/>
                <w:bCs/>
                <w:color w:val="2F5496"/>
                <w:sz w:val="16"/>
                <w:szCs w:val="16"/>
                <w:lang w:val="el-GR"/>
              </w:rPr>
              <w:t>.</w:t>
            </w:r>
            <w:r w:rsidRPr="00E06481">
              <w:rPr>
                <w:rFonts w:ascii="Verdana" w:eastAsia="Times New Roman" w:hAnsi="Verdana" w:cs="Arial"/>
                <w:bCs/>
                <w:color w:val="2F5496"/>
                <w:sz w:val="16"/>
                <w:szCs w:val="16"/>
                <w:lang w:val="el-GR"/>
              </w:rPr>
              <w:t xml:space="preserve"> Πιθανές διαφορές στα αθροίσματα είναι λόγω σφάλματος στρογγυλοποίησης</w:t>
            </w:r>
            <w:r w:rsidR="005D5F35">
              <w:rPr>
                <w:rFonts w:ascii="Verdana" w:eastAsia="Times New Roman" w:hAnsi="Verdana" w:cs="Arial"/>
                <w:bCs/>
                <w:color w:val="2F5496"/>
                <w:sz w:val="16"/>
                <w:szCs w:val="16"/>
              </w:rPr>
              <w:t>.</w:t>
            </w:r>
            <w:r w:rsidRPr="00E06481">
              <w:rPr>
                <w:rFonts w:ascii="Verdana" w:eastAsia="Times New Roman" w:hAnsi="Verdana" w:cs="Arial"/>
                <w:bCs/>
                <w:color w:val="2F5496"/>
                <w:sz w:val="16"/>
                <w:szCs w:val="16"/>
                <w:lang w:val="el-GR"/>
              </w:rPr>
              <w:t xml:space="preserve">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448DA61B" w14:textId="34C6C5BC" w:rsidR="00A766A2" w:rsidRPr="00B05BE9" w:rsidRDefault="00A36D89" w:rsidP="004C6ABF">
      <w:pPr>
        <w:rPr>
          <w:rFonts w:ascii="Verdana" w:eastAsia="Malgun Gothic" w:hAnsi="Verdana" w:cs="Arial"/>
          <w:sz w:val="18"/>
          <w:szCs w:val="18"/>
          <w:u w:val="single"/>
          <w:lang w:val="en-GB"/>
        </w:rPr>
      </w:pPr>
      <w:r>
        <w:rPr>
          <w:rFonts w:ascii="Verdana" w:eastAsia="Malgun Gothic" w:hAnsi="Verdana" w:cs="Arial"/>
          <w:sz w:val="18"/>
          <w:szCs w:val="18"/>
          <w:u w:val="single"/>
          <w:lang w:val="el-GR"/>
        </w:rPr>
        <w:br w:type="page"/>
      </w: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bookmarkStart w:id="3" w:name="OLE_LINK9"/>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71BB74AF" w:rsidR="004E3D7E" w:rsidRPr="00E21D72" w:rsidRDefault="0001436B"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24</w:t>
            </w:r>
          </w:p>
        </w:tc>
      </w:tr>
      <w:tr w:rsidR="00216205" w:rsidRPr="00E21D72" w14:paraId="65257A6A" w14:textId="77777777" w:rsidTr="003A1153">
        <w:trPr>
          <w:trHeight w:val="300"/>
          <w:jc w:val="center"/>
        </w:trPr>
        <w:tc>
          <w:tcPr>
            <w:tcW w:w="6234" w:type="dxa"/>
            <w:tcBorders>
              <w:top w:val="nil"/>
              <w:bottom w:val="nil"/>
            </w:tcBorders>
            <w:shd w:val="clear" w:color="FFFFFF" w:fill="FFFFFF"/>
            <w:vAlign w:val="center"/>
          </w:tcPr>
          <w:p w14:paraId="16B01B47" w14:textId="0B4FB385" w:rsidR="00216205" w:rsidRPr="007874D2" w:rsidRDefault="00216205" w:rsidP="00216205">
            <w:pPr>
              <w:rPr>
                <w:rFonts w:ascii="Verdana" w:eastAsia="Times New Roman" w:hAnsi="Verdana" w:cs="Arial"/>
                <w:color w:val="365F91"/>
                <w:sz w:val="18"/>
                <w:szCs w:val="18"/>
                <w:lang w:val="el-GR"/>
              </w:rPr>
            </w:pPr>
            <w:proofErr w:type="spellStart"/>
            <w:r>
              <w:rPr>
                <w:rFonts w:ascii="Verdana" w:hAnsi="Verdana" w:cs="Arial"/>
                <w:b/>
                <w:bCs/>
                <w:i/>
                <w:iCs/>
                <w:color w:val="365F91"/>
                <w:sz w:val="18"/>
                <w:szCs w:val="18"/>
              </w:rPr>
              <w:t>Θετική</w:t>
            </w:r>
            <w:proofErr w:type="spellEnd"/>
            <w:r>
              <w:rPr>
                <w:rFonts w:ascii="Verdana" w:hAnsi="Verdana" w:cs="Arial"/>
                <w:b/>
                <w:bCs/>
                <w:i/>
                <w:iCs/>
                <w:color w:val="365F91"/>
                <w:sz w:val="18"/>
                <w:szCs w:val="18"/>
              </w:rPr>
              <w:t xml:space="preserve"> </w:t>
            </w:r>
            <w:r w:rsidR="00F13540">
              <w:rPr>
                <w:rFonts w:ascii="Verdana" w:hAnsi="Verdana" w:cs="Arial"/>
                <w:b/>
                <w:bCs/>
                <w:i/>
                <w:iCs/>
                <w:color w:val="365F91"/>
                <w:sz w:val="18"/>
                <w:szCs w:val="18"/>
                <w:lang w:val="el-GR"/>
              </w:rPr>
              <w:t>Ε</w:t>
            </w:r>
            <w:r>
              <w:rPr>
                <w:rFonts w:ascii="Verdana" w:hAnsi="Verdana" w:cs="Arial"/>
                <w:b/>
                <w:bCs/>
                <w:i/>
                <w:iCs/>
                <w:color w:val="365F91"/>
                <w:sz w:val="18"/>
                <w:szCs w:val="18"/>
              </w:rPr>
              <w:t>πίπ</w:t>
            </w:r>
            <w:proofErr w:type="spellStart"/>
            <w:r>
              <w:rPr>
                <w:rFonts w:ascii="Verdana" w:hAnsi="Verdana" w:cs="Arial"/>
                <w:b/>
                <w:bCs/>
                <w:i/>
                <w:iCs/>
                <w:color w:val="365F91"/>
                <w:sz w:val="18"/>
                <w:szCs w:val="18"/>
              </w:rPr>
              <w:t>τωση</w:t>
            </w:r>
            <w:proofErr w:type="spellEnd"/>
          </w:p>
        </w:tc>
        <w:tc>
          <w:tcPr>
            <w:tcW w:w="3227" w:type="dxa"/>
            <w:tcBorders>
              <w:top w:val="nil"/>
              <w:bottom w:val="nil"/>
            </w:tcBorders>
            <w:shd w:val="clear" w:color="FFFFFF" w:fill="FFFFFF"/>
            <w:noWrap/>
            <w:vAlign w:val="center"/>
          </w:tcPr>
          <w:p w14:paraId="7D1336AD" w14:textId="73D928B5" w:rsidR="00216205" w:rsidRPr="00E21D72" w:rsidRDefault="00216205" w:rsidP="00216205">
            <w:pPr>
              <w:ind w:right="1304" w:firstLineChars="200" w:firstLine="360"/>
              <w:jc w:val="center"/>
              <w:rPr>
                <w:rFonts w:ascii="Verdana" w:eastAsia="Times New Roman" w:hAnsi="Verdana" w:cs="Arial"/>
                <w:bCs/>
                <w:color w:val="365F91"/>
                <w:sz w:val="18"/>
                <w:szCs w:val="18"/>
                <w:lang w:val="el-GR"/>
              </w:rPr>
            </w:pPr>
            <w:r>
              <w:rPr>
                <w:rFonts w:ascii="Verdana" w:hAnsi="Verdana" w:cs="Arial"/>
                <w:color w:val="365F91"/>
                <w:sz w:val="18"/>
                <w:szCs w:val="18"/>
              </w:rPr>
              <w:t> </w:t>
            </w:r>
          </w:p>
        </w:tc>
      </w:tr>
      <w:tr w:rsidR="00E94D3D" w:rsidRPr="00B350FC" w14:paraId="6E5AF7BA" w14:textId="77777777" w:rsidTr="007874D2">
        <w:trPr>
          <w:trHeight w:val="300"/>
          <w:jc w:val="center"/>
        </w:trPr>
        <w:tc>
          <w:tcPr>
            <w:tcW w:w="6234" w:type="dxa"/>
            <w:tcBorders>
              <w:top w:val="nil"/>
              <w:left w:val="nil"/>
              <w:bottom w:val="nil"/>
              <w:right w:val="nil"/>
            </w:tcBorders>
            <w:shd w:val="clear" w:color="auto" w:fill="auto"/>
            <w:vAlign w:val="center"/>
          </w:tcPr>
          <w:p w14:paraId="69D6202D" w14:textId="67CE65E5" w:rsidR="00E94D3D" w:rsidRPr="00B350FC" w:rsidRDefault="00E94D3D" w:rsidP="00E94D3D">
            <w:pPr>
              <w:ind w:left="326"/>
              <w:rPr>
                <w:rFonts w:ascii="Verdana" w:hAnsi="Verdana" w:cs="Arial"/>
                <w:color w:val="365F91"/>
                <w:sz w:val="18"/>
                <w:szCs w:val="18"/>
              </w:rPr>
            </w:pPr>
            <w:r>
              <w:rPr>
                <w:rFonts w:ascii="Verdana" w:hAnsi="Verdana" w:cs="Arial"/>
                <w:color w:val="365F91"/>
                <w:sz w:val="18"/>
                <w:szCs w:val="18"/>
              </w:rPr>
              <w:t>Υπ</w:t>
            </w:r>
            <w:proofErr w:type="spellStart"/>
            <w:r>
              <w:rPr>
                <w:rFonts w:ascii="Verdana" w:hAnsi="Verdana" w:cs="Arial"/>
                <w:color w:val="365F91"/>
                <w:sz w:val="18"/>
                <w:szCs w:val="18"/>
              </w:rPr>
              <w:t>ηρεσίες</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τροφοδοσί</w:t>
            </w:r>
            <w:proofErr w:type="spellEnd"/>
            <w:r>
              <w:rPr>
                <w:rFonts w:ascii="Verdana" w:hAnsi="Verdana" w:cs="Arial"/>
                <w:color w:val="365F91"/>
                <w:sz w:val="18"/>
                <w:szCs w:val="18"/>
              </w:rPr>
              <w:t>ας</w:t>
            </w:r>
          </w:p>
        </w:tc>
        <w:tc>
          <w:tcPr>
            <w:tcW w:w="3227" w:type="dxa"/>
            <w:tcBorders>
              <w:top w:val="nil"/>
              <w:left w:val="nil"/>
              <w:bottom w:val="nil"/>
              <w:right w:val="nil"/>
            </w:tcBorders>
            <w:shd w:val="clear" w:color="auto" w:fill="auto"/>
            <w:noWrap/>
            <w:vAlign w:val="center"/>
          </w:tcPr>
          <w:p w14:paraId="569D5F39" w14:textId="6EB954F3"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57</w:t>
            </w:r>
          </w:p>
        </w:tc>
      </w:tr>
      <w:tr w:rsidR="00E94D3D" w:rsidRPr="00B350FC" w14:paraId="33A68CE0" w14:textId="77777777" w:rsidTr="007874D2">
        <w:trPr>
          <w:trHeight w:val="300"/>
          <w:jc w:val="center"/>
        </w:trPr>
        <w:tc>
          <w:tcPr>
            <w:tcW w:w="6234" w:type="dxa"/>
            <w:tcBorders>
              <w:top w:val="nil"/>
              <w:left w:val="nil"/>
              <w:bottom w:val="nil"/>
              <w:right w:val="nil"/>
            </w:tcBorders>
            <w:shd w:val="clear" w:color="auto" w:fill="auto"/>
            <w:vAlign w:val="center"/>
          </w:tcPr>
          <w:p w14:paraId="32DE9B99" w14:textId="0EC9BF3E" w:rsidR="00E94D3D" w:rsidRPr="00B350FC" w:rsidRDefault="00E94D3D" w:rsidP="00E94D3D">
            <w:pPr>
              <w:ind w:left="326"/>
              <w:rPr>
                <w:rFonts w:ascii="Verdana" w:hAnsi="Verdana" w:cs="Arial"/>
                <w:color w:val="365F91"/>
                <w:sz w:val="18"/>
                <w:szCs w:val="18"/>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 xml:space="preserve">α </w:t>
            </w:r>
            <w:proofErr w:type="spellStart"/>
            <w:r>
              <w:rPr>
                <w:rFonts w:ascii="Verdana" w:hAnsi="Verdana" w:cs="Arial"/>
                <w:color w:val="365F91"/>
                <w:sz w:val="18"/>
                <w:szCs w:val="18"/>
              </w:rPr>
              <w:t>φρούτ</w:t>
            </w:r>
            <w:proofErr w:type="spellEnd"/>
            <w:r>
              <w:rPr>
                <w:rFonts w:ascii="Verdana" w:hAnsi="Verdana" w:cs="Arial"/>
                <w:color w:val="365F91"/>
                <w:sz w:val="18"/>
                <w:szCs w:val="18"/>
              </w:rPr>
              <w:t>α</w:t>
            </w:r>
          </w:p>
        </w:tc>
        <w:tc>
          <w:tcPr>
            <w:tcW w:w="3227" w:type="dxa"/>
            <w:tcBorders>
              <w:top w:val="nil"/>
              <w:left w:val="nil"/>
              <w:bottom w:val="nil"/>
              <w:right w:val="nil"/>
            </w:tcBorders>
            <w:shd w:val="clear" w:color="auto" w:fill="auto"/>
            <w:noWrap/>
            <w:vAlign w:val="center"/>
          </w:tcPr>
          <w:p w14:paraId="21040E55" w14:textId="3D5ED893"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37</w:t>
            </w:r>
          </w:p>
        </w:tc>
      </w:tr>
      <w:tr w:rsidR="00E94D3D" w:rsidRPr="00B350FC" w14:paraId="5B57BFFD" w14:textId="77777777" w:rsidTr="007874D2">
        <w:trPr>
          <w:trHeight w:val="300"/>
          <w:jc w:val="center"/>
        </w:trPr>
        <w:tc>
          <w:tcPr>
            <w:tcW w:w="6234" w:type="dxa"/>
            <w:tcBorders>
              <w:top w:val="nil"/>
              <w:left w:val="nil"/>
              <w:bottom w:val="nil"/>
              <w:right w:val="nil"/>
            </w:tcBorders>
            <w:shd w:val="clear" w:color="auto" w:fill="auto"/>
            <w:vAlign w:val="center"/>
          </w:tcPr>
          <w:p w14:paraId="66F5C30A" w14:textId="16D1E06B" w:rsidR="00E94D3D" w:rsidRPr="00E94D3D" w:rsidRDefault="00E94D3D" w:rsidP="00E94D3D">
            <w:pPr>
              <w:ind w:left="326"/>
              <w:rPr>
                <w:rFonts w:ascii="Verdana" w:hAnsi="Verdana" w:cs="Arial"/>
                <w:color w:val="365F91"/>
                <w:sz w:val="18"/>
                <w:szCs w:val="18"/>
                <w:lang w:val="el-GR"/>
              </w:rPr>
            </w:pPr>
            <w:r w:rsidRPr="00E94D3D">
              <w:rPr>
                <w:rFonts w:ascii="Verdana" w:hAnsi="Verdana" w:cs="Arial"/>
                <w:color w:val="365F91"/>
                <w:sz w:val="18"/>
                <w:szCs w:val="18"/>
                <w:lang w:val="el-GR"/>
              </w:rPr>
              <w:t>Υπηρεσίες για τακτική συντήρηση κατοικίας</w:t>
            </w:r>
          </w:p>
        </w:tc>
        <w:tc>
          <w:tcPr>
            <w:tcW w:w="3227" w:type="dxa"/>
            <w:tcBorders>
              <w:top w:val="nil"/>
              <w:left w:val="nil"/>
              <w:bottom w:val="nil"/>
              <w:right w:val="nil"/>
            </w:tcBorders>
            <w:shd w:val="clear" w:color="auto" w:fill="auto"/>
            <w:noWrap/>
            <w:vAlign w:val="center"/>
          </w:tcPr>
          <w:p w14:paraId="7D4857A8" w14:textId="7E62B05C"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19</w:t>
            </w:r>
          </w:p>
        </w:tc>
      </w:tr>
      <w:tr w:rsidR="00E94D3D" w:rsidRPr="00B350FC" w14:paraId="22FA0A3F" w14:textId="77777777" w:rsidTr="007874D2">
        <w:trPr>
          <w:trHeight w:val="300"/>
          <w:jc w:val="center"/>
        </w:trPr>
        <w:tc>
          <w:tcPr>
            <w:tcW w:w="6234" w:type="dxa"/>
            <w:tcBorders>
              <w:top w:val="nil"/>
              <w:left w:val="nil"/>
              <w:bottom w:val="nil"/>
              <w:right w:val="nil"/>
            </w:tcBorders>
            <w:shd w:val="clear" w:color="auto" w:fill="auto"/>
            <w:vAlign w:val="center"/>
          </w:tcPr>
          <w:p w14:paraId="6F3A97CA" w14:textId="014F1BEC" w:rsidR="00E94D3D" w:rsidRPr="00032B89" w:rsidRDefault="00E94D3D" w:rsidP="00E94D3D">
            <w:pPr>
              <w:ind w:left="326"/>
              <w:rPr>
                <w:rFonts w:ascii="Verdana" w:hAnsi="Verdana" w:cs="Arial"/>
                <w:color w:val="365F91"/>
                <w:sz w:val="18"/>
                <w:szCs w:val="18"/>
                <w:lang w:val="el-GR"/>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α λαχα</w:t>
            </w:r>
            <w:proofErr w:type="spellStart"/>
            <w:r>
              <w:rPr>
                <w:rFonts w:ascii="Verdana" w:hAnsi="Verdana" w:cs="Arial"/>
                <w:color w:val="365F91"/>
                <w:sz w:val="18"/>
                <w:szCs w:val="18"/>
              </w:rPr>
              <w:t>νικά</w:t>
            </w:r>
            <w:proofErr w:type="spellEnd"/>
          </w:p>
        </w:tc>
        <w:tc>
          <w:tcPr>
            <w:tcW w:w="3227" w:type="dxa"/>
            <w:tcBorders>
              <w:top w:val="nil"/>
              <w:left w:val="nil"/>
              <w:bottom w:val="nil"/>
              <w:right w:val="nil"/>
            </w:tcBorders>
            <w:shd w:val="clear" w:color="auto" w:fill="auto"/>
            <w:noWrap/>
            <w:vAlign w:val="center"/>
          </w:tcPr>
          <w:p w14:paraId="35DE0F34" w14:textId="546FC8E4"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17</w:t>
            </w:r>
          </w:p>
        </w:tc>
      </w:tr>
      <w:tr w:rsidR="00E94D3D" w:rsidRPr="002A6A70" w14:paraId="0937B39D" w14:textId="77777777" w:rsidTr="00364589">
        <w:trPr>
          <w:trHeight w:val="300"/>
          <w:jc w:val="center"/>
        </w:trPr>
        <w:tc>
          <w:tcPr>
            <w:tcW w:w="6234" w:type="dxa"/>
            <w:tcBorders>
              <w:top w:val="nil"/>
              <w:left w:val="nil"/>
              <w:bottom w:val="nil"/>
              <w:right w:val="nil"/>
            </w:tcBorders>
            <w:shd w:val="clear" w:color="000000" w:fill="FFFFFF"/>
            <w:vAlign w:val="center"/>
          </w:tcPr>
          <w:p w14:paraId="079C6FDC" w14:textId="427C9DC6" w:rsidR="00E94D3D" w:rsidRPr="002A6A70" w:rsidRDefault="00E94D3D" w:rsidP="00E94D3D">
            <w:pPr>
              <w:ind w:left="179" w:firstLine="142"/>
              <w:rPr>
                <w:rFonts w:ascii="Verdana" w:hAnsi="Verdana" w:cs="Arial"/>
                <w:color w:val="365F91"/>
                <w:sz w:val="18"/>
                <w:szCs w:val="18"/>
                <w:lang w:val="el-GR"/>
              </w:rPr>
            </w:pPr>
            <w:proofErr w:type="spellStart"/>
            <w:r>
              <w:rPr>
                <w:rFonts w:ascii="Verdana" w:hAnsi="Verdana" w:cs="Arial"/>
                <w:color w:val="365F91"/>
                <w:sz w:val="18"/>
                <w:szCs w:val="18"/>
              </w:rPr>
              <w:t>Αερο</w:t>
            </w:r>
            <w:proofErr w:type="spellEnd"/>
            <w:r>
              <w:rPr>
                <w:rFonts w:ascii="Verdana" w:hAnsi="Verdana" w:cs="Arial"/>
                <w:color w:val="365F91"/>
                <w:sz w:val="18"/>
                <w:szCs w:val="18"/>
              </w:rPr>
              <w:t>πορικά να</w:t>
            </w:r>
            <w:proofErr w:type="spellStart"/>
            <w:r>
              <w:rPr>
                <w:rFonts w:ascii="Verdana" w:hAnsi="Verdana" w:cs="Arial"/>
                <w:color w:val="365F91"/>
                <w:sz w:val="18"/>
                <w:szCs w:val="18"/>
              </w:rPr>
              <w:t>ύλ</w:t>
            </w:r>
            <w:proofErr w:type="spellEnd"/>
            <w:r>
              <w:rPr>
                <w:rFonts w:ascii="Verdana" w:hAnsi="Verdana" w:cs="Arial"/>
                <w:color w:val="365F91"/>
                <w:sz w:val="18"/>
                <w:szCs w:val="18"/>
              </w:rPr>
              <w:t>α</w:t>
            </w:r>
          </w:p>
        </w:tc>
        <w:tc>
          <w:tcPr>
            <w:tcW w:w="3227" w:type="dxa"/>
            <w:tcBorders>
              <w:top w:val="nil"/>
              <w:bottom w:val="nil"/>
            </w:tcBorders>
            <w:shd w:val="clear" w:color="FFFFFF" w:fill="FFFFFF"/>
            <w:noWrap/>
            <w:vAlign w:val="center"/>
          </w:tcPr>
          <w:p w14:paraId="177BF376" w14:textId="7F44D90A" w:rsidR="00E94D3D" w:rsidRDefault="00E94D3D" w:rsidP="00E94D3D">
            <w:pPr>
              <w:ind w:right="1138" w:firstLineChars="200" w:firstLine="360"/>
              <w:jc w:val="right"/>
              <w:rPr>
                <w:rFonts w:ascii="Verdana" w:hAnsi="Verdana" w:cs="Arial"/>
                <w:color w:val="365F91"/>
                <w:sz w:val="18"/>
                <w:szCs w:val="18"/>
                <w:lang w:val="el-GR"/>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17</w:t>
            </w:r>
          </w:p>
        </w:tc>
      </w:tr>
      <w:tr w:rsidR="00EA4C7B" w:rsidRPr="00E21D72" w14:paraId="5F56DE30" w14:textId="77777777" w:rsidTr="003A1153">
        <w:trPr>
          <w:trHeight w:val="300"/>
          <w:jc w:val="center"/>
        </w:trPr>
        <w:tc>
          <w:tcPr>
            <w:tcW w:w="6234" w:type="dxa"/>
            <w:tcBorders>
              <w:top w:val="nil"/>
            </w:tcBorders>
            <w:shd w:val="clear" w:color="FFFFFF" w:fill="FFFFFF"/>
            <w:vAlign w:val="center"/>
          </w:tcPr>
          <w:p w14:paraId="45CA1F54" w14:textId="162FE831"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tcBorders>
            <w:shd w:val="clear" w:color="FFFFFF" w:fill="FFFFFF"/>
            <w:noWrap/>
            <w:vAlign w:val="center"/>
          </w:tcPr>
          <w:p w14:paraId="7620B1EE" w14:textId="37C419D7" w:rsidR="00EA4C7B" w:rsidRPr="00B350FC" w:rsidRDefault="00EA4C7B" w:rsidP="00B350FC">
            <w:pPr>
              <w:ind w:left="326" w:right="1138"/>
              <w:jc w:val="right"/>
              <w:rPr>
                <w:rFonts w:ascii="Verdana" w:hAnsi="Verdana" w:cs="Arial"/>
                <w:color w:val="365F91"/>
                <w:sz w:val="18"/>
                <w:szCs w:val="18"/>
              </w:rPr>
            </w:pPr>
          </w:p>
        </w:tc>
      </w:tr>
      <w:tr w:rsidR="00E94D3D" w:rsidRPr="00E21D72" w14:paraId="157F0974" w14:textId="77777777" w:rsidTr="00D0648D">
        <w:trPr>
          <w:trHeight w:val="300"/>
          <w:jc w:val="center"/>
        </w:trPr>
        <w:tc>
          <w:tcPr>
            <w:tcW w:w="6234" w:type="dxa"/>
            <w:tcBorders>
              <w:top w:val="nil"/>
              <w:left w:val="nil"/>
              <w:bottom w:val="nil"/>
              <w:right w:val="nil"/>
            </w:tcBorders>
            <w:shd w:val="clear" w:color="000000" w:fill="FFFFFF"/>
            <w:vAlign w:val="center"/>
          </w:tcPr>
          <w:p w14:paraId="60212099" w14:textId="0616FEF1" w:rsidR="00E94D3D" w:rsidRPr="00B350FC" w:rsidRDefault="00E94D3D" w:rsidP="00E94D3D">
            <w:pPr>
              <w:ind w:left="326"/>
              <w:rPr>
                <w:rFonts w:ascii="Verdana" w:hAnsi="Verdana" w:cs="Arial"/>
                <w:color w:val="365F91"/>
                <w:sz w:val="18"/>
                <w:szCs w:val="18"/>
              </w:rPr>
            </w:pPr>
            <w:proofErr w:type="spellStart"/>
            <w:r>
              <w:rPr>
                <w:rFonts w:ascii="Verdana" w:hAnsi="Verdana" w:cs="Arial"/>
                <w:color w:val="365F91"/>
                <w:sz w:val="18"/>
                <w:szCs w:val="18"/>
              </w:rPr>
              <w:t>Πετρελ</w:t>
            </w:r>
            <w:proofErr w:type="spellEnd"/>
            <w:r>
              <w:rPr>
                <w:rFonts w:ascii="Verdana" w:hAnsi="Verdana" w:cs="Arial"/>
                <w:color w:val="365F91"/>
                <w:sz w:val="18"/>
                <w:szCs w:val="18"/>
              </w:rPr>
              <w:t>αιοειδή</w:t>
            </w:r>
          </w:p>
        </w:tc>
        <w:tc>
          <w:tcPr>
            <w:tcW w:w="3227" w:type="dxa"/>
            <w:tcBorders>
              <w:top w:val="nil"/>
            </w:tcBorders>
            <w:shd w:val="clear" w:color="FFFFFF" w:fill="FFFFFF"/>
            <w:noWrap/>
            <w:vAlign w:val="center"/>
          </w:tcPr>
          <w:p w14:paraId="71EC68D8" w14:textId="018F1160" w:rsidR="00E94D3D" w:rsidRPr="007874D2" w:rsidRDefault="00E94D3D" w:rsidP="00E94D3D">
            <w:pPr>
              <w:ind w:left="326" w:right="1138"/>
              <w:jc w:val="right"/>
              <w:rPr>
                <w:rFonts w:ascii="Verdana" w:hAnsi="Verdana" w:cs="Arial"/>
                <w:color w:val="365F91"/>
                <w:sz w:val="18"/>
                <w:szCs w:val="18"/>
                <w:lang w:val="el-GR"/>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25</w:t>
            </w:r>
          </w:p>
        </w:tc>
      </w:tr>
      <w:tr w:rsidR="00E94D3D" w:rsidRPr="00E21D72" w14:paraId="2F716C77" w14:textId="77777777" w:rsidTr="00D0648D">
        <w:trPr>
          <w:trHeight w:val="300"/>
          <w:jc w:val="center"/>
        </w:trPr>
        <w:tc>
          <w:tcPr>
            <w:tcW w:w="6234" w:type="dxa"/>
            <w:tcBorders>
              <w:top w:val="nil"/>
              <w:left w:val="nil"/>
              <w:bottom w:val="nil"/>
              <w:right w:val="nil"/>
            </w:tcBorders>
            <w:shd w:val="clear" w:color="000000" w:fill="FFFFFF"/>
            <w:vAlign w:val="center"/>
          </w:tcPr>
          <w:p w14:paraId="39D3F082" w14:textId="495C05DF" w:rsidR="00E94D3D" w:rsidRPr="00B350FC" w:rsidRDefault="00E94D3D" w:rsidP="00E94D3D">
            <w:pPr>
              <w:ind w:left="326"/>
              <w:rPr>
                <w:rFonts w:ascii="Verdana" w:hAnsi="Verdana" w:cs="Arial"/>
                <w:color w:val="365F91"/>
                <w:sz w:val="18"/>
                <w:szCs w:val="18"/>
              </w:rPr>
            </w:pPr>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Ένδυσης</w:t>
            </w:r>
            <w:proofErr w:type="spellEnd"/>
            <w:r>
              <w:rPr>
                <w:rFonts w:ascii="Verdana" w:hAnsi="Verdana" w:cs="Arial"/>
                <w:color w:val="365F91"/>
                <w:sz w:val="18"/>
                <w:szCs w:val="18"/>
              </w:rPr>
              <w:t xml:space="preserve"> </w:t>
            </w:r>
          </w:p>
        </w:tc>
        <w:tc>
          <w:tcPr>
            <w:tcW w:w="3227" w:type="dxa"/>
            <w:tcBorders>
              <w:top w:val="nil"/>
            </w:tcBorders>
            <w:shd w:val="clear" w:color="FFFFFF" w:fill="FFFFFF"/>
            <w:noWrap/>
            <w:vAlign w:val="center"/>
          </w:tcPr>
          <w:p w14:paraId="12BE73E9" w14:textId="7E0E8848" w:rsidR="00E94D3D" w:rsidRPr="007874D2" w:rsidRDefault="00E94D3D" w:rsidP="00E94D3D">
            <w:pPr>
              <w:ind w:left="326" w:right="1138"/>
              <w:jc w:val="right"/>
              <w:rPr>
                <w:rFonts w:ascii="Verdana" w:hAnsi="Verdana" w:cs="Arial"/>
                <w:color w:val="365F91"/>
                <w:sz w:val="18"/>
                <w:szCs w:val="18"/>
                <w:lang w:val="el-GR"/>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21</w:t>
            </w:r>
          </w:p>
        </w:tc>
      </w:tr>
      <w:tr w:rsidR="00E94D3D" w:rsidRPr="00E21D72" w14:paraId="570A4848" w14:textId="77777777" w:rsidTr="00D0648D">
        <w:trPr>
          <w:trHeight w:val="300"/>
          <w:jc w:val="center"/>
        </w:trPr>
        <w:tc>
          <w:tcPr>
            <w:tcW w:w="6234" w:type="dxa"/>
            <w:tcBorders>
              <w:top w:val="nil"/>
              <w:left w:val="nil"/>
              <w:bottom w:val="nil"/>
              <w:right w:val="nil"/>
            </w:tcBorders>
            <w:shd w:val="clear" w:color="000000" w:fill="FFFFFF"/>
            <w:vAlign w:val="center"/>
          </w:tcPr>
          <w:p w14:paraId="60F0F561" w14:textId="360C9EC1" w:rsidR="00E94D3D" w:rsidRDefault="00E94D3D" w:rsidP="007874D2">
            <w:pPr>
              <w:ind w:left="326"/>
              <w:rPr>
                <w:rFonts w:ascii="Verdana" w:hAnsi="Verdana" w:cs="Arial"/>
                <w:color w:val="365F91"/>
                <w:sz w:val="18"/>
                <w:szCs w:val="18"/>
              </w:rPr>
            </w:pPr>
            <w:proofErr w:type="spellStart"/>
            <w:r w:rsidRPr="00E94D3D">
              <w:rPr>
                <w:rFonts w:ascii="Verdana" w:hAnsi="Verdana" w:cs="Arial"/>
                <w:color w:val="365F91"/>
                <w:sz w:val="18"/>
                <w:szCs w:val="18"/>
              </w:rPr>
              <w:t>Ηλεκτρισμός</w:t>
            </w:r>
            <w:proofErr w:type="spellEnd"/>
            <w:r w:rsidRPr="00E94D3D">
              <w:rPr>
                <w:rFonts w:ascii="Verdana" w:hAnsi="Verdana" w:cs="Arial"/>
                <w:color w:val="365F91"/>
                <w:sz w:val="18"/>
                <w:szCs w:val="18"/>
              </w:rPr>
              <w:tab/>
            </w:r>
          </w:p>
        </w:tc>
        <w:tc>
          <w:tcPr>
            <w:tcW w:w="3227" w:type="dxa"/>
            <w:tcBorders>
              <w:top w:val="nil"/>
            </w:tcBorders>
            <w:shd w:val="clear" w:color="FFFFFF" w:fill="FFFFFF"/>
            <w:noWrap/>
            <w:vAlign w:val="center"/>
          </w:tcPr>
          <w:p w14:paraId="17028739" w14:textId="283811D3" w:rsidR="00E94D3D" w:rsidRDefault="00E94D3D" w:rsidP="007874D2">
            <w:pPr>
              <w:ind w:left="326" w:right="1138"/>
              <w:jc w:val="right"/>
              <w:rPr>
                <w:rFonts w:ascii="Verdana" w:hAnsi="Verdana" w:cs="Arial"/>
                <w:color w:val="365F91"/>
                <w:sz w:val="18"/>
                <w:szCs w:val="18"/>
              </w:rPr>
            </w:pPr>
            <w:r w:rsidRPr="00E94D3D">
              <w:rPr>
                <w:rFonts w:ascii="Verdana" w:hAnsi="Verdana" w:cs="Arial"/>
                <w:color w:val="365F91"/>
                <w:sz w:val="18"/>
                <w:szCs w:val="18"/>
              </w:rPr>
              <w:t>-0</w:t>
            </w:r>
            <w:r w:rsidR="00D62C8A">
              <w:rPr>
                <w:rFonts w:ascii="Verdana" w:hAnsi="Verdana" w:cs="Arial"/>
                <w:color w:val="365F91"/>
                <w:sz w:val="18"/>
                <w:szCs w:val="18"/>
              </w:rPr>
              <w:t>,</w:t>
            </w:r>
            <w:r w:rsidRPr="00E94D3D">
              <w:rPr>
                <w:rFonts w:ascii="Verdana" w:hAnsi="Verdana" w:cs="Arial"/>
                <w:color w:val="365F91"/>
                <w:sz w:val="18"/>
                <w:szCs w:val="18"/>
              </w:rPr>
              <w:t>19</w:t>
            </w:r>
          </w:p>
        </w:tc>
      </w:tr>
      <w:tr w:rsidR="00E94D3D" w:rsidRPr="00E21D72" w14:paraId="769D35E4" w14:textId="77777777" w:rsidTr="00D0648D">
        <w:trPr>
          <w:trHeight w:val="300"/>
          <w:jc w:val="center"/>
        </w:trPr>
        <w:tc>
          <w:tcPr>
            <w:tcW w:w="6234" w:type="dxa"/>
            <w:tcBorders>
              <w:top w:val="nil"/>
              <w:left w:val="nil"/>
              <w:bottom w:val="nil"/>
              <w:right w:val="nil"/>
            </w:tcBorders>
            <w:shd w:val="clear" w:color="000000" w:fill="FFFFFF"/>
            <w:vAlign w:val="center"/>
          </w:tcPr>
          <w:p w14:paraId="0E6356C1" w14:textId="663D81A3" w:rsidR="00E94D3D" w:rsidRPr="00E94D3D" w:rsidRDefault="00E94D3D" w:rsidP="00E94D3D">
            <w:pPr>
              <w:ind w:left="326"/>
              <w:rPr>
                <w:rFonts w:ascii="Verdana" w:hAnsi="Verdana" w:cs="Arial"/>
                <w:color w:val="365F91"/>
                <w:sz w:val="18"/>
                <w:szCs w:val="18"/>
                <w:lang w:val="el-GR"/>
              </w:rPr>
            </w:pPr>
            <w:r w:rsidRPr="00E94D3D">
              <w:rPr>
                <w:rFonts w:ascii="Verdana" w:hAnsi="Verdana" w:cs="Arial"/>
                <w:color w:val="365F91"/>
                <w:sz w:val="18"/>
                <w:szCs w:val="18"/>
                <w:lang w:val="el-GR"/>
              </w:rPr>
              <w:t>Διάφορα άλλα προϊόντα και υπηρεσίες</w:t>
            </w:r>
          </w:p>
        </w:tc>
        <w:tc>
          <w:tcPr>
            <w:tcW w:w="3227" w:type="dxa"/>
            <w:tcBorders>
              <w:top w:val="nil"/>
            </w:tcBorders>
            <w:shd w:val="clear" w:color="FFFFFF" w:fill="FFFFFF"/>
            <w:noWrap/>
            <w:vAlign w:val="center"/>
          </w:tcPr>
          <w:p w14:paraId="1403F365" w14:textId="3B8FC59C" w:rsidR="00E94D3D" w:rsidRPr="00B350FC" w:rsidRDefault="00E94D3D" w:rsidP="00E94D3D">
            <w:pPr>
              <w:ind w:left="326" w:right="1138"/>
              <w:jc w:val="right"/>
              <w:rPr>
                <w:rFonts w:ascii="Verdana" w:hAnsi="Verdana" w:cs="Arial"/>
                <w:color w:val="365F91"/>
                <w:sz w:val="18"/>
                <w:szCs w:val="18"/>
              </w:rPr>
            </w:pPr>
            <w:r>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rPr>
              <w:t>60</w:t>
            </w:r>
          </w:p>
        </w:tc>
      </w:tr>
      <w:tr w:rsidR="00EA4C7B" w:rsidRPr="00E21D72" w14:paraId="7CE0AC98"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2B630195" w:rsidR="00EA4C7B" w:rsidRPr="007874D2" w:rsidRDefault="00E94D3D" w:rsidP="00B350FC">
            <w:pPr>
              <w:ind w:right="1138"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0</w:t>
            </w:r>
            <w:r w:rsidR="007874D2">
              <w:rPr>
                <w:rFonts w:ascii="Verdana" w:eastAsia="Times New Roman" w:hAnsi="Verdana" w:cs="Arial"/>
                <w:b/>
                <w:color w:val="365F91"/>
                <w:sz w:val="18"/>
                <w:szCs w:val="18"/>
                <w:lang w:val="el-GR"/>
              </w:rPr>
              <w:t>,</w:t>
            </w:r>
            <w:r>
              <w:rPr>
                <w:rFonts w:ascii="Verdana" w:eastAsia="Times New Roman" w:hAnsi="Verdana" w:cs="Arial"/>
                <w:b/>
                <w:color w:val="365F91"/>
                <w:sz w:val="18"/>
                <w:szCs w:val="18"/>
                <w:lang w:val="el-GR"/>
              </w:rPr>
              <w:t>22</w:t>
            </w:r>
          </w:p>
        </w:tc>
      </w:tr>
      <w:bookmarkEnd w:id="3"/>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092A2F61" w:rsidR="006022B5" w:rsidRDefault="006022B5" w:rsidP="006022B5">
      <w:pPr>
        <w:tabs>
          <w:tab w:val="left" w:pos="1080"/>
          <w:tab w:val="left" w:pos="6840"/>
        </w:tabs>
        <w:jc w:val="both"/>
        <w:rPr>
          <w:rFonts w:ascii="Verdana" w:eastAsia="Malgun Gothic" w:hAnsi="Verdana" w:cs="Arial"/>
          <w:sz w:val="18"/>
          <w:szCs w:val="18"/>
          <w:u w:val="single"/>
        </w:rPr>
      </w:pPr>
    </w:p>
    <w:p w14:paraId="32686059" w14:textId="77777777" w:rsidR="00A766A2" w:rsidRDefault="00A766A2" w:rsidP="006022B5">
      <w:pPr>
        <w:tabs>
          <w:tab w:val="left" w:pos="1080"/>
          <w:tab w:val="left" w:pos="6840"/>
        </w:tabs>
        <w:jc w:val="both"/>
        <w:rPr>
          <w:rFonts w:ascii="Verdana" w:eastAsia="Malgun Gothic" w:hAnsi="Verdana" w:cs="Arial"/>
          <w:sz w:val="18"/>
          <w:szCs w:val="18"/>
          <w:u w:val="single"/>
        </w:rPr>
      </w:pPr>
    </w:p>
    <w:p w14:paraId="4FD7775C" w14:textId="77777777" w:rsidR="00BF2B1C" w:rsidRPr="00D56B64" w:rsidRDefault="00BF2B1C" w:rsidP="006022B5">
      <w:pPr>
        <w:tabs>
          <w:tab w:val="left" w:pos="1080"/>
          <w:tab w:val="left" w:pos="6840"/>
        </w:tabs>
        <w:jc w:val="both"/>
        <w:rPr>
          <w:rFonts w:ascii="Verdana" w:eastAsia="Malgun Gothic" w:hAnsi="Verdana" w:cs="Arial"/>
          <w:sz w:val="18"/>
          <w:szCs w:val="18"/>
          <w:u w:val="single"/>
          <w:lang w:val="el-GR"/>
        </w:rPr>
      </w:pPr>
    </w:p>
    <w:tbl>
      <w:tblPr>
        <w:tblW w:w="9461" w:type="dxa"/>
        <w:jc w:val="center"/>
        <w:tblLook w:val="04A0" w:firstRow="1" w:lastRow="0" w:firstColumn="1" w:lastColumn="0" w:noHBand="0" w:noVBand="1"/>
      </w:tblPr>
      <w:tblGrid>
        <w:gridCol w:w="6234"/>
        <w:gridCol w:w="3227"/>
      </w:tblGrid>
      <w:tr w:rsidR="006022B5" w:rsidRPr="00E21D72" w14:paraId="59D19A26"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0A682EA1"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6022B5" w:rsidRPr="00E21D72" w14:paraId="5E069138"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9137E77"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BE7933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6022B5" w:rsidRPr="00E21D72" w14:paraId="0C3752BC" w14:textId="77777777" w:rsidTr="00740321">
        <w:trPr>
          <w:trHeight w:val="548"/>
          <w:jc w:val="center"/>
        </w:trPr>
        <w:tc>
          <w:tcPr>
            <w:tcW w:w="6234" w:type="dxa"/>
            <w:vMerge/>
            <w:tcBorders>
              <w:bottom w:val="single" w:sz="4" w:space="0" w:color="366092"/>
            </w:tcBorders>
            <w:shd w:val="clear" w:color="FFFFFF" w:fill="FFFFFF"/>
            <w:vAlign w:val="center"/>
            <w:hideMark/>
          </w:tcPr>
          <w:p w14:paraId="3CFE0A0E" w14:textId="77777777" w:rsidR="006022B5" w:rsidRPr="00E21D72" w:rsidRDefault="006022B5" w:rsidP="006022B5">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8D48676" w14:textId="2FC8FF04" w:rsidR="006022B5" w:rsidRPr="00E21D72" w:rsidRDefault="0001436B" w:rsidP="002A7893">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Απρ</w:t>
            </w:r>
            <w:r w:rsidRPr="00C80D18">
              <w:rPr>
                <w:rFonts w:ascii="Verdana" w:eastAsia="Times New Roman" w:hAnsi="Verdana" w:cs="Arial"/>
                <w:b/>
                <w:bCs/>
                <w:color w:val="365F91"/>
                <w:sz w:val="18"/>
                <w:szCs w:val="18"/>
                <w:lang w:val="el-GR"/>
              </w:rPr>
              <w:t xml:space="preserve"> 25/ </w:t>
            </w:r>
            <w:r>
              <w:rPr>
                <w:rFonts w:ascii="Verdana" w:eastAsia="Times New Roman" w:hAnsi="Verdana" w:cs="Arial"/>
                <w:b/>
                <w:bCs/>
                <w:color w:val="365F91"/>
                <w:sz w:val="18"/>
                <w:szCs w:val="18"/>
                <w:lang w:val="el-GR"/>
              </w:rPr>
              <w:t>Μαρ</w:t>
            </w:r>
            <w:r w:rsidRPr="00C80D18">
              <w:rPr>
                <w:rFonts w:ascii="Verdana" w:eastAsia="Times New Roman" w:hAnsi="Verdana" w:cs="Arial"/>
                <w:b/>
                <w:bCs/>
                <w:color w:val="365F91"/>
                <w:sz w:val="18"/>
                <w:szCs w:val="18"/>
                <w:lang w:val="el-GR"/>
              </w:rPr>
              <w:t xml:space="preserve"> 2</w:t>
            </w:r>
            <w:r w:rsidRPr="00C80D18">
              <w:rPr>
                <w:rFonts w:ascii="Verdana" w:eastAsia="Times New Roman" w:hAnsi="Verdana" w:cs="Arial"/>
                <w:b/>
                <w:bCs/>
                <w:color w:val="365F91"/>
                <w:sz w:val="18"/>
                <w:szCs w:val="18"/>
              </w:rPr>
              <w:t>5</w:t>
            </w:r>
          </w:p>
        </w:tc>
      </w:tr>
      <w:tr w:rsidR="003968D1" w:rsidRPr="00E21D72" w14:paraId="446C362D" w14:textId="77777777" w:rsidTr="003A1153">
        <w:trPr>
          <w:trHeight w:val="300"/>
          <w:jc w:val="center"/>
        </w:trPr>
        <w:tc>
          <w:tcPr>
            <w:tcW w:w="6234" w:type="dxa"/>
            <w:tcBorders>
              <w:top w:val="nil"/>
              <w:bottom w:val="nil"/>
            </w:tcBorders>
            <w:shd w:val="clear" w:color="FFFFFF" w:fill="FFFFFF"/>
            <w:vAlign w:val="center"/>
          </w:tcPr>
          <w:p w14:paraId="10BE80B9" w14:textId="50FCED64" w:rsidR="003968D1" w:rsidRPr="00E21D72" w:rsidRDefault="00936D92" w:rsidP="003968D1">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Θετική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775CF692" w14:textId="77777777" w:rsidR="003968D1" w:rsidRPr="00E21D72" w:rsidRDefault="003968D1" w:rsidP="003968D1">
            <w:pPr>
              <w:ind w:right="1304" w:firstLineChars="200" w:firstLine="360"/>
              <w:jc w:val="right"/>
              <w:rPr>
                <w:rFonts w:ascii="Verdana" w:eastAsia="Times New Roman" w:hAnsi="Verdana" w:cs="Arial"/>
                <w:bCs/>
                <w:color w:val="365F91"/>
                <w:sz w:val="18"/>
                <w:szCs w:val="18"/>
                <w:lang w:val="el-GR"/>
              </w:rPr>
            </w:pPr>
          </w:p>
        </w:tc>
      </w:tr>
      <w:tr w:rsidR="00E94D3D" w:rsidRPr="00B350FC" w14:paraId="0F1E746A" w14:textId="77777777" w:rsidTr="00364589">
        <w:trPr>
          <w:trHeight w:val="300"/>
          <w:jc w:val="center"/>
        </w:trPr>
        <w:tc>
          <w:tcPr>
            <w:tcW w:w="6234" w:type="dxa"/>
            <w:tcBorders>
              <w:top w:val="nil"/>
              <w:left w:val="nil"/>
              <w:bottom w:val="nil"/>
              <w:right w:val="nil"/>
            </w:tcBorders>
            <w:shd w:val="clear" w:color="000000" w:fill="FFFFFF"/>
            <w:vAlign w:val="center"/>
          </w:tcPr>
          <w:p w14:paraId="7175C978" w14:textId="50E07BD5" w:rsidR="00E94D3D" w:rsidRPr="00B350FC" w:rsidRDefault="00E94D3D" w:rsidP="00E94D3D">
            <w:pPr>
              <w:ind w:left="326"/>
              <w:rPr>
                <w:rFonts w:ascii="Verdana" w:hAnsi="Verdana" w:cs="Arial"/>
                <w:color w:val="365F91"/>
                <w:sz w:val="18"/>
                <w:szCs w:val="18"/>
              </w:rPr>
            </w:pPr>
            <w:bookmarkStart w:id="4" w:name="_Hlk197438631"/>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w:t>
            </w:r>
            <w:proofErr w:type="spellStart"/>
            <w:r>
              <w:rPr>
                <w:rFonts w:ascii="Verdana" w:hAnsi="Verdana" w:cs="Arial"/>
                <w:color w:val="365F91"/>
                <w:sz w:val="18"/>
                <w:szCs w:val="18"/>
              </w:rPr>
              <w:t>Ένδυσης</w:t>
            </w:r>
            <w:proofErr w:type="spellEnd"/>
            <w:r>
              <w:rPr>
                <w:rFonts w:ascii="Verdana" w:hAnsi="Verdana" w:cs="Arial"/>
                <w:color w:val="365F91"/>
                <w:sz w:val="18"/>
                <w:szCs w:val="18"/>
              </w:rPr>
              <w:t xml:space="preserve"> </w:t>
            </w:r>
          </w:p>
        </w:tc>
        <w:tc>
          <w:tcPr>
            <w:tcW w:w="3227" w:type="dxa"/>
            <w:tcBorders>
              <w:top w:val="nil"/>
              <w:left w:val="nil"/>
              <w:bottom w:val="nil"/>
              <w:right w:val="nil"/>
            </w:tcBorders>
            <w:shd w:val="clear" w:color="000000" w:fill="FFFFFF"/>
            <w:noWrap/>
            <w:vAlign w:val="center"/>
          </w:tcPr>
          <w:p w14:paraId="4EBEF734" w14:textId="6DBF5342" w:rsidR="00E94D3D" w:rsidRPr="00E94D3D" w:rsidRDefault="00E94D3D" w:rsidP="00E94D3D">
            <w:pPr>
              <w:ind w:right="1304" w:firstLineChars="200" w:firstLine="360"/>
              <w:jc w:val="right"/>
              <w:rPr>
                <w:rFonts w:ascii="Verdana" w:eastAsia="Times New Roman" w:hAnsi="Verdana" w:cs="Arial"/>
                <w:bCs/>
                <w:color w:val="365F91"/>
                <w:sz w:val="18"/>
                <w:szCs w:val="18"/>
                <w:lang w:val="el-GR"/>
              </w:rPr>
            </w:pPr>
            <w:r w:rsidRPr="00E94D3D">
              <w:rPr>
                <w:rFonts w:ascii="Verdana" w:eastAsia="Times New Roman" w:hAnsi="Verdana" w:cs="Arial"/>
                <w:bCs/>
                <w:color w:val="365F91"/>
                <w:sz w:val="18"/>
                <w:szCs w:val="18"/>
                <w:lang w:val="el-GR"/>
              </w:rPr>
              <w:t>0</w:t>
            </w:r>
            <w:r w:rsidR="00D62C8A">
              <w:rPr>
                <w:rFonts w:ascii="Verdana" w:eastAsia="Times New Roman" w:hAnsi="Verdana" w:cs="Arial"/>
                <w:bCs/>
                <w:color w:val="365F91"/>
                <w:sz w:val="18"/>
                <w:szCs w:val="18"/>
                <w:lang w:val="el-GR"/>
              </w:rPr>
              <w:t>,</w:t>
            </w:r>
            <w:r w:rsidRPr="00E94D3D">
              <w:rPr>
                <w:rFonts w:ascii="Verdana" w:eastAsia="Times New Roman" w:hAnsi="Verdana" w:cs="Arial"/>
                <w:bCs/>
                <w:color w:val="365F91"/>
                <w:sz w:val="18"/>
                <w:szCs w:val="18"/>
                <w:lang w:val="el-GR"/>
              </w:rPr>
              <w:t>20</w:t>
            </w:r>
          </w:p>
        </w:tc>
      </w:tr>
      <w:tr w:rsidR="00E94D3D" w:rsidRPr="00B350FC" w14:paraId="3457F7A2" w14:textId="77777777" w:rsidTr="00364589">
        <w:trPr>
          <w:trHeight w:val="300"/>
          <w:jc w:val="center"/>
        </w:trPr>
        <w:tc>
          <w:tcPr>
            <w:tcW w:w="6234" w:type="dxa"/>
            <w:tcBorders>
              <w:top w:val="nil"/>
              <w:left w:val="nil"/>
              <w:bottom w:val="nil"/>
              <w:right w:val="nil"/>
            </w:tcBorders>
            <w:shd w:val="clear" w:color="000000" w:fill="FFFFFF"/>
            <w:vAlign w:val="center"/>
          </w:tcPr>
          <w:p w14:paraId="79BCFE4D" w14:textId="241CBE52" w:rsidR="00E94D3D" w:rsidRDefault="00E94D3D" w:rsidP="00E94D3D">
            <w:pPr>
              <w:ind w:left="326"/>
              <w:rPr>
                <w:rFonts w:ascii="Verdana" w:hAnsi="Verdana" w:cs="Arial"/>
                <w:color w:val="365F91"/>
                <w:sz w:val="18"/>
                <w:szCs w:val="18"/>
              </w:rPr>
            </w:pPr>
            <w:proofErr w:type="spellStart"/>
            <w:r>
              <w:rPr>
                <w:rFonts w:ascii="Verdana" w:hAnsi="Verdana" w:cs="Arial"/>
                <w:color w:val="365F91"/>
                <w:sz w:val="18"/>
                <w:szCs w:val="18"/>
              </w:rPr>
              <w:t>Αερο</w:t>
            </w:r>
            <w:proofErr w:type="spellEnd"/>
            <w:r>
              <w:rPr>
                <w:rFonts w:ascii="Verdana" w:hAnsi="Verdana" w:cs="Arial"/>
                <w:color w:val="365F91"/>
                <w:sz w:val="18"/>
                <w:szCs w:val="18"/>
              </w:rPr>
              <w:t>πορικά να</w:t>
            </w:r>
            <w:proofErr w:type="spellStart"/>
            <w:r>
              <w:rPr>
                <w:rFonts w:ascii="Verdana" w:hAnsi="Verdana" w:cs="Arial"/>
                <w:color w:val="365F91"/>
                <w:sz w:val="18"/>
                <w:szCs w:val="18"/>
              </w:rPr>
              <w:t>ύλ</w:t>
            </w:r>
            <w:proofErr w:type="spellEnd"/>
            <w:r>
              <w:rPr>
                <w:rFonts w:ascii="Verdana" w:hAnsi="Verdana" w:cs="Arial"/>
                <w:color w:val="365F91"/>
                <w:sz w:val="18"/>
                <w:szCs w:val="18"/>
              </w:rPr>
              <w:t>α</w:t>
            </w:r>
          </w:p>
        </w:tc>
        <w:tc>
          <w:tcPr>
            <w:tcW w:w="3227" w:type="dxa"/>
            <w:tcBorders>
              <w:top w:val="nil"/>
              <w:left w:val="nil"/>
              <w:bottom w:val="nil"/>
              <w:right w:val="nil"/>
            </w:tcBorders>
            <w:shd w:val="clear" w:color="000000" w:fill="FFFFFF"/>
            <w:noWrap/>
            <w:vAlign w:val="center"/>
          </w:tcPr>
          <w:p w14:paraId="6274C289" w14:textId="2CA84454" w:rsidR="00E94D3D" w:rsidRPr="00E94D3D" w:rsidRDefault="00E94D3D" w:rsidP="00E94D3D">
            <w:pPr>
              <w:ind w:right="1304" w:firstLineChars="200" w:firstLine="360"/>
              <w:jc w:val="right"/>
              <w:rPr>
                <w:rFonts w:ascii="Verdana" w:eastAsia="Times New Roman" w:hAnsi="Verdana" w:cs="Arial"/>
                <w:bCs/>
                <w:color w:val="365F91"/>
                <w:sz w:val="18"/>
                <w:szCs w:val="18"/>
                <w:lang w:val="el-GR"/>
              </w:rPr>
            </w:pPr>
            <w:r w:rsidRPr="00E94D3D">
              <w:rPr>
                <w:rFonts w:ascii="Verdana" w:eastAsia="Times New Roman" w:hAnsi="Verdana" w:cs="Arial"/>
                <w:bCs/>
                <w:color w:val="365F91"/>
                <w:sz w:val="18"/>
                <w:szCs w:val="18"/>
                <w:lang w:val="el-GR"/>
              </w:rPr>
              <w:t>0</w:t>
            </w:r>
            <w:r w:rsidR="00D62C8A">
              <w:rPr>
                <w:rFonts w:ascii="Verdana" w:eastAsia="Times New Roman" w:hAnsi="Verdana" w:cs="Arial"/>
                <w:bCs/>
                <w:color w:val="365F91"/>
                <w:sz w:val="18"/>
                <w:szCs w:val="18"/>
                <w:lang w:val="el-GR"/>
              </w:rPr>
              <w:t>,</w:t>
            </w:r>
            <w:r w:rsidRPr="00E94D3D">
              <w:rPr>
                <w:rFonts w:ascii="Verdana" w:eastAsia="Times New Roman" w:hAnsi="Verdana" w:cs="Arial"/>
                <w:bCs/>
                <w:color w:val="365F91"/>
                <w:sz w:val="18"/>
                <w:szCs w:val="18"/>
                <w:lang w:val="el-GR"/>
              </w:rPr>
              <w:t>17</w:t>
            </w:r>
          </w:p>
        </w:tc>
      </w:tr>
      <w:tr w:rsidR="00E94D3D" w:rsidRPr="00B350FC" w14:paraId="1E797F73" w14:textId="77777777" w:rsidTr="00364589">
        <w:trPr>
          <w:trHeight w:val="300"/>
          <w:jc w:val="center"/>
        </w:trPr>
        <w:tc>
          <w:tcPr>
            <w:tcW w:w="6234" w:type="dxa"/>
            <w:tcBorders>
              <w:top w:val="nil"/>
              <w:left w:val="nil"/>
              <w:bottom w:val="nil"/>
              <w:right w:val="nil"/>
            </w:tcBorders>
            <w:shd w:val="clear" w:color="000000" w:fill="FFFFFF"/>
            <w:vAlign w:val="center"/>
          </w:tcPr>
          <w:p w14:paraId="08687F66" w14:textId="7A37D9A4" w:rsidR="00E94D3D" w:rsidRDefault="00E94D3D" w:rsidP="00E94D3D">
            <w:pPr>
              <w:ind w:left="326"/>
              <w:rPr>
                <w:rFonts w:ascii="Verdana" w:hAnsi="Verdana" w:cs="Arial"/>
                <w:color w:val="365F91"/>
                <w:sz w:val="18"/>
                <w:szCs w:val="18"/>
              </w:rPr>
            </w:pPr>
            <w:proofErr w:type="spellStart"/>
            <w:r>
              <w:rPr>
                <w:rFonts w:ascii="Verdana" w:hAnsi="Verdana" w:cs="Arial"/>
                <w:color w:val="365F91"/>
                <w:sz w:val="18"/>
                <w:szCs w:val="18"/>
              </w:rPr>
              <w:t>Είδη</w:t>
            </w:r>
            <w:proofErr w:type="spellEnd"/>
            <w:r>
              <w:rPr>
                <w:rFonts w:ascii="Verdana" w:hAnsi="Verdana" w:cs="Arial"/>
                <w:color w:val="365F91"/>
                <w:sz w:val="18"/>
                <w:szCs w:val="18"/>
              </w:rPr>
              <w:t xml:space="preserve"> Υπ</w:t>
            </w:r>
            <w:proofErr w:type="spellStart"/>
            <w:r>
              <w:rPr>
                <w:rFonts w:ascii="Verdana" w:hAnsi="Verdana" w:cs="Arial"/>
                <w:color w:val="365F91"/>
                <w:sz w:val="18"/>
                <w:szCs w:val="18"/>
              </w:rPr>
              <w:t>όδησης</w:t>
            </w:r>
            <w:proofErr w:type="spellEnd"/>
          </w:p>
        </w:tc>
        <w:tc>
          <w:tcPr>
            <w:tcW w:w="3227" w:type="dxa"/>
            <w:tcBorders>
              <w:top w:val="nil"/>
              <w:left w:val="nil"/>
              <w:bottom w:val="nil"/>
              <w:right w:val="nil"/>
            </w:tcBorders>
            <w:shd w:val="clear" w:color="000000" w:fill="FFFFFF"/>
            <w:noWrap/>
            <w:vAlign w:val="center"/>
          </w:tcPr>
          <w:p w14:paraId="2BEC2CA5" w14:textId="402FA9E5" w:rsidR="00E94D3D" w:rsidRPr="00E94D3D" w:rsidRDefault="00E94D3D" w:rsidP="00E94D3D">
            <w:pPr>
              <w:ind w:right="1304" w:firstLineChars="200" w:firstLine="360"/>
              <w:jc w:val="right"/>
              <w:rPr>
                <w:rFonts w:ascii="Verdana" w:eastAsia="Times New Roman" w:hAnsi="Verdana" w:cs="Arial"/>
                <w:bCs/>
                <w:color w:val="365F91"/>
                <w:sz w:val="18"/>
                <w:szCs w:val="18"/>
                <w:lang w:val="el-GR"/>
              </w:rPr>
            </w:pPr>
            <w:r w:rsidRPr="00E94D3D">
              <w:rPr>
                <w:rFonts w:ascii="Verdana" w:eastAsia="Times New Roman" w:hAnsi="Verdana" w:cs="Arial"/>
                <w:bCs/>
                <w:color w:val="365F91"/>
                <w:sz w:val="18"/>
                <w:szCs w:val="18"/>
                <w:lang w:val="el-GR"/>
              </w:rPr>
              <w:t>0</w:t>
            </w:r>
            <w:r w:rsidR="00D62C8A">
              <w:rPr>
                <w:rFonts w:ascii="Verdana" w:eastAsia="Times New Roman" w:hAnsi="Verdana" w:cs="Arial"/>
                <w:bCs/>
                <w:color w:val="365F91"/>
                <w:sz w:val="18"/>
                <w:szCs w:val="18"/>
                <w:lang w:val="el-GR"/>
              </w:rPr>
              <w:t>,</w:t>
            </w:r>
            <w:r w:rsidRPr="00E94D3D">
              <w:rPr>
                <w:rFonts w:ascii="Verdana" w:eastAsia="Times New Roman" w:hAnsi="Verdana" w:cs="Arial"/>
                <w:bCs/>
                <w:color w:val="365F91"/>
                <w:sz w:val="18"/>
                <w:szCs w:val="18"/>
                <w:lang w:val="el-GR"/>
              </w:rPr>
              <w:t>13</w:t>
            </w:r>
          </w:p>
        </w:tc>
      </w:tr>
      <w:tr w:rsidR="00E94D3D" w:rsidRPr="00B350FC" w14:paraId="6B057E0A" w14:textId="77777777" w:rsidTr="00364589">
        <w:trPr>
          <w:trHeight w:val="300"/>
          <w:jc w:val="center"/>
        </w:trPr>
        <w:tc>
          <w:tcPr>
            <w:tcW w:w="6234" w:type="dxa"/>
            <w:tcBorders>
              <w:top w:val="nil"/>
              <w:left w:val="nil"/>
              <w:bottom w:val="nil"/>
              <w:right w:val="nil"/>
            </w:tcBorders>
            <w:shd w:val="clear" w:color="000000" w:fill="FFFFFF"/>
            <w:vAlign w:val="center"/>
          </w:tcPr>
          <w:p w14:paraId="0C7ECBBC" w14:textId="456FEDE3" w:rsidR="00E94D3D" w:rsidRPr="00356FDC" w:rsidRDefault="00E94D3D" w:rsidP="00E94D3D">
            <w:pPr>
              <w:ind w:left="326"/>
              <w:rPr>
                <w:rFonts w:ascii="Verdana" w:hAnsi="Verdana" w:cs="Arial"/>
                <w:color w:val="365F91"/>
                <w:sz w:val="18"/>
                <w:szCs w:val="18"/>
                <w:lang w:val="el-GR"/>
              </w:rPr>
            </w:pPr>
            <w:proofErr w:type="spellStart"/>
            <w:r>
              <w:rPr>
                <w:rFonts w:ascii="Verdana" w:hAnsi="Verdana" w:cs="Arial"/>
                <w:color w:val="365F91"/>
                <w:sz w:val="18"/>
                <w:szCs w:val="18"/>
              </w:rPr>
              <w:t>Φρέσκ</w:t>
            </w:r>
            <w:proofErr w:type="spellEnd"/>
            <w:r>
              <w:rPr>
                <w:rFonts w:ascii="Verdana" w:hAnsi="Verdana" w:cs="Arial"/>
                <w:color w:val="365F91"/>
                <w:sz w:val="18"/>
                <w:szCs w:val="18"/>
              </w:rPr>
              <w:t xml:space="preserve">α </w:t>
            </w:r>
            <w:proofErr w:type="spellStart"/>
            <w:r>
              <w:rPr>
                <w:rFonts w:ascii="Verdana" w:hAnsi="Verdana" w:cs="Arial"/>
                <w:color w:val="365F91"/>
                <w:sz w:val="18"/>
                <w:szCs w:val="18"/>
              </w:rPr>
              <w:t>φρούτ</w:t>
            </w:r>
            <w:proofErr w:type="spellEnd"/>
            <w:r>
              <w:rPr>
                <w:rFonts w:ascii="Verdana" w:hAnsi="Verdana" w:cs="Arial"/>
                <w:color w:val="365F91"/>
                <w:sz w:val="18"/>
                <w:szCs w:val="18"/>
              </w:rPr>
              <w:t>α</w:t>
            </w:r>
          </w:p>
        </w:tc>
        <w:tc>
          <w:tcPr>
            <w:tcW w:w="3227" w:type="dxa"/>
            <w:tcBorders>
              <w:top w:val="nil"/>
              <w:left w:val="nil"/>
              <w:bottom w:val="nil"/>
              <w:right w:val="nil"/>
            </w:tcBorders>
            <w:shd w:val="clear" w:color="000000" w:fill="FFFFFF"/>
            <w:noWrap/>
            <w:vAlign w:val="center"/>
          </w:tcPr>
          <w:p w14:paraId="775AA1FE" w14:textId="2781378E" w:rsidR="00E94D3D" w:rsidRPr="00E94D3D" w:rsidRDefault="00E94D3D" w:rsidP="00E94D3D">
            <w:pPr>
              <w:ind w:right="1304" w:firstLineChars="200" w:firstLine="360"/>
              <w:jc w:val="right"/>
              <w:rPr>
                <w:rFonts w:ascii="Verdana" w:eastAsia="Times New Roman" w:hAnsi="Verdana" w:cs="Arial"/>
                <w:bCs/>
                <w:color w:val="365F91"/>
                <w:sz w:val="18"/>
                <w:szCs w:val="18"/>
                <w:lang w:val="el-GR"/>
              </w:rPr>
            </w:pPr>
            <w:r w:rsidRPr="00E94D3D">
              <w:rPr>
                <w:rFonts w:ascii="Verdana" w:eastAsia="Times New Roman" w:hAnsi="Verdana" w:cs="Arial"/>
                <w:bCs/>
                <w:color w:val="365F91"/>
                <w:sz w:val="18"/>
                <w:szCs w:val="18"/>
                <w:lang w:val="el-GR"/>
              </w:rPr>
              <w:t>0</w:t>
            </w:r>
            <w:r w:rsidR="00D62C8A">
              <w:rPr>
                <w:rFonts w:ascii="Verdana" w:eastAsia="Times New Roman" w:hAnsi="Verdana" w:cs="Arial"/>
                <w:bCs/>
                <w:color w:val="365F91"/>
                <w:sz w:val="18"/>
                <w:szCs w:val="18"/>
                <w:lang w:val="el-GR"/>
              </w:rPr>
              <w:t>,</w:t>
            </w:r>
            <w:r w:rsidRPr="00E94D3D">
              <w:rPr>
                <w:rFonts w:ascii="Verdana" w:eastAsia="Times New Roman" w:hAnsi="Verdana" w:cs="Arial"/>
                <w:bCs/>
                <w:color w:val="365F91"/>
                <w:sz w:val="18"/>
                <w:szCs w:val="18"/>
                <w:lang w:val="el-GR"/>
              </w:rPr>
              <w:t>11</w:t>
            </w:r>
          </w:p>
        </w:tc>
      </w:tr>
      <w:tr w:rsidR="00E94D3D" w:rsidRPr="00E94D3D" w14:paraId="57233FCB" w14:textId="77777777" w:rsidTr="00E94D3D">
        <w:trPr>
          <w:trHeight w:val="300"/>
          <w:jc w:val="center"/>
        </w:trPr>
        <w:tc>
          <w:tcPr>
            <w:tcW w:w="6234" w:type="dxa"/>
            <w:tcBorders>
              <w:top w:val="nil"/>
              <w:left w:val="nil"/>
              <w:bottom w:val="nil"/>
              <w:right w:val="nil"/>
            </w:tcBorders>
            <w:shd w:val="clear" w:color="000000" w:fill="FFFFFF"/>
            <w:vAlign w:val="center"/>
          </w:tcPr>
          <w:p w14:paraId="0201F4B0" w14:textId="636D2A4C" w:rsidR="00E94D3D" w:rsidRPr="00E94D3D" w:rsidRDefault="00E94D3D" w:rsidP="00E94D3D">
            <w:pPr>
              <w:ind w:left="326"/>
              <w:rPr>
                <w:rFonts w:ascii="Verdana" w:hAnsi="Verdana" w:cs="Arial"/>
                <w:color w:val="365F91"/>
                <w:sz w:val="18"/>
                <w:szCs w:val="18"/>
                <w:lang w:val="el-GR"/>
              </w:rPr>
            </w:pPr>
            <w:r w:rsidRPr="00E94D3D">
              <w:rPr>
                <w:rFonts w:ascii="Verdana" w:hAnsi="Verdana" w:cs="Arial"/>
                <w:color w:val="365F91"/>
                <w:sz w:val="18"/>
                <w:szCs w:val="18"/>
                <w:lang w:val="el-GR"/>
              </w:rPr>
              <w:t>Διάφορα άλλα προϊόντα και υπηρεσίες</w:t>
            </w:r>
          </w:p>
        </w:tc>
        <w:tc>
          <w:tcPr>
            <w:tcW w:w="3227" w:type="dxa"/>
            <w:tcBorders>
              <w:top w:val="nil"/>
              <w:left w:val="nil"/>
              <w:bottom w:val="nil"/>
              <w:right w:val="nil"/>
            </w:tcBorders>
            <w:shd w:val="clear" w:color="000000" w:fill="FFFFFF"/>
            <w:noWrap/>
            <w:vAlign w:val="center"/>
          </w:tcPr>
          <w:p w14:paraId="2014C055" w14:textId="775EF6F6" w:rsidR="00E94D3D" w:rsidRPr="00E94D3D" w:rsidRDefault="00E94D3D" w:rsidP="00E94D3D">
            <w:pPr>
              <w:ind w:right="1304" w:firstLineChars="200" w:firstLine="360"/>
              <w:jc w:val="right"/>
              <w:rPr>
                <w:rFonts w:ascii="Verdana" w:eastAsia="Times New Roman" w:hAnsi="Verdana" w:cs="Arial"/>
                <w:bCs/>
                <w:color w:val="365F91"/>
                <w:sz w:val="18"/>
                <w:szCs w:val="18"/>
                <w:lang w:val="el-GR"/>
              </w:rPr>
            </w:pPr>
            <w:r w:rsidRPr="00E94D3D">
              <w:rPr>
                <w:rFonts w:ascii="Verdana" w:eastAsia="Times New Roman" w:hAnsi="Verdana" w:cs="Arial"/>
                <w:bCs/>
                <w:color w:val="365F91"/>
                <w:sz w:val="18"/>
                <w:szCs w:val="18"/>
                <w:lang w:val="el-GR"/>
              </w:rPr>
              <w:t>0</w:t>
            </w:r>
            <w:r w:rsidR="00D62C8A">
              <w:rPr>
                <w:rFonts w:ascii="Verdana" w:eastAsia="Times New Roman" w:hAnsi="Verdana" w:cs="Arial"/>
                <w:bCs/>
                <w:color w:val="365F91"/>
                <w:sz w:val="18"/>
                <w:szCs w:val="18"/>
                <w:lang w:val="el-GR"/>
              </w:rPr>
              <w:t>,</w:t>
            </w:r>
            <w:r w:rsidRPr="00E94D3D">
              <w:rPr>
                <w:rFonts w:ascii="Verdana" w:eastAsia="Times New Roman" w:hAnsi="Verdana" w:cs="Arial"/>
                <w:bCs/>
                <w:color w:val="365F91"/>
                <w:sz w:val="18"/>
                <w:szCs w:val="18"/>
                <w:lang w:val="el-GR"/>
              </w:rPr>
              <w:t>22</w:t>
            </w:r>
          </w:p>
        </w:tc>
      </w:tr>
      <w:bookmarkEnd w:id="4"/>
      <w:tr w:rsidR="00E94D3D" w:rsidRPr="008B1495" w14:paraId="704E8429" w14:textId="77777777" w:rsidTr="000B2850">
        <w:trPr>
          <w:trHeight w:val="300"/>
          <w:jc w:val="center"/>
        </w:trPr>
        <w:tc>
          <w:tcPr>
            <w:tcW w:w="6234" w:type="dxa"/>
            <w:tcBorders>
              <w:top w:val="nil"/>
              <w:bottom w:val="nil"/>
            </w:tcBorders>
            <w:shd w:val="clear" w:color="FFFFFF" w:fill="FFFFFF"/>
            <w:vAlign w:val="center"/>
          </w:tcPr>
          <w:p w14:paraId="7E156208" w14:textId="77777777" w:rsidR="00E94D3D" w:rsidRPr="00E21D72" w:rsidRDefault="00E94D3D" w:rsidP="000B2850">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155EC8EA" w14:textId="77777777" w:rsidR="00E94D3D" w:rsidRDefault="00E94D3D" w:rsidP="000B2850">
            <w:pPr>
              <w:ind w:left="326" w:right="1280" w:firstLineChars="200" w:firstLine="360"/>
              <w:jc w:val="right"/>
              <w:rPr>
                <w:rFonts w:ascii="Verdana" w:eastAsia="Times New Roman" w:hAnsi="Verdana" w:cs="Arial"/>
                <w:bCs/>
                <w:color w:val="365F91"/>
                <w:sz w:val="18"/>
                <w:szCs w:val="18"/>
                <w:lang w:val="el-GR"/>
              </w:rPr>
            </w:pPr>
          </w:p>
        </w:tc>
      </w:tr>
      <w:tr w:rsidR="006314AA" w:rsidRPr="00E21D72" w14:paraId="4B64A063" w14:textId="77777777" w:rsidTr="000B2850">
        <w:trPr>
          <w:trHeight w:val="300"/>
          <w:jc w:val="center"/>
        </w:trPr>
        <w:tc>
          <w:tcPr>
            <w:tcW w:w="6234" w:type="dxa"/>
            <w:tcBorders>
              <w:top w:val="nil"/>
              <w:left w:val="nil"/>
              <w:bottom w:val="nil"/>
              <w:right w:val="nil"/>
            </w:tcBorders>
            <w:shd w:val="clear" w:color="000000" w:fill="FFFFFF"/>
            <w:vAlign w:val="center"/>
          </w:tcPr>
          <w:p w14:paraId="29F12EB9" w14:textId="77777777" w:rsidR="006314AA" w:rsidRDefault="006314AA" w:rsidP="000B2850">
            <w:pPr>
              <w:ind w:left="326"/>
              <w:rPr>
                <w:rFonts w:ascii="Verdana" w:hAnsi="Verdana" w:cs="Arial"/>
                <w:color w:val="365F91"/>
                <w:sz w:val="18"/>
                <w:szCs w:val="18"/>
              </w:rPr>
            </w:pPr>
            <w:proofErr w:type="spellStart"/>
            <w:r w:rsidRPr="00E94D3D">
              <w:rPr>
                <w:rFonts w:ascii="Verdana" w:hAnsi="Verdana" w:cs="Arial"/>
                <w:color w:val="365F91"/>
                <w:sz w:val="18"/>
                <w:szCs w:val="18"/>
              </w:rPr>
              <w:t>Ηλεκτρισμός</w:t>
            </w:r>
            <w:proofErr w:type="spellEnd"/>
            <w:r w:rsidRPr="00E94D3D">
              <w:rPr>
                <w:rFonts w:ascii="Verdana" w:hAnsi="Verdana" w:cs="Arial"/>
                <w:color w:val="365F91"/>
                <w:sz w:val="18"/>
                <w:szCs w:val="18"/>
              </w:rPr>
              <w:tab/>
            </w:r>
          </w:p>
        </w:tc>
        <w:tc>
          <w:tcPr>
            <w:tcW w:w="3227" w:type="dxa"/>
            <w:tcBorders>
              <w:top w:val="nil"/>
            </w:tcBorders>
            <w:shd w:val="clear" w:color="FFFFFF" w:fill="FFFFFF"/>
            <w:noWrap/>
            <w:vAlign w:val="center"/>
          </w:tcPr>
          <w:p w14:paraId="249A380A" w14:textId="402479D7" w:rsidR="006314AA" w:rsidRPr="006314AA" w:rsidRDefault="006314AA" w:rsidP="006314AA">
            <w:pPr>
              <w:ind w:left="326" w:right="1266"/>
              <w:jc w:val="right"/>
              <w:rPr>
                <w:rFonts w:ascii="Verdana" w:hAnsi="Verdana" w:cs="Arial"/>
                <w:color w:val="365F91"/>
                <w:sz w:val="18"/>
                <w:szCs w:val="18"/>
                <w:lang w:val="el-GR"/>
              </w:rPr>
            </w:pPr>
            <w:r w:rsidRPr="00E94D3D">
              <w:rPr>
                <w:rFonts w:ascii="Verdana" w:hAnsi="Verdana" w:cs="Arial"/>
                <w:color w:val="365F91"/>
                <w:sz w:val="18"/>
                <w:szCs w:val="18"/>
              </w:rPr>
              <w:t>-0</w:t>
            </w:r>
            <w:r w:rsidR="00D62C8A">
              <w:rPr>
                <w:rFonts w:ascii="Verdana" w:hAnsi="Verdana" w:cs="Arial"/>
                <w:color w:val="365F91"/>
                <w:sz w:val="18"/>
                <w:szCs w:val="18"/>
              </w:rPr>
              <w:t>,</w:t>
            </w:r>
            <w:r>
              <w:rPr>
                <w:rFonts w:ascii="Verdana" w:hAnsi="Verdana" w:cs="Arial"/>
                <w:color w:val="365F91"/>
                <w:sz w:val="18"/>
                <w:szCs w:val="18"/>
                <w:lang w:val="el-GR"/>
              </w:rPr>
              <w:t>48</w:t>
            </w:r>
          </w:p>
        </w:tc>
      </w:tr>
      <w:tr w:rsidR="006E21FE" w:rsidRPr="006314AA" w14:paraId="4A4B0AD6" w14:textId="77777777" w:rsidTr="006314AA">
        <w:trPr>
          <w:trHeight w:val="300"/>
          <w:jc w:val="center"/>
        </w:trPr>
        <w:tc>
          <w:tcPr>
            <w:tcW w:w="6234" w:type="dxa"/>
            <w:tcBorders>
              <w:top w:val="nil"/>
              <w:bottom w:val="nil"/>
            </w:tcBorders>
            <w:shd w:val="clear" w:color="FFFFFF" w:fill="FFFFFF"/>
            <w:vAlign w:val="center"/>
          </w:tcPr>
          <w:p w14:paraId="4CF1B693" w14:textId="3177FA8F" w:rsidR="006E21FE" w:rsidRPr="006314AA" w:rsidRDefault="006314AA" w:rsidP="006314AA">
            <w:pPr>
              <w:ind w:left="326"/>
              <w:rPr>
                <w:rFonts w:ascii="Verdana" w:hAnsi="Verdana" w:cs="Arial"/>
                <w:color w:val="365F91"/>
                <w:sz w:val="18"/>
                <w:szCs w:val="18"/>
              </w:rPr>
            </w:pPr>
            <w:proofErr w:type="spellStart"/>
            <w:r w:rsidRPr="006314AA">
              <w:rPr>
                <w:rFonts w:ascii="Verdana" w:hAnsi="Verdana" w:cs="Arial"/>
                <w:color w:val="365F91"/>
                <w:sz w:val="18"/>
                <w:szCs w:val="18"/>
              </w:rPr>
              <w:t>Πετρελ</w:t>
            </w:r>
            <w:proofErr w:type="spellEnd"/>
            <w:r w:rsidRPr="006314AA">
              <w:rPr>
                <w:rFonts w:ascii="Verdana" w:hAnsi="Verdana" w:cs="Arial"/>
                <w:color w:val="365F91"/>
                <w:sz w:val="18"/>
                <w:szCs w:val="18"/>
              </w:rPr>
              <w:t>αιοειδή</w:t>
            </w:r>
            <w:r w:rsidRPr="006314AA">
              <w:rPr>
                <w:rFonts w:ascii="Verdana" w:hAnsi="Verdana" w:cs="Arial"/>
                <w:color w:val="365F91"/>
                <w:sz w:val="18"/>
                <w:szCs w:val="18"/>
              </w:rPr>
              <w:tab/>
            </w:r>
          </w:p>
        </w:tc>
        <w:tc>
          <w:tcPr>
            <w:tcW w:w="3227" w:type="dxa"/>
            <w:tcBorders>
              <w:top w:val="nil"/>
              <w:bottom w:val="nil"/>
            </w:tcBorders>
            <w:shd w:val="clear" w:color="FFFFFF" w:fill="FFFFFF"/>
            <w:noWrap/>
            <w:vAlign w:val="center"/>
          </w:tcPr>
          <w:p w14:paraId="6FF5F87F" w14:textId="3CEB99A1" w:rsidR="006E21FE" w:rsidRPr="006314AA" w:rsidRDefault="006314AA" w:rsidP="006314AA">
            <w:pPr>
              <w:ind w:left="326" w:right="1266"/>
              <w:jc w:val="right"/>
              <w:rPr>
                <w:rFonts w:ascii="Verdana" w:hAnsi="Verdana" w:cs="Arial"/>
                <w:color w:val="365F91"/>
                <w:sz w:val="18"/>
                <w:szCs w:val="18"/>
              </w:rPr>
            </w:pPr>
            <w:r w:rsidRPr="006314AA">
              <w:rPr>
                <w:rFonts w:ascii="Verdana" w:hAnsi="Verdana" w:cs="Arial"/>
                <w:color w:val="365F91"/>
                <w:sz w:val="18"/>
                <w:szCs w:val="18"/>
              </w:rPr>
              <w:t>-0</w:t>
            </w:r>
            <w:r w:rsidR="00D62C8A">
              <w:rPr>
                <w:rFonts w:ascii="Verdana" w:hAnsi="Verdana" w:cs="Arial"/>
                <w:color w:val="365F91"/>
                <w:sz w:val="18"/>
                <w:szCs w:val="18"/>
              </w:rPr>
              <w:t>,</w:t>
            </w:r>
            <w:r w:rsidRPr="006314AA">
              <w:rPr>
                <w:rFonts w:ascii="Verdana" w:hAnsi="Verdana" w:cs="Arial"/>
                <w:color w:val="365F91"/>
                <w:sz w:val="18"/>
                <w:szCs w:val="18"/>
              </w:rPr>
              <w:t>26</w:t>
            </w:r>
          </w:p>
        </w:tc>
      </w:tr>
      <w:tr w:rsidR="006314AA" w:rsidRPr="006314AA" w14:paraId="73DEB40F" w14:textId="77777777" w:rsidTr="006314AA">
        <w:trPr>
          <w:trHeight w:val="300"/>
          <w:jc w:val="center"/>
        </w:trPr>
        <w:tc>
          <w:tcPr>
            <w:tcW w:w="6234" w:type="dxa"/>
            <w:tcBorders>
              <w:top w:val="nil"/>
              <w:bottom w:val="nil"/>
            </w:tcBorders>
            <w:shd w:val="clear" w:color="FFFFFF" w:fill="FFFFFF"/>
            <w:vAlign w:val="center"/>
          </w:tcPr>
          <w:p w14:paraId="5B219B47" w14:textId="51FC82CC" w:rsidR="006314AA" w:rsidRPr="006314AA" w:rsidRDefault="006314AA" w:rsidP="006314AA">
            <w:pPr>
              <w:ind w:left="326"/>
              <w:rPr>
                <w:rFonts w:ascii="Verdana" w:hAnsi="Verdana" w:cs="Arial"/>
                <w:color w:val="365F91"/>
                <w:sz w:val="18"/>
                <w:szCs w:val="18"/>
              </w:rPr>
            </w:pPr>
            <w:proofErr w:type="spellStart"/>
            <w:r w:rsidRPr="006314AA">
              <w:rPr>
                <w:rFonts w:ascii="Verdana" w:hAnsi="Verdana" w:cs="Arial"/>
                <w:color w:val="365F91"/>
                <w:sz w:val="18"/>
                <w:szCs w:val="18"/>
              </w:rPr>
              <w:t>Κρέ</w:t>
            </w:r>
            <w:proofErr w:type="spellEnd"/>
            <w:r w:rsidRPr="006314AA">
              <w:rPr>
                <w:rFonts w:ascii="Verdana" w:hAnsi="Verdana" w:cs="Arial"/>
                <w:color w:val="365F91"/>
                <w:sz w:val="18"/>
                <w:szCs w:val="18"/>
              </w:rPr>
              <w:t>ας</w:t>
            </w:r>
          </w:p>
        </w:tc>
        <w:tc>
          <w:tcPr>
            <w:tcW w:w="3227" w:type="dxa"/>
            <w:tcBorders>
              <w:top w:val="nil"/>
              <w:bottom w:val="nil"/>
            </w:tcBorders>
            <w:shd w:val="clear" w:color="FFFFFF" w:fill="FFFFFF"/>
            <w:noWrap/>
            <w:vAlign w:val="center"/>
          </w:tcPr>
          <w:p w14:paraId="334EDF71" w14:textId="5EF38DF0" w:rsidR="006314AA" w:rsidRPr="006314AA" w:rsidRDefault="006314AA" w:rsidP="006314AA">
            <w:pPr>
              <w:ind w:left="326" w:right="1266"/>
              <w:jc w:val="right"/>
              <w:rPr>
                <w:rFonts w:ascii="Verdana" w:hAnsi="Verdana" w:cs="Arial"/>
                <w:color w:val="365F91"/>
                <w:sz w:val="18"/>
                <w:szCs w:val="18"/>
              </w:rPr>
            </w:pPr>
            <w:r w:rsidRPr="006314AA">
              <w:rPr>
                <w:rFonts w:ascii="Verdana" w:hAnsi="Verdana" w:cs="Arial"/>
                <w:color w:val="365F91"/>
                <w:sz w:val="18"/>
                <w:szCs w:val="18"/>
              </w:rPr>
              <w:t>-0</w:t>
            </w:r>
            <w:r w:rsidR="00D62C8A">
              <w:rPr>
                <w:rFonts w:ascii="Verdana" w:hAnsi="Verdana" w:cs="Arial"/>
                <w:color w:val="365F91"/>
                <w:sz w:val="18"/>
                <w:szCs w:val="18"/>
              </w:rPr>
              <w:t>,</w:t>
            </w:r>
            <w:r w:rsidRPr="006314AA">
              <w:rPr>
                <w:rFonts w:ascii="Verdana" w:hAnsi="Verdana" w:cs="Arial"/>
                <w:color w:val="365F91"/>
                <w:sz w:val="18"/>
                <w:szCs w:val="18"/>
              </w:rPr>
              <w:t>03</w:t>
            </w:r>
          </w:p>
        </w:tc>
      </w:tr>
      <w:tr w:rsidR="00E96AE1" w:rsidRPr="00E21D72" w14:paraId="1696B547"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04ECCD32" w14:textId="77777777" w:rsidR="00E96AE1" w:rsidRPr="00E21D72" w:rsidRDefault="00E96AE1" w:rsidP="00E96AE1">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B88B50F" w14:textId="4F3A94F7" w:rsidR="00E96AE1" w:rsidRPr="001F0753" w:rsidRDefault="00105543" w:rsidP="00A766A2">
            <w:pPr>
              <w:ind w:right="1269" w:firstLineChars="200" w:firstLine="361"/>
              <w:jc w:val="right"/>
              <w:rPr>
                <w:rFonts w:ascii="Verdana" w:eastAsia="Times New Roman" w:hAnsi="Verdana" w:cs="Arial"/>
                <w:b/>
                <w:color w:val="365F91"/>
                <w:sz w:val="18"/>
                <w:szCs w:val="18"/>
                <w:lang w:val="el-GR"/>
              </w:rPr>
            </w:pPr>
            <w:r>
              <w:rPr>
                <w:rFonts w:ascii="Verdana" w:eastAsia="Times New Roman" w:hAnsi="Verdana" w:cs="Arial"/>
                <w:b/>
                <w:color w:val="365F91"/>
                <w:sz w:val="18"/>
                <w:szCs w:val="18"/>
                <w:lang w:val="el-GR"/>
              </w:rPr>
              <w:t>0</w:t>
            </w:r>
            <w:r w:rsidR="00E96AE1">
              <w:rPr>
                <w:rFonts w:ascii="Verdana" w:eastAsia="Times New Roman" w:hAnsi="Verdana" w:cs="Arial"/>
                <w:b/>
                <w:color w:val="365F91"/>
                <w:sz w:val="18"/>
                <w:szCs w:val="18"/>
                <w:lang w:val="el-GR"/>
              </w:rPr>
              <w:t>,</w:t>
            </w:r>
            <w:r w:rsidR="006314AA">
              <w:rPr>
                <w:rFonts w:ascii="Verdana" w:eastAsia="Times New Roman" w:hAnsi="Verdana" w:cs="Arial"/>
                <w:b/>
                <w:color w:val="365F91"/>
                <w:sz w:val="18"/>
                <w:szCs w:val="18"/>
                <w:lang w:val="el-GR"/>
              </w:rPr>
              <w:t>06</w:t>
            </w:r>
          </w:p>
        </w:tc>
      </w:tr>
    </w:tbl>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07D4ECFE"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6FDF1279"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08AF74B7"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5321070C" w14:textId="77777777" w:rsidR="00091CF5" w:rsidRPr="00091CF5" w:rsidRDefault="00091CF5" w:rsidP="006022B5">
      <w:pPr>
        <w:tabs>
          <w:tab w:val="left" w:pos="1080"/>
          <w:tab w:val="left" w:pos="6840"/>
        </w:tabs>
        <w:jc w:val="both"/>
        <w:rPr>
          <w:rFonts w:ascii="Verdana" w:eastAsia="Malgun Gothic" w:hAnsi="Verdana" w:cs="Arial"/>
          <w:sz w:val="18"/>
          <w:szCs w:val="18"/>
          <w:u w:val="single"/>
          <w:lang w:val="el-GR"/>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A15339" w:rsidRDefault="0016172E" w:rsidP="006022B5">
      <w:pPr>
        <w:tabs>
          <w:tab w:val="left" w:pos="1080"/>
          <w:tab w:val="left" w:pos="6840"/>
        </w:tabs>
        <w:jc w:val="both"/>
        <w:rPr>
          <w:rFonts w:ascii="Verdana" w:eastAsia="Malgun Gothic" w:hAnsi="Verdana" w:cs="Arial"/>
          <w:sz w:val="18"/>
          <w:szCs w:val="18"/>
          <w:u w:val="single"/>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lang w:val="el-GR"/>
        </w:rPr>
      </w:pPr>
    </w:p>
    <w:p w14:paraId="4964EFC1"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489C890D" w14:textId="77777777" w:rsidR="00B05BE9" w:rsidRDefault="00B05BE9" w:rsidP="006022B5">
      <w:pPr>
        <w:tabs>
          <w:tab w:val="left" w:pos="1080"/>
          <w:tab w:val="left" w:pos="6840"/>
        </w:tabs>
        <w:jc w:val="center"/>
        <w:rPr>
          <w:rFonts w:ascii="Verdana" w:eastAsia="Malgun Gothic" w:hAnsi="Verdana" w:cs="Arial"/>
          <w:b/>
          <w:u w:val="single"/>
          <w:lang w:val="en-GB"/>
        </w:rPr>
      </w:pPr>
    </w:p>
    <w:p w14:paraId="6F05DBDE" w14:textId="77777777"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2C413FFD"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Ο ΔΤΚ αποτελεί τον επίσημο δείκτη για τον υπολογισμό του πληθωρισμού</w:t>
      </w:r>
      <w:r w:rsidR="00497CF6" w:rsidRPr="00497CF6">
        <w:rPr>
          <w:rFonts w:ascii="Verdana" w:eastAsia="Malgun Gothic" w:hAnsi="Verdana" w:cs="Arial"/>
          <w:sz w:val="18"/>
          <w:szCs w:val="18"/>
          <w:lang w:val="el-GR"/>
        </w:rPr>
        <w:t>.</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6C2E0043"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r w:rsidR="00497CF6" w:rsidRPr="00497CF6">
        <w:rPr>
          <w:rFonts w:ascii="Verdana" w:eastAsia="Malgun Gothic" w:hAnsi="Verdana" w:cs="Arial"/>
          <w:sz w:val="18"/>
          <w:szCs w:val="18"/>
          <w:lang w:val="el-GR"/>
        </w:rPr>
        <w:t>.</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4353F13E"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w:t>
      </w:r>
      <w:r w:rsidR="00497CF6" w:rsidRPr="00497CF6">
        <w:rPr>
          <w:rFonts w:ascii="Verdana" w:eastAsia="Malgun Gothic" w:hAnsi="Verdana" w:cs="Arial"/>
          <w:sz w:val="18"/>
          <w:szCs w:val="18"/>
          <w:lang w:val="el-GR"/>
        </w:rPr>
        <w:t>.</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proofErr w:type="spellStart"/>
      <w:r w:rsidRPr="00E21D72">
        <w:rPr>
          <w:rFonts w:ascii="Verdana" w:eastAsia="Malgun Gothic" w:hAnsi="Verdana" w:cs="Arial"/>
          <w:b/>
          <w:sz w:val="18"/>
          <w:szCs w:val="18"/>
          <w:u w:val="single"/>
          <w:lang w:val="el-GR"/>
        </w:rPr>
        <w:t>Τιμοληψία</w:t>
      </w:r>
      <w:proofErr w:type="spellEnd"/>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0AFEFEB0" w14:textId="5EF73E1B"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proofErr w:type="spellStart"/>
      <w:r w:rsidRPr="00E21D72">
        <w:rPr>
          <w:rFonts w:ascii="Verdana" w:eastAsia="Malgun Gothic" w:hAnsi="Verdana" w:cs="Arial"/>
          <w:sz w:val="18"/>
          <w:szCs w:val="18"/>
          <w:lang w:val="el-GR"/>
        </w:rPr>
        <w:t>τιμοληψία</w:t>
      </w:r>
      <w:proofErr w:type="spellEnd"/>
      <w:r w:rsidRPr="00E21D72">
        <w:rPr>
          <w:rFonts w:ascii="Verdana" w:eastAsia="Malgun Gothic" w:hAnsi="Verdana" w:cs="Arial"/>
          <w:sz w:val="18"/>
          <w:szCs w:val="18"/>
          <w:lang w:val="el-GR"/>
        </w:rPr>
        <w:t xml:space="preserve"> διενεργείται μόνο στις αστικές περιοχές των επαρχιών Λευκωσίας, Λάρνακας, Λεμεσού και Πάφου</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Για κάθε πόλη οι αυξομειώσεις των τιμών κατά προϊόν </w:t>
      </w:r>
      <w:r w:rsidR="00497CF6" w:rsidRPr="00497CF6">
        <w:rPr>
          <w:rFonts w:ascii="Verdana" w:eastAsia="Malgun Gothic" w:hAnsi="Verdana" w:cs="Arial"/>
          <w:sz w:val="18"/>
          <w:szCs w:val="18"/>
          <w:lang w:val="el-GR"/>
        </w:rPr>
        <w:t xml:space="preserve">και υπηρεσία για </w:t>
      </w:r>
      <w:r w:rsidRPr="00E21D72">
        <w:rPr>
          <w:rFonts w:ascii="Verdana" w:eastAsia="Malgun Gothic" w:hAnsi="Verdana" w:cs="Arial"/>
          <w:sz w:val="18"/>
          <w:szCs w:val="18"/>
          <w:lang w:val="el-GR"/>
        </w:rPr>
        <w:t>κάθε μήνα σταθμίζονται ανάλογα με τον πληθυσμό</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Συγκεκριμένα οι συντελεστές στάθμισης για τις τέσσερις επαρχίες: Λευκωσία 42%, Λεμεσός 30%, Λάρνακα 18% και Πάφος 10%</w:t>
      </w:r>
      <w:r w:rsidR="00497CF6" w:rsidRPr="00497CF6">
        <w:rPr>
          <w:rFonts w:ascii="Verdana" w:eastAsia="Malgun Gothic" w:hAnsi="Verdana" w:cs="Arial"/>
          <w:sz w:val="18"/>
          <w:szCs w:val="18"/>
          <w:lang w:val="el-GR"/>
        </w:rPr>
        <w:t>.</w:t>
      </w:r>
    </w:p>
    <w:p w14:paraId="737D6DCA" w14:textId="77777777" w:rsidR="006022B5" w:rsidRPr="00E21D72" w:rsidRDefault="006022B5" w:rsidP="006022B5">
      <w:pPr>
        <w:tabs>
          <w:tab w:val="left" w:pos="945"/>
        </w:tabs>
        <w:jc w:val="both"/>
        <w:rPr>
          <w:rFonts w:ascii="Verdana" w:eastAsia="Malgun Gothic" w:hAnsi="Verdana" w:cs="Arial"/>
          <w:sz w:val="18"/>
          <w:szCs w:val="18"/>
          <w:lang w:val="el-GR"/>
        </w:rPr>
      </w:pPr>
    </w:p>
    <w:p w14:paraId="2DE9E601" w14:textId="6F07D958"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Οι τιμές των 805 </w:t>
      </w:r>
      <w:r w:rsidR="00497CF6" w:rsidRPr="00497CF6">
        <w:rPr>
          <w:rFonts w:ascii="Verdana" w:eastAsia="Malgun Gothic" w:hAnsi="Verdana" w:cs="Arial"/>
          <w:sz w:val="18"/>
          <w:szCs w:val="18"/>
          <w:lang w:val="el-GR"/>
        </w:rPr>
        <w:t>προϊόντων</w:t>
      </w:r>
      <w:r w:rsidRPr="00E21D72">
        <w:rPr>
          <w:rFonts w:ascii="Verdana" w:eastAsia="Malgun Gothic" w:hAnsi="Verdana" w:cs="Arial"/>
          <w:sz w:val="18"/>
          <w:szCs w:val="18"/>
          <w:lang w:val="el-GR"/>
        </w:rPr>
        <w:t xml:space="preserve"> και υπηρεσιών, που περιλαμβάνονται στον ΔΤΚ παρακολουθούνται και καταγράφονται μια φορά κάθε μήνα, εκτός από κάποια εποχικά προϊόντα (</w:t>
      </w:r>
      <w:proofErr w:type="spellStart"/>
      <w:r w:rsidRPr="00E21D72">
        <w:rPr>
          <w:rFonts w:ascii="Verdana" w:eastAsia="Malgun Gothic" w:hAnsi="Verdana" w:cs="Arial"/>
          <w:sz w:val="18"/>
          <w:szCs w:val="18"/>
          <w:lang w:val="el-GR"/>
        </w:rPr>
        <w:t>π</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χ</w:t>
      </w:r>
      <w:proofErr w:type="spellEnd"/>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λαχανικά και φρούτα), τα κρέατα και τα καύσιμα, των οποίων οι τιμές συλλέγονται κάθε βδομάδα (κάθε Πέμπτη)</w:t>
      </w:r>
      <w:r w:rsidR="00497CF6" w:rsidRPr="00497CF6">
        <w:rPr>
          <w:rFonts w:ascii="Verdana" w:eastAsia="Malgun Gothic" w:hAnsi="Verdana" w:cs="Arial"/>
          <w:sz w:val="18"/>
          <w:szCs w:val="18"/>
          <w:lang w:val="el-GR"/>
        </w:rPr>
        <w:t>.</w:t>
      </w:r>
    </w:p>
    <w:p w14:paraId="01298584" w14:textId="77777777" w:rsidR="006022B5" w:rsidRPr="00E21D72" w:rsidRDefault="006022B5" w:rsidP="006022B5">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38CF6C4F" w:rsidR="006022B5" w:rsidRPr="00497CF6"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Από τον Ιανουάριο του </w:t>
      </w:r>
      <w:r w:rsidR="00497CF6" w:rsidRPr="00497CF6">
        <w:rPr>
          <w:rFonts w:ascii="Verdana" w:eastAsia="Malgun Gothic" w:hAnsi="Verdana" w:cs="Arial"/>
          <w:sz w:val="18"/>
          <w:szCs w:val="18"/>
          <w:lang w:val="el-GR"/>
        </w:rPr>
        <w:t>2016 και μετέπειτα</w:t>
      </w:r>
      <w:r w:rsidRPr="00E21D72">
        <w:rPr>
          <w:rFonts w:ascii="Verdana" w:eastAsia="Malgun Gothic" w:hAnsi="Verdana" w:cs="Arial"/>
          <w:sz w:val="18"/>
          <w:szCs w:val="18"/>
          <w:lang w:val="el-GR"/>
        </w:rPr>
        <w:t xml:space="preserve"> έτος αναφοράς είναι το 2015=100</w:t>
      </w:r>
      <w:r w:rsidR="00497CF6" w:rsidRPr="00497CF6">
        <w:rPr>
          <w:rFonts w:ascii="Verdana" w:eastAsia="Malgun Gothic" w:hAnsi="Verdana" w:cs="Arial"/>
          <w:sz w:val="18"/>
          <w:szCs w:val="18"/>
          <w:lang w:val="el-GR"/>
        </w:rPr>
        <w:t>.</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187B9B00" w14:textId="612ED6E6" w:rsidR="00B06FC6" w:rsidRPr="009B041C" w:rsidRDefault="00297A13" w:rsidP="006022B5">
      <w:pPr>
        <w:jc w:val="both"/>
        <w:rPr>
          <w:rFonts w:ascii="Verdana" w:eastAsia="Malgun Gothic" w:hAnsi="Verdana" w:cs="Arial"/>
          <w:sz w:val="18"/>
          <w:szCs w:val="18"/>
          <w:lang w:val="el-GR"/>
        </w:rPr>
      </w:pPr>
      <w:r w:rsidRPr="00297A13">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ανάλυσης. Από τον Ιανουάριο του 2016 και μετέπειτα, ο ΔΤΚ υπολογίζεται και δημοσιεύεται βάσει της ταξινόμησης ECOICOP ακολουθώντας σχετικό κανονισμό της Ευρωπαϊκής Ένωσης. Ως εκ τούτου, το χαμηλότερο επίπεδο λεπτομέρειας για την ταξινόμηση ECOICOP που χρησιμοποιείται στον ΔΤΚ είναι τα πέντε ψηφία ανάλυσης.</w:t>
      </w:r>
    </w:p>
    <w:p w14:paraId="0C00108D" w14:textId="77777777" w:rsidR="00297A13" w:rsidRPr="009B041C" w:rsidRDefault="00297A13"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4D1871E2" w:rsidR="006022B5" w:rsidRPr="00497CF6"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Η αναθεώρηση βασίστηκε στα αποτελέσματα της Έρευνας Οικογενειακών Προϋπολογισμών 2015/2016</w:t>
      </w:r>
      <w:r w:rsidR="00497CF6" w:rsidRPr="00497CF6">
        <w:rPr>
          <w:rFonts w:ascii="Verdana" w:eastAsia="Malgun Gothic" w:hAnsi="Verdana" w:cs="Arial"/>
          <w:sz w:val="18"/>
          <w:szCs w:val="18"/>
          <w:lang w:val="el-GR"/>
        </w:rPr>
        <w:t>.</w:t>
      </w:r>
    </w:p>
    <w:p w14:paraId="63582840" w14:textId="77777777" w:rsidR="00A6617C" w:rsidRPr="00E21D72" w:rsidRDefault="00A6617C" w:rsidP="006022B5">
      <w:pPr>
        <w:tabs>
          <w:tab w:val="left" w:pos="1080"/>
          <w:tab w:val="left" w:pos="6840"/>
        </w:tabs>
        <w:jc w:val="both"/>
        <w:rPr>
          <w:rFonts w:ascii="Verdana" w:eastAsia="Malgun Gothic" w:hAnsi="Verdana" w:cs="Arial"/>
          <w:sz w:val="18"/>
          <w:szCs w:val="18"/>
          <w:lang w:val="el-GR"/>
        </w:rPr>
      </w:pPr>
    </w:p>
    <w:p w14:paraId="3DFBF89B" w14:textId="77777777" w:rsidR="006022B5" w:rsidRDefault="006022B5"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bookmarkStart w:id="5" w:name="_GoBack"/>
      <w:bookmarkEnd w:id="5"/>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10"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342309" w:rsidP="006022B5">
      <w:pPr>
        <w:rPr>
          <w:rFonts w:ascii="Verdana" w:hAnsi="Verdana"/>
          <w:sz w:val="18"/>
          <w:szCs w:val="18"/>
          <w:lang w:val="el-GR"/>
        </w:rPr>
      </w:pPr>
      <w:hyperlink r:id="rId11" w:history="1">
        <w:r w:rsidR="006022B5" w:rsidRPr="00E21D72">
          <w:rPr>
            <w:rFonts w:ascii="Verdana" w:hAnsi="Verdana"/>
            <w:color w:val="0000FF"/>
            <w:sz w:val="18"/>
            <w:szCs w:val="18"/>
            <w:u w:val="single"/>
          </w:rPr>
          <w:t>CYSTAT</w:t>
        </w:r>
        <w:r w:rsidR="006022B5" w:rsidRPr="00E21D72">
          <w:rPr>
            <w:rFonts w:ascii="Verdana" w:hAnsi="Verdana"/>
            <w:color w:val="0000FF"/>
            <w:sz w:val="18"/>
            <w:szCs w:val="18"/>
            <w:u w:val="single"/>
            <w:lang w:val="el-GR"/>
          </w:rPr>
          <w:t>-</w:t>
        </w:r>
        <w:r w:rsidR="006022B5" w:rsidRPr="00E21D72">
          <w:rPr>
            <w:rFonts w:ascii="Verdana" w:hAnsi="Verdana"/>
            <w:color w:val="0000FF"/>
            <w:sz w:val="18"/>
            <w:szCs w:val="18"/>
            <w:u w:val="single"/>
          </w:rPr>
          <w:t>DB</w:t>
        </w:r>
      </w:hyperlink>
      <w:r w:rsidR="006022B5" w:rsidRPr="00E21D72">
        <w:rPr>
          <w:rFonts w:ascii="Verdana" w:hAnsi="Verdana"/>
          <w:sz w:val="18"/>
          <w:szCs w:val="18"/>
          <w:lang w:val="el-GR"/>
        </w:rPr>
        <w:t xml:space="preserve"> (Βάση Δεδομένων)</w:t>
      </w:r>
    </w:p>
    <w:p w14:paraId="217E8B4C" w14:textId="77777777" w:rsidR="006022B5" w:rsidRPr="00E21D72" w:rsidRDefault="00342309" w:rsidP="006022B5">
      <w:pPr>
        <w:jc w:val="both"/>
        <w:rPr>
          <w:rFonts w:ascii="Verdana" w:hAnsi="Verdana"/>
          <w:sz w:val="18"/>
          <w:szCs w:val="18"/>
          <w:lang w:val="el-GR"/>
        </w:rPr>
      </w:pPr>
      <w:hyperlink r:id="rId12" w:tooltip="Μεθοδολογικές Πληροφορίες" w:history="1">
        <w:r w:rsidR="006022B5" w:rsidRPr="00E21D72">
          <w:rPr>
            <w:rFonts w:ascii="Verdana" w:hAnsi="Verdana"/>
            <w:color w:val="0000FF"/>
            <w:sz w:val="18"/>
            <w:szCs w:val="18"/>
            <w:u w:val="single"/>
            <w:lang w:val="el-GR"/>
          </w:rPr>
          <w:t>Μεθοδολογικές Πληροφορίες</w:t>
        </w:r>
      </w:hyperlink>
    </w:p>
    <w:p w14:paraId="0EB2994F" w14:textId="77777777" w:rsidR="006022B5" w:rsidRDefault="006022B5" w:rsidP="006022B5">
      <w:pPr>
        <w:jc w:val="both"/>
        <w:rPr>
          <w:rFonts w:ascii="Verdana" w:hAnsi="Verdana"/>
          <w:b/>
          <w:bCs/>
          <w:sz w:val="18"/>
          <w:szCs w:val="18"/>
          <w:lang w:val="el-GR"/>
        </w:rPr>
      </w:pPr>
    </w:p>
    <w:p w14:paraId="5513D082" w14:textId="0C179B16" w:rsidR="004C6ABF" w:rsidRPr="00266F1F" w:rsidRDefault="006022B5" w:rsidP="00AC3F63">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432FD17D" w14:textId="390158F3" w:rsidR="004C6ABF" w:rsidRPr="004C6ABF" w:rsidRDefault="004C6ABF" w:rsidP="004C6ABF">
      <w:pPr>
        <w:tabs>
          <w:tab w:val="left" w:pos="360"/>
          <w:tab w:val="left" w:pos="6840"/>
        </w:tabs>
        <w:ind w:right="-79"/>
        <w:jc w:val="both"/>
        <w:rPr>
          <w:rFonts w:ascii="Verdana" w:eastAsia="Malgun Gothic" w:hAnsi="Verdana" w:cs="Arial"/>
          <w:sz w:val="18"/>
          <w:szCs w:val="18"/>
          <w:lang w:val="el-GR"/>
        </w:rPr>
      </w:pPr>
      <w:bookmarkStart w:id="6" w:name="_Hlk176173046"/>
      <w:proofErr w:type="spellStart"/>
      <w:r>
        <w:rPr>
          <w:rFonts w:ascii="Verdana" w:eastAsia="Malgun Gothic" w:hAnsi="Verdana" w:cs="Arial"/>
          <w:sz w:val="18"/>
          <w:szCs w:val="18"/>
          <w:lang w:val="el-GR"/>
        </w:rPr>
        <w:t>Σωφρόνης</w:t>
      </w:r>
      <w:proofErr w:type="spellEnd"/>
      <w:r>
        <w:rPr>
          <w:rFonts w:ascii="Verdana" w:eastAsia="Malgun Gothic" w:hAnsi="Verdana" w:cs="Arial"/>
          <w:sz w:val="18"/>
          <w:szCs w:val="18"/>
          <w:lang w:val="el-GR"/>
        </w:rPr>
        <w:t xml:space="preserve"> </w:t>
      </w:r>
      <w:proofErr w:type="spellStart"/>
      <w:r>
        <w:rPr>
          <w:rFonts w:ascii="Verdana" w:eastAsia="Malgun Gothic" w:hAnsi="Verdana" w:cs="Arial"/>
          <w:sz w:val="18"/>
          <w:szCs w:val="18"/>
          <w:lang w:val="el-GR"/>
        </w:rPr>
        <w:t>Βίκης</w:t>
      </w:r>
      <w:proofErr w:type="spellEnd"/>
      <w:r w:rsidRPr="00E21D72">
        <w:rPr>
          <w:rFonts w:ascii="Verdana" w:eastAsia="Malgun Gothic" w:hAnsi="Verdana" w:cs="Arial"/>
          <w:sz w:val="18"/>
          <w:szCs w:val="18"/>
          <w:lang w:val="el-GR"/>
        </w:rPr>
        <w:t>: Τηλ:+3572</w:t>
      </w:r>
      <w:r w:rsidRPr="004C6ABF">
        <w:rPr>
          <w:rFonts w:ascii="Verdana" w:eastAsia="Malgun Gothic" w:hAnsi="Verdana" w:cs="Arial"/>
          <w:sz w:val="18"/>
          <w:szCs w:val="18"/>
          <w:lang w:val="el-GR"/>
        </w:rPr>
        <w:t>2602206</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3" w:history="1">
        <w:r w:rsidR="003C63F9" w:rsidRPr="007A6623">
          <w:rPr>
            <w:rStyle w:val="Hyperlink"/>
            <w:rFonts w:ascii="Verdana" w:eastAsia="Malgun Gothic" w:hAnsi="Verdana" w:cs="Arial"/>
            <w:sz w:val="18"/>
            <w:szCs w:val="18"/>
          </w:rPr>
          <w:t>svikis</w:t>
        </w:r>
        <w:r w:rsidR="003C63F9" w:rsidRPr="007A6623">
          <w:rPr>
            <w:rStyle w:val="Hyperlink"/>
            <w:rFonts w:ascii="Verdana" w:eastAsia="Malgun Gothic" w:hAnsi="Verdana" w:cs="Arial"/>
            <w:sz w:val="18"/>
            <w:szCs w:val="18"/>
            <w:lang w:val="el-GR"/>
          </w:rPr>
          <w:t>@</w:t>
        </w:r>
        <w:proofErr w:type="spellStart"/>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proofErr w:type="spellEnd"/>
      </w:hyperlink>
    </w:p>
    <w:p w14:paraId="610A4C7F" w14:textId="20B1FADC" w:rsidR="006022B5" w:rsidRPr="00E21D72" w:rsidRDefault="004C6ABF" w:rsidP="006022B5">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Κυριάκος </w:t>
      </w:r>
      <w:proofErr w:type="spellStart"/>
      <w:r>
        <w:rPr>
          <w:rFonts w:ascii="Verdana" w:eastAsia="Malgun Gothic" w:hAnsi="Verdana" w:cs="Arial"/>
          <w:sz w:val="18"/>
          <w:szCs w:val="18"/>
          <w:lang w:val="el-GR"/>
        </w:rPr>
        <w:t>Βουτουρής</w:t>
      </w:r>
      <w:proofErr w:type="spellEnd"/>
      <w:r w:rsidR="006022B5"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5132</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proofErr w:type="spellStart"/>
      <w:r w:rsidR="006022B5"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hyperlink r:id="rId14" w:history="1">
        <w:r w:rsidR="003C63F9" w:rsidRPr="007A6623">
          <w:rPr>
            <w:rStyle w:val="Hyperlink"/>
            <w:rFonts w:ascii="Verdana" w:eastAsia="Malgun Gothic" w:hAnsi="Verdana" w:cs="Arial"/>
            <w:sz w:val="18"/>
            <w:szCs w:val="18"/>
          </w:rPr>
          <w:t>kvoutouris</w:t>
        </w:r>
        <w:r w:rsidR="003C63F9" w:rsidRPr="007A6623">
          <w:rPr>
            <w:rStyle w:val="Hyperlink"/>
            <w:rFonts w:ascii="Verdana" w:eastAsia="Malgun Gothic" w:hAnsi="Verdana" w:cs="Arial"/>
            <w:sz w:val="18"/>
            <w:szCs w:val="18"/>
            <w:lang w:val="el-GR"/>
          </w:rPr>
          <w:t>@</w:t>
        </w:r>
        <w:proofErr w:type="spellStart"/>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proofErr w:type="spellEnd"/>
      </w:hyperlink>
    </w:p>
    <w:p w14:paraId="5EC9F783" w14:textId="571F48B2" w:rsidR="004C6ABF" w:rsidRPr="00E21D72" w:rsidRDefault="004C6ABF" w:rsidP="004C6ABF">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 xml:space="preserve">Φίλιππος </w:t>
      </w:r>
      <w:proofErr w:type="spellStart"/>
      <w:r>
        <w:rPr>
          <w:rFonts w:ascii="Verdana" w:eastAsia="Malgun Gothic" w:hAnsi="Verdana" w:cs="Arial"/>
          <w:sz w:val="18"/>
          <w:szCs w:val="18"/>
          <w:lang w:val="el-GR"/>
        </w:rPr>
        <w:t>Κακούτσης</w:t>
      </w:r>
      <w:proofErr w:type="spellEnd"/>
      <w:r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5149</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Ηλ</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proofErr w:type="spellStart"/>
      <w:r w:rsidRPr="00E21D72">
        <w:rPr>
          <w:rFonts w:ascii="Verdana" w:eastAsia="Malgun Gothic" w:hAnsi="Verdana" w:cs="Arial"/>
          <w:sz w:val="18"/>
          <w:szCs w:val="18"/>
          <w:lang w:val="el-GR"/>
        </w:rPr>
        <w:t>Ταχ</w:t>
      </w:r>
      <w:proofErr w:type="spellEnd"/>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5" w:history="1">
        <w:r w:rsidR="003C63F9" w:rsidRPr="007A6623">
          <w:rPr>
            <w:rStyle w:val="Hyperlink"/>
            <w:rFonts w:ascii="Verdana" w:eastAsia="Malgun Gothic" w:hAnsi="Verdana" w:cs="Arial"/>
            <w:sz w:val="18"/>
            <w:szCs w:val="18"/>
          </w:rPr>
          <w:t>fkakoutsis</w:t>
        </w:r>
        <w:r w:rsidR="003C63F9" w:rsidRPr="007A6623">
          <w:rPr>
            <w:rStyle w:val="Hyperlink"/>
            <w:rFonts w:ascii="Verdana" w:eastAsia="Malgun Gothic" w:hAnsi="Verdana" w:cs="Arial"/>
            <w:sz w:val="18"/>
            <w:szCs w:val="18"/>
            <w:lang w:val="el-GR"/>
          </w:rPr>
          <w:t>@</w:t>
        </w:r>
        <w:proofErr w:type="spellStart"/>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proofErr w:type="spellEnd"/>
      </w:hyperlink>
    </w:p>
    <w:bookmarkEnd w:id="6"/>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6"/>
      <w:footerReference w:type="default" r:id="rId17"/>
      <w:headerReference w:type="first" r:id="rId18"/>
      <w:footerReference w:type="first" r:id="rId19"/>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C8836" w14:textId="77777777" w:rsidR="00342309" w:rsidRDefault="00342309" w:rsidP="00FB398F">
      <w:r>
        <w:separator/>
      </w:r>
    </w:p>
  </w:endnote>
  <w:endnote w:type="continuationSeparator" w:id="0">
    <w:p w14:paraId="61CB52ED" w14:textId="77777777" w:rsidR="00342309" w:rsidRDefault="00342309"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6A717E">
      <w:rPr>
        <w:noProof/>
      </w:rPr>
      <w:t>4</w:t>
    </w:r>
    <w:r w:rsidR="00D14CDF">
      <w:rPr>
        <w:noProof/>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4CD8F" w14:textId="77777777" w:rsidR="004E4F42" w:rsidRPr="00C80D18" w:rsidRDefault="004E4F42" w:rsidP="000932CF">
    <w:pPr>
      <w:pStyle w:val="Footer"/>
      <w:pBdr>
        <w:top w:val="single" w:sz="4" w:space="0" w:color="auto"/>
      </w:pBdr>
      <w:tabs>
        <w:tab w:val="left" w:pos="4500"/>
      </w:tabs>
      <w:jc w:val="center"/>
      <w:rPr>
        <w:rFonts w:ascii="Verdana" w:hAnsi="Verdana" w:cs="Arial"/>
        <w:sz w:val="16"/>
        <w:szCs w:val="16"/>
        <w:lang w:val="el-GR"/>
      </w:rPr>
    </w:pPr>
    <w:r w:rsidRPr="00C80D18">
      <w:rPr>
        <w:rFonts w:ascii="Verdana" w:hAnsi="Verdana" w:cs="Arial"/>
        <w:sz w:val="16"/>
        <w:szCs w:val="16"/>
        <w:lang w:val="el-GR"/>
      </w:rPr>
      <w:t>Διεύθυνση: Μιχα</w:t>
    </w:r>
    <w:r w:rsidR="00FD5B5F" w:rsidRPr="00C80D18">
      <w:rPr>
        <w:rFonts w:ascii="Verdana" w:hAnsi="Verdana" w:cs="Arial"/>
        <w:sz w:val="16"/>
        <w:szCs w:val="16"/>
        <w:lang w:val="el-GR"/>
      </w:rPr>
      <w:t>ήλ</w:t>
    </w:r>
    <w:r w:rsidRPr="00C80D18">
      <w:rPr>
        <w:rFonts w:ascii="Verdana" w:hAnsi="Verdana" w:cs="Arial"/>
        <w:sz w:val="16"/>
        <w:szCs w:val="16"/>
        <w:lang w:val="el-GR"/>
      </w:rPr>
      <w:t xml:space="preserve"> </w:t>
    </w:r>
    <w:proofErr w:type="spellStart"/>
    <w:r w:rsidRPr="00C80D18">
      <w:rPr>
        <w:rFonts w:ascii="Verdana" w:hAnsi="Verdana" w:cs="Arial"/>
        <w:sz w:val="16"/>
        <w:szCs w:val="16"/>
        <w:lang w:val="el-GR"/>
      </w:rPr>
      <w:t>Καραολή</w:t>
    </w:r>
    <w:proofErr w:type="spellEnd"/>
    <w:r w:rsidRPr="00C80D18">
      <w:rPr>
        <w:rFonts w:ascii="Verdana" w:hAnsi="Verdana" w:cs="Arial"/>
        <w:sz w:val="16"/>
        <w:szCs w:val="16"/>
        <w:lang w:val="el-GR"/>
      </w:rPr>
      <w:t>, 1444 Λευκωσία, Κύπρος</w:t>
    </w:r>
  </w:p>
  <w:p w14:paraId="701EBEC3" w14:textId="55A438AE" w:rsidR="004E4F42" w:rsidRPr="00C80D18" w:rsidRDefault="004E4F42" w:rsidP="000932CF">
    <w:pPr>
      <w:pStyle w:val="Footer"/>
      <w:tabs>
        <w:tab w:val="left" w:pos="4500"/>
      </w:tabs>
      <w:jc w:val="center"/>
      <w:rPr>
        <w:rFonts w:ascii="Verdana" w:hAnsi="Verdana" w:cs="Arial"/>
        <w:sz w:val="16"/>
        <w:szCs w:val="16"/>
        <w:lang w:val="de-DE"/>
      </w:rPr>
    </w:pPr>
    <w:proofErr w:type="spellStart"/>
    <w:r w:rsidRPr="00C80D18">
      <w:rPr>
        <w:rFonts w:ascii="Verdana" w:hAnsi="Verdana" w:cs="Arial"/>
        <w:sz w:val="16"/>
        <w:szCs w:val="16"/>
        <w:lang w:val="el-GR"/>
      </w:rPr>
      <w:t>Τηλ</w:t>
    </w:r>
    <w:proofErr w:type="spellEnd"/>
    <w:r w:rsidRPr="00C80D18">
      <w:rPr>
        <w:rFonts w:ascii="Verdana" w:hAnsi="Verdana" w:cs="Arial"/>
        <w:sz w:val="16"/>
        <w:szCs w:val="16"/>
        <w:lang w:val="el-GR"/>
      </w:rPr>
      <w:t xml:space="preserve">.: 22 602129, </w:t>
    </w:r>
    <w:proofErr w:type="spellStart"/>
    <w:r w:rsidR="00C80D18" w:rsidRPr="00C80D18">
      <w:rPr>
        <w:rFonts w:ascii="Verdana" w:hAnsi="Verdana" w:cs="Arial"/>
        <w:sz w:val="16"/>
        <w:szCs w:val="16"/>
        <w:lang w:val="el-GR"/>
      </w:rPr>
      <w:t>Ηλ</w:t>
    </w:r>
    <w:proofErr w:type="spellEnd"/>
    <w:r w:rsidR="00C80D18" w:rsidRPr="00C80D18">
      <w:rPr>
        <w:rFonts w:ascii="Verdana" w:hAnsi="Verdana" w:cs="Arial"/>
        <w:sz w:val="16"/>
        <w:szCs w:val="16"/>
        <w:lang w:val="el-GR"/>
      </w:rPr>
      <w:t xml:space="preserve">. </w:t>
    </w:r>
    <w:proofErr w:type="spellStart"/>
    <w:r w:rsidR="00C80D18" w:rsidRPr="00C80D18">
      <w:rPr>
        <w:rFonts w:ascii="Verdana" w:hAnsi="Verdana" w:cs="Arial"/>
        <w:sz w:val="16"/>
        <w:szCs w:val="16"/>
        <w:lang w:val="el-GR"/>
      </w:rPr>
      <w:t>Ταχ</w:t>
    </w:r>
    <w:proofErr w:type="spellEnd"/>
    <w:r w:rsidR="00C80D18" w:rsidRPr="00C80D18">
      <w:rPr>
        <w:rFonts w:ascii="Verdana" w:hAnsi="Verdana" w:cs="Arial"/>
        <w:sz w:val="16"/>
        <w:szCs w:val="16"/>
        <w:lang w:val="el-GR"/>
      </w:rPr>
      <w:t>.</w:t>
    </w:r>
    <w:r w:rsidRPr="00C80D18">
      <w:rPr>
        <w:rFonts w:ascii="Verdana" w:hAnsi="Verdana" w:cs="Arial"/>
        <w:sz w:val="16"/>
        <w:szCs w:val="16"/>
        <w:lang w:val="de-DE"/>
      </w:rPr>
      <w:t xml:space="preserve">: </w:t>
    </w:r>
    <w:hyperlink r:id="rId1" w:history="1">
      <w:r w:rsidRPr="00C80D18">
        <w:rPr>
          <w:rStyle w:val="Hyperlink"/>
          <w:rFonts w:ascii="Verdana" w:hAnsi="Verdana" w:cs="Arial"/>
          <w:sz w:val="16"/>
          <w:szCs w:val="16"/>
          <w:lang w:val="de-DE"/>
        </w:rPr>
        <w:t>enquiries@cystat.mof.gov.cy</w:t>
      </w:r>
    </w:hyperlink>
    <w:r w:rsidRPr="00C80D18">
      <w:rPr>
        <w:rFonts w:ascii="Verdana" w:hAnsi="Verdana" w:cs="Arial"/>
        <w:sz w:val="16"/>
        <w:szCs w:val="16"/>
        <w:lang w:val="de-DE"/>
      </w:rPr>
      <w:t xml:space="preserve">  </w:t>
    </w:r>
  </w:p>
  <w:p w14:paraId="66893A8B" w14:textId="2F721768" w:rsidR="004E4F42" w:rsidRPr="00C80D18" w:rsidRDefault="00C80D18" w:rsidP="000932CF">
    <w:pPr>
      <w:pStyle w:val="Footer"/>
      <w:tabs>
        <w:tab w:val="left" w:pos="4500"/>
      </w:tabs>
      <w:jc w:val="center"/>
      <w:rPr>
        <w:rFonts w:ascii="Verdana" w:hAnsi="Verdana" w:cs="Arial"/>
        <w:sz w:val="16"/>
        <w:szCs w:val="16"/>
        <w:lang w:val="el-GR"/>
      </w:rPr>
    </w:pPr>
    <w:r w:rsidRPr="00C80D18">
      <w:rPr>
        <w:rFonts w:ascii="Verdana" w:hAnsi="Verdana" w:cs="Arial"/>
        <w:sz w:val="16"/>
        <w:szCs w:val="16"/>
        <w:lang w:val="el-GR"/>
      </w:rPr>
      <w:t>Διαδικτυακή</w:t>
    </w:r>
    <w:r w:rsidRPr="00C80D18">
      <w:rPr>
        <w:rFonts w:ascii="Verdana" w:hAnsi="Verdana" w:cs="Arial"/>
        <w:sz w:val="16"/>
        <w:szCs w:val="16"/>
        <w:lang w:val="de-DE"/>
      </w:rPr>
      <w:t xml:space="preserve"> </w:t>
    </w:r>
    <w:r w:rsidRPr="00C80D18">
      <w:rPr>
        <w:rFonts w:ascii="Verdana" w:hAnsi="Verdana" w:cs="Arial"/>
        <w:sz w:val="16"/>
        <w:szCs w:val="16"/>
        <w:lang w:val="el-GR"/>
      </w:rPr>
      <w:t>Πύλη</w:t>
    </w:r>
    <w:r w:rsidR="004E4F42" w:rsidRPr="00C80D18">
      <w:rPr>
        <w:rFonts w:ascii="Verdana" w:hAnsi="Verdana" w:cs="Arial"/>
        <w:sz w:val="16"/>
        <w:szCs w:val="16"/>
        <w:lang w:val="el-GR"/>
      </w:rPr>
      <w:t xml:space="preserve">: </w:t>
    </w:r>
    <w:hyperlink r:id="rId2" w:history="1">
      <w:r w:rsidR="004E4F42" w:rsidRPr="00C80D18">
        <w:rPr>
          <w:rStyle w:val="Hyperlink"/>
          <w:rFonts w:ascii="Verdana" w:hAnsi="Verdana" w:cs="Arial"/>
          <w:sz w:val="16"/>
          <w:szCs w:val="16"/>
        </w:rPr>
        <w:t>http</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www</w:t>
      </w:r>
      <w:r w:rsidR="004E4F42" w:rsidRPr="00C80D18">
        <w:rPr>
          <w:rStyle w:val="Hyperlink"/>
          <w:rFonts w:ascii="Verdana" w:hAnsi="Verdana" w:cs="Arial"/>
          <w:sz w:val="16"/>
          <w:szCs w:val="16"/>
          <w:lang w:val="el-GR"/>
        </w:rPr>
        <w:t>.</w:t>
      </w:r>
      <w:proofErr w:type="spellStart"/>
      <w:r w:rsidR="004E4F42" w:rsidRPr="00C80D18">
        <w:rPr>
          <w:rStyle w:val="Hyperlink"/>
          <w:rFonts w:ascii="Verdana" w:hAnsi="Verdana" w:cs="Arial"/>
          <w:sz w:val="16"/>
          <w:szCs w:val="16"/>
        </w:rPr>
        <w:t>cystat</w:t>
      </w:r>
      <w:proofErr w:type="spellEnd"/>
      <w:r w:rsidR="004E4F42" w:rsidRPr="00C80D18">
        <w:rPr>
          <w:rStyle w:val="Hyperlink"/>
          <w:rFonts w:ascii="Verdana" w:hAnsi="Verdana" w:cs="Arial"/>
          <w:sz w:val="16"/>
          <w:szCs w:val="16"/>
          <w:lang w:val="el-GR"/>
        </w:rPr>
        <w:t>.</w:t>
      </w:r>
      <w:proofErr w:type="spellStart"/>
      <w:r w:rsidR="004E4F42" w:rsidRPr="00C80D18">
        <w:rPr>
          <w:rStyle w:val="Hyperlink"/>
          <w:rFonts w:ascii="Verdana" w:hAnsi="Verdana" w:cs="Arial"/>
          <w:sz w:val="16"/>
          <w:szCs w:val="16"/>
        </w:rPr>
        <w:t>gov</w:t>
      </w:r>
      <w:proofErr w:type="spellEnd"/>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w:t>
      </w:r>
    </w:hyperlink>
    <w:r w:rsidR="004E4F42" w:rsidRPr="00C80D18">
      <w:rPr>
        <w:rFonts w:ascii="Verdana" w:hAnsi="Verdana" w:cs="Arial"/>
        <w:sz w:val="16"/>
        <w:szCs w:val="16"/>
        <w:lang w:val="el-G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D77CF" w14:textId="77777777" w:rsidR="00342309" w:rsidRDefault="00342309" w:rsidP="00FB398F">
      <w:r>
        <w:separator/>
      </w:r>
    </w:p>
  </w:footnote>
  <w:footnote w:type="continuationSeparator" w:id="0">
    <w:p w14:paraId="5644B3D7" w14:textId="77777777" w:rsidR="00342309" w:rsidRDefault="00342309" w:rsidP="00FB3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lang w:val="en-GB" w:eastAsia="en-GB"/>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GB" w:eastAsia="en-GB"/>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lang w:val="en-GB" w:eastAsia="en-GB"/>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GB" w:eastAsia="en-GB"/>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lang w:val="en-GB" w:eastAsia="en-GB"/>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GB" w:eastAsia="en-GB"/>
      </w:rPr>
      <mc:AlternateContent>
        <mc:Choice Requires="wps">
          <w:drawing>
            <wp:anchor distT="0" distB="0" distL="114300" distR="114300" simplePos="0" relativeHeight="251659264" behindDoc="0" locked="0" layoutInCell="1" allowOverlap="1" wp14:anchorId="26B35A09" wp14:editId="544F792A">
              <wp:simplePos x="0" y="0"/>
              <wp:positionH relativeFrom="column">
                <wp:posOffset>4090035</wp:posOffset>
              </wp:positionH>
              <wp:positionV relativeFrom="paragraph">
                <wp:posOffset>102870</wp:posOffset>
              </wp:positionV>
              <wp:extent cx="1895475" cy="438150"/>
              <wp:effectExtent l="0" t="0" r="9525"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B35A09" id="Text Box 16" o:spid="_x0000_s1028" type="#_x0000_t202" style="position:absolute;margin-left:322.05pt;margin-top:8.1pt;width:149.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It+AEAANEDAAAOAAAAZHJzL2Uyb0RvYy54bWysU8Fu2zAMvQ/YPwi6L06yZE2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" stroked="f">
              <v:textbo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v:textbox>
            </v:shape>
          </w:pict>
        </mc:Fallback>
      </mc:AlternateContent>
    </w:r>
  </w:p>
  <w:p w14:paraId="788C084B" w14:textId="1C983FD7" w:rsidR="004E4F42" w:rsidRPr="00C80D18" w:rsidRDefault="004E4F42" w:rsidP="000932CF">
    <w:pPr>
      <w:pStyle w:val="Header"/>
      <w:tabs>
        <w:tab w:val="clear" w:pos="4153"/>
        <w:tab w:val="center" w:pos="1620"/>
        <w:tab w:val="left" w:pos="2160"/>
        <w:tab w:val="center" w:pos="7655"/>
      </w:tabs>
      <w:spacing w:line="360" w:lineRule="auto"/>
      <w:rPr>
        <w:rFonts w:ascii="Verdana" w:hAnsi="Verdana" w:cs="Arial"/>
        <w:bCs/>
        <w:sz w:val="20"/>
        <w:szCs w:val="20"/>
        <w:lang w:val="en-US"/>
      </w:rPr>
    </w:pPr>
    <w:r w:rsidRPr="00AC704B">
      <w:rPr>
        <w:rFonts w:ascii="Arial" w:hAnsi="Arial" w:cs="Arial"/>
        <w:bCs/>
        <w:sz w:val="18"/>
        <w:szCs w:val="18"/>
        <w:lang w:val="en-US"/>
      </w:rPr>
      <w:t xml:space="preserve">   </w:t>
    </w:r>
    <w:r w:rsidRPr="00C80D18">
      <w:rPr>
        <w:rFonts w:ascii="Verdana" w:hAnsi="Verdana" w:cs="Arial"/>
        <w:bCs/>
        <w:sz w:val="20"/>
        <w:szCs w:val="20"/>
      </w:rPr>
      <w:t>ΚΥΠΡΙΑΚΗ ΔΗΜΟΚΡΑΤΙΑ</w:t>
    </w:r>
    <w:r w:rsidRPr="00C80D18">
      <w:rPr>
        <w:rFonts w:ascii="Verdana" w:hAnsi="Verdana"/>
        <w:b/>
        <w:bCs/>
        <w:sz w:val="20"/>
        <w:szCs w:val="20"/>
        <w:lang w:val="en-US"/>
      </w:rPr>
      <w:t xml:space="preserve"> </w:t>
    </w:r>
    <w:r w:rsidRPr="00C80D18">
      <w:rPr>
        <w:rFonts w:ascii="Verdana" w:hAnsi="Verdana"/>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98F"/>
    <w:rsid w:val="000018D0"/>
    <w:rsid w:val="00002458"/>
    <w:rsid w:val="0000542E"/>
    <w:rsid w:val="0000572F"/>
    <w:rsid w:val="00011A54"/>
    <w:rsid w:val="00013AF3"/>
    <w:rsid w:val="00013E40"/>
    <w:rsid w:val="0001436B"/>
    <w:rsid w:val="000161B1"/>
    <w:rsid w:val="00017447"/>
    <w:rsid w:val="00023312"/>
    <w:rsid w:val="0002394B"/>
    <w:rsid w:val="00023CEB"/>
    <w:rsid w:val="00025498"/>
    <w:rsid w:val="00025A39"/>
    <w:rsid w:val="00026B18"/>
    <w:rsid w:val="00027853"/>
    <w:rsid w:val="00030E18"/>
    <w:rsid w:val="00031D32"/>
    <w:rsid w:val="000323E4"/>
    <w:rsid w:val="00032B89"/>
    <w:rsid w:val="00034088"/>
    <w:rsid w:val="0003590E"/>
    <w:rsid w:val="0003603D"/>
    <w:rsid w:val="00037999"/>
    <w:rsid w:val="00040319"/>
    <w:rsid w:val="00042925"/>
    <w:rsid w:val="0004388D"/>
    <w:rsid w:val="000446A6"/>
    <w:rsid w:val="00045088"/>
    <w:rsid w:val="00045A06"/>
    <w:rsid w:val="00050391"/>
    <w:rsid w:val="00051603"/>
    <w:rsid w:val="00055291"/>
    <w:rsid w:val="000563D3"/>
    <w:rsid w:val="00057E44"/>
    <w:rsid w:val="00061299"/>
    <w:rsid w:val="0006192B"/>
    <w:rsid w:val="000623EA"/>
    <w:rsid w:val="00062BC7"/>
    <w:rsid w:val="0006328F"/>
    <w:rsid w:val="00070576"/>
    <w:rsid w:val="00071169"/>
    <w:rsid w:val="00075278"/>
    <w:rsid w:val="000752BB"/>
    <w:rsid w:val="0007536D"/>
    <w:rsid w:val="00075B75"/>
    <w:rsid w:val="00076629"/>
    <w:rsid w:val="00081ADF"/>
    <w:rsid w:val="00082072"/>
    <w:rsid w:val="00082B42"/>
    <w:rsid w:val="0008371A"/>
    <w:rsid w:val="00083B45"/>
    <w:rsid w:val="00084A02"/>
    <w:rsid w:val="00084BF7"/>
    <w:rsid w:val="00085B1F"/>
    <w:rsid w:val="000870E9"/>
    <w:rsid w:val="0008778C"/>
    <w:rsid w:val="00087B3C"/>
    <w:rsid w:val="00091CF5"/>
    <w:rsid w:val="000932CF"/>
    <w:rsid w:val="00096ED8"/>
    <w:rsid w:val="000A1A88"/>
    <w:rsid w:val="000A2B5C"/>
    <w:rsid w:val="000A3601"/>
    <w:rsid w:val="000A50D8"/>
    <w:rsid w:val="000A6747"/>
    <w:rsid w:val="000A6FA8"/>
    <w:rsid w:val="000B4BEA"/>
    <w:rsid w:val="000B5FF1"/>
    <w:rsid w:val="000C1070"/>
    <w:rsid w:val="000C44D1"/>
    <w:rsid w:val="000C4E72"/>
    <w:rsid w:val="000C5D92"/>
    <w:rsid w:val="000C74FC"/>
    <w:rsid w:val="000D04BB"/>
    <w:rsid w:val="000D11C6"/>
    <w:rsid w:val="000D1E7A"/>
    <w:rsid w:val="000D7736"/>
    <w:rsid w:val="000E027A"/>
    <w:rsid w:val="000E24B1"/>
    <w:rsid w:val="000E2735"/>
    <w:rsid w:val="000E32D6"/>
    <w:rsid w:val="000E4932"/>
    <w:rsid w:val="000E4CB0"/>
    <w:rsid w:val="000E57F2"/>
    <w:rsid w:val="000E5D96"/>
    <w:rsid w:val="000E63DB"/>
    <w:rsid w:val="000E72A7"/>
    <w:rsid w:val="000F1162"/>
    <w:rsid w:val="000F3467"/>
    <w:rsid w:val="000F38DE"/>
    <w:rsid w:val="000F448C"/>
    <w:rsid w:val="000F4BC8"/>
    <w:rsid w:val="000F532A"/>
    <w:rsid w:val="000F5D6C"/>
    <w:rsid w:val="00102921"/>
    <w:rsid w:val="00105543"/>
    <w:rsid w:val="0010612E"/>
    <w:rsid w:val="00106852"/>
    <w:rsid w:val="001079D8"/>
    <w:rsid w:val="00110F9D"/>
    <w:rsid w:val="00111708"/>
    <w:rsid w:val="00114A67"/>
    <w:rsid w:val="001157E4"/>
    <w:rsid w:val="00117099"/>
    <w:rsid w:val="00123DE8"/>
    <w:rsid w:val="001253B6"/>
    <w:rsid w:val="001262C3"/>
    <w:rsid w:val="00127320"/>
    <w:rsid w:val="00127456"/>
    <w:rsid w:val="00130726"/>
    <w:rsid w:val="00131127"/>
    <w:rsid w:val="001312D8"/>
    <w:rsid w:val="0013137B"/>
    <w:rsid w:val="00132903"/>
    <w:rsid w:val="001348EF"/>
    <w:rsid w:val="0013531A"/>
    <w:rsid w:val="001412A0"/>
    <w:rsid w:val="00147887"/>
    <w:rsid w:val="0015118B"/>
    <w:rsid w:val="001519CE"/>
    <w:rsid w:val="001547F3"/>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05E"/>
    <w:rsid w:val="00195540"/>
    <w:rsid w:val="00196A7C"/>
    <w:rsid w:val="001A1907"/>
    <w:rsid w:val="001A2018"/>
    <w:rsid w:val="001A48A9"/>
    <w:rsid w:val="001A62A9"/>
    <w:rsid w:val="001A7649"/>
    <w:rsid w:val="001A794F"/>
    <w:rsid w:val="001B0EBF"/>
    <w:rsid w:val="001B1006"/>
    <w:rsid w:val="001B2C39"/>
    <w:rsid w:val="001B3675"/>
    <w:rsid w:val="001B43BE"/>
    <w:rsid w:val="001B451E"/>
    <w:rsid w:val="001B5E10"/>
    <w:rsid w:val="001B6AB3"/>
    <w:rsid w:val="001B73D5"/>
    <w:rsid w:val="001C0681"/>
    <w:rsid w:val="001C0F5E"/>
    <w:rsid w:val="001C2119"/>
    <w:rsid w:val="001C3B14"/>
    <w:rsid w:val="001C484F"/>
    <w:rsid w:val="001C528B"/>
    <w:rsid w:val="001C62B3"/>
    <w:rsid w:val="001C7C8C"/>
    <w:rsid w:val="001D0D6A"/>
    <w:rsid w:val="001D20A4"/>
    <w:rsid w:val="001D3C3A"/>
    <w:rsid w:val="001D4E16"/>
    <w:rsid w:val="001D613C"/>
    <w:rsid w:val="001E00D1"/>
    <w:rsid w:val="001E0E58"/>
    <w:rsid w:val="001E14F3"/>
    <w:rsid w:val="001E15ED"/>
    <w:rsid w:val="001E31B3"/>
    <w:rsid w:val="001E61AA"/>
    <w:rsid w:val="001E6DD7"/>
    <w:rsid w:val="001E73D7"/>
    <w:rsid w:val="001F0753"/>
    <w:rsid w:val="001F2779"/>
    <w:rsid w:val="0020309E"/>
    <w:rsid w:val="0020687D"/>
    <w:rsid w:val="0020742D"/>
    <w:rsid w:val="0020780D"/>
    <w:rsid w:val="00210424"/>
    <w:rsid w:val="00210B58"/>
    <w:rsid w:val="002160C6"/>
    <w:rsid w:val="00216205"/>
    <w:rsid w:val="002179A1"/>
    <w:rsid w:val="00222423"/>
    <w:rsid w:val="00223AEE"/>
    <w:rsid w:val="002244CB"/>
    <w:rsid w:val="00225B28"/>
    <w:rsid w:val="00226891"/>
    <w:rsid w:val="00226B6C"/>
    <w:rsid w:val="00230D9B"/>
    <w:rsid w:val="002313AC"/>
    <w:rsid w:val="00231C0F"/>
    <w:rsid w:val="00233AD2"/>
    <w:rsid w:val="00233AD8"/>
    <w:rsid w:val="00233B46"/>
    <w:rsid w:val="002347EE"/>
    <w:rsid w:val="00235014"/>
    <w:rsid w:val="00235FB2"/>
    <w:rsid w:val="00237BC1"/>
    <w:rsid w:val="0024026B"/>
    <w:rsid w:val="002404FE"/>
    <w:rsid w:val="002430B4"/>
    <w:rsid w:val="002447D0"/>
    <w:rsid w:val="002454C5"/>
    <w:rsid w:val="00245E19"/>
    <w:rsid w:val="00246AEB"/>
    <w:rsid w:val="00250005"/>
    <w:rsid w:val="00250774"/>
    <w:rsid w:val="002510A6"/>
    <w:rsid w:val="00251CAB"/>
    <w:rsid w:val="0025254F"/>
    <w:rsid w:val="0025560F"/>
    <w:rsid w:val="0025566D"/>
    <w:rsid w:val="002558D3"/>
    <w:rsid w:val="0025595C"/>
    <w:rsid w:val="0025622C"/>
    <w:rsid w:val="002567C4"/>
    <w:rsid w:val="00257149"/>
    <w:rsid w:val="002576D0"/>
    <w:rsid w:val="002576E7"/>
    <w:rsid w:val="00260357"/>
    <w:rsid w:val="00260410"/>
    <w:rsid w:val="002633F9"/>
    <w:rsid w:val="002635DE"/>
    <w:rsid w:val="00264413"/>
    <w:rsid w:val="00264F04"/>
    <w:rsid w:val="00266F1F"/>
    <w:rsid w:val="00267554"/>
    <w:rsid w:val="0027291A"/>
    <w:rsid w:val="002732AD"/>
    <w:rsid w:val="002738C2"/>
    <w:rsid w:val="002743F0"/>
    <w:rsid w:val="002754E9"/>
    <w:rsid w:val="002809B9"/>
    <w:rsid w:val="00281B90"/>
    <w:rsid w:val="0028338F"/>
    <w:rsid w:val="002915C4"/>
    <w:rsid w:val="00297A13"/>
    <w:rsid w:val="00297E6B"/>
    <w:rsid w:val="002A1D1C"/>
    <w:rsid w:val="002A28D1"/>
    <w:rsid w:val="002A4D64"/>
    <w:rsid w:val="002A6A70"/>
    <w:rsid w:val="002A7893"/>
    <w:rsid w:val="002B03CE"/>
    <w:rsid w:val="002B0C0E"/>
    <w:rsid w:val="002B34BE"/>
    <w:rsid w:val="002B3BB5"/>
    <w:rsid w:val="002B4969"/>
    <w:rsid w:val="002B6554"/>
    <w:rsid w:val="002B7065"/>
    <w:rsid w:val="002C4323"/>
    <w:rsid w:val="002C6C81"/>
    <w:rsid w:val="002C79BD"/>
    <w:rsid w:val="002D05F0"/>
    <w:rsid w:val="002D119D"/>
    <w:rsid w:val="002D270A"/>
    <w:rsid w:val="002D2829"/>
    <w:rsid w:val="002D32FA"/>
    <w:rsid w:val="002D7D4A"/>
    <w:rsid w:val="002E3846"/>
    <w:rsid w:val="002E3F78"/>
    <w:rsid w:val="002F400C"/>
    <w:rsid w:val="002F4D76"/>
    <w:rsid w:val="002F5806"/>
    <w:rsid w:val="002F6D26"/>
    <w:rsid w:val="0030107C"/>
    <w:rsid w:val="0030231E"/>
    <w:rsid w:val="003042C4"/>
    <w:rsid w:val="00304CB4"/>
    <w:rsid w:val="00304D9F"/>
    <w:rsid w:val="00305B05"/>
    <w:rsid w:val="00305D99"/>
    <w:rsid w:val="00306076"/>
    <w:rsid w:val="00313F37"/>
    <w:rsid w:val="003141D0"/>
    <w:rsid w:val="003145E8"/>
    <w:rsid w:val="003149D9"/>
    <w:rsid w:val="00315D54"/>
    <w:rsid w:val="003168C1"/>
    <w:rsid w:val="00317671"/>
    <w:rsid w:val="00322EC7"/>
    <w:rsid w:val="00322FBE"/>
    <w:rsid w:val="00325632"/>
    <w:rsid w:val="00327549"/>
    <w:rsid w:val="00327654"/>
    <w:rsid w:val="003337C1"/>
    <w:rsid w:val="003342A5"/>
    <w:rsid w:val="00334616"/>
    <w:rsid w:val="00336C36"/>
    <w:rsid w:val="00336F31"/>
    <w:rsid w:val="00342309"/>
    <w:rsid w:val="0034293A"/>
    <w:rsid w:val="00343815"/>
    <w:rsid w:val="00344666"/>
    <w:rsid w:val="0034705B"/>
    <w:rsid w:val="00347874"/>
    <w:rsid w:val="003478C2"/>
    <w:rsid w:val="003522BB"/>
    <w:rsid w:val="003523C8"/>
    <w:rsid w:val="00352F6C"/>
    <w:rsid w:val="003556EA"/>
    <w:rsid w:val="00355D6D"/>
    <w:rsid w:val="00356FCC"/>
    <w:rsid w:val="00356FDC"/>
    <w:rsid w:val="003570D2"/>
    <w:rsid w:val="003600FA"/>
    <w:rsid w:val="00360B5F"/>
    <w:rsid w:val="00364589"/>
    <w:rsid w:val="00364682"/>
    <w:rsid w:val="00364824"/>
    <w:rsid w:val="003649FD"/>
    <w:rsid w:val="003652ED"/>
    <w:rsid w:val="00365488"/>
    <w:rsid w:val="0037080F"/>
    <w:rsid w:val="00370C47"/>
    <w:rsid w:val="00380663"/>
    <w:rsid w:val="00382E07"/>
    <w:rsid w:val="00386FC7"/>
    <w:rsid w:val="00390A32"/>
    <w:rsid w:val="0039267A"/>
    <w:rsid w:val="00394E48"/>
    <w:rsid w:val="003955EC"/>
    <w:rsid w:val="003968D1"/>
    <w:rsid w:val="003A0174"/>
    <w:rsid w:val="003A1153"/>
    <w:rsid w:val="003A1E91"/>
    <w:rsid w:val="003A1FE9"/>
    <w:rsid w:val="003A38E9"/>
    <w:rsid w:val="003A40F2"/>
    <w:rsid w:val="003A50D1"/>
    <w:rsid w:val="003B196D"/>
    <w:rsid w:val="003B2710"/>
    <w:rsid w:val="003B2CC6"/>
    <w:rsid w:val="003B2EDB"/>
    <w:rsid w:val="003B3392"/>
    <w:rsid w:val="003B4608"/>
    <w:rsid w:val="003B7CDB"/>
    <w:rsid w:val="003C2392"/>
    <w:rsid w:val="003C3B5F"/>
    <w:rsid w:val="003C4990"/>
    <w:rsid w:val="003C5174"/>
    <w:rsid w:val="003C5240"/>
    <w:rsid w:val="003C63F9"/>
    <w:rsid w:val="003C76E6"/>
    <w:rsid w:val="003C7AF2"/>
    <w:rsid w:val="003D1226"/>
    <w:rsid w:val="003D14E0"/>
    <w:rsid w:val="003D1843"/>
    <w:rsid w:val="003D1EA5"/>
    <w:rsid w:val="003D2D1A"/>
    <w:rsid w:val="003D3348"/>
    <w:rsid w:val="003D3F7C"/>
    <w:rsid w:val="003D4E63"/>
    <w:rsid w:val="003D587B"/>
    <w:rsid w:val="003D604F"/>
    <w:rsid w:val="003D6822"/>
    <w:rsid w:val="003D724C"/>
    <w:rsid w:val="003E0CE2"/>
    <w:rsid w:val="003E1F23"/>
    <w:rsid w:val="003E510D"/>
    <w:rsid w:val="003E623B"/>
    <w:rsid w:val="003F28F9"/>
    <w:rsid w:val="003F49E4"/>
    <w:rsid w:val="003F4CB3"/>
    <w:rsid w:val="003F4D2F"/>
    <w:rsid w:val="003F5E32"/>
    <w:rsid w:val="003F75F6"/>
    <w:rsid w:val="00404670"/>
    <w:rsid w:val="00405220"/>
    <w:rsid w:val="00410B86"/>
    <w:rsid w:val="00414CA0"/>
    <w:rsid w:val="004164A3"/>
    <w:rsid w:val="00422F54"/>
    <w:rsid w:val="0042304A"/>
    <w:rsid w:val="00426606"/>
    <w:rsid w:val="004278F5"/>
    <w:rsid w:val="0043001A"/>
    <w:rsid w:val="00431516"/>
    <w:rsid w:val="00436099"/>
    <w:rsid w:val="004361B3"/>
    <w:rsid w:val="0044249D"/>
    <w:rsid w:val="0044379F"/>
    <w:rsid w:val="00444FCC"/>
    <w:rsid w:val="00446FB1"/>
    <w:rsid w:val="00452753"/>
    <w:rsid w:val="00452DF7"/>
    <w:rsid w:val="00453E42"/>
    <w:rsid w:val="00455525"/>
    <w:rsid w:val="004578DA"/>
    <w:rsid w:val="0046078F"/>
    <w:rsid w:val="00463214"/>
    <w:rsid w:val="0046434D"/>
    <w:rsid w:val="004656FA"/>
    <w:rsid w:val="00465B21"/>
    <w:rsid w:val="004677C3"/>
    <w:rsid w:val="00467D59"/>
    <w:rsid w:val="00470E2D"/>
    <w:rsid w:val="00470F4C"/>
    <w:rsid w:val="00471D77"/>
    <w:rsid w:val="00474265"/>
    <w:rsid w:val="0047491B"/>
    <w:rsid w:val="00474BD1"/>
    <w:rsid w:val="00475587"/>
    <w:rsid w:val="00477492"/>
    <w:rsid w:val="00480BC2"/>
    <w:rsid w:val="004845C3"/>
    <w:rsid w:val="00484BE8"/>
    <w:rsid w:val="0049028C"/>
    <w:rsid w:val="004920B1"/>
    <w:rsid w:val="004929C2"/>
    <w:rsid w:val="00493FDD"/>
    <w:rsid w:val="0049586B"/>
    <w:rsid w:val="00497CF6"/>
    <w:rsid w:val="004A11EF"/>
    <w:rsid w:val="004A2850"/>
    <w:rsid w:val="004A3E44"/>
    <w:rsid w:val="004A5205"/>
    <w:rsid w:val="004A5A89"/>
    <w:rsid w:val="004A608E"/>
    <w:rsid w:val="004A7117"/>
    <w:rsid w:val="004B1104"/>
    <w:rsid w:val="004B2018"/>
    <w:rsid w:val="004B286D"/>
    <w:rsid w:val="004B2896"/>
    <w:rsid w:val="004B38E9"/>
    <w:rsid w:val="004B3C1B"/>
    <w:rsid w:val="004B3FBA"/>
    <w:rsid w:val="004B5321"/>
    <w:rsid w:val="004B6599"/>
    <w:rsid w:val="004C2058"/>
    <w:rsid w:val="004C2110"/>
    <w:rsid w:val="004C6ABF"/>
    <w:rsid w:val="004C6CA7"/>
    <w:rsid w:val="004D2A0C"/>
    <w:rsid w:val="004D4357"/>
    <w:rsid w:val="004D4950"/>
    <w:rsid w:val="004D55F1"/>
    <w:rsid w:val="004D63EC"/>
    <w:rsid w:val="004D783D"/>
    <w:rsid w:val="004E0451"/>
    <w:rsid w:val="004E0E78"/>
    <w:rsid w:val="004E1A86"/>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10BA3"/>
    <w:rsid w:val="0051107B"/>
    <w:rsid w:val="00512F9C"/>
    <w:rsid w:val="005137BD"/>
    <w:rsid w:val="00527CDB"/>
    <w:rsid w:val="00530D25"/>
    <w:rsid w:val="00530D3A"/>
    <w:rsid w:val="005339AA"/>
    <w:rsid w:val="005341C9"/>
    <w:rsid w:val="00535337"/>
    <w:rsid w:val="005369CA"/>
    <w:rsid w:val="00536DE9"/>
    <w:rsid w:val="00541DEB"/>
    <w:rsid w:val="00541E08"/>
    <w:rsid w:val="00542330"/>
    <w:rsid w:val="005430FA"/>
    <w:rsid w:val="00543942"/>
    <w:rsid w:val="00543F41"/>
    <w:rsid w:val="00554FE0"/>
    <w:rsid w:val="00555A9F"/>
    <w:rsid w:val="00556FD9"/>
    <w:rsid w:val="0055789A"/>
    <w:rsid w:val="00560952"/>
    <w:rsid w:val="00562EB0"/>
    <w:rsid w:val="005643A4"/>
    <w:rsid w:val="005652D1"/>
    <w:rsid w:val="005660A0"/>
    <w:rsid w:val="00566A4F"/>
    <w:rsid w:val="0056743D"/>
    <w:rsid w:val="00567D64"/>
    <w:rsid w:val="005721AA"/>
    <w:rsid w:val="005727E1"/>
    <w:rsid w:val="005808AB"/>
    <w:rsid w:val="00582855"/>
    <w:rsid w:val="00582C86"/>
    <w:rsid w:val="0059136C"/>
    <w:rsid w:val="005945E1"/>
    <w:rsid w:val="0059585B"/>
    <w:rsid w:val="005978D4"/>
    <w:rsid w:val="005A23FA"/>
    <w:rsid w:val="005A2B85"/>
    <w:rsid w:val="005A2F66"/>
    <w:rsid w:val="005A54FD"/>
    <w:rsid w:val="005A60BB"/>
    <w:rsid w:val="005A6BBB"/>
    <w:rsid w:val="005B2A67"/>
    <w:rsid w:val="005B33E2"/>
    <w:rsid w:val="005B3DCD"/>
    <w:rsid w:val="005B4AD4"/>
    <w:rsid w:val="005B55A8"/>
    <w:rsid w:val="005C08E4"/>
    <w:rsid w:val="005C26D5"/>
    <w:rsid w:val="005C2798"/>
    <w:rsid w:val="005C36C3"/>
    <w:rsid w:val="005C56EE"/>
    <w:rsid w:val="005C7E42"/>
    <w:rsid w:val="005D1714"/>
    <w:rsid w:val="005D3A2C"/>
    <w:rsid w:val="005D5F35"/>
    <w:rsid w:val="005D7638"/>
    <w:rsid w:val="005E2BDE"/>
    <w:rsid w:val="005E3D8C"/>
    <w:rsid w:val="005E5CFB"/>
    <w:rsid w:val="005F12F5"/>
    <w:rsid w:val="005F3E17"/>
    <w:rsid w:val="005F4185"/>
    <w:rsid w:val="005F6179"/>
    <w:rsid w:val="005F7955"/>
    <w:rsid w:val="005F7A2C"/>
    <w:rsid w:val="005F7C7D"/>
    <w:rsid w:val="00601CF7"/>
    <w:rsid w:val="006022B5"/>
    <w:rsid w:val="006044B7"/>
    <w:rsid w:val="00605F73"/>
    <w:rsid w:val="006071CE"/>
    <w:rsid w:val="006075B5"/>
    <w:rsid w:val="006075EB"/>
    <w:rsid w:val="0061018C"/>
    <w:rsid w:val="0061094E"/>
    <w:rsid w:val="00613440"/>
    <w:rsid w:val="00613BE3"/>
    <w:rsid w:val="006147E4"/>
    <w:rsid w:val="00616E81"/>
    <w:rsid w:val="00622A9F"/>
    <w:rsid w:val="0062327B"/>
    <w:rsid w:val="00626C5E"/>
    <w:rsid w:val="006314AA"/>
    <w:rsid w:val="00632777"/>
    <w:rsid w:val="00633750"/>
    <w:rsid w:val="00634491"/>
    <w:rsid w:val="00635691"/>
    <w:rsid w:val="0063679C"/>
    <w:rsid w:val="00637055"/>
    <w:rsid w:val="00641D59"/>
    <w:rsid w:val="00644507"/>
    <w:rsid w:val="00646880"/>
    <w:rsid w:val="00646A4F"/>
    <w:rsid w:val="00646CF3"/>
    <w:rsid w:val="006473B8"/>
    <w:rsid w:val="00647D2A"/>
    <w:rsid w:val="006537BB"/>
    <w:rsid w:val="00654DFB"/>
    <w:rsid w:val="00655209"/>
    <w:rsid w:val="0065643E"/>
    <w:rsid w:val="00660714"/>
    <w:rsid w:val="00660862"/>
    <w:rsid w:val="00667E07"/>
    <w:rsid w:val="00671785"/>
    <w:rsid w:val="00672BA9"/>
    <w:rsid w:val="00673005"/>
    <w:rsid w:val="00675B6E"/>
    <w:rsid w:val="00677AB6"/>
    <w:rsid w:val="006804BE"/>
    <w:rsid w:val="00680A4F"/>
    <w:rsid w:val="00680B85"/>
    <w:rsid w:val="0068434A"/>
    <w:rsid w:val="0069008E"/>
    <w:rsid w:val="006904EC"/>
    <w:rsid w:val="0069087E"/>
    <w:rsid w:val="00691311"/>
    <w:rsid w:val="006925C4"/>
    <w:rsid w:val="00694242"/>
    <w:rsid w:val="00694F03"/>
    <w:rsid w:val="006A02B7"/>
    <w:rsid w:val="006A4979"/>
    <w:rsid w:val="006A6C5E"/>
    <w:rsid w:val="006A7019"/>
    <w:rsid w:val="006A717E"/>
    <w:rsid w:val="006A7402"/>
    <w:rsid w:val="006B111B"/>
    <w:rsid w:val="006B20A3"/>
    <w:rsid w:val="006B2EBF"/>
    <w:rsid w:val="006B46D5"/>
    <w:rsid w:val="006B46F4"/>
    <w:rsid w:val="006B4CDD"/>
    <w:rsid w:val="006B4E75"/>
    <w:rsid w:val="006B7F67"/>
    <w:rsid w:val="006C18AA"/>
    <w:rsid w:val="006C3017"/>
    <w:rsid w:val="006C3F13"/>
    <w:rsid w:val="006C73DD"/>
    <w:rsid w:val="006C7AF3"/>
    <w:rsid w:val="006D0B9D"/>
    <w:rsid w:val="006D6548"/>
    <w:rsid w:val="006E0E20"/>
    <w:rsid w:val="006E21FE"/>
    <w:rsid w:val="006E4256"/>
    <w:rsid w:val="006E4BBA"/>
    <w:rsid w:val="006E5F43"/>
    <w:rsid w:val="006E60A6"/>
    <w:rsid w:val="006E65E0"/>
    <w:rsid w:val="006E7A9F"/>
    <w:rsid w:val="006F04B6"/>
    <w:rsid w:val="006F065A"/>
    <w:rsid w:val="006F0F69"/>
    <w:rsid w:val="006F116B"/>
    <w:rsid w:val="006F117F"/>
    <w:rsid w:val="006F13DF"/>
    <w:rsid w:val="006F2780"/>
    <w:rsid w:val="006F47C1"/>
    <w:rsid w:val="006F5DD6"/>
    <w:rsid w:val="006F6C96"/>
    <w:rsid w:val="006F6D3B"/>
    <w:rsid w:val="00700DF0"/>
    <w:rsid w:val="00702F26"/>
    <w:rsid w:val="0070313E"/>
    <w:rsid w:val="00703799"/>
    <w:rsid w:val="00705C5C"/>
    <w:rsid w:val="00711475"/>
    <w:rsid w:val="00716B5C"/>
    <w:rsid w:val="00721CD6"/>
    <w:rsid w:val="00723D60"/>
    <w:rsid w:val="0072548A"/>
    <w:rsid w:val="007277A6"/>
    <w:rsid w:val="007310AA"/>
    <w:rsid w:val="00731391"/>
    <w:rsid w:val="00733648"/>
    <w:rsid w:val="00740E93"/>
    <w:rsid w:val="007437AB"/>
    <w:rsid w:val="00743AF3"/>
    <w:rsid w:val="00745016"/>
    <w:rsid w:val="00745425"/>
    <w:rsid w:val="00745976"/>
    <w:rsid w:val="00750AF4"/>
    <w:rsid w:val="0075340B"/>
    <w:rsid w:val="007534F8"/>
    <w:rsid w:val="007545AD"/>
    <w:rsid w:val="00761E3A"/>
    <w:rsid w:val="00763722"/>
    <w:rsid w:val="00763CC6"/>
    <w:rsid w:val="00764BC1"/>
    <w:rsid w:val="00765399"/>
    <w:rsid w:val="00765BDC"/>
    <w:rsid w:val="00770869"/>
    <w:rsid w:val="0077314E"/>
    <w:rsid w:val="007738AA"/>
    <w:rsid w:val="00773A57"/>
    <w:rsid w:val="00774B42"/>
    <w:rsid w:val="00777375"/>
    <w:rsid w:val="00777AEB"/>
    <w:rsid w:val="00777FAE"/>
    <w:rsid w:val="00780720"/>
    <w:rsid w:val="007808C0"/>
    <w:rsid w:val="00780A62"/>
    <w:rsid w:val="00782524"/>
    <w:rsid w:val="00783241"/>
    <w:rsid w:val="00784BDC"/>
    <w:rsid w:val="007869EA"/>
    <w:rsid w:val="00787153"/>
    <w:rsid w:val="007874D2"/>
    <w:rsid w:val="00792F28"/>
    <w:rsid w:val="007935CA"/>
    <w:rsid w:val="0079383F"/>
    <w:rsid w:val="0079543F"/>
    <w:rsid w:val="00795880"/>
    <w:rsid w:val="007A0B56"/>
    <w:rsid w:val="007A358E"/>
    <w:rsid w:val="007A4367"/>
    <w:rsid w:val="007B0867"/>
    <w:rsid w:val="007B1AC1"/>
    <w:rsid w:val="007B1DBF"/>
    <w:rsid w:val="007B441A"/>
    <w:rsid w:val="007B4795"/>
    <w:rsid w:val="007B55C9"/>
    <w:rsid w:val="007B5A08"/>
    <w:rsid w:val="007B693D"/>
    <w:rsid w:val="007B7A39"/>
    <w:rsid w:val="007B7C1A"/>
    <w:rsid w:val="007C264F"/>
    <w:rsid w:val="007C4CDC"/>
    <w:rsid w:val="007C75E6"/>
    <w:rsid w:val="007C77AC"/>
    <w:rsid w:val="007D08C2"/>
    <w:rsid w:val="007D34B8"/>
    <w:rsid w:val="007D37CB"/>
    <w:rsid w:val="007D398A"/>
    <w:rsid w:val="007E041B"/>
    <w:rsid w:val="007E199A"/>
    <w:rsid w:val="007E1A6B"/>
    <w:rsid w:val="007E1AED"/>
    <w:rsid w:val="007E2415"/>
    <w:rsid w:val="007E34F7"/>
    <w:rsid w:val="007E39F3"/>
    <w:rsid w:val="007E405E"/>
    <w:rsid w:val="007E52AF"/>
    <w:rsid w:val="007E5354"/>
    <w:rsid w:val="007E68F4"/>
    <w:rsid w:val="007E6DE2"/>
    <w:rsid w:val="007E6F47"/>
    <w:rsid w:val="007F07A9"/>
    <w:rsid w:val="007F30D6"/>
    <w:rsid w:val="007F31BA"/>
    <w:rsid w:val="007F4078"/>
    <w:rsid w:val="0080014B"/>
    <w:rsid w:val="00800C50"/>
    <w:rsid w:val="00800CDA"/>
    <w:rsid w:val="00801793"/>
    <w:rsid w:val="00802E5C"/>
    <w:rsid w:val="00803642"/>
    <w:rsid w:val="008045AC"/>
    <w:rsid w:val="00806EA2"/>
    <w:rsid w:val="008125E2"/>
    <w:rsid w:val="00812A2B"/>
    <w:rsid w:val="00812C83"/>
    <w:rsid w:val="0081369E"/>
    <w:rsid w:val="00814A4C"/>
    <w:rsid w:val="008227F7"/>
    <w:rsid w:val="00822B2C"/>
    <w:rsid w:val="0082599A"/>
    <w:rsid w:val="00831AAB"/>
    <w:rsid w:val="00833BCD"/>
    <w:rsid w:val="00833D0E"/>
    <w:rsid w:val="00834B82"/>
    <w:rsid w:val="0083574E"/>
    <w:rsid w:val="0083640C"/>
    <w:rsid w:val="0083740B"/>
    <w:rsid w:val="008374E3"/>
    <w:rsid w:val="0084157B"/>
    <w:rsid w:val="00842BFB"/>
    <w:rsid w:val="008462BD"/>
    <w:rsid w:val="00846B85"/>
    <w:rsid w:val="00847DC3"/>
    <w:rsid w:val="00847F49"/>
    <w:rsid w:val="0085019F"/>
    <w:rsid w:val="008516BF"/>
    <w:rsid w:val="00853132"/>
    <w:rsid w:val="008535C5"/>
    <w:rsid w:val="00853765"/>
    <w:rsid w:val="0085505A"/>
    <w:rsid w:val="0085516F"/>
    <w:rsid w:val="008620CD"/>
    <w:rsid w:val="00862AEA"/>
    <w:rsid w:val="00867186"/>
    <w:rsid w:val="00867400"/>
    <w:rsid w:val="00870A33"/>
    <w:rsid w:val="00870AF6"/>
    <w:rsid w:val="008755E8"/>
    <w:rsid w:val="008756FA"/>
    <w:rsid w:val="00877452"/>
    <w:rsid w:val="00881268"/>
    <w:rsid w:val="00882F5F"/>
    <w:rsid w:val="0088394A"/>
    <w:rsid w:val="008860BD"/>
    <w:rsid w:val="00886D68"/>
    <w:rsid w:val="00887399"/>
    <w:rsid w:val="0088779E"/>
    <w:rsid w:val="008912AF"/>
    <w:rsid w:val="00892114"/>
    <w:rsid w:val="00892CB9"/>
    <w:rsid w:val="008935CB"/>
    <w:rsid w:val="00896155"/>
    <w:rsid w:val="008A2A17"/>
    <w:rsid w:val="008A36AE"/>
    <w:rsid w:val="008A42BC"/>
    <w:rsid w:val="008B0E7E"/>
    <w:rsid w:val="008B1495"/>
    <w:rsid w:val="008B65BD"/>
    <w:rsid w:val="008B7900"/>
    <w:rsid w:val="008C1D85"/>
    <w:rsid w:val="008C71BF"/>
    <w:rsid w:val="008C7FE0"/>
    <w:rsid w:val="008D33A0"/>
    <w:rsid w:val="008D3D2B"/>
    <w:rsid w:val="008D5717"/>
    <w:rsid w:val="008D599D"/>
    <w:rsid w:val="008D6230"/>
    <w:rsid w:val="008E06BE"/>
    <w:rsid w:val="008E1127"/>
    <w:rsid w:val="008E44A9"/>
    <w:rsid w:val="008E4709"/>
    <w:rsid w:val="008E4F1A"/>
    <w:rsid w:val="008E5DB5"/>
    <w:rsid w:val="008E6B4D"/>
    <w:rsid w:val="008E6BFF"/>
    <w:rsid w:val="008E6E54"/>
    <w:rsid w:val="008F21AF"/>
    <w:rsid w:val="008F2400"/>
    <w:rsid w:val="008F2CDE"/>
    <w:rsid w:val="008F61BA"/>
    <w:rsid w:val="008F6E3C"/>
    <w:rsid w:val="008F7BA8"/>
    <w:rsid w:val="008F7C55"/>
    <w:rsid w:val="00901BB2"/>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3BF"/>
    <w:rsid w:val="00945596"/>
    <w:rsid w:val="00947889"/>
    <w:rsid w:val="009478BD"/>
    <w:rsid w:val="009530D6"/>
    <w:rsid w:val="009543B2"/>
    <w:rsid w:val="0095675C"/>
    <w:rsid w:val="00956A44"/>
    <w:rsid w:val="00957A69"/>
    <w:rsid w:val="00960173"/>
    <w:rsid w:val="00960E98"/>
    <w:rsid w:val="009610FC"/>
    <w:rsid w:val="0096159A"/>
    <w:rsid w:val="00963A82"/>
    <w:rsid w:val="0096449F"/>
    <w:rsid w:val="00972912"/>
    <w:rsid w:val="00973BFC"/>
    <w:rsid w:val="009763EE"/>
    <w:rsid w:val="00976D1F"/>
    <w:rsid w:val="00981C81"/>
    <w:rsid w:val="0099059D"/>
    <w:rsid w:val="009913B3"/>
    <w:rsid w:val="00993825"/>
    <w:rsid w:val="00993EFA"/>
    <w:rsid w:val="00996CDB"/>
    <w:rsid w:val="0099770C"/>
    <w:rsid w:val="00997963"/>
    <w:rsid w:val="009A2D24"/>
    <w:rsid w:val="009A2DF0"/>
    <w:rsid w:val="009A2F58"/>
    <w:rsid w:val="009A456C"/>
    <w:rsid w:val="009B00E0"/>
    <w:rsid w:val="009B041C"/>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417"/>
    <w:rsid w:val="009D176E"/>
    <w:rsid w:val="009D2611"/>
    <w:rsid w:val="009D53D4"/>
    <w:rsid w:val="009D79D2"/>
    <w:rsid w:val="009E247C"/>
    <w:rsid w:val="009E31BA"/>
    <w:rsid w:val="009E72F4"/>
    <w:rsid w:val="009F0528"/>
    <w:rsid w:val="009F0806"/>
    <w:rsid w:val="009F0D96"/>
    <w:rsid w:val="009F1D8C"/>
    <w:rsid w:val="009F233B"/>
    <w:rsid w:val="009F3ABD"/>
    <w:rsid w:val="00A02426"/>
    <w:rsid w:val="00A05D16"/>
    <w:rsid w:val="00A0659F"/>
    <w:rsid w:val="00A079BA"/>
    <w:rsid w:val="00A07A8D"/>
    <w:rsid w:val="00A10411"/>
    <w:rsid w:val="00A1320A"/>
    <w:rsid w:val="00A13D14"/>
    <w:rsid w:val="00A14D7C"/>
    <w:rsid w:val="00A14E8C"/>
    <w:rsid w:val="00A15339"/>
    <w:rsid w:val="00A20C70"/>
    <w:rsid w:val="00A214BF"/>
    <w:rsid w:val="00A23F23"/>
    <w:rsid w:val="00A306AF"/>
    <w:rsid w:val="00A30E5B"/>
    <w:rsid w:val="00A33875"/>
    <w:rsid w:val="00A360A1"/>
    <w:rsid w:val="00A369FE"/>
    <w:rsid w:val="00A36D89"/>
    <w:rsid w:val="00A37427"/>
    <w:rsid w:val="00A402B3"/>
    <w:rsid w:val="00A40E5F"/>
    <w:rsid w:val="00A40EA0"/>
    <w:rsid w:val="00A42672"/>
    <w:rsid w:val="00A43222"/>
    <w:rsid w:val="00A468E8"/>
    <w:rsid w:val="00A51834"/>
    <w:rsid w:val="00A544B7"/>
    <w:rsid w:val="00A60399"/>
    <w:rsid w:val="00A618CF"/>
    <w:rsid w:val="00A62770"/>
    <w:rsid w:val="00A62EEB"/>
    <w:rsid w:val="00A63680"/>
    <w:rsid w:val="00A65B57"/>
    <w:rsid w:val="00A65E61"/>
    <w:rsid w:val="00A660FF"/>
    <w:rsid w:val="00A6617C"/>
    <w:rsid w:val="00A7260D"/>
    <w:rsid w:val="00A72AA9"/>
    <w:rsid w:val="00A73395"/>
    <w:rsid w:val="00A766A2"/>
    <w:rsid w:val="00A76C44"/>
    <w:rsid w:val="00A771E3"/>
    <w:rsid w:val="00A81068"/>
    <w:rsid w:val="00A82B4C"/>
    <w:rsid w:val="00A84905"/>
    <w:rsid w:val="00A854B1"/>
    <w:rsid w:val="00A912D0"/>
    <w:rsid w:val="00A913FF"/>
    <w:rsid w:val="00A935D3"/>
    <w:rsid w:val="00A93A4C"/>
    <w:rsid w:val="00A94D5D"/>
    <w:rsid w:val="00AA0DA2"/>
    <w:rsid w:val="00AA1B13"/>
    <w:rsid w:val="00AA1D9B"/>
    <w:rsid w:val="00AA2543"/>
    <w:rsid w:val="00AA3804"/>
    <w:rsid w:val="00AA4908"/>
    <w:rsid w:val="00AA55C2"/>
    <w:rsid w:val="00AA6832"/>
    <w:rsid w:val="00AB0ACA"/>
    <w:rsid w:val="00AB1D41"/>
    <w:rsid w:val="00AB3C36"/>
    <w:rsid w:val="00AB58D7"/>
    <w:rsid w:val="00AB62D1"/>
    <w:rsid w:val="00AC0D22"/>
    <w:rsid w:val="00AC3F63"/>
    <w:rsid w:val="00AC5E9A"/>
    <w:rsid w:val="00AC5F2D"/>
    <w:rsid w:val="00AC704B"/>
    <w:rsid w:val="00AD553E"/>
    <w:rsid w:val="00AD5848"/>
    <w:rsid w:val="00AE5284"/>
    <w:rsid w:val="00AE5ADA"/>
    <w:rsid w:val="00AE626B"/>
    <w:rsid w:val="00AE7486"/>
    <w:rsid w:val="00AF5050"/>
    <w:rsid w:val="00AF5EAF"/>
    <w:rsid w:val="00AF6145"/>
    <w:rsid w:val="00B01386"/>
    <w:rsid w:val="00B01648"/>
    <w:rsid w:val="00B016E5"/>
    <w:rsid w:val="00B01915"/>
    <w:rsid w:val="00B01BB5"/>
    <w:rsid w:val="00B026CC"/>
    <w:rsid w:val="00B03076"/>
    <w:rsid w:val="00B04115"/>
    <w:rsid w:val="00B04AF4"/>
    <w:rsid w:val="00B05214"/>
    <w:rsid w:val="00B05BE9"/>
    <w:rsid w:val="00B06FC6"/>
    <w:rsid w:val="00B10534"/>
    <w:rsid w:val="00B117A0"/>
    <w:rsid w:val="00B1535F"/>
    <w:rsid w:val="00B17785"/>
    <w:rsid w:val="00B26123"/>
    <w:rsid w:val="00B262F1"/>
    <w:rsid w:val="00B3085D"/>
    <w:rsid w:val="00B30D97"/>
    <w:rsid w:val="00B31074"/>
    <w:rsid w:val="00B31395"/>
    <w:rsid w:val="00B3181A"/>
    <w:rsid w:val="00B3364B"/>
    <w:rsid w:val="00B350FC"/>
    <w:rsid w:val="00B359F9"/>
    <w:rsid w:val="00B35A7C"/>
    <w:rsid w:val="00B442B0"/>
    <w:rsid w:val="00B448C6"/>
    <w:rsid w:val="00B44ECD"/>
    <w:rsid w:val="00B450D1"/>
    <w:rsid w:val="00B46080"/>
    <w:rsid w:val="00B50006"/>
    <w:rsid w:val="00B51C1D"/>
    <w:rsid w:val="00B53D47"/>
    <w:rsid w:val="00B54A25"/>
    <w:rsid w:val="00B556D6"/>
    <w:rsid w:val="00B5729D"/>
    <w:rsid w:val="00B5778E"/>
    <w:rsid w:val="00B60DE9"/>
    <w:rsid w:val="00B618C3"/>
    <w:rsid w:val="00B632D6"/>
    <w:rsid w:val="00B63652"/>
    <w:rsid w:val="00B639B7"/>
    <w:rsid w:val="00B64CC0"/>
    <w:rsid w:val="00B64FA1"/>
    <w:rsid w:val="00B668B0"/>
    <w:rsid w:val="00B70F5C"/>
    <w:rsid w:val="00B71574"/>
    <w:rsid w:val="00B71873"/>
    <w:rsid w:val="00B71F82"/>
    <w:rsid w:val="00B72F57"/>
    <w:rsid w:val="00B7383A"/>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2763"/>
    <w:rsid w:val="00BE318F"/>
    <w:rsid w:val="00BE31CC"/>
    <w:rsid w:val="00BE5CDA"/>
    <w:rsid w:val="00BE5D20"/>
    <w:rsid w:val="00BE608F"/>
    <w:rsid w:val="00BF1E44"/>
    <w:rsid w:val="00BF23BB"/>
    <w:rsid w:val="00BF2B1C"/>
    <w:rsid w:val="00BF33DD"/>
    <w:rsid w:val="00BF3D69"/>
    <w:rsid w:val="00BF5331"/>
    <w:rsid w:val="00BF5755"/>
    <w:rsid w:val="00BF684B"/>
    <w:rsid w:val="00C002F7"/>
    <w:rsid w:val="00C015F0"/>
    <w:rsid w:val="00C016F3"/>
    <w:rsid w:val="00C10A0F"/>
    <w:rsid w:val="00C13208"/>
    <w:rsid w:val="00C142AB"/>
    <w:rsid w:val="00C15193"/>
    <w:rsid w:val="00C15609"/>
    <w:rsid w:val="00C15A94"/>
    <w:rsid w:val="00C15F6A"/>
    <w:rsid w:val="00C17367"/>
    <w:rsid w:val="00C23EA7"/>
    <w:rsid w:val="00C256F3"/>
    <w:rsid w:val="00C270A2"/>
    <w:rsid w:val="00C310EC"/>
    <w:rsid w:val="00C315B5"/>
    <w:rsid w:val="00C317C4"/>
    <w:rsid w:val="00C35E28"/>
    <w:rsid w:val="00C367C0"/>
    <w:rsid w:val="00C41806"/>
    <w:rsid w:val="00C426AF"/>
    <w:rsid w:val="00C4292A"/>
    <w:rsid w:val="00C42CDD"/>
    <w:rsid w:val="00C454C2"/>
    <w:rsid w:val="00C45A9C"/>
    <w:rsid w:val="00C46780"/>
    <w:rsid w:val="00C469C1"/>
    <w:rsid w:val="00C50659"/>
    <w:rsid w:val="00C51B39"/>
    <w:rsid w:val="00C52342"/>
    <w:rsid w:val="00C5338A"/>
    <w:rsid w:val="00C54C3B"/>
    <w:rsid w:val="00C54EF9"/>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2B7C"/>
    <w:rsid w:val="00C73188"/>
    <w:rsid w:val="00C733AA"/>
    <w:rsid w:val="00C775BE"/>
    <w:rsid w:val="00C77DC0"/>
    <w:rsid w:val="00C80D18"/>
    <w:rsid w:val="00C81A07"/>
    <w:rsid w:val="00C82F1B"/>
    <w:rsid w:val="00C83027"/>
    <w:rsid w:val="00C8341F"/>
    <w:rsid w:val="00C84B8A"/>
    <w:rsid w:val="00C85E65"/>
    <w:rsid w:val="00C87829"/>
    <w:rsid w:val="00C87CA1"/>
    <w:rsid w:val="00C911B4"/>
    <w:rsid w:val="00C91A3F"/>
    <w:rsid w:val="00C91B3B"/>
    <w:rsid w:val="00C91C2D"/>
    <w:rsid w:val="00C933E7"/>
    <w:rsid w:val="00C94262"/>
    <w:rsid w:val="00C94682"/>
    <w:rsid w:val="00C94A79"/>
    <w:rsid w:val="00C94CE1"/>
    <w:rsid w:val="00C95C73"/>
    <w:rsid w:val="00C976E1"/>
    <w:rsid w:val="00CA148E"/>
    <w:rsid w:val="00CA3A9A"/>
    <w:rsid w:val="00CA3DB6"/>
    <w:rsid w:val="00CA3F36"/>
    <w:rsid w:val="00CA4C2A"/>
    <w:rsid w:val="00CA622A"/>
    <w:rsid w:val="00CA6A84"/>
    <w:rsid w:val="00CA6FB7"/>
    <w:rsid w:val="00CA7B11"/>
    <w:rsid w:val="00CB2C12"/>
    <w:rsid w:val="00CB6BC1"/>
    <w:rsid w:val="00CB7021"/>
    <w:rsid w:val="00CC1544"/>
    <w:rsid w:val="00CC6900"/>
    <w:rsid w:val="00CD08F5"/>
    <w:rsid w:val="00CD1772"/>
    <w:rsid w:val="00CD3294"/>
    <w:rsid w:val="00CD33F4"/>
    <w:rsid w:val="00CD4524"/>
    <w:rsid w:val="00CD6325"/>
    <w:rsid w:val="00CD7634"/>
    <w:rsid w:val="00CD784D"/>
    <w:rsid w:val="00CE20EA"/>
    <w:rsid w:val="00CE23C2"/>
    <w:rsid w:val="00CE326A"/>
    <w:rsid w:val="00CE3BBD"/>
    <w:rsid w:val="00CE4E16"/>
    <w:rsid w:val="00CE531A"/>
    <w:rsid w:val="00CF1F25"/>
    <w:rsid w:val="00CF3190"/>
    <w:rsid w:val="00CF3A1C"/>
    <w:rsid w:val="00CF40F8"/>
    <w:rsid w:val="00CF5C7D"/>
    <w:rsid w:val="00D008DA"/>
    <w:rsid w:val="00D01BE4"/>
    <w:rsid w:val="00D02D8A"/>
    <w:rsid w:val="00D039D5"/>
    <w:rsid w:val="00D0416F"/>
    <w:rsid w:val="00D05851"/>
    <w:rsid w:val="00D10FED"/>
    <w:rsid w:val="00D11736"/>
    <w:rsid w:val="00D12EE8"/>
    <w:rsid w:val="00D14CDF"/>
    <w:rsid w:val="00D15FF1"/>
    <w:rsid w:val="00D167F4"/>
    <w:rsid w:val="00D2092A"/>
    <w:rsid w:val="00D21C85"/>
    <w:rsid w:val="00D2216D"/>
    <w:rsid w:val="00D23532"/>
    <w:rsid w:val="00D24FF8"/>
    <w:rsid w:val="00D31A6F"/>
    <w:rsid w:val="00D353D1"/>
    <w:rsid w:val="00D364DC"/>
    <w:rsid w:val="00D367DB"/>
    <w:rsid w:val="00D36E05"/>
    <w:rsid w:val="00D370A7"/>
    <w:rsid w:val="00D4020F"/>
    <w:rsid w:val="00D40993"/>
    <w:rsid w:val="00D412D4"/>
    <w:rsid w:val="00D4245F"/>
    <w:rsid w:val="00D43FD3"/>
    <w:rsid w:val="00D4420D"/>
    <w:rsid w:val="00D44BB2"/>
    <w:rsid w:val="00D44F27"/>
    <w:rsid w:val="00D45304"/>
    <w:rsid w:val="00D4550C"/>
    <w:rsid w:val="00D45C33"/>
    <w:rsid w:val="00D46165"/>
    <w:rsid w:val="00D461C7"/>
    <w:rsid w:val="00D50424"/>
    <w:rsid w:val="00D50710"/>
    <w:rsid w:val="00D5140A"/>
    <w:rsid w:val="00D525C9"/>
    <w:rsid w:val="00D53100"/>
    <w:rsid w:val="00D53E44"/>
    <w:rsid w:val="00D55806"/>
    <w:rsid w:val="00D56B64"/>
    <w:rsid w:val="00D57D3E"/>
    <w:rsid w:val="00D616AE"/>
    <w:rsid w:val="00D624AC"/>
    <w:rsid w:val="00D62C8A"/>
    <w:rsid w:val="00D644A0"/>
    <w:rsid w:val="00D646AC"/>
    <w:rsid w:val="00D703BD"/>
    <w:rsid w:val="00D76249"/>
    <w:rsid w:val="00D76618"/>
    <w:rsid w:val="00D80F1D"/>
    <w:rsid w:val="00D831A8"/>
    <w:rsid w:val="00D84234"/>
    <w:rsid w:val="00D84436"/>
    <w:rsid w:val="00D87367"/>
    <w:rsid w:val="00D87948"/>
    <w:rsid w:val="00D962C8"/>
    <w:rsid w:val="00D966DE"/>
    <w:rsid w:val="00D96E33"/>
    <w:rsid w:val="00DA3985"/>
    <w:rsid w:val="00DA54E5"/>
    <w:rsid w:val="00DA5768"/>
    <w:rsid w:val="00DA696A"/>
    <w:rsid w:val="00DA703D"/>
    <w:rsid w:val="00DA7D12"/>
    <w:rsid w:val="00DB0CBE"/>
    <w:rsid w:val="00DB28E3"/>
    <w:rsid w:val="00DB3E07"/>
    <w:rsid w:val="00DC1908"/>
    <w:rsid w:val="00DC23CF"/>
    <w:rsid w:val="00DC2ABE"/>
    <w:rsid w:val="00DC51F3"/>
    <w:rsid w:val="00DC6562"/>
    <w:rsid w:val="00DC7611"/>
    <w:rsid w:val="00DD1AD8"/>
    <w:rsid w:val="00DD325B"/>
    <w:rsid w:val="00DE130D"/>
    <w:rsid w:val="00DE23AD"/>
    <w:rsid w:val="00DE24CF"/>
    <w:rsid w:val="00DE2F1C"/>
    <w:rsid w:val="00DE402A"/>
    <w:rsid w:val="00DE407C"/>
    <w:rsid w:val="00DE612D"/>
    <w:rsid w:val="00DE7C7D"/>
    <w:rsid w:val="00DF0516"/>
    <w:rsid w:val="00DF0CEB"/>
    <w:rsid w:val="00DF2992"/>
    <w:rsid w:val="00DF2D0C"/>
    <w:rsid w:val="00DF55F7"/>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23D"/>
    <w:rsid w:val="00E436AC"/>
    <w:rsid w:val="00E4417F"/>
    <w:rsid w:val="00E44F7A"/>
    <w:rsid w:val="00E44FF8"/>
    <w:rsid w:val="00E5066A"/>
    <w:rsid w:val="00E5084E"/>
    <w:rsid w:val="00E520FB"/>
    <w:rsid w:val="00E52CF9"/>
    <w:rsid w:val="00E53455"/>
    <w:rsid w:val="00E60052"/>
    <w:rsid w:val="00E613ED"/>
    <w:rsid w:val="00E61415"/>
    <w:rsid w:val="00E61F98"/>
    <w:rsid w:val="00E63F34"/>
    <w:rsid w:val="00E63FEA"/>
    <w:rsid w:val="00E64956"/>
    <w:rsid w:val="00E653D9"/>
    <w:rsid w:val="00E65C3F"/>
    <w:rsid w:val="00E66E69"/>
    <w:rsid w:val="00E6715A"/>
    <w:rsid w:val="00E7563E"/>
    <w:rsid w:val="00E75DC9"/>
    <w:rsid w:val="00E81610"/>
    <w:rsid w:val="00E82863"/>
    <w:rsid w:val="00E84910"/>
    <w:rsid w:val="00E85B28"/>
    <w:rsid w:val="00E87F1B"/>
    <w:rsid w:val="00E91976"/>
    <w:rsid w:val="00E93500"/>
    <w:rsid w:val="00E947A6"/>
    <w:rsid w:val="00E94C35"/>
    <w:rsid w:val="00E94D3D"/>
    <w:rsid w:val="00E96AE1"/>
    <w:rsid w:val="00E97FC7"/>
    <w:rsid w:val="00EA0690"/>
    <w:rsid w:val="00EA391D"/>
    <w:rsid w:val="00EA3956"/>
    <w:rsid w:val="00EA44EA"/>
    <w:rsid w:val="00EA49CE"/>
    <w:rsid w:val="00EA4C7B"/>
    <w:rsid w:val="00EA5BBC"/>
    <w:rsid w:val="00EA6A3C"/>
    <w:rsid w:val="00EA7136"/>
    <w:rsid w:val="00EA71FA"/>
    <w:rsid w:val="00EB2166"/>
    <w:rsid w:val="00EB325A"/>
    <w:rsid w:val="00EB4C22"/>
    <w:rsid w:val="00EB55AD"/>
    <w:rsid w:val="00EC02A5"/>
    <w:rsid w:val="00EC176B"/>
    <w:rsid w:val="00EC18AA"/>
    <w:rsid w:val="00EC2626"/>
    <w:rsid w:val="00EC33CD"/>
    <w:rsid w:val="00EC5BE5"/>
    <w:rsid w:val="00ED0304"/>
    <w:rsid w:val="00ED2650"/>
    <w:rsid w:val="00ED4FC5"/>
    <w:rsid w:val="00ED721A"/>
    <w:rsid w:val="00EE35B6"/>
    <w:rsid w:val="00EE393D"/>
    <w:rsid w:val="00EF01CF"/>
    <w:rsid w:val="00EF1020"/>
    <w:rsid w:val="00EF2D99"/>
    <w:rsid w:val="00EF6A47"/>
    <w:rsid w:val="00EF7AF9"/>
    <w:rsid w:val="00F000FF"/>
    <w:rsid w:val="00F00137"/>
    <w:rsid w:val="00F00952"/>
    <w:rsid w:val="00F01495"/>
    <w:rsid w:val="00F056E0"/>
    <w:rsid w:val="00F07913"/>
    <w:rsid w:val="00F07B9A"/>
    <w:rsid w:val="00F10138"/>
    <w:rsid w:val="00F111AB"/>
    <w:rsid w:val="00F11FEE"/>
    <w:rsid w:val="00F13540"/>
    <w:rsid w:val="00F13F92"/>
    <w:rsid w:val="00F1575B"/>
    <w:rsid w:val="00F1673D"/>
    <w:rsid w:val="00F17FE2"/>
    <w:rsid w:val="00F22ECA"/>
    <w:rsid w:val="00F23FB1"/>
    <w:rsid w:val="00F240E8"/>
    <w:rsid w:val="00F244FA"/>
    <w:rsid w:val="00F25C5F"/>
    <w:rsid w:val="00F260F0"/>
    <w:rsid w:val="00F271B1"/>
    <w:rsid w:val="00F31079"/>
    <w:rsid w:val="00F32C93"/>
    <w:rsid w:val="00F366A2"/>
    <w:rsid w:val="00F403D4"/>
    <w:rsid w:val="00F44F43"/>
    <w:rsid w:val="00F450E1"/>
    <w:rsid w:val="00F45D26"/>
    <w:rsid w:val="00F47CFD"/>
    <w:rsid w:val="00F50259"/>
    <w:rsid w:val="00F50B51"/>
    <w:rsid w:val="00F50DF4"/>
    <w:rsid w:val="00F52234"/>
    <w:rsid w:val="00F52664"/>
    <w:rsid w:val="00F531E9"/>
    <w:rsid w:val="00F54C0B"/>
    <w:rsid w:val="00F56397"/>
    <w:rsid w:val="00F57AFE"/>
    <w:rsid w:val="00F6278E"/>
    <w:rsid w:val="00F63C41"/>
    <w:rsid w:val="00F63E96"/>
    <w:rsid w:val="00F646E6"/>
    <w:rsid w:val="00F701E3"/>
    <w:rsid w:val="00F702A9"/>
    <w:rsid w:val="00F71008"/>
    <w:rsid w:val="00F71098"/>
    <w:rsid w:val="00F71F8C"/>
    <w:rsid w:val="00F773A3"/>
    <w:rsid w:val="00F82286"/>
    <w:rsid w:val="00F839A7"/>
    <w:rsid w:val="00F86AD4"/>
    <w:rsid w:val="00F93032"/>
    <w:rsid w:val="00F95E96"/>
    <w:rsid w:val="00F97993"/>
    <w:rsid w:val="00FA0113"/>
    <w:rsid w:val="00FA0DBD"/>
    <w:rsid w:val="00FA12B2"/>
    <w:rsid w:val="00FA4663"/>
    <w:rsid w:val="00FA62AF"/>
    <w:rsid w:val="00FA7610"/>
    <w:rsid w:val="00FB02BD"/>
    <w:rsid w:val="00FB398F"/>
    <w:rsid w:val="00FB3CEB"/>
    <w:rsid w:val="00FB4EF8"/>
    <w:rsid w:val="00FB546C"/>
    <w:rsid w:val="00FB54AE"/>
    <w:rsid w:val="00FB709A"/>
    <w:rsid w:val="00FB75AB"/>
    <w:rsid w:val="00FB78DD"/>
    <w:rsid w:val="00FB7F41"/>
    <w:rsid w:val="00FC30F9"/>
    <w:rsid w:val="00FC3EF3"/>
    <w:rsid w:val="00FC45BF"/>
    <w:rsid w:val="00FC5D35"/>
    <w:rsid w:val="00FC79BC"/>
    <w:rsid w:val="00FD02E8"/>
    <w:rsid w:val="00FD2049"/>
    <w:rsid w:val="00FD2140"/>
    <w:rsid w:val="00FD2421"/>
    <w:rsid w:val="00FD5B5F"/>
    <w:rsid w:val="00FD5BDE"/>
    <w:rsid w:val="00FD68EC"/>
    <w:rsid w:val="00FE206E"/>
    <w:rsid w:val="00FE24A5"/>
    <w:rsid w:val="00FE261E"/>
    <w:rsid w:val="00FE31E5"/>
    <w:rsid w:val="00FE3F42"/>
    <w:rsid w:val="00FE6049"/>
    <w:rsid w:val="00FE7206"/>
    <w:rsid w:val="00FF0744"/>
    <w:rsid w:val="00FF18DE"/>
    <w:rsid w:val="00FF19AD"/>
    <w:rsid w:val="00FF1EB5"/>
    <w:rsid w:val="00FF2038"/>
    <w:rsid w:val="00FF292D"/>
    <w:rsid w:val="00FF298D"/>
    <w:rsid w:val="00FF4B55"/>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customStyle="1" w:styleId="UnresolvedMention">
    <w:name w:val="Unresolved Mention"/>
    <w:uiPriority w:val="99"/>
    <w:semiHidden/>
    <w:unhideWhenUsed/>
    <w:rsid w:val="006022B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customStyle="1"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289018044">
      <w:bodyDiv w:val="1"/>
      <w:marLeft w:val="0"/>
      <w:marRight w:val="0"/>
      <w:marTop w:val="0"/>
      <w:marBottom w:val="0"/>
      <w:divBdr>
        <w:top w:val="none" w:sz="0" w:space="0" w:color="auto"/>
        <w:left w:val="none" w:sz="0" w:space="0" w:color="auto"/>
        <w:bottom w:val="none" w:sz="0" w:space="0" w:color="auto"/>
        <w:right w:val="none" w:sz="0" w:space="0" w:color="auto"/>
      </w:divBdr>
    </w:div>
    <w:div w:id="298268382">
      <w:bodyDiv w:val="1"/>
      <w:marLeft w:val="0"/>
      <w:marRight w:val="0"/>
      <w:marTop w:val="0"/>
      <w:marBottom w:val="0"/>
      <w:divBdr>
        <w:top w:val="none" w:sz="0" w:space="0" w:color="auto"/>
        <w:left w:val="none" w:sz="0" w:space="0" w:color="auto"/>
        <w:bottom w:val="none" w:sz="0" w:space="0" w:color="auto"/>
        <w:right w:val="none" w:sz="0" w:space="0" w:color="auto"/>
      </w:divBdr>
    </w:div>
    <w:div w:id="320355877">
      <w:bodyDiv w:val="1"/>
      <w:marLeft w:val="0"/>
      <w:marRight w:val="0"/>
      <w:marTop w:val="0"/>
      <w:marBottom w:val="0"/>
      <w:divBdr>
        <w:top w:val="none" w:sz="0" w:space="0" w:color="auto"/>
        <w:left w:val="none" w:sz="0" w:space="0" w:color="auto"/>
        <w:bottom w:val="none" w:sz="0" w:space="0" w:color="auto"/>
        <w:right w:val="none" w:sz="0" w:space="0" w:color="auto"/>
      </w:divBdr>
    </w:div>
    <w:div w:id="368993413">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12250957">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730926314">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981498421">
      <w:bodyDiv w:val="1"/>
      <w:marLeft w:val="0"/>
      <w:marRight w:val="0"/>
      <w:marTop w:val="0"/>
      <w:marBottom w:val="0"/>
      <w:divBdr>
        <w:top w:val="none" w:sz="0" w:space="0" w:color="auto"/>
        <w:left w:val="none" w:sz="0" w:space="0" w:color="auto"/>
        <w:bottom w:val="none" w:sz="0" w:space="0" w:color="auto"/>
        <w:right w:val="none" w:sz="0" w:space="0" w:color="auto"/>
      </w:divBdr>
    </w:div>
    <w:div w:id="1125343893">
      <w:bodyDiv w:val="1"/>
      <w:marLeft w:val="0"/>
      <w:marRight w:val="0"/>
      <w:marTop w:val="0"/>
      <w:marBottom w:val="0"/>
      <w:divBdr>
        <w:top w:val="none" w:sz="0" w:space="0" w:color="auto"/>
        <w:left w:val="none" w:sz="0" w:space="0" w:color="auto"/>
        <w:bottom w:val="none" w:sz="0" w:space="0" w:color="auto"/>
        <w:right w:val="none" w:sz="0" w:space="0" w:color="auto"/>
      </w:divBdr>
    </w:div>
    <w:div w:id="1126200986">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542590866">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 w:id="1815830774">
      <w:bodyDiv w:val="1"/>
      <w:marLeft w:val="0"/>
      <w:marRight w:val="0"/>
      <w:marTop w:val="0"/>
      <w:marBottom w:val="0"/>
      <w:divBdr>
        <w:top w:val="none" w:sz="0" w:space="0" w:color="auto"/>
        <w:left w:val="none" w:sz="0" w:space="0" w:color="auto"/>
        <w:bottom w:val="none" w:sz="0" w:space="0" w:color="auto"/>
        <w:right w:val="none" w:sz="0" w:space="0" w:color="auto"/>
      </w:divBdr>
    </w:div>
    <w:div w:id="20816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vikis@cystat.mof.gov.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ystat.gov.cy/el/MethodologicalDetails?m=208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statdb.cystat.gov.cy/pxweb/el/8.CYSTAT-DB/8.CYSTAT-DB__Price%20Indices__" TargetMode="External"/><Relationship Id="rId5" Type="http://schemas.openxmlformats.org/officeDocument/2006/relationships/settings" Target="settings.xml"/><Relationship Id="rId15" Type="http://schemas.openxmlformats.org/officeDocument/2006/relationships/hyperlink" Target="mailto:fkakoutsis@cystat.mof.gov.cy" TargetMode="External"/><Relationship Id="rId10" Type="http://schemas.openxmlformats.org/officeDocument/2006/relationships/hyperlink" Target="https://www.cystat.gov.cy/el/SubthemeStatistics?s=47"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mailto:kvoutouris@cystat.mof.gov.cy"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ystat.gov.cy" TargetMode="External"/><Relationship Id="rId1" Type="http://schemas.openxmlformats.org/officeDocument/2006/relationships/hyperlink" Target="mailto:enquiries@cystat.mof.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0.emf"/><Relationship Id="rId2" Type="http://schemas.openxmlformats.org/officeDocument/2006/relationships/image" Target="media/image2.emf"/><Relationship Id="rId1" Type="http://schemas.openxmlformats.org/officeDocument/2006/relationships/image" Target="media/image1.png"/><Relationship Id="rId5" Type="http://schemas.openxmlformats.org/officeDocument/2006/relationships/image" Target="media/image30.emf"/><Relationship Id="rId4" Type="http://schemas.openxmlformats.org/officeDocument/2006/relationships/image" Target="media/image3.emf"/></Relationships>
</file>

<file path=word/charts/_rels/chart1.xml.rels><?xml version="1.0" encoding="UTF-8" standalone="yes"?>
<Relationships xmlns="http://schemas.openxmlformats.org/package/2006/relationships"><Relationship Id="rId2" Type="http://schemas.openxmlformats.org/officeDocument/2006/relationships/oleObject" Target="file:///\\MOFSTATFSRV1\Prices\CPI%20-%20HICP\1.%20CPI\0.%20CPI-PRESS%20RELEASE\0.%20Press%20Release%20CPI\2025\04-25\CPI-PR_Graph(GR_EN)-080525.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el-GR" sz="1100">
                <a:latin typeface="Verdana" pitchFamily="34" charset="0"/>
                <a:ea typeface="Verdana" pitchFamily="34" charset="0"/>
                <a:cs typeface="Verdana" pitchFamily="34" charset="0"/>
              </a:rPr>
              <a:t>Διακύμανση</a:t>
            </a:r>
            <a:r>
              <a:rPr lang="el-GR" sz="1100" baseline="0">
                <a:latin typeface="Verdana" pitchFamily="34" charset="0"/>
                <a:ea typeface="Verdana" pitchFamily="34" charset="0"/>
                <a:cs typeface="Verdana" pitchFamily="34" charset="0"/>
              </a:rPr>
              <a:t> Πληθωρισμού</a:t>
            </a:r>
            <a:endParaRPr lang="el-GR" sz="1100">
              <a:latin typeface="Verdana" pitchFamily="34" charset="0"/>
              <a:ea typeface="Verdana" pitchFamily="34" charset="0"/>
              <a:cs typeface="Verdana" pitchFamily="34" charset="0"/>
            </a:endParaRPr>
          </a:p>
        </c:rich>
      </c:tx>
      <c:layout>
        <c:manualLayout>
          <c:xMode val="edge"/>
          <c:yMode val="edge"/>
          <c:x val="0.32132698146274036"/>
          <c:y val="2.6079876295137951E-2"/>
        </c:manualLayout>
      </c:layout>
      <c:overlay val="0"/>
    </c:title>
    <c:autoTitleDeleted val="0"/>
    <c:plotArea>
      <c:layout>
        <c:manualLayout>
          <c:layoutTarget val="inner"/>
          <c:xMode val="edge"/>
          <c:yMode val="edge"/>
          <c:x val="9.1769323227119989E-2"/>
          <c:y val="0.12148473557161647"/>
          <c:w val="0.88916275509617448"/>
          <c:h val="0.65515289855072478"/>
        </c:manualLayout>
      </c:layout>
      <c:lineChart>
        <c:grouping val="standard"/>
        <c:varyColors val="0"/>
        <c:ser>
          <c:idx val="0"/>
          <c:order val="0"/>
          <c:tx>
            <c:strRef>
              <c:f>Chart_GR!$H$4</c:f>
              <c:strCache>
                <c:ptCount val="1"/>
                <c:pt idx="0">
                  <c:v> Πληθωρισμός</c:v>
                </c:pt>
              </c:strCache>
            </c:strRef>
          </c:tx>
          <c:marker>
            <c:symbol val="none"/>
          </c:marker>
          <c:cat>
            <c:multiLvlStrRef>
              <c:f>Chart_GR!$F$120:$G$144</c:f>
              <c:multiLvlStrCache>
                <c:ptCount val="25"/>
                <c:lvl>
                  <c:pt idx="0">
                    <c:v>ΑΠΡ</c:v>
                  </c:pt>
                  <c:pt idx="1">
                    <c:v>ΜΑΪΟΣ</c:v>
                  </c:pt>
                  <c:pt idx="2">
                    <c:v>ΙΟΥΝ</c:v>
                  </c:pt>
                  <c:pt idx="3">
                    <c:v>ΙΟΥΛ</c:v>
                  </c:pt>
                  <c:pt idx="4">
                    <c:v>ΑΥΓ</c:v>
                  </c:pt>
                  <c:pt idx="5">
                    <c:v>ΣΕΠ</c:v>
                  </c:pt>
                  <c:pt idx="6">
                    <c:v>ΟΚΤ</c:v>
                  </c:pt>
                  <c:pt idx="7">
                    <c:v>ΝΟΕ</c:v>
                  </c:pt>
                  <c:pt idx="8">
                    <c:v>ΔΕΚ</c:v>
                  </c:pt>
                  <c:pt idx="9">
                    <c:v>ΙΑΝ</c:v>
                  </c:pt>
                  <c:pt idx="10">
                    <c:v>ΦΕΒ</c:v>
                  </c:pt>
                  <c:pt idx="11">
                    <c:v>ΜΑΡ</c:v>
                  </c:pt>
                  <c:pt idx="12">
                    <c:v>ΑΠΡ</c:v>
                  </c:pt>
                  <c:pt idx="13">
                    <c:v>ΜΑΪΟΣ</c:v>
                  </c:pt>
                  <c:pt idx="14">
                    <c:v>ΙΟΥΝ</c:v>
                  </c:pt>
                  <c:pt idx="15">
                    <c:v>ΙΟΥΛ</c:v>
                  </c:pt>
                  <c:pt idx="16">
                    <c:v>ΑΥΓ</c:v>
                  </c:pt>
                  <c:pt idx="17">
                    <c:v>ΣΕΠ</c:v>
                  </c:pt>
                  <c:pt idx="18">
                    <c:v>ΟΚΤ</c:v>
                  </c:pt>
                  <c:pt idx="19">
                    <c:v>ΝΟΕ</c:v>
                  </c:pt>
                  <c:pt idx="20">
                    <c:v>ΔΕΚ</c:v>
                  </c:pt>
                  <c:pt idx="21">
                    <c:v>ΙΑΝ</c:v>
                  </c:pt>
                  <c:pt idx="22">
                    <c:v>ΦΕΒ</c:v>
                  </c:pt>
                  <c:pt idx="23">
                    <c:v>ΜΑΡ</c:v>
                  </c:pt>
                  <c:pt idx="24">
                    <c:v>ΑΠΡ</c:v>
                  </c:pt>
                </c:lvl>
                <c:lvl>
                  <c:pt idx="0">
                    <c:v>2023</c:v>
                  </c:pt>
                  <c:pt idx="9">
                    <c:v>2024</c:v>
                  </c:pt>
                  <c:pt idx="21">
                    <c:v>2025</c:v>
                  </c:pt>
                </c:lvl>
              </c:multiLvlStrCache>
            </c:multiLvlStrRef>
          </c:cat>
          <c:val>
            <c:numRef>
              <c:f>Chart_GR!$H$120:$H$144</c:f>
              <c:numCache>
                <c:formatCode>0.0</c:formatCode>
                <c:ptCount val="25"/>
                <c:pt idx="0">
                  <c:v>3.7</c:v>
                </c:pt>
                <c:pt idx="1">
                  <c:v>3</c:v>
                </c:pt>
                <c:pt idx="2">
                  <c:v>1.9</c:v>
                </c:pt>
                <c:pt idx="3">
                  <c:v>1.5</c:v>
                </c:pt>
                <c:pt idx="4">
                  <c:v>2.6</c:v>
                </c:pt>
                <c:pt idx="5">
                  <c:v>4</c:v>
                </c:pt>
                <c:pt idx="6">
                  <c:v>3.5</c:v>
                </c:pt>
                <c:pt idx="7">
                  <c:v>1.7</c:v>
                </c:pt>
                <c:pt idx="8">
                  <c:v>1.6</c:v>
                </c:pt>
                <c:pt idx="9">
                  <c:v>1.7</c:v>
                </c:pt>
                <c:pt idx="10">
                  <c:v>1.8</c:v>
                </c:pt>
                <c:pt idx="11">
                  <c:v>1.2</c:v>
                </c:pt>
                <c:pt idx="12">
                  <c:v>2.4</c:v>
                </c:pt>
                <c:pt idx="13">
                  <c:v>2.7</c:v>
                </c:pt>
                <c:pt idx="14">
                  <c:v>2.9</c:v>
                </c:pt>
                <c:pt idx="15">
                  <c:v>2.1</c:v>
                </c:pt>
                <c:pt idx="16">
                  <c:v>1.5</c:v>
                </c:pt>
                <c:pt idx="17">
                  <c:v>0.7</c:v>
                </c:pt>
                <c:pt idx="18">
                  <c:v>0.6</c:v>
                </c:pt>
                <c:pt idx="19">
                  <c:v>1.5</c:v>
                </c:pt>
                <c:pt idx="20">
                  <c:v>2.6</c:v>
                </c:pt>
                <c:pt idx="21">
                  <c:v>2.5</c:v>
                </c:pt>
                <c:pt idx="22">
                  <c:v>1.9</c:v>
                </c:pt>
                <c:pt idx="23">
                  <c:v>1.6</c:v>
                </c:pt>
                <c:pt idx="24">
                  <c:v>0.2</c:v>
                </c:pt>
              </c:numCache>
            </c:numRef>
          </c:val>
          <c:smooth val="0"/>
          <c:extLst xmlns:c16r2="http://schemas.microsoft.com/office/drawing/2015/06/chart">
            <c:ext xmlns:c16="http://schemas.microsoft.com/office/drawing/2014/chart" uri="{C3380CC4-5D6E-409C-BE32-E72D297353CC}">
              <c16:uniqueId val="{00000000-2A21-4796-9C26-0729615DD2BA}"/>
            </c:ext>
          </c:extLst>
        </c:ser>
        <c:ser>
          <c:idx val="1"/>
          <c:order val="1"/>
          <c:tx>
            <c:strRef>
              <c:f>Chart_GR!$I$4</c:f>
              <c:strCache>
                <c:ptCount val="1"/>
                <c:pt idx="0">
                  <c:v> Μέση Ετήσια Μεταβολή</c:v>
                </c:pt>
              </c:strCache>
            </c:strRef>
          </c:tx>
          <c:spPr>
            <a:ln>
              <a:solidFill>
                <a:schemeClr val="accent6">
                  <a:lumMod val="75000"/>
                </a:schemeClr>
              </a:solidFill>
              <a:prstDash val="sysDash"/>
            </a:ln>
          </c:spPr>
          <c:marker>
            <c:symbol val="none"/>
          </c:marker>
          <c:cat>
            <c:multiLvlStrRef>
              <c:f>Chart_GR!$F$120:$G$144</c:f>
              <c:multiLvlStrCache>
                <c:ptCount val="25"/>
                <c:lvl>
                  <c:pt idx="0">
                    <c:v>ΑΠΡ</c:v>
                  </c:pt>
                  <c:pt idx="1">
                    <c:v>ΜΑΪΟΣ</c:v>
                  </c:pt>
                  <c:pt idx="2">
                    <c:v>ΙΟΥΝ</c:v>
                  </c:pt>
                  <c:pt idx="3">
                    <c:v>ΙΟΥΛ</c:v>
                  </c:pt>
                  <c:pt idx="4">
                    <c:v>ΑΥΓ</c:v>
                  </c:pt>
                  <c:pt idx="5">
                    <c:v>ΣΕΠ</c:v>
                  </c:pt>
                  <c:pt idx="6">
                    <c:v>ΟΚΤ</c:v>
                  </c:pt>
                  <c:pt idx="7">
                    <c:v>ΝΟΕ</c:v>
                  </c:pt>
                  <c:pt idx="8">
                    <c:v>ΔΕΚ</c:v>
                  </c:pt>
                  <c:pt idx="9">
                    <c:v>ΙΑΝ</c:v>
                  </c:pt>
                  <c:pt idx="10">
                    <c:v>ΦΕΒ</c:v>
                  </c:pt>
                  <c:pt idx="11">
                    <c:v>ΜΑΡ</c:v>
                  </c:pt>
                  <c:pt idx="12">
                    <c:v>ΑΠΡ</c:v>
                  </c:pt>
                  <c:pt idx="13">
                    <c:v>ΜΑΪΟΣ</c:v>
                  </c:pt>
                  <c:pt idx="14">
                    <c:v>ΙΟΥΝ</c:v>
                  </c:pt>
                  <c:pt idx="15">
                    <c:v>ΙΟΥΛ</c:v>
                  </c:pt>
                  <c:pt idx="16">
                    <c:v>ΑΥΓ</c:v>
                  </c:pt>
                  <c:pt idx="17">
                    <c:v>ΣΕΠ</c:v>
                  </c:pt>
                  <c:pt idx="18">
                    <c:v>ΟΚΤ</c:v>
                  </c:pt>
                  <c:pt idx="19">
                    <c:v>ΝΟΕ</c:v>
                  </c:pt>
                  <c:pt idx="20">
                    <c:v>ΔΕΚ</c:v>
                  </c:pt>
                  <c:pt idx="21">
                    <c:v>ΙΑΝ</c:v>
                  </c:pt>
                  <c:pt idx="22">
                    <c:v>ΦΕΒ</c:v>
                  </c:pt>
                  <c:pt idx="23">
                    <c:v>ΜΑΡ</c:v>
                  </c:pt>
                  <c:pt idx="24">
                    <c:v>ΑΠΡ</c:v>
                  </c:pt>
                </c:lvl>
                <c:lvl>
                  <c:pt idx="0">
                    <c:v>2023</c:v>
                  </c:pt>
                  <c:pt idx="9">
                    <c:v>2024</c:v>
                  </c:pt>
                  <c:pt idx="21">
                    <c:v>2025</c:v>
                  </c:pt>
                </c:lvl>
              </c:multiLvlStrCache>
            </c:multiLvlStrRef>
          </c:cat>
          <c:val>
            <c:numRef>
              <c:f>Chart_GR!$I$120:$I$144</c:f>
              <c:numCache>
                <c:formatCode>0.0</c:formatCode>
                <c:ptCount val="25"/>
                <c:pt idx="0">
                  <c:v>7.9531011692933751</c:v>
                </c:pt>
                <c:pt idx="1">
                  <c:v>7.4256020438739245</c:v>
                </c:pt>
                <c:pt idx="2">
                  <c:v>6.7650994108119367</c:v>
                </c:pt>
                <c:pt idx="3">
                  <c:v>5.9728815662912549</c:v>
                </c:pt>
                <c:pt idx="4">
                  <c:v>5.4489722044654743</c:v>
                </c:pt>
                <c:pt idx="5">
                  <c:v>5.0638623326960008</c:v>
                </c:pt>
                <c:pt idx="6">
                  <c:v>4.6289264232334926</c:v>
                </c:pt>
                <c:pt idx="7">
                  <c:v>4.0515570438416137</c:v>
                </c:pt>
                <c:pt idx="8">
                  <c:v>3.5413418875164693</c:v>
                </c:pt>
                <c:pt idx="9">
                  <c:v>3.1080436467711969</c:v>
                </c:pt>
                <c:pt idx="10">
                  <c:v>2.7218399667833459</c:v>
                </c:pt>
                <c:pt idx="11">
                  <c:v>2.349867524742244</c:v>
                </c:pt>
                <c:pt idx="12">
                  <c:v>2.2450331125827949</c:v>
                </c:pt>
                <c:pt idx="13">
                  <c:v>2.2226300143134869</c:v>
                </c:pt>
                <c:pt idx="14">
                  <c:v>2.3070890955595225</c:v>
                </c:pt>
                <c:pt idx="15">
                  <c:v>2.3598992797329466</c:v>
                </c:pt>
                <c:pt idx="16">
                  <c:v>2.2641619679219405</c:v>
                </c:pt>
                <c:pt idx="17">
                  <c:v>1.9844071892903159</c:v>
                </c:pt>
                <c:pt idx="18">
                  <c:v>1.7398941691406433</c:v>
                </c:pt>
                <c:pt idx="19">
                  <c:v>1.7185767198451662</c:v>
                </c:pt>
                <c:pt idx="20">
                  <c:v>1.8002301862481751</c:v>
                </c:pt>
                <c:pt idx="21">
                  <c:v>1.8657201925718292</c:v>
                </c:pt>
                <c:pt idx="22">
                  <c:v>1.8723428827151167</c:v>
                </c:pt>
                <c:pt idx="23">
                  <c:v>1.9036493823955558</c:v>
                </c:pt>
                <c:pt idx="24">
                  <c:v>1.7214701585450687</c:v>
                </c:pt>
              </c:numCache>
            </c:numRef>
          </c:val>
          <c:smooth val="0"/>
          <c:extLst xmlns:c16r2="http://schemas.microsoft.com/office/drawing/2015/06/chart">
            <c:ext xmlns:c16="http://schemas.microsoft.com/office/drawing/2014/chart" uri="{C3380CC4-5D6E-409C-BE32-E72D297353CC}">
              <c16:uniqueId val="{00000001-2A21-4796-9C26-0729615DD2BA}"/>
            </c:ext>
          </c:extLst>
        </c:ser>
        <c:dLbls>
          <c:showLegendKey val="0"/>
          <c:showVal val="0"/>
          <c:showCatName val="0"/>
          <c:showSerName val="0"/>
          <c:showPercent val="0"/>
          <c:showBubbleSize val="0"/>
        </c:dLbls>
        <c:marker val="1"/>
        <c:smooth val="0"/>
        <c:axId val="188446208"/>
        <c:axId val="188447744"/>
      </c:lineChart>
      <c:catAx>
        <c:axId val="188446208"/>
        <c:scaling>
          <c:orientation val="minMax"/>
        </c:scaling>
        <c:delete val="0"/>
        <c:axPos val="b"/>
        <c:numFmt formatCode="General" sourceLinked="1"/>
        <c:majorTickMark val="none"/>
        <c:minorTickMark val="out"/>
        <c:tickLblPos val="low"/>
        <c:spPr>
          <a:ln/>
        </c:spPr>
        <c:txPr>
          <a:bodyPr rot="-5400000" vert="horz" anchor="t" anchorCtr="1"/>
          <a:lstStyle/>
          <a:p>
            <a:pPr>
              <a:defRPr sz="900">
                <a:latin typeface="Verdana" pitchFamily="34" charset="0"/>
                <a:ea typeface="Verdana" pitchFamily="34" charset="0"/>
                <a:cs typeface="Verdana" pitchFamily="34" charset="0"/>
              </a:defRPr>
            </a:pPr>
            <a:endParaRPr lang="en-US"/>
          </a:p>
        </c:txPr>
        <c:crossAx val="188447744"/>
        <c:crossesAt val="-2"/>
        <c:auto val="1"/>
        <c:lblAlgn val="ctr"/>
        <c:lblOffset val="100"/>
        <c:noMultiLvlLbl val="0"/>
      </c:catAx>
      <c:valAx>
        <c:axId val="188447744"/>
        <c:scaling>
          <c:orientation val="minMax"/>
        </c:scaling>
        <c:delete val="0"/>
        <c:axPos val="l"/>
        <c:majorGridlines>
          <c:spPr>
            <a:ln>
              <a:solidFill>
                <a:srgbClr val="D9D9D9"/>
              </a:solidFill>
            </a:ln>
          </c:spPr>
        </c:majorGridlines>
        <c:title>
          <c:tx>
            <c:rich>
              <a:bodyPr rot="0" vert="horz"/>
              <a:lstStyle/>
              <a:p>
                <a:pPr>
                  <a:defRPr/>
                </a:pPr>
                <a:r>
                  <a:rPr lang="el-GR" sz="900">
                    <a:latin typeface="Verdana" panose="020B0604030504040204" pitchFamily="34" charset="0"/>
                    <a:ea typeface="Verdana" panose="020B0604030504040204" pitchFamily="34" charset="0"/>
                  </a:rPr>
                  <a:t>%</a:t>
                </a:r>
                <a:endParaRPr lang="en-US" sz="900">
                  <a:latin typeface="Verdana" panose="020B0604030504040204" pitchFamily="34" charset="0"/>
                  <a:ea typeface="Verdana" panose="020B0604030504040204" pitchFamily="34" charset="0"/>
                </a:endParaRPr>
              </a:p>
            </c:rich>
          </c:tx>
          <c:layout>
            <c:manualLayout>
              <c:xMode val="edge"/>
              <c:yMode val="edge"/>
              <c:x val="6.6875653082549636E-3"/>
              <c:y val="0.36495726293512637"/>
            </c:manualLayout>
          </c:layout>
          <c:overlay val="0"/>
        </c:title>
        <c:numFmt formatCode="0.0" sourceLinked="0"/>
        <c:majorTickMark val="none"/>
        <c:minorTickMark val="none"/>
        <c:tickLblPos val="nextTo"/>
        <c:spPr>
          <a:ln w="9525">
            <a:noFill/>
          </a:ln>
        </c:spPr>
        <c:txPr>
          <a:bodyPr/>
          <a:lstStyle/>
          <a:p>
            <a:pPr>
              <a:defRPr sz="900">
                <a:latin typeface="Verdana" pitchFamily="34" charset="0"/>
                <a:ea typeface="Verdana" pitchFamily="34" charset="0"/>
                <a:cs typeface="Verdana" pitchFamily="34" charset="0"/>
              </a:defRPr>
            </a:pPr>
            <a:endParaRPr lang="en-US"/>
          </a:p>
        </c:txPr>
        <c:crossAx val="188446208"/>
        <c:crosses val="autoZero"/>
        <c:crossBetween val="between"/>
      </c:valAx>
    </c:plotArea>
    <c:legend>
      <c:legendPos val="b"/>
      <c:layout>
        <c:manualLayout>
          <c:xMode val="edge"/>
          <c:yMode val="edge"/>
          <c:x val="0.19003299352471223"/>
          <c:y val="0.95436787439613524"/>
          <c:w val="0.62487925686405199"/>
          <c:h val="3.661038647342995E-2"/>
        </c:manualLayout>
      </c:layout>
      <c:overlay val="0"/>
      <c:txPr>
        <a:bodyPr/>
        <a:lstStyle/>
        <a:p>
          <a:pPr>
            <a:defRPr sz="900" b="1">
              <a:latin typeface="Verdana" pitchFamily="34" charset="0"/>
              <a:ea typeface="Verdana" pitchFamily="34" charset="0"/>
              <a:cs typeface="Verdana" pitchFamily="34" charset="0"/>
            </a:defRPr>
          </a:pPr>
          <a:endParaRPr lang="en-US"/>
        </a:p>
      </c:txPr>
    </c:legend>
    <c:plotVisOnly val="1"/>
    <c:dispBlanksAs val="gap"/>
    <c:showDLblsOverMax val="0"/>
  </c:chart>
  <c:spPr>
    <a:ln w="9525">
      <a:solidFill>
        <a:srgbClr val="558ED5">
          <a:alpha val="50000"/>
        </a:srgbClr>
      </a:soli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3AA54-60E6-4201-B0B8-FE02F8EB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8357</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Christos Papageorgiou</cp:lastModifiedBy>
  <cp:revision>45</cp:revision>
  <cp:lastPrinted>2025-03-06T09:54:00Z</cp:lastPrinted>
  <dcterms:created xsi:type="dcterms:W3CDTF">2025-02-06T10:37:00Z</dcterms:created>
  <dcterms:modified xsi:type="dcterms:W3CDTF">2025-05-07T12:36:00Z</dcterms:modified>
</cp:coreProperties>
</file>