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650D9480" w14:textId="3D110A82" w:rsidR="006022B5" w:rsidRDefault="00A77755" w:rsidP="00BF1E44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 w:rsidRPr="00DD0DD1">
        <w:rPr>
          <w:rFonts w:ascii="Verdana" w:hAnsi="Verdana" w:cs="Arial"/>
          <w:sz w:val="18"/>
          <w:szCs w:val="18"/>
          <w:lang w:val="el-GR"/>
        </w:rPr>
        <w:t xml:space="preserve">4 </w:t>
      </w:r>
      <w:r>
        <w:rPr>
          <w:rFonts w:ascii="Verdana" w:hAnsi="Verdana" w:cs="Arial"/>
          <w:sz w:val="18"/>
          <w:szCs w:val="18"/>
          <w:lang w:val="el-GR"/>
        </w:rPr>
        <w:t>Σεπτεμβρίου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BF1E44">
        <w:rPr>
          <w:rFonts w:ascii="Verdana" w:eastAsia="Malgun Gothic" w:hAnsi="Verdana" w:cs="Arial"/>
          <w:sz w:val="18"/>
          <w:szCs w:val="18"/>
          <w:lang w:val="el-GR"/>
        </w:rPr>
        <w:t>5</w:t>
      </w:r>
    </w:p>
    <w:p w14:paraId="0D680384" w14:textId="77777777" w:rsidR="00BF1E44" w:rsidRDefault="00BF1E44" w:rsidP="00BF1E44">
      <w:pPr>
        <w:tabs>
          <w:tab w:val="left" w:pos="1080"/>
          <w:tab w:val="left" w:pos="7088"/>
        </w:tabs>
        <w:ind w:right="283"/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56EBF85B" w14:textId="77777777" w:rsidR="00BF1E44" w:rsidRDefault="00BF1E44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</w:p>
    <w:p w14:paraId="06071BA9" w14:textId="23BAF8EA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bookmarkStart w:id="0" w:name="_GoBack"/>
      <w:bookmarkEnd w:id="0"/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7F045B69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A77755">
        <w:rPr>
          <w:rFonts w:ascii="Verdana" w:eastAsia="Malgun Gothic" w:hAnsi="Verdana" w:cs="Arial"/>
          <w:b/>
          <w:u w:val="single"/>
          <w:lang w:val="el-GR"/>
        </w:rPr>
        <w:t>ΑΥΓΟΥΣΤΟΣ</w:t>
      </w:r>
      <w:r w:rsidR="00FF18DE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39267A">
        <w:rPr>
          <w:rFonts w:ascii="Verdana" w:eastAsia="Malgun Gothic" w:hAnsi="Verdana" w:cs="Arial"/>
          <w:b/>
          <w:u w:val="single"/>
          <w:lang w:val="x-none"/>
        </w:rPr>
        <w:t>5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23D711C0" w:rsidR="006022B5" w:rsidRPr="006022B5" w:rsidRDefault="00943296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>
        <w:rPr>
          <w:rFonts w:ascii="Verdana" w:eastAsia="Malgun Gothic" w:hAnsi="Verdana" w:cs="Arial"/>
          <w:b/>
          <w:lang w:val="el-GR"/>
        </w:rPr>
        <w:t>Πληθωρισμός</w:t>
      </w:r>
      <w:r w:rsidR="00FF4D3B">
        <w:rPr>
          <w:rFonts w:ascii="Verdana" w:eastAsia="Malgun Gothic" w:hAnsi="Verdana" w:cs="Arial"/>
          <w:b/>
          <w:lang w:val="el-GR"/>
        </w:rPr>
        <w:t xml:space="preserve"> -</w:t>
      </w:r>
      <w:r w:rsidR="0020780D">
        <w:rPr>
          <w:rFonts w:ascii="Verdana" w:eastAsia="Malgun Gothic" w:hAnsi="Verdana" w:cs="Arial"/>
          <w:b/>
          <w:lang w:val="el-GR"/>
        </w:rPr>
        <w:t>0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F97179">
        <w:rPr>
          <w:rFonts w:ascii="Verdana" w:eastAsia="Malgun Gothic" w:hAnsi="Verdana" w:cs="Arial"/>
          <w:b/>
          <w:lang w:val="el-GR"/>
        </w:rPr>
        <w:t>9</w:t>
      </w:r>
      <w:r w:rsidR="006022B5"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563B25C1" w:rsidR="006022B5" w:rsidRPr="006022B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77755">
        <w:rPr>
          <w:rFonts w:ascii="Verdana" w:eastAsia="Malgun Gothic" w:hAnsi="Verdana" w:cs="Arial"/>
          <w:sz w:val="18"/>
          <w:szCs w:val="18"/>
          <w:lang w:val="el-GR"/>
        </w:rPr>
        <w:t xml:space="preserve">Αύγουστο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39267A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77755">
        <w:rPr>
          <w:rFonts w:ascii="Verdana" w:eastAsia="Malgun Gothic" w:hAnsi="Verdana" w:cs="Arial"/>
          <w:sz w:val="18"/>
          <w:szCs w:val="18"/>
          <w:lang w:val="el-GR"/>
        </w:rPr>
        <w:t>αυξήθηκε</w:t>
      </w:r>
      <w:r w:rsidR="00673C1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κατά </w:t>
      </w:r>
      <w:r w:rsidR="00FF18DE" w:rsidRPr="00111708">
        <w:rPr>
          <w:rFonts w:ascii="Verdana" w:eastAsia="Malgun Gothic" w:hAnsi="Verdana" w:cs="Arial"/>
          <w:sz w:val="18"/>
          <w:szCs w:val="18"/>
          <w:lang w:val="el-GR"/>
        </w:rPr>
        <w:t>0,</w:t>
      </w:r>
      <w:r w:rsidR="00A77755">
        <w:rPr>
          <w:rFonts w:ascii="Verdana" w:eastAsia="Malgun Gothic" w:hAnsi="Verdana" w:cs="Arial"/>
          <w:sz w:val="18"/>
          <w:szCs w:val="18"/>
          <w:lang w:val="el-GR"/>
        </w:rPr>
        <w:t>39</w:t>
      </w:r>
      <w:r w:rsidR="00DA497B">
        <w:rPr>
          <w:rFonts w:ascii="Verdana" w:eastAsia="Malgun Gothic" w:hAnsi="Verdana" w:cs="Arial"/>
          <w:sz w:val="18"/>
          <w:szCs w:val="18"/>
          <w:lang w:val="el-GR"/>
        </w:rPr>
        <w:t xml:space="preserve"> μ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ονάδες και έφτασε στις 11</w:t>
      </w:r>
      <w:r w:rsidR="00A77755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77755">
        <w:rPr>
          <w:rFonts w:ascii="Verdana" w:eastAsia="Malgun Gothic" w:hAnsi="Verdana" w:cs="Arial"/>
          <w:sz w:val="18"/>
          <w:szCs w:val="18"/>
          <w:lang w:val="el-GR"/>
        </w:rPr>
        <w:t>04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11</w:t>
      </w:r>
      <w:r w:rsidR="00A77755">
        <w:rPr>
          <w:rFonts w:ascii="Verdana" w:eastAsia="Malgun Gothic" w:hAnsi="Verdana" w:cs="Arial"/>
          <w:sz w:val="18"/>
          <w:szCs w:val="18"/>
          <w:lang w:val="el-GR"/>
        </w:rPr>
        <w:t>6,65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</w:t>
      </w:r>
      <w:r w:rsidR="0089615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A497B">
        <w:rPr>
          <w:rFonts w:ascii="Verdana" w:eastAsia="Malgun Gothic" w:hAnsi="Verdana" w:cs="Arial"/>
          <w:sz w:val="18"/>
          <w:szCs w:val="18"/>
          <w:lang w:val="el-GR"/>
        </w:rPr>
        <w:t>Ιού</w:t>
      </w:r>
      <w:r w:rsidR="00A77755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DA497B">
        <w:rPr>
          <w:rFonts w:ascii="Verdana" w:eastAsia="Malgun Gothic" w:hAnsi="Verdana" w:cs="Arial"/>
          <w:sz w:val="18"/>
          <w:szCs w:val="18"/>
          <w:lang w:val="el-GR"/>
        </w:rPr>
        <w:t>ιο</w:t>
      </w:r>
      <w:r w:rsidR="00A7775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B06FC6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. Ο πληθωρισμός τον</w:t>
      </w:r>
      <w:r w:rsidR="0089615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77755">
        <w:rPr>
          <w:rFonts w:ascii="Verdana" w:eastAsia="Malgun Gothic" w:hAnsi="Verdana" w:cs="Arial"/>
          <w:sz w:val="18"/>
          <w:szCs w:val="18"/>
          <w:lang w:val="el-GR"/>
        </w:rPr>
        <w:t xml:space="preserve">Αύγουστο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555A9F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F4D3B">
        <w:rPr>
          <w:rFonts w:ascii="Verdana" w:eastAsia="Malgun Gothic" w:hAnsi="Verdana" w:cs="Arial"/>
          <w:sz w:val="18"/>
          <w:szCs w:val="18"/>
          <w:lang w:val="el-GR"/>
        </w:rPr>
        <w:t>μειώθηκε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 ρυθμό </w:t>
      </w:r>
      <w:r w:rsidR="0020780D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2DF7"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C50CF2" w:rsidRPr="00A77755">
        <w:rPr>
          <w:rFonts w:ascii="Verdana" w:eastAsia="Malgun Gothic" w:hAnsi="Verdana" w:cs="Arial"/>
          <w:sz w:val="18"/>
          <w:szCs w:val="18"/>
          <w:lang w:val="el-GR"/>
        </w:rPr>
        <w:t>9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17B7C02" w14:textId="3EED5D73" w:rsidR="00A63680" w:rsidRPr="00FF18DE" w:rsidRDefault="00A77755" w:rsidP="00142C02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noProof/>
          <w:sz w:val="18"/>
          <w:szCs w:val="18"/>
          <w:lang w:val="en-GB" w:eastAsia="en-GB"/>
        </w:rPr>
        <w:drawing>
          <wp:inline distT="0" distB="0" distL="0" distR="0" wp14:anchorId="44E23141" wp14:editId="173E9274">
            <wp:extent cx="6059805" cy="4048125"/>
            <wp:effectExtent l="0" t="0" r="0" b="9525"/>
            <wp:docPr id="1884309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11" cy="405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DA2430" w14:textId="498E5D7D" w:rsidR="00A63680" w:rsidRPr="00C80D18" w:rsidRDefault="00A63680" w:rsidP="0004388D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2708C1E1" w14:textId="51F0D1A2" w:rsidR="008E4F1A" w:rsidRPr="001C528B" w:rsidRDefault="008E4F1A" w:rsidP="0004388D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7ED83" w14:textId="0F4EC966" w:rsidR="00394E48" w:rsidRDefault="00DA65EE" w:rsidP="00765BDC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θετικ</w:t>
      </w:r>
      <w:r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στις οικονομικές κατηγορίες συγκριτικά με τον 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="0008536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του 2024 σημειώθηκ</w:t>
      </w:r>
      <w:r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στις </w:t>
      </w:r>
      <w:r w:rsidR="00765BDC" w:rsidRPr="00740D3D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(3,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%) ενώ οι μεγαλύτερες αρνητικές μεταβολές παρατηρήθηκαν στ</w:t>
      </w:r>
      <w:r>
        <w:rPr>
          <w:rFonts w:ascii="Verdana" w:eastAsia="Malgun Gothic" w:hAnsi="Verdana" w:cs="Arial"/>
          <w:sz w:val="18"/>
          <w:szCs w:val="18"/>
          <w:lang w:val="el-GR"/>
        </w:rPr>
        <w:t>ον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5D6F71">
        <w:rPr>
          <w:rFonts w:ascii="Verdana" w:eastAsia="Malgun Gothic" w:hAnsi="Verdana" w:cs="Arial"/>
          <w:i/>
          <w:iCs/>
          <w:sz w:val="18"/>
          <w:szCs w:val="18"/>
          <w:lang w:val="el-GR"/>
        </w:rPr>
        <w:t>Ηλεκτρισμό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2418B1" w:rsidRPr="002418B1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>%)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και στα</w:t>
      </w:r>
      <w:r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740D3D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%)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Σε σχέση με το</w:t>
      </w:r>
      <w:r w:rsidR="006F749E">
        <w:rPr>
          <w:rFonts w:ascii="Verdana" w:eastAsia="Malgun Gothic" w:hAnsi="Verdana" w:cs="Arial"/>
          <w:sz w:val="18"/>
          <w:szCs w:val="18"/>
          <w:lang w:val="el-GR"/>
        </w:rPr>
        <w:t>ν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52197">
        <w:rPr>
          <w:rFonts w:ascii="Verdana" w:eastAsia="Malgun Gothic" w:hAnsi="Verdana" w:cs="Arial"/>
          <w:sz w:val="18"/>
          <w:szCs w:val="18"/>
          <w:lang w:val="el-GR"/>
        </w:rPr>
        <w:t>Ιού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852197">
        <w:rPr>
          <w:rFonts w:ascii="Verdana" w:eastAsia="Malgun Gothic" w:hAnsi="Verdana" w:cs="Arial"/>
          <w:sz w:val="18"/>
          <w:szCs w:val="18"/>
          <w:lang w:val="el-GR"/>
        </w:rPr>
        <w:t>ιο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2025 η μεγαλύτερη μεταβολή καταγράφηκε στ</w:t>
      </w:r>
      <w:r w:rsidR="00740D3D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E50E7" w:rsidRPr="002E50E7">
        <w:rPr>
          <w:rFonts w:ascii="Verdana" w:eastAsia="Malgun Gothic" w:hAnsi="Verdana" w:cs="Arial"/>
          <w:i/>
          <w:iCs/>
          <w:sz w:val="18"/>
          <w:szCs w:val="18"/>
          <w:lang w:val="el-GR"/>
        </w:rPr>
        <w:t>Γεωργικά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60761" w:rsidRPr="0046076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Προϊόντα </w:t>
      </w:r>
      <w:r w:rsidR="005D6F7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2E50E7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5D6F7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765BDC" w:rsidRPr="00765BDC">
        <w:rPr>
          <w:rFonts w:ascii="Verdana" w:eastAsia="Malgun Gothic" w:hAnsi="Verdana" w:cs="Arial"/>
          <w:sz w:val="18"/>
          <w:szCs w:val="18"/>
          <w:lang w:val="el-GR"/>
        </w:rPr>
        <w:t>. (Πίνακας 2)</w:t>
      </w: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4934141" w14:textId="77777777" w:rsidR="00C81A07" w:rsidRDefault="00C81A0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86C901C" w14:textId="77777777" w:rsidR="00E706D0" w:rsidRDefault="00E706D0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1AD66EDA" w:rsidR="006022B5" w:rsidRPr="0011170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011A59">
        <w:rPr>
          <w:rFonts w:ascii="Verdana" w:eastAsia="Malgun Gothic" w:hAnsi="Verdana" w:cs="Arial"/>
          <w:sz w:val="18"/>
          <w:szCs w:val="18"/>
          <w:lang w:val="el-GR"/>
        </w:rPr>
        <w:t>Αύγουστο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1547F3" w:rsidRPr="00111708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 w:rsidRPr="00111708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 w:rsidRPr="00111708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 w:rsidRPr="00111708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 w:rsidRPr="00111708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 w:rsidRPr="00111708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111708">
        <w:rPr>
          <w:rFonts w:ascii="Verdana" w:eastAsia="Malgun Gothic" w:hAnsi="Verdana" w:cs="Arial"/>
          <w:sz w:val="18"/>
          <w:szCs w:val="18"/>
          <w:lang w:val="el-GR"/>
        </w:rPr>
        <w:t>κατηγορίες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E7669F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E7669F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E7669F" w:rsidRPr="006F749E"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E7669F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E7669F" w:rsidRPr="006F749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011A59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E7669F" w:rsidRPr="006F749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995144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DA65EE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="00DA65EE" w:rsidRPr="00DA65E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A65EE"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(</w:t>
      </w:r>
      <w:r w:rsidR="00011A59">
        <w:rPr>
          <w:rFonts w:ascii="Verdana" w:eastAsia="Malgun Gothic" w:hAnsi="Verdana" w:cs="Arial"/>
          <w:iCs/>
          <w:sz w:val="18"/>
          <w:szCs w:val="18"/>
          <w:lang w:val="el-GR"/>
        </w:rPr>
        <w:t>4</w:t>
      </w:r>
      <w:r w:rsidR="00DA65EE"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,</w:t>
      </w:r>
      <w:r w:rsidR="00011A59">
        <w:rPr>
          <w:rFonts w:ascii="Verdana" w:eastAsia="Malgun Gothic" w:hAnsi="Verdana" w:cs="Arial"/>
          <w:iCs/>
          <w:sz w:val="18"/>
          <w:szCs w:val="18"/>
          <w:lang w:val="el-GR"/>
        </w:rPr>
        <w:t>5</w:t>
      </w:r>
      <w:r w:rsidR="00DA65EE"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%)</w:t>
      </w:r>
      <w:r w:rsidR="0099514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995144"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και</w:t>
      </w:r>
      <w:r w:rsidR="00DA65EE"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A65EE" w:rsidRPr="00EF27E5">
        <w:rPr>
          <w:rFonts w:ascii="Verdana" w:eastAsia="Malgun Gothic" w:hAnsi="Verdana" w:cs="Arial"/>
          <w:i/>
          <w:iCs/>
          <w:sz w:val="18"/>
          <w:szCs w:val="18"/>
          <w:lang w:val="el-GR"/>
        </w:rPr>
        <w:t>Αναψυχή και Πολιτισμός</w:t>
      </w:r>
      <w:r w:rsidR="00DA65EE" w:rsidRPr="00EF27E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011A59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011A59">
        <w:rPr>
          <w:rFonts w:ascii="Verdana" w:eastAsia="Malgun Gothic" w:hAnsi="Verdana" w:cs="Arial"/>
          <w:sz w:val="18"/>
          <w:szCs w:val="18"/>
          <w:lang w:val="el-GR"/>
        </w:rPr>
        <w:t>9</w:t>
      </w:r>
      <w:r w:rsidR="00DA65E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EF27E5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380663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B442B0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highlight w:val="yellow"/>
          <w:lang w:val="el-GR"/>
        </w:rPr>
      </w:pPr>
    </w:p>
    <w:p w14:paraId="0DD18807" w14:textId="4D2215D2" w:rsidR="006022B5" w:rsidRPr="0011170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22E94">
        <w:rPr>
          <w:rFonts w:ascii="Verdana" w:eastAsia="Malgun Gothic" w:hAnsi="Verdana" w:cs="Arial"/>
          <w:sz w:val="18"/>
          <w:szCs w:val="18"/>
          <w:lang w:val="el-GR"/>
        </w:rPr>
        <w:t>Ιού</w:t>
      </w:r>
      <w:r w:rsidR="008879C6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A22E94">
        <w:rPr>
          <w:rFonts w:ascii="Verdana" w:eastAsia="Malgun Gothic" w:hAnsi="Verdana" w:cs="Arial"/>
          <w:sz w:val="18"/>
          <w:szCs w:val="18"/>
          <w:lang w:val="el-GR"/>
        </w:rPr>
        <w:t>ιο</w:t>
      </w:r>
      <w:r w:rsidR="008125E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196A7C" w:rsidRPr="00111708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A15339" w:rsidRPr="00111708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111708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F3E17">
        <w:rPr>
          <w:rFonts w:ascii="Verdana" w:eastAsia="Malgun Gothic" w:hAnsi="Verdana" w:cs="Arial"/>
          <w:sz w:val="18"/>
          <w:szCs w:val="18"/>
          <w:lang w:val="el-GR"/>
        </w:rPr>
        <w:t>ς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 xml:space="preserve">ές </w:t>
      </w:r>
      <w:r w:rsidR="006B7F67" w:rsidRPr="00111708">
        <w:rPr>
          <w:rFonts w:ascii="Verdana" w:eastAsia="Malgun Gothic" w:hAnsi="Verdana" w:cs="Arial"/>
          <w:sz w:val="18"/>
          <w:szCs w:val="18"/>
          <w:lang w:val="el-GR"/>
        </w:rPr>
        <w:t>παρατηρήθηκ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E6141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 xml:space="preserve">στις </w:t>
      </w:r>
      <w:r w:rsidR="00132903" w:rsidRPr="00111708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426606" w:rsidRPr="00111708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E61415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879C6" w:rsidRPr="008879C6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DA65EE" w:rsidRPr="00DA65EE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8879C6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879C6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111708" w:rsidRPr="00111708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8879C6" w:rsidRPr="008879C6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E42DF2" w:rsidRPr="00E42DF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8879C6">
        <w:rPr>
          <w:rFonts w:ascii="Verdana" w:eastAsia="Malgun Gothic" w:hAnsi="Verdana" w:cs="Arial"/>
          <w:sz w:val="18"/>
          <w:szCs w:val="18"/>
          <w:lang w:val="el-GR"/>
        </w:rPr>
        <w:t>-1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E42DF2">
        <w:rPr>
          <w:rFonts w:ascii="Verdana" w:eastAsia="Malgun Gothic" w:hAnsi="Verdana" w:cs="Arial"/>
          <w:sz w:val="18"/>
          <w:szCs w:val="18"/>
          <w:lang w:val="el-GR"/>
        </w:rPr>
        <w:t>1%</w:t>
      </w:r>
      <w:r w:rsidR="006314AA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132903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22DB350F" w14:textId="77777777" w:rsidR="00A15339" w:rsidRPr="00111708" w:rsidRDefault="00A1533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</w:p>
    <w:p w14:paraId="4E0D3452" w14:textId="17212520" w:rsidR="00A15339" w:rsidRPr="00E21D72" w:rsidRDefault="00A15339" w:rsidP="00A1533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– </w:t>
      </w:r>
      <w:r w:rsidR="008879C6">
        <w:rPr>
          <w:rFonts w:ascii="Verdana" w:eastAsia="Malgun Gothic" w:hAnsi="Verdana" w:cs="Arial"/>
          <w:sz w:val="18"/>
          <w:szCs w:val="18"/>
          <w:lang w:val="el-GR"/>
        </w:rPr>
        <w:t>Αυγούστου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2025, σε σύγκριση με την αντίστοιχη περσινή περίοδο, οι μεγαλύτερες μεταβολές παρουσιάστηκαν στις κατηγορίες </w:t>
      </w:r>
      <w:r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8879C6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879C6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%), </w:t>
      </w:r>
      <w:r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111708" w:rsidRPr="006F749E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879C6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και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111708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Εκπαίδευση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(3,</w:t>
      </w:r>
      <w:r w:rsidR="0059435E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336F3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(Πίνακας 1)</w:t>
      </w:r>
    </w:p>
    <w:p w14:paraId="424F7C08" w14:textId="77777777" w:rsidR="006022B5" w:rsidRPr="00B06FC6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E7718B9" w14:textId="797B891C" w:rsidR="00453E42" w:rsidRPr="00336F31" w:rsidRDefault="006022B5" w:rsidP="00997963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833D0E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 xml:space="preserve">Αύγουστο </w:t>
      </w:r>
      <w:r w:rsidR="00782524"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 w:rsidRPr="00336F31">
        <w:rPr>
          <w:rFonts w:ascii="Verdana" w:hAnsi="Verdana" w:cs="Arial"/>
          <w:sz w:val="18"/>
          <w:szCs w:val="18"/>
          <w:lang w:val="el-GR"/>
        </w:rPr>
        <w:t xml:space="preserve"> </w:t>
      </w:r>
      <w:r w:rsidR="0009301B">
        <w:rPr>
          <w:rFonts w:ascii="Verdana" w:hAnsi="Verdana" w:cs="Arial"/>
          <w:sz w:val="18"/>
          <w:szCs w:val="18"/>
          <w:lang w:val="el-GR"/>
        </w:rPr>
        <w:t xml:space="preserve">Αύγουστο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 w:rsidRPr="00336F31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 w:rsidRPr="00336F31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73188" w:rsidRPr="00C73188">
        <w:rPr>
          <w:lang w:val="el-GR"/>
        </w:rPr>
        <w:t xml:space="preserve"> </w:t>
      </w:r>
      <w:r w:rsidR="00336F31"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F271B1" w:rsidRPr="00336F3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F271B1"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49</w:t>
      </w:r>
      <w:r w:rsidR="00F271B1" w:rsidRPr="00336F3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D744F">
        <w:rPr>
          <w:rFonts w:ascii="Verdana" w:eastAsia="Malgun Gothic" w:hAnsi="Verdana" w:cs="Arial"/>
          <w:sz w:val="18"/>
          <w:szCs w:val="18"/>
          <w:lang w:val="el-GR"/>
        </w:rPr>
        <w:t xml:space="preserve">και </w:t>
      </w:r>
      <w:r w:rsidR="009744B9" w:rsidRPr="009744B9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Αναψυχή και Πολιτισμός </w:t>
      </w:r>
      <w:r w:rsidR="00FD744F" w:rsidRPr="00336F31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99447A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="00FD744F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9B041C" w:rsidRPr="00336F31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997963" w:rsidRPr="00336F31">
        <w:rPr>
          <w:rFonts w:ascii="Verdana" w:eastAsia="Malgun Gothic" w:hAnsi="Verdana" w:cs="Arial"/>
          <w:sz w:val="18"/>
          <w:szCs w:val="18"/>
          <w:lang w:val="el-GR"/>
        </w:rPr>
        <w:t>νώ τ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η μεγαλύτερη αρνητική επίδραση στη μεταβολή του ΔΤΚ του</w:t>
      </w:r>
      <w:r w:rsidR="00360B5F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Αυγούστου</w:t>
      </w:r>
      <w:r w:rsidR="00FD744F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453E42" w:rsidRPr="00336F31">
        <w:rPr>
          <w:rFonts w:ascii="Verdana" w:hAnsi="Verdana" w:cs="Arial"/>
          <w:sz w:val="18"/>
          <w:szCs w:val="18"/>
          <w:lang w:val="el-GR"/>
        </w:rPr>
        <w:t xml:space="preserve"> </w:t>
      </w:r>
      <w:r w:rsidR="0009301B">
        <w:rPr>
          <w:rFonts w:ascii="Verdana" w:hAnsi="Verdana" w:cs="Arial"/>
          <w:sz w:val="18"/>
          <w:szCs w:val="18"/>
          <w:lang w:val="el-GR"/>
        </w:rPr>
        <w:t>Αύγουστο</w:t>
      </w:r>
      <w:r w:rsidR="00FD744F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 w:rsidRPr="00336F3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EE4A60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453E42"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9744B9">
        <w:rPr>
          <w:rFonts w:ascii="Verdana" w:eastAsia="Malgun Gothic" w:hAnsi="Verdana" w:cs="Arial"/>
          <w:sz w:val="18"/>
          <w:szCs w:val="18"/>
          <w:lang w:val="el-GR"/>
        </w:rPr>
        <w:t>7</w:t>
      </w:r>
      <w:r w:rsidR="00EE4A60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09301B" w:rsidRPr="0009301B"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 xml:space="preserve"> (-0,55)</w:t>
      </w:r>
      <w:r w:rsidR="00453E42" w:rsidRPr="00336F31">
        <w:rPr>
          <w:rFonts w:ascii="Verdana" w:eastAsia="Malgun Gothic" w:hAnsi="Verdana" w:cs="Arial"/>
          <w:sz w:val="18"/>
          <w:szCs w:val="18"/>
          <w:lang w:val="el-GR"/>
        </w:rPr>
        <w:t>. (Πίνακας 3)</w:t>
      </w:r>
    </w:p>
    <w:p w14:paraId="328F7BC1" w14:textId="77777777" w:rsidR="006022B5" w:rsidRPr="00336F31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F248189" w14:textId="3528C405" w:rsidR="00765BDC" w:rsidRPr="00336F31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επίπτωση </w:t>
      </w:r>
      <w:r w:rsidRPr="00336F31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τον 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 xml:space="preserve">Αύγουστο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2025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σε σχέση με τον </w:t>
      </w:r>
      <w:r w:rsidR="00404469">
        <w:rPr>
          <w:rFonts w:ascii="Verdana" w:eastAsia="Malgun Gothic" w:hAnsi="Verdana" w:cs="Arial"/>
          <w:sz w:val="18"/>
          <w:szCs w:val="18"/>
          <w:lang w:val="el-GR"/>
        </w:rPr>
        <w:t>Ιού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λ</w:t>
      </w:r>
      <w:r w:rsidR="00404469">
        <w:rPr>
          <w:rFonts w:ascii="Verdana" w:eastAsia="Malgun Gothic" w:hAnsi="Verdana" w:cs="Arial"/>
          <w:sz w:val="18"/>
          <w:szCs w:val="18"/>
          <w:lang w:val="el-GR"/>
        </w:rPr>
        <w:t>ιο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2025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είχε η κατηγορία</w:t>
      </w:r>
      <w:r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09301B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09301B"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09301B" w:rsidRPr="00336F3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09301B"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41</w:t>
      </w:r>
      <w:r w:rsidR="0009301B" w:rsidRPr="00336F3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Pr="00142C02">
        <w:rPr>
          <w:rFonts w:ascii="Verdana" w:eastAsia="Malgun Gothic" w:hAnsi="Verdana" w:cs="Arial"/>
          <w:iCs/>
          <w:sz w:val="18"/>
          <w:szCs w:val="18"/>
          <w:lang w:val="el-GR"/>
        </w:rPr>
        <w:t>.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(Πίνακας 3)</w:t>
      </w:r>
    </w:p>
    <w:p w14:paraId="268A34B8" w14:textId="77777777" w:rsidR="00765BDC" w:rsidRPr="00B442B0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highlight w:val="yellow"/>
          <w:lang w:val="el-GR"/>
        </w:rPr>
      </w:pPr>
    </w:p>
    <w:p w14:paraId="1F15496B" w14:textId="1BE41E41" w:rsidR="00765BDC" w:rsidRPr="00E21D72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336F31">
        <w:rPr>
          <w:rFonts w:ascii="Verdana" w:eastAsia="Malgun Gothic" w:hAnsi="Verdana" w:cs="Arial"/>
          <w:sz w:val="18"/>
          <w:szCs w:val="18"/>
          <w:lang w:val="el-GR"/>
        </w:rPr>
        <w:t>Τη μεγαλύτερη θετική επίπτωση στη μεταβολή του ΔΤΚ του</w:t>
      </w:r>
      <w:r w:rsidRPr="00336F31">
        <w:rPr>
          <w:rFonts w:ascii="Verdana" w:hAnsi="Verdana" w:cs="Arial"/>
          <w:sz w:val="18"/>
          <w:szCs w:val="18"/>
          <w:lang w:val="el-GR"/>
        </w:rPr>
        <w:t xml:space="preserve"> </w:t>
      </w:r>
      <w:r w:rsidR="00576A38">
        <w:rPr>
          <w:rFonts w:ascii="Verdana" w:hAnsi="Verdana" w:cs="Arial"/>
          <w:sz w:val="18"/>
          <w:szCs w:val="18"/>
          <w:lang w:val="el-GR"/>
        </w:rPr>
        <w:t>Αυγούστου</w:t>
      </w:r>
      <w:r w:rsidR="00857C0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2025 σε σύγκριση με το δείκτη του </w:t>
      </w:r>
      <w:r w:rsidR="00576A38">
        <w:rPr>
          <w:rFonts w:ascii="Verdana" w:eastAsia="Malgun Gothic" w:hAnsi="Verdana" w:cs="Arial"/>
          <w:sz w:val="18"/>
          <w:szCs w:val="18"/>
          <w:lang w:val="el-GR"/>
        </w:rPr>
        <w:t>Αυγούστου</w:t>
      </w:r>
      <w:r w:rsidR="00857C02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2024 είχ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336F3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552E95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6F749E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, ενώ τη μεγαλύτερη αρνητική επίδραση είχαν τα </w:t>
      </w:r>
      <w:r w:rsidRPr="00C73188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(-</w:t>
      </w:r>
      <w:r w:rsidR="00967E1D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967E1D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336F31">
        <w:rPr>
          <w:rFonts w:ascii="Verdana" w:eastAsia="Malgun Gothic" w:hAnsi="Verdana" w:cs="Arial"/>
          <w:sz w:val="18"/>
          <w:szCs w:val="18"/>
          <w:lang w:val="el-GR"/>
        </w:rPr>
        <w:t>). (Πίνακας 4)</w:t>
      </w:r>
    </w:p>
    <w:p w14:paraId="0EAE47CB" w14:textId="77777777" w:rsidR="00765BDC" w:rsidRPr="00E21D72" w:rsidRDefault="00765BDC" w:rsidP="00765BDC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F04F9E2" w14:textId="7849D342" w:rsidR="00765BDC" w:rsidRPr="00E21D72" w:rsidRDefault="00393A18" w:rsidP="00765BDC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9301B" w:rsidRPr="0009301B">
        <w:rPr>
          <w:rFonts w:ascii="Verdana" w:eastAsia="Malgun Gothic" w:hAnsi="Verdana" w:cs="Arial"/>
          <w:i/>
          <w:iCs/>
          <w:sz w:val="18"/>
          <w:szCs w:val="18"/>
          <w:lang w:val="el-GR"/>
        </w:rPr>
        <w:t>Φρέσκα Λαχανικά</w:t>
      </w:r>
      <w:r w:rsidR="00C42DB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 xml:space="preserve">) 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C42DB4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τη μεγαλύτερη θετική επίδραση στη μεταβολή του ΔΤΚ του 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Αυγούστου</w:t>
      </w:r>
      <w:r w:rsidR="002B070B" w:rsidRPr="0011170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65BDC" w:rsidRPr="00336F31">
        <w:rPr>
          <w:rFonts w:ascii="Verdana" w:hAnsi="Verdana" w:cs="Arial"/>
          <w:sz w:val="18"/>
          <w:szCs w:val="18"/>
          <w:lang w:val="el-GR"/>
        </w:rPr>
        <w:t>2025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Ιου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λ</w:t>
      </w:r>
      <w:r>
        <w:rPr>
          <w:rFonts w:ascii="Verdana" w:eastAsia="Malgun Gothic" w:hAnsi="Verdana" w:cs="Arial"/>
          <w:sz w:val="18"/>
          <w:szCs w:val="18"/>
          <w:lang w:val="el-GR"/>
        </w:rPr>
        <w:t>ίου</w:t>
      </w:r>
      <w:r w:rsidR="00765BDC">
        <w:rPr>
          <w:rFonts w:ascii="Verdana" w:eastAsia="Malgun Gothic" w:hAnsi="Verdana" w:cs="Arial"/>
          <w:sz w:val="18"/>
          <w:szCs w:val="18"/>
          <w:lang w:val="el-GR"/>
        </w:rPr>
        <w:t xml:space="preserve"> 2025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, ενώ τη μεγαλύτερη αρνητική επίδραση είχ</w:t>
      </w:r>
      <w:r w:rsidR="002B070B">
        <w:rPr>
          <w:rFonts w:ascii="Verdana" w:eastAsia="Malgun Gothic" w:hAnsi="Verdana" w:cs="Arial"/>
          <w:sz w:val="18"/>
          <w:szCs w:val="18"/>
          <w:lang w:val="el-GR"/>
        </w:rPr>
        <w:t>αν τα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9301B" w:rsidRPr="0009301B">
        <w:rPr>
          <w:rFonts w:ascii="Verdana" w:eastAsia="Malgun Gothic" w:hAnsi="Verdana" w:cs="Arial"/>
          <w:i/>
          <w:iCs/>
          <w:sz w:val="18"/>
          <w:szCs w:val="18"/>
          <w:lang w:val="el-GR"/>
        </w:rPr>
        <w:t>Πετρελαιοειδή</w:t>
      </w:r>
      <w:r w:rsidR="002B070B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(-0,</w:t>
      </w:r>
      <w:r w:rsidR="0009301B">
        <w:rPr>
          <w:rFonts w:ascii="Verdana" w:eastAsia="Malgun Gothic" w:hAnsi="Verdana" w:cs="Arial"/>
          <w:sz w:val="18"/>
          <w:szCs w:val="18"/>
          <w:lang w:val="el-GR"/>
        </w:rPr>
        <w:t>06</w:t>
      </w:r>
      <w:r w:rsidR="00765BDC" w:rsidRPr="00336F31">
        <w:rPr>
          <w:rFonts w:ascii="Verdana" w:eastAsia="Malgun Gothic" w:hAnsi="Verdana" w:cs="Arial"/>
          <w:sz w:val="18"/>
          <w:szCs w:val="18"/>
          <w:lang w:val="el-GR"/>
        </w:rPr>
        <w:t>). (Πίνακας 5)</w:t>
      </w:r>
    </w:p>
    <w:p w14:paraId="564B8734" w14:textId="0E700A96" w:rsidR="008125E2" w:rsidRDefault="008125E2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B52DCDA" w14:textId="77777777" w:rsidR="00336F31" w:rsidRDefault="00336F31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DCF6FD4" w14:textId="77777777" w:rsidR="009744B9" w:rsidRPr="00F260F0" w:rsidRDefault="009744B9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5322" w:type="pct"/>
        <w:jc w:val="center"/>
        <w:tblLayout w:type="fixed"/>
        <w:tblLook w:val="04A0" w:firstRow="1" w:lastRow="0" w:firstColumn="1" w:lastColumn="0" w:noHBand="0" w:noVBand="1"/>
      </w:tblPr>
      <w:tblGrid>
        <w:gridCol w:w="2465"/>
        <w:gridCol w:w="1593"/>
        <w:gridCol w:w="1447"/>
        <w:gridCol w:w="288"/>
        <w:gridCol w:w="1454"/>
        <w:gridCol w:w="1308"/>
        <w:gridCol w:w="1880"/>
      </w:tblGrid>
      <w:tr w:rsidR="00275969" w:rsidRPr="00275969" w14:paraId="1D00F069" w14:textId="27C1EA9C" w:rsidTr="002E50E7">
        <w:trPr>
          <w:trHeight w:val="270"/>
          <w:jc w:val="center"/>
        </w:trPr>
        <w:tc>
          <w:tcPr>
            <w:tcW w:w="2465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D23532" w:rsidRPr="00275969" w:rsidRDefault="00D23532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3040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D23532" w:rsidRPr="00275969" w:rsidRDefault="00D23532" w:rsidP="00FC5595">
            <w:pPr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288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D23532" w:rsidRPr="00275969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642" w:type="dxa"/>
            <w:gridSpan w:val="3"/>
            <w:tcBorders>
              <w:bottom w:val="single" w:sz="4" w:space="0" w:color="366092"/>
            </w:tcBorders>
          </w:tcPr>
          <w:p w14:paraId="55521A0B" w14:textId="77777777" w:rsidR="00D23532" w:rsidRPr="00275969" w:rsidRDefault="00D23532" w:rsidP="00FC5595">
            <w:pPr>
              <w:ind w:right="-75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</w:p>
        </w:tc>
      </w:tr>
      <w:tr w:rsidR="00275969" w:rsidRPr="00275969" w14:paraId="79540F65" w14:textId="49BDFAC0" w:rsidTr="002E50E7">
        <w:trPr>
          <w:trHeight w:val="270"/>
          <w:jc w:val="center"/>
        </w:trPr>
        <w:tc>
          <w:tcPr>
            <w:tcW w:w="2465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3337C1" w:rsidRPr="00275969" w:rsidRDefault="003337C1" w:rsidP="00FC5595">
            <w:pPr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3040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3337C1" w:rsidRPr="00275969" w:rsidRDefault="003337C1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8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3337C1" w:rsidRPr="00275969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4642" w:type="dxa"/>
            <w:gridSpan w:val="3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18498107" w14:textId="28348BF3" w:rsidR="003337C1" w:rsidRPr="00275969" w:rsidRDefault="003337C1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Μεταβολές (%)</w:t>
            </w:r>
          </w:p>
        </w:tc>
      </w:tr>
      <w:tr w:rsidR="00275969" w:rsidRPr="00275969" w14:paraId="4BD227C0" w14:textId="56E7A4E3" w:rsidTr="002E50E7">
        <w:trPr>
          <w:trHeight w:val="602"/>
          <w:jc w:val="center"/>
        </w:trPr>
        <w:tc>
          <w:tcPr>
            <w:tcW w:w="2465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A646BC" w:rsidRPr="00275969" w:rsidRDefault="00A646BC" w:rsidP="00A646B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593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7562D3B" w14:textId="77777777" w:rsidR="002E50E7" w:rsidRPr="00275969" w:rsidRDefault="002E50E7" w:rsidP="002E50E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Ιούλιος</w:t>
            </w:r>
          </w:p>
          <w:p w14:paraId="2CBD1D95" w14:textId="70120C11" w:rsidR="00A646BC" w:rsidRPr="00275969" w:rsidRDefault="002E50E7" w:rsidP="002E50E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44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6E10EB7B" w:rsidR="00A646BC" w:rsidRPr="00275969" w:rsidRDefault="002E50E7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Αύγουστος</w:t>
            </w:r>
          </w:p>
          <w:p w14:paraId="11415D22" w14:textId="0C666C01" w:rsidR="00A646BC" w:rsidRPr="00275969" w:rsidRDefault="00A646BC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202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288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A646BC" w:rsidRPr="00275969" w:rsidRDefault="00A646BC" w:rsidP="00A646BC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145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7CCB3358" w:rsidR="00A646BC" w:rsidRPr="00275969" w:rsidRDefault="002E50E7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="00A646BC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="00A646BC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30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334FD07F" w:rsidR="00A646BC" w:rsidRPr="00275969" w:rsidRDefault="002E50E7" w:rsidP="00A646BC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="00A646BC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 w:rsidR="000B0180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Ιο</w:t>
            </w:r>
            <w:r w:rsidR="00624521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υ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="00A646BC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="00A646BC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  <w:tc>
          <w:tcPr>
            <w:tcW w:w="1880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4348F3C6" w14:textId="790D8B5B" w:rsidR="00A646BC" w:rsidRPr="00275969" w:rsidRDefault="00A646BC" w:rsidP="00A646B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Ιαν – </w:t>
            </w:r>
            <w:r w:rsidR="002E50E7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</w:t>
            </w:r>
          </w:p>
          <w:p w14:paraId="0FAD6CEA" w14:textId="688204DD" w:rsidR="00A646BC" w:rsidRPr="00275969" w:rsidRDefault="00A646BC" w:rsidP="00A646BC">
            <w:pPr>
              <w:ind w:hanging="31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Ιαν – </w:t>
            </w:r>
            <w:r w:rsidR="002E50E7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</w:tr>
      <w:tr w:rsidR="00275969" w:rsidRPr="00275969" w14:paraId="43FBF73D" w14:textId="0B37F553" w:rsidTr="002E50E7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000D511F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120,67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5C16A251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122,83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0D25FA34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-2,98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5D5686D2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1,79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CB19FC" w14:textId="34C9E5EB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0,80</w:t>
            </w:r>
          </w:p>
        </w:tc>
      </w:tr>
      <w:tr w:rsidR="00275969" w:rsidRPr="00275969" w14:paraId="40FB4937" w14:textId="16B0D887" w:rsidTr="002E50E7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51CD7513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103,94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758512E1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103,88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59556C1C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0,27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44412551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-0,06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96F6FD0" w14:textId="747A8980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1,12</w:t>
            </w:r>
          </w:p>
        </w:tc>
      </w:tr>
      <w:tr w:rsidR="00275969" w:rsidRPr="00275969" w14:paraId="30CC1D12" w14:textId="63213DF3" w:rsidTr="002E50E7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79B9411B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90,38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5CED8A3F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89,39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0D110834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-7,70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485FE324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-1,10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D5286BF" w14:textId="2132668E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-6,02</w:t>
            </w:r>
          </w:p>
        </w:tc>
      </w:tr>
      <w:tr w:rsidR="00275969" w:rsidRPr="00275969" w14:paraId="64A249B5" w14:textId="3207FD58" w:rsidTr="002E50E7">
        <w:trPr>
          <w:trHeight w:val="68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1" w:name="_Hlk194442311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4D77D56C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142,27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620AD6AA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142,54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4DC50209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-2,34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0DD6DB9C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0,19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78ED608" w14:textId="36B74142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-0,19</w:t>
            </w:r>
          </w:p>
        </w:tc>
      </w:tr>
      <w:bookmarkEnd w:id="1"/>
      <w:tr w:rsidR="00275969" w:rsidRPr="00275969" w14:paraId="3A7635E9" w14:textId="3DB5F288" w:rsidTr="002E50E7">
        <w:trPr>
          <w:trHeight w:val="765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Προΐόντα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79C7D264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104,34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458E9F23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104,09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2BF2CD9E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-0,50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1891FF25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-0,24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262E8A" w14:textId="7F105630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-0,65</w:t>
            </w:r>
          </w:p>
        </w:tc>
      </w:tr>
      <w:tr w:rsidR="00275969" w:rsidRPr="00275969" w14:paraId="3359A3C0" w14:textId="3BD42386" w:rsidTr="002E50E7">
        <w:trPr>
          <w:trHeight w:val="375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6C9C0CD8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108,13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6F772849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108,20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54B3CCFC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1,71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7628D361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0,06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46398C8" w14:textId="5FAE2337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1,69</w:t>
            </w:r>
          </w:p>
        </w:tc>
      </w:tr>
      <w:tr w:rsidR="00275969" w:rsidRPr="00275969" w14:paraId="299E5490" w14:textId="0BE906FA" w:rsidTr="002E50E7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249B70E2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115,15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61D2A8CF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115,18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2DE46A00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-3,05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130F6DAD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0,03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5BD61E4" w14:textId="6106DBDE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-1,70</w:t>
            </w:r>
          </w:p>
        </w:tc>
      </w:tr>
      <w:tr w:rsidR="00275969" w:rsidRPr="00275969" w14:paraId="79C16F2A" w14:textId="4D611CBA" w:rsidTr="002E50E7">
        <w:trPr>
          <w:trHeight w:val="375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79A9BEBF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92,12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776AFA4F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92,08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67C2C97E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0,48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6A5D2636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-0,04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197EE8E" w14:textId="334B73AA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0,19</w:t>
            </w:r>
          </w:p>
        </w:tc>
      </w:tr>
      <w:tr w:rsidR="00275969" w:rsidRPr="00275969" w14:paraId="5C3CEC2A" w14:textId="5CA76F0A" w:rsidTr="002E50E7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αψυχή και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3EF87428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119,33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6CAEF1F9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119,88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3BCCE53C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3,90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438A8B6A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0,46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BA7FB" w14:textId="3C65C7B0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3,44</w:t>
            </w:r>
          </w:p>
        </w:tc>
      </w:tr>
      <w:tr w:rsidR="00275969" w:rsidRPr="00275969" w14:paraId="23CBF3D1" w14:textId="3D47F764" w:rsidTr="002E50E7">
        <w:trPr>
          <w:trHeight w:val="374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2744CD20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116,30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52D1822E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116,30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13B58B79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3,89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3E6E5FA0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0,00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EA7B71" w14:textId="52901DCE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3,77</w:t>
            </w:r>
          </w:p>
        </w:tc>
      </w:tr>
      <w:tr w:rsidR="00275969" w:rsidRPr="00275969" w14:paraId="00E44953" w14:textId="1A8E55CD" w:rsidTr="002E50E7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ατόρια και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593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1F3BD13F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135,34</w:t>
            </w:r>
          </w:p>
        </w:tc>
        <w:tc>
          <w:tcPr>
            <w:tcW w:w="1447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53303849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135,45</w:t>
            </w: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2EAF60EC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4,54</w:t>
            </w:r>
          </w:p>
        </w:tc>
        <w:tc>
          <w:tcPr>
            <w:tcW w:w="130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60FC66C5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0,08</w:t>
            </w:r>
          </w:p>
        </w:tc>
        <w:tc>
          <w:tcPr>
            <w:tcW w:w="18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17E5257" w14:textId="5BA4B9FC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4,73</w:t>
            </w:r>
          </w:p>
        </w:tc>
      </w:tr>
      <w:tr w:rsidR="00275969" w:rsidRPr="00275969" w14:paraId="0ABA4BC7" w14:textId="4629CEA3" w:rsidTr="002E50E7">
        <w:trPr>
          <w:trHeight w:val="510"/>
          <w:jc w:val="center"/>
        </w:trPr>
        <w:tc>
          <w:tcPr>
            <w:tcW w:w="2465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2E50E7" w:rsidRPr="00275969" w:rsidRDefault="002E50E7" w:rsidP="002E50E7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 xml:space="preserve"> Υ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593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5AC1C2F2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112,44</w:t>
            </w:r>
          </w:p>
        </w:tc>
        <w:tc>
          <w:tcPr>
            <w:tcW w:w="1447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1B4348C6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112,36</w:t>
            </w:r>
          </w:p>
        </w:tc>
        <w:tc>
          <w:tcPr>
            <w:tcW w:w="288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0FD5AF9C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1,04</w:t>
            </w:r>
          </w:p>
        </w:tc>
        <w:tc>
          <w:tcPr>
            <w:tcW w:w="130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17B70518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-0,07</w:t>
            </w:r>
          </w:p>
        </w:tc>
        <w:tc>
          <w:tcPr>
            <w:tcW w:w="1880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4CE926CB" w14:textId="5732703A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1,10</w:t>
            </w:r>
          </w:p>
        </w:tc>
      </w:tr>
      <w:tr w:rsidR="00275969" w:rsidRPr="00275969" w14:paraId="7B6D317E" w14:textId="278222F2" w:rsidTr="002E50E7">
        <w:trPr>
          <w:trHeight w:hRule="exact" w:val="567"/>
          <w:jc w:val="center"/>
        </w:trPr>
        <w:tc>
          <w:tcPr>
            <w:tcW w:w="2465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2E50E7" w:rsidRPr="00275969" w:rsidRDefault="002E50E7" w:rsidP="002E50E7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593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55201C76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116,65</w:t>
            </w:r>
          </w:p>
        </w:tc>
        <w:tc>
          <w:tcPr>
            <w:tcW w:w="1447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69443D3E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117,04</w:t>
            </w:r>
          </w:p>
        </w:tc>
        <w:tc>
          <w:tcPr>
            <w:tcW w:w="28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2E50E7" w:rsidRPr="00275969" w:rsidRDefault="002E50E7" w:rsidP="002E50E7">
            <w:pPr>
              <w:ind w:right="284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454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4AC0C4EA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-0,90</w:t>
            </w:r>
          </w:p>
        </w:tc>
        <w:tc>
          <w:tcPr>
            <w:tcW w:w="130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59561A5C" w:rsidR="002E50E7" w:rsidRPr="00275969" w:rsidRDefault="002E50E7" w:rsidP="002E50E7">
            <w:pPr>
              <w:ind w:right="311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0,33</w:t>
            </w:r>
          </w:p>
        </w:tc>
        <w:tc>
          <w:tcPr>
            <w:tcW w:w="1880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68378A7" w14:textId="0760135F" w:rsidR="002E50E7" w:rsidRPr="00275969" w:rsidRDefault="002E50E7" w:rsidP="002E50E7">
            <w:pPr>
              <w:ind w:right="602"/>
              <w:jc w:val="right"/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b/>
                <w:bCs/>
                <w:color w:val="366092"/>
                <w:sz w:val="18"/>
                <w:szCs w:val="18"/>
              </w:rPr>
              <w:t>0,45</w:t>
            </w:r>
          </w:p>
        </w:tc>
      </w:tr>
    </w:tbl>
    <w:p w14:paraId="54B905E2" w14:textId="77777777" w:rsidR="008125E2" w:rsidRDefault="008125E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143"/>
        <w:gridCol w:w="1954"/>
        <w:gridCol w:w="2372"/>
        <w:gridCol w:w="2243"/>
      </w:tblGrid>
      <w:tr w:rsidR="00275969" w:rsidRPr="00275969" w14:paraId="1B1E2683" w14:textId="77777777" w:rsidTr="00E051EE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275969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2</w:t>
            </w:r>
          </w:p>
        </w:tc>
      </w:tr>
      <w:tr w:rsidR="00275969" w:rsidRPr="00275969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275969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275969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275969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275969" w:rsidRPr="00275969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636C15" w:rsidRPr="00275969" w:rsidRDefault="00636C15" w:rsidP="00636C1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636C15" w:rsidRPr="00275969" w:rsidRDefault="00636C15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1DF26AB0" w:rsidR="00636C15" w:rsidRPr="00275969" w:rsidRDefault="002E50E7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="00636C15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="00636C15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64EFD0D8" w:rsidR="00636C15" w:rsidRPr="00275969" w:rsidRDefault="002E50E7" w:rsidP="00636C1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</w:t>
            </w:r>
            <w:r w:rsidR="00636C15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25/ Ιου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λ</w:t>
            </w:r>
            <w:r w:rsidR="00636C15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 xml:space="preserve"> 2</w:t>
            </w:r>
            <w:r w:rsidR="00636C15"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275969" w:rsidRPr="00275969" w14:paraId="6B065B03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2E50E7" w:rsidRPr="00275969" w:rsidRDefault="002E50E7" w:rsidP="002E50E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Γεωργικά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Προϊόντ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2E50E7" w:rsidRPr="00275969" w:rsidRDefault="002E50E7" w:rsidP="002E50E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0AD81F3E" w14:textId="59399690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-5,33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11F10268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4,37</w:t>
            </w:r>
          </w:p>
        </w:tc>
      </w:tr>
      <w:tr w:rsidR="00275969" w:rsidRPr="00275969" w14:paraId="6A6F5649" w14:textId="77777777" w:rsidTr="002E50E7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2E50E7" w:rsidRPr="00275969" w:rsidRDefault="002E50E7" w:rsidP="002E50E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Βιομηχ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ανικά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2E50E7" w:rsidRPr="00275969" w:rsidRDefault="002E50E7" w:rsidP="002E50E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(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εκτός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2E50E7" w:rsidRPr="00275969" w:rsidRDefault="002E50E7" w:rsidP="002E50E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698C258B" w14:textId="2D1827EC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-1,65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7695D579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-0,23</w:t>
            </w:r>
          </w:p>
        </w:tc>
      </w:tr>
      <w:tr w:rsidR="00275969" w:rsidRPr="00275969" w14:paraId="3370FFAD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2E50E7" w:rsidRPr="00275969" w:rsidRDefault="002E50E7" w:rsidP="002E50E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bookmarkStart w:id="2" w:name="_Hlk149742109"/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Ηλεκτρισμ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ό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ς</w:t>
            </w:r>
            <w:bookmarkEnd w:id="2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2E50E7" w:rsidRPr="00275969" w:rsidRDefault="002E50E7" w:rsidP="002E50E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5CFD39D9" w14:textId="36CFAA9C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-11,60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08CCEFBF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0,07</w:t>
            </w:r>
          </w:p>
        </w:tc>
      </w:tr>
      <w:tr w:rsidR="00275969" w:rsidRPr="00275969" w14:paraId="55D46229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2E50E7" w:rsidRPr="00275969" w:rsidRDefault="002E50E7" w:rsidP="002E50E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2E50E7" w:rsidRPr="00275969" w:rsidRDefault="002E50E7" w:rsidP="002E50E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6949086C" w14:textId="22471A7E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-7,30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773F4B0D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-0,34</w:t>
            </w:r>
          </w:p>
        </w:tc>
      </w:tr>
      <w:tr w:rsidR="00275969" w:rsidRPr="00275969" w14:paraId="00D702E5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2E50E7" w:rsidRPr="00275969" w:rsidRDefault="002E50E7" w:rsidP="002E50E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2E50E7" w:rsidRPr="00275969" w:rsidRDefault="002E50E7" w:rsidP="002E50E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  <w:bottom w:val="nil"/>
            </w:tcBorders>
            <w:noWrap/>
            <w:vAlign w:val="center"/>
          </w:tcPr>
          <w:p w14:paraId="2187379B" w14:textId="77DA5FFF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5B6D07F4" w14:textId="4946AB95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0,00</w:t>
            </w:r>
          </w:p>
        </w:tc>
      </w:tr>
      <w:tr w:rsidR="00275969" w:rsidRPr="00275969" w14:paraId="1CD39D67" w14:textId="77777777" w:rsidTr="002E50E7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2E50E7" w:rsidRPr="00275969" w:rsidRDefault="002E50E7" w:rsidP="002E50E7">
            <w:pPr>
              <w:ind w:left="2"/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2E50E7" w:rsidRPr="00275969" w:rsidRDefault="002E50E7" w:rsidP="002E50E7">
            <w:pPr>
              <w:ind w:right="113"/>
              <w:jc w:val="center"/>
              <w:rPr>
                <w:rFonts w:ascii="Verdana" w:hAnsi="Verdana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/>
                <w:color w:val="366092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noWrap/>
            <w:vAlign w:val="center"/>
          </w:tcPr>
          <w:p w14:paraId="30E53EC3" w14:textId="7737D0B9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3,56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02250550" w:rsidR="002E50E7" w:rsidRPr="00275969" w:rsidRDefault="002E50E7" w:rsidP="002E50E7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0,23</w:t>
            </w:r>
          </w:p>
        </w:tc>
      </w:tr>
      <w:tr w:rsidR="00275969" w:rsidRPr="00275969" w14:paraId="331F509F" w14:textId="77777777" w:rsidTr="002E50E7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2E50E7" w:rsidRPr="00275969" w:rsidRDefault="002E50E7" w:rsidP="002E50E7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2E50E7" w:rsidRPr="00275969" w:rsidRDefault="002E50E7" w:rsidP="002E50E7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noWrap/>
            <w:vAlign w:val="center"/>
          </w:tcPr>
          <w:p w14:paraId="5F309946" w14:textId="5DFDE5A8" w:rsidR="002E50E7" w:rsidRPr="00275969" w:rsidRDefault="002E50E7" w:rsidP="002E50E7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-0,90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385D1FE3" w:rsidR="002E50E7" w:rsidRPr="00275969" w:rsidRDefault="002E50E7" w:rsidP="002E50E7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0,33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331"/>
        <w:gridCol w:w="1557"/>
        <w:gridCol w:w="2406"/>
        <w:gridCol w:w="2400"/>
      </w:tblGrid>
      <w:tr w:rsidR="00275969" w:rsidRPr="00275969" w14:paraId="4C388DF5" w14:textId="77777777" w:rsidTr="00E051EE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275969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275969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275969" w:rsidRPr="00275969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275969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275969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1E47590D" w14:textId="77777777" w:rsidR="006022B5" w:rsidRPr="00275969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Επίπ</w:t>
            </w: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τωση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μονάδες)</w:t>
            </w:r>
          </w:p>
        </w:tc>
      </w:tr>
      <w:tr w:rsidR="00275969" w:rsidRPr="00275969" w14:paraId="019AB947" w14:textId="77777777" w:rsidTr="002D5B4A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2E50E7" w:rsidRPr="00275969" w:rsidRDefault="002E50E7" w:rsidP="002E50E7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2E50E7" w:rsidRPr="00275969" w:rsidRDefault="002E50E7" w:rsidP="002E50E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7F03F3F3" w:rsidR="002E50E7" w:rsidRPr="00275969" w:rsidRDefault="002E50E7" w:rsidP="002E50E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 25/ Αυγ 24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</w:tcPr>
          <w:p w14:paraId="4C0BF3F4" w14:textId="41DCBE30" w:rsidR="002E50E7" w:rsidRPr="00275969" w:rsidRDefault="002E50E7" w:rsidP="002E50E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 25/ Ιουλ 2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275969" w:rsidRPr="00275969" w14:paraId="5947B44C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bookmarkStart w:id="3" w:name="_Hlk168556548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Τρόφιμα και μη Αλκοολούχα Ποτά</w:t>
            </w:r>
            <w:bookmarkEnd w:id="3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51328B15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-0,72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19526E06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0,41</w:t>
            </w:r>
          </w:p>
        </w:tc>
      </w:tr>
      <w:tr w:rsidR="00275969" w:rsidRPr="00275969" w14:paraId="15E28FB3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οτά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Κ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4305AE57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6F426F27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0,00</w:t>
            </w:r>
          </w:p>
        </w:tc>
      </w:tr>
      <w:tr w:rsidR="00275969" w:rsidRPr="00275969" w14:paraId="108CD38A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Ένδυση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70CA1F2D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-0,54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45FDC814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-0,07</w:t>
            </w:r>
          </w:p>
        </w:tc>
      </w:tr>
      <w:tr w:rsidR="00275969" w:rsidRPr="00275969" w14:paraId="318667D3" w14:textId="77777777" w:rsidTr="00B5134A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5362D570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-0,38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34A31109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0,03</w:t>
            </w:r>
          </w:p>
        </w:tc>
      </w:tr>
      <w:tr w:rsidR="00275969" w:rsidRPr="00275969" w14:paraId="215783F0" w14:textId="77777777" w:rsidTr="00B5134A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Επίπλωση, Οικιακός Εξοπλισμός και Προϊόντα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71AE8059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-0,03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737D5191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-0,02</w:t>
            </w:r>
          </w:p>
        </w:tc>
      </w:tr>
      <w:tr w:rsidR="00275969" w:rsidRPr="00275969" w14:paraId="107081D7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Υγεί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3B2A477F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0,12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51740AE7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0,00</w:t>
            </w:r>
          </w:p>
        </w:tc>
      </w:tr>
      <w:tr w:rsidR="00275969" w:rsidRPr="00275969" w14:paraId="120C2413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Μετ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1BF1E044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-0,55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7AEFF11B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0,01</w:t>
            </w:r>
          </w:p>
        </w:tc>
      </w:tr>
      <w:tr w:rsidR="00275969" w:rsidRPr="00275969" w14:paraId="211DF7D2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6FE53607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0,02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6082AE58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0,00</w:t>
            </w:r>
          </w:p>
        </w:tc>
      </w:tr>
      <w:tr w:rsidR="00275969" w:rsidRPr="00275969" w14:paraId="5A0817DE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Αν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αψυχή και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67CAAE8B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0,26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6E852691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0,03</w:t>
            </w:r>
          </w:p>
        </w:tc>
      </w:tr>
      <w:tr w:rsidR="00275969" w:rsidRPr="00275969" w14:paraId="731D634B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Εκ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0B519974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0,17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33A96769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0,00</w:t>
            </w:r>
          </w:p>
        </w:tc>
      </w:tr>
      <w:tr w:rsidR="00275969" w:rsidRPr="00275969" w14:paraId="68212E85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Εστι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ατόρια και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Ξ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ενοδοχεί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2872A6C1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0,49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682F22DC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0,01</w:t>
            </w:r>
          </w:p>
        </w:tc>
      </w:tr>
      <w:tr w:rsidR="00275969" w:rsidRPr="00275969" w14:paraId="5C63625A" w14:textId="77777777" w:rsidTr="00B5134A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B5134A" w:rsidRPr="00275969" w:rsidRDefault="00B5134A" w:rsidP="00B5134A">
            <w:pPr>
              <w:rPr>
                <w:rFonts w:ascii="Verdana" w:eastAsia="Times New Roman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Άλλ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α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Α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γα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θά</w:t>
            </w:r>
            <w:proofErr w:type="spellEnd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 xml:space="preserve"> και 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Υ</w:t>
            </w: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π</w:t>
            </w:r>
            <w:proofErr w:type="spellStart"/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B5134A" w:rsidRPr="00275969" w:rsidRDefault="00B5134A" w:rsidP="00B5134A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437CD523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0,10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2E923067" w:rsidR="00B5134A" w:rsidRPr="00275969" w:rsidRDefault="00B5134A" w:rsidP="00B5134A">
            <w:pPr>
              <w:ind w:right="787" w:firstLineChars="100" w:firstLine="180"/>
              <w:jc w:val="right"/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  <w:t>-0,01</w:t>
            </w:r>
          </w:p>
        </w:tc>
      </w:tr>
      <w:tr w:rsidR="00275969" w:rsidRPr="00275969" w14:paraId="6771A5B6" w14:textId="77777777" w:rsidTr="00B5134A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B5134A" w:rsidRPr="00275969" w:rsidRDefault="00B5134A" w:rsidP="00B5134A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Γενικός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Δείκτης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</w:t>
            </w: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Τιμών</w:t>
            </w:r>
            <w:proofErr w:type="spellEnd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Κατανα</w:t>
            </w:r>
            <w:proofErr w:type="spellStart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B5134A" w:rsidRPr="00275969" w:rsidRDefault="00B5134A" w:rsidP="00B5134A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71AAD5D7" w:rsidR="00B5134A" w:rsidRPr="00275969" w:rsidRDefault="00B5134A" w:rsidP="00B5134A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-1,06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7974C63D" w:rsidR="00B5134A" w:rsidRPr="00275969" w:rsidRDefault="00B5134A" w:rsidP="00B5134A">
            <w:pPr>
              <w:ind w:right="787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0,39</w:t>
            </w:r>
          </w:p>
        </w:tc>
      </w:tr>
      <w:tr w:rsidR="00275969" w:rsidRPr="00275969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275969" w:rsidRDefault="00A36D89" w:rsidP="006022B5">
            <w:pPr>
              <w:rPr>
                <w:rFonts w:ascii="Verdana" w:eastAsia="Times New Roman" w:hAnsi="Verdana" w:cs="Arial"/>
                <w:bCs/>
                <w:color w:val="366092"/>
                <w:sz w:val="6"/>
                <w:szCs w:val="6"/>
                <w:lang w:val="el-GR"/>
              </w:rPr>
            </w:pPr>
          </w:p>
          <w:p w14:paraId="0DEF1FF2" w14:textId="34885900" w:rsidR="006022B5" w:rsidRPr="00275969" w:rsidRDefault="006022B5" w:rsidP="006022B5">
            <w:pPr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</w:pPr>
            <w:r w:rsidRPr="00275969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Σημείωση: Τα αθροίσματα υπολογίζονται βάσει των επιμέρους επιπτώσεων με άπειρα δεκαδικά και δημοσιεύονται με στρογγυλοποίηση δυο δεκαδικών</w:t>
            </w:r>
            <w:r w:rsidR="005D5F35" w:rsidRPr="00275969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>.</w:t>
            </w:r>
            <w:r w:rsidRPr="00275969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Πιθανές διαφορές στα αθροίσματα είναι λόγω σφάλματος στρογγυλοποίησης</w:t>
            </w:r>
            <w:r w:rsidR="005D5F35" w:rsidRPr="00275969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</w:rPr>
              <w:t>.</w:t>
            </w:r>
            <w:r w:rsidRPr="00275969">
              <w:rPr>
                <w:rFonts w:ascii="Verdana" w:eastAsia="Times New Roman" w:hAnsi="Verdana" w:cs="Arial"/>
                <w:bCs/>
                <w:color w:val="366092"/>
                <w:sz w:val="16"/>
                <w:szCs w:val="16"/>
                <w:lang w:val="el-GR"/>
              </w:rPr>
              <w:t xml:space="preserve">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20E3219F" w:rsid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275969" w:rsidRPr="00275969" w14:paraId="3F2DDA13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275969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bookmarkStart w:id="4" w:name="OLE_LINK9"/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275969" w:rsidRPr="00275969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275969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275969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275969" w:rsidRPr="00275969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B5134A" w:rsidRPr="00275969" w:rsidRDefault="00B5134A" w:rsidP="00B5134A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0D84F79D" w:rsidR="00B5134A" w:rsidRPr="00275969" w:rsidRDefault="00B5134A" w:rsidP="00B5134A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 25/ Αυγ 24</w:t>
            </w:r>
          </w:p>
        </w:tc>
      </w:tr>
      <w:tr w:rsidR="00275969" w:rsidRPr="00275969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0B4FB385" w:rsidR="00216205" w:rsidRPr="00275969" w:rsidRDefault="00216205" w:rsidP="00216205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275969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Θετική</w:t>
            </w:r>
            <w:proofErr w:type="spellEnd"/>
            <w:r w:rsidRPr="00275969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 xml:space="preserve"> </w:t>
            </w:r>
            <w:r w:rsidR="00F13540" w:rsidRPr="00275969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275969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πίπ</w:t>
            </w:r>
            <w:proofErr w:type="spellStart"/>
            <w:r w:rsidRPr="00275969">
              <w:rPr>
                <w:rFonts w:ascii="Verdana" w:hAnsi="Verdana" w:cs="Arial"/>
                <w:b/>
                <w:bCs/>
                <w:i/>
                <w:iCs/>
                <w:color w:val="366092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275969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 </w:t>
            </w:r>
          </w:p>
        </w:tc>
      </w:tr>
      <w:tr w:rsidR="00275969" w:rsidRPr="00275969" w14:paraId="6E5AF7BA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6202D" w14:textId="0C765E50" w:rsidR="00024180" w:rsidRPr="00275969" w:rsidRDefault="00024180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Υπηρεσίες Τροφοδοσίας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9D5F39" w14:textId="6749CB93" w:rsidR="00024180" w:rsidRPr="00275969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="00D7643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5</w:t>
            </w:r>
            <w:r w:rsidR="00B5134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3</w:t>
            </w:r>
          </w:p>
        </w:tc>
      </w:tr>
      <w:tr w:rsidR="00275969" w:rsidRPr="00275969" w14:paraId="33A68CE0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9B99" w14:textId="27A1BE5A" w:rsidR="00024180" w:rsidRPr="00275969" w:rsidRDefault="00771E19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040E55" w14:textId="25B7E593" w:rsidR="00024180" w:rsidRPr="00275969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</w:t>
            </w:r>
            <w:r w:rsidR="00771E19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8</w:t>
            </w:r>
          </w:p>
        </w:tc>
      </w:tr>
      <w:tr w:rsidR="00275969" w:rsidRPr="00275969" w14:paraId="5B57BFF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5C30A" w14:textId="6F901DC5" w:rsidR="00024180" w:rsidRPr="00275969" w:rsidRDefault="00B5134A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Φρέσκα Φρούτα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4857A8" w14:textId="2EBA87E4" w:rsidR="00024180" w:rsidRPr="00275969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</w:t>
            </w:r>
            <w:r w:rsidR="00B5134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6</w:t>
            </w:r>
          </w:p>
        </w:tc>
      </w:tr>
      <w:tr w:rsidR="00275969" w:rsidRPr="00275969" w14:paraId="22FA0A3F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A97CA" w14:textId="1540C0D4" w:rsidR="00024180" w:rsidRPr="00275969" w:rsidRDefault="00024180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Πραγματικά Μισθώματα για Κύρια Οικία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DE0F34" w14:textId="15A6FCA6" w:rsidR="00024180" w:rsidRPr="00275969" w:rsidRDefault="00024180" w:rsidP="00052D7F">
            <w:pPr>
              <w:ind w:left="179" w:right="1138" w:firstLine="142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98384B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,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</w:t>
            </w:r>
            <w:r w:rsidR="00B5134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3</w:t>
            </w:r>
          </w:p>
        </w:tc>
      </w:tr>
      <w:tr w:rsidR="00275969" w:rsidRPr="00275969" w14:paraId="0937B39D" w14:textId="77777777" w:rsidTr="00052D7F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9C6FDC" w14:textId="3B33446B" w:rsidR="008C1D59" w:rsidRPr="00275969" w:rsidRDefault="008F2E04" w:rsidP="00052D7F">
            <w:pPr>
              <w:ind w:left="179" w:firstLine="142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77BF376" w14:textId="389C816B" w:rsidR="008C1D59" w:rsidRPr="00275969" w:rsidRDefault="008C1D59" w:rsidP="00052D7F">
            <w:pPr>
              <w:ind w:right="1138" w:firstLineChars="200" w:firstLine="360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="00B5134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61</w:t>
            </w:r>
          </w:p>
        </w:tc>
      </w:tr>
      <w:tr w:rsidR="00275969" w:rsidRPr="00275969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162FE831" w:rsidR="00EA4C7B" w:rsidRPr="00275969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Αρνητική </w:t>
            </w:r>
            <w:r w:rsidR="00F13540" w:rsidRPr="00275969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275969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275969" w:rsidRDefault="00EA4C7B" w:rsidP="00B350FC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</w:rPr>
            </w:pPr>
          </w:p>
        </w:tc>
      </w:tr>
      <w:tr w:rsidR="00275969" w:rsidRPr="00275969" w14:paraId="157F0974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212099" w14:textId="0616FEF1" w:rsidR="00E94D3D" w:rsidRPr="00275969" w:rsidRDefault="00E94D3D" w:rsidP="00E94D3D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592FD545" w:rsidR="00E94D3D" w:rsidRPr="00275969" w:rsidRDefault="00E94D3D" w:rsidP="00E94D3D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-</w:t>
            </w:r>
            <w:r w:rsidR="00771E19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</w:t>
            </w:r>
            <w:r w:rsidR="00D62C8A" w:rsidRPr="00275969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="00B5134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84</w:t>
            </w:r>
          </w:p>
        </w:tc>
      </w:tr>
      <w:tr w:rsidR="00275969" w:rsidRPr="00275969" w14:paraId="2F716C77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9D3F082" w14:textId="27F027E1" w:rsidR="00A948D3" w:rsidRPr="00275969" w:rsidRDefault="00B5134A" w:rsidP="00A948D3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Φρέσκ</w:t>
            </w:r>
            <w:proofErr w:type="spellEnd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α Λαχα</w:t>
            </w: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2BE73E9" w14:textId="2488DB7A" w:rsidR="00A948D3" w:rsidRPr="00275969" w:rsidRDefault="00A948D3" w:rsidP="00A948D3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-0,</w:t>
            </w:r>
            <w:r w:rsidR="00B5134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68</w:t>
            </w:r>
          </w:p>
        </w:tc>
      </w:tr>
      <w:tr w:rsidR="00275969" w:rsidRPr="00275969" w14:paraId="570A4848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0F561" w14:textId="5EBC72DE" w:rsidR="00E94D3D" w:rsidRPr="00275969" w:rsidRDefault="00B5134A" w:rsidP="007874D2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Ηλεκτρισμός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ab/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7028739" w14:textId="2E97B159" w:rsidR="00E94D3D" w:rsidRPr="00275969" w:rsidRDefault="00E94D3D" w:rsidP="007874D2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D62C8A" w:rsidRPr="00275969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="00B5134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67</w:t>
            </w:r>
          </w:p>
        </w:tc>
      </w:tr>
      <w:tr w:rsidR="00275969" w:rsidRPr="00275969" w14:paraId="769D35E4" w14:textId="77777777" w:rsidTr="00E051EE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single" w:sz="4" w:space="0" w:color="366092"/>
              <w:right w:val="nil"/>
            </w:tcBorders>
            <w:shd w:val="clear" w:color="000000" w:fill="FFFFFF"/>
            <w:vAlign w:val="center"/>
          </w:tcPr>
          <w:p w14:paraId="0E6356C1" w14:textId="6C271EB1" w:rsidR="00E94D3D" w:rsidRPr="00275969" w:rsidRDefault="00463B77" w:rsidP="00E94D3D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Είδη Ένδυσης</w:t>
            </w:r>
          </w:p>
        </w:tc>
        <w:tc>
          <w:tcPr>
            <w:tcW w:w="3227" w:type="dxa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403F365" w14:textId="3B51C304" w:rsidR="00E94D3D" w:rsidRPr="00275969" w:rsidRDefault="00E94D3D" w:rsidP="00E94D3D">
            <w:pPr>
              <w:ind w:left="326" w:right="1138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-0</w:t>
            </w:r>
            <w:r w:rsidR="00D62C8A" w:rsidRPr="00275969">
              <w:rPr>
                <w:rFonts w:ascii="Verdana" w:hAnsi="Verdana" w:cs="Arial"/>
                <w:color w:val="366092"/>
                <w:sz w:val="18"/>
                <w:szCs w:val="18"/>
              </w:rPr>
              <w:t>,</w:t>
            </w:r>
            <w:r w:rsidR="00463B77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48</w:t>
            </w:r>
          </w:p>
        </w:tc>
      </w:tr>
      <w:tr w:rsidR="00275969" w:rsidRPr="00275969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275969" w:rsidRDefault="00EA4C7B" w:rsidP="00EA4C7B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7894D19E" w:rsidR="00EA4C7B" w:rsidRPr="00275969" w:rsidRDefault="00A948D3" w:rsidP="00B350FC">
            <w:pPr>
              <w:ind w:right="1138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-</w:t>
            </w:r>
            <w:r w:rsidR="00463B77"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1</w:t>
            </w:r>
            <w:r w:rsidR="007874D2"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463B77"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</w:t>
            </w:r>
            <w:r w:rsidR="00B5134A"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6</w:t>
            </w:r>
          </w:p>
        </w:tc>
      </w:tr>
      <w:bookmarkEnd w:id="4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092A2F61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32686059" w14:textId="77777777" w:rsidR="00A766A2" w:rsidRDefault="00A766A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4FD7775C" w14:textId="77777777" w:rsidR="00BF2B1C" w:rsidRPr="00D56B64" w:rsidRDefault="00BF2B1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275969" w:rsidRPr="00275969" w14:paraId="59D19A26" w14:textId="77777777" w:rsidTr="00E051EE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275969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Πίνακας 5</w:t>
            </w:r>
          </w:p>
        </w:tc>
      </w:tr>
      <w:tr w:rsidR="00275969" w:rsidRPr="00275969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275969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275969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275969" w:rsidRPr="00275969" w14:paraId="0C3752BC" w14:textId="77777777" w:rsidTr="008C7CA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98384B" w:rsidRPr="00275969" w:rsidRDefault="0098384B" w:rsidP="0098384B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78D48676" w14:textId="2E285E78" w:rsidR="0098384B" w:rsidRPr="00275969" w:rsidRDefault="00B5134A" w:rsidP="0098384B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Αυγ 25/ Ιουλ 2</w:t>
            </w:r>
            <w:r w:rsidRPr="00275969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5</w:t>
            </w:r>
          </w:p>
        </w:tc>
      </w:tr>
      <w:tr w:rsidR="00275969" w:rsidRPr="00275969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50FCED64" w:rsidR="003968D1" w:rsidRPr="00275969" w:rsidRDefault="00936D92" w:rsidP="003968D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 xml:space="preserve">Θετική </w:t>
            </w:r>
            <w:r w:rsidR="00F13540" w:rsidRPr="00275969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Ε</w:t>
            </w:r>
            <w:r w:rsidRPr="00275969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275969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275969" w:rsidRPr="00275969" w14:paraId="0F1E746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75C978" w14:textId="01A17EF8" w:rsidR="00B5134A" w:rsidRPr="00275969" w:rsidRDefault="00B5134A" w:rsidP="00B5134A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bookmarkStart w:id="5" w:name="_Hlk197438631"/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Φρέσκ</w:t>
            </w:r>
            <w:proofErr w:type="spellEnd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α Λαχα</w:t>
            </w: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EF734" w14:textId="67F0BCD2" w:rsidR="00B5134A" w:rsidRPr="00275969" w:rsidRDefault="00B5134A" w:rsidP="0009301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31</w:t>
            </w:r>
          </w:p>
        </w:tc>
      </w:tr>
      <w:tr w:rsidR="00275969" w:rsidRPr="00275969" w14:paraId="3457F7A2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9BCFE4D" w14:textId="63BB24EB" w:rsidR="00B5134A" w:rsidRPr="00275969" w:rsidRDefault="00B5134A" w:rsidP="00B5134A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Φρέσκ</w:t>
            </w:r>
            <w:proofErr w:type="spellEnd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 xml:space="preserve">α </w:t>
            </w: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Φρούτ</w:t>
            </w:r>
            <w:proofErr w:type="spellEnd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74C289" w14:textId="2EE6E772" w:rsidR="00B5134A" w:rsidRPr="00275969" w:rsidRDefault="00B5134A" w:rsidP="0009301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12</w:t>
            </w:r>
          </w:p>
        </w:tc>
      </w:tr>
      <w:tr w:rsidR="00275969" w:rsidRPr="00275969" w14:paraId="1E797F73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687F66" w14:textId="737B9467" w:rsidR="00B5134A" w:rsidRPr="00275969" w:rsidRDefault="00B5134A" w:rsidP="00B5134A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Αερο</w:t>
            </w:r>
            <w:proofErr w:type="spellEnd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πορικά Να</w:t>
            </w: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ύλ</w:t>
            </w:r>
            <w:proofErr w:type="spellEnd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EC2CA5" w14:textId="0B358211" w:rsidR="00B5134A" w:rsidRPr="00275969" w:rsidRDefault="00B5134A" w:rsidP="0009301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0,0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7</w:t>
            </w:r>
          </w:p>
        </w:tc>
      </w:tr>
      <w:tr w:rsidR="00275969" w:rsidRPr="00275969" w14:paraId="6B057E0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7ECBBC" w14:textId="0706E6F7" w:rsidR="00B5134A" w:rsidRPr="00275969" w:rsidRDefault="00B5134A" w:rsidP="00B5134A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Υ</w:t>
            </w: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γρ</w:t>
            </w:r>
            <w:proofErr w:type="spellEnd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α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έ</w:t>
            </w: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ριο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5AA1FE" w14:textId="13CB2DD2" w:rsidR="00B5134A" w:rsidRPr="00275969" w:rsidRDefault="00B5134A" w:rsidP="0009301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0,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03</w:t>
            </w:r>
          </w:p>
        </w:tc>
      </w:tr>
      <w:bookmarkEnd w:id="5"/>
      <w:tr w:rsidR="00275969" w:rsidRPr="00275969" w14:paraId="704E8429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E156208" w14:textId="77777777" w:rsidR="00E94D3D" w:rsidRPr="00275969" w:rsidRDefault="00E94D3D" w:rsidP="000B2850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55EC8EA" w14:textId="77777777" w:rsidR="00E94D3D" w:rsidRPr="00275969" w:rsidRDefault="00E94D3D" w:rsidP="0009301B">
            <w:pPr>
              <w:ind w:left="326" w:right="1280" w:firstLineChars="200" w:firstLine="360"/>
              <w:jc w:val="right"/>
              <w:rPr>
                <w:rFonts w:ascii="Verdana" w:eastAsia="Times New Roman" w:hAnsi="Verdana" w:cs="Arial"/>
                <w:bCs/>
                <w:color w:val="366092"/>
                <w:sz w:val="18"/>
                <w:szCs w:val="18"/>
                <w:lang w:val="el-GR"/>
              </w:rPr>
            </w:pPr>
          </w:p>
        </w:tc>
      </w:tr>
      <w:tr w:rsidR="00275969" w:rsidRPr="00275969" w14:paraId="4B64A063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9F12EB9" w14:textId="685BCCCB" w:rsidR="0024409E" w:rsidRPr="00275969" w:rsidRDefault="00B5134A" w:rsidP="0024409E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proofErr w:type="spellStart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Πετρελ</w:t>
            </w:r>
            <w:proofErr w:type="spellEnd"/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249A380A" w14:textId="16E1FF29" w:rsidR="0024409E" w:rsidRPr="00275969" w:rsidRDefault="0024409E" w:rsidP="0009301B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-0,</w:t>
            </w:r>
            <w:r w:rsidR="00B5134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06</w:t>
            </w:r>
          </w:p>
        </w:tc>
      </w:tr>
      <w:tr w:rsidR="00275969" w:rsidRPr="00275969" w14:paraId="4A4B0AD6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0E4C791B" w:rsidR="0024409E" w:rsidRPr="00275969" w:rsidRDefault="0024409E" w:rsidP="0024409E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Είδη Υπόδησης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65F13EFA" w:rsidR="0024409E" w:rsidRPr="00275969" w:rsidRDefault="0024409E" w:rsidP="0009301B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-0,</w:t>
            </w:r>
            <w:r w:rsidR="00B5134A"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05</w:t>
            </w:r>
          </w:p>
        </w:tc>
      </w:tr>
      <w:tr w:rsidR="00275969" w:rsidRPr="00275969" w14:paraId="1DD79AFA" w14:textId="77777777" w:rsidTr="0009301B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3DCF3F5" w14:textId="17224FCB" w:rsidR="00B5134A" w:rsidRPr="00275969" w:rsidRDefault="00B5134A" w:rsidP="00B5134A">
            <w:pPr>
              <w:ind w:left="326"/>
              <w:rPr>
                <w:rFonts w:ascii="Verdana" w:hAnsi="Verdana" w:cs="Arial"/>
                <w:color w:val="366092"/>
                <w:sz w:val="18"/>
                <w:szCs w:val="18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Είδη Ένδυσης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E87E135" w14:textId="3C5E0269" w:rsidR="00B5134A" w:rsidRPr="00275969" w:rsidRDefault="00B5134A" w:rsidP="0009301B">
            <w:pPr>
              <w:ind w:left="326" w:right="1266"/>
              <w:jc w:val="right"/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hAnsi="Verdana" w:cs="Arial"/>
                <w:color w:val="366092"/>
                <w:sz w:val="18"/>
                <w:szCs w:val="18"/>
              </w:rPr>
              <w:t>-0,</w:t>
            </w:r>
            <w:r w:rsidRPr="00275969">
              <w:rPr>
                <w:rFonts w:ascii="Verdana" w:hAnsi="Verdana" w:cs="Arial"/>
                <w:color w:val="366092"/>
                <w:sz w:val="18"/>
                <w:szCs w:val="18"/>
                <w:lang w:val="el-GR"/>
              </w:rPr>
              <w:t>02</w:t>
            </w:r>
          </w:p>
        </w:tc>
      </w:tr>
      <w:tr w:rsidR="00275969" w:rsidRPr="00275969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E96AE1" w:rsidRPr="00275969" w:rsidRDefault="00E96AE1" w:rsidP="00E96AE1">
            <w:pPr>
              <w:rPr>
                <w:rFonts w:ascii="Verdana" w:eastAsia="Times New Roman" w:hAnsi="Verdana" w:cs="Arial"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791533D0" w:rsidR="00E96AE1" w:rsidRPr="00275969" w:rsidRDefault="00105543" w:rsidP="00A766A2">
            <w:pPr>
              <w:ind w:right="1269" w:firstLineChars="200" w:firstLine="361"/>
              <w:jc w:val="right"/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</w:pPr>
            <w:r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0</w:t>
            </w:r>
            <w:r w:rsidR="00E96AE1"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,</w:t>
            </w:r>
            <w:r w:rsidR="00B5134A" w:rsidRPr="00275969">
              <w:rPr>
                <w:rFonts w:ascii="Verdana" w:eastAsia="Times New Roman" w:hAnsi="Verdana" w:cs="Arial"/>
                <w:b/>
                <w:color w:val="366092"/>
                <w:sz w:val="18"/>
                <w:szCs w:val="18"/>
                <w:lang w:val="el-GR"/>
              </w:rPr>
              <w:t>39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35873F4E" w14:textId="77777777" w:rsidR="00DD0DD1" w:rsidRDefault="00DD0DD1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7824B4EA" w14:textId="77777777" w:rsidR="00DD0DD1" w:rsidRPr="00DD0DD1" w:rsidRDefault="00DD0DD1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A15339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964EFC1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77CFEB9" w14:textId="77777777" w:rsidR="006F749E" w:rsidRDefault="006F749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6966ED25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6E76B2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3DFD7CC9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393B8C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2E042AEA" w:rsidR="006022B5" w:rsidRPr="00497CF6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043DA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22ABDD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B5A34CE" w14:textId="52CBA9CC" w:rsidR="00C30A3C" w:rsidRPr="00C30A3C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και υπηρεσία για κάθε μήνα σταθμίζονται ανάλογα με τον πληθυσμό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 είναι οι εξής: Λευκωσία 42%, Λεμεσός 30%, Λάρνακα 18% και Πάφος 10%</w:t>
      </w:r>
      <w:r w:rsidR="00684A8F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2EA8A84A" w14:textId="77777777" w:rsidR="00C30A3C" w:rsidRPr="00C30A3C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1298584" w14:textId="11C583A1" w:rsidR="006022B5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C30A3C">
        <w:rPr>
          <w:rFonts w:ascii="Verdana" w:eastAsia="Malgun Gothic" w:hAnsi="Verdana" w:cs="Arial"/>
          <w:sz w:val="18"/>
          <w:szCs w:val="18"/>
          <w:lang w:val="el-GR"/>
        </w:rPr>
        <w:t>Οι τιμές των 805 προϊόντων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C30A3C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C30A3C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6E4423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37AB0269" w14:textId="77777777" w:rsidR="00C30A3C" w:rsidRPr="00E21D72" w:rsidRDefault="00C30A3C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435E38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501E1886" w:rsidR="006022B5" w:rsidRPr="00497CF6" w:rsidRDefault="006022B5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040D50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</w:t>
      </w:r>
      <w:r w:rsidR="00497CF6" w:rsidRPr="00497CF6">
        <w:rPr>
          <w:rFonts w:ascii="Verdana" w:eastAsia="Malgun Gothic" w:hAnsi="Verdana" w:cs="Arial"/>
          <w:sz w:val="18"/>
          <w:szCs w:val="18"/>
          <w:lang w:val="el-GR"/>
        </w:rPr>
        <w:t>2016 και μετέπειτα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έτος αναφοράς είναι το 2015=100</w:t>
      </w:r>
      <w:r w:rsidR="00040D50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CFF880" w14:textId="77777777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435E38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435E38">
      <w:pPr>
        <w:tabs>
          <w:tab w:val="left" w:pos="36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87B9B00" w14:textId="5411BA16" w:rsidR="00B06FC6" w:rsidRPr="009B041C" w:rsidRDefault="00297A13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297A13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 ανάλυσης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και μετέπειτα, ο ΔΤΚ υπολογίζεται και δημοσιεύεται βάσει της ταξινόμησης ECOICOP ακολουθώντας σχετικό κανονισμό της Ευρωπαϊκής Ένωσης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297A13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ECOICOP που χρησιμοποιείται στον ΔΤΚ είναι τα πέντε ψηφία ανάλυσης</w:t>
      </w:r>
      <w:r w:rsidR="00A7165E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00108D" w14:textId="77777777" w:rsidR="00297A13" w:rsidRPr="009B041C" w:rsidRDefault="00297A13" w:rsidP="00435E38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435E38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4D77D3F7" w:rsidR="006022B5" w:rsidRPr="00497CF6" w:rsidRDefault="006022B5" w:rsidP="00435E38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541640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541640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19C4F4E" w14:textId="77777777" w:rsidR="005F3E17" w:rsidRDefault="005F3E17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78CC6F2" w14:textId="77777777" w:rsidR="006F749E" w:rsidRPr="00E21D72" w:rsidRDefault="006F749E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10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77777777" w:rsidR="006022B5" w:rsidRPr="00E21D72" w:rsidRDefault="001746E5" w:rsidP="006022B5">
      <w:pPr>
        <w:rPr>
          <w:rFonts w:ascii="Verdana" w:hAnsi="Verdana"/>
          <w:sz w:val="18"/>
          <w:szCs w:val="18"/>
          <w:lang w:val="el-GR"/>
        </w:rPr>
      </w:pPr>
      <w:hyperlink r:id="rId11" w:history="1"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="006022B5"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217E8B4C" w14:textId="77777777" w:rsidR="006022B5" w:rsidRPr="00E21D72" w:rsidRDefault="001746E5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2" w:tooltip="Μεθοδολογικές Πληροφορίες" w:history="1">
        <w:r w:rsidR="006022B5"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4DC948E9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6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 Τηλ:+3572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3" w:history="1"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svikis</w:t>
        </w:r>
        <w:proofErr w:type="spellEnd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</w:t>
        </w:r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cystat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  <w:proofErr w:type="spellEnd"/>
      </w:hyperlink>
    </w:p>
    <w:p w14:paraId="610A4C7F" w14:textId="04270B22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 Τηλ:+3572260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98384B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4" w:history="1"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kvoutouris</w:t>
        </w:r>
        <w:proofErr w:type="spellEnd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</w:t>
        </w:r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cystat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  <w:proofErr w:type="spellEnd"/>
      </w:hyperlink>
    </w:p>
    <w:p w14:paraId="5EC9F783" w14:textId="5C996C7C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Φίλιππος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Κακούτσης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 Τηλ:+3572260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435E38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5" w:history="1"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fkakoutsis</w:t>
        </w:r>
        <w:proofErr w:type="spellEnd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</w:t>
        </w:r>
        <w:proofErr w:type="spellStart"/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cystat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mof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gov</w:t>
        </w:r>
        <w:r w:rsidR="0098384B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,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cy</w:t>
        </w:r>
        <w:proofErr w:type="spellEnd"/>
      </w:hyperlink>
    </w:p>
    <w:bookmarkEnd w:id="6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ACE6E" w14:textId="77777777" w:rsidR="001746E5" w:rsidRDefault="001746E5" w:rsidP="00FB398F">
      <w:r>
        <w:separator/>
      </w:r>
    </w:p>
  </w:endnote>
  <w:endnote w:type="continuationSeparator" w:id="0">
    <w:p w14:paraId="030C9C29" w14:textId="77777777" w:rsidR="001746E5" w:rsidRDefault="001746E5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275969">
      <w:rPr>
        <w:noProof/>
      </w:rPr>
      <w:t>2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4CD8F" w14:textId="77777777" w:rsidR="004E4F42" w:rsidRPr="00C80D18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C80D18">
      <w:rPr>
        <w:rFonts w:ascii="Verdana" w:hAnsi="Verdana" w:cs="Arial"/>
        <w:sz w:val="16"/>
        <w:szCs w:val="16"/>
        <w:lang w:val="el-GR"/>
      </w:rPr>
      <w:t>Διεύθυνση: Μιχα</w:t>
    </w:r>
    <w:r w:rsidR="00FD5B5F" w:rsidRPr="00C80D18">
      <w:rPr>
        <w:rFonts w:ascii="Verdana" w:hAnsi="Verdana" w:cs="Arial"/>
        <w:sz w:val="16"/>
        <w:szCs w:val="16"/>
        <w:lang w:val="el-GR"/>
      </w:rPr>
      <w:t>ήλ</w:t>
    </w:r>
    <w:r w:rsidRPr="00C80D18">
      <w:rPr>
        <w:rFonts w:ascii="Verdana" w:hAnsi="Verdana" w:cs="Arial"/>
        <w:sz w:val="16"/>
        <w:szCs w:val="16"/>
        <w:lang w:val="el-GR"/>
      </w:rPr>
      <w:t xml:space="preserve"> </w:t>
    </w:r>
    <w:proofErr w:type="spellStart"/>
    <w:r w:rsidRPr="00C80D18">
      <w:rPr>
        <w:rFonts w:ascii="Verdana" w:hAnsi="Verdana" w:cs="Arial"/>
        <w:sz w:val="16"/>
        <w:szCs w:val="16"/>
        <w:lang w:val="el-GR"/>
      </w:rPr>
      <w:t>Καραολή</w:t>
    </w:r>
    <w:proofErr w:type="spellEnd"/>
    <w:r w:rsidRPr="00C80D18">
      <w:rPr>
        <w:rFonts w:ascii="Verdana" w:hAnsi="Verdana" w:cs="Arial"/>
        <w:sz w:val="16"/>
        <w:szCs w:val="16"/>
        <w:lang w:val="el-GR"/>
      </w:rPr>
      <w:t>, 1444 Λευκωσία, Κύπρος</w:t>
    </w:r>
  </w:p>
  <w:p w14:paraId="701EBEC3" w14:textId="55A438AE" w:rsidR="004E4F42" w:rsidRPr="00C80D18" w:rsidRDefault="004E4F42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de-DE"/>
      </w:rPr>
    </w:pPr>
    <w:proofErr w:type="spellStart"/>
    <w:r w:rsidRPr="00C80D18">
      <w:rPr>
        <w:rFonts w:ascii="Verdana" w:hAnsi="Verdana" w:cs="Arial"/>
        <w:sz w:val="16"/>
        <w:szCs w:val="16"/>
        <w:lang w:val="el-GR"/>
      </w:rPr>
      <w:t>Τηλ</w:t>
    </w:r>
    <w:proofErr w:type="spellEnd"/>
    <w:r w:rsidRPr="00C80D18">
      <w:rPr>
        <w:rFonts w:ascii="Verdana" w:hAnsi="Verdana" w:cs="Arial"/>
        <w:sz w:val="16"/>
        <w:szCs w:val="16"/>
        <w:lang w:val="el-GR"/>
      </w:rPr>
      <w:t xml:space="preserve">.: 22 602129, </w:t>
    </w:r>
    <w:proofErr w:type="spellStart"/>
    <w:r w:rsidR="00C80D18" w:rsidRPr="00C80D18">
      <w:rPr>
        <w:rFonts w:ascii="Verdana" w:hAnsi="Verdana" w:cs="Arial"/>
        <w:sz w:val="16"/>
        <w:szCs w:val="16"/>
        <w:lang w:val="el-GR"/>
      </w:rPr>
      <w:t>Ηλ</w:t>
    </w:r>
    <w:proofErr w:type="spellEnd"/>
    <w:r w:rsidR="00C80D18" w:rsidRPr="00C80D18">
      <w:rPr>
        <w:rFonts w:ascii="Verdana" w:hAnsi="Verdana" w:cs="Arial"/>
        <w:sz w:val="16"/>
        <w:szCs w:val="16"/>
        <w:lang w:val="el-GR"/>
      </w:rPr>
      <w:t xml:space="preserve">. </w:t>
    </w:r>
    <w:proofErr w:type="spellStart"/>
    <w:r w:rsidR="00C80D18" w:rsidRPr="00C80D18">
      <w:rPr>
        <w:rFonts w:ascii="Verdana" w:hAnsi="Verdana" w:cs="Arial"/>
        <w:sz w:val="16"/>
        <w:szCs w:val="16"/>
        <w:lang w:val="el-GR"/>
      </w:rPr>
      <w:t>Ταχ</w:t>
    </w:r>
    <w:proofErr w:type="spellEnd"/>
    <w:r w:rsidR="00C80D18" w:rsidRPr="00C80D18">
      <w:rPr>
        <w:rFonts w:ascii="Verdana" w:hAnsi="Verdana" w:cs="Arial"/>
        <w:sz w:val="16"/>
        <w:szCs w:val="16"/>
        <w:lang w:val="el-GR"/>
      </w:rPr>
      <w:t>.</w:t>
    </w:r>
    <w:r w:rsidRPr="00C80D18">
      <w:rPr>
        <w:rFonts w:ascii="Verdana" w:hAnsi="Verdana" w:cs="Arial"/>
        <w:sz w:val="16"/>
        <w:szCs w:val="16"/>
        <w:lang w:val="de-DE"/>
      </w:rPr>
      <w:t xml:space="preserve">: </w:t>
    </w:r>
    <w:hyperlink r:id="rId1" w:history="1">
      <w:r w:rsidRPr="00C80D18">
        <w:rPr>
          <w:rStyle w:val="Hyperlink"/>
          <w:rFonts w:ascii="Verdana" w:hAnsi="Verdana" w:cs="Arial"/>
          <w:sz w:val="16"/>
          <w:szCs w:val="16"/>
          <w:lang w:val="de-DE"/>
        </w:rPr>
        <w:t>enquiries@cystat.mof.gov.cy</w:t>
      </w:r>
    </w:hyperlink>
    <w:r w:rsidRPr="00C80D18">
      <w:rPr>
        <w:rFonts w:ascii="Verdana" w:hAnsi="Verdana" w:cs="Arial"/>
        <w:sz w:val="16"/>
        <w:szCs w:val="16"/>
        <w:lang w:val="de-DE"/>
      </w:rPr>
      <w:t xml:space="preserve">  </w:t>
    </w:r>
  </w:p>
  <w:p w14:paraId="66893A8B" w14:textId="2F721768" w:rsidR="004E4F42" w:rsidRPr="00C80D18" w:rsidRDefault="00C80D18" w:rsidP="000932CF">
    <w:pPr>
      <w:pStyle w:val="Footer"/>
      <w:tabs>
        <w:tab w:val="left" w:pos="4500"/>
      </w:tabs>
      <w:jc w:val="center"/>
      <w:rPr>
        <w:rFonts w:ascii="Verdana" w:hAnsi="Verdana" w:cs="Arial"/>
        <w:sz w:val="16"/>
        <w:szCs w:val="16"/>
        <w:lang w:val="el-GR"/>
      </w:rPr>
    </w:pPr>
    <w:r w:rsidRPr="00C80D18">
      <w:rPr>
        <w:rFonts w:ascii="Verdana" w:hAnsi="Verdana" w:cs="Arial"/>
        <w:sz w:val="16"/>
        <w:szCs w:val="16"/>
        <w:lang w:val="el-GR"/>
      </w:rPr>
      <w:t>Διαδικτυακή</w:t>
    </w:r>
    <w:r w:rsidRPr="00C80D18">
      <w:rPr>
        <w:rFonts w:ascii="Verdana" w:hAnsi="Verdana" w:cs="Arial"/>
        <w:sz w:val="16"/>
        <w:szCs w:val="16"/>
        <w:lang w:val="de-DE"/>
      </w:rPr>
      <w:t xml:space="preserve"> </w:t>
    </w:r>
    <w:r w:rsidRPr="00C80D18">
      <w:rPr>
        <w:rFonts w:ascii="Verdana" w:hAnsi="Verdana" w:cs="Arial"/>
        <w:sz w:val="16"/>
        <w:szCs w:val="16"/>
        <w:lang w:val="el-GR"/>
      </w:rPr>
      <w:t>Πύλη</w:t>
    </w:r>
    <w:r w:rsidR="004E4F42" w:rsidRPr="00C80D18">
      <w:rPr>
        <w:rFonts w:ascii="Verdana" w:hAnsi="Verdana" w:cs="Arial"/>
        <w:sz w:val="16"/>
        <w:szCs w:val="16"/>
        <w:lang w:val="el-GR"/>
      </w:rPr>
      <w:t xml:space="preserve">: </w:t>
    </w:r>
    <w:hyperlink r:id="rId2" w:history="1">
      <w:r w:rsidR="004E4F42" w:rsidRPr="00C80D18">
        <w:rPr>
          <w:rStyle w:val="Hyperlink"/>
          <w:rFonts w:ascii="Verdana" w:hAnsi="Verdana" w:cs="Arial"/>
          <w:sz w:val="16"/>
          <w:szCs w:val="16"/>
        </w:rPr>
        <w:t>http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://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www</w:t>
      </w:r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proofErr w:type="spellStart"/>
      <w:r w:rsidR="004E4F42" w:rsidRPr="00C80D18">
        <w:rPr>
          <w:rStyle w:val="Hyperlink"/>
          <w:rFonts w:ascii="Verdana" w:hAnsi="Verdana" w:cs="Arial"/>
          <w:sz w:val="16"/>
          <w:szCs w:val="16"/>
        </w:rPr>
        <w:t>cystat</w:t>
      </w:r>
      <w:proofErr w:type="spellEnd"/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proofErr w:type="spellStart"/>
      <w:r w:rsidR="004E4F42" w:rsidRPr="00C80D18">
        <w:rPr>
          <w:rStyle w:val="Hyperlink"/>
          <w:rFonts w:ascii="Verdana" w:hAnsi="Verdana" w:cs="Arial"/>
          <w:sz w:val="16"/>
          <w:szCs w:val="16"/>
        </w:rPr>
        <w:t>gov</w:t>
      </w:r>
      <w:proofErr w:type="spellEnd"/>
      <w:r w:rsidR="004E4F42" w:rsidRPr="00C80D18">
        <w:rPr>
          <w:rStyle w:val="Hyperlink"/>
          <w:rFonts w:ascii="Verdana" w:hAnsi="Verdana" w:cs="Arial"/>
          <w:sz w:val="16"/>
          <w:szCs w:val="16"/>
          <w:lang w:val="el-GR"/>
        </w:rPr>
        <w:t>.</w:t>
      </w:r>
      <w:r w:rsidR="004E4F42" w:rsidRPr="00C80D18">
        <w:rPr>
          <w:rStyle w:val="Hyperlink"/>
          <w:rFonts w:ascii="Verdana" w:hAnsi="Verdana" w:cs="Arial"/>
          <w:sz w:val="16"/>
          <w:szCs w:val="16"/>
        </w:rPr>
        <w:t>cy</w:t>
      </w:r>
    </w:hyperlink>
    <w:r w:rsidR="004E4F42" w:rsidRPr="00C80D18">
      <w:rPr>
        <w:rFonts w:ascii="Verdana" w:hAnsi="Verdana" w:cs="Arial"/>
        <w:sz w:val="16"/>
        <w:szCs w:val="16"/>
        <w:lang w:val="el-G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A3808" w14:textId="77777777" w:rsidR="001746E5" w:rsidRDefault="001746E5" w:rsidP="00FB398F">
      <w:r>
        <w:separator/>
      </w:r>
    </w:p>
  </w:footnote>
  <w:footnote w:type="continuationSeparator" w:id="0">
    <w:p w14:paraId="174C4FD0" w14:textId="77777777" w:rsidR="001746E5" w:rsidRDefault="001746E5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  <w:lang w:val="en-GB" w:eastAsia="en-GB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44F792A">
              <wp:simplePos x="0" y="0"/>
              <wp:positionH relativeFrom="column">
                <wp:posOffset>4090035</wp:posOffset>
              </wp:positionH>
              <wp:positionV relativeFrom="paragraph">
                <wp:posOffset>102870</wp:posOffset>
              </wp:positionV>
              <wp:extent cx="1895475" cy="438150"/>
              <wp:effectExtent l="0" t="0" r="9525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54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 ΥΠΗΡΕΣΙΑ</w:t>
                          </w:r>
                          <w:r w:rsidRPr="00C80D18"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7F363AC1" w14:textId="77777777" w:rsidR="004E4F42" w:rsidRPr="00C80D18" w:rsidRDefault="004E4F42" w:rsidP="00C80D18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  <w:sz w:val="20"/>
                              <w:szCs w:val="20"/>
                            </w:rPr>
                          </w:pPr>
                          <w:r w:rsidRPr="00C80D18">
                            <w:rPr>
                              <w:rFonts w:ascii="Verdana" w:hAnsi="Verdana" w:cs="Arial"/>
                              <w:bCs/>
                              <w:sz w:val="20"/>
                              <w:szCs w:val="20"/>
                            </w:rPr>
                            <w:t>1444 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B35A09" id="Text Box 16" o:spid="_x0000_s1028" type="#_x0000_t202" style="position:absolute;margin-left:322.05pt;margin-top:8.1pt;width:149.2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" stroked="f">
              <v:textbox>
                <w:txbxContent>
                  <w:p w14:paraId="505F9DD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/>
                        <w:bCs/>
                        <w:sz w:val="20"/>
                        <w:szCs w:val="20"/>
                      </w:rPr>
                      <w:t>ΣΤΑΤΙΣΤΙΚΗ ΥΠΗΡΕΣΙΑ</w:t>
                    </w:r>
                    <w:r w:rsidRPr="00C80D18"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  <w:t xml:space="preserve">  </w:t>
                    </w:r>
                  </w:p>
                  <w:p w14:paraId="7F363AC1" w14:textId="77777777" w:rsidR="004E4F42" w:rsidRPr="00C80D18" w:rsidRDefault="004E4F42" w:rsidP="00C80D18">
                    <w:pPr>
                      <w:jc w:val="center"/>
                      <w:rPr>
                        <w:rFonts w:ascii="Verdana" w:hAnsi="Verdana" w:cs="Arial"/>
                        <w:b/>
                        <w:sz w:val="20"/>
                        <w:szCs w:val="20"/>
                      </w:rPr>
                    </w:pPr>
                    <w:r w:rsidRPr="00C80D18">
                      <w:rPr>
                        <w:rFonts w:ascii="Verdana" w:hAnsi="Verdana" w:cs="Arial"/>
                        <w:bCs/>
                        <w:sz w:val="20"/>
                        <w:szCs w:val="20"/>
                      </w:rPr>
                      <w:t>1444 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1C983FD7" w:rsidR="004E4F42" w:rsidRPr="00C80D18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Verdana" w:hAnsi="Verdana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</w:t>
    </w:r>
    <w:r w:rsidRPr="00C80D18">
      <w:rPr>
        <w:rFonts w:ascii="Verdana" w:hAnsi="Verdana" w:cs="Arial"/>
        <w:bCs/>
        <w:sz w:val="20"/>
        <w:szCs w:val="20"/>
      </w:rPr>
      <w:t>ΚΥΠΡΙΑΚΗ ΔΗΜΟΚΡΑΤΙΑ</w:t>
    </w:r>
    <w:r w:rsidRPr="00C80D18">
      <w:rPr>
        <w:rFonts w:ascii="Verdana" w:hAnsi="Verdana"/>
        <w:b/>
        <w:bCs/>
        <w:sz w:val="20"/>
        <w:szCs w:val="20"/>
        <w:lang w:val="en-US"/>
      </w:rPr>
      <w:t xml:space="preserve"> </w:t>
    </w:r>
    <w:r w:rsidRPr="00C80D18">
      <w:rPr>
        <w:rFonts w:ascii="Verdana" w:hAnsi="Verdana"/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8F"/>
    <w:rsid w:val="000018D0"/>
    <w:rsid w:val="00002458"/>
    <w:rsid w:val="0000542E"/>
    <w:rsid w:val="0000572F"/>
    <w:rsid w:val="00011A54"/>
    <w:rsid w:val="00011A59"/>
    <w:rsid w:val="00013AF3"/>
    <w:rsid w:val="00013E40"/>
    <w:rsid w:val="0001436B"/>
    <w:rsid w:val="000161B1"/>
    <w:rsid w:val="00017447"/>
    <w:rsid w:val="00023312"/>
    <w:rsid w:val="0002394B"/>
    <w:rsid w:val="00023CEB"/>
    <w:rsid w:val="00024180"/>
    <w:rsid w:val="00025498"/>
    <w:rsid w:val="00025A39"/>
    <w:rsid w:val="00026B18"/>
    <w:rsid w:val="00027853"/>
    <w:rsid w:val="00027FDE"/>
    <w:rsid w:val="00030E18"/>
    <w:rsid w:val="00031D32"/>
    <w:rsid w:val="000323E4"/>
    <w:rsid w:val="00032B89"/>
    <w:rsid w:val="00034088"/>
    <w:rsid w:val="0003590E"/>
    <w:rsid w:val="0003603D"/>
    <w:rsid w:val="00037999"/>
    <w:rsid w:val="00040319"/>
    <w:rsid w:val="00040D50"/>
    <w:rsid w:val="00042925"/>
    <w:rsid w:val="0004388D"/>
    <w:rsid w:val="000446A6"/>
    <w:rsid w:val="00045088"/>
    <w:rsid w:val="00045A06"/>
    <w:rsid w:val="00050391"/>
    <w:rsid w:val="00051603"/>
    <w:rsid w:val="00052D7F"/>
    <w:rsid w:val="00055291"/>
    <w:rsid w:val="000563D3"/>
    <w:rsid w:val="00057E44"/>
    <w:rsid w:val="00061299"/>
    <w:rsid w:val="000617D1"/>
    <w:rsid w:val="0006192B"/>
    <w:rsid w:val="000623EA"/>
    <w:rsid w:val="00062BC7"/>
    <w:rsid w:val="0006328F"/>
    <w:rsid w:val="00070576"/>
    <w:rsid w:val="00071169"/>
    <w:rsid w:val="00075278"/>
    <w:rsid w:val="000752BB"/>
    <w:rsid w:val="0007536D"/>
    <w:rsid w:val="000757DC"/>
    <w:rsid w:val="00075B75"/>
    <w:rsid w:val="00076629"/>
    <w:rsid w:val="00081ADF"/>
    <w:rsid w:val="00082072"/>
    <w:rsid w:val="00082B42"/>
    <w:rsid w:val="0008371A"/>
    <w:rsid w:val="00083B45"/>
    <w:rsid w:val="00083C14"/>
    <w:rsid w:val="00084A02"/>
    <w:rsid w:val="00084BF7"/>
    <w:rsid w:val="00085368"/>
    <w:rsid w:val="00085B1F"/>
    <w:rsid w:val="000870E9"/>
    <w:rsid w:val="0008778C"/>
    <w:rsid w:val="00087B3C"/>
    <w:rsid w:val="00091CF5"/>
    <w:rsid w:val="0009301B"/>
    <w:rsid w:val="000932CF"/>
    <w:rsid w:val="00096ED8"/>
    <w:rsid w:val="000A1A88"/>
    <w:rsid w:val="000A2B5C"/>
    <w:rsid w:val="000A3601"/>
    <w:rsid w:val="000A50D8"/>
    <w:rsid w:val="000A6747"/>
    <w:rsid w:val="000A6FA8"/>
    <w:rsid w:val="000B0180"/>
    <w:rsid w:val="000B2DD0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D7736"/>
    <w:rsid w:val="000E027A"/>
    <w:rsid w:val="000E24B1"/>
    <w:rsid w:val="000E2735"/>
    <w:rsid w:val="000E32D6"/>
    <w:rsid w:val="000E4932"/>
    <w:rsid w:val="000E4CB0"/>
    <w:rsid w:val="000E57F2"/>
    <w:rsid w:val="000E5D96"/>
    <w:rsid w:val="000E63DB"/>
    <w:rsid w:val="000E72A7"/>
    <w:rsid w:val="000F1162"/>
    <w:rsid w:val="000F121F"/>
    <w:rsid w:val="000F3467"/>
    <w:rsid w:val="000F38DE"/>
    <w:rsid w:val="000F448C"/>
    <w:rsid w:val="000F4BC8"/>
    <w:rsid w:val="000F532A"/>
    <w:rsid w:val="000F5D6C"/>
    <w:rsid w:val="00102921"/>
    <w:rsid w:val="00105543"/>
    <w:rsid w:val="0010612E"/>
    <w:rsid w:val="00106852"/>
    <w:rsid w:val="001079D8"/>
    <w:rsid w:val="00110F9D"/>
    <w:rsid w:val="00111708"/>
    <w:rsid w:val="00114A67"/>
    <w:rsid w:val="001157E4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12A0"/>
    <w:rsid w:val="00142C02"/>
    <w:rsid w:val="00147887"/>
    <w:rsid w:val="001510F4"/>
    <w:rsid w:val="0015118B"/>
    <w:rsid w:val="001519CE"/>
    <w:rsid w:val="001547F3"/>
    <w:rsid w:val="00160D4C"/>
    <w:rsid w:val="0016172E"/>
    <w:rsid w:val="00161CF3"/>
    <w:rsid w:val="00162C00"/>
    <w:rsid w:val="001639EF"/>
    <w:rsid w:val="0016589F"/>
    <w:rsid w:val="001708CE"/>
    <w:rsid w:val="001712CF"/>
    <w:rsid w:val="001746E5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05E"/>
    <w:rsid w:val="00195540"/>
    <w:rsid w:val="00196A7C"/>
    <w:rsid w:val="001A1907"/>
    <w:rsid w:val="001A2018"/>
    <w:rsid w:val="001A3D5D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4ABB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1C7F"/>
    <w:rsid w:val="001D20A4"/>
    <w:rsid w:val="001D3C3A"/>
    <w:rsid w:val="001D4E16"/>
    <w:rsid w:val="001D6079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0753"/>
    <w:rsid w:val="001F2779"/>
    <w:rsid w:val="0020309E"/>
    <w:rsid w:val="0020687D"/>
    <w:rsid w:val="0020742D"/>
    <w:rsid w:val="0020780D"/>
    <w:rsid w:val="002102CA"/>
    <w:rsid w:val="00210424"/>
    <w:rsid w:val="00210B58"/>
    <w:rsid w:val="002160C6"/>
    <w:rsid w:val="00216205"/>
    <w:rsid w:val="002179A1"/>
    <w:rsid w:val="00222423"/>
    <w:rsid w:val="00223AEE"/>
    <w:rsid w:val="002244CB"/>
    <w:rsid w:val="00225B28"/>
    <w:rsid w:val="00226891"/>
    <w:rsid w:val="00226B6C"/>
    <w:rsid w:val="00230D9B"/>
    <w:rsid w:val="002313AC"/>
    <w:rsid w:val="00231C0F"/>
    <w:rsid w:val="00233AD2"/>
    <w:rsid w:val="00233AD8"/>
    <w:rsid w:val="00233B46"/>
    <w:rsid w:val="002347EE"/>
    <w:rsid w:val="00235014"/>
    <w:rsid w:val="00235FB2"/>
    <w:rsid w:val="00237BC1"/>
    <w:rsid w:val="0024026B"/>
    <w:rsid w:val="002404FE"/>
    <w:rsid w:val="002418B1"/>
    <w:rsid w:val="002430B4"/>
    <w:rsid w:val="0024409E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3F8F"/>
    <w:rsid w:val="0025560F"/>
    <w:rsid w:val="0025566D"/>
    <w:rsid w:val="002558D3"/>
    <w:rsid w:val="0025595C"/>
    <w:rsid w:val="0025622C"/>
    <w:rsid w:val="002567C4"/>
    <w:rsid w:val="00257149"/>
    <w:rsid w:val="002576D0"/>
    <w:rsid w:val="002576E7"/>
    <w:rsid w:val="00260357"/>
    <w:rsid w:val="00260410"/>
    <w:rsid w:val="00260BA5"/>
    <w:rsid w:val="002633F9"/>
    <w:rsid w:val="002635DE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75969"/>
    <w:rsid w:val="002809B9"/>
    <w:rsid w:val="00281B90"/>
    <w:rsid w:val="0028338F"/>
    <w:rsid w:val="002915C4"/>
    <w:rsid w:val="00297A13"/>
    <w:rsid w:val="00297E6B"/>
    <w:rsid w:val="002A1D1C"/>
    <w:rsid w:val="002A28D1"/>
    <w:rsid w:val="002A4D64"/>
    <w:rsid w:val="002A6A70"/>
    <w:rsid w:val="002A7893"/>
    <w:rsid w:val="002B03CE"/>
    <w:rsid w:val="002B070B"/>
    <w:rsid w:val="002B0C0E"/>
    <w:rsid w:val="002B34BE"/>
    <w:rsid w:val="002B3BB5"/>
    <w:rsid w:val="002B4969"/>
    <w:rsid w:val="002B6554"/>
    <w:rsid w:val="002B7065"/>
    <w:rsid w:val="002C045C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E50E7"/>
    <w:rsid w:val="002F400C"/>
    <w:rsid w:val="002F4D76"/>
    <w:rsid w:val="002F5806"/>
    <w:rsid w:val="002F6D26"/>
    <w:rsid w:val="0030107C"/>
    <w:rsid w:val="0030231E"/>
    <w:rsid w:val="003042C4"/>
    <w:rsid w:val="003043DA"/>
    <w:rsid w:val="00304CB4"/>
    <w:rsid w:val="00304D9F"/>
    <w:rsid w:val="00305B05"/>
    <w:rsid w:val="00305D99"/>
    <w:rsid w:val="00306076"/>
    <w:rsid w:val="00313F37"/>
    <w:rsid w:val="003141D0"/>
    <w:rsid w:val="003145E8"/>
    <w:rsid w:val="003149D9"/>
    <w:rsid w:val="00315D54"/>
    <w:rsid w:val="003168C1"/>
    <w:rsid w:val="00317671"/>
    <w:rsid w:val="0032215D"/>
    <w:rsid w:val="00322EC7"/>
    <w:rsid w:val="00322FBE"/>
    <w:rsid w:val="00325632"/>
    <w:rsid w:val="00327549"/>
    <w:rsid w:val="00327654"/>
    <w:rsid w:val="003337C1"/>
    <w:rsid w:val="003342A5"/>
    <w:rsid w:val="00334616"/>
    <w:rsid w:val="00336BA7"/>
    <w:rsid w:val="00336C36"/>
    <w:rsid w:val="00336F31"/>
    <w:rsid w:val="0034293A"/>
    <w:rsid w:val="00343815"/>
    <w:rsid w:val="00344666"/>
    <w:rsid w:val="0034705B"/>
    <w:rsid w:val="00347874"/>
    <w:rsid w:val="003478C2"/>
    <w:rsid w:val="003522BB"/>
    <w:rsid w:val="003523C8"/>
    <w:rsid w:val="00352F6C"/>
    <w:rsid w:val="003556EA"/>
    <w:rsid w:val="00355D6D"/>
    <w:rsid w:val="00356FCC"/>
    <w:rsid w:val="00356FDC"/>
    <w:rsid w:val="003570D2"/>
    <w:rsid w:val="003600FA"/>
    <w:rsid w:val="00360B5F"/>
    <w:rsid w:val="00364589"/>
    <w:rsid w:val="00364682"/>
    <w:rsid w:val="00364824"/>
    <w:rsid w:val="003649FD"/>
    <w:rsid w:val="003652ED"/>
    <w:rsid w:val="00365488"/>
    <w:rsid w:val="0037080F"/>
    <w:rsid w:val="00370C47"/>
    <w:rsid w:val="00380663"/>
    <w:rsid w:val="00382E07"/>
    <w:rsid w:val="00386FC7"/>
    <w:rsid w:val="00390A32"/>
    <w:rsid w:val="0039267A"/>
    <w:rsid w:val="00392EF0"/>
    <w:rsid w:val="00393A18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3392"/>
    <w:rsid w:val="003B4608"/>
    <w:rsid w:val="003B7CDB"/>
    <w:rsid w:val="003C2392"/>
    <w:rsid w:val="003C3B5F"/>
    <w:rsid w:val="003C4990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2D1A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E628B"/>
    <w:rsid w:val="003F28F9"/>
    <w:rsid w:val="003F49E4"/>
    <w:rsid w:val="003F4CB3"/>
    <w:rsid w:val="003F4D2F"/>
    <w:rsid w:val="003F5E32"/>
    <w:rsid w:val="003F75F6"/>
    <w:rsid w:val="00404469"/>
    <w:rsid w:val="00404670"/>
    <w:rsid w:val="00405220"/>
    <w:rsid w:val="00405853"/>
    <w:rsid w:val="00410B86"/>
    <w:rsid w:val="004110E8"/>
    <w:rsid w:val="00414CA0"/>
    <w:rsid w:val="004164A3"/>
    <w:rsid w:val="00422F54"/>
    <w:rsid w:val="0042304A"/>
    <w:rsid w:val="00426606"/>
    <w:rsid w:val="004274CA"/>
    <w:rsid w:val="004278F5"/>
    <w:rsid w:val="0043001A"/>
    <w:rsid w:val="00431516"/>
    <w:rsid w:val="00435E38"/>
    <w:rsid w:val="00436099"/>
    <w:rsid w:val="004361B3"/>
    <w:rsid w:val="0044249D"/>
    <w:rsid w:val="0044379F"/>
    <w:rsid w:val="00444855"/>
    <w:rsid w:val="00444FCC"/>
    <w:rsid w:val="00446FB1"/>
    <w:rsid w:val="00452753"/>
    <w:rsid w:val="00452DF7"/>
    <w:rsid w:val="00453E42"/>
    <w:rsid w:val="00455525"/>
    <w:rsid w:val="004578DA"/>
    <w:rsid w:val="00460761"/>
    <w:rsid w:val="0046078F"/>
    <w:rsid w:val="00463214"/>
    <w:rsid w:val="00463B77"/>
    <w:rsid w:val="0046434D"/>
    <w:rsid w:val="004656FA"/>
    <w:rsid w:val="00465B21"/>
    <w:rsid w:val="004677C3"/>
    <w:rsid w:val="00467D59"/>
    <w:rsid w:val="00470E2D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97CF6"/>
    <w:rsid w:val="004A11EF"/>
    <w:rsid w:val="004A2850"/>
    <w:rsid w:val="004A3E44"/>
    <w:rsid w:val="004A5205"/>
    <w:rsid w:val="004A5A89"/>
    <w:rsid w:val="004A608E"/>
    <w:rsid w:val="004A7117"/>
    <w:rsid w:val="004B1104"/>
    <w:rsid w:val="004B2018"/>
    <w:rsid w:val="004B23FD"/>
    <w:rsid w:val="004B286D"/>
    <w:rsid w:val="004B2896"/>
    <w:rsid w:val="004B38E9"/>
    <w:rsid w:val="004B3C1B"/>
    <w:rsid w:val="004B3FBA"/>
    <w:rsid w:val="004B5321"/>
    <w:rsid w:val="004B6599"/>
    <w:rsid w:val="004C2058"/>
    <w:rsid w:val="004C2110"/>
    <w:rsid w:val="004C3385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101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137BD"/>
    <w:rsid w:val="00527CDB"/>
    <w:rsid w:val="00530D25"/>
    <w:rsid w:val="00530D3A"/>
    <w:rsid w:val="005339AA"/>
    <w:rsid w:val="005341C9"/>
    <w:rsid w:val="00535337"/>
    <w:rsid w:val="005369CA"/>
    <w:rsid w:val="00536DE9"/>
    <w:rsid w:val="00541640"/>
    <w:rsid w:val="00541DEB"/>
    <w:rsid w:val="00541E08"/>
    <w:rsid w:val="00542330"/>
    <w:rsid w:val="005430FA"/>
    <w:rsid w:val="00543942"/>
    <w:rsid w:val="00543F41"/>
    <w:rsid w:val="00552E95"/>
    <w:rsid w:val="00554FE0"/>
    <w:rsid w:val="00555A9F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76A38"/>
    <w:rsid w:val="005808AB"/>
    <w:rsid w:val="00582855"/>
    <w:rsid w:val="00582C86"/>
    <w:rsid w:val="0059136C"/>
    <w:rsid w:val="0059435E"/>
    <w:rsid w:val="005945E1"/>
    <w:rsid w:val="0059585B"/>
    <w:rsid w:val="005978D4"/>
    <w:rsid w:val="005A23FA"/>
    <w:rsid w:val="005A2B85"/>
    <w:rsid w:val="005A2F66"/>
    <w:rsid w:val="005A54FD"/>
    <w:rsid w:val="005A60BB"/>
    <w:rsid w:val="005A6BBB"/>
    <w:rsid w:val="005B2A67"/>
    <w:rsid w:val="005B33E2"/>
    <w:rsid w:val="005B3DCD"/>
    <w:rsid w:val="005B4AD4"/>
    <w:rsid w:val="005B55A8"/>
    <w:rsid w:val="005B77A5"/>
    <w:rsid w:val="005C08E4"/>
    <w:rsid w:val="005C26D5"/>
    <w:rsid w:val="005C2798"/>
    <w:rsid w:val="005C36C3"/>
    <w:rsid w:val="005C56EE"/>
    <w:rsid w:val="005C7E42"/>
    <w:rsid w:val="005D1714"/>
    <w:rsid w:val="005D3A2C"/>
    <w:rsid w:val="005D5F35"/>
    <w:rsid w:val="005D6F71"/>
    <w:rsid w:val="005D7638"/>
    <w:rsid w:val="005E2BDE"/>
    <w:rsid w:val="005E3D8C"/>
    <w:rsid w:val="005E5CFB"/>
    <w:rsid w:val="005F111D"/>
    <w:rsid w:val="005F12F5"/>
    <w:rsid w:val="005F3E17"/>
    <w:rsid w:val="005F4185"/>
    <w:rsid w:val="005F6179"/>
    <w:rsid w:val="005F7955"/>
    <w:rsid w:val="005F7A2C"/>
    <w:rsid w:val="005F7C7D"/>
    <w:rsid w:val="00601CF7"/>
    <w:rsid w:val="006022B5"/>
    <w:rsid w:val="00602633"/>
    <w:rsid w:val="006044B7"/>
    <w:rsid w:val="00605F73"/>
    <w:rsid w:val="00606558"/>
    <w:rsid w:val="006071CE"/>
    <w:rsid w:val="006075B5"/>
    <w:rsid w:val="006075EB"/>
    <w:rsid w:val="0061018C"/>
    <w:rsid w:val="0061094E"/>
    <w:rsid w:val="00613440"/>
    <w:rsid w:val="00613BE3"/>
    <w:rsid w:val="006147E4"/>
    <w:rsid w:val="00616E81"/>
    <w:rsid w:val="00622A9F"/>
    <w:rsid w:val="0062327B"/>
    <w:rsid w:val="00624521"/>
    <w:rsid w:val="00626C5E"/>
    <w:rsid w:val="0062722A"/>
    <w:rsid w:val="006314AA"/>
    <w:rsid w:val="00632777"/>
    <w:rsid w:val="00633750"/>
    <w:rsid w:val="00634491"/>
    <w:rsid w:val="00635691"/>
    <w:rsid w:val="0063679C"/>
    <w:rsid w:val="00636C15"/>
    <w:rsid w:val="00637055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56571"/>
    <w:rsid w:val="00660714"/>
    <w:rsid w:val="00660862"/>
    <w:rsid w:val="00664A67"/>
    <w:rsid w:val="00664DE2"/>
    <w:rsid w:val="00667E07"/>
    <w:rsid w:val="00671785"/>
    <w:rsid w:val="00671907"/>
    <w:rsid w:val="00672BA9"/>
    <w:rsid w:val="00673005"/>
    <w:rsid w:val="00673C1C"/>
    <w:rsid w:val="00675B6E"/>
    <w:rsid w:val="00677AB6"/>
    <w:rsid w:val="006804BE"/>
    <w:rsid w:val="00680A4F"/>
    <w:rsid w:val="00680B85"/>
    <w:rsid w:val="0068434A"/>
    <w:rsid w:val="00684A8F"/>
    <w:rsid w:val="00687000"/>
    <w:rsid w:val="0069008E"/>
    <w:rsid w:val="006904EC"/>
    <w:rsid w:val="0069087E"/>
    <w:rsid w:val="00691311"/>
    <w:rsid w:val="006925C4"/>
    <w:rsid w:val="00694242"/>
    <w:rsid w:val="00694F03"/>
    <w:rsid w:val="006A02B7"/>
    <w:rsid w:val="006A4979"/>
    <w:rsid w:val="006A4BE4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6548"/>
    <w:rsid w:val="006E0E20"/>
    <w:rsid w:val="006E21FE"/>
    <w:rsid w:val="006E2D96"/>
    <w:rsid w:val="006E4256"/>
    <w:rsid w:val="006E4423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6F749E"/>
    <w:rsid w:val="00700DF0"/>
    <w:rsid w:val="00702F26"/>
    <w:rsid w:val="0070313E"/>
    <w:rsid w:val="00703799"/>
    <w:rsid w:val="00705C5C"/>
    <w:rsid w:val="00707F97"/>
    <w:rsid w:val="00711475"/>
    <w:rsid w:val="00716B5C"/>
    <w:rsid w:val="00721CD6"/>
    <w:rsid w:val="00723D60"/>
    <w:rsid w:val="0072548A"/>
    <w:rsid w:val="007277A6"/>
    <w:rsid w:val="007310AA"/>
    <w:rsid w:val="00731391"/>
    <w:rsid w:val="00733648"/>
    <w:rsid w:val="00740D3D"/>
    <w:rsid w:val="00740E93"/>
    <w:rsid w:val="007437AB"/>
    <w:rsid w:val="00743AF3"/>
    <w:rsid w:val="00745016"/>
    <w:rsid w:val="00745425"/>
    <w:rsid w:val="00745976"/>
    <w:rsid w:val="007469CD"/>
    <w:rsid w:val="00750AF4"/>
    <w:rsid w:val="0075340B"/>
    <w:rsid w:val="007534F8"/>
    <w:rsid w:val="007545AD"/>
    <w:rsid w:val="00761E3A"/>
    <w:rsid w:val="00763722"/>
    <w:rsid w:val="00763CC6"/>
    <w:rsid w:val="00764BC1"/>
    <w:rsid w:val="00765399"/>
    <w:rsid w:val="00765BDC"/>
    <w:rsid w:val="00770869"/>
    <w:rsid w:val="00771E19"/>
    <w:rsid w:val="0077314E"/>
    <w:rsid w:val="007738AA"/>
    <w:rsid w:val="00773A57"/>
    <w:rsid w:val="00774B42"/>
    <w:rsid w:val="00777375"/>
    <w:rsid w:val="00777AEB"/>
    <w:rsid w:val="00777FAE"/>
    <w:rsid w:val="00780720"/>
    <w:rsid w:val="007808C0"/>
    <w:rsid w:val="00780A62"/>
    <w:rsid w:val="00782524"/>
    <w:rsid w:val="00783241"/>
    <w:rsid w:val="00784BDC"/>
    <w:rsid w:val="007869EA"/>
    <w:rsid w:val="00787153"/>
    <w:rsid w:val="007874D2"/>
    <w:rsid w:val="0079129D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4795"/>
    <w:rsid w:val="007B55C9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4B8"/>
    <w:rsid w:val="007D37CB"/>
    <w:rsid w:val="007D398A"/>
    <w:rsid w:val="007D7212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99B"/>
    <w:rsid w:val="007E6DE2"/>
    <w:rsid w:val="007E6F47"/>
    <w:rsid w:val="007F07A9"/>
    <w:rsid w:val="007F30D6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07E64"/>
    <w:rsid w:val="008125E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3D0E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2197"/>
    <w:rsid w:val="00853132"/>
    <w:rsid w:val="008535C5"/>
    <w:rsid w:val="00853765"/>
    <w:rsid w:val="0085505A"/>
    <w:rsid w:val="0085516F"/>
    <w:rsid w:val="00857C02"/>
    <w:rsid w:val="00860B56"/>
    <w:rsid w:val="008620CD"/>
    <w:rsid w:val="00862AEA"/>
    <w:rsid w:val="00867186"/>
    <w:rsid w:val="00867400"/>
    <w:rsid w:val="00870A33"/>
    <w:rsid w:val="00870AF6"/>
    <w:rsid w:val="008755E8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879C6"/>
    <w:rsid w:val="008912AF"/>
    <w:rsid w:val="00892114"/>
    <w:rsid w:val="00892CB9"/>
    <w:rsid w:val="008935CB"/>
    <w:rsid w:val="00896155"/>
    <w:rsid w:val="008A2A17"/>
    <w:rsid w:val="008A36AE"/>
    <w:rsid w:val="008A42BC"/>
    <w:rsid w:val="008B0E7E"/>
    <w:rsid w:val="008B1495"/>
    <w:rsid w:val="008B440D"/>
    <w:rsid w:val="008B4D55"/>
    <w:rsid w:val="008B65BD"/>
    <w:rsid w:val="008B7900"/>
    <w:rsid w:val="008C1D59"/>
    <w:rsid w:val="008C1D85"/>
    <w:rsid w:val="008C71BF"/>
    <w:rsid w:val="008C7FE0"/>
    <w:rsid w:val="008D33A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91E"/>
    <w:rsid w:val="008E6B4D"/>
    <w:rsid w:val="008E6BFF"/>
    <w:rsid w:val="008E6E54"/>
    <w:rsid w:val="008F21AF"/>
    <w:rsid w:val="008F2400"/>
    <w:rsid w:val="008F2CDE"/>
    <w:rsid w:val="008F2E04"/>
    <w:rsid w:val="008F61BA"/>
    <w:rsid w:val="008F6E3C"/>
    <w:rsid w:val="008F7BA8"/>
    <w:rsid w:val="008F7C55"/>
    <w:rsid w:val="00901BB2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1EDB"/>
    <w:rsid w:val="009431E2"/>
    <w:rsid w:val="00943296"/>
    <w:rsid w:val="00943C9C"/>
    <w:rsid w:val="009453BF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0FC"/>
    <w:rsid w:val="0096159A"/>
    <w:rsid w:val="00963A82"/>
    <w:rsid w:val="0096449F"/>
    <w:rsid w:val="00967E1D"/>
    <w:rsid w:val="00972912"/>
    <w:rsid w:val="00973BFC"/>
    <w:rsid w:val="009744B9"/>
    <w:rsid w:val="009763EE"/>
    <w:rsid w:val="00976D1F"/>
    <w:rsid w:val="00980612"/>
    <w:rsid w:val="00981C81"/>
    <w:rsid w:val="0098384B"/>
    <w:rsid w:val="00984CDB"/>
    <w:rsid w:val="0099059D"/>
    <w:rsid w:val="009913B3"/>
    <w:rsid w:val="00993825"/>
    <w:rsid w:val="00993EFA"/>
    <w:rsid w:val="0099447A"/>
    <w:rsid w:val="00995144"/>
    <w:rsid w:val="00996CDB"/>
    <w:rsid w:val="0099770C"/>
    <w:rsid w:val="00997963"/>
    <w:rsid w:val="009A0E18"/>
    <w:rsid w:val="009A2D24"/>
    <w:rsid w:val="009A2DF0"/>
    <w:rsid w:val="009A2F58"/>
    <w:rsid w:val="009A456C"/>
    <w:rsid w:val="009B00E0"/>
    <w:rsid w:val="009B041C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417"/>
    <w:rsid w:val="009D176E"/>
    <w:rsid w:val="009D2611"/>
    <w:rsid w:val="009D53D4"/>
    <w:rsid w:val="009D79D2"/>
    <w:rsid w:val="009E247C"/>
    <w:rsid w:val="009E31BA"/>
    <w:rsid w:val="009E72F4"/>
    <w:rsid w:val="009F0528"/>
    <w:rsid w:val="009F0806"/>
    <w:rsid w:val="009F0D96"/>
    <w:rsid w:val="009F19A7"/>
    <w:rsid w:val="009F1D8C"/>
    <w:rsid w:val="009F233B"/>
    <w:rsid w:val="009F3ABD"/>
    <w:rsid w:val="00A02426"/>
    <w:rsid w:val="00A05D16"/>
    <w:rsid w:val="00A0659F"/>
    <w:rsid w:val="00A079BA"/>
    <w:rsid w:val="00A07A8D"/>
    <w:rsid w:val="00A10411"/>
    <w:rsid w:val="00A1320A"/>
    <w:rsid w:val="00A13D14"/>
    <w:rsid w:val="00A14D7C"/>
    <w:rsid w:val="00A14E8C"/>
    <w:rsid w:val="00A15339"/>
    <w:rsid w:val="00A20C70"/>
    <w:rsid w:val="00A214BF"/>
    <w:rsid w:val="00A22E94"/>
    <w:rsid w:val="00A23F23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43222"/>
    <w:rsid w:val="00A468E8"/>
    <w:rsid w:val="00A51834"/>
    <w:rsid w:val="00A51972"/>
    <w:rsid w:val="00A544B7"/>
    <w:rsid w:val="00A60399"/>
    <w:rsid w:val="00A618CF"/>
    <w:rsid w:val="00A62770"/>
    <w:rsid w:val="00A62EEB"/>
    <w:rsid w:val="00A63680"/>
    <w:rsid w:val="00A646BC"/>
    <w:rsid w:val="00A65B57"/>
    <w:rsid w:val="00A65E61"/>
    <w:rsid w:val="00A660FF"/>
    <w:rsid w:val="00A6617C"/>
    <w:rsid w:val="00A7165E"/>
    <w:rsid w:val="00A7260D"/>
    <w:rsid w:val="00A72AA9"/>
    <w:rsid w:val="00A73395"/>
    <w:rsid w:val="00A766A2"/>
    <w:rsid w:val="00A76C44"/>
    <w:rsid w:val="00A771E3"/>
    <w:rsid w:val="00A77755"/>
    <w:rsid w:val="00A81068"/>
    <w:rsid w:val="00A82B4C"/>
    <w:rsid w:val="00A84905"/>
    <w:rsid w:val="00A854B1"/>
    <w:rsid w:val="00A912D0"/>
    <w:rsid w:val="00A913FF"/>
    <w:rsid w:val="00A935D3"/>
    <w:rsid w:val="00A93A4C"/>
    <w:rsid w:val="00A948D3"/>
    <w:rsid w:val="00A94D5D"/>
    <w:rsid w:val="00AA0DA2"/>
    <w:rsid w:val="00AA1B13"/>
    <w:rsid w:val="00AA1D9B"/>
    <w:rsid w:val="00AA2543"/>
    <w:rsid w:val="00AA3804"/>
    <w:rsid w:val="00AA4908"/>
    <w:rsid w:val="00AA55C2"/>
    <w:rsid w:val="00AA5EEC"/>
    <w:rsid w:val="00AA6832"/>
    <w:rsid w:val="00AB0ACA"/>
    <w:rsid w:val="00AB1D41"/>
    <w:rsid w:val="00AB3908"/>
    <w:rsid w:val="00AB3C36"/>
    <w:rsid w:val="00AB58D7"/>
    <w:rsid w:val="00AB62D1"/>
    <w:rsid w:val="00AC0D22"/>
    <w:rsid w:val="00AC3F63"/>
    <w:rsid w:val="00AC5E9A"/>
    <w:rsid w:val="00AC5F2D"/>
    <w:rsid w:val="00AC704B"/>
    <w:rsid w:val="00AD553E"/>
    <w:rsid w:val="00AD5848"/>
    <w:rsid w:val="00AE5284"/>
    <w:rsid w:val="00AE5ADA"/>
    <w:rsid w:val="00AE626B"/>
    <w:rsid w:val="00AE7486"/>
    <w:rsid w:val="00AF5050"/>
    <w:rsid w:val="00AF5EAF"/>
    <w:rsid w:val="00AF6145"/>
    <w:rsid w:val="00B01386"/>
    <w:rsid w:val="00B01648"/>
    <w:rsid w:val="00B016E5"/>
    <w:rsid w:val="00B017E7"/>
    <w:rsid w:val="00B01915"/>
    <w:rsid w:val="00B01BB5"/>
    <w:rsid w:val="00B026CC"/>
    <w:rsid w:val="00B03076"/>
    <w:rsid w:val="00B04115"/>
    <w:rsid w:val="00B04AF4"/>
    <w:rsid w:val="00B05214"/>
    <w:rsid w:val="00B06FC6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364B"/>
    <w:rsid w:val="00B350FC"/>
    <w:rsid w:val="00B359F9"/>
    <w:rsid w:val="00B35A7C"/>
    <w:rsid w:val="00B43CE3"/>
    <w:rsid w:val="00B442B0"/>
    <w:rsid w:val="00B448C6"/>
    <w:rsid w:val="00B44ECD"/>
    <w:rsid w:val="00B44F46"/>
    <w:rsid w:val="00B450D1"/>
    <w:rsid w:val="00B46080"/>
    <w:rsid w:val="00B50006"/>
    <w:rsid w:val="00B5134A"/>
    <w:rsid w:val="00B51935"/>
    <w:rsid w:val="00B51C1D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CC0"/>
    <w:rsid w:val="00B64FA1"/>
    <w:rsid w:val="00B668B0"/>
    <w:rsid w:val="00B70F5C"/>
    <w:rsid w:val="00B71574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605F"/>
    <w:rsid w:val="00BA68C6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1E44"/>
    <w:rsid w:val="00BF23BB"/>
    <w:rsid w:val="00BF2B1C"/>
    <w:rsid w:val="00BF33DD"/>
    <w:rsid w:val="00BF3D69"/>
    <w:rsid w:val="00BF5331"/>
    <w:rsid w:val="00BF5755"/>
    <w:rsid w:val="00BF684B"/>
    <w:rsid w:val="00C002F7"/>
    <w:rsid w:val="00C015F0"/>
    <w:rsid w:val="00C016F3"/>
    <w:rsid w:val="00C031BA"/>
    <w:rsid w:val="00C10A0F"/>
    <w:rsid w:val="00C13208"/>
    <w:rsid w:val="00C142AB"/>
    <w:rsid w:val="00C15193"/>
    <w:rsid w:val="00C15609"/>
    <w:rsid w:val="00C15A94"/>
    <w:rsid w:val="00C15F6A"/>
    <w:rsid w:val="00C17367"/>
    <w:rsid w:val="00C23EA7"/>
    <w:rsid w:val="00C256F3"/>
    <w:rsid w:val="00C270A2"/>
    <w:rsid w:val="00C30A3C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2DB4"/>
    <w:rsid w:val="00C454C2"/>
    <w:rsid w:val="00C45A9C"/>
    <w:rsid w:val="00C46780"/>
    <w:rsid w:val="00C469C1"/>
    <w:rsid w:val="00C50659"/>
    <w:rsid w:val="00C50CF2"/>
    <w:rsid w:val="00C51B39"/>
    <w:rsid w:val="00C52342"/>
    <w:rsid w:val="00C5338A"/>
    <w:rsid w:val="00C54C3B"/>
    <w:rsid w:val="00C54EF9"/>
    <w:rsid w:val="00C56BBF"/>
    <w:rsid w:val="00C572AA"/>
    <w:rsid w:val="00C57A9A"/>
    <w:rsid w:val="00C6016A"/>
    <w:rsid w:val="00C60B3F"/>
    <w:rsid w:val="00C614BC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188"/>
    <w:rsid w:val="00C733AA"/>
    <w:rsid w:val="00C775BE"/>
    <w:rsid w:val="00C77DC0"/>
    <w:rsid w:val="00C80D18"/>
    <w:rsid w:val="00C81A07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33E7"/>
    <w:rsid w:val="00C94262"/>
    <w:rsid w:val="00C94682"/>
    <w:rsid w:val="00C946A4"/>
    <w:rsid w:val="00C94A79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E4E16"/>
    <w:rsid w:val="00CE531A"/>
    <w:rsid w:val="00CF1F25"/>
    <w:rsid w:val="00CF3190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32F"/>
    <w:rsid w:val="00D14CDF"/>
    <w:rsid w:val="00D15FF1"/>
    <w:rsid w:val="00D167F4"/>
    <w:rsid w:val="00D2092A"/>
    <w:rsid w:val="00D21C85"/>
    <w:rsid w:val="00D2216D"/>
    <w:rsid w:val="00D23532"/>
    <w:rsid w:val="00D24FF8"/>
    <w:rsid w:val="00D31A6F"/>
    <w:rsid w:val="00D32F5D"/>
    <w:rsid w:val="00D353D1"/>
    <w:rsid w:val="00D364DC"/>
    <w:rsid w:val="00D367DB"/>
    <w:rsid w:val="00D36E05"/>
    <w:rsid w:val="00D370A7"/>
    <w:rsid w:val="00D4020F"/>
    <w:rsid w:val="00D40993"/>
    <w:rsid w:val="00D412D4"/>
    <w:rsid w:val="00D4245F"/>
    <w:rsid w:val="00D43FD3"/>
    <w:rsid w:val="00D4420D"/>
    <w:rsid w:val="00D44BB2"/>
    <w:rsid w:val="00D44F27"/>
    <w:rsid w:val="00D45304"/>
    <w:rsid w:val="00D4550C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6B64"/>
    <w:rsid w:val="00D57D3E"/>
    <w:rsid w:val="00D616AE"/>
    <w:rsid w:val="00D624AC"/>
    <w:rsid w:val="00D62C8A"/>
    <w:rsid w:val="00D644A0"/>
    <w:rsid w:val="00D646AC"/>
    <w:rsid w:val="00D703BD"/>
    <w:rsid w:val="00D712A6"/>
    <w:rsid w:val="00D76249"/>
    <w:rsid w:val="00D7643A"/>
    <w:rsid w:val="00D76618"/>
    <w:rsid w:val="00D80F1D"/>
    <w:rsid w:val="00D831A8"/>
    <w:rsid w:val="00D84234"/>
    <w:rsid w:val="00D84436"/>
    <w:rsid w:val="00D87367"/>
    <w:rsid w:val="00D87948"/>
    <w:rsid w:val="00D919E0"/>
    <w:rsid w:val="00D92EF5"/>
    <w:rsid w:val="00D962C8"/>
    <w:rsid w:val="00D966DE"/>
    <w:rsid w:val="00D96E33"/>
    <w:rsid w:val="00D97A7E"/>
    <w:rsid w:val="00DA3985"/>
    <w:rsid w:val="00DA497B"/>
    <w:rsid w:val="00DA54E5"/>
    <w:rsid w:val="00DA5768"/>
    <w:rsid w:val="00DA65EE"/>
    <w:rsid w:val="00DA696A"/>
    <w:rsid w:val="00DA703D"/>
    <w:rsid w:val="00DA7D12"/>
    <w:rsid w:val="00DB0CBE"/>
    <w:rsid w:val="00DB28E3"/>
    <w:rsid w:val="00DB3E07"/>
    <w:rsid w:val="00DC1908"/>
    <w:rsid w:val="00DC23CF"/>
    <w:rsid w:val="00DC2ABE"/>
    <w:rsid w:val="00DC51F3"/>
    <w:rsid w:val="00DC6562"/>
    <w:rsid w:val="00DC7611"/>
    <w:rsid w:val="00DD0DD1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3006"/>
    <w:rsid w:val="00E0468F"/>
    <w:rsid w:val="00E04F5E"/>
    <w:rsid w:val="00E051E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2DF2"/>
    <w:rsid w:val="00E4323D"/>
    <w:rsid w:val="00E436AC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3ED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06D0"/>
    <w:rsid w:val="00E7563E"/>
    <w:rsid w:val="00E75DC9"/>
    <w:rsid w:val="00E7669F"/>
    <w:rsid w:val="00E81610"/>
    <w:rsid w:val="00E82863"/>
    <w:rsid w:val="00E84910"/>
    <w:rsid w:val="00E85B28"/>
    <w:rsid w:val="00E87F1B"/>
    <w:rsid w:val="00E91976"/>
    <w:rsid w:val="00E93500"/>
    <w:rsid w:val="00E947A6"/>
    <w:rsid w:val="00E94C35"/>
    <w:rsid w:val="00E94D3D"/>
    <w:rsid w:val="00E96AE1"/>
    <w:rsid w:val="00E97FC7"/>
    <w:rsid w:val="00EA0690"/>
    <w:rsid w:val="00EA2FC3"/>
    <w:rsid w:val="00EA391D"/>
    <w:rsid w:val="00EA3956"/>
    <w:rsid w:val="00EA44EA"/>
    <w:rsid w:val="00EA49CE"/>
    <w:rsid w:val="00EA4C7B"/>
    <w:rsid w:val="00EA5BBC"/>
    <w:rsid w:val="00EA65E7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14CB"/>
    <w:rsid w:val="00EE35B6"/>
    <w:rsid w:val="00EE393D"/>
    <w:rsid w:val="00EE4A60"/>
    <w:rsid w:val="00EE4D17"/>
    <w:rsid w:val="00EF01CF"/>
    <w:rsid w:val="00EF1020"/>
    <w:rsid w:val="00EF27E5"/>
    <w:rsid w:val="00EF2D99"/>
    <w:rsid w:val="00EF6A47"/>
    <w:rsid w:val="00EF7AF9"/>
    <w:rsid w:val="00F000FF"/>
    <w:rsid w:val="00F00137"/>
    <w:rsid w:val="00F00952"/>
    <w:rsid w:val="00F01495"/>
    <w:rsid w:val="00F056E0"/>
    <w:rsid w:val="00F07913"/>
    <w:rsid w:val="00F07B9A"/>
    <w:rsid w:val="00F10138"/>
    <w:rsid w:val="00F111AB"/>
    <w:rsid w:val="00F11FEE"/>
    <w:rsid w:val="00F13540"/>
    <w:rsid w:val="00F13F92"/>
    <w:rsid w:val="00F1575B"/>
    <w:rsid w:val="00F1673D"/>
    <w:rsid w:val="00F17FE2"/>
    <w:rsid w:val="00F22ECA"/>
    <w:rsid w:val="00F23FB1"/>
    <w:rsid w:val="00F240E8"/>
    <w:rsid w:val="00F244FA"/>
    <w:rsid w:val="00F25C5F"/>
    <w:rsid w:val="00F260F0"/>
    <w:rsid w:val="00F271B1"/>
    <w:rsid w:val="00F31079"/>
    <w:rsid w:val="00F32C93"/>
    <w:rsid w:val="00F366A2"/>
    <w:rsid w:val="00F403D4"/>
    <w:rsid w:val="00F44F43"/>
    <w:rsid w:val="00F450E1"/>
    <w:rsid w:val="00F45D26"/>
    <w:rsid w:val="00F47CFD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39A7"/>
    <w:rsid w:val="00F86AD4"/>
    <w:rsid w:val="00F93032"/>
    <w:rsid w:val="00F95E96"/>
    <w:rsid w:val="00F97179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C79BC"/>
    <w:rsid w:val="00FD02E8"/>
    <w:rsid w:val="00FD2049"/>
    <w:rsid w:val="00FD2140"/>
    <w:rsid w:val="00FD2421"/>
    <w:rsid w:val="00FD5B5F"/>
    <w:rsid w:val="00FD5BDE"/>
    <w:rsid w:val="00FD68EC"/>
    <w:rsid w:val="00FD744F"/>
    <w:rsid w:val="00FE206E"/>
    <w:rsid w:val="00FE24A5"/>
    <w:rsid w:val="00FE261E"/>
    <w:rsid w:val="00FE31E5"/>
    <w:rsid w:val="00FE3F42"/>
    <w:rsid w:val="00FE6049"/>
    <w:rsid w:val="00FE7206"/>
    <w:rsid w:val="00FF0744"/>
    <w:rsid w:val="00FF18DE"/>
    <w:rsid w:val="00FF19AD"/>
    <w:rsid w:val="00FF1EB5"/>
    <w:rsid w:val="00FF2038"/>
    <w:rsid w:val="00FF292D"/>
    <w:rsid w:val="00FF298D"/>
    <w:rsid w:val="00FF4B55"/>
    <w:rsid w:val="00FF4D3B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06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6022B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customStyle="1" w:styleId="UnresolvedMention1">
    <w:name w:val="Unresolved Mention1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vikis@cystat.mof.gov.c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cystat.gov.cy/el/MethodologicalDetails?m=208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statdb.cystat.gov.cy/pxweb/el/8.CYSTAT-DB/8.CYSTAT-DB__Price%20Indices__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fkakoutsis@cystat.mof.gov.cy" TargetMode="External"/><Relationship Id="rId10" Type="http://schemas.openxmlformats.org/officeDocument/2006/relationships/hyperlink" Target="https://www.cystat.gov.cy/el/SubthemeStatistics?s=47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voutouris@cystat.mof.gov.c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stat.gov.cy" TargetMode="External"/><Relationship Id="rId1" Type="http://schemas.openxmlformats.org/officeDocument/2006/relationships/hyperlink" Target="mailto:enquiries@cystat.mof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40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C5FE7-F8A5-4EC5-BACF-2F35F478B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8301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Christos Papageorgiou</cp:lastModifiedBy>
  <cp:revision>162</cp:revision>
  <cp:lastPrinted>2025-08-07T08:20:00Z</cp:lastPrinted>
  <dcterms:created xsi:type="dcterms:W3CDTF">2025-02-06T10:37:00Z</dcterms:created>
  <dcterms:modified xsi:type="dcterms:W3CDTF">2025-09-04T08:34:00Z</dcterms:modified>
</cp:coreProperties>
</file>