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DOCUMENT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Document title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One-sentence subtitle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Document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Author or team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Internal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pPr>
        <w:pStyle w:val="Heading1"/>
      </w:pPr>
      <w:r>
        <w:t>01  Section heading</w:t>
      </w:r>
    </w:p>
    <w:p>
      <w:pPr>
        <w:pStyle w:val="Lead"/>
      </w:pPr>
      <w:r>
        <w:t>Lead paragraph — a thesis statement of one or two sentences that opens the section.</w:t>
      </w:r>
    </w:p>
    <w:p>
      <w:r>
        <w:t>Body paragraph. Replace this content with the document body.</w:t>
      </w:r>
    </w:p>
    <w:p>
      <w:pPr>
        <w:pStyle w:val="Heading2"/>
      </w:pPr>
      <w:r>
        <w:t>Subsection heading</w:t>
      </w:r>
    </w:p>
    <w:p>
      <w:r>
        <w:t>Body paragraph under the H2.</w:t>
      </w:r>
    </w:p>
    <w:p>
      <w:pPr>
        <w:pStyle w:val="CalloutDefault"/>
      </w:pPr>
      <w:r>
        <w:t>Callout body — used for rules, warnings, and editorial asides.</w:t>
      </w:r>
    </w:p>
    <w:p>
      <w:pPr>
        <w:pStyle w:val="CodeBlock"/>
      </w:pPr>
      <w:r>
        <w:t>Code block — used for command-line snippets, configuration, and file paths.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Hyderabad, India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INTERNAL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left"/>
      </w:tabs>
    </w:pPr>
    <w:r>
      <w:rPr>
        <w:rFonts w:ascii="Cascadia Mono" w:hAnsi="Cascadia Mono" w:cs="Cascadia Mono" w:eastAsia="Cascadia Mono"/>
        <w:color w:val="78716C"/>
        <w:sz w:val="17"/>
      </w:rPr>
    </w:r>
    <w:r>
      <w:rPr>
        <w:rFonts w:ascii="Cascadia Mono" w:hAnsi="Cascadia Mono" w:cs="Cascadia Mono" w:eastAsia="Cascadia Mono"/>
        <w:color w:val="78716C"/>
        <w:sz w:val="17"/>
      </w:rPr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