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 xml:space="preserve">— </w:t>
      </w:r>
      <w:r>
        <w:rPr>
          <w:rFonts w:ascii="Segoe UI Variable Text" w:hAnsi="Segoe UI Variable Text" w:cs="Segoe UI Variable Text" w:eastAsia="Segoe UI Variable Text"/>
          <w:b/>
          <w:color w:val="1C1917"/>
          <w:sz w:val="28"/>
        </w:rPr>
        <w:t>Deccan Fine Chemicals</w:t>
      </w:r>
    </w:p>
    <w:p/>
    <w:p/>
    <w:p/>
    <w:p/>
    <w:p>
      <w:r>
        <w:rPr>
          <w:rFonts w:ascii="Cascadia Mono" w:hAnsi="Cascadia Mono" w:cs="Cascadia Mono" w:eastAsia="Cascadia Mono"/>
          <w:b/>
          <w:color w:val="78716C"/>
          <w:sz w:val="18"/>
        </w:rPr>
        <w:t>SPECIFICATION</w:t>
      </w:r>
    </w:p>
    <w:p>
      <w:r>
        <w:rPr>
          <w:rFonts w:ascii="Segoe UI Variable Display" w:hAnsi="Segoe UI Variable Display" w:cs="Segoe UI Variable Display" w:eastAsia="Segoe UI Variable Display"/>
          <w:color w:val="164999"/>
          <w:sz w:val="88"/>
        </w:rPr>
        <w:t>Technical specification</w:t>
      </w:r>
    </w:p>
    <w:p>
      <w:r>
        <w:rPr>
          <w:rFonts w:ascii="Segoe UI Variable Text" w:hAnsi="Segoe UI Variable Text" w:cs="Segoe UI Variable Text" w:eastAsia="Segoe UI Variable Text"/>
          <w:color w:val="44403C"/>
          <w:sz w:val="32"/>
        </w:rPr>
        <w:t>System or process specification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DOCUMENT TYPE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PREPARED BY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DATE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VERSION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CLASSIFICATION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Specification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Engineering &amp; R&amp;D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Month YYYY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1.0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Confidential</w:t>
            </w:r>
          </w:p>
        </w:tc>
      </w:tr>
    </w:tbl>
    <w:p>
      <w:pPr>
        <w:sectPr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>
      <w:pPr>
        <w:pStyle w:val="Heading1"/>
      </w:pPr>
      <w:r>
        <w:t>01  Purpose and scope</w:t>
      </w:r>
    </w:p>
    <w:p>
      <w:pPr>
        <w:pStyle w:val="Lead"/>
      </w:pPr>
      <w:r>
        <w:t>What this specification covers and what it does not.</w:t>
      </w:r>
    </w:p>
    <w:p>
      <w:pPr>
        <w:pStyle w:val="Heading1"/>
      </w:pPr>
      <w:r>
        <w:t>02  References</w:t>
      </w:r>
    </w:p>
    <w:p>
      <w:r>
        <w:t>Standards, regulations, and internal documents this specification builds on.</w:t>
      </w:r>
    </w:p>
    <w:p>
      <w:pPr>
        <w:pStyle w:val="Heading1"/>
      </w:pPr>
      <w:r>
        <w:t>03  Definitions</w:t>
      </w:r>
    </w:p>
    <w:p>
      <w:r>
        <w:t>Terms used in this specification with non-obvious meaning.</w:t>
      </w:r>
    </w:p>
    <w:p>
      <w:pPr>
        <w:pStyle w:val="Heading1"/>
      </w:pPr>
      <w:r>
        <w:t>04  Requirements</w:t>
      </w:r>
    </w:p>
    <w:p>
      <w:r>
        <w:t>Numbered requirements. Each requirement is testable.</w:t>
      </w:r>
    </w:p>
    <w:p>
      <w:pPr>
        <w:pStyle w:val="Heading1"/>
      </w:pPr>
      <w:r>
        <w:t>05  Verification</w:t>
      </w:r>
    </w:p>
    <w:p>
      <w:r>
        <w:t>How each requirement is verified — test, analysis, inspection, demonstration.</w:t>
      </w:r>
    </w:p>
    <w:p>
      <w:pPr>
        <w:pStyle w:val="Heading1"/>
      </w:pPr>
      <w:r>
        <w:t>06  Revision history</w:t>
      </w:r>
    </w:p>
    <w:p>
      <w:r>
        <w:t>Version, date, author, summary of changes.</w:t>
      </w:r>
    </w:p>
    <w:p>
      <w:pPr>
        <w:sectPr>
          <w:footerReference w:type="default" r:id="rId9"/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/>
    <w:p/>
    <w:p/>
    <w:p/>
    <w:p/>
    <w:p/>
    <w:p/>
    <w:p/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C1917"/>
          <w:sz w:val="36"/>
        </w:rPr>
        <w:t>Deccan Fine Chemicals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>— — —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color w:val="78716C"/>
          <w:sz w:val="20"/>
        </w:rPr>
        <w:t>deccanchemicals.com · Engineering &amp; R&amp;D</w:t>
      </w:r>
    </w:p>
    <w:p>
      <w:pPr>
        <w:jc w:val="center"/>
      </w:pPr>
      <w:r>
        <w:rPr>
          <w:rFonts w:ascii="Cascadia Mono" w:hAnsi="Cascadia Mono" w:cs="Cascadia Mono" w:eastAsia="Cascadia Mono"/>
          <w:b/>
          <w:color w:val="78716C"/>
          <w:sz w:val="16"/>
        </w:rPr>
        <w:t>CONFIDENTIAL · INTERNAL USE</w:t>
      </w:r>
    </w:p>
    <w:sectPr w:rsidR="00FC693F" w:rsidRPr="0006063C" w:rsidSect="00034616">
      <w:footerReference w:type="default" r:id="rId10"/>
      <w:pgSz w:w="12240" w:h="15840"/>
      <w:pgMar w:top="1152" w:right="1152" w:bottom="1440" w:left="1152" w:header="720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scadia Mono" w:hAnsi="Cascadia Mono" w:cs="Cascadia Mono" w:eastAsia="Cascadia Mono"/>
        <w:color w:val="78716C"/>
        <w:sz w:val="17"/>
      </w:rPr>
      <w:t xml:space="preserve">Deccan Fine Chemicals · Confidential</w:t>
    </w:r>
    <w:r>
      <w:rPr>
        <w:rFonts w:ascii="Cascadia Mono" w:hAnsi="Cascadia Mono" w:cs="Cascadia Mono" w:eastAsia="Cascadia Mono"/>
        <w:color w:val="78716C"/>
        <w:sz w:val="17"/>
      </w:rPr>
      <w:tab/>
    </w:r>
    <w:r>
      <w:rPr>
        <w:rFonts w:ascii="Cascadia Mono" w:hAnsi="Cascadia Mono" w:cs="Cascadia Mono" w:eastAsia="Cascadia Mono"/>
        <w:color w:val="78716C"/>
        <w:sz w:val="17"/>
      </w:rPr>
      <w:fldChar w:fldCharType="begin"/>
    </w:r>
    <w:r>
      <w:rPr>
        <w:rFonts w:ascii="Cascadia Mono" w:hAnsi="Cascadia Mono" w:cs="Cascadia Mono" w:eastAsia="Cascadia Mono"/>
        <w:color w:val="78716C"/>
        <w:sz w:val="17"/>
      </w:rPr>
      <w:instrText xml:space="preserve"> PAGE </w:instrText>
    </w:r>
    <w:r>
      <w:rPr>
        <w:rFonts w:ascii="Cascadia Mono" w:hAnsi="Cascadia Mono" w:cs="Cascadia Mono" w:eastAsia="Cascadia Mono"/>
        <w:color w:val="78716C"/>
        <w:sz w:val="17"/>
      </w:rPr>
      <w:fldChar w:fldCharType="separate"/>
    </w:r>
    <w:r>
      <w:rPr>
        <w:rFonts w:ascii="Cascadia Mono" w:hAnsi="Cascadia Mono" w:cs="Cascadia Mono" w:eastAsia="Cascadia Mono"/>
        <w:color w:val="78716C"/>
        <w:sz w:val="17"/>
      </w:rPr>
      <w:t>1</w:t>
    </w:r>
    <w:r>
      <w:rPr>
        <w:rFonts w:ascii="Cascadia Mono" w:hAnsi="Cascadia Mono" w:cs="Cascadia Mono" w:eastAsia="Cascadia Mono"/>
        <w:color w:val="78716C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  <w:pageBreakBefore/>
      <w:pBdr>
        <w:bottom w:val="single" w:sz="16" w:space="8" w:color="1C1917"/>
      </w:pBdr>
    </w:pPr>
    <w:rPr>
      <w:rFonts w:asciiTheme="majorHAnsi" w:eastAsiaTheme="majorEastAsia" w:hAnsiTheme="majorHAnsi" w:cstheme="majorBidi" w:ascii="Segoe UI Variable Display" w:hAnsi="Segoe UI Variable Display" w:cs="Segoe UI Variable Display" w:eastAsia="Segoe UI Variable Display"/>
      <w:b w:val="0"/>
      <w:bCs/>
      <w:color w:val="1C191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 w:val="0"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/>
      <w:bCs/>
      <w:color w:val="1C19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egoe UI Variable Text" w:hAnsi="Segoe UI Variable Text" w:cs="Segoe UI Variable Text" w:eastAsia="Segoe UI Variable Text"/>
      <w:b/>
      <w:bCs/>
      <w:color w:val="1C191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649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scadia Mono" w:hAnsi="Cascadia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scadia Mono" w:hAnsi="Cascadia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D5BA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6499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64999" w:themeColor="accent1"/>
      </w:pBdr>
      <w:spacing w:before="200" w:after="280"/>
      <w:ind w:left="936" w:right="936"/>
    </w:pPr>
    <w:rPr>
      <w:b/>
      <w:bCs/>
      <w:i/>
      <w:iCs/>
      <w:color w:val="1649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6499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78716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6499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6499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6499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64999" w:themeColor="accent1" w:themeShade="BF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64999" w:themeColor="accent2" w:themeShade="BF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64999" w:themeColor="accent3" w:themeShade="BF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64999" w:themeColor="accent4" w:themeShade="BF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64999" w:themeColor="accent5" w:themeShade="BF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64999" w:themeColor="accent6" w:themeShade="BF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5F5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1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  <w:shd w:val="clear" w:color="auto" w:fill="DCE4F0" w:themeFill="accent1" w:themeFillTint="3F"/>
      </w:tcPr>
    </w:tblStylePr>
    <w:tblStylePr w:type="band2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1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  <w:shd w:val="clear" w:color="auto" w:fill="F5F5F4" w:themeFill="accent2" w:themeFillTint="3F"/>
      </w:tcPr>
    </w:tblStylePr>
    <w:tblStylePr w:type="band2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1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  <w:shd w:val="clear" w:color="auto" w:fill="F5F5F4" w:themeFill="accent3" w:themeFillTint="3F"/>
      </w:tcPr>
    </w:tblStylePr>
    <w:tblStylePr w:type="band2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1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  <w:shd w:val="clear" w:color="auto" w:fill="DCE4F0" w:themeFill="accent4" w:themeFillTint="3F"/>
      </w:tcPr>
    </w:tblStylePr>
    <w:tblStylePr w:type="band2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1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  <w:shd w:val="clear" w:color="auto" w:fill="DCE4F0" w:themeFill="accent5" w:themeFillTint="3F"/>
      </w:tcPr>
    </w:tblStylePr>
    <w:tblStylePr w:type="band2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1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  <w:shd w:val="clear" w:color="auto" w:fill="F5F5F4" w:themeFill="accent6" w:themeFillTint="3F"/>
      </w:tcPr>
    </w:tblStylePr>
    <w:tblStylePr w:type="band2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2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3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4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5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6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  <w:insideV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03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  <w:insideV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  <w:insideV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  <w:insideV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  <w:insideV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  <w:insideV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  <w:insideV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3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8716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3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tcBorders>
          <w:insideH w:val="single" w:sz="6" w:space="0" w:color="164999" w:themeColor="accent1"/>
          <w:insideV w:val="single" w:sz="6" w:space="0" w:color="164999" w:themeColor="accent1"/>
        </w:tcBorders>
        <w:shd w:val="clear" w:color="auto" w:fill="DCE4F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3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tcBorders>
          <w:insideH w:val="single" w:sz="6" w:space="0" w:color="164999" w:themeColor="accent2"/>
          <w:insideV w:val="single" w:sz="6" w:space="0" w:color="164999" w:themeColor="accent2"/>
        </w:tcBorders>
        <w:shd w:val="clear" w:color="auto" w:fill="F5F5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3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tcBorders>
          <w:insideH w:val="single" w:sz="6" w:space="0" w:color="164999" w:themeColor="accent3"/>
          <w:insideV w:val="single" w:sz="6" w:space="0" w:color="164999" w:themeColor="accent3"/>
        </w:tcBorders>
        <w:shd w:val="clear" w:color="auto" w:fill="F5F5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3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tcBorders>
          <w:insideH w:val="single" w:sz="6" w:space="0" w:color="164999" w:themeColor="accent4"/>
          <w:insideV w:val="single" w:sz="6" w:space="0" w:color="164999" w:themeColor="accent4"/>
        </w:tcBorders>
        <w:shd w:val="clear" w:color="auto" w:fill="DCE4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3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tcBorders>
          <w:insideH w:val="single" w:sz="6" w:space="0" w:color="164999" w:themeColor="accent5"/>
          <w:insideV w:val="single" w:sz="6" w:space="0" w:color="164999" w:themeColor="accent5"/>
        </w:tcBorders>
        <w:shd w:val="clear" w:color="auto" w:fill="DCE4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tcBorders>
          <w:insideH w:val="single" w:sz="6" w:space="0" w:color="164999" w:themeColor="accent6"/>
          <w:insideV w:val="single" w:sz="6" w:space="0" w:color="164999" w:themeColor="accent6"/>
        </w:tcBorders>
        <w:shd w:val="clear" w:color="auto" w:fill="F5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716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716C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5F5F4" w:themeFill="text1" w:themeFillTint="66"/>
      </w:tcPr>
    </w:tblStylePr>
    <w:tblStylePr w:type="band1Horz">
      <w:tblPr/>
      <w:tcPr>
        <w:shd w:val="clear" w:color="auto" w:fill="78716C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1"/>
        <w:bottom w:val="single" w:sz="4" w:space="0" w:color="164999" w:themeColor="accent1"/>
        <w:right w:val="single" w:sz="4" w:space="0" w:color="16499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1" w:themeShade="99"/>
          <w:insideV w:val="nil"/>
        </w:tcBorders>
        <w:shd w:val="clear" w:color="auto" w:fill="DCE4F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Shade="99"/>
      </w:tcPr>
    </w:tblStylePr>
    <w:tblStylePr w:type="band1Vert">
      <w:tblPr/>
      <w:tcPr>
        <w:shd w:val="clear" w:color="auto" w:fill="DCE4F0" w:themeFill="accent1" w:themeFillTint="66"/>
      </w:tcPr>
    </w:tblStylePr>
    <w:tblStylePr w:type="band1Horz">
      <w:tblPr/>
      <w:tcPr>
        <w:shd w:val="clear" w:color="auto" w:fill="DCE4F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2"/>
        <w:bottom w:val="single" w:sz="4" w:space="0" w:color="164999" w:themeColor="accent2"/>
        <w:right w:val="single" w:sz="4" w:space="0" w:color="16499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2" w:themeShade="99"/>
          <w:insideV w:val="nil"/>
        </w:tcBorders>
        <w:shd w:val="clear" w:color="auto" w:fill="F5F5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99"/>
      </w:tcPr>
    </w:tblStylePr>
    <w:tblStylePr w:type="band1Vert">
      <w:tblPr/>
      <w:tcPr>
        <w:shd w:val="clear" w:color="auto" w:fill="F5F5F4" w:themeFill="accent2" w:themeFillTint="66"/>
      </w:tcPr>
    </w:tblStylePr>
    <w:tblStylePr w:type="band1Horz">
      <w:tblPr/>
      <w:tcPr>
        <w:shd w:val="clear" w:color="auto" w:fill="F5F5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4"/>
        <w:left w:val="single" w:sz="4" w:space="0" w:color="164999" w:themeColor="accent3"/>
        <w:bottom w:val="single" w:sz="4" w:space="0" w:color="164999" w:themeColor="accent3"/>
        <w:right w:val="single" w:sz="4" w:space="0" w:color="16499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3" w:themeShade="99"/>
          <w:insideV w:val="nil"/>
        </w:tcBorders>
        <w:shd w:val="clear" w:color="auto" w:fill="F5F5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99"/>
      </w:tcPr>
    </w:tblStylePr>
    <w:tblStylePr w:type="band1Vert">
      <w:tblPr/>
      <w:tcPr>
        <w:shd w:val="clear" w:color="auto" w:fill="F5F5F4" w:themeFill="accent3" w:themeFillTint="66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3"/>
        <w:left w:val="single" w:sz="4" w:space="0" w:color="164999" w:themeColor="accent4"/>
        <w:bottom w:val="single" w:sz="4" w:space="0" w:color="164999" w:themeColor="accent4"/>
        <w:right w:val="single" w:sz="4" w:space="0" w:color="16499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4" w:themeShade="99"/>
          <w:insideV w:val="nil"/>
        </w:tcBorders>
        <w:shd w:val="clear" w:color="auto" w:fill="DCE4F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99"/>
      </w:tcPr>
    </w:tblStylePr>
    <w:tblStylePr w:type="band1Vert">
      <w:tblPr/>
      <w:tcPr>
        <w:shd w:val="clear" w:color="auto" w:fill="DCE4F0" w:themeFill="accent4" w:themeFillTint="66"/>
      </w:tcPr>
    </w:tblStylePr>
    <w:tblStylePr w:type="band1Horz">
      <w:tblPr/>
      <w:tcPr>
        <w:shd w:val="clear" w:color="auto" w:fill="DCE4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6"/>
        <w:left w:val="single" w:sz="4" w:space="0" w:color="164999" w:themeColor="accent5"/>
        <w:bottom w:val="single" w:sz="4" w:space="0" w:color="164999" w:themeColor="accent5"/>
        <w:right w:val="single" w:sz="4" w:space="0" w:color="16499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5" w:themeShade="99"/>
          <w:insideV w:val="nil"/>
        </w:tcBorders>
        <w:shd w:val="clear" w:color="auto" w:fill="DCE4F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99"/>
      </w:tcPr>
    </w:tblStylePr>
    <w:tblStylePr w:type="band1Vert">
      <w:tblPr/>
      <w:tcPr>
        <w:shd w:val="clear" w:color="auto" w:fill="DCE4F0" w:themeFill="accent5" w:themeFillTint="66"/>
      </w:tcPr>
    </w:tblStylePr>
    <w:tblStylePr w:type="band1Horz">
      <w:tblPr/>
      <w:tcPr>
        <w:shd w:val="clear" w:color="auto" w:fill="DCE4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5"/>
        <w:left w:val="single" w:sz="4" w:space="0" w:color="164999" w:themeColor="accent6"/>
        <w:bottom w:val="single" w:sz="4" w:space="0" w:color="164999" w:themeColor="accent6"/>
        <w:right w:val="single" w:sz="4" w:space="0" w:color="16499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6" w:themeShade="99"/>
          <w:insideV w:val="nil"/>
        </w:tcBorders>
        <w:shd w:val="clear" w:color="auto" w:fill="F5F5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4" w:themeFillShade="CC"/>
      </w:tcPr>
    </w:tblStylePr>
    <w:tblStylePr w:type="lastRow">
      <w:rPr>
        <w:b/>
        <w:bCs/>
        <w:color w:val="16499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3" w:themeFillShade="CC"/>
      </w:tcPr>
    </w:tblStylePr>
    <w:tblStylePr w:type="lastRow">
      <w:rPr>
        <w:b/>
        <w:bCs/>
        <w:color w:val="16499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6" w:themeFillShade="CC"/>
      </w:tcPr>
    </w:tblStylePr>
    <w:tblStylePr w:type="lastRow">
      <w:rPr>
        <w:b/>
        <w:bCs/>
        <w:color w:val="16499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5" w:themeFillShade="CC"/>
      </w:tcPr>
    </w:tblStylePr>
    <w:tblStylePr w:type="lastRow">
      <w:rPr>
        <w:b/>
        <w:bCs/>
        <w:color w:val="164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3"/>
    </w:tcPr>
    <w:tblStylePr w:type="firstRow">
      <w:rPr>
        <w:b/>
        <w:bCs/>
      </w:rPr>
      <w:tblPr/>
      <w:tcPr>
        <w:shd w:val="clear" w:color="auto" w:fill="F5F5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3"/>
    </w:tcPr>
    <w:tblStylePr w:type="firstRow">
      <w:rPr>
        <w:b/>
        <w:bCs/>
      </w:rPr>
      <w:tblPr/>
      <w:tcPr>
        <w:shd w:val="clear" w:color="auto" w:fill="DCE4F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3"/>
    </w:tcPr>
    <w:tblStylePr w:type="firstRow">
      <w:rPr>
        <w:b/>
        <w:bCs/>
      </w:rPr>
      <w:tblPr/>
      <w:tcPr>
        <w:shd w:val="clear" w:color="auto" w:fill="F5F5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3"/>
    </w:tcPr>
    <w:tblStylePr w:type="firstRow">
      <w:rPr>
        <w:b/>
        <w:bCs/>
      </w:rPr>
      <w:tblPr/>
      <w:tcPr>
        <w:shd w:val="clear" w:color="auto" w:fill="F5F5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3"/>
    </w:tcPr>
    <w:tblStylePr w:type="firstRow">
      <w:rPr>
        <w:b/>
        <w:bCs/>
      </w:rPr>
      <w:tblPr/>
      <w:tcPr>
        <w:shd w:val="clear" w:color="auto" w:fill="DCE4F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3"/>
    </w:tcPr>
    <w:tblStylePr w:type="firstRow">
      <w:rPr>
        <w:b/>
        <w:bCs/>
      </w:rPr>
      <w:tblPr/>
      <w:tcPr>
        <w:shd w:val="clear" w:color="auto" w:fill="DCE4F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paragraph" w:customStyle="1" w:styleId="Lead">
    <w:name w:val="Lead"/>
    <w:basedOn w:val="Normal"/>
    <w:pPr>
      <w:spacing w:after="240" w:line="360" w:lineRule="auto"/>
    </w:pPr>
    <w:rPr>
      <w:rFonts w:ascii="Segoe UI Variable Text" w:hAnsi="Segoe UI Variable Text" w:cs="Segoe UI Variable Text" w:eastAsia="Segoe UI Variable Text"/>
      <w:color w:val="44403C"/>
      <w:sz w:val="26"/>
    </w:rPr>
  </w:style>
  <w:style w:type="character" w:customStyle="1" w:styleId="CodeInline">
    <w:name w:val="Code Inline"/>
    <w:rPr>
      <w:rFonts w:ascii="Cascadia Mono" w:hAnsi="Cascadia Mono" w:cs="Cascadia Mono" w:eastAsia="Cascadia Mono"/>
      <w:color w:val="1C1917"/>
      <w:sz w:val="20"/>
      <w:shd w:val="clear" w:color="auto" w:fill="F5F5F4"/>
    </w:rPr>
  </w:style>
  <w:style w:type="paragraph" w:customStyle="1" w:styleId="CodeBlock">
    <w:name w:val="Code Block"/>
    <w:basedOn w:val="Normal"/>
    <w:pPr>
      <w:spacing w:line="336" w:lineRule="auto" w:before="160" w:after="160"/>
      <w:ind w:left="144" w:right="144"/>
      <w:shd w:val="clear" w:color="auto" w:fill="F5F5F4"/>
    </w:pPr>
    <w:rPr>
      <w:rFonts w:ascii="Cascadia Mono" w:hAnsi="Cascadia Mono" w:cs="Cascadia Mono" w:eastAsia="Cascadia Mono"/>
      <w:color w:val="1C1917"/>
      <w:sz w:val="20"/>
    </w:rPr>
  </w:style>
  <w:style w:type="paragraph" w:customStyle="1" w:styleId="CalloutDefault">
    <w:name w:val="Callout Default"/>
    <w:basedOn w:val="Normal"/>
    <w:pPr>
      <w:spacing w:before="160" w:after="160"/>
      <w:ind w:left="216"/>
      <w:shd w:val="clear" w:color="auto" w:fill="F5F5F4"/>
      <w:pBdr>
        <w:left w:val="single" w:sz="24" w:space="8" w:color="164999"/>
      </w:pBdr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customStyle="1" w:styleId="CalloutMuted">
    <w:name w:val="Callout Muted"/>
    <w:basedOn w:val="CalloutDefault"/>
    <w:pPr>
      <w:pBdr>
        <w:left w:val="single" w:sz="24" w:space="8" w:color="44403C"/>
      </w:pBd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D5BA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649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scadia Mono" w:hAnsi="Cascadia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scadia Mono" w:hAnsi="Cascadia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D5BA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6499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64999" w:themeColor="accent1"/>
      </w:pBdr>
      <w:spacing w:before="200" w:after="280"/>
      <w:ind w:left="936" w:right="936"/>
    </w:pPr>
    <w:rPr>
      <w:b/>
      <w:bCs/>
      <w:i/>
      <w:iCs/>
      <w:color w:val="1649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6499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78716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6499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6499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6499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64999" w:themeColor="accent1" w:themeShade="BF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64999" w:themeColor="accent2" w:themeShade="BF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64999" w:themeColor="accent3" w:themeShade="BF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64999" w:themeColor="accent4" w:themeShade="BF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64999" w:themeColor="accent5" w:themeShade="BF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64999" w:themeColor="accent6" w:themeShade="BF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5F5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1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  <w:shd w:val="clear" w:color="auto" w:fill="DCE4F0" w:themeFill="accent1" w:themeFillTint="3F"/>
      </w:tcPr>
    </w:tblStylePr>
    <w:tblStylePr w:type="band2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1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  <w:shd w:val="clear" w:color="auto" w:fill="F5F5F4" w:themeFill="accent2" w:themeFillTint="3F"/>
      </w:tcPr>
    </w:tblStylePr>
    <w:tblStylePr w:type="band2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1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  <w:shd w:val="clear" w:color="auto" w:fill="F5F5F4" w:themeFill="accent3" w:themeFillTint="3F"/>
      </w:tcPr>
    </w:tblStylePr>
    <w:tblStylePr w:type="band2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1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  <w:shd w:val="clear" w:color="auto" w:fill="DCE4F0" w:themeFill="accent4" w:themeFillTint="3F"/>
      </w:tcPr>
    </w:tblStylePr>
    <w:tblStylePr w:type="band2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1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  <w:shd w:val="clear" w:color="auto" w:fill="DCE4F0" w:themeFill="accent5" w:themeFillTint="3F"/>
      </w:tcPr>
    </w:tblStylePr>
    <w:tblStylePr w:type="band2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1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  <w:shd w:val="clear" w:color="auto" w:fill="F5F5F4" w:themeFill="accent6" w:themeFillTint="3F"/>
      </w:tcPr>
    </w:tblStylePr>
    <w:tblStylePr w:type="band2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2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3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4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5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6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  <w:insideV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03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  <w:insideV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  <w:insideV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  <w:insideV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  <w:insideV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  <w:insideV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  <w:insideV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3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8716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3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tcBorders>
          <w:insideH w:val="single" w:sz="6" w:space="0" w:color="164999" w:themeColor="accent1"/>
          <w:insideV w:val="single" w:sz="6" w:space="0" w:color="164999" w:themeColor="accent1"/>
        </w:tcBorders>
        <w:shd w:val="clear" w:color="auto" w:fill="DCE4F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3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tcBorders>
          <w:insideH w:val="single" w:sz="6" w:space="0" w:color="164999" w:themeColor="accent2"/>
          <w:insideV w:val="single" w:sz="6" w:space="0" w:color="164999" w:themeColor="accent2"/>
        </w:tcBorders>
        <w:shd w:val="clear" w:color="auto" w:fill="F5F5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3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tcBorders>
          <w:insideH w:val="single" w:sz="6" w:space="0" w:color="164999" w:themeColor="accent3"/>
          <w:insideV w:val="single" w:sz="6" w:space="0" w:color="164999" w:themeColor="accent3"/>
        </w:tcBorders>
        <w:shd w:val="clear" w:color="auto" w:fill="F5F5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3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tcBorders>
          <w:insideH w:val="single" w:sz="6" w:space="0" w:color="164999" w:themeColor="accent4"/>
          <w:insideV w:val="single" w:sz="6" w:space="0" w:color="164999" w:themeColor="accent4"/>
        </w:tcBorders>
        <w:shd w:val="clear" w:color="auto" w:fill="DCE4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3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tcBorders>
          <w:insideH w:val="single" w:sz="6" w:space="0" w:color="164999" w:themeColor="accent5"/>
          <w:insideV w:val="single" w:sz="6" w:space="0" w:color="164999" w:themeColor="accent5"/>
        </w:tcBorders>
        <w:shd w:val="clear" w:color="auto" w:fill="DCE4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tcBorders>
          <w:insideH w:val="single" w:sz="6" w:space="0" w:color="164999" w:themeColor="accent6"/>
          <w:insideV w:val="single" w:sz="6" w:space="0" w:color="164999" w:themeColor="accent6"/>
        </w:tcBorders>
        <w:shd w:val="clear" w:color="auto" w:fill="F5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716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716C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5F5F4" w:themeFill="text1" w:themeFillTint="66"/>
      </w:tcPr>
    </w:tblStylePr>
    <w:tblStylePr w:type="band1Horz">
      <w:tblPr/>
      <w:tcPr>
        <w:shd w:val="clear" w:color="auto" w:fill="78716C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1"/>
        <w:bottom w:val="single" w:sz="4" w:space="0" w:color="164999" w:themeColor="accent1"/>
        <w:right w:val="single" w:sz="4" w:space="0" w:color="16499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1" w:themeShade="99"/>
          <w:insideV w:val="nil"/>
        </w:tcBorders>
        <w:shd w:val="clear" w:color="auto" w:fill="DCE4F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Shade="99"/>
      </w:tcPr>
    </w:tblStylePr>
    <w:tblStylePr w:type="band1Vert">
      <w:tblPr/>
      <w:tcPr>
        <w:shd w:val="clear" w:color="auto" w:fill="DCE4F0" w:themeFill="accent1" w:themeFillTint="66"/>
      </w:tcPr>
    </w:tblStylePr>
    <w:tblStylePr w:type="band1Horz">
      <w:tblPr/>
      <w:tcPr>
        <w:shd w:val="clear" w:color="auto" w:fill="DCE4F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2"/>
        <w:bottom w:val="single" w:sz="4" w:space="0" w:color="164999" w:themeColor="accent2"/>
        <w:right w:val="single" w:sz="4" w:space="0" w:color="16499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2" w:themeShade="99"/>
          <w:insideV w:val="nil"/>
        </w:tcBorders>
        <w:shd w:val="clear" w:color="auto" w:fill="F5F5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99"/>
      </w:tcPr>
    </w:tblStylePr>
    <w:tblStylePr w:type="band1Vert">
      <w:tblPr/>
      <w:tcPr>
        <w:shd w:val="clear" w:color="auto" w:fill="F5F5F4" w:themeFill="accent2" w:themeFillTint="66"/>
      </w:tcPr>
    </w:tblStylePr>
    <w:tblStylePr w:type="band1Horz">
      <w:tblPr/>
      <w:tcPr>
        <w:shd w:val="clear" w:color="auto" w:fill="F5F5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4"/>
        <w:left w:val="single" w:sz="4" w:space="0" w:color="164999" w:themeColor="accent3"/>
        <w:bottom w:val="single" w:sz="4" w:space="0" w:color="164999" w:themeColor="accent3"/>
        <w:right w:val="single" w:sz="4" w:space="0" w:color="16499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3" w:themeShade="99"/>
          <w:insideV w:val="nil"/>
        </w:tcBorders>
        <w:shd w:val="clear" w:color="auto" w:fill="F5F5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99"/>
      </w:tcPr>
    </w:tblStylePr>
    <w:tblStylePr w:type="band1Vert">
      <w:tblPr/>
      <w:tcPr>
        <w:shd w:val="clear" w:color="auto" w:fill="F5F5F4" w:themeFill="accent3" w:themeFillTint="66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3"/>
        <w:left w:val="single" w:sz="4" w:space="0" w:color="164999" w:themeColor="accent4"/>
        <w:bottom w:val="single" w:sz="4" w:space="0" w:color="164999" w:themeColor="accent4"/>
        <w:right w:val="single" w:sz="4" w:space="0" w:color="16499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4" w:themeShade="99"/>
          <w:insideV w:val="nil"/>
        </w:tcBorders>
        <w:shd w:val="clear" w:color="auto" w:fill="DCE4F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99"/>
      </w:tcPr>
    </w:tblStylePr>
    <w:tblStylePr w:type="band1Vert">
      <w:tblPr/>
      <w:tcPr>
        <w:shd w:val="clear" w:color="auto" w:fill="DCE4F0" w:themeFill="accent4" w:themeFillTint="66"/>
      </w:tcPr>
    </w:tblStylePr>
    <w:tblStylePr w:type="band1Horz">
      <w:tblPr/>
      <w:tcPr>
        <w:shd w:val="clear" w:color="auto" w:fill="DCE4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6"/>
        <w:left w:val="single" w:sz="4" w:space="0" w:color="164999" w:themeColor="accent5"/>
        <w:bottom w:val="single" w:sz="4" w:space="0" w:color="164999" w:themeColor="accent5"/>
        <w:right w:val="single" w:sz="4" w:space="0" w:color="16499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5" w:themeShade="99"/>
          <w:insideV w:val="nil"/>
        </w:tcBorders>
        <w:shd w:val="clear" w:color="auto" w:fill="DCE4F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99"/>
      </w:tcPr>
    </w:tblStylePr>
    <w:tblStylePr w:type="band1Vert">
      <w:tblPr/>
      <w:tcPr>
        <w:shd w:val="clear" w:color="auto" w:fill="DCE4F0" w:themeFill="accent5" w:themeFillTint="66"/>
      </w:tcPr>
    </w:tblStylePr>
    <w:tblStylePr w:type="band1Horz">
      <w:tblPr/>
      <w:tcPr>
        <w:shd w:val="clear" w:color="auto" w:fill="DCE4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5"/>
        <w:left w:val="single" w:sz="4" w:space="0" w:color="164999" w:themeColor="accent6"/>
        <w:bottom w:val="single" w:sz="4" w:space="0" w:color="164999" w:themeColor="accent6"/>
        <w:right w:val="single" w:sz="4" w:space="0" w:color="16499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6" w:themeShade="99"/>
          <w:insideV w:val="nil"/>
        </w:tcBorders>
        <w:shd w:val="clear" w:color="auto" w:fill="F5F5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4" w:themeFillShade="CC"/>
      </w:tcPr>
    </w:tblStylePr>
    <w:tblStylePr w:type="lastRow">
      <w:rPr>
        <w:b/>
        <w:bCs/>
        <w:color w:val="16499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3" w:themeFillShade="CC"/>
      </w:tcPr>
    </w:tblStylePr>
    <w:tblStylePr w:type="lastRow">
      <w:rPr>
        <w:b/>
        <w:bCs/>
        <w:color w:val="16499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6" w:themeFillShade="CC"/>
      </w:tcPr>
    </w:tblStylePr>
    <w:tblStylePr w:type="lastRow">
      <w:rPr>
        <w:b/>
        <w:bCs/>
        <w:color w:val="16499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5" w:themeFillShade="CC"/>
      </w:tcPr>
    </w:tblStylePr>
    <w:tblStylePr w:type="lastRow">
      <w:rPr>
        <w:b/>
        <w:bCs/>
        <w:color w:val="164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3"/>
    </w:tcPr>
    <w:tblStylePr w:type="firstRow">
      <w:rPr>
        <w:b/>
        <w:bCs/>
      </w:rPr>
      <w:tblPr/>
      <w:tcPr>
        <w:shd w:val="clear" w:color="auto" w:fill="F5F5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3"/>
    </w:tcPr>
    <w:tblStylePr w:type="firstRow">
      <w:rPr>
        <w:b/>
        <w:bCs/>
      </w:rPr>
      <w:tblPr/>
      <w:tcPr>
        <w:shd w:val="clear" w:color="auto" w:fill="DCE4F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3"/>
    </w:tcPr>
    <w:tblStylePr w:type="firstRow">
      <w:rPr>
        <w:b/>
        <w:bCs/>
      </w:rPr>
      <w:tblPr/>
      <w:tcPr>
        <w:shd w:val="clear" w:color="auto" w:fill="F5F5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3"/>
    </w:tcPr>
    <w:tblStylePr w:type="firstRow">
      <w:rPr>
        <w:b/>
        <w:bCs/>
      </w:rPr>
      <w:tblPr/>
      <w:tcPr>
        <w:shd w:val="clear" w:color="auto" w:fill="F5F5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3"/>
    </w:tcPr>
    <w:tblStylePr w:type="firstRow">
      <w:rPr>
        <w:b/>
        <w:bCs/>
      </w:rPr>
      <w:tblPr/>
      <w:tcPr>
        <w:shd w:val="clear" w:color="auto" w:fill="DCE4F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3"/>
    </w:tcPr>
    <w:tblStylePr w:type="firstRow">
      <w:rPr>
        <w:b/>
        <w:bCs/>
      </w:rPr>
      <w:tblPr/>
      <w:tcPr>
        <w:shd w:val="clear" w:color="auto" w:fill="DCE4F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Deccan">
      <a:dk1>
        <a:srgbClr val="1C1917"/>
      </a:dk1>
      <a:lt1>
        <a:srgbClr val="FFFFFF"/>
      </a:lt1>
      <a:dk2>
        <a:srgbClr val="44403C"/>
      </a:dk2>
      <a:lt2>
        <a:srgbClr val="F5F5F4"/>
      </a:lt2>
      <a:accent1>
        <a:srgbClr val="164999"/>
      </a:accent1>
      <a:accent2>
        <a:srgbClr val="2D5BA3"/>
      </a:accent2>
      <a:accent3>
        <a:srgbClr val="7392C2"/>
      </a:accent3>
      <a:accent4>
        <a:srgbClr val="B9C8E0"/>
      </a:accent4>
      <a:accent5>
        <a:srgbClr val="DCE4F0"/>
      </a:accent5>
      <a:accent6>
        <a:srgbClr val="78716C"/>
      </a:accent6>
      <a:hlink>
        <a:srgbClr val="164999"/>
      </a:hlink>
      <a:folHlink>
        <a:srgbClr val="7392C2"/>
      </a:folHlink>
    </a:clrScheme>
    <a:fontScheme name="Deccan">
      <a:majorFont>
        <a:latin typeface="Segoe UI Variable Display"/>
        <a:ea typeface=""/>
        <a:cs typeface=""/>
      </a:majorFont>
      <a:minorFont>
        <a:latin typeface="Segoe UI Variable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Deccan Fine Chemicals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Deccan Technical Specification</dc:title>
  <dc:subject/>
  <dc:creator>Deccan Fine Chemicals</dc:creator>
  <cp:keywords/>
  <dc:description>deccan-design v2.0 template</dc:description>
  <cp:lastModifiedBy>Deccan Fine Chemicals</cp:lastModifiedBy>
  <cp:revision>1</cp:revision>
  <dcterms:created xsi:type="dcterms:W3CDTF">2020-01-01T00:00:00Z</dcterms:created>
  <dcterms:modified xsi:type="dcterms:W3CDTF">2020-01-01T00:00:00Z</dcterms:modified>
  <cp:category/>
</cp:coreProperties>
</file>