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jc w:val="center"/>
      </w:pPr>
      <w:r>
        <w:drawing>
          <wp:inline xmlns:a="http://schemas.openxmlformats.org/drawingml/2006/main" xmlns:pic="http://schemas.openxmlformats.org/drawingml/2006/picture">
            <wp:extent cx="2286000" cy="741405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logo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741405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jc w:val="center"/>
      </w:pPr>
      <w:r>
        <w:rPr>
          <w:rFonts w:ascii="IBM Plex Sans" w:hAnsi="IBM Plex Sans"/>
          <w:b/>
          <w:color w:val="164999"/>
          <w:sz w:val="72"/>
        </w:rPr>
        <w:t>Document Title</w:t>
      </w:r>
    </w:p>
    <w:p>
      <w:pPr>
        <w:jc w:val="center"/>
      </w:pPr>
      <w:r>
        <w:rPr>
          <w:rFonts w:ascii="IBM Plex Sans" w:hAnsi="IBM Plex Sans"/>
          <w:sz w:val="28"/>
        </w:rPr>
        <w:t>Subtitle / department / date</w:t>
      </w:r>
    </w:p>
    <w:p>
      <w:r>
        <w:br w:type="page"/>
      </w:r>
    </w:p>
    <w:p>
      <w:pPr>
        <w:pStyle w:val="Heading1"/>
      </w:pPr>
      <w:r>
        <w:rPr>
          <w:rFonts w:ascii="IBM Plex Sans" w:hAnsi="IBM Plex Sans"/>
          <w:color w:val="164999"/>
        </w:rPr>
        <w:t>Heading 1 example</w:t>
      </w:r>
    </w:p>
    <w:p>
      <w:pPr>
        <w:pStyle w:val="Heading2"/>
      </w:pPr>
      <w:r>
        <w:rPr>
          <w:rFonts w:ascii="IBM Plex Sans" w:hAnsi="IBM Plex Sans"/>
        </w:rPr>
        <w:t>Heading 2 example</w:t>
      </w:r>
    </w:p>
    <w:p>
      <w:r>
        <w:rPr>
          <w:rFonts w:ascii="IBM Plex Sans" w:hAnsi="IBM Plex Sans"/>
          <w:sz w:val="22"/>
        </w:rPr>
        <w:t>Body paragraph using the Deccan typography stack. IBM Plex Sans at 11pt with 1.5 line height. Use opacity (not different colors) for text hierarchy per the Deccan design system.</w:t>
      </w:r>
    </w:p>
    <w:sectPr w:rsidR="00FC693F" w:rsidRPr="0006063C" w:rsidSect="00034616">
      <w:footerReference w:type="default" r:id="rId10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rPr>
        <w:rFonts w:ascii="IBM Plex Sans" w:hAnsi="IBM Plex Sans"/>
        <w:sz w:val="18"/>
      </w:rPr>
      <w:t>Deccan Chemicals - Confidential</w:t>
    </w:r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Deccan Chemicals">
  <a:themeElements>
    <a:clrScheme name="Deccan">
      <a:dk1>
        <a:srgbClr val="1C1917"/>
      </a:dk1>
      <a:lt1>
        <a:srgbClr val="FFFFFF"/>
      </a:lt1>
      <a:dk2>
        <a:srgbClr val="44403C"/>
      </a:dk2>
      <a:lt2>
        <a:srgbClr val="FAFAF9"/>
      </a:lt2>
      <a:accent1>
        <a:srgbClr val="164999"/>
      </a:accent1>
      <a:accent2>
        <a:srgbClr val="0C2956"/>
      </a:accent2>
      <a:accent3>
        <a:srgbClr val="0EA3DD"/>
      </a:accent3>
      <a:accent4>
        <a:srgbClr val="71BF4D"/>
      </a:accent4>
      <a:accent5>
        <a:srgbClr val="4F8D33"/>
      </a:accent5>
      <a:accent6>
        <a:srgbClr val="A1CB8D"/>
      </a:accent6>
      <a:hlink>
        <a:srgbClr val="164999"/>
      </a:hlink>
      <a:folHlink>
        <a:srgbClr val="0C2956"/>
      </a:folHlink>
    </a:clrScheme>
    <a:fontScheme name="Deccan">
      <a:majorFont>
        <a:latin typeface="IBM Plex Sans"/>
        <a:ea typeface=""/>
        <a:cs typeface=""/>
      </a:majorFont>
      <a:minorFont>
        <a:latin typeface="IBM Plex San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