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2242F" w14:textId="77777777" w:rsidR="002C6E5E" w:rsidRDefault="002C6E5E" w:rsidP="002C6E5E">
      <w:pPr>
        <w:spacing w:line="480" w:lineRule="auto"/>
        <w:jc w:val="center"/>
        <w:rPr>
          <w:rFonts w:ascii="Times New Roman" w:hAnsi="Times New Roman" w:cs="Times New Roman"/>
          <w:sz w:val="24"/>
          <w:szCs w:val="24"/>
        </w:rPr>
      </w:pPr>
    </w:p>
    <w:p w14:paraId="5F9D88A5" w14:textId="77777777" w:rsidR="002C6E5E" w:rsidRDefault="002C6E5E" w:rsidP="002C6E5E">
      <w:pPr>
        <w:spacing w:line="480" w:lineRule="auto"/>
        <w:jc w:val="center"/>
        <w:rPr>
          <w:rFonts w:ascii="Times New Roman" w:hAnsi="Times New Roman" w:cs="Times New Roman"/>
          <w:sz w:val="24"/>
          <w:szCs w:val="24"/>
        </w:rPr>
      </w:pPr>
    </w:p>
    <w:p w14:paraId="671F1245" w14:textId="77777777" w:rsidR="002C6E5E" w:rsidRDefault="002C6E5E" w:rsidP="002C6E5E">
      <w:pPr>
        <w:spacing w:line="480" w:lineRule="auto"/>
        <w:jc w:val="center"/>
        <w:rPr>
          <w:rFonts w:ascii="Times New Roman" w:hAnsi="Times New Roman" w:cs="Times New Roman"/>
          <w:sz w:val="24"/>
          <w:szCs w:val="24"/>
        </w:rPr>
      </w:pPr>
    </w:p>
    <w:p w14:paraId="3C9003BE" w14:textId="77777777" w:rsidR="002C6E5E" w:rsidRDefault="002C6E5E" w:rsidP="002C6E5E">
      <w:pPr>
        <w:spacing w:line="480" w:lineRule="auto"/>
        <w:jc w:val="center"/>
        <w:rPr>
          <w:rFonts w:ascii="Times New Roman" w:hAnsi="Times New Roman" w:cs="Times New Roman"/>
          <w:sz w:val="24"/>
          <w:szCs w:val="24"/>
        </w:rPr>
      </w:pPr>
    </w:p>
    <w:p w14:paraId="3721DAE8" w14:textId="77777777" w:rsidR="002C6E5E" w:rsidRDefault="002C6E5E" w:rsidP="002C6E5E">
      <w:pPr>
        <w:spacing w:line="480" w:lineRule="auto"/>
        <w:jc w:val="center"/>
        <w:rPr>
          <w:rFonts w:ascii="Times New Roman" w:hAnsi="Times New Roman" w:cs="Times New Roman"/>
          <w:sz w:val="24"/>
          <w:szCs w:val="24"/>
        </w:rPr>
      </w:pPr>
    </w:p>
    <w:p w14:paraId="79F08B96" w14:textId="77777777" w:rsidR="002C6E5E" w:rsidRDefault="002C6E5E" w:rsidP="002C6E5E">
      <w:pPr>
        <w:spacing w:line="480" w:lineRule="auto"/>
        <w:jc w:val="center"/>
        <w:rPr>
          <w:rFonts w:ascii="Times New Roman" w:hAnsi="Times New Roman" w:cs="Times New Roman"/>
          <w:sz w:val="24"/>
          <w:szCs w:val="24"/>
        </w:rPr>
      </w:pPr>
    </w:p>
    <w:p w14:paraId="07A39182" w14:textId="77777777" w:rsidR="002C6E5E" w:rsidRDefault="002C6E5E" w:rsidP="002C6E5E">
      <w:pPr>
        <w:spacing w:line="480" w:lineRule="auto"/>
        <w:jc w:val="center"/>
        <w:rPr>
          <w:rFonts w:ascii="Times New Roman" w:hAnsi="Times New Roman" w:cs="Times New Roman"/>
          <w:sz w:val="24"/>
          <w:szCs w:val="24"/>
        </w:rPr>
      </w:pPr>
    </w:p>
    <w:p w14:paraId="4E989E01" w14:textId="67277655" w:rsidR="002C6E5E" w:rsidRDefault="002C6E5E" w:rsidP="002C6E5E">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0</w:t>
      </w:r>
      <w:r w:rsidR="0099404E">
        <w:rPr>
          <w:rFonts w:ascii="Times New Roman" w:hAnsi="Times New Roman" w:cs="Times New Roman"/>
          <w:sz w:val="24"/>
          <w:szCs w:val="24"/>
        </w:rPr>
        <w:t>7</w:t>
      </w:r>
      <w:r>
        <w:rPr>
          <w:rFonts w:ascii="Times New Roman" w:hAnsi="Times New Roman" w:cs="Times New Roman"/>
          <w:sz w:val="24"/>
          <w:szCs w:val="24"/>
        </w:rPr>
        <w:t xml:space="preserve"> Practical</w:t>
      </w:r>
    </w:p>
    <w:p w14:paraId="4FF269A6" w14:textId="77777777" w:rsidR="002C6E5E" w:rsidRDefault="002C6E5E" w:rsidP="002C6E5E">
      <w:pPr>
        <w:spacing w:line="480" w:lineRule="auto"/>
        <w:jc w:val="center"/>
        <w:rPr>
          <w:rFonts w:ascii="Times New Roman" w:hAnsi="Times New Roman" w:cs="Times New Roman"/>
          <w:sz w:val="24"/>
          <w:szCs w:val="24"/>
        </w:rPr>
      </w:pPr>
      <w:r w:rsidRPr="00FA277B">
        <w:rPr>
          <w:rFonts w:ascii="Times New Roman" w:hAnsi="Times New Roman" w:cs="Times New Roman"/>
          <w:sz w:val="24"/>
          <w:szCs w:val="24"/>
        </w:rPr>
        <w:t>Kyle</w:t>
      </w:r>
      <w:r>
        <w:rPr>
          <w:rFonts w:ascii="Times New Roman" w:hAnsi="Times New Roman" w:cs="Times New Roman"/>
          <w:sz w:val="24"/>
          <w:szCs w:val="24"/>
        </w:rPr>
        <w:t xml:space="preserve"> Lago</w:t>
      </w:r>
    </w:p>
    <w:p w14:paraId="21CBE49E" w14:textId="77777777" w:rsidR="002C6E5E" w:rsidRDefault="002C6E5E" w:rsidP="002C6E5E">
      <w:pPr>
        <w:spacing w:line="480" w:lineRule="auto"/>
        <w:jc w:val="center"/>
        <w:rPr>
          <w:rFonts w:ascii="Times New Roman" w:hAnsi="Times New Roman" w:cs="Times New Roman"/>
          <w:sz w:val="24"/>
          <w:szCs w:val="24"/>
        </w:rPr>
      </w:pPr>
      <w:r>
        <w:rPr>
          <w:rFonts w:ascii="Times New Roman" w:hAnsi="Times New Roman" w:cs="Times New Roman"/>
          <w:sz w:val="24"/>
          <w:szCs w:val="24"/>
        </w:rPr>
        <w:t>HLTH 661</w:t>
      </w:r>
    </w:p>
    <w:p w14:paraId="260E36AD" w14:textId="77777777" w:rsidR="002C6E5E" w:rsidRDefault="002C6E5E" w:rsidP="002C6E5E">
      <w:pPr>
        <w:spacing w:line="480" w:lineRule="auto"/>
        <w:jc w:val="center"/>
        <w:rPr>
          <w:rFonts w:ascii="Times New Roman" w:hAnsi="Times New Roman" w:cs="Times New Roman"/>
          <w:sz w:val="24"/>
          <w:szCs w:val="24"/>
        </w:rPr>
      </w:pPr>
      <w:r>
        <w:rPr>
          <w:rFonts w:ascii="Times New Roman" w:hAnsi="Times New Roman" w:cs="Times New Roman"/>
          <w:sz w:val="24"/>
          <w:szCs w:val="24"/>
        </w:rPr>
        <w:t>20658108</w:t>
      </w:r>
    </w:p>
    <w:p w14:paraId="0A5443F2" w14:textId="6A426ABF" w:rsidR="002C6E5E" w:rsidRDefault="0099404E" w:rsidP="002C6E5E">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r w:rsidR="002C6E5E">
        <w:rPr>
          <w:rFonts w:ascii="Times New Roman" w:hAnsi="Times New Roman" w:cs="Times New Roman"/>
          <w:sz w:val="24"/>
          <w:szCs w:val="24"/>
        </w:rPr>
        <w:t>-June-2023</w:t>
      </w:r>
    </w:p>
    <w:p w14:paraId="48808474" w14:textId="77777777" w:rsidR="002C6E5E" w:rsidRDefault="002C6E5E" w:rsidP="002C6E5E">
      <w:pPr>
        <w:spacing w:line="480" w:lineRule="auto"/>
        <w:jc w:val="center"/>
        <w:rPr>
          <w:rFonts w:ascii="Times New Roman" w:hAnsi="Times New Roman" w:cs="Times New Roman"/>
          <w:sz w:val="24"/>
          <w:szCs w:val="24"/>
        </w:rPr>
      </w:pPr>
    </w:p>
    <w:p w14:paraId="3B5FCC76" w14:textId="77777777" w:rsidR="002C6E5E" w:rsidRDefault="002C6E5E" w:rsidP="002C6E5E">
      <w:pPr>
        <w:spacing w:line="480" w:lineRule="auto"/>
        <w:jc w:val="center"/>
        <w:rPr>
          <w:rFonts w:ascii="Times New Roman" w:hAnsi="Times New Roman" w:cs="Times New Roman"/>
          <w:sz w:val="24"/>
          <w:szCs w:val="24"/>
        </w:rPr>
      </w:pPr>
    </w:p>
    <w:p w14:paraId="081792E1" w14:textId="77777777" w:rsidR="002C6E5E" w:rsidRDefault="002C6E5E" w:rsidP="002C6E5E">
      <w:pPr>
        <w:spacing w:line="480" w:lineRule="auto"/>
        <w:jc w:val="center"/>
        <w:rPr>
          <w:rFonts w:ascii="Times New Roman" w:hAnsi="Times New Roman" w:cs="Times New Roman"/>
          <w:sz w:val="24"/>
          <w:szCs w:val="24"/>
        </w:rPr>
      </w:pPr>
    </w:p>
    <w:p w14:paraId="0F0B460D" w14:textId="77777777" w:rsidR="002C6E5E" w:rsidRDefault="002C6E5E" w:rsidP="002C6E5E">
      <w:pPr>
        <w:spacing w:line="480" w:lineRule="auto"/>
        <w:jc w:val="center"/>
        <w:rPr>
          <w:rFonts w:ascii="Times New Roman" w:hAnsi="Times New Roman" w:cs="Times New Roman"/>
          <w:sz w:val="24"/>
          <w:szCs w:val="24"/>
        </w:rPr>
      </w:pPr>
    </w:p>
    <w:p w14:paraId="799B2E4C" w14:textId="77777777" w:rsidR="002C6E5E" w:rsidRDefault="002C6E5E" w:rsidP="002C6E5E">
      <w:pPr>
        <w:spacing w:line="480" w:lineRule="auto"/>
        <w:jc w:val="center"/>
        <w:rPr>
          <w:rFonts w:ascii="Times New Roman" w:hAnsi="Times New Roman" w:cs="Times New Roman"/>
          <w:sz w:val="24"/>
          <w:szCs w:val="24"/>
        </w:rPr>
      </w:pPr>
    </w:p>
    <w:p w14:paraId="70224B53" w14:textId="77777777" w:rsidR="002C6E5E" w:rsidRDefault="002C6E5E" w:rsidP="002C6E5E">
      <w:pPr>
        <w:spacing w:line="480" w:lineRule="auto"/>
        <w:jc w:val="center"/>
        <w:rPr>
          <w:rFonts w:ascii="Times New Roman" w:hAnsi="Times New Roman" w:cs="Times New Roman"/>
          <w:sz w:val="24"/>
          <w:szCs w:val="24"/>
        </w:rPr>
      </w:pPr>
    </w:p>
    <w:p w14:paraId="4111AEE8" w14:textId="3842C396" w:rsidR="002C6E5E" w:rsidRDefault="002C6E5E" w:rsidP="002C6E5E">
      <w:pPr>
        <w:pStyle w:val="ListParagraph"/>
        <w:numPr>
          <w:ilvl w:val="0"/>
          <w:numId w:val="12"/>
        </w:numPr>
        <w:spacing w:after="0" w:line="240" w:lineRule="auto"/>
        <w:textAlignment w:val="baseline"/>
        <w:rPr>
          <w:rFonts w:ascii="Calibri" w:eastAsia="Times New Roman" w:hAnsi="Calibri" w:cs="Calibri"/>
          <w:color w:val="000000"/>
          <w:kern w:val="0"/>
          <w:lang w:eastAsia="en-CA"/>
          <w14:ligatures w14:val="none"/>
        </w:rPr>
      </w:pPr>
      <w:r w:rsidRPr="002C6E5E">
        <w:rPr>
          <w:rFonts w:ascii="Calibri" w:eastAsia="Times New Roman" w:hAnsi="Calibri" w:cs="Calibri"/>
          <w:color w:val="000000"/>
          <w:kern w:val="0"/>
          <w:lang w:eastAsia="en-CA"/>
          <w14:ligatures w14:val="none"/>
        </w:rPr>
        <w:lastRenderedPageBreak/>
        <w:t>We can identify clustering within the log population per square km map of Kitchener. While I’m not familiar with the map of Kitchener, there are two clusters on the map where the log population is much higher than other areas comparatively. I would imagine that these are highly populated residential or urban areas like a downtown or university campus.</w:t>
      </w:r>
    </w:p>
    <w:p w14:paraId="0296E189" w14:textId="77777777" w:rsidR="002C6E5E" w:rsidRDefault="002C6E5E" w:rsidP="002C6E5E">
      <w:pPr>
        <w:pStyle w:val="ListParagraph"/>
        <w:spacing w:after="0" w:line="240" w:lineRule="auto"/>
        <w:textAlignment w:val="baseline"/>
        <w:rPr>
          <w:rFonts w:ascii="Calibri" w:eastAsia="Times New Roman" w:hAnsi="Calibri" w:cs="Calibri"/>
          <w:color w:val="000000"/>
          <w:kern w:val="0"/>
          <w:lang w:eastAsia="en-CA"/>
          <w14:ligatures w14:val="none"/>
        </w:rPr>
      </w:pPr>
    </w:p>
    <w:p w14:paraId="5057451E" w14:textId="77777777" w:rsidR="002C6E5E" w:rsidRDefault="002C6E5E" w:rsidP="002C6E5E">
      <w:pPr>
        <w:pStyle w:val="ListParagraph"/>
        <w:numPr>
          <w:ilvl w:val="0"/>
          <w:numId w:val="12"/>
        </w:numPr>
        <w:spacing w:after="0" w:line="240" w:lineRule="auto"/>
        <w:textAlignment w:val="baseline"/>
        <w:rPr>
          <w:rFonts w:ascii="Calibri" w:eastAsia="Times New Roman" w:hAnsi="Calibri" w:cs="Calibri"/>
          <w:color w:val="000000"/>
          <w:kern w:val="0"/>
          <w:lang w:eastAsia="en-CA"/>
          <w14:ligatures w14:val="none"/>
        </w:rPr>
      </w:pPr>
      <w:r w:rsidRPr="002C6E5E">
        <w:rPr>
          <w:rFonts w:ascii="Calibri" w:eastAsia="Times New Roman" w:hAnsi="Calibri" w:cs="Calibri"/>
          <w:color w:val="000000"/>
          <w:kern w:val="0"/>
          <w:lang w:eastAsia="en-CA"/>
          <w14:ligatures w14:val="none"/>
        </w:rPr>
        <w:t>A spatial weight matrix allows us to capture and quantify the spatial relationships between two geographical units. It helps us understand spatial patterns and perform spatial analysis. For example, it can help us identify spatial autocorrelation between neighboring geographic units. </w:t>
      </w:r>
    </w:p>
    <w:p w14:paraId="3F0372CE" w14:textId="77777777" w:rsidR="002C6E5E" w:rsidRPr="002C6E5E" w:rsidRDefault="002C6E5E" w:rsidP="002C6E5E">
      <w:pPr>
        <w:pStyle w:val="ListParagraph"/>
        <w:rPr>
          <w:rFonts w:ascii="Calibri" w:eastAsia="Times New Roman" w:hAnsi="Calibri" w:cs="Calibri"/>
          <w:color w:val="000000"/>
          <w:kern w:val="0"/>
          <w:lang w:eastAsia="en-CA"/>
          <w14:ligatures w14:val="none"/>
        </w:rPr>
      </w:pPr>
    </w:p>
    <w:p w14:paraId="23362622" w14:textId="77777777" w:rsidR="002C6E5E" w:rsidRDefault="002C6E5E" w:rsidP="002C6E5E">
      <w:pPr>
        <w:pStyle w:val="ListParagraph"/>
        <w:numPr>
          <w:ilvl w:val="0"/>
          <w:numId w:val="12"/>
        </w:numPr>
        <w:spacing w:after="0" w:line="240" w:lineRule="auto"/>
        <w:textAlignment w:val="baseline"/>
        <w:rPr>
          <w:rFonts w:ascii="Calibri" w:eastAsia="Times New Roman" w:hAnsi="Calibri" w:cs="Calibri"/>
          <w:color w:val="000000"/>
          <w:kern w:val="0"/>
          <w:lang w:eastAsia="en-CA"/>
          <w14:ligatures w14:val="none"/>
        </w:rPr>
      </w:pPr>
      <w:r w:rsidRPr="002C6E5E">
        <w:rPr>
          <w:rFonts w:ascii="Calibri" w:eastAsia="Times New Roman" w:hAnsi="Calibri" w:cs="Calibri"/>
          <w:color w:val="000000"/>
          <w:kern w:val="0"/>
          <w:lang w:eastAsia="en-CA"/>
          <w14:ligatures w14:val="none"/>
        </w:rPr>
        <w:t>The main difference between queen contiguity and rook contiguity is how they consider their neighboring polygons. Queen contiguity considers two polygons neighbors if they share any point along their boundaries, where as rook only considers this if they share an entire edge.</w:t>
      </w:r>
    </w:p>
    <w:p w14:paraId="6F61A630" w14:textId="77777777" w:rsidR="002C6E5E" w:rsidRPr="002C6E5E" w:rsidRDefault="002C6E5E" w:rsidP="002C6E5E">
      <w:pPr>
        <w:pStyle w:val="ListParagraph"/>
        <w:rPr>
          <w:rFonts w:ascii="Calibri" w:eastAsia="Times New Roman" w:hAnsi="Calibri" w:cs="Calibri"/>
          <w:color w:val="000000"/>
          <w:kern w:val="0"/>
          <w:lang w:eastAsia="en-CA"/>
          <w14:ligatures w14:val="none"/>
        </w:rPr>
      </w:pPr>
    </w:p>
    <w:p w14:paraId="2633F4AE" w14:textId="244FC49B" w:rsidR="002C6E5E" w:rsidRPr="002C6E5E" w:rsidRDefault="002C6E5E" w:rsidP="002C6E5E">
      <w:pPr>
        <w:pStyle w:val="ListParagraph"/>
        <w:numPr>
          <w:ilvl w:val="0"/>
          <w:numId w:val="12"/>
        </w:numPr>
        <w:spacing w:after="0" w:line="240" w:lineRule="auto"/>
        <w:textAlignment w:val="baseline"/>
        <w:rPr>
          <w:rFonts w:ascii="Calibri" w:eastAsia="Times New Roman" w:hAnsi="Calibri" w:cs="Calibri"/>
          <w:color w:val="000000"/>
          <w:kern w:val="0"/>
          <w:lang w:eastAsia="en-CA"/>
          <w14:ligatures w14:val="none"/>
        </w:rPr>
      </w:pPr>
      <w:r w:rsidRPr="002C6E5E">
        <w:rPr>
          <w:rFonts w:ascii="Calibri" w:eastAsia="Times New Roman" w:hAnsi="Calibri" w:cs="Calibri"/>
          <w:color w:val="000000"/>
          <w:kern w:val="0"/>
          <w:lang w:eastAsia="en-CA"/>
          <w14:ligatures w14:val="none"/>
        </w:rPr>
        <w:t> </w:t>
      </w:r>
    </w:p>
    <w:p w14:paraId="323E819E" w14:textId="77777777" w:rsidR="002C6E5E" w:rsidRPr="002C6E5E" w:rsidRDefault="002C6E5E" w:rsidP="002C6E5E">
      <w:pPr>
        <w:spacing w:after="0" w:line="240" w:lineRule="auto"/>
        <w:rPr>
          <w:rFonts w:ascii="Times New Roman" w:eastAsia="Times New Roman" w:hAnsi="Times New Roman" w:cs="Times New Roman"/>
          <w:kern w:val="0"/>
          <w:sz w:val="24"/>
          <w:szCs w:val="24"/>
          <w:lang w:eastAsia="en-CA"/>
          <w14:ligatures w14:val="none"/>
        </w:rPr>
      </w:pPr>
    </w:p>
    <w:p w14:paraId="33A8569A" w14:textId="77777777" w:rsidR="002C6E5E" w:rsidRDefault="002C6E5E" w:rsidP="002C6E5E">
      <w:pPr>
        <w:spacing w:after="0" w:line="240" w:lineRule="auto"/>
        <w:ind w:left="720"/>
        <w:rPr>
          <w:rFonts w:ascii="Calibri" w:eastAsia="Times New Roman" w:hAnsi="Calibri" w:cs="Calibri"/>
          <w:color w:val="000000"/>
          <w:kern w:val="0"/>
          <w:lang w:eastAsia="en-CA"/>
          <w14:ligatures w14:val="none"/>
        </w:rPr>
      </w:pPr>
      <w:r w:rsidRPr="002C6E5E">
        <w:rPr>
          <w:rFonts w:ascii="Calibri" w:eastAsia="Times New Roman" w:hAnsi="Calibri" w:cs="Calibri"/>
          <w:noProof/>
          <w:color w:val="000000"/>
          <w:kern w:val="0"/>
          <w:bdr w:val="none" w:sz="0" w:space="0" w:color="auto" w:frame="1"/>
          <w:lang w:eastAsia="en-CA"/>
          <w14:ligatures w14:val="none"/>
        </w:rPr>
        <w:drawing>
          <wp:inline distT="0" distB="0" distL="0" distR="0" wp14:anchorId="322915AF" wp14:editId="790D4103">
            <wp:extent cx="3178175" cy="4394200"/>
            <wp:effectExtent l="0" t="0" r="3175" b="6350"/>
            <wp:docPr id="393196103"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96103" name="Picture 6" descr="A screenshot of a comput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8175" cy="4394200"/>
                    </a:xfrm>
                    <a:prstGeom prst="rect">
                      <a:avLst/>
                    </a:prstGeom>
                    <a:noFill/>
                    <a:ln>
                      <a:noFill/>
                    </a:ln>
                  </pic:spPr>
                </pic:pic>
              </a:graphicData>
            </a:graphic>
          </wp:inline>
        </w:drawing>
      </w:r>
    </w:p>
    <w:p w14:paraId="6F604382" w14:textId="77777777" w:rsidR="002C6E5E" w:rsidRPr="002C6E5E" w:rsidRDefault="002C6E5E" w:rsidP="002C6E5E">
      <w:pPr>
        <w:pStyle w:val="ListParagraph"/>
        <w:numPr>
          <w:ilvl w:val="0"/>
          <w:numId w:val="12"/>
        </w:numPr>
        <w:spacing w:after="0" w:line="240" w:lineRule="auto"/>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color w:val="000000"/>
          <w:kern w:val="0"/>
          <w:lang w:eastAsia="en-CA"/>
          <w14:ligatures w14:val="none"/>
        </w:rPr>
        <w:t>Morans I = 0.368</w:t>
      </w:r>
    </w:p>
    <w:p w14:paraId="495A1628" w14:textId="77777777" w:rsidR="002C6E5E" w:rsidRPr="002C6E5E" w:rsidRDefault="002C6E5E" w:rsidP="002C6E5E">
      <w:pPr>
        <w:pStyle w:val="ListParagraph"/>
        <w:spacing w:after="0" w:line="240" w:lineRule="auto"/>
        <w:rPr>
          <w:rFonts w:ascii="Times New Roman" w:eastAsia="Times New Roman" w:hAnsi="Times New Roman" w:cs="Times New Roman"/>
          <w:kern w:val="0"/>
          <w:sz w:val="24"/>
          <w:szCs w:val="24"/>
          <w:lang w:eastAsia="en-CA"/>
          <w14:ligatures w14:val="none"/>
        </w:rPr>
      </w:pPr>
    </w:p>
    <w:p w14:paraId="22CF9A23" w14:textId="77777777" w:rsidR="002C6E5E" w:rsidRPr="002C6E5E" w:rsidRDefault="002C6E5E" w:rsidP="002C6E5E">
      <w:pPr>
        <w:pStyle w:val="ListParagraph"/>
        <w:numPr>
          <w:ilvl w:val="0"/>
          <w:numId w:val="12"/>
        </w:numPr>
        <w:spacing w:after="0" w:line="240" w:lineRule="auto"/>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color w:val="000000"/>
          <w:kern w:val="0"/>
          <w:lang w:eastAsia="en-CA"/>
          <w14:ligatures w14:val="none"/>
        </w:rPr>
        <w:t>The pseudo p-value is 0.005000</w:t>
      </w:r>
    </w:p>
    <w:p w14:paraId="1158E3D2" w14:textId="77777777" w:rsidR="002C6E5E" w:rsidRPr="002C6E5E" w:rsidRDefault="002C6E5E" w:rsidP="002C6E5E">
      <w:pPr>
        <w:pStyle w:val="ListParagraph"/>
        <w:rPr>
          <w:rFonts w:ascii="Calibri" w:eastAsia="Times New Roman" w:hAnsi="Calibri" w:cs="Calibri"/>
          <w:color w:val="000000"/>
          <w:kern w:val="0"/>
          <w:lang w:eastAsia="en-CA"/>
          <w14:ligatures w14:val="none"/>
        </w:rPr>
      </w:pPr>
    </w:p>
    <w:p w14:paraId="59714159" w14:textId="77777777" w:rsidR="002C6E5E" w:rsidRPr="002C6E5E" w:rsidRDefault="002C6E5E" w:rsidP="002C6E5E">
      <w:pPr>
        <w:pStyle w:val="ListParagraph"/>
        <w:numPr>
          <w:ilvl w:val="0"/>
          <w:numId w:val="12"/>
        </w:numPr>
        <w:spacing w:after="0" w:line="240" w:lineRule="auto"/>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color w:val="000000"/>
          <w:kern w:val="0"/>
          <w:lang w:eastAsia="en-CA"/>
          <w14:ligatures w14:val="none"/>
        </w:rPr>
        <w:t>The pseudo p-value is 0.00100</w:t>
      </w:r>
    </w:p>
    <w:p w14:paraId="68E4DEB4" w14:textId="77777777" w:rsidR="002C6E5E" w:rsidRPr="002C6E5E" w:rsidRDefault="002C6E5E" w:rsidP="002C6E5E">
      <w:pPr>
        <w:pStyle w:val="ListParagraph"/>
        <w:rPr>
          <w:rFonts w:ascii="Calibri" w:eastAsia="Times New Roman" w:hAnsi="Calibri" w:cs="Calibri"/>
          <w:color w:val="000000"/>
          <w:kern w:val="0"/>
          <w:lang w:eastAsia="en-CA"/>
          <w14:ligatures w14:val="none"/>
        </w:rPr>
      </w:pPr>
    </w:p>
    <w:p w14:paraId="3A26FB9E" w14:textId="77777777" w:rsidR="002C6E5E" w:rsidRPr="002C6E5E" w:rsidRDefault="002C6E5E" w:rsidP="002C6E5E">
      <w:pPr>
        <w:pStyle w:val="ListParagraph"/>
        <w:numPr>
          <w:ilvl w:val="0"/>
          <w:numId w:val="12"/>
        </w:numPr>
        <w:spacing w:after="0" w:line="240" w:lineRule="auto"/>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color w:val="000000"/>
          <w:kern w:val="0"/>
          <w:lang w:eastAsia="en-CA"/>
          <w14:ligatures w14:val="none"/>
        </w:rPr>
        <w:lastRenderedPageBreak/>
        <w:t>Both of these p-values that we have generated indicate that there is evidence of spatial autocorrelation for this map. The permutation values are simply the amount of times that the data values are randomly shuffled to create random patterns and each time a new Moran’s I is calculated. It compares the new Moran’s I to the original Moran’s I (0.368), and the p-value tells us if our original Moran’s I is significant. </w:t>
      </w:r>
    </w:p>
    <w:p w14:paraId="048FB3D8" w14:textId="77777777" w:rsidR="002C6E5E" w:rsidRPr="002C6E5E" w:rsidRDefault="002C6E5E" w:rsidP="002C6E5E">
      <w:pPr>
        <w:pStyle w:val="ListParagraph"/>
        <w:rPr>
          <w:rFonts w:ascii="Calibri" w:eastAsia="Times New Roman" w:hAnsi="Calibri" w:cs="Calibri"/>
          <w:color w:val="000000"/>
          <w:kern w:val="0"/>
          <w:lang w:eastAsia="en-CA"/>
          <w14:ligatures w14:val="none"/>
        </w:rPr>
      </w:pPr>
    </w:p>
    <w:p w14:paraId="1A7BA66C" w14:textId="77777777" w:rsidR="002C6E5E" w:rsidRDefault="002C6E5E" w:rsidP="002C6E5E">
      <w:pPr>
        <w:pStyle w:val="ListParagraph"/>
        <w:spacing w:after="0" w:line="240" w:lineRule="auto"/>
        <w:rPr>
          <w:rFonts w:ascii="Calibri" w:eastAsia="Times New Roman" w:hAnsi="Calibri" w:cs="Calibri"/>
          <w:color w:val="000000"/>
          <w:kern w:val="0"/>
          <w:lang w:eastAsia="en-CA"/>
          <w14:ligatures w14:val="none"/>
        </w:rPr>
      </w:pPr>
      <w:r w:rsidRPr="002C6E5E">
        <w:rPr>
          <w:rFonts w:ascii="Calibri" w:eastAsia="Times New Roman" w:hAnsi="Calibri" w:cs="Calibri"/>
          <w:color w:val="000000"/>
          <w:kern w:val="0"/>
          <w:lang w:eastAsia="en-CA"/>
          <w14:ligatures w14:val="none"/>
        </w:rPr>
        <w:t>The difference between the p-values yielded by the “999 permutations” and “199 permutations” is just the amount of random shuffling. The former is shuffled 800 more times, and this reduces the likelihood of obtaining extreme Moran’s I value by chance. Thus, this provides us with a more reliable p value. This is like running statistical tests where you have significance levels of p=0.05 and p=0.01. In the “999 permutation” scenario, the chances of us finding the Moran’s I of 0.368 by chance alone is less than 1%, so we conclude that is significant and that there is spatial autocorrelation in our data.</w:t>
      </w:r>
    </w:p>
    <w:p w14:paraId="2D094576" w14:textId="77777777" w:rsidR="002C6E5E" w:rsidRDefault="002C6E5E" w:rsidP="002C6E5E">
      <w:pPr>
        <w:pStyle w:val="ListParagraph"/>
        <w:spacing w:after="0" w:line="240" w:lineRule="auto"/>
        <w:rPr>
          <w:rFonts w:ascii="Calibri" w:eastAsia="Times New Roman" w:hAnsi="Calibri" w:cs="Calibri"/>
          <w:color w:val="000000"/>
          <w:kern w:val="0"/>
          <w:lang w:eastAsia="en-CA"/>
          <w14:ligatures w14:val="none"/>
        </w:rPr>
      </w:pPr>
    </w:p>
    <w:p w14:paraId="5A81C021" w14:textId="6CDBAA6F" w:rsidR="002C6E5E" w:rsidRPr="002C6E5E" w:rsidRDefault="002C6E5E" w:rsidP="002C6E5E">
      <w:pPr>
        <w:pStyle w:val="ListParagraph"/>
        <w:numPr>
          <w:ilvl w:val="0"/>
          <w:numId w:val="12"/>
        </w:num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2044"/>
        <w:gridCol w:w="1009"/>
        <w:gridCol w:w="1053"/>
      </w:tblGrid>
      <w:tr w:rsidR="002C6E5E" w:rsidRPr="002C6E5E" w14:paraId="29A69454" w14:textId="77777777" w:rsidTr="002C6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490D9" w14:textId="77777777" w:rsidR="002C6E5E" w:rsidRPr="002C6E5E" w:rsidRDefault="002C6E5E" w:rsidP="002C6E5E">
            <w:pPr>
              <w:spacing w:line="240" w:lineRule="auto"/>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color w:val="000000"/>
                <w:kern w:val="0"/>
                <w:lang w:eastAsia="en-CA"/>
                <w14:ligatures w14:val="none"/>
              </w:rPr>
              <w:t>999 Permutations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5AD06" w14:textId="77777777" w:rsidR="002C6E5E" w:rsidRPr="002C6E5E" w:rsidRDefault="002C6E5E" w:rsidP="002C6E5E">
            <w:pPr>
              <w:spacing w:line="240" w:lineRule="auto"/>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color w:val="000000"/>
                <w:kern w:val="0"/>
                <w:lang w:eastAsia="en-CA"/>
                <w14:ligatures w14:val="none"/>
              </w:rPr>
              <w:t>Morans 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6B9101" w14:textId="77777777" w:rsidR="002C6E5E" w:rsidRPr="002C6E5E" w:rsidRDefault="002C6E5E" w:rsidP="002C6E5E">
            <w:pPr>
              <w:spacing w:line="240" w:lineRule="auto"/>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color w:val="000000"/>
                <w:kern w:val="0"/>
                <w:lang w:eastAsia="en-CA"/>
                <w14:ligatures w14:val="none"/>
              </w:rPr>
              <w:t>P Values</w:t>
            </w:r>
          </w:p>
        </w:tc>
      </w:tr>
      <w:tr w:rsidR="002C6E5E" w:rsidRPr="002C6E5E" w14:paraId="39033384" w14:textId="77777777" w:rsidTr="002C6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5207F" w14:textId="77777777" w:rsidR="002C6E5E" w:rsidRPr="002C6E5E" w:rsidRDefault="002C6E5E" w:rsidP="002C6E5E">
            <w:pPr>
              <w:spacing w:line="240" w:lineRule="auto"/>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color w:val="000000"/>
                <w:kern w:val="0"/>
                <w:lang w:eastAsia="en-CA"/>
                <w14:ligatures w14:val="none"/>
              </w:rPr>
              <w:t>1</w:t>
            </w:r>
            <w:r w:rsidRPr="002C6E5E">
              <w:rPr>
                <w:rFonts w:ascii="Calibri" w:eastAsia="Times New Roman" w:hAnsi="Calibri" w:cs="Calibri"/>
                <w:color w:val="000000"/>
                <w:kern w:val="0"/>
                <w:sz w:val="13"/>
                <w:szCs w:val="13"/>
                <w:vertAlign w:val="superscript"/>
                <w:lang w:eastAsia="en-CA"/>
                <w14:ligatures w14:val="none"/>
              </w:rPr>
              <w:t>st</w:t>
            </w:r>
            <w:r w:rsidRPr="002C6E5E">
              <w:rPr>
                <w:rFonts w:ascii="Calibri" w:eastAsia="Times New Roman" w:hAnsi="Calibri" w:cs="Calibri"/>
                <w:color w:val="000000"/>
                <w:kern w:val="0"/>
                <w:lang w:eastAsia="en-CA"/>
                <w14:ligatures w14:val="none"/>
              </w:rPr>
              <w:t xml:space="preserve"> order contiguities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0C9B00" w14:textId="77777777" w:rsidR="002C6E5E" w:rsidRPr="002C6E5E" w:rsidRDefault="002C6E5E" w:rsidP="002C6E5E">
            <w:pPr>
              <w:spacing w:line="240" w:lineRule="auto"/>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color w:val="000000"/>
                <w:kern w:val="0"/>
                <w:lang w:eastAsia="en-CA"/>
                <w14:ligatures w14:val="none"/>
              </w:rPr>
              <w:t>0.368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33A5F" w14:textId="77777777" w:rsidR="002C6E5E" w:rsidRPr="002C6E5E" w:rsidRDefault="002C6E5E" w:rsidP="002C6E5E">
            <w:pPr>
              <w:spacing w:line="240" w:lineRule="auto"/>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color w:val="000000"/>
                <w:kern w:val="0"/>
                <w:lang w:eastAsia="en-CA"/>
                <w14:ligatures w14:val="none"/>
              </w:rPr>
              <w:t>0.001</w:t>
            </w:r>
          </w:p>
        </w:tc>
      </w:tr>
      <w:tr w:rsidR="002C6E5E" w:rsidRPr="002C6E5E" w14:paraId="7501D03A" w14:textId="77777777" w:rsidTr="002C6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C2319" w14:textId="77777777" w:rsidR="002C6E5E" w:rsidRPr="002C6E5E" w:rsidRDefault="002C6E5E" w:rsidP="002C6E5E">
            <w:pPr>
              <w:spacing w:line="240" w:lineRule="auto"/>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color w:val="000000"/>
                <w:kern w:val="0"/>
                <w:lang w:eastAsia="en-CA"/>
                <w14:ligatures w14:val="none"/>
              </w:rPr>
              <w:t>2</w:t>
            </w:r>
            <w:r w:rsidRPr="002C6E5E">
              <w:rPr>
                <w:rFonts w:ascii="Calibri" w:eastAsia="Times New Roman" w:hAnsi="Calibri" w:cs="Calibri"/>
                <w:color w:val="000000"/>
                <w:kern w:val="0"/>
                <w:sz w:val="13"/>
                <w:szCs w:val="13"/>
                <w:vertAlign w:val="superscript"/>
                <w:lang w:eastAsia="en-CA"/>
                <w14:ligatures w14:val="none"/>
              </w:rPr>
              <w:t>nd</w:t>
            </w:r>
            <w:r w:rsidRPr="002C6E5E">
              <w:rPr>
                <w:rFonts w:ascii="Calibri" w:eastAsia="Times New Roman" w:hAnsi="Calibri" w:cs="Calibri"/>
                <w:color w:val="000000"/>
                <w:kern w:val="0"/>
                <w:lang w:eastAsia="en-CA"/>
                <w14:ligatures w14:val="none"/>
              </w:rPr>
              <w:t xml:space="preserve"> order contiguities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B4F3E" w14:textId="77777777" w:rsidR="002C6E5E" w:rsidRPr="002C6E5E" w:rsidRDefault="002C6E5E" w:rsidP="002C6E5E">
            <w:pPr>
              <w:spacing w:line="240" w:lineRule="auto"/>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color w:val="000000"/>
                <w:kern w:val="0"/>
                <w:lang w:eastAsia="en-CA"/>
                <w14:ligatures w14:val="none"/>
              </w:rPr>
              <w:t>0.158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C0392" w14:textId="77777777" w:rsidR="002C6E5E" w:rsidRPr="002C6E5E" w:rsidRDefault="002C6E5E" w:rsidP="002C6E5E">
            <w:pPr>
              <w:spacing w:line="240" w:lineRule="auto"/>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color w:val="000000"/>
                <w:kern w:val="0"/>
                <w:lang w:eastAsia="en-CA"/>
                <w14:ligatures w14:val="none"/>
              </w:rPr>
              <w:t>0.001</w:t>
            </w:r>
          </w:p>
        </w:tc>
      </w:tr>
      <w:tr w:rsidR="002C6E5E" w:rsidRPr="002C6E5E" w14:paraId="150FAC46" w14:textId="77777777" w:rsidTr="002C6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9E3941" w14:textId="77777777" w:rsidR="002C6E5E" w:rsidRPr="002C6E5E" w:rsidRDefault="002C6E5E" w:rsidP="002C6E5E">
            <w:pPr>
              <w:spacing w:line="240" w:lineRule="auto"/>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color w:val="000000"/>
                <w:kern w:val="0"/>
                <w:lang w:eastAsia="en-CA"/>
                <w14:ligatures w14:val="none"/>
              </w:rPr>
              <w:t>3</w:t>
            </w:r>
            <w:r w:rsidRPr="002C6E5E">
              <w:rPr>
                <w:rFonts w:ascii="Calibri" w:eastAsia="Times New Roman" w:hAnsi="Calibri" w:cs="Calibri"/>
                <w:color w:val="000000"/>
                <w:kern w:val="0"/>
                <w:sz w:val="13"/>
                <w:szCs w:val="13"/>
                <w:vertAlign w:val="superscript"/>
                <w:lang w:eastAsia="en-CA"/>
                <w14:ligatures w14:val="none"/>
              </w:rPr>
              <w:t>rd</w:t>
            </w:r>
            <w:r w:rsidRPr="002C6E5E">
              <w:rPr>
                <w:rFonts w:ascii="Calibri" w:eastAsia="Times New Roman" w:hAnsi="Calibri" w:cs="Calibri"/>
                <w:color w:val="000000"/>
                <w:kern w:val="0"/>
                <w:lang w:eastAsia="en-CA"/>
                <w14:ligatures w14:val="none"/>
              </w:rPr>
              <w:t xml:space="preserve"> order contiguities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759F1" w14:textId="77777777" w:rsidR="002C6E5E" w:rsidRPr="002C6E5E" w:rsidRDefault="002C6E5E" w:rsidP="002C6E5E">
            <w:pPr>
              <w:spacing w:line="240" w:lineRule="auto"/>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color w:val="000000"/>
                <w:kern w:val="0"/>
                <w:lang w:eastAsia="en-CA"/>
                <w14:ligatures w14:val="none"/>
              </w:rPr>
              <w:t>-0.000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23889" w14:textId="77777777" w:rsidR="002C6E5E" w:rsidRPr="002C6E5E" w:rsidRDefault="002C6E5E" w:rsidP="002C6E5E">
            <w:pPr>
              <w:spacing w:line="240" w:lineRule="auto"/>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color w:val="000000"/>
                <w:kern w:val="0"/>
                <w:lang w:eastAsia="en-CA"/>
                <w14:ligatures w14:val="none"/>
              </w:rPr>
              <w:t>0.365000</w:t>
            </w:r>
          </w:p>
        </w:tc>
      </w:tr>
    </w:tbl>
    <w:p w14:paraId="4D0F109E" w14:textId="77777777" w:rsidR="002C6E5E" w:rsidRDefault="002C6E5E" w:rsidP="002C6E5E">
      <w:pPr>
        <w:spacing w:after="0" w:line="240" w:lineRule="auto"/>
        <w:rPr>
          <w:rFonts w:ascii="Times New Roman" w:eastAsia="Times New Roman" w:hAnsi="Times New Roman" w:cs="Times New Roman"/>
          <w:kern w:val="0"/>
          <w:sz w:val="24"/>
          <w:szCs w:val="24"/>
          <w:lang w:eastAsia="en-CA"/>
          <w14:ligatures w14:val="none"/>
        </w:rPr>
      </w:pPr>
    </w:p>
    <w:p w14:paraId="55A3D3D2" w14:textId="74E4A416" w:rsidR="002C6E5E" w:rsidRPr="002C6E5E" w:rsidRDefault="002C6E5E" w:rsidP="002C6E5E">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10. </w:t>
      </w:r>
      <w:r w:rsidRPr="002C6E5E">
        <w:rPr>
          <w:rFonts w:ascii="Calibri" w:eastAsia="Times New Roman" w:hAnsi="Calibri" w:cs="Calibri"/>
          <w:color w:val="000000"/>
          <w:kern w:val="0"/>
          <w:lang w:eastAsia="en-CA"/>
          <w14:ligatures w14:val="none"/>
        </w:rPr>
        <w:t>As we move from 1</w:t>
      </w:r>
      <w:r w:rsidRPr="002C6E5E">
        <w:rPr>
          <w:rFonts w:ascii="Calibri" w:eastAsia="Times New Roman" w:hAnsi="Calibri" w:cs="Calibri"/>
          <w:color w:val="000000"/>
          <w:kern w:val="0"/>
          <w:sz w:val="13"/>
          <w:szCs w:val="13"/>
          <w:vertAlign w:val="superscript"/>
          <w:lang w:eastAsia="en-CA"/>
          <w14:ligatures w14:val="none"/>
        </w:rPr>
        <w:t>st</w:t>
      </w:r>
      <w:r w:rsidRPr="002C6E5E">
        <w:rPr>
          <w:rFonts w:ascii="Calibri" w:eastAsia="Times New Roman" w:hAnsi="Calibri" w:cs="Calibri"/>
          <w:color w:val="000000"/>
          <w:kern w:val="0"/>
          <w:lang w:eastAsia="en-CA"/>
          <w14:ligatures w14:val="none"/>
        </w:rPr>
        <w:t xml:space="preserve"> order contiguities to 2</w:t>
      </w:r>
      <w:r w:rsidRPr="002C6E5E">
        <w:rPr>
          <w:rFonts w:ascii="Calibri" w:eastAsia="Times New Roman" w:hAnsi="Calibri" w:cs="Calibri"/>
          <w:color w:val="000000"/>
          <w:kern w:val="0"/>
          <w:sz w:val="13"/>
          <w:szCs w:val="13"/>
          <w:vertAlign w:val="superscript"/>
          <w:lang w:eastAsia="en-CA"/>
          <w14:ligatures w14:val="none"/>
        </w:rPr>
        <w:t>nd</w:t>
      </w:r>
      <w:r w:rsidRPr="002C6E5E">
        <w:rPr>
          <w:rFonts w:ascii="Calibri" w:eastAsia="Times New Roman" w:hAnsi="Calibri" w:cs="Calibri"/>
          <w:color w:val="000000"/>
          <w:kern w:val="0"/>
          <w:lang w:eastAsia="en-CA"/>
          <w14:ligatures w14:val="none"/>
        </w:rPr>
        <w:t xml:space="preserve"> order, our Morans I value goes down. This suggests that our previous positive autocorrelation has now reduced. This is because as we increase the level of our orders (i.e. from 1</w:t>
      </w:r>
      <w:r w:rsidRPr="002C6E5E">
        <w:rPr>
          <w:rFonts w:ascii="Calibri" w:eastAsia="Times New Roman" w:hAnsi="Calibri" w:cs="Calibri"/>
          <w:color w:val="000000"/>
          <w:kern w:val="0"/>
          <w:sz w:val="13"/>
          <w:szCs w:val="13"/>
          <w:vertAlign w:val="superscript"/>
          <w:lang w:eastAsia="en-CA"/>
          <w14:ligatures w14:val="none"/>
        </w:rPr>
        <w:t>st</w:t>
      </w:r>
      <w:r w:rsidRPr="002C6E5E">
        <w:rPr>
          <w:rFonts w:ascii="Calibri" w:eastAsia="Times New Roman" w:hAnsi="Calibri" w:cs="Calibri"/>
          <w:color w:val="000000"/>
          <w:kern w:val="0"/>
          <w:lang w:eastAsia="en-CA"/>
          <w14:ligatures w14:val="none"/>
        </w:rPr>
        <w:t xml:space="preserve"> to 2</w:t>
      </w:r>
      <w:r w:rsidRPr="002C6E5E">
        <w:rPr>
          <w:rFonts w:ascii="Calibri" w:eastAsia="Times New Roman" w:hAnsi="Calibri" w:cs="Calibri"/>
          <w:color w:val="000000"/>
          <w:kern w:val="0"/>
          <w:sz w:val="13"/>
          <w:szCs w:val="13"/>
          <w:vertAlign w:val="superscript"/>
          <w:lang w:eastAsia="en-CA"/>
          <w14:ligatures w14:val="none"/>
        </w:rPr>
        <w:t>nd</w:t>
      </w:r>
      <w:r w:rsidRPr="002C6E5E">
        <w:rPr>
          <w:rFonts w:ascii="Calibri" w:eastAsia="Times New Roman" w:hAnsi="Calibri" w:cs="Calibri"/>
          <w:color w:val="000000"/>
          <w:kern w:val="0"/>
          <w:lang w:eastAsia="en-CA"/>
          <w14:ligatures w14:val="none"/>
        </w:rPr>
        <w:t>) we are telling GeoDa to include more neighboring polygons. In the first order, we are only looking at the neighbours, but in the second order we are looking at the neighbors of the neighbors as well. </w:t>
      </w:r>
    </w:p>
    <w:p w14:paraId="0901F78F" w14:textId="77777777" w:rsidR="002C6E5E" w:rsidRPr="002C6E5E" w:rsidRDefault="002C6E5E" w:rsidP="002C6E5E">
      <w:pPr>
        <w:spacing w:after="0" w:line="240" w:lineRule="auto"/>
        <w:rPr>
          <w:rFonts w:ascii="Times New Roman" w:eastAsia="Times New Roman" w:hAnsi="Times New Roman" w:cs="Times New Roman"/>
          <w:kern w:val="0"/>
          <w:sz w:val="24"/>
          <w:szCs w:val="24"/>
          <w:lang w:eastAsia="en-CA"/>
          <w14:ligatures w14:val="none"/>
        </w:rPr>
      </w:pPr>
    </w:p>
    <w:p w14:paraId="2B82DB61" w14:textId="77777777" w:rsidR="002C6E5E" w:rsidRPr="002C6E5E" w:rsidRDefault="002C6E5E" w:rsidP="002C6E5E">
      <w:pPr>
        <w:spacing w:after="0" w:line="240" w:lineRule="auto"/>
        <w:ind w:left="720"/>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color w:val="000000"/>
          <w:kern w:val="0"/>
          <w:lang w:eastAsia="en-CA"/>
          <w14:ligatures w14:val="none"/>
        </w:rPr>
        <w:t>This trend continues into the 3</w:t>
      </w:r>
      <w:r w:rsidRPr="002C6E5E">
        <w:rPr>
          <w:rFonts w:ascii="Calibri" w:eastAsia="Times New Roman" w:hAnsi="Calibri" w:cs="Calibri"/>
          <w:color w:val="000000"/>
          <w:kern w:val="0"/>
          <w:sz w:val="13"/>
          <w:szCs w:val="13"/>
          <w:vertAlign w:val="superscript"/>
          <w:lang w:eastAsia="en-CA"/>
          <w14:ligatures w14:val="none"/>
        </w:rPr>
        <w:t>rd</w:t>
      </w:r>
      <w:r w:rsidRPr="002C6E5E">
        <w:rPr>
          <w:rFonts w:ascii="Calibri" w:eastAsia="Times New Roman" w:hAnsi="Calibri" w:cs="Calibri"/>
          <w:color w:val="000000"/>
          <w:kern w:val="0"/>
          <w:lang w:eastAsia="en-CA"/>
          <w14:ligatures w14:val="none"/>
        </w:rPr>
        <w:t xml:space="preserve"> order contiguity where we lose significance entirely and Morans I indicates that there is no longer any spatial autocorrelation. The significant positive autocorrelation that we observed at the 1</w:t>
      </w:r>
      <w:r w:rsidRPr="002C6E5E">
        <w:rPr>
          <w:rFonts w:ascii="Calibri" w:eastAsia="Times New Roman" w:hAnsi="Calibri" w:cs="Calibri"/>
          <w:color w:val="000000"/>
          <w:kern w:val="0"/>
          <w:sz w:val="13"/>
          <w:szCs w:val="13"/>
          <w:vertAlign w:val="superscript"/>
          <w:lang w:eastAsia="en-CA"/>
          <w14:ligatures w14:val="none"/>
        </w:rPr>
        <w:t>st</w:t>
      </w:r>
      <w:r w:rsidRPr="002C6E5E">
        <w:rPr>
          <w:rFonts w:ascii="Calibri" w:eastAsia="Times New Roman" w:hAnsi="Calibri" w:cs="Calibri"/>
          <w:color w:val="000000"/>
          <w:kern w:val="0"/>
          <w:lang w:eastAsia="en-CA"/>
          <w14:ligatures w14:val="none"/>
        </w:rPr>
        <w:t xml:space="preserve"> and 2</w:t>
      </w:r>
      <w:r w:rsidRPr="002C6E5E">
        <w:rPr>
          <w:rFonts w:ascii="Calibri" w:eastAsia="Times New Roman" w:hAnsi="Calibri" w:cs="Calibri"/>
          <w:color w:val="000000"/>
          <w:kern w:val="0"/>
          <w:sz w:val="13"/>
          <w:szCs w:val="13"/>
          <w:vertAlign w:val="superscript"/>
          <w:lang w:eastAsia="en-CA"/>
          <w14:ligatures w14:val="none"/>
        </w:rPr>
        <w:t>nd</w:t>
      </w:r>
      <w:r w:rsidRPr="002C6E5E">
        <w:rPr>
          <w:rFonts w:ascii="Calibri" w:eastAsia="Times New Roman" w:hAnsi="Calibri" w:cs="Calibri"/>
          <w:color w:val="000000"/>
          <w:kern w:val="0"/>
          <w:lang w:eastAsia="en-CA"/>
          <w14:ligatures w14:val="none"/>
        </w:rPr>
        <w:t xml:space="preserve"> order does not exist at the 3</w:t>
      </w:r>
      <w:r w:rsidRPr="002C6E5E">
        <w:rPr>
          <w:rFonts w:ascii="Calibri" w:eastAsia="Times New Roman" w:hAnsi="Calibri" w:cs="Calibri"/>
          <w:color w:val="000000"/>
          <w:kern w:val="0"/>
          <w:sz w:val="13"/>
          <w:szCs w:val="13"/>
          <w:vertAlign w:val="superscript"/>
          <w:lang w:eastAsia="en-CA"/>
          <w14:ligatures w14:val="none"/>
        </w:rPr>
        <w:t>rd</w:t>
      </w:r>
      <w:r w:rsidRPr="002C6E5E">
        <w:rPr>
          <w:rFonts w:ascii="Calibri" w:eastAsia="Times New Roman" w:hAnsi="Calibri" w:cs="Calibri"/>
          <w:color w:val="000000"/>
          <w:kern w:val="0"/>
          <w:lang w:eastAsia="en-CA"/>
          <w14:ligatures w14:val="none"/>
        </w:rPr>
        <w:t xml:space="preserve"> order. </w:t>
      </w:r>
    </w:p>
    <w:p w14:paraId="5626D514" w14:textId="77777777" w:rsidR="002C6E5E" w:rsidRPr="002C6E5E" w:rsidRDefault="002C6E5E" w:rsidP="002C6E5E">
      <w:pPr>
        <w:spacing w:after="0" w:line="240" w:lineRule="auto"/>
        <w:rPr>
          <w:rFonts w:ascii="Times New Roman" w:eastAsia="Times New Roman" w:hAnsi="Times New Roman" w:cs="Times New Roman"/>
          <w:kern w:val="0"/>
          <w:sz w:val="24"/>
          <w:szCs w:val="24"/>
          <w:lang w:eastAsia="en-CA"/>
          <w14:ligatures w14:val="none"/>
        </w:rPr>
      </w:pPr>
    </w:p>
    <w:p w14:paraId="2AC94CFD" w14:textId="77777777" w:rsidR="002C6E5E" w:rsidRPr="002C6E5E" w:rsidRDefault="002C6E5E" w:rsidP="002C6E5E">
      <w:pPr>
        <w:spacing w:line="240" w:lineRule="auto"/>
        <w:ind w:left="720"/>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color w:val="000000"/>
          <w:kern w:val="0"/>
          <w:lang w:eastAsia="en-CA"/>
          <w14:ligatures w14:val="none"/>
        </w:rPr>
        <w:t>This intuitively makes sense with our Kitchener data. 3</w:t>
      </w:r>
      <w:r w:rsidRPr="002C6E5E">
        <w:rPr>
          <w:rFonts w:ascii="Calibri" w:eastAsia="Times New Roman" w:hAnsi="Calibri" w:cs="Calibri"/>
          <w:color w:val="000000"/>
          <w:kern w:val="0"/>
          <w:sz w:val="13"/>
          <w:szCs w:val="13"/>
          <w:vertAlign w:val="superscript"/>
          <w:lang w:eastAsia="en-CA"/>
          <w14:ligatures w14:val="none"/>
        </w:rPr>
        <w:t>rd</w:t>
      </w:r>
      <w:r w:rsidRPr="002C6E5E">
        <w:rPr>
          <w:rFonts w:ascii="Calibri" w:eastAsia="Times New Roman" w:hAnsi="Calibri" w:cs="Calibri"/>
          <w:color w:val="000000"/>
          <w:kern w:val="0"/>
          <w:lang w:eastAsia="en-CA"/>
          <w14:ligatures w14:val="none"/>
        </w:rPr>
        <w:t xml:space="preserve"> order contiguities would include more relationships between distant polygons that do not have any relationship with some of the clusters we noticed in the immediate visualization and introduces noise to our data. </w:t>
      </w:r>
    </w:p>
    <w:p w14:paraId="079B4EE5" w14:textId="77777777" w:rsidR="002C6E5E" w:rsidRPr="002C6E5E" w:rsidRDefault="002C6E5E" w:rsidP="002C6E5E">
      <w:pPr>
        <w:spacing w:after="0" w:line="240" w:lineRule="auto"/>
        <w:rPr>
          <w:rFonts w:ascii="Times New Roman" w:eastAsia="Times New Roman" w:hAnsi="Times New Roman" w:cs="Times New Roman"/>
          <w:kern w:val="0"/>
          <w:sz w:val="24"/>
          <w:szCs w:val="24"/>
          <w:lang w:eastAsia="en-CA"/>
          <w14:ligatures w14:val="none"/>
        </w:rPr>
      </w:pPr>
      <w:r w:rsidRPr="002C6E5E">
        <w:rPr>
          <w:rFonts w:ascii="Times New Roman" w:eastAsia="Times New Roman" w:hAnsi="Times New Roman" w:cs="Times New Roman"/>
          <w:kern w:val="0"/>
          <w:sz w:val="24"/>
          <w:szCs w:val="24"/>
          <w:lang w:eastAsia="en-CA"/>
          <w14:ligatures w14:val="none"/>
        </w:rPr>
        <w:br/>
      </w:r>
    </w:p>
    <w:p w14:paraId="6C2E5785" w14:textId="3848BD22" w:rsidR="002C6E5E" w:rsidRPr="002C6E5E" w:rsidRDefault="002C6E5E" w:rsidP="002C6E5E">
      <w:pPr>
        <w:numPr>
          <w:ilvl w:val="0"/>
          <w:numId w:val="11"/>
        </w:numPr>
        <w:spacing w:line="240" w:lineRule="auto"/>
        <w:textAlignment w:val="baseline"/>
        <w:rPr>
          <w:rFonts w:ascii="Calibri" w:eastAsia="Times New Roman" w:hAnsi="Calibri" w:cs="Calibri"/>
          <w:color w:val="000000"/>
          <w:kern w:val="0"/>
          <w:lang w:eastAsia="en-CA"/>
          <w14:ligatures w14:val="none"/>
        </w:rPr>
      </w:pPr>
      <w:r w:rsidRPr="002C6E5E">
        <w:rPr>
          <w:rFonts w:ascii="Calibri" w:eastAsia="Times New Roman" w:hAnsi="Calibri" w:cs="Calibri"/>
          <w:color w:val="000000"/>
          <w:kern w:val="0"/>
          <w:lang w:eastAsia="en-CA"/>
          <w14:ligatures w14:val="none"/>
        </w:rPr>
        <w:lastRenderedPageBreak/>
        <w:br/>
      </w:r>
      <w:r w:rsidRPr="002C6E5E">
        <w:rPr>
          <w:rFonts w:ascii="Calibri" w:eastAsia="Times New Roman" w:hAnsi="Calibri" w:cs="Calibri"/>
          <w:color w:val="000000"/>
          <w:kern w:val="0"/>
          <w:lang w:eastAsia="en-CA"/>
          <w14:ligatures w14:val="none"/>
        </w:rPr>
        <w:br/>
      </w:r>
      <w:r w:rsidRPr="002C6E5E">
        <w:rPr>
          <w:rFonts w:ascii="Calibri" w:eastAsia="Times New Roman" w:hAnsi="Calibri" w:cs="Calibri"/>
          <w:noProof/>
          <w:color w:val="000000"/>
          <w:kern w:val="0"/>
          <w:bdr w:val="none" w:sz="0" w:space="0" w:color="auto" w:frame="1"/>
          <w:lang w:eastAsia="en-CA"/>
          <w14:ligatures w14:val="none"/>
        </w:rPr>
        <w:drawing>
          <wp:inline distT="0" distB="0" distL="0" distR="0" wp14:anchorId="6D31B8D5" wp14:editId="749FFA0D">
            <wp:extent cx="5943600" cy="2102485"/>
            <wp:effectExtent l="0" t="0" r="0" b="0"/>
            <wp:docPr id="476583836"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83836" name="Picture 5"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02485"/>
                    </a:xfrm>
                    <a:prstGeom prst="rect">
                      <a:avLst/>
                    </a:prstGeom>
                    <a:noFill/>
                    <a:ln>
                      <a:noFill/>
                    </a:ln>
                  </pic:spPr>
                </pic:pic>
              </a:graphicData>
            </a:graphic>
          </wp:inline>
        </w:drawing>
      </w:r>
    </w:p>
    <w:p w14:paraId="48E06939" w14:textId="77777777" w:rsidR="002C6E5E" w:rsidRPr="002C6E5E" w:rsidRDefault="002C6E5E" w:rsidP="002C6E5E">
      <w:pPr>
        <w:spacing w:after="0" w:line="240" w:lineRule="auto"/>
        <w:rPr>
          <w:rFonts w:ascii="Times New Roman" w:eastAsia="Times New Roman" w:hAnsi="Times New Roman" w:cs="Times New Roman"/>
          <w:kern w:val="0"/>
          <w:sz w:val="24"/>
          <w:szCs w:val="24"/>
          <w:lang w:eastAsia="en-CA"/>
          <w14:ligatures w14:val="none"/>
        </w:rPr>
      </w:pPr>
    </w:p>
    <w:p w14:paraId="64319CBA" w14:textId="784B26E6" w:rsidR="002C6E5E" w:rsidRPr="002C6E5E" w:rsidRDefault="002C6E5E" w:rsidP="002C6E5E">
      <w:pPr>
        <w:spacing w:line="240" w:lineRule="auto"/>
        <w:ind w:left="360"/>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noProof/>
          <w:color w:val="000000"/>
          <w:kern w:val="0"/>
          <w:bdr w:val="none" w:sz="0" w:space="0" w:color="auto" w:frame="1"/>
          <w:lang w:eastAsia="en-CA"/>
          <w14:ligatures w14:val="none"/>
        </w:rPr>
        <w:drawing>
          <wp:inline distT="0" distB="0" distL="0" distR="0" wp14:anchorId="278CB08D" wp14:editId="23C93035">
            <wp:extent cx="5943600" cy="2120265"/>
            <wp:effectExtent l="0" t="0" r="0" b="0"/>
            <wp:docPr id="1407279893"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79893" name="Picture 4"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20265"/>
                    </a:xfrm>
                    <a:prstGeom prst="rect">
                      <a:avLst/>
                    </a:prstGeom>
                    <a:noFill/>
                    <a:ln>
                      <a:noFill/>
                    </a:ln>
                  </pic:spPr>
                </pic:pic>
              </a:graphicData>
            </a:graphic>
          </wp:inline>
        </w:drawing>
      </w:r>
    </w:p>
    <w:p w14:paraId="5E56706C" w14:textId="74466FB2" w:rsidR="002C6E5E" w:rsidRDefault="002C6E5E" w:rsidP="002C6E5E">
      <w:pPr>
        <w:spacing w:line="240" w:lineRule="auto"/>
        <w:ind w:left="360"/>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noProof/>
          <w:color w:val="000000"/>
          <w:kern w:val="0"/>
          <w:bdr w:val="none" w:sz="0" w:space="0" w:color="auto" w:frame="1"/>
          <w:lang w:eastAsia="en-CA"/>
          <w14:ligatures w14:val="none"/>
        </w:rPr>
        <w:drawing>
          <wp:inline distT="0" distB="0" distL="0" distR="0" wp14:anchorId="5B5DDDB9" wp14:editId="28F2201D">
            <wp:extent cx="5943600" cy="1969770"/>
            <wp:effectExtent l="0" t="0" r="0" b="0"/>
            <wp:docPr id="143331520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69770"/>
                    </a:xfrm>
                    <a:prstGeom prst="rect">
                      <a:avLst/>
                    </a:prstGeom>
                    <a:noFill/>
                    <a:ln>
                      <a:noFill/>
                    </a:ln>
                  </pic:spPr>
                </pic:pic>
              </a:graphicData>
            </a:graphic>
          </wp:inline>
        </w:drawing>
      </w:r>
    </w:p>
    <w:p w14:paraId="17F1EDC2" w14:textId="77777777" w:rsidR="002C6E5E" w:rsidRDefault="002C6E5E" w:rsidP="002C6E5E">
      <w:pPr>
        <w:spacing w:line="240" w:lineRule="auto"/>
        <w:ind w:left="360"/>
        <w:rPr>
          <w:rFonts w:ascii="Times New Roman" w:eastAsia="Times New Roman" w:hAnsi="Times New Roman" w:cs="Times New Roman"/>
          <w:kern w:val="0"/>
          <w:sz w:val="24"/>
          <w:szCs w:val="24"/>
          <w:lang w:eastAsia="en-CA"/>
          <w14:ligatures w14:val="none"/>
        </w:rPr>
      </w:pPr>
    </w:p>
    <w:p w14:paraId="68AD66A1" w14:textId="77777777" w:rsidR="002C6E5E" w:rsidRDefault="002C6E5E" w:rsidP="002C6E5E">
      <w:pPr>
        <w:spacing w:line="240" w:lineRule="auto"/>
        <w:ind w:left="360"/>
        <w:rPr>
          <w:rFonts w:ascii="Times New Roman" w:eastAsia="Times New Roman" w:hAnsi="Times New Roman" w:cs="Times New Roman"/>
          <w:kern w:val="0"/>
          <w:sz w:val="24"/>
          <w:szCs w:val="24"/>
          <w:lang w:eastAsia="en-CA"/>
          <w14:ligatures w14:val="none"/>
        </w:rPr>
      </w:pPr>
    </w:p>
    <w:p w14:paraId="467E4900" w14:textId="77777777" w:rsidR="002C6E5E" w:rsidRDefault="002C6E5E" w:rsidP="002C6E5E">
      <w:pPr>
        <w:spacing w:line="240" w:lineRule="auto"/>
        <w:ind w:left="360"/>
        <w:rPr>
          <w:rFonts w:ascii="Times New Roman" w:eastAsia="Times New Roman" w:hAnsi="Times New Roman" w:cs="Times New Roman"/>
          <w:kern w:val="0"/>
          <w:sz w:val="24"/>
          <w:szCs w:val="24"/>
          <w:lang w:eastAsia="en-CA"/>
          <w14:ligatures w14:val="none"/>
        </w:rPr>
      </w:pPr>
    </w:p>
    <w:p w14:paraId="65A0F2AD" w14:textId="77777777" w:rsidR="002C6E5E" w:rsidRDefault="002C6E5E" w:rsidP="002C6E5E">
      <w:pPr>
        <w:spacing w:line="240" w:lineRule="auto"/>
        <w:ind w:left="360"/>
        <w:rPr>
          <w:rFonts w:ascii="Times New Roman" w:eastAsia="Times New Roman" w:hAnsi="Times New Roman" w:cs="Times New Roman"/>
          <w:kern w:val="0"/>
          <w:sz w:val="24"/>
          <w:szCs w:val="24"/>
          <w:lang w:eastAsia="en-CA"/>
          <w14:ligatures w14:val="none"/>
        </w:rPr>
      </w:pPr>
    </w:p>
    <w:p w14:paraId="6A606B4A" w14:textId="77777777" w:rsidR="002C6E5E" w:rsidRPr="002C6E5E" w:rsidRDefault="002C6E5E" w:rsidP="002C6E5E">
      <w:pPr>
        <w:spacing w:line="240" w:lineRule="auto"/>
        <w:ind w:left="360"/>
        <w:rPr>
          <w:rFonts w:ascii="Times New Roman" w:eastAsia="Times New Roman" w:hAnsi="Times New Roman" w:cs="Times New Roman"/>
          <w:kern w:val="0"/>
          <w:sz w:val="24"/>
          <w:szCs w:val="24"/>
          <w:lang w:eastAsia="en-CA"/>
          <w14:ligatures w14:val="none"/>
        </w:rPr>
      </w:pPr>
    </w:p>
    <w:p w14:paraId="3523CBCE" w14:textId="77777777" w:rsidR="002C6E5E" w:rsidRPr="002C6E5E" w:rsidRDefault="002C6E5E" w:rsidP="002C6E5E">
      <w:pPr>
        <w:spacing w:line="240" w:lineRule="auto"/>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color w:val="000000"/>
          <w:kern w:val="0"/>
          <w:lang w:eastAsia="en-CA"/>
          <w14:ligatures w14:val="none"/>
        </w:rPr>
        <w:t>12 &amp; 13. By using a smaller areal units (dissemination area versus census tract) we see our Morans I increase positively for each n</w:t>
      </w:r>
      <w:r w:rsidRPr="002C6E5E">
        <w:rPr>
          <w:rFonts w:ascii="Calibri" w:eastAsia="Times New Roman" w:hAnsi="Calibri" w:cs="Calibri"/>
          <w:color w:val="000000"/>
          <w:kern w:val="0"/>
          <w:sz w:val="13"/>
          <w:szCs w:val="13"/>
          <w:vertAlign w:val="superscript"/>
          <w:lang w:eastAsia="en-CA"/>
          <w14:ligatures w14:val="none"/>
        </w:rPr>
        <w:t xml:space="preserve">th </w:t>
      </w:r>
      <w:r w:rsidRPr="002C6E5E">
        <w:rPr>
          <w:rFonts w:ascii="Calibri" w:eastAsia="Times New Roman" w:hAnsi="Calibri" w:cs="Calibri"/>
          <w:color w:val="000000"/>
          <w:kern w:val="0"/>
          <w:lang w:eastAsia="en-CA"/>
          <w14:ligatures w14:val="none"/>
        </w:rPr>
        <w:t>order contiguity. Of note is the Moran’s I of 0.067 which remains significant at 3</w:t>
      </w:r>
      <w:r w:rsidRPr="002C6E5E">
        <w:rPr>
          <w:rFonts w:ascii="Calibri" w:eastAsia="Times New Roman" w:hAnsi="Calibri" w:cs="Calibri"/>
          <w:color w:val="000000"/>
          <w:kern w:val="0"/>
          <w:sz w:val="13"/>
          <w:szCs w:val="13"/>
          <w:vertAlign w:val="superscript"/>
          <w:lang w:eastAsia="en-CA"/>
          <w14:ligatures w14:val="none"/>
        </w:rPr>
        <w:t>rd</w:t>
      </w:r>
      <w:r w:rsidRPr="002C6E5E">
        <w:rPr>
          <w:rFonts w:ascii="Calibri" w:eastAsia="Times New Roman" w:hAnsi="Calibri" w:cs="Calibri"/>
          <w:color w:val="000000"/>
          <w:kern w:val="0"/>
          <w:lang w:eastAsia="en-CA"/>
          <w14:ligatures w14:val="none"/>
        </w:rPr>
        <w:t xml:space="preserve"> order contiguity with a p-value of 0.001. This contrasts with what we saw with the census tract map. This is because we are using a smaller areal unit, and this increases our sensitivity in small geographical areas. These smaller areas are more likely to share boundaries with each other as well. As they are more likely to share more boundaries, our queen contiguity will include more neighboring polygons, especially at the first order where we have our highest Moran’s I (0.402). </w:t>
      </w:r>
    </w:p>
    <w:p w14:paraId="394E7F3E" w14:textId="77777777" w:rsidR="002C6E5E" w:rsidRPr="002C6E5E" w:rsidRDefault="002C6E5E" w:rsidP="002C6E5E">
      <w:pPr>
        <w:spacing w:line="240" w:lineRule="auto"/>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color w:val="000000"/>
          <w:kern w:val="0"/>
          <w:lang w:eastAsia="en-CA"/>
          <w14:ligatures w14:val="none"/>
        </w:rPr>
        <w:t>This can be seen roughly in the following snippets from our projects. In the large DA cluster, there are far more polygons with neighbors than in the CT cluster. This demonstrates that using smaller areal units can be beneficial for spatial scale when looking at high populations in small geographic boundaries. </w:t>
      </w:r>
    </w:p>
    <w:p w14:paraId="13744C76" w14:textId="77777777" w:rsidR="002C6E5E" w:rsidRPr="002C6E5E" w:rsidRDefault="002C6E5E" w:rsidP="002C6E5E">
      <w:pPr>
        <w:spacing w:after="0" w:line="240" w:lineRule="auto"/>
        <w:rPr>
          <w:rFonts w:ascii="Times New Roman" w:eastAsia="Times New Roman" w:hAnsi="Times New Roman" w:cs="Times New Roman"/>
          <w:kern w:val="0"/>
          <w:sz w:val="24"/>
          <w:szCs w:val="24"/>
          <w:lang w:eastAsia="en-CA"/>
          <w14:ligatures w14:val="none"/>
        </w:rPr>
      </w:pPr>
    </w:p>
    <w:p w14:paraId="6FA603A9" w14:textId="611ED4A7" w:rsidR="002C6E5E" w:rsidRPr="002C6E5E" w:rsidRDefault="002C6E5E" w:rsidP="002C6E5E">
      <w:pPr>
        <w:spacing w:line="240" w:lineRule="auto"/>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noProof/>
          <w:color w:val="000000"/>
          <w:kern w:val="0"/>
          <w:bdr w:val="none" w:sz="0" w:space="0" w:color="auto" w:frame="1"/>
          <w:lang w:eastAsia="en-CA"/>
          <w14:ligatures w14:val="none"/>
        </w:rPr>
        <w:drawing>
          <wp:inline distT="0" distB="0" distL="0" distR="0" wp14:anchorId="3B0FED81" wp14:editId="6B98D48B">
            <wp:extent cx="2858770" cy="1713230"/>
            <wp:effectExtent l="0" t="0" r="0" b="1270"/>
            <wp:docPr id="1599379808" name="Picture 2" descr="Figure 1. DA Cluster Snippe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1. DA Cluster Snippet&#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8770" cy="1713230"/>
                    </a:xfrm>
                    <a:prstGeom prst="rect">
                      <a:avLst/>
                    </a:prstGeom>
                    <a:noFill/>
                    <a:ln>
                      <a:noFill/>
                    </a:ln>
                  </pic:spPr>
                </pic:pic>
              </a:graphicData>
            </a:graphic>
          </wp:inline>
        </w:drawing>
      </w:r>
    </w:p>
    <w:p w14:paraId="4EE75E75" w14:textId="77777777" w:rsidR="002C6E5E" w:rsidRPr="002C6E5E" w:rsidRDefault="002C6E5E" w:rsidP="002C6E5E">
      <w:pPr>
        <w:spacing w:after="200" w:line="240" w:lineRule="auto"/>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i/>
          <w:iCs/>
          <w:color w:val="44546A"/>
          <w:kern w:val="0"/>
          <w:sz w:val="18"/>
          <w:szCs w:val="18"/>
          <w:lang w:eastAsia="en-CA"/>
          <w14:ligatures w14:val="none"/>
        </w:rPr>
        <w:t>Figure 1. DA Cluster Snippet</w:t>
      </w:r>
    </w:p>
    <w:p w14:paraId="1D1F9648" w14:textId="06C4A0D0" w:rsidR="002C6E5E" w:rsidRPr="002C6E5E" w:rsidRDefault="002C6E5E" w:rsidP="002C6E5E">
      <w:pPr>
        <w:spacing w:after="200" w:line="240" w:lineRule="auto"/>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i/>
          <w:iCs/>
          <w:noProof/>
          <w:color w:val="44546A"/>
          <w:kern w:val="0"/>
          <w:sz w:val="18"/>
          <w:szCs w:val="18"/>
          <w:bdr w:val="none" w:sz="0" w:space="0" w:color="auto" w:frame="1"/>
          <w:lang w:eastAsia="en-CA"/>
          <w14:ligatures w14:val="none"/>
        </w:rPr>
        <w:drawing>
          <wp:inline distT="0" distB="0" distL="0" distR="0" wp14:anchorId="6D174BE5" wp14:editId="7E907425">
            <wp:extent cx="2583180" cy="1668780"/>
            <wp:effectExtent l="0" t="0" r="7620" b="7620"/>
            <wp:docPr id="1061439178" name="Picture 1" descr="A picture containing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39178" name="Picture 1" descr="A picture containing map&#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3180" cy="1668780"/>
                    </a:xfrm>
                    <a:prstGeom prst="rect">
                      <a:avLst/>
                    </a:prstGeom>
                    <a:noFill/>
                    <a:ln>
                      <a:noFill/>
                    </a:ln>
                  </pic:spPr>
                </pic:pic>
              </a:graphicData>
            </a:graphic>
          </wp:inline>
        </w:drawing>
      </w:r>
    </w:p>
    <w:p w14:paraId="5FD51196" w14:textId="77777777" w:rsidR="002C6E5E" w:rsidRPr="002C6E5E" w:rsidRDefault="002C6E5E" w:rsidP="002C6E5E">
      <w:pPr>
        <w:spacing w:after="200" w:line="240" w:lineRule="auto"/>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i/>
          <w:iCs/>
          <w:color w:val="44546A"/>
          <w:kern w:val="0"/>
          <w:sz w:val="18"/>
          <w:szCs w:val="18"/>
          <w:lang w:eastAsia="en-CA"/>
          <w14:ligatures w14:val="none"/>
        </w:rPr>
        <w:t>Figure 2. CT Cluster Snippet</w:t>
      </w:r>
    </w:p>
    <w:p w14:paraId="0C1081A2" w14:textId="77777777" w:rsidR="002C6E5E" w:rsidRPr="002C6E5E" w:rsidRDefault="002C6E5E" w:rsidP="002C6E5E">
      <w:pPr>
        <w:spacing w:line="240" w:lineRule="auto"/>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color w:val="000000"/>
          <w:kern w:val="0"/>
          <w:lang w:eastAsia="en-CA"/>
          <w14:ligatures w14:val="none"/>
        </w:rPr>
        <w:t>14</w:t>
      </w:r>
      <w:r w:rsidRPr="002C6E5E">
        <w:rPr>
          <w:rFonts w:ascii="Calibri" w:eastAsia="Times New Roman" w:hAnsi="Calibri" w:cs="Calibri"/>
          <w:i/>
          <w:iCs/>
          <w:color w:val="000000"/>
          <w:kern w:val="0"/>
          <w:lang w:eastAsia="en-CA"/>
          <w14:ligatures w14:val="none"/>
        </w:rPr>
        <w:t xml:space="preserve">. </w:t>
      </w:r>
      <w:r w:rsidRPr="002C6E5E">
        <w:rPr>
          <w:rFonts w:ascii="Calibri" w:eastAsia="Times New Roman" w:hAnsi="Calibri" w:cs="Calibri"/>
          <w:color w:val="000000"/>
          <w:kern w:val="0"/>
          <w:lang w:eastAsia="en-CA"/>
          <w14:ligatures w14:val="none"/>
        </w:rPr>
        <w:t>One could imagine the usefulness of this finer spatial scale when trying to determine the outbreak location of a disease in a major urban area. Moran’s I would be extremely helpful in quantifying spatial autocorrelation between potential disease sites. For example, studying COVID-19 cases in a densely populated city. Calculating Moran’s I would allow them to find out whether there is positive, none, or negative spatial correlation of COVID-19 in the city. If they identified positive autocorrelation in certain areas, it can inform them to target these areas more consistently with interventions.  </w:t>
      </w:r>
    </w:p>
    <w:p w14:paraId="7049EB08" w14:textId="77777777" w:rsidR="002C6E5E" w:rsidRPr="002C6E5E" w:rsidRDefault="002C6E5E" w:rsidP="002C6E5E">
      <w:pPr>
        <w:spacing w:after="200" w:line="240" w:lineRule="auto"/>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i/>
          <w:iCs/>
          <w:color w:val="44546A"/>
          <w:kern w:val="0"/>
          <w:sz w:val="18"/>
          <w:szCs w:val="18"/>
          <w:lang w:eastAsia="en-CA"/>
          <w14:ligatures w14:val="none"/>
        </w:rPr>
        <w:t>   </w:t>
      </w:r>
    </w:p>
    <w:p w14:paraId="5C000525" w14:textId="4E69DEE4" w:rsidR="00982674" w:rsidRPr="002C6E5E" w:rsidRDefault="002C6E5E" w:rsidP="002C6E5E">
      <w:pPr>
        <w:spacing w:line="240" w:lineRule="auto"/>
        <w:ind w:left="360"/>
        <w:rPr>
          <w:rFonts w:ascii="Times New Roman" w:eastAsia="Times New Roman" w:hAnsi="Times New Roman" w:cs="Times New Roman"/>
          <w:kern w:val="0"/>
          <w:sz w:val="24"/>
          <w:szCs w:val="24"/>
          <w:lang w:eastAsia="en-CA"/>
          <w14:ligatures w14:val="none"/>
        </w:rPr>
      </w:pPr>
      <w:r w:rsidRPr="002C6E5E">
        <w:rPr>
          <w:rFonts w:ascii="Calibri" w:eastAsia="Times New Roman" w:hAnsi="Calibri" w:cs="Calibri"/>
          <w:color w:val="000000"/>
          <w:kern w:val="0"/>
          <w:lang w:eastAsia="en-CA"/>
          <w14:ligatures w14:val="none"/>
        </w:rPr>
        <w:t> </w:t>
      </w:r>
    </w:p>
    <w:sectPr w:rsidR="00982674" w:rsidRPr="002C6E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5793"/>
    <w:multiLevelType w:val="hybridMultilevel"/>
    <w:tmpl w:val="1E4807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B95F0B"/>
    <w:multiLevelType w:val="multilevel"/>
    <w:tmpl w:val="0CA0B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3778F"/>
    <w:multiLevelType w:val="multilevel"/>
    <w:tmpl w:val="13EC9D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644C9"/>
    <w:multiLevelType w:val="multilevel"/>
    <w:tmpl w:val="237CD0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321465"/>
    <w:multiLevelType w:val="multilevel"/>
    <w:tmpl w:val="531017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84506C"/>
    <w:multiLevelType w:val="multilevel"/>
    <w:tmpl w:val="E6EA61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561EDC"/>
    <w:multiLevelType w:val="multilevel"/>
    <w:tmpl w:val="507281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8E06F7"/>
    <w:multiLevelType w:val="multilevel"/>
    <w:tmpl w:val="DC3463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A25E36"/>
    <w:multiLevelType w:val="multilevel"/>
    <w:tmpl w:val="1CA404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2670077">
    <w:abstractNumId w:val="1"/>
  </w:num>
  <w:num w:numId="2" w16cid:durableId="89743876">
    <w:abstractNumId w:val="5"/>
    <w:lvlOverride w:ilvl="0">
      <w:lvl w:ilvl="0">
        <w:numFmt w:val="decimal"/>
        <w:lvlText w:val="%1."/>
        <w:lvlJc w:val="left"/>
      </w:lvl>
    </w:lvlOverride>
  </w:num>
  <w:num w:numId="3" w16cid:durableId="570702085">
    <w:abstractNumId w:val="3"/>
    <w:lvlOverride w:ilvl="0">
      <w:lvl w:ilvl="0">
        <w:numFmt w:val="decimal"/>
        <w:lvlText w:val="%1."/>
        <w:lvlJc w:val="left"/>
      </w:lvl>
    </w:lvlOverride>
  </w:num>
  <w:num w:numId="4" w16cid:durableId="293632975">
    <w:abstractNumId w:val="2"/>
    <w:lvlOverride w:ilvl="0">
      <w:lvl w:ilvl="0">
        <w:numFmt w:val="decimal"/>
        <w:lvlText w:val="%1."/>
        <w:lvlJc w:val="left"/>
      </w:lvl>
    </w:lvlOverride>
  </w:num>
  <w:num w:numId="5" w16cid:durableId="1040973998">
    <w:abstractNumId w:val="8"/>
    <w:lvlOverride w:ilvl="0">
      <w:lvl w:ilvl="0">
        <w:numFmt w:val="decimal"/>
        <w:lvlText w:val="%1."/>
        <w:lvlJc w:val="left"/>
      </w:lvl>
    </w:lvlOverride>
  </w:num>
  <w:num w:numId="6" w16cid:durableId="1912621084">
    <w:abstractNumId w:val="8"/>
    <w:lvlOverride w:ilvl="0">
      <w:lvl w:ilvl="0">
        <w:numFmt w:val="decimal"/>
        <w:lvlText w:val="%1."/>
        <w:lvlJc w:val="left"/>
      </w:lvl>
    </w:lvlOverride>
  </w:num>
  <w:num w:numId="7" w16cid:durableId="1455175725">
    <w:abstractNumId w:val="8"/>
    <w:lvlOverride w:ilvl="0">
      <w:lvl w:ilvl="0">
        <w:numFmt w:val="decimal"/>
        <w:lvlText w:val="%1."/>
        <w:lvlJc w:val="left"/>
      </w:lvl>
    </w:lvlOverride>
  </w:num>
  <w:num w:numId="8" w16cid:durableId="1200972205">
    <w:abstractNumId w:val="8"/>
    <w:lvlOverride w:ilvl="0">
      <w:lvl w:ilvl="0">
        <w:numFmt w:val="decimal"/>
        <w:lvlText w:val="%1."/>
        <w:lvlJc w:val="left"/>
      </w:lvl>
    </w:lvlOverride>
  </w:num>
  <w:num w:numId="9" w16cid:durableId="639532713">
    <w:abstractNumId w:val="7"/>
    <w:lvlOverride w:ilvl="0">
      <w:lvl w:ilvl="0">
        <w:numFmt w:val="decimal"/>
        <w:lvlText w:val="%1."/>
        <w:lvlJc w:val="left"/>
      </w:lvl>
    </w:lvlOverride>
  </w:num>
  <w:num w:numId="10" w16cid:durableId="983192382">
    <w:abstractNumId w:val="4"/>
    <w:lvlOverride w:ilvl="0">
      <w:lvl w:ilvl="0">
        <w:numFmt w:val="decimal"/>
        <w:lvlText w:val="%1."/>
        <w:lvlJc w:val="left"/>
      </w:lvl>
    </w:lvlOverride>
  </w:num>
  <w:num w:numId="11" w16cid:durableId="569072572">
    <w:abstractNumId w:val="6"/>
    <w:lvlOverride w:ilvl="0">
      <w:lvl w:ilvl="0">
        <w:numFmt w:val="decimal"/>
        <w:lvlText w:val="%1."/>
        <w:lvlJc w:val="left"/>
      </w:lvl>
    </w:lvlOverride>
  </w:num>
  <w:num w:numId="12" w16cid:durableId="1164706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5E"/>
    <w:rsid w:val="000F420D"/>
    <w:rsid w:val="002C6E5E"/>
    <w:rsid w:val="00854006"/>
    <w:rsid w:val="00982674"/>
    <w:rsid w:val="0099404E"/>
    <w:rsid w:val="00AA0E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B432"/>
  <w15:chartTrackingRefBased/>
  <w15:docId w15:val="{FC03279A-3F95-468B-BE55-2ADC1229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E5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2C6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93130">
      <w:bodyDiv w:val="1"/>
      <w:marLeft w:val="0"/>
      <w:marRight w:val="0"/>
      <w:marTop w:val="0"/>
      <w:marBottom w:val="0"/>
      <w:divBdr>
        <w:top w:val="none" w:sz="0" w:space="0" w:color="auto"/>
        <w:left w:val="none" w:sz="0" w:space="0" w:color="auto"/>
        <w:bottom w:val="none" w:sz="0" w:space="0" w:color="auto"/>
        <w:right w:val="none" w:sz="0" w:space="0" w:color="auto"/>
      </w:divBdr>
      <w:divsChild>
        <w:div w:id="37466975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Lago</dc:creator>
  <cp:keywords/>
  <dc:description/>
  <cp:lastModifiedBy>Kyle Lago</cp:lastModifiedBy>
  <cp:revision>3</cp:revision>
  <dcterms:created xsi:type="dcterms:W3CDTF">2023-06-17T00:56:00Z</dcterms:created>
  <dcterms:modified xsi:type="dcterms:W3CDTF">2023-06-25T19:23:00Z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52d94e32-9dd5-4d5a-834b-bd470f6de033</vt:lpwstr>
  </property>
</Properties>
</file>