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b/>
          <w:color w:val="002B49"/>
          <w:sz w:val="60"/>
        </w:rPr>
        <w:t>COM7022 Machine Learning</w:t>
      </w:r>
    </w:p>
    <w:p>
      <w:r>
        <w:rPr>
          <w:color w:val="008F8B"/>
          <w:sz w:val="36"/>
        </w:rPr>
        <w:t>Product Segmentation and Performance Clustering</w:t>
      </w:r>
    </w:p>
    <w:p>
      <w:r>
        <w:rPr>
          <w:sz w:val="24"/>
        </w:rPr>
        <w:t>Portfolio: Task 1 (Practical Project) and Task 2 (Critical Report)</w:t>
      </w:r>
    </w:p>
    <w:p/>
    <w:p>
      <w:r>
        <w:rPr>
          <w:b/>
        </w:rPr>
        <w:t xml:space="preserve">Student ID:  </w:t>
      </w:r>
      <w:r>
        <w:t>25199053</w:t>
      </w:r>
    </w:p>
    <w:p>
      <w:r>
        <w:rPr>
          <w:b/>
        </w:rPr>
        <w:t xml:space="preserve">Module:  </w:t>
      </w:r>
      <w:r>
        <w:t>COM7022 Machine Learning, Assignment [5444]</w:t>
      </w:r>
    </w:p>
    <w:p>
      <w:r>
        <w:rPr>
          <w:b/>
        </w:rPr>
        <w:t xml:space="preserve">Programme:  </w:t>
      </w:r>
      <w:r>
        <w:t>MSc Data Science, Arden University Berlin</w:t>
      </w:r>
    </w:p>
    <w:p>
      <w:r>
        <w:rPr>
          <w:b/>
        </w:rPr>
        <w:t xml:space="preserve">Dataset:  </w:t>
      </w:r>
      <w:r>
        <w:t>Sales-[5444].csv (1,000 e-commerce fragrance listings)</w:t>
      </w:r>
    </w:p>
    <w:p>
      <w:r>
        <w:rPr>
          <w:b/>
        </w:rPr>
        <w:t xml:space="preserve">GitHub repository (all materials):  </w:t>
      </w:r>
      <w:r>
        <w:t>https://github.com/kvmmn/_COM7022_MachineLearning</w:t>
      </w:r>
    </w:p>
    <w:p>
      <w:r>
        <w:rPr>
          <w:b/>
        </w:rPr>
        <w:t xml:space="preserve">Notebook:  </w:t>
      </w:r>
      <w:r>
        <w:t>COM7022 - Assignment/COM7022_Clustering_25199053.ipynb</w:t>
      </w:r>
    </w:p>
    <w:p>
      <w:r>
        <w:rPr>
          <w:b/>
        </w:rPr>
        <w:t xml:space="preserve">Word count:  </w:t>
      </w:r>
      <w:r>
        <w:t>2,892 words of body prose (Introduction 457, Task 1 1569, Task 2 866); captions, tables, code screenshots, references and appendix excluded</w:t>
      </w:r>
    </w:p>
    <w:p/>
    <w:p>
      <w:r>
        <w:rPr>
          <w:i/>
          <w:sz w:val="19"/>
        </w:rPr>
        <w:t>All figures, tables and code screenshots in this report are saved in the GitHub repository above. The caption under each one names the exact file.</w:t>
      </w:r>
    </w:p>
    <w:p>
      <w:r>
        <w:br w:type="page"/>
      </w:r>
    </w:p>
    <w:p>
      <w:pPr>
        <w:pStyle w:val="Heading1"/>
      </w:pPr>
      <w:r>
        <w:t>1. Introduction</w:t>
      </w:r>
    </w:p>
    <w:p>
      <w:pPr>
        <w:pStyle w:val="Heading2"/>
      </w:pPr>
      <w:r>
        <w:t>1.1 The company and the business context</w:t>
      </w:r>
    </w:p>
    <w:p>
      <w:r>
        <w:t>I joined a fast-growing online marketplace as a Machine Learning Analyst. The company lets many independent sellers list the same kinds of products side by side, so its catalogue grows faster than any team can review by hand. Managers must still decide which listings to promote, which to restock and which to retire. They currently have no systematic way to tell a fast-selling staple from a slow premium item or a listing that is about to run out.</w:t>
      </w:r>
    </w:p>
    <w:p>
      <w:pPr>
        <w:pStyle w:val="Heading2"/>
      </w:pPr>
      <w:r>
        <w:t>1.2 The data</w:t>
      </w:r>
    </w:p>
    <w:p>
      <w:r>
        <w:t xml:space="preserve">The company supplied one file, Sales-[5444].csv, with </w:t>
      </w:r>
      <w:r>
        <w:rPr>
          <w:b/>
        </w:rPr>
        <w:t>1,000 product listings and 10 columns</w:t>
      </w:r>
      <w:r>
        <w:t>. The listings are men’s fragrances. Each row holds the product name and description, a category label, the price, the stock shown to buyers, a text field with stock and units sold, the last update time and the item location. Each row is one seller’s listing, not one unique product, so the clusters describe listings.</w:t>
      </w:r>
    </w:p>
    <w:p>
      <w:pPr>
        <w:pStyle w:val="Heading2"/>
      </w:pPr>
      <w:r>
        <w:t>1.3 The problem</w:t>
      </w:r>
    </w:p>
    <w:p>
      <w:r>
        <w:t xml:space="preserve">Three problems stand in the way of a data-driven catalogue. The catalogue is too large to review manually. The data is messy: values are missing, category names are inconsistent, and exact stock above 10 units is hidden. Finally, there are no labels that say which listing is a “best-seller” or a “slow mover”, so a supervised model cannot be trained. The company needs a way to </w:t>
      </w:r>
      <w:r>
        <w:rPr>
          <w:b/>
        </w:rPr>
        <w:t>discover</w:t>
      </w:r>
      <w:r>
        <w:t xml:space="preserve"> the natural groups in its own data.</w:t>
      </w:r>
    </w:p>
    <w:p>
      <w:pPr>
        <w:pStyle w:val="Heading2"/>
      </w:pPr>
      <w:r>
        <w:t>1.4 Objectives</w:t>
      </w:r>
    </w:p>
    <w:p>
      <w:r>
        <w:t>My own objectives for this project are:</w:t>
      </w:r>
    </w:p>
    <w:p>
      <w:pPr>
        <w:pStyle w:val="ListBullet"/>
      </w:pPr>
      <w:r>
        <w:rPr>
          <w:b/>
        </w:rPr>
        <w:t>O1. Prepare</w:t>
      </w:r>
      <w:r>
        <w:t xml:space="preserve"> the data so that every cleaning decision is evidence-based and reported.</w:t>
      </w:r>
    </w:p>
    <w:p>
      <w:pPr>
        <w:pStyle w:val="ListBullet"/>
      </w:pPr>
      <w:r>
        <w:rPr>
          <w:b/>
        </w:rPr>
        <w:t>O2. Group</w:t>
      </w:r>
      <w:r>
        <w:t xml:space="preserve"> listings by product characteristics and sales performance using K-Means, Hierarchical clustering and DBSCAN.</w:t>
      </w:r>
    </w:p>
    <w:p>
      <w:pPr>
        <w:pStyle w:val="ListBullet"/>
      </w:pPr>
      <w:r>
        <w:rPr>
          <w:b/>
        </w:rPr>
        <w:t>O3. Evaluate</w:t>
      </w:r>
      <w:r>
        <w:t xml:space="preserve"> the models with several different metrics, not one, and say what each metric can and cannot tell us.</w:t>
      </w:r>
    </w:p>
    <w:p>
      <w:pPr>
        <w:pStyle w:val="ListBullet"/>
      </w:pPr>
      <w:r>
        <w:rPr>
          <w:b/>
        </w:rPr>
        <w:t>O4. Choose</w:t>
      </w:r>
      <w:r>
        <w:t xml:space="preserve"> the model that is best technically and best for an e-commerce business.</w:t>
      </w:r>
    </w:p>
    <w:p>
      <w:pPr>
        <w:pStyle w:val="ListBullet"/>
      </w:pPr>
      <w:r>
        <w:rPr>
          <w:b/>
        </w:rPr>
        <w:t>O5. Translate</w:t>
      </w:r>
      <w:r>
        <w:t xml:space="preserve"> the segments into actions that non-technical managers can use.</w:t>
      </w:r>
    </w:p>
    <w:p>
      <w:pPr>
        <w:pStyle w:val="Heading2"/>
      </w:pPr>
      <w:r>
        <w:t>1.5 Approach and method</w:t>
      </w:r>
    </w:p>
    <w:p>
      <w:r>
        <w:t>I followed the standard machine learning workflow shown in Figure 1: understand the problem, audit and clean the data, transform and scale it, select features, reduce dimensions with PCA for viewing, fit three clustering techniques, evaluate them, choose one, profile the segments and turn them into business actions. All work is in Python (pandas, scikit-learn, SciPy, matplotlib) in one notebook that runs end to end on Google Colab with fixed random seeds. The notebook was re-run from scratch before writing this report, and it reproduced every number below.</w:t>
      </w:r>
    </w:p>
    <w:p>
      <w:r>
        <w:t>The report has two parts. Task 1 documents the practical work: data preparation, model selection and evaluation. Task 2 is the critical report for managers: why K-Means was chosen, how the models performed, what the company should do and where the work could go next. Every figure, table and code screenshot names the file in the GitHub repository that produced it, so a reader can check any result.</w:t>
      </w:r>
    </w:p>
    <w:p>
      <w:pPr>
        <w:keepNext/>
        <w:jc w:val="center"/>
      </w:pPr>
      <w:r>
        <w:drawing>
          <wp:inline xmlns:a="http://schemas.openxmlformats.org/drawingml/2006/main" xmlns:pic="http://schemas.openxmlformats.org/drawingml/2006/picture">
            <wp:extent cx="5760000" cy="2734484"/>
            <wp:docPr id="1" name="Picture 1"/>
            <wp:cNvGraphicFramePr>
              <a:graphicFrameLocks noChangeAspect="1"/>
            </wp:cNvGraphicFramePr>
            <a:graphic>
              <a:graphicData uri="http://schemas.openxmlformats.org/drawingml/2006/picture">
                <pic:pic>
                  <pic:nvPicPr>
                    <pic:cNvPr id="0" name="fig15_workflow.png"/>
                    <pic:cNvPicPr/>
                  </pic:nvPicPr>
                  <pic:blipFill>
                    <a:blip r:embed="rId10"/>
                    <a:stretch>
                      <a:fillRect/>
                    </a:stretch>
                  </pic:blipFill>
                  <pic:spPr>
                    <a:xfrm>
                      <a:off x="0" y="0"/>
                      <a:ext cx="5760000" cy="2734484"/>
                    </a:xfrm>
                    <a:prstGeom prst="rect"/>
                  </pic:spPr>
                </pic:pic>
              </a:graphicData>
            </a:graphic>
          </wp:inline>
        </w:drawing>
      </w:r>
    </w:p>
    <w:p>
      <w:pPr>
        <w:spacing w:after="160"/>
      </w:pPr>
      <w:r>
        <w:rPr>
          <w:i/>
          <w:sz w:val="18"/>
        </w:rPr>
        <w:t>Figure 1. End-to-end workflow followed in this project.</w:t>
      </w:r>
      <w:r>
        <w:rPr>
          <w:color w:val="008F8B"/>
          <w:sz w:val="16"/>
        </w:rPr>
        <w:t xml:space="preserve">  Source file: COM7022 - Assignment/output/figures/fig15_workflow.png  |  https://github.com/kvmmn/_COM7022_MachineLearning/blob/main/COM7022%20-%20Assignment/output/figures/fig15_workflow.png</w:t>
      </w:r>
    </w:p>
    <w:p>
      <w:pPr>
        <w:pStyle w:val="Heading1"/>
      </w:pPr>
      <w:r>
        <w:t>Task 1: Practical Project</w:t>
      </w:r>
    </w:p>
    <w:p>
      <w:pPr>
        <w:pStyle w:val="Heading1"/>
      </w:pPr>
      <w:r>
        <w:t>2. Data preparation</w:t>
      </w:r>
    </w:p>
    <w:p>
      <w:pPr>
        <w:pStyle w:val="Heading2"/>
      </w:pPr>
      <w:r>
        <w:t>2.1 Data audit: missing values and quality</w:t>
      </w:r>
    </w:p>
    <w:p>
      <w:r>
        <w:t>I first inspected the file for missing values, duplicates, skew and dirty labels. There are no duplicate rows. Six columns have gaps, the largest being available (111 rows, 11.1%) and lastUpdated (53 rows, 5.3%) (Table 1 and Figure 2).</w:t>
      </w:r>
    </w:p>
    <w:p>
      <w:r>
        <w:t xml:space="preserve">The audit exposed four issues that would mislead a clustering algorithm. </w:t>
      </w:r>
      <w:r>
        <w:rPr>
          <w:b/>
        </w:rPr>
        <w:t>First</w:t>
      </w:r>
      <w:r>
        <w:t xml:space="preserve">, price and units sold are strongly right-skewed: the most-sold listing has 54,052 sales against a median of about 50 (skewness 9.70). </w:t>
      </w:r>
      <w:r>
        <w:rPr>
          <w:b/>
        </w:rPr>
        <w:t>Second</w:t>
      </w:r>
      <w:r>
        <w:t xml:space="preserve">, the stock figure is </w:t>
      </w:r>
      <w:r>
        <w:rPr>
          <w:b/>
        </w:rPr>
        <w:t>censored</w:t>
      </w:r>
      <w:r>
        <w:t xml:space="preserve">: the marketplace shows “More than 10 available” and stores it as 10 (299 listings, including two lot-based listings). </w:t>
      </w:r>
      <w:r>
        <w:rPr>
          <w:b/>
        </w:rPr>
        <w:t>Third</w:t>
      </w:r>
      <w:r>
        <w:t xml:space="preserve">, 63 distinct category labels are really spelling and capitalisation variants of a handful of product types. </w:t>
      </w:r>
      <w:r>
        <w:rPr>
          <w:b/>
        </w:rPr>
        <w:t>Fourth</w:t>
      </w:r>
      <w:r>
        <w:t>, three prices are in Canadian dollars.</w:t>
      </w:r>
    </w:p>
    <w:tbl>
      <w:tblPr>
        <w:tblStyle w:val="TableGrid"/>
        <w:tblW w:type="auto" w:w="0"/>
        <w:jc w:val="center"/>
        <w:tblLook w:firstColumn="1" w:firstRow="1" w:lastColumn="0" w:lastRow="0" w:noHBand="0" w:noVBand="1" w:val="04A0"/>
      </w:tblPr>
      <w:tblGrid>
        <w:gridCol w:w="3137"/>
        <w:gridCol w:w="3137"/>
        <w:gridCol w:w="3137"/>
      </w:tblGrid>
      <w:tr>
        <w:tc>
          <w:tcPr>
            <w:tcW w:type="dxa" w:w="2835"/>
            <w:shd w:val="clear" w:color="auto" w:fill="002B49"/>
          </w:tcPr>
          <w:p>
            <w:pPr>
              <w:spacing w:after="20"/>
            </w:pPr>
            <w:r/>
            <w:r>
              <w:rPr>
                <w:b/>
                <w:color w:val="FFFFFF"/>
                <w:sz w:val="17"/>
              </w:rPr>
              <w:t>Column</w:t>
            </w:r>
          </w:p>
        </w:tc>
        <w:tc>
          <w:tcPr>
            <w:tcW w:type="dxa" w:w="1701"/>
            <w:shd w:val="clear" w:color="auto" w:fill="002B49"/>
          </w:tcPr>
          <w:p>
            <w:pPr>
              <w:spacing w:after="20"/>
            </w:pPr>
            <w:r/>
            <w:r>
              <w:rPr>
                <w:b/>
                <w:color w:val="FFFFFF"/>
                <w:sz w:val="17"/>
              </w:rPr>
              <w:t>Missing</w:t>
            </w:r>
          </w:p>
        </w:tc>
        <w:tc>
          <w:tcPr>
            <w:tcW w:type="dxa" w:w="1701"/>
            <w:shd w:val="clear" w:color="auto" w:fill="002B49"/>
          </w:tcPr>
          <w:p>
            <w:pPr>
              <w:spacing w:after="20"/>
            </w:pPr>
            <w:r/>
            <w:r>
              <w:rPr>
                <w:b/>
                <w:color w:val="FFFFFF"/>
                <w:sz w:val="17"/>
              </w:rPr>
              <w:t>Missing %</w:t>
            </w:r>
          </w:p>
        </w:tc>
      </w:tr>
      <w:tr>
        <w:tc>
          <w:tcPr>
            <w:tcW w:type="dxa" w:w="2835"/>
          </w:tcPr>
          <w:p>
            <w:pPr>
              <w:spacing w:after="20"/>
            </w:pPr>
            <w:r/>
            <w:r>
              <w:rPr>
                <w:sz w:val="17"/>
              </w:rPr>
              <w:t>available</w:t>
            </w:r>
          </w:p>
        </w:tc>
        <w:tc>
          <w:tcPr>
            <w:tcW w:type="dxa" w:w="1701"/>
          </w:tcPr>
          <w:p>
            <w:pPr>
              <w:spacing w:after="20"/>
            </w:pPr>
            <w:r/>
            <w:r>
              <w:rPr>
                <w:sz w:val="17"/>
              </w:rPr>
              <w:t>111</w:t>
            </w:r>
          </w:p>
        </w:tc>
        <w:tc>
          <w:tcPr>
            <w:tcW w:type="dxa" w:w="1701"/>
          </w:tcPr>
          <w:p>
            <w:pPr>
              <w:spacing w:after="20"/>
            </w:pPr>
            <w:r/>
            <w:r>
              <w:rPr>
                <w:sz w:val="17"/>
              </w:rPr>
              <w:t>11.1</w:t>
            </w:r>
          </w:p>
        </w:tc>
      </w:tr>
      <w:tr>
        <w:tc>
          <w:tcPr>
            <w:tcW w:type="dxa" w:w="2835"/>
            <w:shd w:val="clear" w:color="auto" w:fill="F2F5F7"/>
          </w:tcPr>
          <w:p>
            <w:pPr>
              <w:spacing w:after="20"/>
            </w:pPr>
            <w:r/>
            <w:r>
              <w:rPr>
                <w:sz w:val="17"/>
              </w:rPr>
              <w:t>lastUpdated</w:t>
            </w:r>
          </w:p>
        </w:tc>
        <w:tc>
          <w:tcPr>
            <w:tcW w:type="dxa" w:w="1701"/>
            <w:shd w:val="clear" w:color="auto" w:fill="F2F5F7"/>
          </w:tcPr>
          <w:p>
            <w:pPr>
              <w:spacing w:after="20"/>
            </w:pPr>
            <w:r/>
            <w:r>
              <w:rPr>
                <w:sz w:val="17"/>
              </w:rPr>
              <w:t>53</w:t>
            </w:r>
          </w:p>
        </w:tc>
        <w:tc>
          <w:tcPr>
            <w:tcW w:type="dxa" w:w="1701"/>
            <w:shd w:val="clear" w:color="auto" w:fill="F2F5F7"/>
          </w:tcPr>
          <w:p>
            <w:pPr>
              <w:spacing w:after="20"/>
            </w:pPr>
            <w:r/>
            <w:r>
              <w:rPr>
                <w:sz w:val="17"/>
              </w:rPr>
              <w:t>5.3</w:t>
            </w:r>
          </w:p>
        </w:tc>
      </w:tr>
      <w:tr>
        <w:tc>
          <w:tcPr>
            <w:tcW w:type="dxa" w:w="2835"/>
          </w:tcPr>
          <w:p>
            <w:pPr>
              <w:spacing w:after="20"/>
            </w:pPr>
            <w:r/>
            <w:r>
              <w:rPr>
                <w:sz w:val="17"/>
              </w:rPr>
              <w:t>sold</w:t>
            </w:r>
          </w:p>
        </w:tc>
        <w:tc>
          <w:tcPr>
            <w:tcW w:type="dxa" w:w="1701"/>
          </w:tcPr>
          <w:p>
            <w:pPr>
              <w:spacing w:after="20"/>
            </w:pPr>
            <w:r/>
            <w:r>
              <w:rPr>
                <w:sz w:val="17"/>
              </w:rPr>
              <w:t>8</w:t>
            </w:r>
          </w:p>
        </w:tc>
        <w:tc>
          <w:tcPr>
            <w:tcW w:type="dxa" w:w="1701"/>
          </w:tcPr>
          <w:p>
            <w:pPr>
              <w:spacing w:after="20"/>
            </w:pPr>
            <w:r/>
            <w:r>
              <w:rPr>
                <w:sz w:val="17"/>
              </w:rPr>
              <w:t>0.8</w:t>
            </w:r>
          </w:p>
        </w:tc>
      </w:tr>
      <w:tr>
        <w:tc>
          <w:tcPr>
            <w:tcW w:type="dxa" w:w="2835"/>
            <w:shd w:val="clear" w:color="auto" w:fill="F2F5F7"/>
          </w:tcPr>
          <w:p>
            <w:pPr>
              <w:spacing w:after="20"/>
            </w:pPr>
            <w:r/>
            <w:r>
              <w:rPr>
                <w:sz w:val="17"/>
              </w:rPr>
              <w:t>price</w:t>
            </w:r>
          </w:p>
        </w:tc>
        <w:tc>
          <w:tcPr>
            <w:tcW w:type="dxa" w:w="1701"/>
            <w:shd w:val="clear" w:color="auto" w:fill="F2F5F7"/>
          </w:tcPr>
          <w:p>
            <w:pPr>
              <w:spacing w:after="20"/>
            </w:pPr>
            <w:r/>
            <w:r>
              <w:rPr>
                <w:sz w:val="17"/>
              </w:rPr>
              <w:t>5</w:t>
            </w:r>
          </w:p>
        </w:tc>
        <w:tc>
          <w:tcPr>
            <w:tcW w:type="dxa" w:w="1701"/>
            <w:shd w:val="clear" w:color="auto" w:fill="F2F5F7"/>
          </w:tcPr>
          <w:p>
            <w:pPr>
              <w:spacing w:after="20"/>
            </w:pPr>
            <w:r/>
            <w:r>
              <w:rPr>
                <w:sz w:val="17"/>
              </w:rPr>
              <w:t>0.5</w:t>
            </w:r>
          </w:p>
        </w:tc>
      </w:tr>
      <w:tr>
        <w:tc>
          <w:tcPr>
            <w:tcW w:type="dxa" w:w="2835"/>
          </w:tcPr>
          <w:p>
            <w:pPr>
              <w:spacing w:after="20"/>
            </w:pPr>
            <w:r/>
            <w:r>
              <w:rPr>
                <w:sz w:val="17"/>
              </w:rPr>
              <w:t>Catatory</w:t>
            </w:r>
          </w:p>
        </w:tc>
        <w:tc>
          <w:tcPr>
            <w:tcW w:type="dxa" w:w="1701"/>
          </w:tcPr>
          <w:p>
            <w:pPr>
              <w:spacing w:after="20"/>
            </w:pPr>
            <w:r/>
            <w:r>
              <w:rPr>
                <w:sz w:val="17"/>
              </w:rPr>
              <w:t>3</w:t>
            </w:r>
          </w:p>
        </w:tc>
        <w:tc>
          <w:tcPr>
            <w:tcW w:type="dxa" w:w="1701"/>
          </w:tcPr>
          <w:p>
            <w:pPr>
              <w:spacing w:after="20"/>
            </w:pPr>
            <w:r/>
            <w:r>
              <w:rPr>
                <w:sz w:val="17"/>
              </w:rPr>
              <w:t>0.3</w:t>
            </w:r>
          </w:p>
        </w:tc>
      </w:tr>
      <w:tr>
        <w:tc>
          <w:tcPr>
            <w:tcW w:type="dxa" w:w="2835"/>
            <w:shd w:val="clear" w:color="auto" w:fill="F2F5F7"/>
          </w:tcPr>
          <w:p>
            <w:pPr>
              <w:spacing w:after="20"/>
            </w:pPr>
            <w:r/>
            <w:r>
              <w:rPr>
                <w:sz w:val="17"/>
              </w:rPr>
              <w:t>text</w:t>
            </w:r>
          </w:p>
        </w:tc>
        <w:tc>
          <w:tcPr>
            <w:tcW w:type="dxa" w:w="1701"/>
            <w:shd w:val="clear" w:color="auto" w:fill="F2F5F7"/>
          </w:tcPr>
          <w:p>
            <w:pPr>
              <w:spacing w:after="20"/>
            </w:pPr>
            <w:r/>
            <w:r>
              <w:rPr>
                <w:sz w:val="17"/>
              </w:rPr>
              <w:t>3</w:t>
            </w:r>
          </w:p>
        </w:tc>
        <w:tc>
          <w:tcPr>
            <w:tcW w:type="dxa" w:w="1701"/>
            <w:shd w:val="clear" w:color="auto" w:fill="F2F5F7"/>
          </w:tcPr>
          <w:p>
            <w:pPr>
              <w:spacing w:after="20"/>
            </w:pPr>
            <w:r/>
            <w:r>
              <w:rPr>
                <w:sz w:val="17"/>
              </w:rPr>
              <w:t>0.3</w:t>
            </w:r>
          </w:p>
        </w:tc>
      </w:tr>
      <w:tr>
        <w:tc>
          <w:tcPr>
            <w:tcW w:type="dxa" w:w="2835"/>
          </w:tcPr>
          <w:p>
            <w:pPr>
              <w:spacing w:after="20"/>
            </w:pPr>
            <w:r/>
            <w:r>
              <w:rPr>
                <w:sz w:val="17"/>
              </w:rPr>
              <w:t>Item_Name</w:t>
            </w:r>
          </w:p>
        </w:tc>
        <w:tc>
          <w:tcPr>
            <w:tcW w:type="dxa" w:w="1701"/>
          </w:tcPr>
          <w:p>
            <w:pPr>
              <w:spacing w:after="20"/>
            </w:pPr>
            <w:r/>
            <w:r>
              <w:rPr>
                <w:sz w:val="17"/>
              </w:rPr>
              <w:t>1</w:t>
            </w:r>
          </w:p>
        </w:tc>
        <w:tc>
          <w:tcPr>
            <w:tcW w:type="dxa" w:w="1701"/>
          </w:tcPr>
          <w:p>
            <w:pPr>
              <w:spacing w:after="20"/>
            </w:pPr>
            <w:r/>
            <w:r>
              <w:rPr>
                <w:sz w:val="17"/>
              </w:rPr>
              <w:t>0.1</w:t>
            </w:r>
          </w:p>
        </w:tc>
      </w:tr>
      <w:tr>
        <w:tc>
          <w:tcPr>
            <w:tcW w:type="dxa" w:w="2835"/>
            <w:shd w:val="clear" w:color="auto" w:fill="F2F5F7"/>
          </w:tcPr>
          <w:p>
            <w:pPr>
              <w:spacing w:after="20"/>
            </w:pPr>
            <w:r/>
            <w:r>
              <w:rPr>
                <w:sz w:val="17"/>
              </w:rPr>
              <w:t>priceWithCurrency</w:t>
            </w:r>
          </w:p>
        </w:tc>
        <w:tc>
          <w:tcPr>
            <w:tcW w:type="dxa" w:w="1701"/>
            <w:shd w:val="clear" w:color="auto" w:fill="F2F5F7"/>
          </w:tcPr>
          <w:p>
            <w:pPr>
              <w:spacing w:after="20"/>
            </w:pPr>
            <w:r/>
            <w:r>
              <w:rPr>
                <w:sz w:val="17"/>
              </w:rPr>
              <w:t>1</w:t>
            </w:r>
          </w:p>
        </w:tc>
        <w:tc>
          <w:tcPr>
            <w:tcW w:type="dxa" w:w="1701"/>
            <w:shd w:val="clear" w:color="auto" w:fill="F2F5F7"/>
          </w:tcPr>
          <w:p>
            <w:pPr>
              <w:spacing w:after="20"/>
            </w:pPr>
            <w:r/>
            <w:r>
              <w:rPr>
                <w:sz w:val="17"/>
              </w:rPr>
              <w:t>0.1</w:t>
            </w:r>
          </w:p>
        </w:tc>
      </w:tr>
    </w:tbl>
    <w:p>
      <w:pPr>
        <w:spacing w:after="160"/>
      </w:pPr>
      <w:r>
        <w:rPr>
          <w:i/>
          <w:sz w:val="18"/>
        </w:rPr>
        <w:t>Table 1. Missing values per column in the raw file (1,000 rows).</w:t>
      </w:r>
      <w:r>
        <w:rPr>
          <w:color w:val="008F8B"/>
          <w:sz w:val="16"/>
        </w:rPr>
        <w:t xml:space="preserve">  Source file: COM7022 - Assignment/output/tables/table01_missing_values.csv  |  https://github.com/kvmmn/_COM7022_MachineLearning/blob/main/COM7022%20-%20Assignment/output/tables/table01_missing_values.csv</w:t>
      </w:r>
    </w:p>
    <w:p>
      <w:pPr>
        <w:keepNext/>
        <w:jc w:val="center"/>
      </w:pPr>
      <w:r>
        <w:drawing>
          <wp:inline xmlns:a="http://schemas.openxmlformats.org/drawingml/2006/main" xmlns:pic="http://schemas.openxmlformats.org/drawingml/2006/picture">
            <wp:extent cx="3960000" cy="2154429"/>
            <wp:docPr id="2" name="Picture 2"/>
            <wp:cNvGraphicFramePr>
              <a:graphicFrameLocks noChangeAspect="1"/>
            </wp:cNvGraphicFramePr>
            <a:graphic>
              <a:graphicData uri="http://schemas.openxmlformats.org/drawingml/2006/picture">
                <pic:pic>
                  <pic:nvPicPr>
                    <pic:cNvPr id="0" name="fig01_missing_values.png"/>
                    <pic:cNvPicPr/>
                  </pic:nvPicPr>
                  <pic:blipFill>
                    <a:blip r:embed="rId11"/>
                    <a:stretch>
                      <a:fillRect/>
                    </a:stretch>
                  </pic:blipFill>
                  <pic:spPr>
                    <a:xfrm>
                      <a:off x="0" y="0"/>
                      <a:ext cx="3960000" cy="2154429"/>
                    </a:xfrm>
                    <a:prstGeom prst="rect"/>
                  </pic:spPr>
                </pic:pic>
              </a:graphicData>
            </a:graphic>
          </wp:inline>
        </w:drawing>
      </w:r>
    </w:p>
    <w:p>
      <w:pPr>
        <w:spacing w:after="160"/>
      </w:pPr>
      <w:r>
        <w:rPr>
          <w:i/>
          <w:sz w:val="18"/>
        </w:rPr>
        <w:t>Figure 2. Missing values by column.</w:t>
      </w:r>
      <w:r>
        <w:rPr>
          <w:color w:val="008F8B"/>
          <w:sz w:val="16"/>
        </w:rPr>
        <w:t xml:space="preserve">  Source file: COM7022 - Assignment/output/figures/fig01_missing_values.png  |  https://github.com/kvmmn/_COM7022_MachineLearning/blob/main/COM7022%20-%20Assignment/output/figures/fig01_missing_values.png</w:t>
      </w:r>
    </w:p>
    <w:p>
      <w:pPr>
        <w:pStyle w:val="Heading2"/>
      </w:pPr>
      <w:r>
        <w:t>2.2 Cleaning and pre-processing</w:t>
      </w:r>
    </w:p>
    <w:p>
      <w:r>
        <w:t xml:space="preserve">My rule was to </w:t>
      </w:r>
      <w:r>
        <w:rPr>
          <w:b/>
        </w:rPr>
        <w:t>recover</w:t>
      </w:r>
      <w:r>
        <w:t xml:space="preserve"> a missing value from another column of the same row before imputing anything, and to impute only where the reason for the gap is understood. Every step was written to a cleaning log (Table 2). In brief:</w:t>
      </w:r>
    </w:p>
    <w:p>
      <w:pPr>
        <w:pStyle w:val="ListBullet"/>
      </w:pPr>
      <w:r>
        <w:rPr>
          <w:b/>
        </w:rPr>
        <w:t>Price and units sold</w:t>
      </w:r>
      <w:r>
        <w:t xml:space="preserve"> were recovered from the text columns priceWithCurrency and text (5 prices, 2 sales figures), and the three Canadian-dollar prices were converted to US dollars.</w:t>
      </w:r>
    </w:p>
    <w:p>
      <w:pPr>
        <w:pStyle w:val="ListBullet"/>
      </w:pPr>
      <w:r>
        <w:rPr>
          <w:b/>
        </w:rPr>
        <w:t>Stock level</w:t>
      </w:r>
      <w:r>
        <w:t xml:space="preserve"> was rebuilt from the listing wording. “More than 10” and any larger number were capped at 11 so every row is on one scale, “Last One” became 1, and 62 “Limited quantity” rows received the median, with a flag column to mark them.</w:t>
      </w:r>
    </w:p>
    <w:p>
      <w:pPr>
        <w:pStyle w:val="ListBullet"/>
      </w:pPr>
      <w:r>
        <w:rPr>
          <w:b/>
        </w:rPr>
        <w:t>Product type</w:t>
      </w:r>
      <w:r>
        <w:t>: the 63 category labels were merged into six clean types (Eau de Toilette, Eau de Parfum, Cologne, Parfum / Extrait, Generic fragrance, Other).</w:t>
      </w:r>
    </w:p>
    <w:p>
      <w:pPr>
        <w:pStyle w:val="ListBullet"/>
      </w:pPr>
      <w:r>
        <w:rPr>
          <w:b/>
        </w:rPr>
        <w:t>Unusable rows</w:t>
      </w:r>
      <w:r>
        <w:t xml:space="preserve">: three listings with neither sales nor stock information were dropped, leaving </w:t>
      </w:r>
      <w:r>
        <w:rPr>
          <w:b/>
        </w:rPr>
        <w:t>997 listings</w:t>
      </w:r>
      <w:r>
        <w:t>.</w:t>
      </w:r>
    </w:p>
    <w:p>
      <w:r>
        <w:rPr>
          <w:b/>
        </w:rPr>
        <w:t>Why recover instead of impute?</w:t>
      </w:r>
      <w:r>
        <w:t xml:space="preserve"> Filling gaps with an average hides the reason a value is missing. Here the reason is known: the marketplace writes “Last One” or “Limited quantity” instead of a number, so the wording itself carries information. Recovering from the same row keeps each listing’s real values. The only imputation is the median for 62 stock values, flagged in a column so the effect could be checked. No listing was removed as an outlier, because the best-sellers are exactly the listings the business cares about.</w:t>
      </w:r>
    </w:p>
    <w:tbl>
      <w:tblPr>
        <w:tblStyle w:val="TableGrid"/>
        <w:tblW w:type="auto" w:w="0"/>
        <w:jc w:val="center"/>
        <w:tblLook w:firstColumn="1" w:firstRow="1" w:lastColumn="0" w:lastRow="0" w:noHBand="0" w:noVBand="1" w:val="04A0"/>
      </w:tblPr>
      <w:tblGrid>
        <w:gridCol w:w="3137"/>
        <w:gridCol w:w="3137"/>
        <w:gridCol w:w="3137"/>
      </w:tblGrid>
      <w:tr>
        <w:tc>
          <w:tcPr>
            <w:tcW w:type="dxa" w:w="3515"/>
            <w:shd w:val="clear" w:color="auto" w:fill="002B49"/>
          </w:tcPr>
          <w:p>
            <w:pPr>
              <w:spacing w:after="20"/>
            </w:pPr>
            <w:r/>
            <w:r>
              <w:rPr>
                <w:b/>
                <w:color w:val="FFFFFF"/>
                <w:sz w:val="17"/>
              </w:rPr>
              <w:t>Step</w:t>
            </w:r>
          </w:p>
        </w:tc>
        <w:tc>
          <w:tcPr>
            <w:tcW w:type="dxa" w:w="1134"/>
            <w:shd w:val="clear" w:color="auto" w:fill="002B49"/>
          </w:tcPr>
          <w:p>
            <w:pPr>
              <w:spacing w:after="20"/>
            </w:pPr>
            <w:r/>
            <w:r>
              <w:rPr>
                <w:b/>
                <w:color w:val="FFFFFF"/>
                <w:sz w:val="17"/>
              </w:rPr>
              <w:t>Rows affected</w:t>
            </w:r>
          </w:p>
        </w:tc>
        <w:tc>
          <w:tcPr>
            <w:tcW w:type="dxa" w:w="4535"/>
            <w:shd w:val="clear" w:color="auto" w:fill="002B49"/>
          </w:tcPr>
          <w:p>
            <w:pPr>
              <w:spacing w:after="20"/>
            </w:pPr>
            <w:r/>
            <w:r>
              <w:rPr>
                <w:b/>
                <w:color w:val="FFFFFF"/>
                <w:sz w:val="17"/>
              </w:rPr>
              <w:t>Note</w:t>
            </w:r>
          </w:p>
        </w:tc>
      </w:tr>
      <w:tr>
        <w:tc>
          <w:tcPr>
            <w:tcW w:type="dxa" w:w="3515"/>
          </w:tcPr>
          <w:p>
            <w:pPr>
              <w:spacing w:after="20"/>
            </w:pPr>
            <w:r/>
            <w:r>
              <w:rPr>
                <w:sz w:val="17"/>
              </w:rPr>
              <w:t>Recover price from priceWithCurrency</w:t>
            </w:r>
          </w:p>
        </w:tc>
        <w:tc>
          <w:tcPr>
            <w:tcW w:type="dxa" w:w="1134"/>
          </w:tcPr>
          <w:p>
            <w:pPr>
              <w:spacing w:after="20"/>
            </w:pPr>
            <w:r/>
            <w:r>
              <w:rPr>
                <w:sz w:val="17"/>
              </w:rPr>
              <w:t>5</w:t>
            </w:r>
          </w:p>
        </w:tc>
        <w:tc>
          <w:tcPr>
            <w:tcW w:type="dxa" w:w="4535"/>
          </w:tcPr>
          <w:p>
            <w:pPr>
              <w:spacing w:after="20"/>
            </w:pPr>
            <w:r/>
            <w:r>
              <w:rPr>
                <w:sz w:val="17"/>
              </w:rPr>
              <w:t>Exact same value, only stored in text form</w:t>
            </w:r>
          </w:p>
        </w:tc>
      </w:tr>
      <w:tr>
        <w:tc>
          <w:tcPr>
            <w:tcW w:type="dxa" w:w="3515"/>
            <w:shd w:val="clear" w:color="auto" w:fill="F2F5F7"/>
          </w:tcPr>
          <w:p>
            <w:pPr>
              <w:spacing w:after="20"/>
            </w:pPr>
            <w:r/>
            <w:r>
              <w:rPr>
                <w:sz w:val="17"/>
              </w:rPr>
              <w:t>Convert CAD prices to USD</w:t>
            </w:r>
          </w:p>
        </w:tc>
        <w:tc>
          <w:tcPr>
            <w:tcW w:type="dxa" w:w="1134"/>
            <w:shd w:val="clear" w:color="auto" w:fill="F2F5F7"/>
          </w:tcPr>
          <w:p>
            <w:pPr>
              <w:spacing w:after="20"/>
            </w:pPr>
            <w:r/>
            <w:r>
              <w:rPr>
                <w:sz w:val="17"/>
              </w:rPr>
              <w:t>3</w:t>
            </w:r>
          </w:p>
        </w:tc>
        <w:tc>
          <w:tcPr>
            <w:tcW w:type="dxa" w:w="4535"/>
            <w:shd w:val="clear" w:color="auto" w:fill="F2F5F7"/>
          </w:tcPr>
          <w:p>
            <w:pPr>
              <w:spacing w:after="20"/>
            </w:pPr>
            <w:r/>
            <w:r>
              <w:rPr>
                <w:sz w:val="17"/>
              </w:rPr>
              <w:t>Fixed rate 0.73, documented approximation</w:t>
            </w:r>
          </w:p>
        </w:tc>
      </w:tr>
      <w:tr>
        <w:tc>
          <w:tcPr>
            <w:tcW w:type="dxa" w:w="3515"/>
          </w:tcPr>
          <w:p>
            <w:pPr>
              <w:spacing w:after="20"/>
            </w:pPr>
            <w:r/>
            <w:r>
              <w:rPr>
                <w:sz w:val="17"/>
              </w:rPr>
              <w:t>Recover sold from text</w:t>
            </w:r>
          </w:p>
        </w:tc>
        <w:tc>
          <w:tcPr>
            <w:tcW w:type="dxa" w:w="1134"/>
          </w:tcPr>
          <w:p>
            <w:pPr>
              <w:spacing w:after="20"/>
            </w:pPr>
            <w:r/>
            <w:r>
              <w:rPr>
                <w:sz w:val="17"/>
              </w:rPr>
              <w:t>2</w:t>
            </w:r>
          </w:p>
        </w:tc>
        <w:tc>
          <w:tcPr>
            <w:tcW w:type="dxa" w:w="4535"/>
          </w:tcPr>
          <w:p>
            <w:pPr>
              <w:spacing w:after="20"/>
            </w:pPr>
            <w:r/>
            <w:r>
              <w:rPr>
                <w:sz w:val="17"/>
              </w:rPr>
              <w:t>Exact value from the listing wording</w:t>
            </w:r>
          </w:p>
        </w:tc>
      </w:tr>
      <w:tr>
        <w:tc>
          <w:tcPr>
            <w:tcW w:type="dxa" w:w="3515"/>
            <w:shd w:val="clear" w:color="auto" w:fill="F2F5F7"/>
          </w:tcPr>
          <w:p>
            <w:pPr>
              <w:spacing w:after="20"/>
            </w:pPr>
            <w:r/>
            <w:r>
              <w:rPr>
                <w:sz w:val="17"/>
              </w:rPr>
              <w:t>Set sold = 0 where text shows stock but no sales</w:t>
            </w:r>
          </w:p>
        </w:tc>
        <w:tc>
          <w:tcPr>
            <w:tcW w:type="dxa" w:w="1134"/>
            <w:shd w:val="clear" w:color="auto" w:fill="F2F5F7"/>
          </w:tcPr>
          <w:p>
            <w:pPr>
              <w:spacing w:after="20"/>
            </w:pPr>
            <w:r/>
            <w:r>
              <w:rPr>
                <w:sz w:val="17"/>
              </w:rPr>
              <w:t>3</w:t>
            </w:r>
          </w:p>
        </w:tc>
        <w:tc>
          <w:tcPr>
            <w:tcW w:type="dxa" w:w="4535"/>
            <w:shd w:val="clear" w:color="auto" w:fill="F2F5F7"/>
          </w:tcPr>
          <w:p>
            <w:pPr>
              <w:spacing w:after="20"/>
            </w:pPr>
            <w:r/>
            <w:r>
              <w:rPr>
                <w:sz w:val="17"/>
              </w:rPr>
              <w:t>Listing wording omits 'sold' when nothing has sold</w:t>
            </w:r>
          </w:p>
        </w:tc>
      </w:tr>
      <w:tr>
        <w:tc>
          <w:tcPr>
            <w:tcW w:type="dxa" w:w="3515"/>
          </w:tcPr>
          <w:p>
            <w:pPr>
              <w:spacing w:after="20"/>
            </w:pPr>
            <w:r/>
            <w:r>
              <w:rPr>
                <w:sz w:val="17"/>
              </w:rPr>
              <w:t>Drop rows with no sales or stock information</w:t>
            </w:r>
          </w:p>
        </w:tc>
        <w:tc>
          <w:tcPr>
            <w:tcW w:type="dxa" w:w="1134"/>
          </w:tcPr>
          <w:p>
            <w:pPr>
              <w:spacing w:after="20"/>
            </w:pPr>
            <w:r/>
            <w:r>
              <w:rPr>
                <w:sz w:val="17"/>
              </w:rPr>
              <w:t>3</w:t>
            </w:r>
          </w:p>
        </w:tc>
        <w:tc>
          <w:tcPr>
            <w:tcW w:type="dxa" w:w="4535"/>
          </w:tcPr>
          <w:p>
            <w:pPr>
              <w:spacing w:after="20"/>
            </w:pPr>
            <w:r/>
            <w:r>
              <w:rPr>
                <w:sz w:val="17"/>
              </w:rPr>
              <w:t>Cannot be placed on the sales-performance axis</w:t>
            </w:r>
          </w:p>
        </w:tc>
      </w:tr>
      <w:tr>
        <w:tc>
          <w:tcPr>
            <w:tcW w:type="dxa" w:w="3515"/>
            <w:shd w:val="clear" w:color="auto" w:fill="F2F5F7"/>
          </w:tcPr>
          <w:p>
            <w:pPr>
              <w:spacing w:after="20"/>
            </w:pPr>
            <w:r/>
            <w:r>
              <w:rPr>
                <w:sz w:val="17"/>
              </w:rPr>
              <w:t>Stock: 'More than 10' coded as 11</w:t>
            </w:r>
          </w:p>
        </w:tc>
        <w:tc>
          <w:tcPr>
            <w:tcW w:type="dxa" w:w="1134"/>
            <w:shd w:val="clear" w:color="auto" w:fill="F2F5F7"/>
          </w:tcPr>
          <w:p>
            <w:pPr>
              <w:spacing w:after="20"/>
            </w:pPr>
            <w:r/>
            <w:r>
              <w:rPr>
                <w:sz w:val="17"/>
              </w:rPr>
              <w:t>299</w:t>
            </w:r>
          </w:p>
        </w:tc>
        <w:tc>
          <w:tcPr>
            <w:tcW w:type="dxa" w:w="4535"/>
            <w:shd w:val="clear" w:color="auto" w:fill="F2F5F7"/>
          </w:tcPr>
          <w:p>
            <w:pPr>
              <w:spacing w:after="20"/>
            </w:pPr>
            <w:r/>
            <w:r>
              <w:rPr>
                <w:sz w:val="17"/>
              </w:rPr>
              <w:t>Censored value, not exact</w:t>
            </w:r>
          </w:p>
        </w:tc>
      </w:tr>
      <w:tr>
        <w:tc>
          <w:tcPr>
            <w:tcW w:type="dxa" w:w="3515"/>
          </w:tcPr>
          <w:p>
            <w:pPr>
              <w:spacing w:after="20"/>
            </w:pPr>
            <w:r/>
            <w:r>
              <w:rPr>
                <w:sz w:val="17"/>
              </w:rPr>
              <w:t>Stock: explicit values above 10 capped at 11</w:t>
            </w:r>
          </w:p>
        </w:tc>
        <w:tc>
          <w:tcPr>
            <w:tcW w:type="dxa" w:w="1134"/>
          </w:tcPr>
          <w:p>
            <w:pPr>
              <w:spacing w:after="20"/>
            </w:pPr>
            <w:r/>
            <w:r>
              <w:rPr>
                <w:sz w:val="17"/>
              </w:rPr>
              <w:t>115</w:t>
            </w:r>
          </w:p>
        </w:tc>
        <w:tc>
          <w:tcPr>
            <w:tcW w:type="dxa" w:w="4535"/>
          </w:tcPr>
          <w:p>
            <w:pPr>
              <w:spacing w:after="20"/>
            </w:pPr>
            <w:r/>
            <w:r>
              <w:rPr>
                <w:sz w:val="17"/>
              </w:rPr>
              <w:t>Same scale as the censored rows</w:t>
            </w:r>
          </w:p>
        </w:tc>
      </w:tr>
      <w:tr>
        <w:tc>
          <w:tcPr>
            <w:tcW w:type="dxa" w:w="3515"/>
            <w:shd w:val="clear" w:color="auto" w:fill="F2F5F7"/>
          </w:tcPr>
          <w:p>
            <w:pPr>
              <w:spacing w:after="20"/>
            </w:pPr>
            <w:r/>
            <w:r>
              <w:rPr>
                <w:sz w:val="17"/>
              </w:rPr>
              <w:t>Stock: 'Last One' coded as 1</w:t>
            </w:r>
          </w:p>
        </w:tc>
        <w:tc>
          <w:tcPr>
            <w:tcW w:type="dxa" w:w="1134"/>
            <w:shd w:val="clear" w:color="auto" w:fill="F2F5F7"/>
          </w:tcPr>
          <w:p>
            <w:pPr>
              <w:spacing w:after="20"/>
            </w:pPr>
            <w:r/>
            <w:r>
              <w:rPr>
                <w:sz w:val="17"/>
              </w:rPr>
              <w:t>47</w:t>
            </w:r>
          </w:p>
        </w:tc>
        <w:tc>
          <w:tcPr>
            <w:tcW w:type="dxa" w:w="4535"/>
            <w:shd w:val="clear" w:color="auto" w:fill="F2F5F7"/>
          </w:tcPr>
          <w:p>
            <w:pPr>
              <w:spacing w:after="20"/>
            </w:pPr>
            <w:r/>
            <w:r>
              <w:rPr>
                <w:sz w:val="17"/>
              </w:rPr>
              <w:t>Wording means one unit left</w:t>
            </w:r>
          </w:p>
        </w:tc>
      </w:tr>
      <w:tr>
        <w:tc>
          <w:tcPr>
            <w:tcW w:type="dxa" w:w="3515"/>
          </w:tcPr>
          <w:p>
            <w:pPr>
              <w:spacing w:after="20"/>
            </w:pPr>
            <w:r/>
            <w:r>
              <w:rPr>
                <w:sz w:val="17"/>
              </w:rPr>
              <w:t>Stock: median imputation</w:t>
            </w:r>
          </w:p>
        </w:tc>
        <w:tc>
          <w:tcPr>
            <w:tcW w:type="dxa" w:w="1134"/>
          </w:tcPr>
          <w:p>
            <w:pPr>
              <w:spacing w:after="20"/>
            </w:pPr>
            <w:r/>
            <w:r>
              <w:rPr>
                <w:sz w:val="17"/>
              </w:rPr>
              <w:t>62</w:t>
            </w:r>
          </w:p>
        </w:tc>
        <w:tc>
          <w:tcPr>
            <w:tcW w:type="dxa" w:w="4535"/>
          </w:tcPr>
          <w:p>
            <w:pPr>
              <w:spacing w:after="20"/>
            </w:pPr>
            <w:r/>
            <w:r>
              <w:rPr>
                <w:sz w:val="17"/>
              </w:rPr>
              <w:t>Limited quantity / lot wording; flagged in stock_imputed</w:t>
            </w:r>
          </w:p>
        </w:tc>
      </w:tr>
      <w:tr>
        <w:tc>
          <w:tcPr>
            <w:tcW w:type="dxa" w:w="3515"/>
            <w:shd w:val="clear" w:color="auto" w:fill="F2F5F7"/>
          </w:tcPr>
          <w:p>
            <w:pPr>
              <w:spacing w:after="20"/>
            </w:pPr>
            <w:r/>
            <w:r>
              <w:rPr>
                <w:sz w:val="17"/>
              </w:rPr>
              <w:t>Collapse category labels into 6 product types</w:t>
            </w:r>
          </w:p>
        </w:tc>
        <w:tc>
          <w:tcPr>
            <w:tcW w:type="dxa" w:w="1134"/>
            <w:shd w:val="clear" w:color="auto" w:fill="F2F5F7"/>
          </w:tcPr>
          <w:p>
            <w:pPr>
              <w:spacing w:after="20"/>
            </w:pPr>
            <w:r/>
            <w:r>
              <w:rPr>
                <w:sz w:val="17"/>
              </w:rPr>
              <w:t>994</w:t>
            </w:r>
          </w:p>
        </w:tc>
        <w:tc>
          <w:tcPr>
            <w:tcW w:type="dxa" w:w="4535"/>
            <w:shd w:val="clear" w:color="auto" w:fill="F2F5F7"/>
          </w:tcPr>
          <w:p>
            <w:pPr>
              <w:spacing w:after="20"/>
            </w:pPr>
            <w:r/>
            <w:r>
              <w:rPr>
                <w:sz w:val="17"/>
              </w:rPr>
              <w:t>Case, spelling and wording variants</w:t>
            </w:r>
          </w:p>
        </w:tc>
      </w:tr>
      <w:tr>
        <w:tc>
          <w:tcPr>
            <w:tcW w:type="dxa" w:w="3515"/>
          </w:tcPr>
          <w:p>
            <w:pPr>
              <w:spacing w:after="20"/>
            </w:pPr>
            <w:r/>
            <w:r>
              <w:rPr>
                <w:sz w:val="17"/>
              </w:rPr>
              <w:t>Missing brand set to 'Unbranded'</w:t>
            </w:r>
          </w:p>
        </w:tc>
        <w:tc>
          <w:tcPr>
            <w:tcW w:type="dxa" w:w="1134"/>
          </w:tcPr>
          <w:p>
            <w:pPr>
              <w:spacing w:after="20"/>
            </w:pPr>
            <w:r/>
            <w:r>
              <w:rPr>
                <w:sz w:val="17"/>
              </w:rPr>
              <w:t>1</w:t>
            </w:r>
          </w:p>
        </w:tc>
        <w:tc>
          <w:tcPr>
            <w:tcW w:type="dxa" w:w="4535"/>
          </w:tcPr>
          <w:p>
            <w:pPr>
              <w:spacing w:after="20"/>
            </w:pPr>
            <w:r/>
            <w:r>
              <w:rPr>
                <w:sz w:val="17"/>
              </w:rPr>
              <w:t>Single row</w:t>
            </w:r>
          </w:p>
        </w:tc>
      </w:tr>
      <w:tr>
        <w:tc>
          <w:tcPr>
            <w:tcW w:type="dxa" w:w="3515"/>
            <w:shd w:val="clear" w:color="auto" w:fill="F2F5F7"/>
          </w:tcPr>
          <w:p>
            <w:pPr>
              <w:spacing w:after="20"/>
            </w:pPr>
            <w:r/>
            <w:r>
              <w:rPr>
                <w:sz w:val="17"/>
              </w:rPr>
              <w:t>Log-transform price and sold</w:t>
            </w:r>
          </w:p>
        </w:tc>
        <w:tc>
          <w:tcPr>
            <w:tcW w:type="dxa" w:w="1134"/>
            <w:shd w:val="clear" w:color="auto" w:fill="F2F5F7"/>
          </w:tcPr>
          <w:p>
            <w:pPr>
              <w:spacing w:after="20"/>
            </w:pPr>
            <w:r/>
            <w:r>
              <w:rPr>
                <w:sz w:val="17"/>
              </w:rPr>
              <w:t>997</w:t>
            </w:r>
          </w:p>
        </w:tc>
        <w:tc>
          <w:tcPr>
            <w:tcW w:type="dxa" w:w="4535"/>
            <w:shd w:val="clear" w:color="auto" w:fill="F2F5F7"/>
          </w:tcPr>
          <w:p>
            <w:pPr>
              <w:spacing w:after="20"/>
            </w:pPr>
            <w:r/>
            <w:r>
              <w:rPr>
                <w:sz w:val="17"/>
              </w:rPr>
              <w:t>Outliers kept; log scale limits their pull on distances</w:t>
            </w:r>
          </w:p>
        </w:tc>
      </w:tr>
    </w:tbl>
    <w:p>
      <w:pPr>
        <w:spacing w:after="160"/>
      </w:pPr>
      <w:r>
        <w:rPr>
          <w:i/>
          <w:sz w:val="18"/>
        </w:rPr>
        <w:t>Table 2. Cleaning log: every pre-processing step with the number of rows affected.</w:t>
      </w:r>
      <w:r>
        <w:rPr>
          <w:color w:val="008F8B"/>
          <w:sz w:val="16"/>
        </w:rPr>
        <w:t xml:space="preserve">  Source file: COM7022 - Assignment/output/tables/table03_cleaning_log.csv  |  https://github.com/kvmmn/_COM7022_MachineLearning/blob/main/COM7022%20-%20Assignment/output/tables/table03_cleaning_log.csv</w:t>
      </w:r>
    </w:p>
    <w:p>
      <w:pPr>
        <w:keepNext/>
        <w:jc w:val="center"/>
      </w:pPr>
      <w:r>
        <w:drawing>
          <wp:inline xmlns:a="http://schemas.openxmlformats.org/drawingml/2006/main" xmlns:pic="http://schemas.openxmlformats.org/drawingml/2006/picture">
            <wp:extent cx="5760000" cy="2267621"/>
            <wp:docPr id="3" name="Picture 3"/>
            <wp:cNvGraphicFramePr>
              <a:graphicFrameLocks noChangeAspect="1"/>
            </wp:cNvGraphicFramePr>
            <a:graphic>
              <a:graphicData uri="http://schemas.openxmlformats.org/drawingml/2006/picture">
                <pic:pic>
                  <pic:nvPicPr>
                    <pic:cNvPr id="0" name="fig16_data_prep_flow.png"/>
                    <pic:cNvPicPr/>
                  </pic:nvPicPr>
                  <pic:blipFill>
                    <a:blip r:embed="rId12"/>
                    <a:stretch>
                      <a:fillRect/>
                    </a:stretch>
                  </pic:blipFill>
                  <pic:spPr>
                    <a:xfrm>
                      <a:off x="0" y="0"/>
                      <a:ext cx="5760000" cy="2267621"/>
                    </a:xfrm>
                    <a:prstGeom prst="rect"/>
                  </pic:spPr>
                </pic:pic>
              </a:graphicData>
            </a:graphic>
          </wp:inline>
        </w:drawing>
      </w:r>
    </w:p>
    <w:p>
      <w:pPr>
        <w:spacing w:after="160"/>
      </w:pPr>
      <w:r>
        <w:rPr>
          <w:i/>
          <w:sz w:val="18"/>
        </w:rPr>
        <w:t>Figure 3. Data preparation flow from raw file to model-ready data.</w:t>
      </w:r>
      <w:r>
        <w:rPr>
          <w:color w:val="008F8B"/>
          <w:sz w:val="16"/>
        </w:rPr>
        <w:t xml:space="preserve">  Source file: COM7022 - Assignment/output/figures/fig16_data_prep_flow.png  |  https://github.com/kvmmn/_COM7022_MachineLearning/blob/main/COM7022%20-%20Assignment/output/figures/fig16_data_prep_flow.png</w:t>
      </w:r>
    </w:p>
    <w:p>
      <w:r>
        <w:t>The screenshots below show the code behind these steps (the full code is in the notebook and in Appendix A).</w:t>
      </w:r>
    </w:p>
    <w:p>
      <w:pPr>
        <w:keepNext/>
        <w:jc w:val="center"/>
      </w:pPr>
      <w:r>
        <w:drawing>
          <wp:inline xmlns:a="http://schemas.openxmlformats.org/drawingml/2006/main" xmlns:pic="http://schemas.openxmlformats.org/drawingml/2006/picture">
            <wp:extent cx="5400000" cy="2766007"/>
            <wp:docPr id="4" name="Picture 4"/>
            <wp:cNvGraphicFramePr>
              <a:graphicFrameLocks noChangeAspect="1"/>
            </wp:cNvGraphicFramePr>
            <a:graphic>
              <a:graphicData uri="http://schemas.openxmlformats.org/drawingml/2006/picture">
                <pic:pic>
                  <pic:nvPicPr>
                    <pic:cNvPr id="0" name="code01_import_data.png"/>
                    <pic:cNvPicPr/>
                  </pic:nvPicPr>
                  <pic:blipFill>
                    <a:blip r:embed="rId13"/>
                    <a:stretch>
                      <a:fillRect/>
                    </a:stretch>
                  </pic:blipFill>
                  <pic:spPr>
                    <a:xfrm>
                      <a:off x="0" y="0"/>
                      <a:ext cx="5400000" cy="2766007"/>
                    </a:xfrm>
                    <a:prstGeom prst="rect"/>
                  </pic:spPr>
                </pic:pic>
              </a:graphicData>
            </a:graphic>
          </wp:inline>
        </w:drawing>
      </w:r>
    </w:p>
    <w:p>
      <w:r>
        <w:rPr>
          <w:i/>
          <w:sz w:val="18"/>
        </w:rPr>
        <w:t>Figure 4. Code screenshot: importing the data</w:t>
      </w:r>
      <w:r>
        <w:rPr>
          <w:color w:val="008F8B"/>
          <w:sz w:val="16"/>
        </w:rPr>
        <w:t xml:space="preserve">  Source file: COM7022 - Assignment/output/screenshots/code01_import_data.png  |  https://github.com/kvmmn/_COM7022_MachineLearning/blob/main/COM7022%20-%20Assignment/output/screenshots/code01_import_data.png</w:t>
      </w:r>
    </w:p>
    <w:p>
      <w:pPr>
        <w:keepNext/>
        <w:jc w:val="center"/>
      </w:pPr>
      <w:r>
        <w:drawing>
          <wp:inline xmlns:a="http://schemas.openxmlformats.org/drawingml/2006/main" xmlns:pic="http://schemas.openxmlformats.org/drawingml/2006/picture">
            <wp:extent cx="5400000" cy="1733878"/>
            <wp:docPr id="5" name="Picture 5"/>
            <wp:cNvGraphicFramePr>
              <a:graphicFrameLocks noChangeAspect="1"/>
            </wp:cNvGraphicFramePr>
            <a:graphic>
              <a:graphicData uri="http://schemas.openxmlformats.org/drawingml/2006/picture">
                <pic:pic>
                  <pic:nvPicPr>
                    <pic:cNvPr id="0" name="code02_missing_values.png"/>
                    <pic:cNvPicPr/>
                  </pic:nvPicPr>
                  <pic:blipFill>
                    <a:blip r:embed="rId14"/>
                    <a:stretch>
                      <a:fillRect/>
                    </a:stretch>
                  </pic:blipFill>
                  <pic:spPr>
                    <a:xfrm>
                      <a:off x="0" y="0"/>
                      <a:ext cx="5400000" cy="1733878"/>
                    </a:xfrm>
                    <a:prstGeom prst="rect"/>
                  </pic:spPr>
                </pic:pic>
              </a:graphicData>
            </a:graphic>
          </wp:inline>
        </w:drawing>
      </w:r>
    </w:p>
    <w:p>
      <w:r>
        <w:rPr>
          <w:i/>
          <w:sz w:val="18"/>
        </w:rPr>
        <w:t>Figure 5. Code screenshot: missing-value audit</w:t>
      </w:r>
      <w:r>
        <w:rPr>
          <w:color w:val="008F8B"/>
          <w:sz w:val="16"/>
        </w:rPr>
        <w:t xml:space="preserve">  Source file: COM7022 - Assignment/output/screenshots/code02_missing_values.png  |  https://github.com/kvmmn/_COM7022_MachineLearning/blob/main/COM7022%20-%20Assignment/output/screenshots/code02_missing_values.png</w:t>
      </w:r>
    </w:p>
    <w:p>
      <w:pPr>
        <w:keepNext/>
        <w:jc w:val="center"/>
      </w:pPr>
      <w:r>
        <w:drawing>
          <wp:inline xmlns:a="http://schemas.openxmlformats.org/drawingml/2006/main" xmlns:pic="http://schemas.openxmlformats.org/drawingml/2006/picture">
            <wp:extent cx="5400000" cy="2464126"/>
            <wp:docPr id="6" name="Picture 6"/>
            <wp:cNvGraphicFramePr>
              <a:graphicFrameLocks noChangeAspect="1"/>
            </wp:cNvGraphicFramePr>
            <a:graphic>
              <a:graphicData uri="http://schemas.openxmlformats.org/drawingml/2006/picture">
                <pic:pic>
                  <pic:nvPicPr>
                    <pic:cNvPr id="0" name="code03_price_recovery.png"/>
                    <pic:cNvPicPr/>
                  </pic:nvPicPr>
                  <pic:blipFill>
                    <a:blip r:embed="rId15"/>
                    <a:stretch>
                      <a:fillRect/>
                    </a:stretch>
                  </pic:blipFill>
                  <pic:spPr>
                    <a:xfrm>
                      <a:off x="0" y="0"/>
                      <a:ext cx="5400000" cy="2464126"/>
                    </a:xfrm>
                    <a:prstGeom prst="rect"/>
                  </pic:spPr>
                </pic:pic>
              </a:graphicData>
            </a:graphic>
          </wp:inline>
        </w:drawing>
      </w:r>
    </w:p>
    <w:p>
      <w:r>
        <w:rPr>
          <w:i/>
          <w:sz w:val="18"/>
        </w:rPr>
        <w:t>Figure 6. Code screenshot: recovering price</w:t>
      </w:r>
      <w:r>
        <w:rPr>
          <w:color w:val="008F8B"/>
          <w:sz w:val="16"/>
        </w:rPr>
        <w:t xml:space="preserve">  Source file: COM7022 - Assignment/output/screenshots/code03_price_recovery.png  |  https://github.com/kvmmn/_COM7022_MachineLearning/blob/main/COM7022%20-%20Assignment/output/screenshots/code03_price_recovery.png</w:t>
      </w:r>
    </w:p>
    <w:p>
      <w:pPr>
        <w:keepNext/>
        <w:jc w:val="center"/>
      </w:pPr>
      <w:r>
        <w:drawing>
          <wp:inline xmlns:a="http://schemas.openxmlformats.org/drawingml/2006/main" xmlns:pic="http://schemas.openxmlformats.org/drawingml/2006/picture">
            <wp:extent cx="5400000" cy="1729022"/>
            <wp:docPr id="7" name="Picture 7"/>
            <wp:cNvGraphicFramePr>
              <a:graphicFrameLocks noChangeAspect="1"/>
            </wp:cNvGraphicFramePr>
            <a:graphic>
              <a:graphicData uri="http://schemas.openxmlformats.org/drawingml/2006/picture">
                <pic:pic>
                  <pic:nvPicPr>
                    <pic:cNvPr id="0" name="code04_sold_recovery.png"/>
                    <pic:cNvPicPr/>
                  </pic:nvPicPr>
                  <pic:blipFill>
                    <a:blip r:embed="rId16"/>
                    <a:stretch>
                      <a:fillRect/>
                    </a:stretch>
                  </pic:blipFill>
                  <pic:spPr>
                    <a:xfrm>
                      <a:off x="0" y="0"/>
                      <a:ext cx="5400000" cy="1729022"/>
                    </a:xfrm>
                    <a:prstGeom prst="rect"/>
                  </pic:spPr>
                </pic:pic>
              </a:graphicData>
            </a:graphic>
          </wp:inline>
        </w:drawing>
      </w:r>
    </w:p>
    <w:p>
      <w:r>
        <w:rPr>
          <w:i/>
          <w:sz w:val="18"/>
        </w:rPr>
        <w:t>Figure 7. Code screenshot: recovering units sold</w:t>
      </w:r>
      <w:r>
        <w:rPr>
          <w:color w:val="008F8B"/>
          <w:sz w:val="16"/>
        </w:rPr>
        <w:t xml:space="preserve">  Source file: COM7022 - Assignment/output/screenshots/code04_sold_recovery.png  |  https://github.com/kvmmn/_COM7022_MachineLearning/blob/main/COM7022%20-%20Assignment/output/screenshots/code04_sold_recovery.png</w:t>
      </w:r>
    </w:p>
    <w:p>
      <w:pPr>
        <w:keepNext/>
        <w:jc w:val="center"/>
      </w:pPr>
      <w:r>
        <w:drawing>
          <wp:inline xmlns:a="http://schemas.openxmlformats.org/drawingml/2006/main" xmlns:pic="http://schemas.openxmlformats.org/drawingml/2006/picture">
            <wp:extent cx="5400000" cy="2050449"/>
            <wp:docPr id="8" name="Picture 8"/>
            <wp:cNvGraphicFramePr>
              <a:graphicFrameLocks noChangeAspect="1"/>
            </wp:cNvGraphicFramePr>
            <a:graphic>
              <a:graphicData uri="http://schemas.openxmlformats.org/drawingml/2006/picture">
                <pic:pic>
                  <pic:nvPicPr>
                    <pic:cNvPr id="0" name="code05_stock_level.png"/>
                    <pic:cNvPicPr/>
                  </pic:nvPicPr>
                  <pic:blipFill>
                    <a:blip r:embed="rId17"/>
                    <a:stretch>
                      <a:fillRect/>
                    </a:stretch>
                  </pic:blipFill>
                  <pic:spPr>
                    <a:xfrm>
                      <a:off x="0" y="0"/>
                      <a:ext cx="5400000" cy="2050449"/>
                    </a:xfrm>
                    <a:prstGeom prst="rect"/>
                  </pic:spPr>
                </pic:pic>
              </a:graphicData>
            </a:graphic>
          </wp:inline>
        </w:drawing>
      </w:r>
    </w:p>
    <w:p>
      <w:r>
        <w:rPr>
          <w:i/>
          <w:sz w:val="18"/>
        </w:rPr>
        <w:t>Figure 8. Code screenshot: rebuilding stock level and handling censoring</w:t>
      </w:r>
      <w:r>
        <w:rPr>
          <w:color w:val="008F8B"/>
          <w:sz w:val="16"/>
        </w:rPr>
        <w:t xml:space="preserve">  Source file: COM7022 - Assignment/output/screenshots/code05_stock_level.png  |  https://github.com/kvmmn/_COM7022_MachineLearning/blob/main/COM7022%20-%20Assignment/output/screenshots/code05_stock_level.png</w:t>
      </w:r>
    </w:p>
    <w:p>
      <w:pPr>
        <w:keepNext/>
        <w:jc w:val="center"/>
      </w:pPr>
      <w:r>
        <w:drawing>
          <wp:inline xmlns:a="http://schemas.openxmlformats.org/drawingml/2006/main" xmlns:pic="http://schemas.openxmlformats.org/drawingml/2006/picture">
            <wp:extent cx="5400000" cy="3835176"/>
            <wp:docPr id="9" name="Picture 9"/>
            <wp:cNvGraphicFramePr>
              <a:graphicFrameLocks noChangeAspect="1"/>
            </wp:cNvGraphicFramePr>
            <a:graphic>
              <a:graphicData uri="http://schemas.openxmlformats.org/drawingml/2006/picture">
                <pic:pic>
                  <pic:nvPicPr>
                    <pic:cNvPr id="0" name="code06_product_type.png"/>
                    <pic:cNvPicPr/>
                  </pic:nvPicPr>
                  <pic:blipFill>
                    <a:blip r:embed="rId18"/>
                    <a:stretch>
                      <a:fillRect/>
                    </a:stretch>
                  </pic:blipFill>
                  <pic:spPr>
                    <a:xfrm>
                      <a:off x="0" y="0"/>
                      <a:ext cx="5400000" cy="3835176"/>
                    </a:xfrm>
                    <a:prstGeom prst="rect"/>
                  </pic:spPr>
                </pic:pic>
              </a:graphicData>
            </a:graphic>
          </wp:inline>
        </w:drawing>
      </w:r>
    </w:p>
    <w:p>
      <w:r>
        <w:rPr>
          <w:i/>
          <w:sz w:val="18"/>
        </w:rPr>
        <w:t>Figure 9. Code screenshot: normalising product type</w:t>
      </w:r>
      <w:r>
        <w:rPr>
          <w:color w:val="008F8B"/>
          <w:sz w:val="16"/>
        </w:rPr>
        <w:t xml:space="preserve">  Source file: COM7022 - Assignment/output/screenshots/code06_product_type.png  |  https://github.com/kvmmn/_COM7022_MachineLearning/blob/main/COM7022%20-%20Assignment/output/screenshots/code06_product_type.png</w:t>
      </w:r>
    </w:p>
    <w:p>
      <w:pPr>
        <w:pStyle w:val="Heading2"/>
      </w:pPr>
      <w:r>
        <w:t>2.3 Transformation, scaling and categorical variables</w:t>
      </w:r>
    </w:p>
    <w:p>
      <w:r>
        <w:rPr>
          <w:b/>
        </w:rPr>
        <w:t>Log transform.</w:t>
      </w:r>
      <w:r>
        <w:t xml:space="preserve"> Distance-based clustering is dominated by extreme values, and sales are extremely skewed. I applied log(1 + x) to price and units sold, which keeps the best-sellers in the data but stops them from dominating the distances (Figure 10). After cleaning, the skewness of units sold falls from 9.72 to 0.52 and of price from 1.97 to 0.09 (Table 3).</w:t>
      </w:r>
    </w:p>
    <w:p>
      <w:r>
        <w:rPr>
          <w:b/>
        </w:rPr>
        <w:t>Scaling.</w:t>
      </w:r>
      <w:r>
        <w:t xml:space="preserve"> I used z-score standardisation so that each feature has mean 0 and standard deviation 1. Min-max scaling was tested as a sensitivity check and changed the grouping substantially (agreement 0.49, Section 4.4), because it exaggerates the narrow 1 to 11 stock scale.</w:t>
      </w:r>
    </w:p>
    <w:p>
      <w:r>
        <w:rPr>
          <w:b/>
        </w:rPr>
        <w:t>Categorical variables.</w:t>
      </w:r>
      <w:r>
        <w:t xml:space="preserve"> Brand has 246 distinct values, so one-hot encoding would add hundreds of columns and let a single brand drive the distances. Product type, brand and country were therefore kept out of the distance calculation and used afterwards to describe the clusters.</w:t>
      </w:r>
    </w:p>
    <w:p>
      <w:r>
        <w:t>These choices were tested rather than assumed. In the sensitivity checks (Section 4.4) K-Means gave almost the same groups with a different seed and with the top 1% of sellers removed, so the pre-processing makes the result robust. It only failed with a different scaling method, which is why scaling is documented as a deliberate decision.</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49"/>
          </w:tcPr>
          <w:p>
            <w:pPr>
              <w:spacing w:after="20"/>
            </w:pPr>
            <w:r/>
            <w:r>
              <w:rPr>
                <w:b/>
                <w:color w:val="FFFFFF"/>
                <w:sz w:val="16"/>
              </w:rPr>
              <w:t>Variable</w:t>
            </w:r>
          </w:p>
        </w:tc>
        <w:tc>
          <w:tcPr>
            <w:tcW w:type="dxa" w:w="1176"/>
            <w:shd w:val="clear" w:color="auto" w:fill="002B49"/>
          </w:tcPr>
          <w:p>
            <w:pPr>
              <w:spacing w:after="20"/>
            </w:pPr>
            <w:r/>
            <w:r>
              <w:rPr>
                <w:b/>
                <w:color w:val="FFFFFF"/>
                <w:sz w:val="16"/>
              </w:rPr>
              <w:t>count</w:t>
            </w:r>
          </w:p>
        </w:tc>
        <w:tc>
          <w:tcPr>
            <w:tcW w:type="dxa" w:w="1176"/>
            <w:shd w:val="clear" w:color="auto" w:fill="002B49"/>
          </w:tcPr>
          <w:p>
            <w:pPr>
              <w:spacing w:after="20"/>
            </w:pPr>
            <w:r/>
            <w:r>
              <w:rPr>
                <w:b/>
                <w:color w:val="FFFFFF"/>
                <w:sz w:val="16"/>
              </w:rPr>
              <w:t>mean</w:t>
            </w:r>
          </w:p>
        </w:tc>
        <w:tc>
          <w:tcPr>
            <w:tcW w:type="dxa" w:w="1176"/>
            <w:shd w:val="clear" w:color="auto" w:fill="002B49"/>
          </w:tcPr>
          <w:p>
            <w:pPr>
              <w:spacing w:after="20"/>
            </w:pPr>
            <w:r/>
            <w:r>
              <w:rPr>
                <w:b/>
                <w:color w:val="FFFFFF"/>
                <w:sz w:val="16"/>
              </w:rPr>
              <w:t>std</w:t>
            </w:r>
          </w:p>
        </w:tc>
        <w:tc>
          <w:tcPr>
            <w:tcW w:type="dxa" w:w="1176"/>
            <w:shd w:val="clear" w:color="auto" w:fill="002B49"/>
          </w:tcPr>
          <w:p>
            <w:pPr>
              <w:spacing w:after="20"/>
            </w:pPr>
            <w:r/>
            <w:r>
              <w:rPr>
                <w:b/>
                <w:color w:val="FFFFFF"/>
                <w:sz w:val="16"/>
              </w:rPr>
              <w:t>min</w:t>
            </w:r>
          </w:p>
        </w:tc>
        <w:tc>
          <w:tcPr>
            <w:tcW w:type="dxa" w:w="1176"/>
            <w:shd w:val="clear" w:color="auto" w:fill="002B49"/>
          </w:tcPr>
          <w:p>
            <w:pPr>
              <w:spacing w:after="20"/>
            </w:pPr>
            <w:r/>
            <w:r>
              <w:rPr>
                <w:b/>
                <w:color w:val="FFFFFF"/>
                <w:sz w:val="16"/>
              </w:rPr>
              <w:t>median</w:t>
            </w:r>
          </w:p>
        </w:tc>
        <w:tc>
          <w:tcPr>
            <w:tcW w:type="dxa" w:w="1176"/>
            <w:shd w:val="clear" w:color="auto" w:fill="002B49"/>
          </w:tcPr>
          <w:p>
            <w:pPr>
              <w:spacing w:after="20"/>
            </w:pPr>
            <w:r/>
            <w:r>
              <w:rPr>
                <w:b/>
                <w:color w:val="FFFFFF"/>
                <w:sz w:val="16"/>
              </w:rPr>
              <w:t>max</w:t>
            </w:r>
          </w:p>
        </w:tc>
        <w:tc>
          <w:tcPr>
            <w:tcW w:type="dxa" w:w="1176"/>
            <w:shd w:val="clear" w:color="auto" w:fill="002B49"/>
          </w:tcPr>
          <w:p>
            <w:pPr>
              <w:spacing w:after="20"/>
            </w:pPr>
            <w:r/>
            <w:r>
              <w:rPr>
                <w:b/>
                <w:color w:val="FFFFFF"/>
                <w:sz w:val="16"/>
              </w:rPr>
              <w:t>skewness</w:t>
            </w:r>
          </w:p>
        </w:tc>
      </w:tr>
      <w:tr>
        <w:tc>
          <w:tcPr>
            <w:tcW w:type="dxa" w:w="1176"/>
          </w:tcPr>
          <w:p>
            <w:pPr>
              <w:spacing w:after="20"/>
            </w:pPr>
            <w:r/>
            <w:r>
              <w:rPr>
                <w:sz w:val="16"/>
              </w:rPr>
              <w:t>price</w:t>
            </w:r>
          </w:p>
        </w:tc>
        <w:tc>
          <w:tcPr>
            <w:tcW w:type="dxa" w:w="1176"/>
          </w:tcPr>
          <w:p>
            <w:pPr>
              <w:spacing w:after="20"/>
            </w:pPr>
            <w:r/>
            <w:r>
              <w:rPr>
                <w:sz w:val="16"/>
              </w:rPr>
              <w:t>997.0</w:t>
            </w:r>
          </w:p>
        </w:tc>
        <w:tc>
          <w:tcPr>
            <w:tcW w:type="dxa" w:w="1176"/>
          </w:tcPr>
          <w:p>
            <w:pPr>
              <w:spacing w:after="20"/>
            </w:pPr>
            <w:r/>
            <w:r>
              <w:rPr>
                <w:sz w:val="16"/>
              </w:rPr>
              <w:t>46.07</w:t>
            </w:r>
          </w:p>
        </w:tc>
        <w:tc>
          <w:tcPr>
            <w:tcW w:type="dxa" w:w="1176"/>
          </w:tcPr>
          <w:p>
            <w:pPr>
              <w:spacing w:after="20"/>
            </w:pPr>
            <w:r/>
            <w:r>
              <w:rPr>
                <w:sz w:val="16"/>
              </w:rPr>
              <w:t>34.75</w:t>
            </w:r>
          </w:p>
        </w:tc>
        <w:tc>
          <w:tcPr>
            <w:tcW w:type="dxa" w:w="1176"/>
          </w:tcPr>
          <w:p>
            <w:pPr>
              <w:spacing w:after="20"/>
            </w:pPr>
            <w:r/>
            <w:r>
              <w:rPr>
                <w:sz w:val="16"/>
              </w:rPr>
              <w:t>3.0</w:t>
            </w:r>
          </w:p>
        </w:tc>
        <w:tc>
          <w:tcPr>
            <w:tcW w:type="dxa" w:w="1176"/>
          </w:tcPr>
          <w:p>
            <w:pPr>
              <w:spacing w:after="20"/>
            </w:pPr>
            <w:r/>
            <w:r>
              <w:rPr>
                <w:sz w:val="16"/>
              </w:rPr>
              <w:t>35.62</w:t>
            </w:r>
          </w:p>
        </w:tc>
        <w:tc>
          <w:tcPr>
            <w:tcW w:type="dxa" w:w="1176"/>
          </w:tcPr>
          <w:p>
            <w:pPr>
              <w:spacing w:after="20"/>
            </w:pPr>
            <w:r/>
            <w:r>
              <w:rPr>
                <w:sz w:val="16"/>
              </w:rPr>
              <w:t>259.09</w:t>
            </w:r>
          </w:p>
        </w:tc>
        <w:tc>
          <w:tcPr>
            <w:tcW w:type="dxa" w:w="1176"/>
          </w:tcPr>
          <w:p>
            <w:pPr>
              <w:spacing w:after="20"/>
            </w:pPr>
            <w:r/>
            <w:r>
              <w:rPr>
                <w:sz w:val="16"/>
              </w:rPr>
              <w:t>1.97</w:t>
            </w:r>
          </w:p>
        </w:tc>
      </w:tr>
      <w:tr>
        <w:tc>
          <w:tcPr>
            <w:tcW w:type="dxa" w:w="1176"/>
            <w:shd w:val="clear" w:color="auto" w:fill="F2F5F7"/>
          </w:tcPr>
          <w:p>
            <w:pPr>
              <w:spacing w:after="20"/>
            </w:pPr>
            <w:r/>
            <w:r>
              <w:rPr>
                <w:sz w:val="16"/>
              </w:rPr>
              <w:t>sold</w:t>
            </w:r>
          </w:p>
        </w:tc>
        <w:tc>
          <w:tcPr>
            <w:tcW w:type="dxa" w:w="1176"/>
            <w:shd w:val="clear" w:color="auto" w:fill="F2F5F7"/>
          </w:tcPr>
          <w:p>
            <w:pPr>
              <w:spacing w:after="20"/>
            </w:pPr>
            <w:r/>
            <w:r>
              <w:rPr>
                <w:sz w:val="16"/>
              </w:rPr>
              <w:t>997.0</w:t>
            </w:r>
          </w:p>
        </w:tc>
        <w:tc>
          <w:tcPr>
            <w:tcW w:type="dxa" w:w="1176"/>
            <w:shd w:val="clear" w:color="auto" w:fill="F2F5F7"/>
          </w:tcPr>
          <w:p>
            <w:pPr>
              <w:spacing w:after="20"/>
            </w:pPr>
            <w:r/>
            <w:r>
              <w:rPr>
                <w:sz w:val="16"/>
              </w:rPr>
              <w:t>771.63</w:t>
            </w:r>
          </w:p>
        </w:tc>
        <w:tc>
          <w:tcPr>
            <w:tcW w:type="dxa" w:w="1176"/>
            <w:shd w:val="clear" w:color="auto" w:fill="F2F5F7"/>
          </w:tcPr>
          <w:p>
            <w:pPr>
              <w:spacing w:after="20"/>
            </w:pPr>
            <w:r/>
            <w:r>
              <w:rPr>
                <w:sz w:val="16"/>
              </w:rPr>
              <w:t>3203.77</w:t>
            </w:r>
          </w:p>
        </w:tc>
        <w:tc>
          <w:tcPr>
            <w:tcW w:type="dxa" w:w="1176"/>
            <w:shd w:val="clear" w:color="auto" w:fill="F2F5F7"/>
          </w:tcPr>
          <w:p>
            <w:pPr>
              <w:spacing w:after="20"/>
            </w:pPr>
            <w:r/>
            <w:r>
              <w:rPr>
                <w:sz w:val="16"/>
              </w:rPr>
              <w:t>0.0</w:t>
            </w:r>
          </w:p>
        </w:tc>
        <w:tc>
          <w:tcPr>
            <w:tcW w:type="dxa" w:w="1176"/>
            <w:shd w:val="clear" w:color="auto" w:fill="F2F5F7"/>
          </w:tcPr>
          <w:p>
            <w:pPr>
              <w:spacing w:after="20"/>
            </w:pPr>
            <w:r/>
            <w:r>
              <w:rPr>
                <w:sz w:val="16"/>
              </w:rPr>
              <w:t>49.0</w:t>
            </w:r>
          </w:p>
        </w:tc>
        <w:tc>
          <w:tcPr>
            <w:tcW w:type="dxa" w:w="1176"/>
            <w:shd w:val="clear" w:color="auto" w:fill="F2F5F7"/>
          </w:tcPr>
          <w:p>
            <w:pPr>
              <w:spacing w:after="20"/>
            </w:pPr>
            <w:r/>
            <w:r>
              <w:rPr>
                <w:sz w:val="16"/>
              </w:rPr>
              <w:t>54052.0</w:t>
            </w:r>
          </w:p>
        </w:tc>
        <w:tc>
          <w:tcPr>
            <w:tcW w:type="dxa" w:w="1176"/>
            <w:shd w:val="clear" w:color="auto" w:fill="F2F5F7"/>
          </w:tcPr>
          <w:p>
            <w:pPr>
              <w:spacing w:after="20"/>
            </w:pPr>
            <w:r/>
            <w:r>
              <w:rPr>
                <w:sz w:val="16"/>
              </w:rPr>
              <w:t>9.72</w:t>
            </w:r>
          </w:p>
        </w:tc>
      </w:tr>
      <w:tr>
        <w:tc>
          <w:tcPr>
            <w:tcW w:type="dxa" w:w="1176"/>
          </w:tcPr>
          <w:p>
            <w:pPr>
              <w:spacing w:after="20"/>
            </w:pPr>
            <w:r/>
            <w:r>
              <w:rPr>
                <w:sz w:val="16"/>
              </w:rPr>
              <w:t>stock_level</w:t>
            </w:r>
          </w:p>
        </w:tc>
        <w:tc>
          <w:tcPr>
            <w:tcW w:type="dxa" w:w="1176"/>
          </w:tcPr>
          <w:p>
            <w:pPr>
              <w:spacing w:after="20"/>
            </w:pPr>
            <w:r/>
            <w:r>
              <w:rPr>
                <w:sz w:val="16"/>
              </w:rPr>
              <w:t>997.0</w:t>
            </w:r>
          </w:p>
        </w:tc>
        <w:tc>
          <w:tcPr>
            <w:tcW w:type="dxa" w:w="1176"/>
          </w:tcPr>
          <w:p>
            <w:pPr>
              <w:spacing w:after="20"/>
            </w:pPr>
            <w:r/>
            <w:r>
              <w:rPr>
                <w:sz w:val="16"/>
              </w:rPr>
              <w:t>7.73</w:t>
            </w:r>
          </w:p>
        </w:tc>
        <w:tc>
          <w:tcPr>
            <w:tcW w:type="dxa" w:w="1176"/>
          </w:tcPr>
          <w:p>
            <w:pPr>
              <w:spacing w:after="20"/>
            </w:pPr>
            <w:r/>
            <w:r>
              <w:rPr>
                <w:sz w:val="16"/>
              </w:rPr>
              <w:t>3.53</w:t>
            </w:r>
          </w:p>
        </w:tc>
        <w:tc>
          <w:tcPr>
            <w:tcW w:type="dxa" w:w="1176"/>
          </w:tcPr>
          <w:p>
            <w:pPr>
              <w:spacing w:after="20"/>
            </w:pPr>
            <w:r/>
            <w:r>
              <w:rPr>
                <w:sz w:val="16"/>
              </w:rPr>
              <w:t>1.0</w:t>
            </w:r>
          </w:p>
        </w:tc>
        <w:tc>
          <w:tcPr>
            <w:tcW w:type="dxa" w:w="1176"/>
          </w:tcPr>
          <w:p>
            <w:pPr>
              <w:spacing w:after="20"/>
            </w:pPr>
            <w:r/>
            <w:r>
              <w:rPr>
                <w:sz w:val="16"/>
              </w:rPr>
              <w:t>9.0</w:t>
            </w:r>
          </w:p>
        </w:tc>
        <w:tc>
          <w:tcPr>
            <w:tcW w:type="dxa" w:w="1176"/>
          </w:tcPr>
          <w:p>
            <w:pPr>
              <w:spacing w:after="20"/>
            </w:pPr>
            <w:r/>
            <w:r>
              <w:rPr>
                <w:sz w:val="16"/>
              </w:rPr>
              <w:t>11.0</w:t>
            </w:r>
          </w:p>
        </w:tc>
        <w:tc>
          <w:tcPr>
            <w:tcW w:type="dxa" w:w="1176"/>
          </w:tcPr>
          <w:p>
            <w:pPr>
              <w:spacing w:after="20"/>
            </w:pPr>
            <w:r/>
            <w:r>
              <w:rPr>
                <w:sz w:val="16"/>
              </w:rPr>
              <w:t>-0.57</w:t>
            </w:r>
          </w:p>
        </w:tc>
      </w:tr>
      <w:tr>
        <w:tc>
          <w:tcPr>
            <w:tcW w:type="dxa" w:w="1176"/>
            <w:shd w:val="clear" w:color="auto" w:fill="F2F5F7"/>
          </w:tcPr>
          <w:p>
            <w:pPr>
              <w:spacing w:after="20"/>
            </w:pPr>
            <w:r/>
            <w:r>
              <w:rPr>
                <w:sz w:val="16"/>
              </w:rPr>
              <w:t>log_price</w:t>
            </w:r>
          </w:p>
        </w:tc>
        <w:tc>
          <w:tcPr>
            <w:tcW w:type="dxa" w:w="1176"/>
            <w:shd w:val="clear" w:color="auto" w:fill="F2F5F7"/>
          </w:tcPr>
          <w:p>
            <w:pPr>
              <w:spacing w:after="20"/>
            </w:pPr>
            <w:r/>
            <w:r>
              <w:rPr>
                <w:sz w:val="16"/>
              </w:rPr>
              <w:t>997.0</w:t>
            </w:r>
          </w:p>
        </w:tc>
        <w:tc>
          <w:tcPr>
            <w:tcW w:type="dxa" w:w="1176"/>
            <w:shd w:val="clear" w:color="auto" w:fill="F2F5F7"/>
          </w:tcPr>
          <w:p>
            <w:pPr>
              <w:spacing w:after="20"/>
            </w:pPr>
            <w:r/>
            <w:r>
              <w:rPr>
                <w:sz w:val="16"/>
              </w:rPr>
              <w:t>3.63</w:t>
            </w:r>
          </w:p>
        </w:tc>
        <w:tc>
          <w:tcPr>
            <w:tcW w:type="dxa" w:w="1176"/>
            <w:shd w:val="clear" w:color="auto" w:fill="F2F5F7"/>
          </w:tcPr>
          <w:p>
            <w:pPr>
              <w:spacing w:after="20"/>
            </w:pPr>
            <w:r/>
            <w:r>
              <w:rPr>
                <w:sz w:val="16"/>
              </w:rPr>
              <w:t>0.67</w:t>
            </w:r>
          </w:p>
        </w:tc>
        <w:tc>
          <w:tcPr>
            <w:tcW w:type="dxa" w:w="1176"/>
            <w:shd w:val="clear" w:color="auto" w:fill="F2F5F7"/>
          </w:tcPr>
          <w:p>
            <w:pPr>
              <w:spacing w:after="20"/>
            </w:pPr>
            <w:r/>
            <w:r>
              <w:rPr>
                <w:sz w:val="16"/>
              </w:rPr>
              <w:t>1.39</w:t>
            </w:r>
          </w:p>
        </w:tc>
        <w:tc>
          <w:tcPr>
            <w:tcW w:type="dxa" w:w="1176"/>
            <w:shd w:val="clear" w:color="auto" w:fill="F2F5F7"/>
          </w:tcPr>
          <w:p>
            <w:pPr>
              <w:spacing w:after="20"/>
            </w:pPr>
            <w:r/>
            <w:r>
              <w:rPr>
                <w:sz w:val="16"/>
              </w:rPr>
              <w:t>3.6</w:t>
            </w:r>
          </w:p>
        </w:tc>
        <w:tc>
          <w:tcPr>
            <w:tcW w:type="dxa" w:w="1176"/>
            <w:shd w:val="clear" w:color="auto" w:fill="F2F5F7"/>
          </w:tcPr>
          <w:p>
            <w:pPr>
              <w:spacing w:after="20"/>
            </w:pPr>
            <w:r/>
            <w:r>
              <w:rPr>
                <w:sz w:val="16"/>
              </w:rPr>
              <w:t>5.56</w:t>
            </w:r>
          </w:p>
        </w:tc>
        <w:tc>
          <w:tcPr>
            <w:tcW w:type="dxa" w:w="1176"/>
            <w:shd w:val="clear" w:color="auto" w:fill="F2F5F7"/>
          </w:tcPr>
          <w:p>
            <w:pPr>
              <w:spacing w:after="20"/>
            </w:pPr>
            <w:r/>
            <w:r>
              <w:rPr>
                <w:sz w:val="16"/>
              </w:rPr>
              <w:t>0.09</w:t>
            </w:r>
          </w:p>
        </w:tc>
      </w:tr>
      <w:tr>
        <w:tc>
          <w:tcPr>
            <w:tcW w:type="dxa" w:w="1176"/>
          </w:tcPr>
          <w:p>
            <w:pPr>
              <w:spacing w:after="20"/>
            </w:pPr>
            <w:r/>
            <w:r>
              <w:rPr>
                <w:sz w:val="16"/>
              </w:rPr>
              <w:t>log_sold</w:t>
            </w:r>
          </w:p>
        </w:tc>
        <w:tc>
          <w:tcPr>
            <w:tcW w:type="dxa" w:w="1176"/>
          </w:tcPr>
          <w:p>
            <w:pPr>
              <w:spacing w:after="20"/>
            </w:pPr>
            <w:r/>
            <w:r>
              <w:rPr>
                <w:sz w:val="16"/>
              </w:rPr>
              <w:t>997.0</w:t>
            </w:r>
          </w:p>
        </w:tc>
        <w:tc>
          <w:tcPr>
            <w:tcW w:type="dxa" w:w="1176"/>
          </w:tcPr>
          <w:p>
            <w:pPr>
              <w:spacing w:after="20"/>
            </w:pPr>
            <w:r/>
            <w:r>
              <w:rPr>
                <w:sz w:val="16"/>
              </w:rPr>
              <w:t>4.29</w:t>
            </w:r>
          </w:p>
        </w:tc>
        <w:tc>
          <w:tcPr>
            <w:tcW w:type="dxa" w:w="1176"/>
          </w:tcPr>
          <w:p>
            <w:pPr>
              <w:spacing w:after="20"/>
            </w:pPr>
            <w:r/>
            <w:r>
              <w:rPr>
                <w:sz w:val="16"/>
              </w:rPr>
              <w:t>2.08</w:t>
            </w:r>
          </w:p>
        </w:tc>
        <w:tc>
          <w:tcPr>
            <w:tcW w:type="dxa" w:w="1176"/>
          </w:tcPr>
          <w:p>
            <w:pPr>
              <w:spacing w:after="20"/>
            </w:pPr>
            <w:r/>
            <w:r>
              <w:rPr>
                <w:sz w:val="16"/>
              </w:rPr>
              <w:t>0.0</w:t>
            </w:r>
          </w:p>
        </w:tc>
        <w:tc>
          <w:tcPr>
            <w:tcW w:type="dxa" w:w="1176"/>
          </w:tcPr>
          <w:p>
            <w:pPr>
              <w:spacing w:after="20"/>
            </w:pPr>
            <w:r/>
            <w:r>
              <w:rPr>
                <w:sz w:val="16"/>
              </w:rPr>
              <w:t>3.91</w:t>
            </w:r>
          </w:p>
        </w:tc>
        <w:tc>
          <w:tcPr>
            <w:tcW w:type="dxa" w:w="1176"/>
          </w:tcPr>
          <w:p>
            <w:pPr>
              <w:spacing w:after="20"/>
            </w:pPr>
            <w:r/>
            <w:r>
              <w:rPr>
                <w:sz w:val="16"/>
              </w:rPr>
              <w:t>10.9</w:t>
            </w:r>
          </w:p>
        </w:tc>
        <w:tc>
          <w:tcPr>
            <w:tcW w:type="dxa" w:w="1176"/>
          </w:tcPr>
          <w:p>
            <w:pPr>
              <w:spacing w:after="20"/>
            </w:pPr>
            <w:r/>
            <w:r>
              <w:rPr>
                <w:sz w:val="16"/>
              </w:rPr>
              <w:t>0.52</w:t>
            </w:r>
          </w:p>
        </w:tc>
      </w:tr>
    </w:tbl>
    <w:p>
      <w:pPr>
        <w:spacing w:after="160"/>
      </w:pPr>
      <w:r>
        <w:rPr>
          <w:i/>
          <w:sz w:val="18"/>
        </w:rPr>
        <w:t>Table 3. Descriptive statistics after cleaning (997 listings), including skewness before and after the log transform.</w:t>
      </w:r>
      <w:r>
        <w:rPr>
          <w:color w:val="008F8B"/>
          <w:sz w:val="16"/>
        </w:rPr>
        <w:t xml:space="preserve">  Source file: COM7022 - Assignment/output/tables/table04_descriptive_statistics_clean.csv  |  https://github.com/kvmmn/_COM7022_MachineLearning/blob/main/COM7022%20-%20Assignment/output/tables/table04_descriptive_statistics_clean.csv</w:t>
      </w:r>
    </w:p>
    <w:p>
      <w:pPr>
        <w:keepNext/>
        <w:jc w:val="center"/>
      </w:pPr>
      <w:r>
        <w:drawing>
          <wp:inline xmlns:a="http://schemas.openxmlformats.org/drawingml/2006/main" xmlns:pic="http://schemas.openxmlformats.org/drawingml/2006/picture">
            <wp:extent cx="5580000" cy="1601594"/>
            <wp:docPr id="10" name="Picture 10"/>
            <wp:cNvGraphicFramePr>
              <a:graphicFrameLocks noChangeAspect="1"/>
            </wp:cNvGraphicFramePr>
            <a:graphic>
              <a:graphicData uri="http://schemas.openxmlformats.org/drawingml/2006/picture">
                <pic:pic>
                  <pic:nvPicPr>
                    <pic:cNvPr id="0" name="fig03_transformed_distributions.png"/>
                    <pic:cNvPicPr/>
                  </pic:nvPicPr>
                  <pic:blipFill>
                    <a:blip r:embed="rId19"/>
                    <a:stretch>
                      <a:fillRect/>
                    </a:stretch>
                  </pic:blipFill>
                  <pic:spPr>
                    <a:xfrm>
                      <a:off x="0" y="0"/>
                      <a:ext cx="5580000" cy="1601594"/>
                    </a:xfrm>
                    <a:prstGeom prst="rect"/>
                  </pic:spPr>
                </pic:pic>
              </a:graphicData>
            </a:graphic>
          </wp:inline>
        </w:drawing>
      </w:r>
    </w:p>
    <w:p>
      <w:pPr>
        <w:spacing w:after="160"/>
      </w:pPr>
      <w:r>
        <w:rPr>
          <w:i/>
          <w:sz w:val="18"/>
        </w:rPr>
        <w:t>Figure 10. Distributions after the log transform.</w:t>
      </w:r>
      <w:r>
        <w:rPr>
          <w:color w:val="008F8B"/>
          <w:sz w:val="16"/>
        </w:rPr>
        <w:t xml:space="preserve">  Source file: COM7022 - Assignment/output/figures/fig03_transformed_distributions.png  |  https://github.com/kvmmn/_COM7022_MachineLearning/blob/main/COM7022%20-%20Assignment/output/figures/fig03_transformed_distributions.png</w:t>
      </w:r>
    </w:p>
    <w:p>
      <w:pPr>
        <w:keepNext/>
        <w:jc w:val="center"/>
      </w:pPr>
      <w:r>
        <w:drawing>
          <wp:inline xmlns:a="http://schemas.openxmlformats.org/drawingml/2006/main" xmlns:pic="http://schemas.openxmlformats.org/drawingml/2006/picture">
            <wp:extent cx="5040000" cy="1981338"/>
            <wp:docPr id="11" name="Picture 11"/>
            <wp:cNvGraphicFramePr>
              <a:graphicFrameLocks noChangeAspect="1"/>
            </wp:cNvGraphicFramePr>
            <a:graphic>
              <a:graphicData uri="http://schemas.openxmlformats.org/drawingml/2006/picture">
                <pic:pic>
                  <pic:nvPicPr>
                    <pic:cNvPr id="0" name="code07_log_transform.png"/>
                    <pic:cNvPicPr/>
                  </pic:nvPicPr>
                  <pic:blipFill>
                    <a:blip r:embed="rId20"/>
                    <a:stretch>
                      <a:fillRect/>
                    </a:stretch>
                  </pic:blipFill>
                  <pic:spPr>
                    <a:xfrm>
                      <a:off x="0" y="0"/>
                      <a:ext cx="5040000" cy="1981338"/>
                    </a:xfrm>
                    <a:prstGeom prst="rect"/>
                  </pic:spPr>
                </pic:pic>
              </a:graphicData>
            </a:graphic>
          </wp:inline>
        </w:drawing>
      </w:r>
    </w:p>
    <w:p>
      <w:r>
        <w:rPr>
          <w:i/>
          <w:sz w:val="18"/>
        </w:rPr>
        <w:t>Figure 11. Code screenshot: log transform</w:t>
      </w:r>
      <w:r>
        <w:rPr>
          <w:color w:val="008F8B"/>
          <w:sz w:val="16"/>
        </w:rPr>
        <w:t xml:space="preserve">  Source file: COM7022 - Assignment/output/screenshots/code07_log_transform.png  |  https://github.com/kvmmn/_COM7022_MachineLearning/blob/main/COM7022%20-%20Assignment/output/screenshots/code07_log_transform.png</w:t>
      </w:r>
    </w:p>
    <w:p>
      <w:pPr>
        <w:keepNext/>
        <w:jc w:val="center"/>
      </w:pPr>
      <w:r>
        <w:drawing>
          <wp:inline xmlns:a="http://schemas.openxmlformats.org/drawingml/2006/main" xmlns:pic="http://schemas.openxmlformats.org/drawingml/2006/picture">
            <wp:extent cx="5040000" cy="1553615"/>
            <wp:docPr id="12" name="Picture 12"/>
            <wp:cNvGraphicFramePr>
              <a:graphicFrameLocks noChangeAspect="1"/>
            </wp:cNvGraphicFramePr>
            <a:graphic>
              <a:graphicData uri="http://schemas.openxmlformats.org/drawingml/2006/picture">
                <pic:pic>
                  <pic:nvPicPr>
                    <pic:cNvPr id="0" name="code08_scaling.png"/>
                    <pic:cNvPicPr/>
                  </pic:nvPicPr>
                  <pic:blipFill>
                    <a:blip r:embed="rId21"/>
                    <a:stretch>
                      <a:fillRect/>
                    </a:stretch>
                  </pic:blipFill>
                  <pic:spPr>
                    <a:xfrm>
                      <a:off x="0" y="0"/>
                      <a:ext cx="5040000" cy="1553615"/>
                    </a:xfrm>
                    <a:prstGeom prst="rect"/>
                  </pic:spPr>
                </pic:pic>
              </a:graphicData>
            </a:graphic>
          </wp:inline>
        </w:drawing>
      </w:r>
    </w:p>
    <w:p>
      <w:r>
        <w:rPr>
          <w:i/>
          <w:sz w:val="18"/>
        </w:rPr>
        <w:t>Figure 12. Code screenshot: standard scaling of the selected features</w:t>
      </w:r>
      <w:r>
        <w:rPr>
          <w:color w:val="008F8B"/>
          <w:sz w:val="16"/>
        </w:rPr>
        <w:t xml:space="preserve">  Source file: COM7022 - Assignment/output/screenshots/code08_scaling.png  |  https://github.com/kvmmn/_COM7022_MachineLearning/blob/main/COM7022%20-%20Assignment/output/screenshots/code08_scaling.png</w:t>
      </w:r>
    </w:p>
    <w:p>
      <w:pPr>
        <w:pStyle w:val="Heading2"/>
      </w:pPr>
      <w:r>
        <w:t>2.4 Feature selection</w:t>
      </w:r>
    </w:p>
    <w:p>
      <w:r>
        <w:t xml:space="preserve">The brief asks for groups based on product characteristics and sales performance, so I screened candidate features with a Spearman correlation matrix (Figure 13) and compared five feature sets by silhouette score (Table 4). I selected </w:t>
      </w:r>
      <w:r>
        <w:rPr>
          <w:b/>
        </w:rPr>
        <w:t>log price, log units sold and stock level</w:t>
      </w:r>
      <w:r>
        <w:t xml:space="preserve"> (Set B). They give three distinct business views: market position, sales performance and availability. Set A (price and sales only) scores slightly higher but ignores availability, which the business needs to spot stock-outs. Adding days since update or bottle size lowered the scores and added little meaning.</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3175"/>
            <w:shd w:val="clear" w:color="auto" w:fill="002B49"/>
          </w:tcPr>
          <w:p>
            <w:pPr>
              <w:spacing w:after="20"/>
            </w:pPr>
            <w:r/>
            <w:r>
              <w:rPr>
                <w:b/>
                <w:color w:val="FFFFFF"/>
                <w:sz w:val="17"/>
              </w:rPr>
              <w:t>Feature set</w:t>
            </w:r>
          </w:p>
        </w:tc>
        <w:tc>
          <w:tcPr>
            <w:tcW w:type="dxa" w:w="907"/>
            <w:shd w:val="clear" w:color="auto" w:fill="002B49"/>
          </w:tcPr>
          <w:p>
            <w:pPr>
              <w:spacing w:after="20"/>
            </w:pPr>
            <w:r/>
            <w:r>
              <w:rPr>
                <w:b/>
                <w:color w:val="FFFFFF"/>
                <w:sz w:val="17"/>
              </w:rPr>
              <w:t>Features</w:t>
            </w:r>
          </w:p>
        </w:tc>
        <w:tc>
          <w:tcPr>
            <w:tcW w:type="dxa" w:w="850"/>
            <w:shd w:val="clear" w:color="auto" w:fill="002B49"/>
          </w:tcPr>
          <w:p>
            <w:pPr>
              <w:spacing w:after="20"/>
            </w:pPr>
            <w:r/>
            <w:r>
              <w:rPr>
                <w:b/>
                <w:color w:val="FFFFFF"/>
                <w:sz w:val="17"/>
              </w:rPr>
              <w:t>k=2</w:t>
            </w:r>
          </w:p>
        </w:tc>
        <w:tc>
          <w:tcPr>
            <w:tcW w:type="dxa" w:w="850"/>
            <w:shd w:val="clear" w:color="auto" w:fill="002B49"/>
          </w:tcPr>
          <w:p>
            <w:pPr>
              <w:spacing w:after="20"/>
            </w:pPr>
            <w:r/>
            <w:r>
              <w:rPr>
                <w:b/>
                <w:color w:val="FFFFFF"/>
                <w:sz w:val="17"/>
              </w:rPr>
              <w:t>k=3</w:t>
            </w:r>
          </w:p>
        </w:tc>
        <w:tc>
          <w:tcPr>
            <w:tcW w:type="dxa" w:w="850"/>
            <w:shd w:val="clear" w:color="auto" w:fill="002B49"/>
          </w:tcPr>
          <w:p>
            <w:pPr>
              <w:spacing w:after="20"/>
            </w:pPr>
            <w:r/>
            <w:r>
              <w:rPr>
                <w:b/>
                <w:color w:val="FFFFFF"/>
                <w:sz w:val="17"/>
              </w:rPr>
              <w:t>k=4</w:t>
            </w:r>
          </w:p>
        </w:tc>
        <w:tc>
          <w:tcPr>
            <w:tcW w:type="dxa" w:w="850"/>
            <w:shd w:val="clear" w:color="auto" w:fill="002B49"/>
          </w:tcPr>
          <w:p>
            <w:pPr>
              <w:spacing w:after="20"/>
            </w:pPr>
            <w:r/>
            <w:r>
              <w:rPr>
                <w:b/>
                <w:color w:val="FFFFFF"/>
                <w:sz w:val="17"/>
              </w:rPr>
              <w:t>k=5</w:t>
            </w:r>
          </w:p>
        </w:tc>
        <w:tc>
          <w:tcPr>
            <w:tcW w:type="dxa" w:w="850"/>
            <w:shd w:val="clear" w:color="auto" w:fill="002B49"/>
          </w:tcPr>
          <w:p>
            <w:pPr>
              <w:spacing w:after="20"/>
            </w:pPr>
            <w:r/>
            <w:r>
              <w:rPr>
                <w:b/>
                <w:color w:val="FFFFFF"/>
                <w:sz w:val="17"/>
              </w:rPr>
              <w:t>k=6</w:t>
            </w:r>
          </w:p>
        </w:tc>
      </w:tr>
      <w:tr>
        <w:tc>
          <w:tcPr>
            <w:tcW w:type="dxa" w:w="3175"/>
          </w:tcPr>
          <w:p>
            <w:pPr>
              <w:spacing w:after="20"/>
            </w:pPr>
            <w:r/>
            <w:r>
              <w:rPr>
                <w:sz w:val="17"/>
              </w:rPr>
              <w:t>A: price + sold</w:t>
            </w:r>
          </w:p>
        </w:tc>
        <w:tc>
          <w:tcPr>
            <w:tcW w:type="dxa" w:w="907"/>
          </w:tcPr>
          <w:p>
            <w:pPr>
              <w:spacing w:after="20"/>
            </w:pPr>
            <w:r/>
            <w:r>
              <w:rPr>
                <w:sz w:val="17"/>
              </w:rPr>
              <w:t>2</w:t>
            </w:r>
          </w:p>
        </w:tc>
        <w:tc>
          <w:tcPr>
            <w:tcW w:type="dxa" w:w="850"/>
          </w:tcPr>
          <w:p>
            <w:pPr>
              <w:spacing w:after="20"/>
            </w:pPr>
            <w:r/>
            <w:r>
              <w:rPr>
                <w:sz w:val="17"/>
              </w:rPr>
              <w:t>0.351</w:t>
            </w:r>
          </w:p>
        </w:tc>
        <w:tc>
          <w:tcPr>
            <w:tcW w:type="dxa" w:w="850"/>
          </w:tcPr>
          <w:p>
            <w:pPr>
              <w:spacing w:after="20"/>
            </w:pPr>
            <w:r/>
            <w:r>
              <w:rPr>
                <w:sz w:val="17"/>
              </w:rPr>
              <w:t>0.377</w:t>
            </w:r>
          </w:p>
        </w:tc>
        <w:tc>
          <w:tcPr>
            <w:tcW w:type="dxa" w:w="850"/>
          </w:tcPr>
          <w:p>
            <w:pPr>
              <w:spacing w:after="20"/>
            </w:pPr>
            <w:r/>
            <w:r>
              <w:rPr>
                <w:sz w:val="17"/>
              </w:rPr>
              <w:t>0.356</w:t>
            </w:r>
          </w:p>
        </w:tc>
        <w:tc>
          <w:tcPr>
            <w:tcW w:type="dxa" w:w="850"/>
          </w:tcPr>
          <w:p>
            <w:pPr>
              <w:spacing w:after="20"/>
            </w:pPr>
            <w:r/>
            <w:r>
              <w:rPr>
                <w:sz w:val="17"/>
              </w:rPr>
              <w:t>0.351</w:t>
            </w:r>
          </w:p>
        </w:tc>
        <w:tc>
          <w:tcPr>
            <w:tcW w:type="dxa" w:w="850"/>
          </w:tcPr>
          <w:p>
            <w:pPr>
              <w:spacing w:after="20"/>
            </w:pPr>
            <w:r/>
            <w:r>
              <w:rPr>
                <w:sz w:val="17"/>
              </w:rPr>
              <w:t>0.354</w:t>
            </w:r>
          </w:p>
        </w:tc>
      </w:tr>
      <w:tr>
        <w:tc>
          <w:tcPr>
            <w:tcW w:type="dxa" w:w="3175"/>
            <w:shd w:val="clear" w:color="auto" w:fill="F2F5F7"/>
          </w:tcPr>
          <w:p>
            <w:pPr>
              <w:spacing w:after="20"/>
            </w:pPr>
            <w:r/>
            <w:r>
              <w:rPr>
                <w:sz w:val="17"/>
              </w:rPr>
              <w:t>B: price + sold + stock</w:t>
            </w:r>
          </w:p>
        </w:tc>
        <w:tc>
          <w:tcPr>
            <w:tcW w:type="dxa" w:w="907"/>
            <w:shd w:val="clear" w:color="auto" w:fill="F2F5F7"/>
          </w:tcPr>
          <w:p>
            <w:pPr>
              <w:spacing w:after="20"/>
            </w:pPr>
            <w:r/>
            <w:r>
              <w:rPr>
                <w:sz w:val="17"/>
              </w:rPr>
              <w:t>3</w:t>
            </w:r>
          </w:p>
        </w:tc>
        <w:tc>
          <w:tcPr>
            <w:tcW w:type="dxa" w:w="850"/>
            <w:shd w:val="clear" w:color="auto" w:fill="F2F5F7"/>
          </w:tcPr>
          <w:p>
            <w:pPr>
              <w:spacing w:after="20"/>
            </w:pPr>
            <w:r/>
            <w:r>
              <w:rPr>
                <w:sz w:val="17"/>
              </w:rPr>
              <w:t>0.337</w:t>
            </w:r>
          </w:p>
        </w:tc>
        <w:tc>
          <w:tcPr>
            <w:tcW w:type="dxa" w:w="850"/>
            <w:shd w:val="clear" w:color="auto" w:fill="F2F5F7"/>
          </w:tcPr>
          <w:p>
            <w:pPr>
              <w:spacing w:after="20"/>
            </w:pPr>
            <w:r/>
            <w:r>
              <w:rPr>
                <w:sz w:val="17"/>
              </w:rPr>
              <w:t>0.297</w:t>
            </w:r>
          </w:p>
        </w:tc>
        <w:tc>
          <w:tcPr>
            <w:tcW w:type="dxa" w:w="850"/>
            <w:shd w:val="clear" w:color="auto" w:fill="F2F5F7"/>
          </w:tcPr>
          <w:p>
            <w:pPr>
              <w:spacing w:after="20"/>
            </w:pPr>
            <w:r/>
            <w:r>
              <w:rPr>
                <w:sz w:val="17"/>
              </w:rPr>
              <w:t>0.307</w:t>
            </w:r>
          </w:p>
        </w:tc>
        <w:tc>
          <w:tcPr>
            <w:tcW w:type="dxa" w:w="850"/>
            <w:shd w:val="clear" w:color="auto" w:fill="F2F5F7"/>
          </w:tcPr>
          <w:p>
            <w:pPr>
              <w:spacing w:after="20"/>
            </w:pPr>
            <w:r/>
            <w:r>
              <w:rPr>
                <w:sz w:val="17"/>
              </w:rPr>
              <w:t>0.308</w:t>
            </w:r>
          </w:p>
        </w:tc>
        <w:tc>
          <w:tcPr>
            <w:tcW w:type="dxa" w:w="850"/>
            <w:shd w:val="clear" w:color="auto" w:fill="F2F5F7"/>
          </w:tcPr>
          <w:p>
            <w:pPr>
              <w:spacing w:after="20"/>
            </w:pPr>
            <w:r/>
            <w:r>
              <w:rPr>
                <w:sz w:val="17"/>
              </w:rPr>
              <w:t>0.297</w:t>
            </w:r>
          </w:p>
        </w:tc>
      </w:tr>
      <w:tr>
        <w:tc>
          <w:tcPr>
            <w:tcW w:type="dxa" w:w="3175"/>
          </w:tcPr>
          <w:p>
            <w:pPr>
              <w:spacing w:after="20"/>
            </w:pPr>
            <w:r/>
            <w:r>
              <w:rPr>
                <w:sz w:val="17"/>
              </w:rPr>
              <w:t>C: B + days since update</w:t>
            </w:r>
          </w:p>
        </w:tc>
        <w:tc>
          <w:tcPr>
            <w:tcW w:type="dxa" w:w="907"/>
          </w:tcPr>
          <w:p>
            <w:pPr>
              <w:spacing w:after="20"/>
            </w:pPr>
            <w:r/>
            <w:r>
              <w:rPr>
                <w:sz w:val="17"/>
              </w:rPr>
              <w:t>4</w:t>
            </w:r>
          </w:p>
        </w:tc>
        <w:tc>
          <w:tcPr>
            <w:tcW w:type="dxa" w:w="850"/>
          </w:tcPr>
          <w:p>
            <w:pPr>
              <w:spacing w:after="20"/>
            </w:pPr>
            <w:r/>
            <w:r>
              <w:rPr>
                <w:sz w:val="17"/>
              </w:rPr>
              <w:t>0.31</w:t>
            </w:r>
          </w:p>
        </w:tc>
        <w:tc>
          <w:tcPr>
            <w:tcW w:type="dxa" w:w="850"/>
          </w:tcPr>
          <w:p>
            <w:pPr>
              <w:spacing w:after="20"/>
            </w:pPr>
            <w:r/>
            <w:r>
              <w:rPr>
                <w:sz w:val="17"/>
              </w:rPr>
              <w:t>0.315</w:t>
            </w:r>
          </w:p>
        </w:tc>
        <w:tc>
          <w:tcPr>
            <w:tcW w:type="dxa" w:w="850"/>
          </w:tcPr>
          <w:p>
            <w:pPr>
              <w:spacing w:after="20"/>
            </w:pPr>
            <w:r/>
            <w:r>
              <w:rPr>
                <w:sz w:val="17"/>
              </w:rPr>
              <w:t>0.277</w:t>
            </w:r>
          </w:p>
        </w:tc>
        <w:tc>
          <w:tcPr>
            <w:tcW w:type="dxa" w:w="850"/>
          </w:tcPr>
          <w:p>
            <w:pPr>
              <w:spacing w:after="20"/>
            </w:pPr>
            <w:r/>
            <w:r>
              <w:rPr>
                <w:sz w:val="17"/>
              </w:rPr>
              <w:t>0.288</w:t>
            </w:r>
          </w:p>
        </w:tc>
        <w:tc>
          <w:tcPr>
            <w:tcW w:type="dxa" w:w="850"/>
          </w:tcPr>
          <w:p>
            <w:pPr>
              <w:spacing w:after="20"/>
            </w:pPr>
            <w:r/>
            <w:r>
              <w:rPr>
                <w:sz w:val="17"/>
              </w:rPr>
              <w:t>0.284</w:t>
            </w:r>
          </w:p>
        </w:tc>
      </w:tr>
      <w:tr>
        <w:tc>
          <w:tcPr>
            <w:tcW w:type="dxa" w:w="3175"/>
            <w:shd w:val="clear" w:color="auto" w:fill="F2F5F7"/>
          </w:tcPr>
          <w:p>
            <w:pPr>
              <w:spacing w:after="20"/>
            </w:pPr>
            <w:r/>
            <w:r>
              <w:rPr>
                <w:sz w:val="17"/>
              </w:rPr>
              <w:t>D: B + bottle size</w:t>
            </w:r>
          </w:p>
        </w:tc>
        <w:tc>
          <w:tcPr>
            <w:tcW w:type="dxa" w:w="907"/>
            <w:shd w:val="clear" w:color="auto" w:fill="F2F5F7"/>
          </w:tcPr>
          <w:p>
            <w:pPr>
              <w:spacing w:after="20"/>
            </w:pPr>
            <w:r/>
            <w:r>
              <w:rPr>
                <w:sz w:val="17"/>
              </w:rPr>
              <w:t>4</w:t>
            </w:r>
          </w:p>
        </w:tc>
        <w:tc>
          <w:tcPr>
            <w:tcW w:type="dxa" w:w="850"/>
            <w:shd w:val="clear" w:color="auto" w:fill="F2F5F7"/>
          </w:tcPr>
          <w:p>
            <w:pPr>
              <w:spacing w:after="20"/>
            </w:pPr>
            <w:r/>
            <w:r>
              <w:rPr>
                <w:sz w:val="17"/>
              </w:rPr>
              <w:t>0.274</w:t>
            </w:r>
          </w:p>
        </w:tc>
        <w:tc>
          <w:tcPr>
            <w:tcW w:type="dxa" w:w="850"/>
            <w:shd w:val="clear" w:color="auto" w:fill="F2F5F7"/>
          </w:tcPr>
          <w:p>
            <w:pPr>
              <w:spacing w:after="20"/>
            </w:pPr>
            <w:r/>
            <w:r>
              <w:rPr>
                <w:sz w:val="17"/>
              </w:rPr>
              <w:t>0.308</w:t>
            </w:r>
          </w:p>
        </w:tc>
        <w:tc>
          <w:tcPr>
            <w:tcW w:type="dxa" w:w="850"/>
            <w:shd w:val="clear" w:color="auto" w:fill="F2F5F7"/>
          </w:tcPr>
          <w:p>
            <w:pPr>
              <w:spacing w:after="20"/>
            </w:pPr>
            <w:r/>
            <w:r>
              <w:rPr>
                <w:sz w:val="17"/>
              </w:rPr>
              <w:t>0.271</w:t>
            </w:r>
          </w:p>
        </w:tc>
        <w:tc>
          <w:tcPr>
            <w:tcW w:type="dxa" w:w="850"/>
            <w:shd w:val="clear" w:color="auto" w:fill="F2F5F7"/>
          </w:tcPr>
          <w:p>
            <w:pPr>
              <w:spacing w:after="20"/>
            </w:pPr>
            <w:r/>
            <w:r>
              <w:rPr>
                <w:sz w:val="17"/>
              </w:rPr>
              <w:t>0.272</w:t>
            </w:r>
          </w:p>
        </w:tc>
        <w:tc>
          <w:tcPr>
            <w:tcW w:type="dxa" w:w="850"/>
            <w:shd w:val="clear" w:color="auto" w:fill="F2F5F7"/>
          </w:tcPr>
          <w:p>
            <w:pPr>
              <w:spacing w:after="20"/>
            </w:pPr>
            <w:r/>
            <w:r>
              <w:rPr>
                <w:sz w:val="17"/>
              </w:rPr>
              <w:t>0.272</w:t>
            </w:r>
          </w:p>
        </w:tc>
      </w:tr>
      <w:tr>
        <w:tc>
          <w:tcPr>
            <w:tcW w:type="dxa" w:w="3175"/>
          </w:tcPr>
          <w:p>
            <w:pPr>
              <w:spacing w:after="20"/>
            </w:pPr>
            <w:r/>
            <w:r>
              <w:rPr>
                <w:sz w:val="17"/>
              </w:rPr>
              <w:t>E: B + days + size</w:t>
            </w:r>
          </w:p>
        </w:tc>
        <w:tc>
          <w:tcPr>
            <w:tcW w:type="dxa" w:w="907"/>
          </w:tcPr>
          <w:p>
            <w:pPr>
              <w:spacing w:after="20"/>
            </w:pPr>
            <w:r/>
            <w:r>
              <w:rPr>
                <w:sz w:val="17"/>
              </w:rPr>
              <w:t>5</w:t>
            </w:r>
          </w:p>
        </w:tc>
        <w:tc>
          <w:tcPr>
            <w:tcW w:type="dxa" w:w="850"/>
          </w:tcPr>
          <w:p>
            <w:pPr>
              <w:spacing w:after="20"/>
            </w:pPr>
            <w:r/>
            <w:r>
              <w:rPr>
                <w:sz w:val="17"/>
              </w:rPr>
              <w:t>0.256</w:t>
            </w:r>
          </w:p>
        </w:tc>
        <w:tc>
          <w:tcPr>
            <w:tcW w:type="dxa" w:w="850"/>
          </w:tcPr>
          <w:p>
            <w:pPr>
              <w:spacing w:after="20"/>
            </w:pPr>
            <w:r/>
            <w:r>
              <w:rPr>
                <w:sz w:val="17"/>
              </w:rPr>
              <w:t>0.259</w:t>
            </w:r>
          </w:p>
        </w:tc>
        <w:tc>
          <w:tcPr>
            <w:tcW w:type="dxa" w:w="850"/>
          </w:tcPr>
          <w:p>
            <w:pPr>
              <w:spacing w:after="20"/>
            </w:pPr>
            <w:r/>
            <w:r>
              <w:rPr>
                <w:sz w:val="17"/>
              </w:rPr>
              <w:t>0.292</w:t>
            </w:r>
          </w:p>
        </w:tc>
        <w:tc>
          <w:tcPr>
            <w:tcW w:type="dxa" w:w="850"/>
          </w:tcPr>
          <w:p>
            <w:pPr>
              <w:spacing w:after="20"/>
            </w:pPr>
            <w:r/>
            <w:r>
              <w:rPr>
                <w:sz w:val="17"/>
              </w:rPr>
              <w:t>0.255</w:t>
            </w:r>
          </w:p>
        </w:tc>
        <w:tc>
          <w:tcPr>
            <w:tcW w:type="dxa" w:w="850"/>
          </w:tcPr>
          <w:p>
            <w:pPr>
              <w:spacing w:after="20"/>
            </w:pPr>
            <w:r/>
            <w:r>
              <w:rPr>
                <w:sz w:val="17"/>
              </w:rPr>
              <w:t>0.258</w:t>
            </w:r>
          </w:p>
        </w:tc>
      </w:tr>
    </w:tbl>
    <w:p>
      <w:pPr>
        <w:spacing w:after="160"/>
      </w:pPr>
      <w:r>
        <w:rPr>
          <w:i/>
          <w:sz w:val="18"/>
        </w:rPr>
        <w:t>Table 4. Silhouette score of K-Means for five feature sets (higher is better).</w:t>
      </w:r>
      <w:r>
        <w:rPr>
          <w:color w:val="008F8B"/>
          <w:sz w:val="16"/>
        </w:rPr>
        <w:t xml:space="preserve">  Source file: COM7022 - Assignment/output/tables/table05_feature_set_scan.csv  |  https://github.com/kvmmn/_COM7022_MachineLearning/blob/main/COM7022%20-%20Assignment/output/tables/table05_feature_set_scan.csv</w:t>
      </w:r>
    </w:p>
    <w:p>
      <w:pPr>
        <w:keepNext/>
        <w:jc w:val="center"/>
      </w:pPr>
      <w:r>
        <w:drawing>
          <wp:inline xmlns:a="http://schemas.openxmlformats.org/drawingml/2006/main" xmlns:pic="http://schemas.openxmlformats.org/drawingml/2006/picture">
            <wp:extent cx="3420000" cy="2898345"/>
            <wp:docPr id="13" name="Picture 13"/>
            <wp:cNvGraphicFramePr>
              <a:graphicFrameLocks noChangeAspect="1"/>
            </wp:cNvGraphicFramePr>
            <a:graphic>
              <a:graphicData uri="http://schemas.openxmlformats.org/drawingml/2006/picture">
                <pic:pic>
                  <pic:nvPicPr>
                    <pic:cNvPr id="0" name="fig04_feature_correlation.png"/>
                    <pic:cNvPicPr/>
                  </pic:nvPicPr>
                  <pic:blipFill>
                    <a:blip r:embed="rId22"/>
                    <a:stretch>
                      <a:fillRect/>
                    </a:stretch>
                  </pic:blipFill>
                  <pic:spPr>
                    <a:xfrm>
                      <a:off x="0" y="0"/>
                      <a:ext cx="3420000" cy="2898345"/>
                    </a:xfrm>
                    <a:prstGeom prst="rect"/>
                  </pic:spPr>
                </pic:pic>
              </a:graphicData>
            </a:graphic>
          </wp:inline>
        </w:drawing>
      </w:r>
    </w:p>
    <w:p>
      <w:pPr>
        <w:spacing w:after="160"/>
      </w:pPr>
      <w:r>
        <w:rPr>
          <w:i/>
          <w:sz w:val="18"/>
        </w:rPr>
        <w:t>Figure 13. Spearman correlation between candidate features.</w:t>
      </w:r>
      <w:r>
        <w:rPr>
          <w:color w:val="008F8B"/>
          <w:sz w:val="16"/>
        </w:rPr>
        <w:t xml:space="preserve">  Source file: COM7022 - Assignment/output/figures/fig04_feature_correlation.png  |  https://github.com/kvmmn/_COM7022_MachineLearning/blob/main/COM7022%20-%20Assignment/output/figures/fig04_feature_correlation.png</w:t>
      </w:r>
    </w:p>
    <w:p>
      <w:pPr>
        <w:pStyle w:val="Heading1"/>
      </w:pPr>
      <w:r>
        <w:t>3. Model selection</w:t>
      </w:r>
    </w:p>
    <w:p>
      <w:pPr>
        <w:pStyle w:val="Heading2"/>
      </w:pPr>
      <w:r>
        <w:t>3.1 What is clustering?</w:t>
      </w:r>
    </w:p>
    <w:p>
      <w:r>
        <w:t xml:space="preserve">Clustering is </w:t>
      </w:r>
      <w:r>
        <w:rPr>
          <w:b/>
        </w:rPr>
        <w:t>unsupervised learning</w:t>
      </w:r>
      <w:r>
        <w:t>: the algorithm finds groups of similar items without being told the right answer. Listings in the same cluster are similar to each other and different from listings in other clusters. That fits this problem because the company has no labels for its listings.</w:t>
      </w:r>
    </w:p>
    <w:p>
      <w:pPr>
        <w:pStyle w:val="Heading2"/>
      </w:pPr>
      <w:r>
        <w:t>3.2 The three techniques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587"/>
            <w:shd w:val="clear" w:color="auto" w:fill="002B49"/>
          </w:tcPr>
          <w:p>
            <w:pPr>
              <w:spacing w:after="20"/>
            </w:pPr>
            <w:r/>
            <w:r>
              <w:rPr>
                <w:b/>
                <w:color w:val="FFFFFF"/>
                <w:sz w:val="17"/>
              </w:rPr>
              <w:t>Technique</w:t>
            </w:r>
          </w:p>
        </w:tc>
        <w:tc>
          <w:tcPr>
            <w:tcW w:type="dxa" w:w="3175"/>
            <w:shd w:val="clear" w:color="auto" w:fill="002B49"/>
          </w:tcPr>
          <w:p>
            <w:pPr>
              <w:spacing w:after="20"/>
            </w:pPr>
            <w:r/>
            <w:r>
              <w:rPr>
                <w:b/>
                <w:color w:val="FFFFFF"/>
                <w:sz w:val="17"/>
              </w:rPr>
              <w:t>How it works</w:t>
            </w:r>
          </w:p>
        </w:tc>
        <w:tc>
          <w:tcPr>
            <w:tcW w:type="dxa" w:w="2381"/>
            <w:shd w:val="clear" w:color="auto" w:fill="002B49"/>
          </w:tcPr>
          <w:p>
            <w:pPr>
              <w:spacing w:after="20"/>
            </w:pPr>
            <w:r/>
            <w:r>
              <w:rPr>
                <w:b/>
                <w:color w:val="FFFFFF"/>
                <w:sz w:val="17"/>
              </w:rPr>
              <w:t>Strengths</w:t>
            </w:r>
          </w:p>
        </w:tc>
        <w:tc>
          <w:tcPr>
            <w:tcW w:type="dxa" w:w="2494"/>
            <w:shd w:val="clear" w:color="auto" w:fill="002B49"/>
          </w:tcPr>
          <w:p>
            <w:pPr>
              <w:spacing w:after="20"/>
            </w:pPr>
            <w:r/>
            <w:r>
              <w:rPr>
                <w:b/>
                <w:color w:val="FFFFFF"/>
                <w:sz w:val="17"/>
              </w:rPr>
              <w:t>Weaknesses</w:t>
            </w:r>
          </w:p>
        </w:tc>
      </w:tr>
      <w:tr>
        <w:tc>
          <w:tcPr>
            <w:tcW w:type="dxa" w:w="1587"/>
          </w:tcPr>
          <w:p>
            <w:pPr>
              <w:spacing w:after="20"/>
            </w:pPr>
            <w:r/>
            <w:r>
              <w:rPr>
                <w:sz w:val="17"/>
              </w:rPr>
              <w:t>K-Means</w:t>
            </w:r>
          </w:p>
        </w:tc>
        <w:tc>
          <w:tcPr>
            <w:tcW w:type="dxa" w:w="3175"/>
          </w:tcPr>
          <w:p>
            <w:pPr>
              <w:spacing w:after="20"/>
            </w:pPr>
            <w:r/>
            <w:r>
              <w:rPr>
                <w:sz w:val="17"/>
              </w:rPr>
              <w:t>Places k centres and assigns each listing to the nearest one, then moves the centres until stable.</w:t>
            </w:r>
          </w:p>
        </w:tc>
        <w:tc>
          <w:tcPr>
            <w:tcW w:type="dxa" w:w="2381"/>
          </w:tcPr>
          <w:p>
            <w:pPr>
              <w:spacing w:after="20"/>
            </w:pPr>
            <w:r/>
            <w:r>
              <w:rPr>
                <w:sz w:val="17"/>
              </w:rPr>
              <w:t>Fast, simple, every listing gets a group, easy to explain.</w:t>
            </w:r>
          </w:p>
        </w:tc>
        <w:tc>
          <w:tcPr>
            <w:tcW w:type="dxa" w:w="2494"/>
          </w:tcPr>
          <w:p>
            <w:pPr>
              <w:spacing w:after="20"/>
            </w:pPr>
            <w:r/>
            <w:r>
              <w:rPr>
                <w:sz w:val="17"/>
              </w:rPr>
              <w:t>Needs k in advance; assumes round, similar-sized groups.</w:t>
            </w:r>
          </w:p>
        </w:tc>
      </w:tr>
      <w:tr>
        <w:tc>
          <w:tcPr>
            <w:tcW w:type="dxa" w:w="1587"/>
            <w:shd w:val="clear" w:color="auto" w:fill="F2F5F7"/>
          </w:tcPr>
          <w:p>
            <w:pPr>
              <w:spacing w:after="20"/>
            </w:pPr>
            <w:r/>
            <w:r>
              <w:rPr>
                <w:sz w:val="17"/>
              </w:rPr>
              <w:t>Hierarchical (Ward)</w:t>
            </w:r>
          </w:p>
        </w:tc>
        <w:tc>
          <w:tcPr>
            <w:tcW w:type="dxa" w:w="3175"/>
            <w:shd w:val="clear" w:color="auto" w:fill="F2F5F7"/>
          </w:tcPr>
          <w:p>
            <w:pPr>
              <w:spacing w:after="20"/>
            </w:pPr>
            <w:r/>
            <w:r>
              <w:rPr>
                <w:sz w:val="17"/>
              </w:rPr>
              <w:t>Starts with every listing alone and merges the most similar pair step by step; the result is a tree (dendrogram).</w:t>
            </w:r>
          </w:p>
        </w:tc>
        <w:tc>
          <w:tcPr>
            <w:tcW w:type="dxa" w:w="2381"/>
            <w:shd w:val="clear" w:color="auto" w:fill="F2F5F7"/>
          </w:tcPr>
          <w:p>
            <w:pPr>
              <w:spacing w:after="20"/>
            </w:pPr>
            <w:r/>
            <w:r>
              <w:rPr>
                <w:sz w:val="17"/>
              </w:rPr>
              <w:t>No need to fix k; the tree shows structure.</w:t>
            </w:r>
          </w:p>
        </w:tc>
        <w:tc>
          <w:tcPr>
            <w:tcW w:type="dxa" w:w="2494"/>
            <w:shd w:val="clear" w:color="auto" w:fill="F2F5F7"/>
          </w:tcPr>
          <w:p>
            <w:pPr>
              <w:spacing w:after="20"/>
            </w:pPr>
            <w:r/>
            <w:r>
              <w:rPr>
                <w:sz w:val="17"/>
              </w:rPr>
              <w:t>Merges are final; slow on large data; sensitive to sampling.</w:t>
            </w:r>
          </w:p>
        </w:tc>
      </w:tr>
      <w:tr>
        <w:tc>
          <w:tcPr>
            <w:tcW w:type="dxa" w:w="1587"/>
          </w:tcPr>
          <w:p>
            <w:pPr>
              <w:spacing w:after="20"/>
            </w:pPr>
            <w:r/>
            <w:r>
              <w:rPr>
                <w:sz w:val="17"/>
              </w:rPr>
              <w:t>DBSCAN</w:t>
            </w:r>
          </w:p>
        </w:tc>
        <w:tc>
          <w:tcPr>
            <w:tcW w:type="dxa" w:w="3175"/>
          </w:tcPr>
          <w:p>
            <w:pPr>
              <w:spacing w:after="20"/>
            </w:pPr>
            <w:r/>
            <w:r>
              <w:rPr>
                <w:sz w:val="17"/>
              </w:rPr>
              <w:t>Grows groups from dense regions and labels isolated listings as noise.</w:t>
            </w:r>
          </w:p>
        </w:tc>
        <w:tc>
          <w:tcPr>
            <w:tcW w:type="dxa" w:w="2381"/>
          </w:tcPr>
          <w:p>
            <w:pPr>
              <w:spacing w:after="20"/>
            </w:pPr>
            <w:r/>
            <w:r>
              <w:rPr>
                <w:sz w:val="17"/>
              </w:rPr>
              <w:t>Finds odd shapes; flags outliers; no k needed.</w:t>
            </w:r>
          </w:p>
        </w:tc>
        <w:tc>
          <w:tcPr>
            <w:tcW w:type="dxa" w:w="2494"/>
          </w:tcPr>
          <w:p>
            <w:pPr>
              <w:spacing w:after="20"/>
            </w:pPr>
            <w:r/>
            <w:r>
              <w:rPr>
                <w:sz w:val="17"/>
              </w:rPr>
              <w:t>Needs a dense, well-separated structure and careful settings.</w:t>
            </w:r>
          </w:p>
        </w:tc>
      </w:tr>
    </w:tbl>
    <w:p>
      <w:pPr>
        <w:spacing w:after="160"/>
      </w:pPr>
      <w:r>
        <w:rPr>
          <w:i/>
          <w:sz w:val="18"/>
        </w:rPr>
        <w:t>Table 5. The three clustering techniques compared.</w:t>
      </w:r>
    </w:p>
    <w:p>
      <w:pPr>
        <w:pStyle w:val="Heading2"/>
      </w:pPr>
      <w:r>
        <w:t>3.3 Dimensionality reduction with PCA</w:t>
      </w:r>
    </w:p>
    <w:p>
      <w:r>
        <w:t xml:space="preserve">With three features PCA is not needed to remove noise, but I used it to draw all clusters on one two-dimensional map. The first two components keep </w:t>
      </w:r>
      <w:r>
        <w:rPr>
          <w:b/>
        </w:rPr>
        <w:t>78.7%</w:t>
      </w:r>
      <w:r>
        <w:t xml:space="preserve"> of the variance (PC1 48.6%, PC2 30.1%). PC1 behaves like commercial traction (sales and stock load positively, price negatively) and PC2 like price tier (loading 0.91 on log price), so the map has a business meaning (Figure 14).</w:t>
      </w:r>
    </w:p>
    <w:p>
      <w:r>
        <w:t>PCA also served as a check on the feature choice. All three features load strongly on the first two components, so none is redundant, and the third component (21.3% of variance) mainly contrasts sales with stock. It adds detail but is not needed for viewing the groups.</w:t>
      </w:r>
    </w:p>
    <w:p>
      <w:pPr>
        <w:keepNext/>
        <w:jc w:val="center"/>
      </w:pPr>
      <w:r>
        <w:drawing>
          <wp:inline xmlns:a="http://schemas.openxmlformats.org/drawingml/2006/main" xmlns:pic="http://schemas.openxmlformats.org/drawingml/2006/picture">
            <wp:extent cx="5580000" cy="1970164"/>
            <wp:docPr id="14" name="Picture 14"/>
            <wp:cNvGraphicFramePr>
              <a:graphicFrameLocks noChangeAspect="1"/>
            </wp:cNvGraphicFramePr>
            <a:graphic>
              <a:graphicData uri="http://schemas.openxmlformats.org/drawingml/2006/picture">
                <pic:pic>
                  <pic:nvPicPr>
                    <pic:cNvPr id="0" name="fig05_pca_variance_biplot.png"/>
                    <pic:cNvPicPr/>
                  </pic:nvPicPr>
                  <pic:blipFill>
                    <a:blip r:embed="rId23"/>
                    <a:stretch>
                      <a:fillRect/>
                    </a:stretch>
                  </pic:blipFill>
                  <pic:spPr>
                    <a:xfrm>
                      <a:off x="0" y="0"/>
                      <a:ext cx="5580000" cy="1970164"/>
                    </a:xfrm>
                    <a:prstGeom prst="rect"/>
                  </pic:spPr>
                </pic:pic>
              </a:graphicData>
            </a:graphic>
          </wp:inline>
        </w:drawing>
      </w:r>
    </w:p>
    <w:p>
      <w:pPr>
        <w:spacing w:after="160"/>
      </w:pPr>
      <w:r>
        <w:rPr>
          <w:i/>
          <w:sz w:val="18"/>
        </w:rPr>
        <w:t>Figure 14. PCA explained variance (left) and feature loadings (right).</w:t>
      </w:r>
      <w:r>
        <w:rPr>
          <w:color w:val="008F8B"/>
          <w:sz w:val="16"/>
        </w:rPr>
        <w:t xml:space="preserve">  Source file: COM7022 - Assignment/output/figures/fig05_pca_variance_biplot.png  |  https://github.com/kvmmn/_COM7022_MachineLearning/blob/main/COM7022%20-%20Assignment/output/figures/fig05_pca_variance_biplot.png</w:t>
      </w:r>
    </w:p>
    <w:p>
      <w:pPr>
        <w:keepNext/>
        <w:jc w:val="center"/>
      </w:pPr>
      <w:r>
        <w:drawing>
          <wp:inline xmlns:a="http://schemas.openxmlformats.org/drawingml/2006/main" xmlns:pic="http://schemas.openxmlformats.org/drawingml/2006/picture">
            <wp:extent cx="5040000" cy="1257130"/>
            <wp:docPr id="15" name="Picture 15"/>
            <wp:cNvGraphicFramePr>
              <a:graphicFrameLocks noChangeAspect="1"/>
            </wp:cNvGraphicFramePr>
            <a:graphic>
              <a:graphicData uri="http://schemas.openxmlformats.org/drawingml/2006/picture">
                <pic:pic>
                  <pic:nvPicPr>
                    <pic:cNvPr id="0" name="code09_pca.png"/>
                    <pic:cNvPicPr/>
                  </pic:nvPicPr>
                  <pic:blipFill>
                    <a:blip r:embed="rId24"/>
                    <a:stretch>
                      <a:fillRect/>
                    </a:stretch>
                  </pic:blipFill>
                  <pic:spPr>
                    <a:xfrm>
                      <a:off x="0" y="0"/>
                      <a:ext cx="5040000" cy="1257130"/>
                    </a:xfrm>
                    <a:prstGeom prst="rect"/>
                  </pic:spPr>
                </pic:pic>
              </a:graphicData>
            </a:graphic>
          </wp:inline>
        </w:drawing>
      </w:r>
    </w:p>
    <w:p>
      <w:r>
        <w:rPr>
          <w:i/>
          <w:sz w:val="18"/>
        </w:rPr>
        <w:t>Figure 15. Code screenshot: PCA</w:t>
      </w:r>
      <w:r>
        <w:rPr>
          <w:color w:val="008F8B"/>
          <w:sz w:val="16"/>
        </w:rPr>
        <w:t xml:space="preserve">  Source file: COM7022 - Assignment/output/screenshots/code09_pca.png  |  https://github.com/kvmmn/_COM7022_MachineLearning/blob/main/COM7022%20-%20Assignment/output/screenshots/code09_pca.png</w:t>
      </w:r>
    </w:p>
    <w:p>
      <w:pPr>
        <w:pStyle w:val="Heading1"/>
      </w:pPr>
      <w:r>
        <w:t>4. Implementation and evaluation</w:t>
      </w:r>
    </w:p>
    <w:p>
      <w:pPr>
        <w:pStyle w:val="Heading2"/>
      </w:pPr>
      <w:r>
        <w:t>4.1 K-Means</w:t>
      </w:r>
    </w:p>
    <w:p>
      <w:r>
        <w:t xml:space="preserve">I scanned k from 2 to 10 using the elbow in inertia and three indices (Table 6). The silhouette is highest at k = 2 (0.337), but two groups only separate “sells” from “does not sell”. At </w:t>
      </w:r>
      <w:r>
        <w:rPr>
          <w:b/>
        </w:rPr>
        <w:t>k = 4</w:t>
      </w:r>
      <w:r>
        <w:t xml:space="preserve"> inertia has dropped 39% from k = 2, the Davies-Bouldin index is the lowest of all (1.015), and every cluster still holds at least 22% of the listings.</w:t>
      </w:r>
    </w:p>
    <w:p>
      <w:r>
        <w:t>K-Means used k-means++ starting points, 20 restarts per fit and a fixed seed (42), so the answer is repeatable. The map in Figure 17 shows four regions arranged along traction (PC1) and price (PC2), with soft borders where neighbouring groups meet. That is what a continuum looks like, and it explains why the silhouette is moderate rather than high.</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680"/>
            <w:shd w:val="clear" w:color="auto" w:fill="002B49"/>
          </w:tcPr>
          <w:p>
            <w:pPr>
              <w:spacing w:after="20"/>
            </w:pPr>
            <w:r/>
            <w:r>
              <w:rPr>
                <w:b/>
                <w:color w:val="FFFFFF"/>
                <w:sz w:val="17"/>
              </w:rPr>
              <w:t>k</w:t>
            </w:r>
          </w:p>
        </w:tc>
        <w:tc>
          <w:tcPr>
            <w:tcW w:type="dxa" w:w="1361"/>
            <w:shd w:val="clear" w:color="auto" w:fill="002B49"/>
          </w:tcPr>
          <w:p>
            <w:pPr>
              <w:spacing w:after="20"/>
            </w:pPr>
            <w:r/>
            <w:r>
              <w:rPr>
                <w:b/>
                <w:color w:val="FFFFFF"/>
                <w:sz w:val="17"/>
              </w:rPr>
              <w:t>Inertia</w:t>
            </w:r>
          </w:p>
        </w:tc>
        <w:tc>
          <w:tcPr>
            <w:tcW w:type="dxa" w:w="1474"/>
            <w:shd w:val="clear" w:color="auto" w:fill="002B49"/>
          </w:tcPr>
          <w:p>
            <w:pPr>
              <w:spacing w:after="20"/>
            </w:pPr>
            <w:r/>
            <w:r>
              <w:rPr>
                <w:b/>
                <w:color w:val="FFFFFF"/>
                <w:sz w:val="17"/>
              </w:rPr>
              <w:t>Silhouette</w:t>
            </w:r>
          </w:p>
        </w:tc>
        <w:tc>
          <w:tcPr>
            <w:tcW w:type="dxa" w:w="1701"/>
            <w:shd w:val="clear" w:color="auto" w:fill="002B49"/>
          </w:tcPr>
          <w:p>
            <w:pPr>
              <w:spacing w:after="20"/>
            </w:pPr>
            <w:r/>
            <w:r>
              <w:rPr>
                <w:b/>
                <w:color w:val="FFFFFF"/>
                <w:sz w:val="17"/>
              </w:rPr>
              <w:t>Davies-Bouldin</w:t>
            </w:r>
          </w:p>
        </w:tc>
        <w:tc>
          <w:tcPr>
            <w:tcW w:type="dxa" w:w="1928"/>
            <w:shd w:val="clear" w:color="auto" w:fill="002B49"/>
          </w:tcPr>
          <w:p>
            <w:pPr>
              <w:spacing w:after="20"/>
            </w:pPr>
            <w:r/>
            <w:r>
              <w:rPr>
                <w:b/>
                <w:color w:val="FFFFFF"/>
                <w:sz w:val="17"/>
              </w:rPr>
              <w:t>Calinski-Harabasz</w:t>
            </w:r>
          </w:p>
        </w:tc>
        <w:tc>
          <w:tcPr>
            <w:tcW w:type="dxa" w:w="1701"/>
            <w:shd w:val="clear" w:color="auto" w:fill="002B49"/>
          </w:tcPr>
          <w:p>
            <w:pPr>
              <w:spacing w:after="20"/>
            </w:pPr>
            <w:r/>
            <w:r>
              <w:rPr>
                <w:b/>
                <w:color w:val="FFFFFF"/>
                <w:sz w:val="17"/>
              </w:rPr>
              <w:t>Smallest cluster</w:t>
            </w:r>
          </w:p>
        </w:tc>
      </w:tr>
      <w:tr>
        <w:tc>
          <w:tcPr>
            <w:tcW w:type="dxa" w:w="680"/>
          </w:tcPr>
          <w:p>
            <w:pPr>
              <w:spacing w:after="20"/>
            </w:pPr>
            <w:r/>
            <w:r>
              <w:rPr>
                <w:sz w:val="17"/>
              </w:rPr>
              <w:t>2</w:t>
            </w:r>
          </w:p>
        </w:tc>
        <w:tc>
          <w:tcPr>
            <w:tcW w:type="dxa" w:w="1361"/>
          </w:tcPr>
          <w:p>
            <w:pPr>
              <w:spacing w:after="20"/>
            </w:pPr>
            <w:r/>
            <w:r>
              <w:rPr>
                <w:sz w:val="17"/>
              </w:rPr>
              <w:t>1943.0</w:t>
            </w:r>
          </w:p>
        </w:tc>
        <w:tc>
          <w:tcPr>
            <w:tcW w:type="dxa" w:w="1474"/>
          </w:tcPr>
          <w:p>
            <w:pPr>
              <w:spacing w:after="20"/>
            </w:pPr>
            <w:r/>
            <w:r>
              <w:rPr>
                <w:sz w:val="17"/>
              </w:rPr>
              <w:t>0.337</w:t>
            </w:r>
          </w:p>
        </w:tc>
        <w:tc>
          <w:tcPr>
            <w:tcW w:type="dxa" w:w="1701"/>
          </w:tcPr>
          <w:p>
            <w:pPr>
              <w:spacing w:after="20"/>
            </w:pPr>
            <w:r/>
            <w:r>
              <w:rPr>
                <w:sz w:val="17"/>
              </w:rPr>
              <w:t>1.211</w:t>
            </w:r>
          </w:p>
        </w:tc>
        <w:tc>
          <w:tcPr>
            <w:tcW w:type="dxa" w:w="1928"/>
          </w:tcPr>
          <w:p>
            <w:pPr>
              <w:spacing w:after="20"/>
            </w:pPr>
            <w:r/>
            <w:r>
              <w:rPr>
                <w:sz w:val="17"/>
              </w:rPr>
              <w:t>536.7</w:t>
            </w:r>
          </w:p>
        </w:tc>
        <w:tc>
          <w:tcPr>
            <w:tcW w:type="dxa" w:w="1701"/>
          </w:tcPr>
          <w:p>
            <w:pPr>
              <w:spacing w:after="20"/>
            </w:pPr>
            <w:r/>
            <w:r>
              <w:rPr>
                <w:sz w:val="17"/>
              </w:rPr>
              <w:t>393</w:t>
            </w:r>
          </w:p>
        </w:tc>
      </w:tr>
      <w:tr>
        <w:tc>
          <w:tcPr>
            <w:tcW w:type="dxa" w:w="680"/>
            <w:shd w:val="clear" w:color="auto" w:fill="F2F5F7"/>
          </w:tcPr>
          <w:p>
            <w:pPr>
              <w:spacing w:after="20"/>
            </w:pPr>
            <w:r/>
            <w:r>
              <w:rPr>
                <w:sz w:val="17"/>
              </w:rPr>
              <w:t>3</w:t>
            </w:r>
          </w:p>
        </w:tc>
        <w:tc>
          <w:tcPr>
            <w:tcW w:type="dxa" w:w="1361"/>
            <w:shd w:val="clear" w:color="auto" w:fill="F2F5F7"/>
          </w:tcPr>
          <w:p>
            <w:pPr>
              <w:spacing w:after="20"/>
            </w:pPr>
            <w:r/>
            <w:r>
              <w:rPr>
                <w:sz w:val="17"/>
              </w:rPr>
              <w:t>1501.0</w:t>
            </w:r>
          </w:p>
        </w:tc>
        <w:tc>
          <w:tcPr>
            <w:tcW w:type="dxa" w:w="1474"/>
            <w:shd w:val="clear" w:color="auto" w:fill="F2F5F7"/>
          </w:tcPr>
          <w:p>
            <w:pPr>
              <w:spacing w:after="20"/>
            </w:pPr>
            <w:r/>
            <w:r>
              <w:rPr>
                <w:sz w:val="17"/>
              </w:rPr>
              <w:t>0.297</w:t>
            </w:r>
          </w:p>
        </w:tc>
        <w:tc>
          <w:tcPr>
            <w:tcW w:type="dxa" w:w="1701"/>
            <w:shd w:val="clear" w:color="auto" w:fill="F2F5F7"/>
          </w:tcPr>
          <w:p>
            <w:pPr>
              <w:spacing w:after="20"/>
            </w:pPr>
            <w:r/>
            <w:r>
              <w:rPr>
                <w:sz w:val="17"/>
              </w:rPr>
              <w:t>1.228</w:t>
            </w:r>
          </w:p>
        </w:tc>
        <w:tc>
          <w:tcPr>
            <w:tcW w:type="dxa" w:w="1928"/>
            <w:shd w:val="clear" w:color="auto" w:fill="F2F5F7"/>
          </w:tcPr>
          <w:p>
            <w:pPr>
              <w:spacing w:after="20"/>
            </w:pPr>
            <w:r/>
            <w:r>
              <w:rPr>
                <w:sz w:val="17"/>
              </w:rPr>
              <w:t>493.4</w:t>
            </w:r>
          </w:p>
        </w:tc>
        <w:tc>
          <w:tcPr>
            <w:tcW w:type="dxa" w:w="1701"/>
            <w:shd w:val="clear" w:color="auto" w:fill="F2F5F7"/>
          </w:tcPr>
          <w:p>
            <w:pPr>
              <w:spacing w:after="20"/>
            </w:pPr>
            <w:r/>
            <w:r>
              <w:rPr>
                <w:sz w:val="17"/>
              </w:rPr>
              <w:t>298</w:t>
            </w:r>
          </w:p>
        </w:tc>
      </w:tr>
      <w:tr>
        <w:tc>
          <w:tcPr>
            <w:tcW w:type="dxa" w:w="680"/>
          </w:tcPr>
          <w:p>
            <w:pPr>
              <w:spacing w:after="20"/>
            </w:pPr>
            <w:r/>
            <w:r>
              <w:rPr>
                <w:sz w:val="17"/>
              </w:rPr>
              <w:t>4</w:t>
            </w:r>
          </w:p>
        </w:tc>
        <w:tc>
          <w:tcPr>
            <w:tcW w:type="dxa" w:w="1361"/>
          </w:tcPr>
          <w:p>
            <w:pPr>
              <w:spacing w:after="20"/>
            </w:pPr>
            <w:r/>
            <w:r>
              <w:rPr>
                <w:sz w:val="17"/>
              </w:rPr>
              <w:t>1186.7</w:t>
            </w:r>
          </w:p>
        </w:tc>
        <w:tc>
          <w:tcPr>
            <w:tcW w:type="dxa" w:w="1474"/>
          </w:tcPr>
          <w:p>
            <w:pPr>
              <w:spacing w:after="20"/>
            </w:pPr>
            <w:r/>
            <w:r>
              <w:rPr>
                <w:sz w:val="17"/>
              </w:rPr>
              <w:t>0.307</w:t>
            </w:r>
          </w:p>
        </w:tc>
        <w:tc>
          <w:tcPr>
            <w:tcW w:type="dxa" w:w="1701"/>
          </w:tcPr>
          <w:p>
            <w:pPr>
              <w:spacing w:after="20"/>
            </w:pPr>
            <w:r/>
            <w:r>
              <w:rPr>
                <w:sz w:val="17"/>
              </w:rPr>
              <w:t>1.015</w:t>
            </w:r>
          </w:p>
        </w:tc>
        <w:tc>
          <w:tcPr>
            <w:tcW w:type="dxa" w:w="1928"/>
          </w:tcPr>
          <w:p>
            <w:pPr>
              <w:spacing w:after="20"/>
            </w:pPr>
            <w:r/>
            <w:r>
              <w:rPr>
                <w:sz w:val="17"/>
              </w:rPr>
              <w:t>503.3</w:t>
            </w:r>
          </w:p>
        </w:tc>
        <w:tc>
          <w:tcPr>
            <w:tcW w:type="dxa" w:w="1701"/>
          </w:tcPr>
          <w:p>
            <w:pPr>
              <w:spacing w:after="20"/>
            </w:pPr>
            <w:r/>
            <w:r>
              <w:rPr>
                <w:sz w:val="17"/>
              </w:rPr>
              <w:t>219</w:t>
            </w:r>
          </w:p>
        </w:tc>
      </w:tr>
      <w:tr>
        <w:tc>
          <w:tcPr>
            <w:tcW w:type="dxa" w:w="680"/>
            <w:shd w:val="clear" w:color="auto" w:fill="F2F5F7"/>
          </w:tcPr>
          <w:p>
            <w:pPr>
              <w:spacing w:after="20"/>
            </w:pPr>
            <w:r/>
            <w:r>
              <w:rPr>
                <w:sz w:val="17"/>
              </w:rPr>
              <w:t>5</w:t>
            </w:r>
          </w:p>
        </w:tc>
        <w:tc>
          <w:tcPr>
            <w:tcW w:type="dxa" w:w="1361"/>
            <w:shd w:val="clear" w:color="auto" w:fill="F2F5F7"/>
          </w:tcPr>
          <w:p>
            <w:pPr>
              <w:spacing w:after="20"/>
            </w:pPr>
            <w:r/>
            <w:r>
              <w:rPr>
                <w:sz w:val="17"/>
              </w:rPr>
              <w:t>974.4</w:t>
            </w:r>
          </w:p>
        </w:tc>
        <w:tc>
          <w:tcPr>
            <w:tcW w:type="dxa" w:w="1474"/>
            <w:shd w:val="clear" w:color="auto" w:fill="F2F5F7"/>
          </w:tcPr>
          <w:p>
            <w:pPr>
              <w:spacing w:after="20"/>
            </w:pPr>
            <w:r/>
            <w:r>
              <w:rPr>
                <w:sz w:val="17"/>
              </w:rPr>
              <w:t>0.308</w:t>
            </w:r>
          </w:p>
        </w:tc>
        <w:tc>
          <w:tcPr>
            <w:tcW w:type="dxa" w:w="1701"/>
            <w:shd w:val="clear" w:color="auto" w:fill="F2F5F7"/>
          </w:tcPr>
          <w:p>
            <w:pPr>
              <w:spacing w:after="20"/>
            </w:pPr>
            <w:r/>
            <w:r>
              <w:rPr>
                <w:sz w:val="17"/>
              </w:rPr>
              <w:t>1.018</w:t>
            </w:r>
          </w:p>
        </w:tc>
        <w:tc>
          <w:tcPr>
            <w:tcW w:type="dxa" w:w="1928"/>
            <w:shd w:val="clear" w:color="auto" w:fill="F2F5F7"/>
          </w:tcPr>
          <w:p>
            <w:pPr>
              <w:spacing w:after="20"/>
            </w:pPr>
            <w:r/>
            <w:r>
              <w:rPr>
                <w:sz w:val="17"/>
              </w:rPr>
              <w:t>513.3</w:t>
            </w:r>
          </w:p>
        </w:tc>
        <w:tc>
          <w:tcPr>
            <w:tcW w:type="dxa" w:w="1701"/>
            <w:shd w:val="clear" w:color="auto" w:fill="F2F5F7"/>
          </w:tcPr>
          <w:p>
            <w:pPr>
              <w:spacing w:after="20"/>
            </w:pPr>
            <w:r/>
            <w:r>
              <w:rPr>
                <w:sz w:val="17"/>
              </w:rPr>
              <w:t>156</w:t>
            </w:r>
          </w:p>
        </w:tc>
      </w:tr>
      <w:tr>
        <w:tc>
          <w:tcPr>
            <w:tcW w:type="dxa" w:w="680"/>
          </w:tcPr>
          <w:p>
            <w:pPr>
              <w:spacing w:after="20"/>
            </w:pPr>
            <w:r/>
            <w:r>
              <w:rPr>
                <w:sz w:val="17"/>
              </w:rPr>
              <w:t>6</w:t>
            </w:r>
          </w:p>
        </w:tc>
        <w:tc>
          <w:tcPr>
            <w:tcW w:type="dxa" w:w="1361"/>
          </w:tcPr>
          <w:p>
            <w:pPr>
              <w:spacing w:after="20"/>
            </w:pPr>
            <w:r/>
            <w:r>
              <w:rPr>
                <w:sz w:val="17"/>
              </w:rPr>
              <w:t>862.5</w:t>
            </w:r>
          </w:p>
        </w:tc>
        <w:tc>
          <w:tcPr>
            <w:tcW w:type="dxa" w:w="1474"/>
          </w:tcPr>
          <w:p>
            <w:pPr>
              <w:spacing w:after="20"/>
            </w:pPr>
            <w:r/>
            <w:r>
              <w:rPr>
                <w:sz w:val="17"/>
              </w:rPr>
              <w:t>0.297</w:t>
            </w:r>
          </w:p>
        </w:tc>
        <w:tc>
          <w:tcPr>
            <w:tcW w:type="dxa" w:w="1701"/>
          </w:tcPr>
          <w:p>
            <w:pPr>
              <w:spacing w:after="20"/>
            </w:pPr>
            <w:r/>
            <w:r>
              <w:rPr>
                <w:sz w:val="17"/>
              </w:rPr>
              <w:t>1.053</w:t>
            </w:r>
          </w:p>
        </w:tc>
        <w:tc>
          <w:tcPr>
            <w:tcW w:type="dxa" w:w="1928"/>
          </w:tcPr>
          <w:p>
            <w:pPr>
              <w:spacing w:after="20"/>
            </w:pPr>
            <w:r/>
            <w:r>
              <w:rPr>
                <w:sz w:val="17"/>
              </w:rPr>
              <w:t>489.1</w:t>
            </w:r>
          </w:p>
        </w:tc>
        <w:tc>
          <w:tcPr>
            <w:tcW w:type="dxa" w:w="1701"/>
          </w:tcPr>
          <w:p>
            <w:pPr>
              <w:spacing w:after="20"/>
            </w:pPr>
            <w:r/>
            <w:r>
              <w:rPr>
                <w:sz w:val="17"/>
              </w:rPr>
              <w:t>141</w:t>
            </w:r>
          </w:p>
        </w:tc>
      </w:tr>
      <w:tr>
        <w:tc>
          <w:tcPr>
            <w:tcW w:type="dxa" w:w="680"/>
            <w:shd w:val="clear" w:color="auto" w:fill="F2F5F7"/>
          </w:tcPr>
          <w:p>
            <w:pPr>
              <w:spacing w:after="20"/>
            </w:pPr>
            <w:r/>
            <w:r>
              <w:rPr>
                <w:sz w:val="17"/>
              </w:rPr>
              <w:t>7</w:t>
            </w:r>
          </w:p>
        </w:tc>
        <w:tc>
          <w:tcPr>
            <w:tcW w:type="dxa" w:w="1361"/>
            <w:shd w:val="clear" w:color="auto" w:fill="F2F5F7"/>
          </w:tcPr>
          <w:p>
            <w:pPr>
              <w:spacing w:after="20"/>
            </w:pPr>
            <w:r/>
            <w:r>
              <w:rPr>
                <w:sz w:val="17"/>
              </w:rPr>
              <w:t>766.7</w:t>
            </w:r>
          </w:p>
        </w:tc>
        <w:tc>
          <w:tcPr>
            <w:tcW w:type="dxa" w:w="1474"/>
            <w:shd w:val="clear" w:color="auto" w:fill="F2F5F7"/>
          </w:tcPr>
          <w:p>
            <w:pPr>
              <w:spacing w:after="20"/>
            </w:pPr>
            <w:r/>
            <w:r>
              <w:rPr>
                <w:sz w:val="17"/>
              </w:rPr>
              <w:t>0.307</w:t>
            </w:r>
          </w:p>
        </w:tc>
        <w:tc>
          <w:tcPr>
            <w:tcW w:type="dxa" w:w="1701"/>
            <w:shd w:val="clear" w:color="auto" w:fill="F2F5F7"/>
          </w:tcPr>
          <w:p>
            <w:pPr>
              <w:spacing w:after="20"/>
            </w:pPr>
            <w:r/>
            <w:r>
              <w:rPr>
                <w:sz w:val="17"/>
              </w:rPr>
              <w:t>1.043</w:t>
            </w:r>
          </w:p>
        </w:tc>
        <w:tc>
          <w:tcPr>
            <w:tcW w:type="dxa" w:w="1928"/>
            <w:shd w:val="clear" w:color="auto" w:fill="F2F5F7"/>
          </w:tcPr>
          <w:p>
            <w:pPr>
              <w:spacing w:after="20"/>
            </w:pPr>
            <w:r/>
            <w:r>
              <w:rPr>
                <w:sz w:val="17"/>
              </w:rPr>
              <w:t>478.7</w:t>
            </w:r>
          </w:p>
        </w:tc>
        <w:tc>
          <w:tcPr>
            <w:tcW w:type="dxa" w:w="1701"/>
            <w:shd w:val="clear" w:color="auto" w:fill="F2F5F7"/>
          </w:tcPr>
          <w:p>
            <w:pPr>
              <w:spacing w:after="20"/>
            </w:pPr>
            <w:r/>
            <w:r>
              <w:rPr>
                <w:sz w:val="17"/>
              </w:rPr>
              <w:t>84</w:t>
            </w:r>
          </w:p>
        </w:tc>
      </w:tr>
      <w:tr>
        <w:tc>
          <w:tcPr>
            <w:tcW w:type="dxa" w:w="680"/>
          </w:tcPr>
          <w:p>
            <w:pPr>
              <w:spacing w:after="20"/>
            </w:pPr>
            <w:r/>
            <w:r>
              <w:rPr>
                <w:sz w:val="17"/>
              </w:rPr>
              <w:t>8</w:t>
            </w:r>
          </w:p>
        </w:tc>
        <w:tc>
          <w:tcPr>
            <w:tcW w:type="dxa" w:w="1361"/>
          </w:tcPr>
          <w:p>
            <w:pPr>
              <w:spacing w:after="20"/>
            </w:pPr>
            <w:r/>
            <w:r>
              <w:rPr>
                <w:sz w:val="17"/>
              </w:rPr>
              <w:t>691.8</w:t>
            </w:r>
          </w:p>
        </w:tc>
        <w:tc>
          <w:tcPr>
            <w:tcW w:type="dxa" w:w="1474"/>
          </w:tcPr>
          <w:p>
            <w:pPr>
              <w:spacing w:after="20"/>
            </w:pPr>
            <w:r/>
            <w:r>
              <w:rPr>
                <w:sz w:val="17"/>
              </w:rPr>
              <w:t>0.296</w:t>
            </w:r>
          </w:p>
        </w:tc>
        <w:tc>
          <w:tcPr>
            <w:tcW w:type="dxa" w:w="1701"/>
          </w:tcPr>
          <w:p>
            <w:pPr>
              <w:spacing w:after="20"/>
            </w:pPr>
            <w:r/>
            <w:r>
              <w:rPr>
                <w:sz w:val="17"/>
              </w:rPr>
              <w:t>1.057</w:t>
            </w:r>
          </w:p>
        </w:tc>
        <w:tc>
          <w:tcPr>
            <w:tcW w:type="dxa" w:w="1928"/>
          </w:tcPr>
          <w:p>
            <w:pPr>
              <w:spacing w:after="20"/>
            </w:pPr>
            <w:r/>
            <w:r>
              <w:rPr>
                <w:sz w:val="17"/>
              </w:rPr>
              <w:t>469.6</w:t>
            </w:r>
          </w:p>
        </w:tc>
        <w:tc>
          <w:tcPr>
            <w:tcW w:type="dxa" w:w="1701"/>
          </w:tcPr>
          <w:p>
            <w:pPr>
              <w:spacing w:after="20"/>
            </w:pPr>
            <w:r/>
            <w:r>
              <w:rPr>
                <w:sz w:val="17"/>
              </w:rPr>
              <w:t>82</w:t>
            </w:r>
          </w:p>
        </w:tc>
      </w:tr>
      <w:tr>
        <w:tc>
          <w:tcPr>
            <w:tcW w:type="dxa" w:w="680"/>
            <w:shd w:val="clear" w:color="auto" w:fill="F2F5F7"/>
          </w:tcPr>
          <w:p>
            <w:pPr>
              <w:spacing w:after="20"/>
            </w:pPr>
            <w:r/>
            <w:r>
              <w:rPr>
                <w:sz w:val="17"/>
              </w:rPr>
              <w:t>9</w:t>
            </w:r>
          </w:p>
        </w:tc>
        <w:tc>
          <w:tcPr>
            <w:tcW w:type="dxa" w:w="1361"/>
            <w:shd w:val="clear" w:color="auto" w:fill="F2F5F7"/>
          </w:tcPr>
          <w:p>
            <w:pPr>
              <w:spacing w:after="20"/>
            </w:pPr>
            <w:r/>
            <w:r>
              <w:rPr>
                <w:sz w:val="17"/>
              </w:rPr>
              <w:t>640.9</w:t>
            </w:r>
          </w:p>
        </w:tc>
        <w:tc>
          <w:tcPr>
            <w:tcW w:type="dxa" w:w="1474"/>
            <w:shd w:val="clear" w:color="auto" w:fill="F2F5F7"/>
          </w:tcPr>
          <w:p>
            <w:pPr>
              <w:spacing w:after="20"/>
            </w:pPr>
            <w:r/>
            <w:r>
              <w:rPr>
                <w:sz w:val="17"/>
              </w:rPr>
              <w:t>0.296</w:t>
            </w:r>
          </w:p>
        </w:tc>
        <w:tc>
          <w:tcPr>
            <w:tcW w:type="dxa" w:w="1701"/>
            <w:shd w:val="clear" w:color="auto" w:fill="F2F5F7"/>
          </w:tcPr>
          <w:p>
            <w:pPr>
              <w:spacing w:after="20"/>
            </w:pPr>
            <w:r/>
            <w:r>
              <w:rPr>
                <w:sz w:val="17"/>
              </w:rPr>
              <w:t>1.029</w:t>
            </w:r>
          </w:p>
        </w:tc>
        <w:tc>
          <w:tcPr>
            <w:tcW w:type="dxa" w:w="1928"/>
            <w:shd w:val="clear" w:color="auto" w:fill="F2F5F7"/>
          </w:tcPr>
          <w:p>
            <w:pPr>
              <w:spacing w:after="20"/>
            </w:pPr>
            <w:r/>
            <w:r>
              <w:rPr>
                <w:sz w:val="17"/>
              </w:rPr>
              <w:t>452.9</w:t>
            </w:r>
          </w:p>
        </w:tc>
        <w:tc>
          <w:tcPr>
            <w:tcW w:type="dxa" w:w="1701"/>
            <w:shd w:val="clear" w:color="auto" w:fill="F2F5F7"/>
          </w:tcPr>
          <w:p>
            <w:pPr>
              <w:spacing w:after="20"/>
            </w:pPr>
            <w:r/>
            <w:r>
              <w:rPr>
                <w:sz w:val="17"/>
              </w:rPr>
              <w:t>59</w:t>
            </w:r>
          </w:p>
        </w:tc>
      </w:tr>
      <w:tr>
        <w:tc>
          <w:tcPr>
            <w:tcW w:type="dxa" w:w="680"/>
          </w:tcPr>
          <w:p>
            <w:pPr>
              <w:spacing w:after="20"/>
            </w:pPr>
            <w:r/>
            <w:r>
              <w:rPr>
                <w:sz w:val="17"/>
              </w:rPr>
              <w:t>10</w:t>
            </w:r>
          </w:p>
        </w:tc>
        <w:tc>
          <w:tcPr>
            <w:tcW w:type="dxa" w:w="1361"/>
          </w:tcPr>
          <w:p>
            <w:pPr>
              <w:spacing w:after="20"/>
            </w:pPr>
            <w:r/>
            <w:r>
              <w:rPr>
                <w:sz w:val="17"/>
              </w:rPr>
              <w:t>594.6</w:t>
            </w:r>
          </w:p>
        </w:tc>
        <w:tc>
          <w:tcPr>
            <w:tcW w:type="dxa" w:w="1474"/>
          </w:tcPr>
          <w:p>
            <w:pPr>
              <w:spacing w:after="20"/>
            </w:pPr>
            <w:r/>
            <w:r>
              <w:rPr>
                <w:sz w:val="17"/>
              </w:rPr>
              <w:t>0.294</w:t>
            </w:r>
          </w:p>
        </w:tc>
        <w:tc>
          <w:tcPr>
            <w:tcW w:type="dxa" w:w="1701"/>
          </w:tcPr>
          <w:p>
            <w:pPr>
              <w:spacing w:after="20"/>
            </w:pPr>
            <w:r/>
            <w:r>
              <w:rPr>
                <w:sz w:val="17"/>
              </w:rPr>
              <w:t>1.037</w:t>
            </w:r>
          </w:p>
        </w:tc>
        <w:tc>
          <w:tcPr>
            <w:tcW w:type="dxa" w:w="1928"/>
          </w:tcPr>
          <w:p>
            <w:pPr>
              <w:spacing w:after="20"/>
            </w:pPr>
            <w:r/>
            <w:r>
              <w:rPr>
                <w:sz w:val="17"/>
              </w:rPr>
              <w:t>442.0</w:t>
            </w:r>
          </w:p>
        </w:tc>
        <w:tc>
          <w:tcPr>
            <w:tcW w:type="dxa" w:w="1701"/>
          </w:tcPr>
          <w:p>
            <w:pPr>
              <w:spacing w:after="20"/>
            </w:pPr>
            <w:r/>
            <w:r>
              <w:rPr>
                <w:sz w:val="17"/>
              </w:rPr>
              <w:t>53</w:t>
            </w:r>
          </w:p>
        </w:tc>
      </w:tr>
    </w:tbl>
    <w:p>
      <w:pPr>
        <w:spacing w:after="160"/>
      </w:pPr>
      <w:r>
        <w:rPr>
          <w:i/>
          <w:sz w:val="18"/>
        </w:rPr>
        <w:t>Table 6. K-Means scan: inertia and validation indices for k = 2 to 10.</w:t>
      </w:r>
      <w:r>
        <w:rPr>
          <w:color w:val="008F8B"/>
          <w:sz w:val="16"/>
        </w:rPr>
        <w:t xml:space="preserve">  Source file: COM7022 - Assignment/output/tables/table07_kmeans_k_scan.csv  |  https://github.com/kvmmn/_COM7022_MachineLearning/blob/main/COM7022%20-%20Assignment/output/tables/table07_kmeans_k_scan.csv</w:t>
      </w:r>
    </w:p>
    <w:p>
      <w:pPr>
        <w:keepNext/>
        <w:jc w:val="center"/>
      </w:pPr>
      <w:r>
        <w:drawing>
          <wp:inline xmlns:a="http://schemas.openxmlformats.org/drawingml/2006/main" xmlns:pic="http://schemas.openxmlformats.org/drawingml/2006/picture">
            <wp:extent cx="4320000" cy="2167036"/>
            <wp:docPr id="16" name="Picture 16"/>
            <wp:cNvGraphicFramePr>
              <a:graphicFrameLocks noChangeAspect="1"/>
            </wp:cNvGraphicFramePr>
            <a:graphic>
              <a:graphicData uri="http://schemas.openxmlformats.org/drawingml/2006/picture">
                <pic:pic>
                  <pic:nvPicPr>
                    <pic:cNvPr id="0" name="fig06_kmeans_elbow_silhouette.png"/>
                    <pic:cNvPicPr/>
                  </pic:nvPicPr>
                  <pic:blipFill>
                    <a:blip r:embed="rId25"/>
                    <a:stretch>
                      <a:fillRect/>
                    </a:stretch>
                  </pic:blipFill>
                  <pic:spPr>
                    <a:xfrm>
                      <a:off x="0" y="0"/>
                      <a:ext cx="4320000" cy="2167036"/>
                    </a:xfrm>
                    <a:prstGeom prst="rect"/>
                  </pic:spPr>
                </pic:pic>
              </a:graphicData>
            </a:graphic>
          </wp:inline>
        </w:drawing>
      </w:r>
    </w:p>
    <w:p>
      <w:pPr>
        <w:spacing w:after="160"/>
      </w:pPr>
      <w:r>
        <w:rPr>
          <w:i/>
          <w:sz w:val="18"/>
        </w:rPr>
        <w:t>Figure 16. Elbow (inertia) and silhouette against k.</w:t>
      </w:r>
      <w:r>
        <w:rPr>
          <w:color w:val="008F8B"/>
          <w:sz w:val="16"/>
        </w:rPr>
        <w:t xml:space="preserve">  Source file: COM7022 - Assignment/output/figures/fig06_kmeans_elbow_silhouette.png  |  https://github.com/kvmmn/_COM7022_MachineLearning/blob/main/COM7022%20-%20Assignment/output/figures/fig06_kmeans_elbow_silhouette.png</w:t>
      </w:r>
    </w:p>
    <w:p>
      <w:pPr>
        <w:keepNext/>
        <w:jc w:val="center"/>
      </w:pPr>
      <w:r>
        <w:drawing>
          <wp:inline xmlns:a="http://schemas.openxmlformats.org/drawingml/2006/main" xmlns:pic="http://schemas.openxmlformats.org/drawingml/2006/picture">
            <wp:extent cx="5580000" cy="2033740"/>
            <wp:docPr id="17" name="Picture 17"/>
            <wp:cNvGraphicFramePr>
              <a:graphicFrameLocks noChangeAspect="1"/>
            </wp:cNvGraphicFramePr>
            <a:graphic>
              <a:graphicData uri="http://schemas.openxmlformats.org/drawingml/2006/picture">
                <pic:pic>
                  <pic:nvPicPr>
                    <pic:cNvPr id="0" name="fig07_kmeans_clusters_silhouette.png"/>
                    <pic:cNvPicPr/>
                  </pic:nvPicPr>
                  <pic:blipFill>
                    <a:blip r:embed="rId26"/>
                    <a:stretch>
                      <a:fillRect/>
                    </a:stretch>
                  </pic:blipFill>
                  <pic:spPr>
                    <a:xfrm>
                      <a:off x="0" y="0"/>
                      <a:ext cx="5580000" cy="2033740"/>
                    </a:xfrm>
                    <a:prstGeom prst="rect"/>
                  </pic:spPr>
                </pic:pic>
              </a:graphicData>
            </a:graphic>
          </wp:inline>
        </w:drawing>
      </w:r>
    </w:p>
    <w:p>
      <w:pPr>
        <w:spacing w:after="160"/>
      </w:pPr>
      <w:r>
        <w:rPr>
          <w:i/>
          <w:sz w:val="18"/>
        </w:rPr>
        <w:t>Figure 17. K-Means clusters on the PCA map (left) and silhouette profile (right).</w:t>
      </w:r>
      <w:r>
        <w:rPr>
          <w:color w:val="008F8B"/>
          <w:sz w:val="16"/>
        </w:rPr>
        <w:t xml:space="preserve">  Source file: COM7022 - Assignment/output/figures/fig07_kmeans_clusters_silhouette.png  |  https://github.com/kvmmn/_COM7022_MachineLearning/blob/main/COM7022%20-%20Assignment/output/figures/fig07_kmeans_clusters_silhouette.png</w:t>
      </w:r>
    </w:p>
    <w:p>
      <w:pPr>
        <w:keepNext/>
        <w:jc w:val="center"/>
      </w:pPr>
      <w:r>
        <w:drawing>
          <wp:inline xmlns:a="http://schemas.openxmlformats.org/drawingml/2006/main" xmlns:pic="http://schemas.openxmlformats.org/drawingml/2006/picture">
            <wp:extent cx="5040000" cy="2289677"/>
            <wp:docPr id="18" name="Picture 18"/>
            <wp:cNvGraphicFramePr>
              <a:graphicFrameLocks noChangeAspect="1"/>
            </wp:cNvGraphicFramePr>
            <a:graphic>
              <a:graphicData uri="http://schemas.openxmlformats.org/drawingml/2006/picture">
                <pic:pic>
                  <pic:nvPicPr>
                    <pic:cNvPr id="0" name="code10_kmeans_scan.png"/>
                    <pic:cNvPicPr/>
                  </pic:nvPicPr>
                  <pic:blipFill>
                    <a:blip r:embed="rId27"/>
                    <a:stretch>
                      <a:fillRect/>
                    </a:stretch>
                  </pic:blipFill>
                  <pic:spPr>
                    <a:xfrm>
                      <a:off x="0" y="0"/>
                      <a:ext cx="5040000" cy="2289677"/>
                    </a:xfrm>
                    <a:prstGeom prst="rect"/>
                  </pic:spPr>
                </pic:pic>
              </a:graphicData>
            </a:graphic>
          </wp:inline>
        </w:drawing>
      </w:r>
    </w:p>
    <w:p>
      <w:r>
        <w:rPr>
          <w:i/>
          <w:sz w:val="18"/>
        </w:rPr>
        <w:t>Figure 18. Code screenshot: scanning k for K-Means</w:t>
      </w:r>
      <w:r>
        <w:rPr>
          <w:color w:val="008F8B"/>
          <w:sz w:val="16"/>
        </w:rPr>
        <w:t xml:space="preserve">  Source file: COM7022 - Assignment/output/screenshots/code10_kmeans_scan.png  |  https://github.com/kvmmn/_COM7022_MachineLearning/blob/main/COM7022%20-%20Assignment/output/screenshots/code10_kmeans_scan.png</w:t>
      </w:r>
    </w:p>
    <w:p>
      <w:pPr>
        <w:pStyle w:val="Heading2"/>
      </w:pPr>
      <w:r>
        <w:t>4.2 Hierarchical clustering</w:t>
      </w:r>
    </w:p>
    <w:p>
      <w:r>
        <w:t xml:space="preserve">Following the taught approach I compared four linkages on the same distances (Table 7). Single and average linkage put 994 and 989 listings into one cluster (“chaining”), and complete linkage gave very uneven groups. </w:t>
      </w:r>
      <w:r>
        <w:rPr>
          <w:b/>
        </w:rPr>
        <w:t>Ward</w:t>
      </w:r>
      <w:r>
        <w:t xml:space="preserve"> linkage gave balanced groups (358, 237, 235 and 167 listings) and the best silhouette (0.253), so I carried it forward. Its grouping agrees only moderately with K-Means (Adjusted Rand Index 0.41).</w:t>
      </w:r>
    </w:p>
    <w:p>
      <w:r>
        <w:t>The dendrogram (Figure 19) splits into four branches at a merge distance of about 21, so a four-cluster cut is reasonable and matches K-Means, which lets the two methods be compared on equal terms. The branches are still unstable under resampling, as Section 4.4 shows.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701"/>
            <w:shd w:val="clear" w:color="auto" w:fill="002B49"/>
          </w:tcPr>
          <w:p>
            <w:pPr>
              <w:spacing w:after="20"/>
            </w:pPr>
            <w:r/>
            <w:r>
              <w:rPr>
                <w:b/>
                <w:color w:val="FFFFFF"/>
                <w:sz w:val="17"/>
              </w:rPr>
              <w:t>Linkage</w:t>
            </w:r>
          </w:p>
        </w:tc>
        <w:tc>
          <w:tcPr>
            <w:tcW w:type="dxa" w:w="2268"/>
            <w:shd w:val="clear" w:color="auto" w:fill="002B49"/>
          </w:tcPr>
          <w:p>
            <w:pPr>
              <w:spacing w:after="20"/>
            </w:pPr>
            <w:r/>
            <w:r>
              <w:rPr>
                <w:b/>
                <w:color w:val="FFFFFF"/>
                <w:sz w:val="17"/>
              </w:rPr>
              <w:t>Cophenetic correlation</w:t>
            </w:r>
          </w:p>
        </w:tc>
        <w:tc>
          <w:tcPr>
            <w:tcW w:type="dxa" w:w="2268"/>
            <w:shd w:val="clear" w:color="auto" w:fill="002B49"/>
          </w:tcPr>
          <w:p>
            <w:pPr>
              <w:spacing w:after="20"/>
            </w:pPr>
            <w:r/>
            <w:r>
              <w:rPr>
                <w:b/>
                <w:color w:val="FFFFFF"/>
                <w:sz w:val="17"/>
              </w:rPr>
              <w:t>Silhouette at k = 4</w:t>
            </w:r>
          </w:p>
        </w:tc>
        <w:tc>
          <w:tcPr>
            <w:tcW w:type="dxa" w:w="2551"/>
            <w:shd w:val="clear" w:color="auto" w:fill="002B49"/>
          </w:tcPr>
          <w:p>
            <w:pPr>
              <w:spacing w:after="20"/>
            </w:pPr>
            <w:r/>
            <w:r>
              <w:rPr>
                <w:b/>
                <w:color w:val="FFFFFF"/>
                <w:sz w:val="17"/>
              </w:rPr>
              <w:t>Cluster sizes</w:t>
            </w:r>
          </w:p>
        </w:tc>
      </w:tr>
      <w:tr>
        <w:tc>
          <w:tcPr>
            <w:tcW w:type="dxa" w:w="1701"/>
          </w:tcPr>
          <w:p>
            <w:pPr>
              <w:spacing w:after="20"/>
            </w:pPr>
            <w:r/>
            <w:r>
              <w:rPr>
                <w:sz w:val="17"/>
              </w:rPr>
              <w:t>single</w:t>
            </w:r>
          </w:p>
        </w:tc>
        <w:tc>
          <w:tcPr>
            <w:tcW w:type="dxa" w:w="2268"/>
          </w:tcPr>
          <w:p>
            <w:pPr>
              <w:spacing w:after="20"/>
            </w:pPr>
            <w:r/>
            <w:r>
              <w:rPr>
                <w:sz w:val="17"/>
              </w:rPr>
              <w:t>0.362</w:t>
            </w:r>
          </w:p>
        </w:tc>
        <w:tc>
          <w:tcPr>
            <w:tcW w:type="dxa" w:w="2268"/>
          </w:tcPr>
          <w:p>
            <w:pPr>
              <w:spacing w:after="20"/>
            </w:pPr>
            <w:r/>
            <w:r>
              <w:rPr>
                <w:sz w:val="17"/>
              </w:rPr>
              <w:t>0.217</w:t>
            </w:r>
          </w:p>
        </w:tc>
        <w:tc>
          <w:tcPr>
            <w:tcW w:type="dxa" w:w="2551"/>
          </w:tcPr>
          <w:p>
            <w:pPr>
              <w:spacing w:after="20"/>
            </w:pPr>
            <w:r/>
            <w:r>
              <w:rPr>
                <w:sz w:val="17"/>
              </w:rPr>
              <w:t>994/1/1/1</w:t>
            </w:r>
          </w:p>
        </w:tc>
      </w:tr>
      <w:tr>
        <w:tc>
          <w:tcPr>
            <w:tcW w:type="dxa" w:w="1701"/>
            <w:shd w:val="clear" w:color="auto" w:fill="F2F5F7"/>
          </w:tcPr>
          <w:p>
            <w:pPr>
              <w:spacing w:after="20"/>
            </w:pPr>
            <w:r/>
            <w:r>
              <w:rPr>
                <w:sz w:val="17"/>
              </w:rPr>
              <w:t>complete</w:t>
            </w:r>
          </w:p>
        </w:tc>
        <w:tc>
          <w:tcPr>
            <w:tcW w:type="dxa" w:w="2268"/>
            <w:shd w:val="clear" w:color="auto" w:fill="F2F5F7"/>
          </w:tcPr>
          <w:p>
            <w:pPr>
              <w:spacing w:after="20"/>
            </w:pPr>
            <w:r/>
            <w:r>
              <w:rPr>
                <w:sz w:val="17"/>
              </w:rPr>
              <w:t>0.536</w:t>
            </w:r>
          </w:p>
        </w:tc>
        <w:tc>
          <w:tcPr>
            <w:tcW w:type="dxa" w:w="2268"/>
            <w:shd w:val="clear" w:color="auto" w:fill="F2F5F7"/>
          </w:tcPr>
          <w:p>
            <w:pPr>
              <w:spacing w:after="20"/>
            </w:pPr>
            <w:r/>
            <w:r>
              <w:rPr>
                <w:sz w:val="17"/>
              </w:rPr>
              <w:t>0.197</w:t>
            </w:r>
          </w:p>
        </w:tc>
        <w:tc>
          <w:tcPr>
            <w:tcW w:type="dxa" w:w="2551"/>
            <w:shd w:val="clear" w:color="auto" w:fill="F2F5F7"/>
          </w:tcPr>
          <w:p>
            <w:pPr>
              <w:spacing w:after="20"/>
            </w:pPr>
            <w:r/>
            <w:r>
              <w:rPr>
                <w:sz w:val="17"/>
              </w:rPr>
              <w:t>424/388/180/5</w:t>
            </w:r>
          </w:p>
        </w:tc>
      </w:tr>
      <w:tr>
        <w:tc>
          <w:tcPr>
            <w:tcW w:type="dxa" w:w="1701"/>
          </w:tcPr>
          <w:p>
            <w:pPr>
              <w:spacing w:after="20"/>
            </w:pPr>
            <w:r/>
            <w:r>
              <w:rPr>
                <w:sz w:val="17"/>
              </w:rPr>
              <w:t>average</w:t>
            </w:r>
          </w:p>
        </w:tc>
        <w:tc>
          <w:tcPr>
            <w:tcW w:type="dxa" w:w="2268"/>
          </w:tcPr>
          <w:p>
            <w:pPr>
              <w:spacing w:after="20"/>
            </w:pPr>
            <w:r/>
            <w:r>
              <w:rPr>
                <w:sz w:val="17"/>
              </w:rPr>
              <w:t>0.631</w:t>
            </w:r>
          </w:p>
        </w:tc>
        <w:tc>
          <w:tcPr>
            <w:tcW w:type="dxa" w:w="2268"/>
          </w:tcPr>
          <w:p>
            <w:pPr>
              <w:spacing w:after="20"/>
            </w:pPr>
            <w:r/>
            <w:r>
              <w:rPr>
                <w:sz w:val="17"/>
              </w:rPr>
              <w:t>0.206</w:t>
            </w:r>
          </w:p>
        </w:tc>
        <w:tc>
          <w:tcPr>
            <w:tcW w:type="dxa" w:w="2551"/>
          </w:tcPr>
          <w:p>
            <w:pPr>
              <w:spacing w:after="20"/>
            </w:pPr>
            <w:r/>
            <w:r>
              <w:rPr>
                <w:sz w:val="17"/>
              </w:rPr>
              <w:t>989/6/1/1</w:t>
            </w:r>
          </w:p>
        </w:tc>
      </w:tr>
      <w:tr>
        <w:tc>
          <w:tcPr>
            <w:tcW w:type="dxa" w:w="1701"/>
            <w:shd w:val="clear" w:color="auto" w:fill="F2F5F7"/>
          </w:tcPr>
          <w:p>
            <w:pPr>
              <w:spacing w:after="20"/>
            </w:pPr>
            <w:r/>
            <w:r>
              <w:rPr>
                <w:sz w:val="17"/>
              </w:rPr>
              <w:t>ward</w:t>
            </w:r>
          </w:p>
        </w:tc>
        <w:tc>
          <w:tcPr>
            <w:tcW w:type="dxa" w:w="2268"/>
            <w:shd w:val="clear" w:color="auto" w:fill="F2F5F7"/>
          </w:tcPr>
          <w:p>
            <w:pPr>
              <w:spacing w:after="20"/>
            </w:pPr>
            <w:r/>
            <w:r>
              <w:rPr>
                <w:sz w:val="17"/>
              </w:rPr>
              <w:t>0.579</w:t>
            </w:r>
          </w:p>
        </w:tc>
        <w:tc>
          <w:tcPr>
            <w:tcW w:type="dxa" w:w="2268"/>
            <w:shd w:val="clear" w:color="auto" w:fill="F2F5F7"/>
          </w:tcPr>
          <w:p>
            <w:pPr>
              <w:spacing w:after="20"/>
            </w:pPr>
            <w:r/>
            <w:r>
              <w:rPr>
                <w:sz w:val="17"/>
              </w:rPr>
              <w:t>0.253</w:t>
            </w:r>
          </w:p>
        </w:tc>
        <w:tc>
          <w:tcPr>
            <w:tcW w:type="dxa" w:w="2551"/>
            <w:shd w:val="clear" w:color="auto" w:fill="F2F5F7"/>
          </w:tcPr>
          <w:p>
            <w:pPr>
              <w:spacing w:after="20"/>
            </w:pPr>
            <w:r/>
            <w:r>
              <w:rPr>
                <w:sz w:val="17"/>
              </w:rPr>
              <w:t>358/237/235/167</w:t>
            </w:r>
          </w:p>
        </w:tc>
      </w:tr>
    </w:tbl>
    <w:p>
      <w:pPr>
        <w:spacing w:after="160"/>
      </w:pPr>
      <w:r>
        <w:rPr>
          <w:i/>
          <w:sz w:val="18"/>
        </w:rPr>
        <w:t>Table 7. Four linkage methods compared on the same data.</w:t>
      </w:r>
      <w:r>
        <w:rPr>
          <w:color w:val="008F8B"/>
          <w:sz w:val="16"/>
        </w:rPr>
        <w:t xml:space="preserve">  Source file: COM7022 - Assignment/output/tables/table08_linkage_comparison.csv  |  https://github.com/kvmmn/_COM7022_MachineLearning/blob/main/COM7022%20-%20Assignment/output/tables/table08_linkage_comparison.csv</w:t>
      </w:r>
    </w:p>
    <w:p>
      <w:pPr>
        <w:keepNext/>
        <w:jc w:val="center"/>
      </w:pPr>
      <w:r>
        <w:drawing>
          <wp:inline xmlns:a="http://schemas.openxmlformats.org/drawingml/2006/main" xmlns:pic="http://schemas.openxmlformats.org/drawingml/2006/picture">
            <wp:extent cx="4320000" cy="1942507"/>
            <wp:docPr id="19" name="Picture 19"/>
            <wp:cNvGraphicFramePr>
              <a:graphicFrameLocks noChangeAspect="1"/>
            </wp:cNvGraphicFramePr>
            <a:graphic>
              <a:graphicData uri="http://schemas.openxmlformats.org/drawingml/2006/picture">
                <pic:pic>
                  <pic:nvPicPr>
                    <pic:cNvPr id="0" name="fig09_ward_dendrogram_cut.png"/>
                    <pic:cNvPicPr/>
                  </pic:nvPicPr>
                  <pic:blipFill>
                    <a:blip r:embed="rId28"/>
                    <a:stretch>
                      <a:fillRect/>
                    </a:stretch>
                  </pic:blipFill>
                  <pic:spPr>
                    <a:xfrm>
                      <a:off x="0" y="0"/>
                      <a:ext cx="4320000" cy="1942507"/>
                    </a:xfrm>
                    <a:prstGeom prst="rect"/>
                  </pic:spPr>
                </pic:pic>
              </a:graphicData>
            </a:graphic>
          </wp:inline>
        </w:drawing>
      </w:r>
    </w:p>
    <w:p>
      <w:pPr>
        <w:spacing w:after="160"/>
      </w:pPr>
      <w:r>
        <w:rPr>
          <w:i/>
          <w:sz w:val="18"/>
        </w:rPr>
        <w:t>Figure 19. Ward dendrogram cut at four clusters.</w:t>
      </w:r>
      <w:r>
        <w:rPr>
          <w:color w:val="008F8B"/>
          <w:sz w:val="16"/>
        </w:rPr>
        <w:t xml:space="preserve">  Source file: COM7022 - Assignment/output/figures/fig09_ward_dendrogram_cut.png  |  https://github.com/kvmmn/_COM7022_MachineLearning/blob/main/COM7022%20-%20Assignment/output/figures/fig09_ward_dendrogram_cut.png</w:t>
      </w:r>
    </w:p>
    <w:p>
      <w:pPr>
        <w:keepNext/>
        <w:jc w:val="center"/>
      </w:pPr>
      <w:r>
        <w:drawing>
          <wp:inline xmlns:a="http://schemas.openxmlformats.org/drawingml/2006/main" xmlns:pic="http://schemas.openxmlformats.org/drawingml/2006/picture">
            <wp:extent cx="5040000" cy="1952749"/>
            <wp:docPr id="20" name="Picture 20"/>
            <wp:cNvGraphicFramePr>
              <a:graphicFrameLocks noChangeAspect="1"/>
            </wp:cNvGraphicFramePr>
            <a:graphic>
              <a:graphicData uri="http://schemas.openxmlformats.org/drawingml/2006/picture">
                <pic:pic>
                  <pic:nvPicPr>
                    <pic:cNvPr id="0" name="code11_hierarchical.png"/>
                    <pic:cNvPicPr/>
                  </pic:nvPicPr>
                  <pic:blipFill>
                    <a:blip r:embed="rId29"/>
                    <a:stretch>
                      <a:fillRect/>
                    </a:stretch>
                  </pic:blipFill>
                  <pic:spPr>
                    <a:xfrm>
                      <a:off x="0" y="0"/>
                      <a:ext cx="5040000" cy="1952749"/>
                    </a:xfrm>
                    <a:prstGeom prst="rect"/>
                  </pic:spPr>
                </pic:pic>
              </a:graphicData>
            </a:graphic>
          </wp:inline>
        </w:drawing>
      </w:r>
    </w:p>
    <w:p>
      <w:r>
        <w:rPr>
          <w:i/>
          <w:sz w:val="18"/>
        </w:rPr>
        <w:t>Figure 20. Code screenshot: four linkages</w:t>
      </w:r>
      <w:r>
        <w:rPr>
          <w:color w:val="008F8B"/>
          <w:sz w:val="16"/>
        </w:rPr>
        <w:t xml:space="preserve">  Source file: COM7022 - Assignment/output/screenshots/code11_hierarchical.png  |  https://github.com/kvmmn/_COM7022_MachineLearning/blob/main/COM7022%20-%20Assignment/output/screenshots/code11_hierarchical.png</w:t>
      </w:r>
    </w:p>
    <w:p>
      <w:pPr>
        <w:pStyle w:val="Heading2"/>
      </w:pPr>
      <w:r>
        <w:t>4.3 DBSCAN</w:t>
      </w:r>
    </w:p>
    <w:p>
      <w:r>
        <w:t xml:space="preserve">I set min_samples to 6 (twice the number of features) and read eps from the k-distance curve, then tested 32 combinations (Figure 21, Figure 22; the full grid is saved in output/tables/table10_dbscan_grid.csv). Small eps values (0.35 or below) split the data into many tiny groups and call 23% to 89% of listings noise; larger values merge everything. The best compromise, </w:t>
      </w:r>
      <w:r>
        <w:rPr>
          <w:b/>
        </w:rPr>
        <w:t>eps = 0.45</w:t>
      </w:r>
      <w:r>
        <w:t>, still puts 904 listings (90.7%) in one cluster, 4 in another and 89 (8.9%) in noise. The silhouette on clustered points is slightly negative (-0.014). The k-distance curve has no sharp knee because listings form a continuum, not separate dense islands. DBSCAN is therefore a poor segmenter here, but its noise points are useful: they are cheaper (median $26 against $36), sell more (median 163 against about 46 units) and carry less stock (5 against 9).</w:t>
      </w:r>
    </w:p>
    <w:p>
      <w:pPr>
        <w:keepNext/>
        <w:jc w:val="center"/>
      </w:pPr>
      <w:r>
        <w:drawing>
          <wp:inline xmlns:a="http://schemas.openxmlformats.org/drawingml/2006/main" xmlns:pic="http://schemas.openxmlformats.org/drawingml/2006/picture">
            <wp:extent cx="3960000" cy="2308782"/>
            <wp:docPr id="21" name="Picture 21"/>
            <wp:cNvGraphicFramePr>
              <a:graphicFrameLocks noChangeAspect="1"/>
            </wp:cNvGraphicFramePr>
            <a:graphic>
              <a:graphicData uri="http://schemas.openxmlformats.org/drawingml/2006/picture">
                <pic:pic>
                  <pic:nvPicPr>
                    <pic:cNvPr id="0" name="fig10_dbscan_k_distance.png"/>
                    <pic:cNvPicPr/>
                  </pic:nvPicPr>
                  <pic:blipFill>
                    <a:blip r:embed="rId30"/>
                    <a:stretch>
                      <a:fillRect/>
                    </a:stretch>
                  </pic:blipFill>
                  <pic:spPr>
                    <a:xfrm>
                      <a:off x="0" y="0"/>
                      <a:ext cx="3960000" cy="2308782"/>
                    </a:xfrm>
                    <a:prstGeom prst="rect"/>
                  </pic:spPr>
                </pic:pic>
              </a:graphicData>
            </a:graphic>
          </wp:inline>
        </w:drawing>
      </w:r>
    </w:p>
    <w:p>
      <w:pPr>
        <w:spacing w:after="160"/>
      </w:pPr>
      <w:r>
        <w:rPr>
          <w:i/>
          <w:sz w:val="18"/>
        </w:rPr>
        <w:t>Figure 21. Sorted k-distance curve used to choose eps.</w:t>
      </w:r>
      <w:r>
        <w:rPr>
          <w:color w:val="008F8B"/>
          <w:sz w:val="16"/>
        </w:rPr>
        <w:t xml:space="preserve">  Source file: COM7022 - Assignment/output/figures/fig10_dbscan_k_distance.png  |  https://github.com/kvmmn/_COM7022_MachineLearning/blob/main/COM7022%20-%20Assignment/output/figures/fig10_dbscan_k_distance.png</w:t>
      </w:r>
    </w:p>
    <w:p>
      <w:pPr>
        <w:keepNext/>
        <w:jc w:val="center"/>
      </w:pPr>
      <w:r>
        <w:drawing>
          <wp:inline xmlns:a="http://schemas.openxmlformats.org/drawingml/2006/main" xmlns:pic="http://schemas.openxmlformats.org/drawingml/2006/picture">
            <wp:extent cx="3960000" cy="2999076"/>
            <wp:docPr id="22" name="Picture 22"/>
            <wp:cNvGraphicFramePr>
              <a:graphicFrameLocks noChangeAspect="1"/>
            </wp:cNvGraphicFramePr>
            <a:graphic>
              <a:graphicData uri="http://schemas.openxmlformats.org/drawingml/2006/picture">
                <pic:pic>
                  <pic:nvPicPr>
                    <pic:cNvPr id="0" name="fig11_dbscan_clusters.png"/>
                    <pic:cNvPicPr/>
                  </pic:nvPicPr>
                  <pic:blipFill>
                    <a:blip r:embed="rId31"/>
                    <a:stretch>
                      <a:fillRect/>
                    </a:stretch>
                  </pic:blipFill>
                  <pic:spPr>
                    <a:xfrm>
                      <a:off x="0" y="0"/>
                      <a:ext cx="3960000" cy="2999076"/>
                    </a:xfrm>
                    <a:prstGeom prst="rect"/>
                  </pic:spPr>
                </pic:pic>
              </a:graphicData>
            </a:graphic>
          </wp:inline>
        </w:drawing>
      </w:r>
    </w:p>
    <w:p>
      <w:pPr>
        <w:spacing w:after="160"/>
      </w:pPr>
      <w:r>
        <w:rPr>
          <w:i/>
          <w:sz w:val="18"/>
        </w:rPr>
        <w:t>Figure 22. DBSCAN result on the PCA map; grey points are noise.</w:t>
      </w:r>
      <w:r>
        <w:rPr>
          <w:color w:val="008F8B"/>
          <w:sz w:val="16"/>
        </w:rPr>
        <w:t xml:space="preserve">  Source file: COM7022 - Assignment/output/figures/fig11_dbscan_clusters.png  |  https://github.com/kvmmn/_COM7022_MachineLearning/blob/main/COM7022%20-%20Assignment/output/figures/fig11_dbscan_clusters.png</w:t>
      </w:r>
    </w:p>
    <w:p>
      <w:pPr>
        <w:keepNext/>
        <w:jc w:val="center"/>
      </w:pPr>
      <w:r>
        <w:drawing>
          <wp:inline xmlns:a="http://schemas.openxmlformats.org/drawingml/2006/main" xmlns:pic="http://schemas.openxmlformats.org/drawingml/2006/picture">
            <wp:extent cx="5040000" cy="1798191"/>
            <wp:docPr id="23" name="Picture 23"/>
            <wp:cNvGraphicFramePr>
              <a:graphicFrameLocks noChangeAspect="1"/>
            </wp:cNvGraphicFramePr>
            <a:graphic>
              <a:graphicData uri="http://schemas.openxmlformats.org/drawingml/2006/picture">
                <pic:pic>
                  <pic:nvPicPr>
                    <pic:cNvPr id="0" name="code12_dbscan_kdist.png"/>
                    <pic:cNvPicPr/>
                  </pic:nvPicPr>
                  <pic:blipFill>
                    <a:blip r:embed="rId32"/>
                    <a:stretch>
                      <a:fillRect/>
                    </a:stretch>
                  </pic:blipFill>
                  <pic:spPr>
                    <a:xfrm>
                      <a:off x="0" y="0"/>
                      <a:ext cx="5040000" cy="1798191"/>
                    </a:xfrm>
                    <a:prstGeom prst="rect"/>
                  </pic:spPr>
                </pic:pic>
              </a:graphicData>
            </a:graphic>
          </wp:inline>
        </w:drawing>
      </w:r>
    </w:p>
    <w:p>
      <w:r>
        <w:rPr>
          <w:i/>
          <w:sz w:val="18"/>
        </w:rPr>
        <w:t>Figure 23. Code screenshot: DBSCAN k-distance</w:t>
      </w:r>
      <w:r>
        <w:rPr>
          <w:color w:val="008F8B"/>
          <w:sz w:val="16"/>
        </w:rPr>
        <w:t xml:space="preserve">  Source file: COM7022 - Assignment/output/screenshots/code12_dbscan_kdist.png  |  https://github.com/kvmmn/_COM7022_MachineLearning/blob/main/COM7022%20-%20Assignment/output/screenshots/code12_dbscan_kdist.png</w:t>
      </w:r>
    </w:p>
    <w:p>
      <w:pPr>
        <w:pStyle w:val="Heading2"/>
      </w:pPr>
      <w:r>
        <w:t>4.4 Evaluation with several metrics</w:t>
      </w:r>
    </w:p>
    <w:p>
      <w:r>
        <w:t>Accuracy cannot be used because there are no true labels. I therefore combined five kinds of evidence, each answering a different question (Table 8).</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587"/>
            <w:shd w:val="clear" w:color="auto" w:fill="002B49"/>
          </w:tcPr>
          <w:p>
            <w:pPr>
              <w:spacing w:after="20"/>
            </w:pPr>
            <w:r/>
            <w:r>
              <w:rPr>
                <w:b/>
                <w:color w:val="FFFFFF"/>
                <w:sz w:val="17"/>
              </w:rPr>
              <w:t>Metric</w:t>
            </w:r>
          </w:p>
        </w:tc>
        <w:tc>
          <w:tcPr>
            <w:tcW w:type="dxa" w:w="3515"/>
            <w:shd w:val="clear" w:color="auto" w:fill="002B49"/>
          </w:tcPr>
          <w:p>
            <w:pPr>
              <w:spacing w:after="20"/>
            </w:pPr>
            <w:r/>
            <w:r>
              <w:rPr>
                <w:b/>
                <w:color w:val="FFFFFF"/>
                <w:sz w:val="17"/>
              </w:rPr>
              <w:t>What it measures</w:t>
            </w:r>
          </w:p>
        </w:tc>
        <w:tc>
          <w:tcPr>
            <w:tcW w:type="dxa" w:w="1247"/>
            <w:shd w:val="clear" w:color="auto" w:fill="002B49"/>
          </w:tcPr>
          <w:p>
            <w:pPr>
              <w:spacing w:after="20"/>
            </w:pPr>
            <w:r/>
            <w:r>
              <w:rPr>
                <w:b/>
                <w:color w:val="FFFFFF"/>
                <w:sz w:val="17"/>
              </w:rPr>
              <w:t>Better when</w:t>
            </w:r>
          </w:p>
        </w:tc>
        <w:tc>
          <w:tcPr>
            <w:tcW w:type="dxa" w:w="3288"/>
            <w:shd w:val="clear" w:color="auto" w:fill="002B49"/>
          </w:tcPr>
          <w:p>
            <w:pPr>
              <w:spacing w:after="20"/>
            </w:pPr>
            <w:r/>
            <w:r>
              <w:rPr>
                <w:b/>
                <w:color w:val="FFFFFF"/>
                <w:sz w:val="17"/>
              </w:rPr>
              <w:t>Limitation</w:t>
            </w:r>
          </w:p>
        </w:tc>
      </w:tr>
      <w:tr>
        <w:tc>
          <w:tcPr>
            <w:tcW w:type="dxa" w:w="1587"/>
          </w:tcPr>
          <w:p>
            <w:pPr>
              <w:spacing w:after="20"/>
            </w:pPr>
            <w:r/>
            <w:r>
              <w:rPr>
                <w:sz w:val="17"/>
              </w:rPr>
              <w:t>Silhouette</w:t>
            </w:r>
          </w:p>
        </w:tc>
        <w:tc>
          <w:tcPr>
            <w:tcW w:type="dxa" w:w="3515"/>
          </w:tcPr>
          <w:p>
            <w:pPr>
              <w:spacing w:after="20"/>
            </w:pPr>
            <w:r/>
            <w:r>
              <w:rPr>
                <w:sz w:val="17"/>
              </w:rPr>
              <w:t>How much closer a listing is to its own cluster than to the next one (-1 to 1).</w:t>
            </w:r>
          </w:p>
        </w:tc>
        <w:tc>
          <w:tcPr>
            <w:tcW w:type="dxa" w:w="1247"/>
          </w:tcPr>
          <w:p>
            <w:pPr>
              <w:spacing w:after="20"/>
            </w:pPr>
            <w:r/>
            <w:r>
              <w:rPr>
                <w:sz w:val="17"/>
              </w:rPr>
              <w:t>Higher</w:t>
            </w:r>
          </w:p>
        </w:tc>
        <w:tc>
          <w:tcPr>
            <w:tcW w:type="dxa" w:w="3288"/>
          </w:tcPr>
          <w:p>
            <w:pPr>
              <w:spacing w:after="20"/>
            </w:pPr>
            <w:r/>
            <w:r>
              <w:rPr>
                <w:sz w:val="17"/>
              </w:rPr>
              <w:t>Says nothing about stability or usefulness; penalises DBSCAN’s uneven shapes.</w:t>
            </w:r>
          </w:p>
        </w:tc>
      </w:tr>
      <w:tr>
        <w:tc>
          <w:tcPr>
            <w:tcW w:type="dxa" w:w="1587"/>
            <w:shd w:val="clear" w:color="auto" w:fill="F2F5F7"/>
          </w:tcPr>
          <w:p>
            <w:pPr>
              <w:spacing w:after="20"/>
            </w:pPr>
            <w:r/>
            <w:r>
              <w:rPr>
                <w:sz w:val="17"/>
              </w:rPr>
              <w:t>Davies-Bouldin</w:t>
            </w:r>
          </w:p>
        </w:tc>
        <w:tc>
          <w:tcPr>
            <w:tcW w:type="dxa" w:w="3515"/>
            <w:shd w:val="clear" w:color="auto" w:fill="F2F5F7"/>
          </w:tcPr>
          <w:p>
            <w:pPr>
              <w:spacing w:after="20"/>
            </w:pPr>
            <w:r/>
            <w:r>
              <w:rPr>
                <w:sz w:val="17"/>
              </w:rPr>
              <w:t>Average similarity between each cluster and its closest rival (compactness vs separation).</w:t>
            </w:r>
          </w:p>
        </w:tc>
        <w:tc>
          <w:tcPr>
            <w:tcW w:type="dxa" w:w="1247"/>
            <w:shd w:val="clear" w:color="auto" w:fill="F2F5F7"/>
          </w:tcPr>
          <w:p>
            <w:pPr>
              <w:spacing w:after="20"/>
            </w:pPr>
            <w:r/>
            <w:r>
              <w:rPr>
                <w:sz w:val="17"/>
              </w:rPr>
              <w:t>Lower</w:t>
            </w:r>
          </w:p>
        </w:tc>
        <w:tc>
          <w:tcPr>
            <w:tcW w:type="dxa" w:w="3288"/>
            <w:shd w:val="clear" w:color="auto" w:fill="F2F5F7"/>
          </w:tcPr>
          <w:p>
            <w:pPr>
              <w:spacing w:after="20"/>
            </w:pPr>
            <w:r/>
            <w:r>
              <w:rPr>
                <w:sz w:val="17"/>
              </w:rPr>
              <w:t>Favours round clusters.</w:t>
            </w:r>
          </w:p>
        </w:tc>
      </w:tr>
      <w:tr>
        <w:tc>
          <w:tcPr>
            <w:tcW w:type="dxa" w:w="1587"/>
          </w:tcPr>
          <w:p>
            <w:pPr>
              <w:spacing w:after="20"/>
            </w:pPr>
            <w:r/>
            <w:r>
              <w:rPr>
                <w:sz w:val="17"/>
              </w:rPr>
              <w:t>Calinski-Harabasz</w:t>
            </w:r>
          </w:p>
        </w:tc>
        <w:tc>
          <w:tcPr>
            <w:tcW w:type="dxa" w:w="3515"/>
          </w:tcPr>
          <w:p>
            <w:pPr>
              <w:spacing w:after="20"/>
            </w:pPr>
            <w:r/>
            <w:r>
              <w:rPr>
                <w:sz w:val="17"/>
              </w:rPr>
              <w:t>Ratio of between-cluster to within-cluster spread.</w:t>
            </w:r>
          </w:p>
        </w:tc>
        <w:tc>
          <w:tcPr>
            <w:tcW w:type="dxa" w:w="1247"/>
          </w:tcPr>
          <w:p>
            <w:pPr>
              <w:spacing w:after="20"/>
            </w:pPr>
            <w:r/>
            <w:r>
              <w:rPr>
                <w:sz w:val="17"/>
              </w:rPr>
              <w:t>Higher</w:t>
            </w:r>
          </w:p>
        </w:tc>
        <w:tc>
          <w:tcPr>
            <w:tcW w:type="dxa" w:w="3288"/>
          </w:tcPr>
          <w:p>
            <w:pPr>
              <w:spacing w:after="20"/>
            </w:pPr>
            <w:r/>
            <w:r>
              <w:rPr>
                <w:sz w:val="17"/>
              </w:rPr>
              <w:t>Rises with convex clusters; unreliable for DBSCAN.</w:t>
            </w:r>
          </w:p>
        </w:tc>
      </w:tr>
      <w:tr>
        <w:tc>
          <w:tcPr>
            <w:tcW w:type="dxa" w:w="1587"/>
            <w:shd w:val="clear" w:color="auto" w:fill="F2F5F7"/>
          </w:tcPr>
          <w:p>
            <w:pPr>
              <w:spacing w:after="20"/>
            </w:pPr>
            <w:r/>
            <w:r>
              <w:rPr>
                <w:sz w:val="17"/>
              </w:rPr>
              <w:t>Stability (ARI)</w:t>
            </w:r>
          </w:p>
        </w:tc>
        <w:tc>
          <w:tcPr>
            <w:tcW w:type="dxa" w:w="3515"/>
            <w:shd w:val="clear" w:color="auto" w:fill="F2F5F7"/>
          </w:tcPr>
          <w:p>
            <w:pPr>
              <w:spacing w:after="20"/>
            </w:pPr>
            <w:r/>
            <w:r>
              <w:rPr>
                <w:sz w:val="17"/>
              </w:rPr>
              <w:t>Agreement of labels when 20% of listings are dropped (30 repeats). 1 = identical.</w:t>
            </w:r>
          </w:p>
        </w:tc>
        <w:tc>
          <w:tcPr>
            <w:tcW w:type="dxa" w:w="1247"/>
            <w:shd w:val="clear" w:color="auto" w:fill="F2F5F7"/>
          </w:tcPr>
          <w:p>
            <w:pPr>
              <w:spacing w:after="20"/>
            </w:pPr>
            <w:r/>
            <w:r>
              <w:rPr>
                <w:sz w:val="17"/>
              </w:rPr>
              <w:t>Higher</w:t>
            </w:r>
          </w:p>
        </w:tc>
        <w:tc>
          <w:tcPr>
            <w:tcW w:type="dxa" w:w="3288"/>
            <w:shd w:val="clear" w:color="auto" w:fill="F2F5F7"/>
          </w:tcPr>
          <w:p>
            <w:pPr>
              <w:spacing w:after="20"/>
            </w:pPr>
            <w:r/>
            <w:r>
              <w:rPr>
                <w:sz w:val="17"/>
              </w:rPr>
              <w:t>Shows whether the groups are real or an accident of the sample.</w:t>
            </w:r>
          </w:p>
        </w:tc>
      </w:tr>
      <w:tr>
        <w:tc>
          <w:tcPr>
            <w:tcW w:type="dxa" w:w="1587"/>
          </w:tcPr>
          <w:p>
            <w:pPr>
              <w:spacing w:after="20"/>
            </w:pPr>
            <w:r/>
            <w:r>
              <w:rPr>
                <w:sz w:val="17"/>
              </w:rPr>
              <w:t>Sensitivity</w:t>
            </w:r>
          </w:p>
        </w:tc>
        <w:tc>
          <w:tcPr>
            <w:tcW w:type="dxa" w:w="3515"/>
          </w:tcPr>
          <w:p>
            <w:pPr>
              <w:spacing w:after="20"/>
            </w:pPr>
            <w:r/>
            <w:r>
              <w:rPr>
                <w:sz w:val="17"/>
              </w:rPr>
              <w:t>Agreement after changing seed, scaling method or removing the top 1% of sellers.</w:t>
            </w:r>
          </w:p>
        </w:tc>
        <w:tc>
          <w:tcPr>
            <w:tcW w:type="dxa" w:w="1247"/>
          </w:tcPr>
          <w:p>
            <w:pPr>
              <w:spacing w:after="20"/>
            </w:pPr>
            <w:r/>
            <w:r>
              <w:rPr>
                <w:sz w:val="17"/>
              </w:rPr>
              <w:t>Higher</w:t>
            </w:r>
          </w:p>
        </w:tc>
        <w:tc>
          <w:tcPr>
            <w:tcW w:type="dxa" w:w="3288"/>
          </w:tcPr>
          <w:p>
            <w:pPr>
              <w:spacing w:after="20"/>
            </w:pPr>
            <w:r/>
            <w:r>
              <w:rPr>
                <w:sz w:val="17"/>
              </w:rPr>
              <w:t>Tests robustness to my own choices.</w:t>
            </w:r>
          </w:p>
        </w:tc>
      </w:tr>
      <w:tr>
        <w:tc>
          <w:tcPr>
            <w:tcW w:type="dxa" w:w="1587"/>
            <w:shd w:val="clear" w:color="auto" w:fill="F2F5F7"/>
          </w:tcPr>
          <w:p>
            <w:pPr>
              <w:spacing w:after="20"/>
            </w:pPr>
            <w:r/>
            <w:r>
              <w:rPr>
                <w:sz w:val="17"/>
              </w:rPr>
              <w:t>Noise % and cluster sizes</w:t>
            </w:r>
          </w:p>
        </w:tc>
        <w:tc>
          <w:tcPr>
            <w:tcW w:type="dxa" w:w="3515"/>
            <w:shd w:val="clear" w:color="auto" w:fill="F2F5F7"/>
          </w:tcPr>
          <w:p>
            <w:pPr>
              <w:spacing w:after="20"/>
            </w:pPr>
            <w:r/>
            <w:r>
              <w:rPr>
                <w:sz w:val="17"/>
              </w:rPr>
              <w:t>Share of listings left unassigned and the smallest and largest cluster.</w:t>
            </w:r>
          </w:p>
        </w:tc>
        <w:tc>
          <w:tcPr>
            <w:tcW w:type="dxa" w:w="1247"/>
            <w:shd w:val="clear" w:color="auto" w:fill="F2F5F7"/>
          </w:tcPr>
          <w:p>
            <w:pPr>
              <w:spacing w:after="20"/>
            </w:pPr>
            <w:r/>
            <w:r>
              <w:rPr>
                <w:sz w:val="17"/>
              </w:rPr>
              <w:t>Low noise, balanced</w:t>
            </w:r>
          </w:p>
        </w:tc>
        <w:tc>
          <w:tcPr>
            <w:tcW w:type="dxa" w:w="3288"/>
            <w:shd w:val="clear" w:color="auto" w:fill="F2F5F7"/>
          </w:tcPr>
          <w:p>
            <w:pPr>
              <w:spacing w:after="20"/>
            </w:pPr>
            <w:r/>
            <w:r>
              <w:rPr>
                <w:sz w:val="17"/>
              </w:rPr>
              <w:t>Business metric: can every listing be acted on?</w:t>
            </w:r>
          </w:p>
        </w:tc>
      </w:tr>
    </w:tbl>
    <w:p>
      <w:pPr>
        <w:spacing w:after="160"/>
      </w:pPr>
      <w:r>
        <w:rPr>
          <w:i/>
          <w:sz w:val="18"/>
        </w:rPr>
        <w:t>Table 8. Evaluation metrics: what each one measures and what it cannot tell us.</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002B49"/>
          </w:tcPr>
          <w:p>
            <w:pPr>
              <w:spacing w:after="20"/>
            </w:pPr>
            <w:r/>
            <w:r>
              <w:rPr>
                <w:b/>
                <w:color w:val="FFFFFF"/>
                <w:sz w:val="16"/>
              </w:rPr>
              <w:t>Model</w:t>
            </w:r>
          </w:p>
        </w:tc>
        <w:tc>
          <w:tcPr>
            <w:tcW w:type="dxa" w:w="1046"/>
            <w:shd w:val="clear" w:color="auto" w:fill="002B49"/>
          </w:tcPr>
          <w:p>
            <w:pPr>
              <w:spacing w:after="20"/>
            </w:pPr>
            <w:r/>
            <w:r>
              <w:rPr>
                <w:b/>
                <w:color w:val="FFFFFF"/>
                <w:sz w:val="16"/>
              </w:rPr>
              <w:t>Clusters</w:t>
            </w:r>
          </w:p>
        </w:tc>
        <w:tc>
          <w:tcPr>
            <w:tcW w:type="dxa" w:w="1046"/>
            <w:shd w:val="clear" w:color="auto" w:fill="002B49"/>
          </w:tcPr>
          <w:p>
            <w:pPr>
              <w:spacing w:after="20"/>
            </w:pPr>
            <w:r/>
            <w:r>
              <w:rPr>
                <w:b/>
                <w:color w:val="FFFFFF"/>
                <w:sz w:val="16"/>
              </w:rPr>
              <w:t>Noise %</w:t>
            </w:r>
          </w:p>
        </w:tc>
        <w:tc>
          <w:tcPr>
            <w:tcW w:type="dxa" w:w="1046"/>
            <w:shd w:val="clear" w:color="auto" w:fill="002B49"/>
          </w:tcPr>
          <w:p>
            <w:pPr>
              <w:spacing w:after="20"/>
            </w:pPr>
            <w:r/>
            <w:r>
              <w:rPr>
                <w:b/>
                <w:color w:val="FFFFFF"/>
                <w:sz w:val="16"/>
              </w:rPr>
              <w:t>Silhouette</w:t>
            </w:r>
          </w:p>
        </w:tc>
        <w:tc>
          <w:tcPr>
            <w:tcW w:type="dxa" w:w="1046"/>
            <w:shd w:val="clear" w:color="auto" w:fill="002B49"/>
          </w:tcPr>
          <w:p>
            <w:pPr>
              <w:spacing w:after="20"/>
            </w:pPr>
            <w:r/>
            <w:r>
              <w:rPr>
                <w:b/>
                <w:color w:val="FFFFFF"/>
                <w:sz w:val="16"/>
              </w:rPr>
              <w:t>Davies-Bouldin</w:t>
            </w:r>
          </w:p>
        </w:tc>
        <w:tc>
          <w:tcPr>
            <w:tcW w:type="dxa" w:w="1046"/>
            <w:shd w:val="clear" w:color="auto" w:fill="002B49"/>
          </w:tcPr>
          <w:p>
            <w:pPr>
              <w:spacing w:after="20"/>
            </w:pPr>
            <w:r/>
            <w:r>
              <w:rPr>
                <w:b/>
                <w:color w:val="FFFFFF"/>
                <w:sz w:val="16"/>
              </w:rPr>
              <w:t>Calinski-Harabasz</w:t>
            </w:r>
          </w:p>
        </w:tc>
        <w:tc>
          <w:tcPr>
            <w:tcW w:type="dxa" w:w="1046"/>
            <w:shd w:val="clear" w:color="auto" w:fill="002B49"/>
          </w:tcPr>
          <w:p>
            <w:pPr>
              <w:spacing w:after="20"/>
            </w:pPr>
            <w:r/>
            <w:r>
              <w:rPr>
                <w:b/>
                <w:color w:val="FFFFFF"/>
                <w:sz w:val="16"/>
              </w:rPr>
              <w:t>Stability ARI</w:t>
            </w:r>
          </w:p>
        </w:tc>
        <w:tc>
          <w:tcPr>
            <w:tcW w:type="dxa" w:w="1046"/>
            <w:shd w:val="clear" w:color="auto" w:fill="002B49"/>
          </w:tcPr>
          <w:p>
            <w:pPr>
              <w:spacing w:after="20"/>
            </w:pPr>
            <w:r/>
            <w:r>
              <w:rPr>
                <w:b/>
                <w:color w:val="FFFFFF"/>
                <w:sz w:val="16"/>
              </w:rPr>
              <w:t>Smallest %</w:t>
            </w:r>
          </w:p>
        </w:tc>
        <w:tc>
          <w:tcPr>
            <w:tcW w:type="dxa" w:w="1046"/>
            <w:shd w:val="clear" w:color="auto" w:fill="002B49"/>
          </w:tcPr>
          <w:p>
            <w:pPr>
              <w:spacing w:after="20"/>
            </w:pPr>
            <w:r/>
            <w:r>
              <w:rPr>
                <w:b/>
                <w:color w:val="FFFFFF"/>
                <w:sz w:val="16"/>
              </w:rPr>
              <w:t>Largest %</w:t>
            </w:r>
          </w:p>
        </w:tc>
      </w:tr>
      <w:tr>
        <w:tc>
          <w:tcPr>
            <w:tcW w:type="dxa" w:w="1046"/>
          </w:tcPr>
          <w:p>
            <w:pPr>
              <w:spacing w:after="20"/>
            </w:pPr>
            <w:r/>
            <w:r>
              <w:rPr>
                <w:sz w:val="16"/>
              </w:rPr>
              <w:t>K-Means</w:t>
            </w:r>
          </w:p>
        </w:tc>
        <w:tc>
          <w:tcPr>
            <w:tcW w:type="dxa" w:w="1046"/>
          </w:tcPr>
          <w:p>
            <w:pPr>
              <w:spacing w:after="20"/>
            </w:pPr>
            <w:r/>
            <w:r>
              <w:rPr>
                <w:sz w:val="16"/>
              </w:rPr>
              <w:t>4</w:t>
            </w:r>
          </w:p>
        </w:tc>
        <w:tc>
          <w:tcPr>
            <w:tcW w:type="dxa" w:w="1046"/>
          </w:tcPr>
          <w:p>
            <w:pPr>
              <w:spacing w:after="20"/>
            </w:pPr>
            <w:r/>
            <w:r>
              <w:rPr>
                <w:sz w:val="16"/>
              </w:rPr>
              <w:t>0.0</w:t>
            </w:r>
          </w:p>
        </w:tc>
        <w:tc>
          <w:tcPr>
            <w:tcW w:type="dxa" w:w="1046"/>
          </w:tcPr>
          <w:p>
            <w:pPr>
              <w:spacing w:after="20"/>
            </w:pPr>
            <w:r/>
            <w:r>
              <w:rPr>
                <w:sz w:val="16"/>
              </w:rPr>
              <w:t>0.307</w:t>
            </w:r>
          </w:p>
        </w:tc>
        <w:tc>
          <w:tcPr>
            <w:tcW w:type="dxa" w:w="1046"/>
          </w:tcPr>
          <w:p>
            <w:pPr>
              <w:spacing w:after="20"/>
            </w:pPr>
            <w:r/>
            <w:r>
              <w:rPr>
                <w:sz w:val="16"/>
              </w:rPr>
              <w:t>1.015</w:t>
            </w:r>
          </w:p>
        </w:tc>
        <w:tc>
          <w:tcPr>
            <w:tcW w:type="dxa" w:w="1046"/>
          </w:tcPr>
          <w:p>
            <w:pPr>
              <w:spacing w:after="20"/>
            </w:pPr>
            <w:r/>
            <w:r>
              <w:rPr>
                <w:sz w:val="16"/>
              </w:rPr>
              <w:t>503.3</w:t>
            </w:r>
          </w:p>
        </w:tc>
        <w:tc>
          <w:tcPr>
            <w:tcW w:type="dxa" w:w="1046"/>
          </w:tcPr>
          <w:p>
            <w:pPr>
              <w:spacing w:after="20"/>
            </w:pPr>
            <w:r/>
            <w:r>
              <w:rPr>
                <w:sz w:val="16"/>
              </w:rPr>
              <w:t>0.932</w:t>
            </w:r>
          </w:p>
        </w:tc>
        <w:tc>
          <w:tcPr>
            <w:tcW w:type="dxa" w:w="1046"/>
          </w:tcPr>
          <w:p>
            <w:pPr>
              <w:spacing w:after="20"/>
            </w:pPr>
            <w:r/>
            <w:r>
              <w:rPr>
                <w:sz w:val="16"/>
              </w:rPr>
              <w:t>22.0</w:t>
            </w:r>
          </w:p>
        </w:tc>
        <w:tc>
          <w:tcPr>
            <w:tcW w:type="dxa" w:w="1046"/>
          </w:tcPr>
          <w:p>
            <w:pPr>
              <w:spacing w:after="20"/>
            </w:pPr>
            <w:r/>
            <w:r>
              <w:rPr>
                <w:sz w:val="16"/>
              </w:rPr>
              <w:t>31.3</w:t>
            </w:r>
          </w:p>
        </w:tc>
      </w:tr>
      <w:tr>
        <w:tc>
          <w:tcPr>
            <w:tcW w:type="dxa" w:w="1046"/>
            <w:shd w:val="clear" w:color="auto" w:fill="F2F5F7"/>
          </w:tcPr>
          <w:p>
            <w:pPr>
              <w:spacing w:after="20"/>
            </w:pPr>
            <w:r/>
            <w:r>
              <w:rPr>
                <w:sz w:val="16"/>
              </w:rPr>
              <w:t>Hierarchical (Ward)</w:t>
            </w:r>
          </w:p>
        </w:tc>
        <w:tc>
          <w:tcPr>
            <w:tcW w:type="dxa" w:w="1046"/>
            <w:shd w:val="clear" w:color="auto" w:fill="F2F5F7"/>
          </w:tcPr>
          <w:p>
            <w:pPr>
              <w:spacing w:after="20"/>
            </w:pPr>
            <w:r/>
            <w:r>
              <w:rPr>
                <w:sz w:val="16"/>
              </w:rPr>
              <w:t>4</w:t>
            </w:r>
          </w:p>
        </w:tc>
        <w:tc>
          <w:tcPr>
            <w:tcW w:type="dxa" w:w="1046"/>
            <w:shd w:val="clear" w:color="auto" w:fill="F2F5F7"/>
          </w:tcPr>
          <w:p>
            <w:pPr>
              <w:spacing w:after="20"/>
            </w:pPr>
            <w:r/>
            <w:r>
              <w:rPr>
                <w:sz w:val="16"/>
              </w:rPr>
              <w:t>0.0</w:t>
            </w:r>
          </w:p>
        </w:tc>
        <w:tc>
          <w:tcPr>
            <w:tcW w:type="dxa" w:w="1046"/>
            <w:shd w:val="clear" w:color="auto" w:fill="F2F5F7"/>
          </w:tcPr>
          <w:p>
            <w:pPr>
              <w:spacing w:after="20"/>
            </w:pPr>
            <w:r/>
            <w:r>
              <w:rPr>
                <w:sz w:val="16"/>
              </w:rPr>
              <w:t>0.253</w:t>
            </w:r>
          </w:p>
        </w:tc>
        <w:tc>
          <w:tcPr>
            <w:tcW w:type="dxa" w:w="1046"/>
            <w:shd w:val="clear" w:color="auto" w:fill="F2F5F7"/>
          </w:tcPr>
          <w:p>
            <w:pPr>
              <w:spacing w:after="20"/>
            </w:pPr>
            <w:r/>
            <w:r>
              <w:rPr>
                <w:sz w:val="16"/>
              </w:rPr>
              <w:t>1.257</w:t>
            </w:r>
          </w:p>
        </w:tc>
        <w:tc>
          <w:tcPr>
            <w:tcW w:type="dxa" w:w="1046"/>
            <w:shd w:val="clear" w:color="auto" w:fill="F2F5F7"/>
          </w:tcPr>
          <w:p>
            <w:pPr>
              <w:spacing w:after="20"/>
            </w:pPr>
            <w:r/>
            <w:r>
              <w:rPr>
                <w:sz w:val="16"/>
              </w:rPr>
              <w:t>402.9</w:t>
            </w:r>
          </w:p>
        </w:tc>
        <w:tc>
          <w:tcPr>
            <w:tcW w:type="dxa" w:w="1046"/>
            <w:shd w:val="clear" w:color="auto" w:fill="F2F5F7"/>
          </w:tcPr>
          <w:p>
            <w:pPr>
              <w:spacing w:after="20"/>
            </w:pPr>
            <w:r/>
            <w:r>
              <w:rPr>
                <w:sz w:val="16"/>
              </w:rPr>
              <w:t>0.481</w:t>
            </w:r>
          </w:p>
        </w:tc>
        <w:tc>
          <w:tcPr>
            <w:tcW w:type="dxa" w:w="1046"/>
            <w:shd w:val="clear" w:color="auto" w:fill="F2F5F7"/>
          </w:tcPr>
          <w:p>
            <w:pPr>
              <w:spacing w:after="20"/>
            </w:pPr>
            <w:r/>
            <w:r>
              <w:rPr>
                <w:sz w:val="16"/>
              </w:rPr>
              <w:t>16.8</w:t>
            </w:r>
          </w:p>
        </w:tc>
        <w:tc>
          <w:tcPr>
            <w:tcW w:type="dxa" w:w="1046"/>
            <w:shd w:val="clear" w:color="auto" w:fill="F2F5F7"/>
          </w:tcPr>
          <w:p>
            <w:pPr>
              <w:spacing w:after="20"/>
            </w:pPr>
            <w:r/>
            <w:r>
              <w:rPr>
                <w:sz w:val="16"/>
              </w:rPr>
              <w:t>35.9</w:t>
            </w:r>
          </w:p>
        </w:tc>
      </w:tr>
      <w:tr>
        <w:tc>
          <w:tcPr>
            <w:tcW w:type="dxa" w:w="1046"/>
          </w:tcPr>
          <w:p>
            <w:pPr>
              <w:spacing w:after="20"/>
            </w:pPr>
            <w:r/>
            <w:r>
              <w:rPr>
                <w:sz w:val="16"/>
              </w:rPr>
              <w:t>DBSCAN</w:t>
            </w:r>
          </w:p>
        </w:tc>
        <w:tc>
          <w:tcPr>
            <w:tcW w:type="dxa" w:w="1046"/>
          </w:tcPr>
          <w:p>
            <w:pPr>
              <w:spacing w:after="20"/>
            </w:pPr>
            <w:r/>
            <w:r>
              <w:rPr>
                <w:sz w:val="16"/>
              </w:rPr>
              <w:t>2</w:t>
            </w:r>
          </w:p>
        </w:tc>
        <w:tc>
          <w:tcPr>
            <w:tcW w:type="dxa" w:w="1046"/>
          </w:tcPr>
          <w:p>
            <w:pPr>
              <w:spacing w:after="20"/>
            </w:pPr>
            <w:r/>
            <w:r>
              <w:rPr>
                <w:sz w:val="16"/>
              </w:rPr>
              <w:t>8.9</w:t>
            </w:r>
          </w:p>
        </w:tc>
        <w:tc>
          <w:tcPr>
            <w:tcW w:type="dxa" w:w="1046"/>
          </w:tcPr>
          <w:p>
            <w:pPr>
              <w:spacing w:after="20"/>
            </w:pPr>
            <w:r/>
            <w:r>
              <w:rPr>
                <w:sz w:val="16"/>
              </w:rPr>
              <w:t>-0.014</w:t>
            </w:r>
          </w:p>
        </w:tc>
        <w:tc>
          <w:tcPr>
            <w:tcW w:type="dxa" w:w="1046"/>
          </w:tcPr>
          <w:p>
            <w:pPr>
              <w:spacing w:after="20"/>
            </w:pPr>
            <w:r/>
            <w:r>
              <w:rPr>
                <w:sz w:val="16"/>
              </w:rPr>
              <w:t>1.172</w:t>
            </w:r>
          </w:p>
        </w:tc>
        <w:tc>
          <w:tcPr>
            <w:tcW w:type="dxa" w:w="1046"/>
          </w:tcPr>
          <w:p>
            <w:pPr>
              <w:spacing w:after="20"/>
            </w:pPr>
            <w:r/>
            <w:r>
              <w:rPr>
                <w:sz w:val="16"/>
              </w:rPr>
              <w:t>3.5</w:t>
            </w:r>
          </w:p>
        </w:tc>
        <w:tc>
          <w:tcPr>
            <w:tcW w:type="dxa" w:w="1046"/>
          </w:tcPr>
          <w:p>
            <w:pPr>
              <w:spacing w:after="20"/>
            </w:pPr>
            <w:r/>
            <w:r>
              <w:rPr>
                <w:sz w:val="16"/>
              </w:rPr>
              <w:t>0.749</w:t>
            </w:r>
          </w:p>
        </w:tc>
        <w:tc>
          <w:tcPr>
            <w:tcW w:type="dxa" w:w="1046"/>
          </w:tcPr>
          <w:p>
            <w:pPr>
              <w:spacing w:after="20"/>
            </w:pPr>
            <w:r/>
            <w:r>
              <w:rPr>
                <w:sz w:val="16"/>
              </w:rPr>
              <w:t>0.4</w:t>
            </w:r>
          </w:p>
        </w:tc>
        <w:tc>
          <w:tcPr>
            <w:tcW w:type="dxa" w:w="1046"/>
          </w:tcPr>
          <w:p>
            <w:pPr>
              <w:spacing w:after="20"/>
            </w:pPr>
            <w:r/>
            <w:r>
              <w:rPr>
                <w:sz w:val="16"/>
              </w:rPr>
              <w:t>90.7</w:t>
            </w:r>
          </w:p>
        </w:tc>
      </w:tr>
    </w:tbl>
    <w:p>
      <w:pPr>
        <w:spacing w:after="160"/>
      </w:pPr>
      <w:r>
        <w:rPr>
          <w:i/>
          <w:sz w:val="18"/>
        </w:rPr>
        <w:t>Table 9. Model comparison on all metrics (K-Means is best or equal-best on every column except cluster-size balance).</w:t>
      </w:r>
      <w:r>
        <w:rPr>
          <w:color w:val="008F8B"/>
          <w:sz w:val="16"/>
        </w:rPr>
        <w:t xml:space="preserve">  Source file: COM7022 - Assignment/output/tables/table11_model_comparison.csv  |  https://github.com/kvmmn/_COM7022_MachineLearning/blob/main/COM7022%20-%20Assignment/output/tables/table11_model_comparison.csv</w:t>
      </w:r>
    </w:p>
    <w:p>
      <w:pPr>
        <w:keepNext/>
        <w:jc w:val="center"/>
      </w:pPr>
      <w:r>
        <w:drawing>
          <wp:inline xmlns:a="http://schemas.openxmlformats.org/drawingml/2006/main" xmlns:pic="http://schemas.openxmlformats.org/drawingml/2006/picture">
            <wp:extent cx="5580000" cy="1821960"/>
            <wp:docPr id="24" name="Picture 24"/>
            <wp:cNvGraphicFramePr>
              <a:graphicFrameLocks noChangeAspect="1"/>
            </wp:cNvGraphicFramePr>
            <a:graphic>
              <a:graphicData uri="http://schemas.openxmlformats.org/drawingml/2006/picture">
                <pic:pic>
                  <pic:nvPicPr>
                    <pic:cNvPr id="0" name="fig12_model_comparison.png"/>
                    <pic:cNvPicPr/>
                  </pic:nvPicPr>
                  <pic:blipFill>
                    <a:blip r:embed="rId33"/>
                    <a:stretch>
                      <a:fillRect/>
                    </a:stretch>
                  </pic:blipFill>
                  <pic:spPr>
                    <a:xfrm>
                      <a:off x="0" y="0"/>
                      <a:ext cx="5580000" cy="1821960"/>
                    </a:xfrm>
                    <a:prstGeom prst="rect"/>
                  </pic:spPr>
                </pic:pic>
              </a:graphicData>
            </a:graphic>
          </wp:inline>
        </w:drawing>
      </w:r>
    </w:p>
    <w:p>
      <w:pPr>
        <w:spacing w:after="160"/>
      </w:pPr>
      <w:r>
        <w:rPr>
          <w:i/>
          <w:sz w:val="18"/>
        </w:rPr>
        <w:t>Figure 24. Side-by-side comparison of the three models.</w:t>
      </w:r>
      <w:r>
        <w:rPr>
          <w:color w:val="008F8B"/>
          <w:sz w:val="16"/>
        </w:rPr>
        <w:t xml:space="preserve">  Source file: COM7022 - Assignment/output/figures/fig12_model_comparison.png  |  https://github.com/kvmmn/_COM7022_MachineLearning/blob/main/COM7022%20-%20Assignment/output/figures/fig12_model_comparison.png</w:t>
      </w:r>
    </w:p>
    <w:p>
      <w:r>
        <w:rPr>
          <w:b/>
        </w:rPr>
        <w:t>K-Means wins on every internal index</w:t>
      </w:r>
      <w:r>
        <w:t xml:space="preserve"> (silhouette 0.307, Davies-Bouldin 1.015, Calinski-Harabasz 503) and on stability (ARI 0.93 ± 0.03 against 0.48 for Ward). It is also robust to my own choices: different seeds give ARI 0.98, removing the top 1% of sellers gives 0.94, but switching to min-max scaling gives only 0.49, which is why I standardised. Ward’s tree is unstable because early merges cannot be undone.</w:t>
      </w:r>
    </w:p>
    <w:p>
      <w:r>
        <w:rPr>
          <w:b/>
        </w:rPr>
        <w:t>How to read these numbers.</w:t>
      </w:r>
      <w:r>
        <w:t xml:space="preserve"> A silhouette of 0.31 is commonly read as moderate structure: listings are on average closer to their own group than to another, but the groups touch. This agrees with the continuous shape seen in the PCA map. The Davies-Bouldin and Calinski-Harabasz indices rank the models in the same order as the silhouette, which gives more confidence than any single index. Stability adds something the indices cannot: a model can score well and still change when the sample changes, as Ward does. DBSCAN’s scores are not directly comparable because they ignore the 8.9% of listings it calls noise.</w:t>
      </w:r>
    </w:p>
    <w:tbl>
      <w:tblPr>
        <w:tblStyle w:val="TableGrid"/>
        <w:tblW w:type="auto" w:w="0"/>
        <w:jc w:val="center"/>
        <w:tblLook w:firstColumn="1" w:firstRow="1" w:lastColumn="0" w:lastRow="0" w:noHBand="0" w:noVBand="1" w:val="04A0"/>
      </w:tblPr>
      <w:tblGrid>
        <w:gridCol w:w="4706"/>
        <w:gridCol w:w="4706"/>
      </w:tblGrid>
      <w:tr>
        <w:tc>
          <w:tcPr>
            <w:tcW w:type="dxa" w:w="5102"/>
            <w:shd w:val="clear" w:color="auto" w:fill="002B49"/>
          </w:tcPr>
          <w:p>
            <w:pPr>
              <w:spacing w:after="20"/>
            </w:pPr>
            <w:r/>
            <w:r>
              <w:rPr>
                <w:b/>
                <w:color w:val="FFFFFF"/>
                <w:sz w:val="17"/>
              </w:rPr>
              <w:t>Sensitivity check</w:t>
            </w:r>
          </w:p>
        </w:tc>
        <w:tc>
          <w:tcPr>
            <w:tcW w:type="dxa" w:w="1417"/>
            <w:shd w:val="clear" w:color="auto" w:fill="002B49"/>
          </w:tcPr>
          <w:p>
            <w:pPr>
              <w:spacing w:after="20"/>
            </w:pPr>
            <w:r/>
            <w:r>
              <w:rPr>
                <w:b/>
                <w:color w:val="FFFFFF"/>
                <w:sz w:val="17"/>
              </w:rPr>
              <w:t>ARI</w:t>
            </w:r>
          </w:p>
        </w:tc>
      </w:tr>
      <w:tr>
        <w:tc>
          <w:tcPr>
            <w:tcW w:type="dxa" w:w="5102"/>
          </w:tcPr>
          <w:p>
            <w:pPr>
              <w:spacing w:after="20"/>
            </w:pPr>
            <w:r/>
            <w:r>
              <w:rPr>
                <w:sz w:val="17"/>
              </w:rPr>
              <w:t>K-Means across 10 seeds (mean ARI)</w:t>
            </w:r>
          </w:p>
        </w:tc>
        <w:tc>
          <w:tcPr>
            <w:tcW w:type="dxa" w:w="1417"/>
          </w:tcPr>
          <w:p>
            <w:pPr>
              <w:spacing w:after="20"/>
            </w:pPr>
            <w:r/>
            <w:r>
              <w:rPr>
                <w:sz w:val="17"/>
              </w:rPr>
              <w:t>0.984</w:t>
            </w:r>
          </w:p>
        </w:tc>
      </w:tr>
      <w:tr>
        <w:tc>
          <w:tcPr>
            <w:tcW w:type="dxa" w:w="5102"/>
            <w:shd w:val="clear" w:color="auto" w:fill="F2F5F7"/>
          </w:tcPr>
          <w:p>
            <w:pPr>
              <w:spacing w:after="20"/>
            </w:pPr>
            <w:r/>
            <w:r>
              <w:rPr>
                <w:sz w:val="17"/>
              </w:rPr>
              <w:t>z-score vs min-max scaling (ARI)</w:t>
            </w:r>
          </w:p>
        </w:tc>
        <w:tc>
          <w:tcPr>
            <w:tcW w:type="dxa" w:w="1417"/>
            <w:shd w:val="clear" w:color="auto" w:fill="F2F5F7"/>
          </w:tcPr>
          <w:p>
            <w:pPr>
              <w:spacing w:after="20"/>
            </w:pPr>
            <w:r/>
            <w:r>
              <w:rPr>
                <w:sz w:val="17"/>
              </w:rPr>
              <w:t>0.492</w:t>
            </w:r>
          </w:p>
        </w:tc>
      </w:tr>
      <w:tr>
        <w:tc>
          <w:tcPr>
            <w:tcW w:type="dxa" w:w="5102"/>
          </w:tcPr>
          <w:p>
            <w:pPr>
              <w:spacing w:after="20"/>
            </w:pPr>
            <w:r/>
            <w:r>
              <w:rPr>
                <w:sz w:val="17"/>
              </w:rPr>
              <w:t>with vs without top 1% sellers (ARI)</w:t>
            </w:r>
          </w:p>
        </w:tc>
        <w:tc>
          <w:tcPr>
            <w:tcW w:type="dxa" w:w="1417"/>
          </w:tcPr>
          <w:p>
            <w:pPr>
              <w:spacing w:after="20"/>
            </w:pPr>
            <w:r/>
            <w:r>
              <w:rPr>
                <w:sz w:val="17"/>
              </w:rPr>
              <w:t>0.937</w:t>
            </w:r>
          </w:p>
        </w:tc>
      </w:tr>
    </w:tbl>
    <w:p>
      <w:pPr>
        <w:spacing w:after="160"/>
      </w:pPr>
      <w:r>
        <w:rPr>
          <w:i/>
          <w:sz w:val="18"/>
        </w:rPr>
        <w:t>Table 10. Sensitivity checks on the K-Means solution.</w:t>
      </w:r>
      <w:r>
        <w:rPr>
          <w:color w:val="008F8B"/>
          <w:sz w:val="16"/>
        </w:rPr>
        <w:t xml:space="preserve">  Source file: COM7022 - Assignment/output/tables/table12_sensitivity_checks.csv  |  https://github.com/kvmmn/_COM7022_MachineLearning/blob/main/COM7022%20-%20Assignment/output/tables/table12_sensitivity_checks.csv</w:t>
      </w:r>
    </w:p>
    <w:p>
      <w:pPr>
        <w:keepNext/>
        <w:jc w:val="center"/>
      </w:pPr>
      <w:r>
        <w:drawing>
          <wp:inline xmlns:a="http://schemas.openxmlformats.org/drawingml/2006/main" xmlns:pic="http://schemas.openxmlformats.org/drawingml/2006/picture">
            <wp:extent cx="5040000" cy="5388843"/>
            <wp:docPr id="25" name="Picture 25"/>
            <wp:cNvGraphicFramePr>
              <a:graphicFrameLocks noChangeAspect="1"/>
            </wp:cNvGraphicFramePr>
            <a:graphic>
              <a:graphicData uri="http://schemas.openxmlformats.org/drawingml/2006/picture">
                <pic:pic>
                  <pic:nvPicPr>
                    <pic:cNvPr id="0" name="code13_metrics.png"/>
                    <pic:cNvPicPr/>
                  </pic:nvPicPr>
                  <pic:blipFill>
                    <a:blip r:embed="rId34"/>
                    <a:stretch>
                      <a:fillRect/>
                    </a:stretch>
                  </pic:blipFill>
                  <pic:spPr>
                    <a:xfrm>
                      <a:off x="0" y="0"/>
                      <a:ext cx="5040000" cy="5388843"/>
                    </a:xfrm>
                    <a:prstGeom prst="rect"/>
                  </pic:spPr>
                </pic:pic>
              </a:graphicData>
            </a:graphic>
          </wp:inline>
        </w:drawing>
      </w:r>
    </w:p>
    <w:p>
      <w:r>
        <w:rPr>
          <w:i/>
          <w:sz w:val="18"/>
        </w:rPr>
        <w:t>Figure 25. Code screenshot: evaluation metrics function</w:t>
      </w:r>
      <w:r>
        <w:rPr>
          <w:color w:val="008F8B"/>
          <w:sz w:val="16"/>
        </w:rPr>
        <w:t xml:space="preserve">  Source file: COM7022 - Assignment/output/screenshots/code13_metrics.png  |  https://github.com/kvmmn/_COM7022_MachineLearning/blob/main/COM7022%20-%20Assignment/output/screenshots/code13_metrics.png</w:t>
      </w:r>
    </w:p>
    <w:p>
      <w:pPr>
        <w:keepNext/>
        <w:jc w:val="center"/>
      </w:pPr>
      <w:r>
        <w:drawing>
          <wp:inline xmlns:a="http://schemas.openxmlformats.org/drawingml/2006/main" xmlns:pic="http://schemas.openxmlformats.org/drawingml/2006/picture">
            <wp:extent cx="5040000" cy="1969464"/>
            <wp:docPr id="26" name="Picture 26"/>
            <wp:cNvGraphicFramePr>
              <a:graphicFrameLocks noChangeAspect="1"/>
            </wp:cNvGraphicFramePr>
            <a:graphic>
              <a:graphicData uri="http://schemas.openxmlformats.org/drawingml/2006/picture">
                <pic:pic>
                  <pic:nvPicPr>
                    <pic:cNvPr id="0" name="code14_stability.png"/>
                    <pic:cNvPicPr/>
                  </pic:nvPicPr>
                  <pic:blipFill>
                    <a:blip r:embed="rId35"/>
                    <a:stretch>
                      <a:fillRect/>
                    </a:stretch>
                  </pic:blipFill>
                  <pic:spPr>
                    <a:xfrm>
                      <a:off x="0" y="0"/>
                      <a:ext cx="5040000" cy="1969464"/>
                    </a:xfrm>
                    <a:prstGeom prst="rect"/>
                  </pic:spPr>
                </pic:pic>
              </a:graphicData>
            </a:graphic>
          </wp:inline>
        </w:drawing>
      </w:r>
    </w:p>
    <w:p>
      <w:r>
        <w:rPr>
          <w:i/>
          <w:sz w:val="18"/>
        </w:rPr>
        <w:t>Figure 26. Code screenshot: stability across random subsamples</w:t>
      </w:r>
      <w:r>
        <w:rPr>
          <w:color w:val="008F8B"/>
          <w:sz w:val="16"/>
        </w:rPr>
        <w:t xml:space="preserve">  Source file: COM7022 - Assignment/output/screenshots/code14_stability.png  |  https://github.com/kvmmn/_COM7022_MachineLearning/blob/main/COM7022%20-%20Assignment/output/screenshots/code14_stability.png</w:t>
      </w:r>
    </w:p>
    <w:p>
      <w:pPr>
        <w:pStyle w:val="Heading1"/>
      </w:pPr>
      <w:r>
        <w:t>5. Cluster characteristics</w:t>
      </w:r>
    </w:p>
    <w:p>
      <w:r>
        <w:t>Translated back into business units (Table 11, Figure 27 and Figure 28), the four K-Means clusters of the 997 listings are:</w:t>
      </w:r>
    </w:p>
    <w:p>
      <w:pPr>
        <w:pStyle w:val="ListBullet"/>
      </w:pPr>
      <w:r>
        <w:rPr>
          <w:b/>
        </w:rPr>
        <w:t>Cluster 2, Best-sellers (242 listings, 24.3%).</w:t>
      </w:r>
      <w:r>
        <w:t xml:space="preserve"> They deliver </w:t>
      </w:r>
      <w:r>
        <w:rPr>
          <w:b/>
        </w:rPr>
        <w:t>92.3% of all units sold</w:t>
      </w:r>
      <w:r>
        <w:t xml:space="preserve"> (median 952 units) at a median price of $29.94, with full stock and 99.6% shipped from the US. Mostly Eau de Toilette; brands include Armaf and Ralph Lauren.</w:t>
      </w:r>
    </w:p>
    <w:p>
      <w:pPr>
        <w:pStyle w:val="ListBullet"/>
      </w:pPr>
      <w:r>
        <w:rPr>
          <w:b/>
        </w:rPr>
        <w:t>Cluster 0, Premium designer (219 listings, 22.0%).</w:t>
      </w:r>
      <w:r>
        <w:t xml:space="preserve"> The highest prices (median $68.99, up to $259.09), steady but slow sales (median 43 units, 3.7% of volume), deep stock. Mostly Eau de Parfum from Giorgio Armani, Paco Rabanne and Yves Saint Laurent.</w:t>
      </w:r>
    </w:p>
    <w:p>
      <w:pPr>
        <w:pStyle w:val="ListBullet"/>
      </w:pPr>
      <w:r>
        <w:rPr>
          <w:b/>
        </w:rPr>
        <w:t>Cluster 1, Budget (224 listings, 22.5%).</w:t>
      </w:r>
      <w:r>
        <w:t xml:space="preserve"> The lowest prices (median $18.99) but weak sales (median 30 units, 1.8% of volume). It holds the most unbranded and generic items, so low price alone does not create demand.</w:t>
      </w:r>
    </w:p>
    <w:p>
      <w:pPr>
        <w:pStyle w:val="ListBullet"/>
      </w:pPr>
      <w:r>
        <w:rPr>
          <w:b/>
        </w:rPr>
        <w:t>Cluster 3, Low-stock tail (312 listings, 31.3%).</w:t>
      </w:r>
      <w:r>
        <w:t xml:space="preserve"> The largest group: median stock of only 3 units, 14.1% marked “Last One”, median 16 units sold (2.2% of volume).</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2268"/>
            <w:shd w:val="clear" w:color="auto" w:fill="002B49"/>
          </w:tcPr>
          <w:p>
            <w:pPr>
              <w:spacing w:after="20"/>
            </w:pPr>
            <w:r/>
            <w:r>
              <w:rPr>
                <w:b/>
                <w:color w:val="FFFFFF"/>
                <w:sz w:val="17"/>
              </w:rPr>
              <w:t>Measure</w:t>
            </w:r>
          </w:p>
        </w:tc>
        <w:tc>
          <w:tcPr>
            <w:tcW w:type="dxa" w:w="1701"/>
            <w:shd w:val="clear" w:color="auto" w:fill="002B49"/>
          </w:tcPr>
          <w:p>
            <w:pPr>
              <w:spacing w:after="20"/>
            </w:pPr>
            <w:r/>
            <w:r>
              <w:rPr>
                <w:b/>
                <w:color w:val="FFFFFF"/>
                <w:sz w:val="17"/>
              </w:rPr>
              <w:t>Cluster 0 Premium</w:t>
            </w:r>
          </w:p>
        </w:tc>
        <w:tc>
          <w:tcPr>
            <w:tcW w:type="dxa" w:w="1701"/>
            <w:shd w:val="clear" w:color="auto" w:fill="002B49"/>
          </w:tcPr>
          <w:p>
            <w:pPr>
              <w:spacing w:after="20"/>
            </w:pPr>
            <w:r/>
            <w:r>
              <w:rPr>
                <w:b/>
                <w:color w:val="FFFFFF"/>
                <w:sz w:val="17"/>
              </w:rPr>
              <w:t>Cluster 1 Budget</w:t>
            </w:r>
          </w:p>
        </w:tc>
        <w:tc>
          <w:tcPr>
            <w:tcW w:type="dxa" w:w="1928"/>
            <w:shd w:val="clear" w:color="auto" w:fill="002B49"/>
          </w:tcPr>
          <w:p>
            <w:pPr>
              <w:spacing w:after="20"/>
            </w:pPr>
            <w:r/>
            <w:r>
              <w:rPr>
                <w:b/>
                <w:color w:val="FFFFFF"/>
                <w:sz w:val="17"/>
              </w:rPr>
              <w:t>Cluster 2 Best-seller</w:t>
            </w:r>
          </w:p>
        </w:tc>
        <w:tc>
          <w:tcPr>
            <w:tcW w:type="dxa" w:w="1814"/>
            <w:shd w:val="clear" w:color="auto" w:fill="002B49"/>
          </w:tcPr>
          <w:p>
            <w:pPr>
              <w:spacing w:after="20"/>
            </w:pPr>
            <w:r/>
            <w:r>
              <w:rPr>
                <w:b/>
                <w:color w:val="FFFFFF"/>
                <w:sz w:val="17"/>
              </w:rPr>
              <w:t>Cluster 3 Low-stock</w:t>
            </w:r>
          </w:p>
        </w:tc>
      </w:tr>
      <w:tr>
        <w:tc>
          <w:tcPr>
            <w:tcW w:type="dxa" w:w="2268"/>
          </w:tcPr>
          <w:p>
            <w:pPr>
              <w:spacing w:after="20"/>
            </w:pPr>
            <w:r/>
            <w:r>
              <w:rPr>
                <w:sz w:val="17"/>
              </w:rPr>
              <w:t>Listings</w:t>
            </w:r>
          </w:p>
        </w:tc>
        <w:tc>
          <w:tcPr>
            <w:tcW w:type="dxa" w:w="1701"/>
          </w:tcPr>
          <w:p>
            <w:pPr>
              <w:spacing w:after="20"/>
            </w:pPr>
            <w:r/>
            <w:r>
              <w:rPr>
                <w:sz w:val="17"/>
              </w:rPr>
              <w:t>219</w:t>
            </w:r>
          </w:p>
        </w:tc>
        <w:tc>
          <w:tcPr>
            <w:tcW w:type="dxa" w:w="1701"/>
          </w:tcPr>
          <w:p>
            <w:pPr>
              <w:spacing w:after="20"/>
            </w:pPr>
            <w:r/>
            <w:r>
              <w:rPr>
                <w:sz w:val="17"/>
              </w:rPr>
              <w:t>224</w:t>
            </w:r>
          </w:p>
        </w:tc>
        <w:tc>
          <w:tcPr>
            <w:tcW w:type="dxa" w:w="1928"/>
          </w:tcPr>
          <w:p>
            <w:pPr>
              <w:spacing w:after="20"/>
            </w:pPr>
            <w:r/>
            <w:r>
              <w:rPr>
                <w:sz w:val="17"/>
              </w:rPr>
              <w:t>242</w:t>
            </w:r>
          </w:p>
        </w:tc>
        <w:tc>
          <w:tcPr>
            <w:tcW w:type="dxa" w:w="1814"/>
          </w:tcPr>
          <w:p>
            <w:pPr>
              <w:spacing w:after="20"/>
            </w:pPr>
            <w:r/>
            <w:r>
              <w:rPr>
                <w:sz w:val="17"/>
              </w:rPr>
              <w:t>312</w:t>
            </w:r>
          </w:p>
        </w:tc>
      </w:tr>
      <w:tr>
        <w:tc>
          <w:tcPr>
            <w:tcW w:type="dxa" w:w="2268"/>
            <w:shd w:val="clear" w:color="auto" w:fill="F2F5F7"/>
          </w:tcPr>
          <w:p>
            <w:pPr>
              <w:spacing w:after="20"/>
            </w:pPr>
            <w:r/>
            <w:r>
              <w:rPr>
                <w:sz w:val="17"/>
              </w:rPr>
              <w:t>Share of listings %</w:t>
            </w:r>
          </w:p>
        </w:tc>
        <w:tc>
          <w:tcPr>
            <w:tcW w:type="dxa" w:w="1701"/>
            <w:shd w:val="clear" w:color="auto" w:fill="F2F5F7"/>
          </w:tcPr>
          <w:p>
            <w:pPr>
              <w:spacing w:after="20"/>
            </w:pPr>
            <w:r/>
            <w:r>
              <w:rPr>
                <w:sz w:val="17"/>
              </w:rPr>
              <w:t>22.0</w:t>
            </w:r>
          </w:p>
        </w:tc>
        <w:tc>
          <w:tcPr>
            <w:tcW w:type="dxa" w:w="1701"/>
            <w:shd w:val="clear" w:color="auto" w:fill="F2F5F7"/>
          </w:tcPr>
          <w:p>
            <w:pPr>
              <w:spacing w:after="20"/>
            </w:pPr>
            <w:r/>
            <w:r>
              <w:rPr>
                <w:sz w:val="17"/>
              </w:rPr>
              <w:t>22.5</w:t>
            </w:r>
          </w:p>
        </w:tc>
        <w:tc>
          <w:tcPr>
            <w:tcW w:type="dxa" w:w="1928"/>
            <w:shd w:val="clear" w:color="auto" w:fill="F2F5F7"/>
          </w:tcPr>
          <w:p>
            <w:pPr>
              <w:spacing w:after="20"/>
            </w:pPr>
            <w:r/>
            <w:r>
              <w:rPr>
                <w:sz w:val="17"/>
              </w:rPr>
              <w:t>24.3</w:t>
            </w:r>
          </w:p>
        </w:tc>
        <w:tc>
          <w:tcPr>
            <w:tcW w:type="dxa" w:w="1814"/>
            <w:shd w:val="clear" w:color="auto" w:fill="F2F5F7"/>
          </w:tcPr>
          <w:p>
            <w:pPr>
              <w:spacing w:after="20"/>
            </w:pPr>
            <w:r/>
            <w:r>
              <w:rPr>
                <w:sz w:val="17"/>
              </w:rPr>
              <w:t>31.3</w:t>
            </w:r>
          </w:p>
        </w:tc>
      </w:tr>
      <w:tr>
        <w:tc>
          <w:tcPr>
            <w:tcW w:type="dxa" w:w="2268"/>
          </w:tcPr>
          <w:p>
            <w:pPr>
              <w:spacing w:after="20"/>
            </w:pPr>
            <w:r/>
            <w:r>
              <w:rPr>
                <w:sz w:val="17"/>
              </w:rPr>
              <w:t>Median price (US$)</w:t>
            </w:r>
          </w:p>
        </w:tc>
        <w:tc>
          <w:tcPr>
            <w:tcW w:type="dxa" w:w="1701"/>
          </w:tcPr>
          <w:p>
            <w:pPr>
              <w:spacing w:after="20"/>
            </w:pPr>
            <w:r/>
            <w:r>
              <w:rPr>
                <w:sz w:val="17"/>
              </w:rPr>
              <w:t>68.99</w:t>
            </w:r>
          </w:p>
        </w:tc>
        <w:tc>
          <w:tcPr>
            <w:tcW w:type="dxa" w:w="1701"/>
          </w:tcPr>
          <w:p>
            <w:pPr>
              <w:spacing w:after="20"/>
            </w:pPr>
            <w:r/>
            <w:r>
              <w:rPr>
                <w:sz w:val="17"/>
              </w:rPr>
              <w:t>18.99</w:t>
            </w:r>
          </w:p>
        </w:tc>
        <w:tc>
          <w:tcPr>
            <w:tcW w:type="dxa" w:w="1928"/>
          </w:tcPr>
          <w:p>
            <w:pPr>
              <w:spacing w:after="20"/>
            </w:pPr>
            <w:r/>
            <w:r>
              <w:rPr>
                <w:sz w:val="17"/>
              </w:rPr>
              <w:t>29.94</w:t>
            </w:r>
          </w:p>
        </w:tc>
        <w:tc>
          <w:tcPr>
            <w:tcW w:type="dxa" w:w="1814"/>
          </w:tcPr>
          <w:p>
            <w:pPr>
              <w:spacing w:after="20"/>
            </w:pPr>
            <w:r/>
            <w:r>
              <w:rPr>
                <w:sz w:val="17"/>
              </w:rPr>
              <w:t>39.99</w:t>
            </w:r>
          </w:p>
        </w:tc>
      </w:tr>
      <w:tr>
        <w:tc>
          <w:tcPr>
            <w:tcW w:type="dxa" w:w="2268"/>
            <w:shd w:val="clear" w:color="auto" w:fill="F2F5F7"/>
          </w:tcPr>
          <w:p>
            <w:pPr>
              <w:spacing w:after="20"/>
            </w:pPr>
            <w:r/>
            <w:r>
              <w:rPr>
                <w:sz w:val="17"/>
              </w:rPr>
              <w:t>Median units sold</w:t>
            </w:r>
          </w:p>
        </w:tc>
        <w:tc>
          <w:tcPr>
            <w:tcW w:type="dxa" w:w="1701"/>
            <w:shd w:val="clear" w:color="auto" w:fill="F2F5F7"/>
          </w:tcPr>
          <w:p>
            <w:pPr>
              <w:spacing w:after="20"/>
            </w:pPr>
            <w:r/>
            <w:r>
              <w:rPr>
                <w:sz w:val="17"/>
              </w:rPr>
              <w:t>43.0</w:t>
            </w:r>
          </w:p>
        </w:tc>
        <w:tc>
          <w:tcPr>
            <w:tcW w:type="dxa" w:w="1701"/>
            <w:shd w:val="clear" w:color="auto" w:fill="F2F5F7"/>
          </w:tcPr>
          <w:p>
            <w:pPr>
              <w:spacing w:after="20"/>
            </w:pPr>
            <w:r/>
            <w:r>
              <w:rPr>
                <w:sz w:val="17"/>
              </w:rPr>
              <w:t>30.0</w:t>
            </w:r>
          </w:p>
        </w:tc>
        <w:tc>
          <w:tcPr>
            <w:tcW w:type="dxa" w:w="1928"/>
            <w:shd w:val="clear" w:color="auto" w:fill="F2F5F7"/>
          </w:tcPr>
          <w:p>
            <w:pPr>
              <w:spacing w:after="20"/>
            </w:pPr>
            <w:r/>
            <w:r>
              <w:rPr>
                <w:sz w:val="17"/>
              </w:rPr>
              <w:t>952.0</w:t>
            </w:r>
          </w:p>
        </w:tc>
        <w:tc>
          <w:tcPr>
            <w:tcW w:type="dxa" w:w="1814"/>
            <w:shd w:val="clear" w:color="auto" w:fill="F2F5F7"/>
          </w:tcPr>
          <w:p>
            <w:pPr>
              <w:spacing w:after="20"/>
            </w:pPr>
            <w:r/>
            <w:r>
              <w:rPr>
                <w:sz w:val="17"/>
              </w:rPr>
              <w:t>16.0</w:t>
            </w:r>
          </w:p>
        </w:tc>
      </w:tr>
      <w:tr>
        <w:tc>
          <w:tcPr>
            <w:tcW w:type="dxa" w:w="2268"/>
          </w:tcPr>
          <w:p>
            <w:pPr>
              <w:spacing w:after="20"/>
            </w:pPr>
            <w:r/>
            <w:r>
              <w:rPr>
                <w:sz w:val="17"/>
              </w:rPr>
              <w:t>Share of units sold %</w:t>
            </w:r>
          </w:p>
        </w:tc>
        <w:tc>
          <w:tcPr>
            <w:tcW w:type="dxa" w:w="1701"/>
          </w:tcPr>
          <w:p>
            <w:pPr>
              <w:spacing w:after="20"/>
            </w:pPr>
            <w:r/>
            <w:r>
              <w:rPr>
                <w:sz w:val="17"/>
              </w:rPr>
              <w:t>3.7</w:t>
            </w:r>
          </w:p>
        </w:tc>
        <w:tc>
          <w:tcPr>
            <w:tcW w:type="dxa" w:w="1701"/>
          </w:tcPr>
          <w:p>
            <w:pPr>
              <w:spacing w:after="20"/>
            </w:pPr>
            <w:r/>
            <w:r>
              <w:rPr>
                <w:sz w:val="17"/>
              </w:rPr>
              <w:t>1.8</w:t>
            </w:r>
          </w:p>
        </w:tc>
        <w:tc>
          <w:tcPr>
            <w:tcW w:type="dxa" w:w="1928"/>
          </w:tcPr>
          <w:p>
            <w:pPr>
              <w:spacing w:after="20"/>
            </w:pPr>
            <w:r/>
            <w:r>
              <w:rPr>
                <w:sz w:val="17"/>
              </w:rPr>
              <w:t>92.3</w:t>
            </w:r>
          </w:p>
        </w:tc>
        <w:tc>
          <w:tcPr>
            <w:tcW w:type="dxa" w:w="1814"/>
          </w:tcPr>
          <w:p>
            <w:pPr>
              <w:spacing w:after="20"/>
            </w:pPr>
            <w:r/>
            <w:r>
              <w:rPr>
                <w:sz w:val="17"/>
              </w:rPr>
              <w:t>2.2</w:t>
            </w:r>
          </w:p>
        </w:tc>
      </w:tr>
      <w:tr>
        <w:tc>
          <w:tcPr>
            <w:tcW w:type="dxa" w:w="2268"/>
            <w:shd w:val="clear" w:color="auto" w:fill="F2F5F7"/>
          </w:tcPr>
          <w:p>
            <w:pPr>
              <w:spacing w:after="20"/>
            </w:pPr>
            <w:r/>
            <w:r>
              <w:rPr>
                <w:sz w:val="17"/>
              </w:rPr>
              <w:t>Median stock level</w:t>
            </w:r>
          </w:p>
        </w:tc>
        <w:tc>
          <w:tcPr>
            <w:tcW w:type="dxa" w:w="1701"/>
            <w:shd w:val="clear" w:color="auto" w:fill="F2F5F7"/>
          </w:tcPr>
          <w:p>
            <w:pPr>
              <w:spacing w:after="20"/>
            </w:pPr>
            <w:r/>
            <w:r>
              <w:rPr>
                <w:sz w:val="17"/>
              </w:rPr>
              <w:t>11.0</w:t>
            </w:r>
          </w:p>
        </w:tc>
        <w:tc>
          <w:tcPr>
            <w:tcW w:type="dxa" w:w="1701"/>
            <w:shd w:val="clear" w:color="auto" w:fill="F2F5F7"/>
          </w:tcPr>
          <w:p>
            <w:pPr>
              <w:spacing w:after="20"/>
            </w:pPr>
            <w:r/>
            <w:r>
              <w:rPr>
                <w:sz w:val="17"/>
              </w:rPr>
              <w:t>11.0</w:t>
            </w:r>
          </w:p>
        </w:tc>
        <w:tc>
          <w:tcPr>
            <w:tcW w:type="dxa" w:w="1928"/>
            <w:shd w:val="clear" w:color="auto" w:fill="F2F5F7"/>
          </w:tcPr>
          <w:p>
            <w:pPr>
              <w:spacing w:after="20"/>
            </w:pPr>
            <w:r/>
            <w:r>
              <w:rPr>
                <w:sz w:val="17"/>
              </w:rPr>
              <w:t>11.0</w:t>
            </w:r>
          </w:p>
        </w:tc>
        <w:tc>
          <w:tcPr>
            <w:tcW w:type="dxa" w:w="1814"/>
            <w:shd w:val="clear" w:color="auto" w:fill="F2F5F7"/>
          </w:tcPr>
          <w:p>
            <w:pPr>
              <w:spacing w:after="20"/>
            </w:pPr>
            <w:r/>
            <w:r>
              <w:rPr>
                <w:sz w:val="17"/>
              </w:rPr>
              <w:t>3.0</w:t>
            </w:r>
          </w:p>
        </w:tc>
      </w:tr>
      <w:tr>
        <w:tc>
          <w:tcPr>
            <w:tcW w:type="dxa" w:w="2268"/>
          </w:tcPr>
          <w:p>
            <w:pPr>
              <w:spacing w:after="20"/>
            </w:pPr>
            <w:r/>
            <w:r>
              <w:rPr>
                <w:sz w:val="17"/>
              </w:rPr>
              <w:t>% marked Last One</w:t>
            </w:r>
          </w:p>
        </w:tc>
        <w:tc>
          <w:tcPr>
            <w:tcW w:type="dxa" w:w="1701"/>
          </w:tcPr>
          <w:p>
            <w:pPr>
              <w:spacing w:after="20"/>
            </w:pPr>
            <w:r/>
            <w:r>
              <w:rPr>
                <w:sz w:val="17"/>
              </w:rPr>
              <w:t>0.0</w:t>
            </w:r>
          </w:p>
        </w:tc>
        <w:tc>
          <w:tcPr>
            <w:tcW w:type="dxa" w:w="1701"/>
          </w:tcPr>
          <w:p>
            <w:pPr>
              <w:spacing w:after="20"/>
            </w:pPr>
            <w:r/>
            <w:r>
              <w:rPr>
                <w:sz w:val="17"/>
              </w:rPr>
              <w:t>0.0</w:t>
            </w:r>
          </w:p>
        </w:tc>
        <w:tc>
          <w:tcPr>
            <w:tcW w:type="dxa" w:w="1928"/>
          </w:tcPr>
          <w:p>
            <w:pPr>
              <w:spacing w:after="20"/>
            </w:pPr>
            <w:r/>
            <w:r>
              <w:rPr>
                <w:sz w:val="17"/>
              </w:rPr>
              <w:t>1.2</w:t>
            </w:r>
          </w:p>
        </w:tc>
        <w:tc>
          <w:tcPr>
            <w:tcW w:type="dxa" w:w="1814"/>
          </w:tcPr>
          <w:p>
            <w:pPr>
              <w:spacing w:after="20"/>
            </w:pPr>
            <w:r/>
            <w:r>
              <w:rPr>
                <w:sz w:val="17"/>
              </w:rPr>
              <w:t>14.1</w:t>
            </w:r>
          </w:p>
        </w:tc>
      </w:tr>
      <w:tr>
        <w:tc>
          <w:tcPr>
            <w:tcW w:type="dxa" w:w="2268"/>
            <w:shd w:val="clear" w:color="auto" w:fill="F2F5F7"/>
          </w:tcPr>
          <w:p>
            <w:pPr>
              <w:spacing w:after="20"/>
            </w:pPr>
            <w:r/>
            <w:r>
              <w:rPr>
                <w:sz w:val="17"/>
              </w:rPr>
              <w:t>Top product type</w:t>
            </w:r>
          </w:p>
        </w:tc>
        <w:tc>
          <w:tcPr>
            <w:tcW w:type="dxa" w:w="1701"/>
            <w:shd w:val="clear" w:color="auto" w:fill="F2F5F7"/>
          </w:tcPr>
          <w:p>
            <w:pPr>
              <w:spacing w:after="20"/>
            </w:pPr>
            <w:r/>
            <w:r>
              <w:rPr>
                <w:sz w:val="17"/>
              </w:rPr>
              <w:t>Eau de Parfum (45.2%)</w:t>
            </w:r>
          </w:p>
        </w:tc>
        <w:tc>
          <w:tcPr>
            <w:tcW w:type="dxa" w:w="1701"/>
            <w:shd w:val="clear" w:color="auto" w:fill="F2F5F7"/>
          </w:tcPr>
          <w:p>
            <w:pPr>
              <w:spacing w:after="20"/>
            </w:pPr>
            <w:r/>
            <w:r>
              <w:rPr>
                <w:sz w:val="17"/>
              </w:rPr>
              <w:t>Eau de Toilette (37.9%)</w:t>
            </w:r>
          </w:p>
        </w:tc>
        <w:tc>
          <w:tcPr>
            <w:tcW w:type="dxa" w:w="1928"/>
            <w:shd w:val="clear" w:color="auto" w:fill="F2F5F7"/>
          </w:tcPr>
          <w:p>
            <w:pPr>
              <w:spacing w:after="20"/>
            </w:pPr>
            <w:r/>
            <w:r>
              <w:rPr>
                <w:sz w:val="17"/>
              </w:rPr>
              <w:t>Eau de Toilette (67.8%)</w:t>
            </w:r>
          </w:p>
        </w:tc>
        <w:tc>
          <w:tcPr>
            <w:tcW w:type="dxa" w:w="1814"/>
            <w:shd w:val="clear" w:color="auto" w:fill="F2F5F7"/>
          </w:tcPr>
          <w:p>
            <w:pPr>
              <w:spacing w:after="20"/>
            </w:pPr>
            <w:r/>
            <w:r>
              <w:rPr>
                <w:sz w:val="17"/>
              </w:rPr>
              <w:t>Eau de Toilette (39.1%)</w:t>
            </w:r>
          </w:p>
        </w:tc>
      </w:tr>
    </w:tbl>
    <w:p>
      <w:pPr>
        <w:spacing w:after="160"/>
      </w:pPr>
      <w:r>
        <w:rPr>
          <w:i/>
          <w:sz w:val="18"/>
        </w:rPr>
        <w:t>Table 11. Profile of the four K-Means segments.</w:t>
      </w:r>
      <w:r>
        <w:rPr>
          <w:color w:val="008F8B"/>
          <w:sz w:val="16"/>
        </w:rPr>
        <w:t xml:space="preserve">  Source file: COM7022 - Assignment/output/tables/table13_cluster_profiles.csv  |  https://github.com/kvmmn/_COM7022_MachineLearning/blob/main/COM7022%20-%20Assignment/output/tables/table13_cluster_profiles.csv</w:t>
      </w:r>
    </w:p>
    <w:p>
      <w:pPr>
        <w:keepNext/>
        <w:jc w:val="center"/>
      </w:pPr>
      <w:r>
        <w:drawing>
          <wp:inline xmlns:a="http://schemas.openxmlformats.org/drawingml/2006/main" xmlns:pic="http://schemas.openxmlformats.org/drawingml/2006/picture">
            <wp:extent cx="5040000" cy="1640930"/>
            <wp:docPr id="27" name="Picture 27"/>
            <wp:cNvGraphicFramePr>
              <a:graphicFrameLocks noChangeAspect="1"/>
            </wp:cNvGraphicFramePr>
            <a:graphic>
              <a:graphicData uri="http://schemas.openxmlformats.org/drawingml/2006/picture">
                <pic:pic>
                  <pic:nvPicPr>
                    <pic:cNvPr id="0" name="fig13_cluster_profiles.png"/>
                    <pic:cNvPicPr/>
                  </pic:nvPicPr>
                  <pic:blipFill>
                    <a:blip r:embed="rId36"/>
                    <a:stretch>
                      <a:fillRect/>
                    </a:stretch>
                  </pic:blipFill>
                  <pic:spPr>
                    <a:xfrm>
                      <a:off x="0" y="0"/>
                      <a:ext cx="5040000" cy="1640930"/>
                    </a:xfrm>
                    <a:prstGeom prst="rect"/>
                  </pic:spPr>
                </pic:pic>
              </a:graphicData>
            </a:graphic>
          </wp:inline>
        </w:drawing>
      </w:r>
    </w:p>
    <w:p>
      <w:pPr>
        <w:spacing w:after="160"/>
      </w:pPr>
      <w:r>
        <w:rPr>
          <w:i/>
          <w:sz w:val="18"/>
        </w:rPr>
        <w:t>Figure 27. Cluster profiles as standardised feature means.</w:t>
      </w:r>
      <w:r>
        <w:rPr>
          <w:color w:val="008F8B"/>
          <w:sz w:val="16"/>
        </w:rPr>
        <w:t xml:space="preserve">  Source file: COM7022 - Assignment/output/figures/fig13_cluster_profiles.png  |  https://github.com/kvmmn/_COM7022_MachineLearning/blob/main/COM7022%20-%20Assignment/output/figures/fig13_cluster_profiles.png</w:t>
      </w:r>
    </w:p>
    <w:p>
      <w:pPr>
        <w:keepNext/>
        <w:jc w:val="center"/>
      </w:pPr>
      <w:r>
        <w:drawing>
          <wp:inline xmlns:a="http://schemas.openxmlformats.org/drawingml/2006/main" xmlns:pic="http://schemas.openxmlformats.org/drawingml/2006/picture">
            <wp:extent cx="5580000" cy="1567149"/>
            <wp:docPr id="28" name="Picture 28"/>
            <wp:cNvGraphicFramePr>
              <a:graphicFrameLocks noChangeAspect="1"/>
            </wp:cNvGraphicFramePr>
            <a:graphic>
              <a:graphicData uri="http://schemas.openxmlformats.org/drawingml/2006/picture">
                <pic:pic>
                  <pic:nvPicPr>
                    <pic:cNvPr id="0" name="fig14_cluster_distributions.png"/>
                    <pic:cNvPicPr/>
                  </pic:nvPicPr>
                  <pic:blipFill>
                    <a:blip r:embed="rId37"/>
                    <a:stretch>
                      <a:fillRect/>
                    </a:stretch>
                  </pic:blipFill>
                  <pic:spPr>
                    <a:xfrm>
                      <a:off x="0" y="0"/>
                      <a:ext cx="5580000" cy="1567149"/>
                    </a:xfrm>
                    <a:prstGeom prst="rect"/>
                  </pic:spPr>
                </pic:pic>
              </a:graphicData>
            </a:graphic>
          </wp:inline>
        </w:drawing>
      </w:r>
    </w:p>
    <w:p>
      <w:pPr>
        <w:spacing w:after="160"/>
      </w:pPr>
      <w:r>
        <w:rPr>
          <w:i/>
          <w:sz w:val="18"/>
        </w:rPr>
        <w:t>Figure 28. Price, units sold and stock distributions inside each cluster.</w:t>
      </w:r>
      <w:r>
        <w:rPr>
          <w:color w:val="008F8B"/>
          <w:sz w:val="16"/>
        </w:rPr>
        <w:t xml:space="preserve">  Source file: COM7022 - Assignment/output/figures/fig14_cluster_distributions.png  |  https://github.com/kvmmn/_COM7022_MachineLearning/blob/main/COM7022%20-%20Assignment/output/figures/fig14_cluster_distributions.png</w:t>
      </w:r>
    </w:p>
    <w:p>
      <w:r>
        <w:br w:type="page"/>
      </w:r>
    </w:p>
    <w:p>
      <w:pPr>
        <w:pStyle w:val="Heading1"/>
      </w:pPr>
      <w:r>
        <w:t>Task 2: Critical Report for Executives</w:t>
      </w:r>
    </w:p>
    <w:p>
      <w:pPr>
        <w:pStyle w:val="Heading1"/>
      </w:pPr>
      <w:r>
        <w:t>6. Executive summary</w:t>
      </w:r>
    </w:p>
    <w:p>
      <w:r>
        <w:t xml:space="preserve">Our 997 fragrance listings fall into </w:t>
      </w:r>
      <w:r>
        <w:rPr>
          <w:b/>
        </w:rPr>
        <w:t>four natural segments</w:t>
      </w:r>
      <w:r>
        <w:t xml:space="preserve">. One quarter of them, the best-sellers, generate </w:t>
      </w:r>
      <w:r>
        <w:rPr>
          <w:b/>
        </w:rPr>
        <w:t>92% of all units sold</w:t>
      </w:r>
      <w:r>
        <w:t xml:space="preserve">. The other three segments (premium, budget and low-stock listings) together account for 8% of sales and need three different treatments. I recommend </w:t>
      </w:r>
      <w:r>
        <w:rPr>
          <w:b/>
        </w:rPr>
        <w:t>K-Means with four clusters</w:t>
      </w:r>
      <w:r>
        <w:t xml:space="preserve"> as the company’s segmentation model: it is the most accurate, the most stable and the simplest to run on new listings. The groups overlap somewhat, as is normal for real catalogues, so they should guide decisions, not replace judgement.</w:t>
      </w:r>
    </w:p>
    <w:p>
      <w:pPr>
        <w:pStyle w:val="Heading1"/>
      </w:pPr>
      <w:r>
        <w:t>7. Why this model, and why for this dataset</w:t>
      </w:r>
    </w:p>
    <w:p>
      <w:pPr>
        <w:pStyle w:val="Heading2"/>
      </w:pPr>
      <w:r>
        <w:t>7.1 Suitability of the methods and decisions</w:t>
      </w:r>
    </w:p>
    <w:p>
      <w:r>
        <w:t>Unsupervised clustering suits the problem because the company has no labels. Three decisions mattered most. Log scaling stopped a handful of viral listings from controlling the result. Choosing price, sales and stock as features answered the three questions managers ask (what is it worth, does it sell, will it run out). Keeping brand and country out of the distance calculation prevented clusters from simply being brand lists.</w:t>
      </w:r>
    </w:p>
    <w:p>
      <w:pPr>
        <w:pStyle w:val="Heading2"/>
      </w:pPr>
      <w:r>
        <w:t>7.2 How the models performed</w:t>
      </w:r>
    </w:p>
    <w:p>
      <w:r>
        <w:t>K-Means led on all internal metrics and on stability (Table 9, Figure 24). Ward was moderately good but changed whenever the sample changed. DBSCAN found almost no structure: 90.7% of listings in one cluster and 8.9% noise. This is informative rather than a failure: the listings sit on a continuum from budget to premium and from slow to fast, so methods that assume gaps between groups cannot work well. A silhouette of about 0.31 confirms the groups are meaningful but not sharply separated.</w:t>
      </w:r>
    </w:p>
    <w:p>
      <w:r>
        <w:rPr>
          <w:b/>
        </w:rPr>
        <w:t>Strengths and limits of each model.</w:t>
      </w:r>
      <w:r>
        <w:t xml:space="preserve"> </w:t>
      </w:r>
      <w:r>
        <w:rPr>
          <w:i/>
        </w:rPr>
        <w:t>K-Means</w:t>
      </w:r>
      <w:r>
        <w:t xml:space="preserve"> is fast, stable and explainable, but it assumes round groups of similar size and needs k chosen in advance; here a continuum makes the borders soft. </w:t>
      </w:r>
      <w:r>
        <w:rPr>
          <w:i/>
        </w:rPr>
        <w:t>Ward</w:t>
      </w:r>
      <w:r>
        <w:t xml:space="preserve"> shows how groups nest and needs no k, but it is unstable and cannot score new listings. </w:t>
      </w:r>
      <w:r>
        <w:rPr>
          <w:i/>
        </w:rPr>
        <w:t>DBSCAN</w:t>
      </w:r>
      <w:r>
        <w:t xml:space="preserve"> is ideal for finding outliers and irregular shapes, but this catalogue has no empty gaps between groups, so it merges most listings into one cluster. No model is perfect for this data; K-Means has the fewest weaknesses that matter to the business.</w:t>
      </w:r>
    </w:p>
    <w:p>
      <w:pPr>
        <w:pStyle w:val="Heading2"/>
      </w:pPr>
      <w:r>
        <w:t>7.3 Which model is best for e-commerce?</w:t>
      </w:r>
    </w:p>
    <w:p>
      <w:r>
        <w:t>Technical scores are only half the decision. A marketplace also needs a model that covers every listing, can be re-run every week, can score a new listing instantly and can be explained to a manager (Table 12). K-Means meets all of these. Ward cannot score new listings without re-building the tree. DBSCAN leaves listings unassigned, but it is useful as a monitor for unusual listings.</w:t>
      </w:r>
    </w:p>
    <w:p>
      <w:r>
        <w:t>A fair question is why not simply rank listings by sales. A ranking shows who sells most, but not who is premium, who is cheap and slow, or who is about to run out. Clustering combines price, sales and stock in one view and yields groups that each need a different action. That is the difference between a league table and a segmentation.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81"/>
            <w:shd w:val="clear" w:color="auto" w:fill="002B49"/>
          </w:tcPr>
          <w:p>
            <w:pPr>
              <w:spacing w:after="20"/>
            </w:pPr>
            <w:r/>
            <w:r>
              <w:rPr>
                <w:b/>
                <w:color w:val="FFFFFF"/>
                <w:sz w:val="17"/>
              </w:rPr>
              <w:t>E-commerce requirement</w:t>
            </w:r>
          </w:p>
        </w:tc>
        <w:tc>
          <w:tcPr>
            <w:tcW w:type="dxa" w:w="2041"/>
            <w:shd w:val="clear" w:color="auto" w:fill="002B49"/>
          </w:tcPr>
          <w:p>
            <w:pPr>
              <w:spacing w:after="20"/>
            </w:pPr>
            <w:r/>
            <w:r>
              <w:rPr>
                <w:b/>
                <w:color w:val="FFFFFF"/>
                <w:sz w:val="17"/>
              </w:rPr>
              <w:t>K-Means</w:t>
            </w:r>
          </w:p>
        </w:tc>
        <w:tc>
          <w:tcPr>
            <w:tcW w:type="dxa" w:w="2494"/>
            <w:shd w:val="clear" w:color="auto" w:fill="002B49"/>
          </w:tcPr>
          <w:p>
            <w:pPr>
              <w:spacing w:after="20"/>
            </w:pPr>
            <w:r/>
            <w:r>
              <w:rPr>
                <w:b/>
                <w:color w:val="FFFFFF"/>
                <w:sz w:val="17"/>
              </w:rPr>
              <w:t>Ward hierarchical</w:t>
            </w:r>
          </w:p>
        </w:tc>
        <w:tc>
          <w:tcPr>
            <w:tcW w:type="dxa" w:w="2721"/>
            <w:shd w:val="clear" w:color="auto" w:fill="002B49"/>
          </w:tcPr>
          <w:p>
            <w:pPr>
              <w:spacing w:after="20"/>
            </w:pPr>
            <w:r/>
            <w:r>
              <w:rPr>
                <w:b/>
                <w:color w:val="FFFFFF"/>
                <w:sz w:val="17"/>
              </w:rPr>
              <w:t>DBSCAN</w:t>
            </w:r>
          </w:p>
        </w:tc>
      </w:tr>
      <w:tr>
        <w:tc>
          <w:tcPr>
            <w:tcW w:type="dxa" w:w="2381"/>
          </w:tcPr>
          <w:p>
            <w:pPr>
              <w:spacing w:after="20"/>
            </w:pPr>
            <w:r/>
            <w:r>
              <w:rPr>
                <w:sz w:val="17"/>
              </w:rPr>
              <w:t>Covers every listing</w:t>
            </w:r>
          </w:p>
        </w:tc>
        <w:tc>
          <w:tcPr>
            <w:tcW w:type="dxa" w:w="2041"/>
          </w:tcPr>
          <w:p>
            <w:pPr>
              <w:spacing w:after="20"/>
            </w:pPr>
            <w:r/>
            <w:r>
              <w:rPr>
                <w:sz w:val="17"/>
              </w:rPr>
              <w:t>Yes (0% noise)</w:t>
            </w:r>
          </w:p>
        </w:tc>
        <w:tc>
          <w:tcPr>
            <w:tcW w:type="dxa" w:w="2494"/>
          </w:tcPr>
          <w:p>
            <w:pPr>
              <w:spacing w:after="20"/>
            </w:pPr>
            <w:r/>
            <w:r>
              <w:rPr>
                <w:sz w:val="17"/>
              </w:rPr>
              <w:t>Yes (0% noise)</w:t>
            </w:r>
          </w:p>
        </w:tc>
        <w:tc>
          <w:tcPr>
            <w:tcW w:type="dxa" w:w="2721"/>
          </w:tcPr>
          <w:p>
            <w:pPr>
              <w:spacing w:after="20"/>
            </w:pPr>
            <w:r/>
            <w:r>
              <w:rPr>
                <w:sz w:val="17"/>
              </w:rPr>
              <w:t>No (8.9% noise, 90.7% in one group)</w:t>
            </w:r>
          </w:p>
        </w:tc>
      </w:tr>
      <w:tr>
        <w:tc>
          <w:tcPr>
            <w:tcW w:type="dxa" w:w="2381"/>
            <w:shd w:val="clear" w:color="auto" w:fill="F2F5F7"/>
          </w:tcPr>
          <w:p>
            <w:pPr>
              <w:spacing w:after="20"/>
            </w:pPr>
            <w:r/>
            <w:r>
              <w:rPr>
                <w:sz w:val="17"/>
              </w:rPr>
              <w:t>Scores a new listing instantly</w:t>
            </w:r>
          </w:p>
        </w:tc>
        <w:tc>
          <w:tcPr>
            <w:tcW w:type="dxa" w:w="2041"/>
            <w:shd w:val="clear" w:color="auto" w:fill="F2F5F7"/>
          </w:tcPr>
          <w:p>
            <w:pPr>
              <w:spacing w:after="20"/>
            </w:pPr>
            <w:r/>
            <w:r>
              <w:rPr>
                <w:sz w:val="17"/>
              </w:rPr>
              <w:t>Yes: nearest centre</w:t>
            </w:r>
          </w:p>
        </w:tc>
        <w:tc>
          <w:tcPr>
            <w:tcW w:type="dxa" w:w="2494"/>
            <w:shd w:val="clear" w:color="auto" w:fill="F2F5F7"/>
          </w:tcPr>
          <w:p>
            <w:pPr>
              <w:spacing w:after="20"/>
            </w:pPr>
            <w:r/>
            <w:r>
              <w:rPr>
                <w:sz w:val="17"/>
              </w:rPr>
              <w:t>No: tree must be re-built</w:t>
            </w:r>
          </w:p>
        </w:tc>
        <w:tc>
          <w:tcPr>
            <w:tcW w:type="dxa" w:w="2721"/>
            <w:shd w:val="clear" w:color="auto" w:fill="F2F5F7"/>
          </w:tcPr>
          <w:p>
            <w:pPr>
              <w:spacing w:after="20"/>
            </w:pPr>
            <w:r/>
            <w:r>
              <w:rPr>
                <w:sz w:val="17"/>
              </w:rPr>
              <w:t>Partly: needs the full data</w:t>
            </w:r>
          </w:p>
        </w:tc>
      </w:tr>
      <w:tr>
        <w:tc>
          <w:tcPr>
            <w:tcW w:type="dxa" w:w="2381"/>
          </w:tcPr>
          <w:p>
            <w:pPr>
              <w:spacing w:after="20"/>
            </w:pPr>
            <w:r/>
            <w:r>
              <w:rPr>
                <w:sz w:val="17"/>
              </w:rPr>
              <w:t>Stable week to week</w:t>
            </w:r>
          </w:p>
        </w:tc>
        <w:tc>
          <w:tcPr>
            <w:tcW w:type="dxa" w:w="2041"/>
          </w:tcPr>
          <w:p>
            <w:pPr>
              <w:spacing w:after="20"/>
            </w:pPr>
            <w:r/>
            <w:r>
              <w:rPr>
                <w:sz w:val="17"/>
              </w:rPr>
              <w:t>Yes (ARI 0.93)</w:t>
            </w:r>
          </w:p>
        </w:tc>
        <w:tc>
          <w:tcPr>
            <w:tcW w:type="dxa" w:w="2494"/>
          </w:tcPr>
          <w:p>
            <w:pPr>
              <w:spacing w:after="20"/>
            </w:pPr>
            <w:r/>
            <w:r>
              <w:rPr>
                <w:sz w:val="17"/>
              </w:rPr>
              <w:t>No (ARI 0.48)</w:t>
            </w:r>
          </w:p>
        </w:tc>
        <w:tc>
          <w:tcPr>
            <w:tcW w:type="dxa" w:w="2721"/>
          </w:tcPr>
          <w:p>
            <w:pPr>
              <w:spacing w:after="20"/>
            </w:pPr>
            <w:r/>
            <w:r>
              <w:rPr>
                <w:sz w:val="17"/>
              </w:rPr>
              <w:t>Moderate (ARI 0.75)</w:t>
            </w:r>
          </w:p>
        </w:tc>
      </w:tr>
      <w:tr>
        <w:tc>
          <w:tcPr>
            <w:tcW w:type="dxa" w:w="2381"/>
            <w:shd w:val="clear" w:color="auto" w:fill="F2F5F7"/>
          </w:tcPr>
          <w:p>
            <w:pPr>
              <w:spacing w:after="20"/>
            </w:pPr>
            <w:r/>
            <w:r>
              <w:rPr>
                <w:sz w:val="17"/>
              </w:rPr>
              <w:t>Easy to explain to managers</w:t>
            </w:r>
          </w:p>
        </w:tc>
        <w:tc>
          <w:tcPr>
            <w:tcW w:type="dxa" w:w="2041"/>
            <w:shd w:val="clear" w:color="auto" w:fill="F2F5F7"/>
          </w:tcPr>
          <w:p>
            <w:pPr>
              <w:spacing w:after="20"/>
            </w:pPr>
            <w:r/>
            <w:r>
              <w:rPr>
                <w:sz w:val="17"/>
              </w:rPr>
              <w:t>Yes: four typical profiles</w:t>
            </w:r>
          </w:p>
        </w:tc>
        <w:tc>
          <w:tcPr>
            <w:tcW w:type="dxa" w:w="2494"/>
            <w:shd w:val="clear" w:color="auto" w:fill="F2F5F7"/>
          </w:tcPr>
          <w:p>
            <w:pPr>
              <w:spacing w:after="20"/>
            </w:pPr>
            <w:r/>
            <w:r>
              <w:rPr>
                <w:sz w:val="17"/>
              </w:rPr>
              <w:t>Medium: dendrogram</w:t>
            </w:r>
          </w:p>
        </w:tc>
        <w:tc>
          <w:tcPr>
            <w:tcW w:type="dxa" w:w="2721"/>
            <w:shd w:val="clear" w:color="auto" w:fill="F2F5F7"/>
          </w:tcPr>
          <w:p>
            <w:pPr>
              <w:spacing w:after="20"/>
            </w:pPr>
            <w:r/>
            <w:r>
              <w:rPr>
                <w:sz w:val="17"/>
              </w:rPr>
              <w:t>Hard: noise and one big group</w:t>
            </w:r>
          </w:p>
        </w:tc>
      </w:tr>
      <w:tr>
        <w:tc>
          <w:tcPr>
            <w:tcW w:type="dxa" w:w="2381"/>
          </w:tcPr>
          <w:p>
            <w:pPr>
              <w:spacing w:after="20"/>
            </w:pPr>
            <w:r/>
            <w:r>
              <w:rPr>
                <w:sz w:val="17"/>
              </w:rPr>
              <w:t>Scales to millions of listings</w:t>
            </w:r>
          </w:p>
        </w:tc>
        <w:tc>
          <w:tcPr>
            <w:tcW w:type="dxa" w:w="2041"/>
          </w:tcPr>
          <w:p>
            <w:pPr>
              <w:spacing w:after="20"/>
            </w:pPr>
            <w:r/>
            <w:r>
              <w:rPr>
                <w:sz w:val="17"/>
              </w:rPr>
              <w:t>Yes</w:t>
            </w:r>
          </w:p>
        </w:tc>
        <w:tc>
          <w:tcPr>
            <w:tcW w:type="dxa" w:w="2494"/>
          </w:tcPr>
          <w:p>
            <w:pPr>
              <w:spacing w:after="20"/>
            </w:pPr>
            <w:r/>
            <w:r>
              <w:rPr>
                <w:sz w:val="17"/>
              </w:rPr>
              <w:t>Poor (memory grows with the square of listings)</w:t>
            </w:r>
          </w:p>
        </w:tc>
        <w:tc>
          <w:tcPr>
            <w:tcW w:type="dxa" w:w="2721"/>
          </w:tcPr>
          <w:p>
            <w:pPr>
              <w:spacing w:after="20"/>
            </w:pPr>
            <w:r/>
            <w:r>
              <w:rPr>
                <w:sz w:val="17"/>
              </w:rPr>
              <w:t>Medium</w:t>
            </w:r>
          </w:p>
        </w:tc>
      </w:tr>
      <w:tr>
        <w:tc>
          <w:tcPr>
            <w:tcW w:type="dxa" w:w="2381"/>
            <w:shd w:val="clear" w:color="auto" w:fill="F2F5F7"/>
          </w:tcPr>
          <w:p>
            <w:pPr>
              <w:spacing w:after="20"/>
            </w:pPr>
            <w:r/>
            <w:r>
              <w:rPr>
                <w:sz w:val="17"/>
              </w:rPr>
              <w:t>Best role</w:t>
            </w:r>
          </w:p>
        </w:tc>
        <w:tc>
          <w:tcPr>
            <w:tcW w:type="dxa" w:w="2041"/>
            <w:shd w:val="clear" w:color="auto" w:fill="F2F5F7"/>
          </w:tcPr>
          <w:p>
            <w:pPr>
              <w:spacing w:after="20"/>
            </w:pPr>
            <w:r/>
            <w:r>
              <w:rPr>
                <w:sz w:val="17"/>
              </w:rPr>
              <w:t>Main segmentation</w:t>
            </w:r>
          </w:p>
        </w:tc>
        <w:tc>
          <w:tcPr>
            <w:tcW w:type="dxa" w:w="2494"/>
            <w:shd w:val="clear" w:color="auto" w:fill="F2F5F7"/>
          </w:tcPr>
          <w:p>
            <w:pPr>
              <w:spacing w:after="20"/>
            </w:pPr>
            <w:r/>
            <w:r>
              <w:rPr>
                <w:sz w:val="17"/>
              </w:rPr>
              <w:t>Cross-check</w:t>
            </w:r>
          </w:p>
        </w:tc>
        <w:tc>
          <w:tcPr>
            <w:tcW w:type="dxa" w:w="2721"/>
            <w:shd w:val="clear" w:color="auto" w:fill="F2F5F7"/>
          </w:tcPr>
          <w:p>
            <w:pPr>
              <w:spacing w:after="20"/>
            </w:pPr>
            <w:r/>
            <w:r>
              <w:rPr>
                <w:sz w:val="17"/>
              </w:rPr>
              <w:t>Outlier alert</w:t>
            </w:r>
          </w:p>
        </w:tc>
      </w:tr>
    </w:tbl>
    <w:p>
      <w:pPr>
        <w:spacing w:after="160"/>
      </w:pPr>
      <w:r>
        <w:rPr>
          <w:i/>
          <w:sz w:val="18"/>
        </w:rPr>
        <w:t>Table 12. Suitability of each model for an e-commerce catalogue.</w:t>
      </w:r>
    </w:p>
    <w:p>
      <w:pPr>
        <w:pStyle w:val="Heading1"/>
      </w:pPr>
      <w:r>
        <w:t>8. Recommendations for managers</w:t>
      </w:r>
    </w:p>
    <w:p>
      <w:r>
        <w:t>Each recommendation follows from the evidence in one segment (Table 11):</w:t>
      </w:r>
    </w:p>
    <w:p>
      <w:pPr>
        <w:pStyle w:val="ListBullet"/>
      </w:pPr>
      <w:r>
        <w:rPr>
          <w:b/>
        </w:rPr>
        <w:t>Protect the best-sellers (Cluster 2).</w:t>
      </w:r>
      <w:r>
        <w:t xml:space="preserve"> They carry 92% of sales. Set automatic restock alerts when stock falls below 10 units and give these sellers priority in search and fulfilment.</w:t>
      </w:r>
    </w:p>
    <w:p>
      <w:pPr>
        <w:pStyle w:val="ListBullet"/>
      </w:pPr>
      <w:r>
        <w:rPr>
          <w:b/>
        </w:rPr>
        <w:t>Grow the premium segment (Cluster 0).</w:t>
      </w:r>
      <w:r>
        <w:t xml:space="preserve"> Demand is steady but slow. Bundle these listings with best-sellers on product pages and invest in better images and descriptions rather than discounts.</w:t>
      </w:r>
    </w:p>
    <w:p>
      <w:pPr>
        <w:pStyle w:val="ListBullet"/>
      </w:pPr>
      <w:r>
        <w:rPr>
          <w:b/>
        </w:rPr>
        <w:t>Rethink the budget segment (Cluster 1).</w:t>
      </w:r>
      <w:r>
        <w:t xml:space="preserve"> Low prices do not create sales without brand recognition. Stop paid promotion of unbranded items and move that budget to proven brands.</w:t>
      </w:r>
    </w:p>
    <w:p>
      <w:pPr>
        <w:pStyle w:val="ListBullet"/>
      </w:pPr>
      <w:r>
        <w:rPr>
          <w:b/>
        </w:rPr>
        <w:t>Fix the low-stock tail (Cluster 3).</w:t>
      </w:r>
      <w:r>
        <w:t xml:space="preserve"> Ask sellers to restock within 30 days, and delist listings that stay empty and unsold.</w:t>
      </w:r>
    </w:p>
    <w:p>
      <w:pPr>
        <w:pStyle w:val="ListBullet"/>
      </w:pPr>
      <w:r>
        <w:rPr>
          <w:b/>
        </w:rPr>
        <w:t>Operate the model.</w:t>
      </w:r>
      <w:r>
        <w:t xml:space="preserve"> Re-run the segmentation monthly, assign new listings to the nearest centre, and review DBSCAN’s noise points as unusual listings.</w:t>
      </w:r>
    </w:p>
    <w:p>
      <w:r>
        <w:t>Start with the best-sellers and the low-stock tail, because they need the least effort and protect the most revenue. Measure success by stock-outs in Cluster 2, the share of Cluster 3 listings restocked or delisted within 30 days, and sales per advertising dollar in Cluster 1.</w:t>
      </w:r>
    </w:p>
    <w:p>
      <w:pPr>
        <w:pStyle w:val="Heading1"/>
      </w:pPr>
      <w:r>
        <w:t>9. Limitations</w:t>
      </w:r>
    </w:p>
    <w:p>
      <w:r>
        <w:t>The marketplace caps visible stock at 10, so stock above that is unknown. The data is one snapshot of one product family, so the segments may differ for other categories. The clusters describe association, not cause: a premium price does not by itself make a listing slow. Finally, the structure is a continuum, so listings near a boundary can fall in either group.</w:t>
      </w:r>
    </w:p>
    <w:p>
      <w:r>
        <w:t>These limits do not change the main finding, but they set how the results should be used: as a guide for prioritising attention, reviewed monthly, with the stock cap and the narrow product range kept in mind.</w:t>
      </w:r>
    </w:p>
    <w:p>
      <w:pPr>
        <w:pStyle w:val="Heading1"/>
      </w:pPr>
      <w:r>
        <w:t>10. Conclusion and future work</w:t>
      </w:r>
    </w:p>
    <w:p>
      <w:r>
        <w:t>This project shows that a simple, well-prepared K-Means model can turn an unlabelled catalogue into four clear and actionable segments. My main lesson is that preparation mattered more than algorithm choice: recovering values from the listing text and handling the hidden stock cap changed the result more than any tuning. I also learned to treat a weak result honestly: DBSCAN’s poor fit taught us something real about the data.</w:t>
      </w:r>
    </w:p>
    <w:p>
      <w:r>
        <w:t>To extend the work I would add real stock counts and revenue per listing, include text features from the descriptions, track segments over time to see which listings move between them, and test whether the segments predict future sales. I would also build a small dashboard so managers can see each listing’s segment.</w:t>
      </w:r>
    </w:p>
    <w:p>
      <w:pPr>
        <w:pStyle w:val="Heading1"/>
      </w:pPr>
      <w:r>
        <w:t>References</w:t>
      </w:r>
    </w:p>
    <w:p>
      <w:pPr>
        <w:ind w:left="340" w:hanging="340"/>
      </w:pPr>
      <w:r>
        <w:t xml:space="preserve">Davies, D.L. and Bouldin, D.W. (1979) 'A cluster separation measure', </w:t>
      </w:r>
      <w:r>
        <w:rPr>
          <w:i/>
        </w:rPr>
        <w:t>IEEE Transactions on Pattern Analysis and Machine Intelligence</w:t>
      </w:r>
      <w:r>
        <w:t>, PAMI-1(2), pp. 224-227.</w:t>
      </w:r>
    </w:p>
    <w:p>
      <w:pPr>
        <w:ind w:left="340" w:hanging="340"/>
      </w:pPr>
      <w:r>
        <w:t xml:space="preserve">Caliński, T. and Harabasz, J. (1974) 'A dendrite method for cluster analysis', </w:t>
      </w:r>
      <w:r>
        <w:rPr>
          <w:i/>
        </w:rPr>
        <w:t>Communications in Statistics</w:t>
      </w:r>
      <w:r>
        <w:t>, 3(1), pp. 1-27.</w:t>
      </w:r>
    </w:p>
    <w:p>
      <w:pPr>
        <w:ind w:left="340" w:hanging="340"/>
      </w:pPr>
      <w:r>
        <w:t xml:space="preserve">Ester, M., Kriegel, H.-P., Sander, J. and Xu, X. (1996) 'A density-based algorithm for discovering clusters in large spatial databases with noise', in </w:t>
      </w:r>
      <w:r>
        <w:rPr>
          <w:i/>
        </w:rPr>
        <w:t>Proceedings of the Second International Conference on Knowledge Discovery and Data Mining</w:t>
      </w:r>
      <w:r>
        <w:t>. Portland: AAAI Press, pp. 226-231.</w:t>
      </w:r>
    </w:p>
    <w:p>
      <w:pPr>
        <w:ind w:left="340" w:hanging="340"/>
      </w:pPr>
      <w:r>
        <w:t xml:space="preserve">Hubert, L. and Arabie, P. (1985) 'Comparing partitions', </w:t>
      </w:r>
      <w:r>
        <w:rPr>
          <w:i/>
        </w:rPr>
        <w:t>Journal of Classification</w:t>
      </w:r>
      <w:r>
        <w:t>, 2(1), pp. 193-218.</w:t>
      </w:r>
    </w:p>
    <w:p>
      <w:pPr>
        <w:ind w:left="340" w:hanging="340"/>
      </w:pPr>
      <w:r>
        <w:t xml:space="preserve">MacQueen, J. (1967) 'Some methods for classification and analysis of multivariate observations', in </w:t>
      </w:r>
      <w:r>
        <w:rPr>
          <w:i/>
        </w:rPr>
        <w:t>Proceedings of the Fifth Berkeley Symposium on Mathematical Statistics and Probability</w:t>
      </w:r>
      <w:r>
        <w:t>. Berkeley: University of California Press, pp. 281-297.</w:t>
      </w:r>
    </w:p>
    <w:p>
      <w:pPr>
        <w:ind w:left="340" w:hanging="340"/>
      </w:pPr>
      <w:r>
        <w:t xml:space="preserve">Müller, A.C. and Guido, S. (2016) </w:t>
      </w:r>
      <w:r>
        <w:rPr>
          <w:i/>
        </w:rPr>
        <w:t>Introduction to machine learning with Python</w:t>
      </w:r>
      <w:r>
        <w:t>. Sebastopol: O’Reilly Media.</w:t>
      </w:r>
    </w:p>
    <w:p>
      <w:pPr>
        <w:ind w:left="340" w:hanging="340"/>
      </w:pPr>
      <w:r>
        <w:t xml:space="preserve">Pedregosa, F. et al. (2011) 'Scikit-learn: machine learning in Python', </w:t>
      </w:r>
      <w:r>
        <w:rPr>
          <w:i/>
        </w:rPr>
        <w:t>Journal of Machine Learning Research</w:t>
      </w:r>
      <w:r>
        <w:t>, 12, pp. 2825-2830.</w:t>
      </w:r>
    </w:p>
    <w:p>
      <w:pPr>
        <w:ind w:left="340" w:hanging="340"/>
      </w:pPr>
      <w:r>
        <w:t xml:space="preserve">Pearson, K. (1901) 'On lines and planes of closest fit to systems of points in space', </w:t>
      </w:r>
      <w:r>
        <w:rPr>
          <w:i/>
        </w:rPr>
        <w:t>Philosophical Magazine</w:t>
      </w:r>
      <w:r>
        <w:t>, 2(11), pp. 559-572.</w:t>
      </w:r>
    </w:p>
    <w:p>
      <w:pPr>
        <w:ind w:left="340" w:hanging="340"/>
      </w:pPr>
      <w:r>
        <w:t xml:space="preserve">Rousseeuw, P.J. (1987) 'Silhouettes: a graphical aid to the interpretation and validation of cluster analysis', </w:t>
      </w:r>
      <w:r>
        <w:rPr>
          <w:i/>
        </w:rPr>
        <w:t>Journal of Computational and Applied Mathematics</w:t>
      </w:r>
      <w:r>
        <w:t>, 20, pp. 53-65.</w:t>
      </w:r>
    </w:p>
    <w:p>
      <w:pPr>
        <w:ind w:left="340" w:hanging="340"/>
      </w:pPr>
      <w:r>
        <w:t xml:space="preserve">Ward, J.H. (1963) 'Hierarchical grouping to optimize an objective function', </w:t>
      </w:r>
      <w:r>
        <w:rPr>
          <w:i/>
        </w:rPr>
        <w:t>Journal of the American Statistical Association</w:t>
      </w:r>
      <w:r>
        <w:t>, 58(301), pp. 236-244.</w:t>
      </w:r>
    </w:p>
    <w:p>
      <w:r>
        <w:br w:type="page"/>
      </w:r>
    </w:p>
    <w:p>
      <w:pPr>
        <w:pStyle w:val="Heading1"/>
      </w:pPr>
      <w:r>
        <w:t>Appendix A: Code, repository and reproducibility</w:t>
      </w:r>
    </w:p>
    <w:p>
      <w:r>
        <w:t>The full Task 1 code is in one Jupyter notebook that runs end to end (about 30 seconds) on Google Colab or locally. All materials are hosted in the GitHub repository below.</w:t>
      </w:r>
    </w:p>
    <w:p>
      <w:r>
        <w:rPr>
          <w:b/>
        </w:rPr>
        <w:t xml:space="preserve">Repository: </w:t>
      </w:r>
      <w:r>
        <w:t>https://github.com/kvmmn/_COM7022_MachineLearning</w:t>
      </w:r>
    </w:p>
    <w:p>
      <w:r>
        <w:rPr>
          <w:b/>
        </w:rPr>
        <w:t xml:space="preserve">Notebook (full code): </w:t>
      </w:r>
      <w:r>
        <w:t>https://github.com/kvmmn/_COM7022_MachineLearning/blob/main/COM7022%20-%20Assignment/COM7022_Clustering_25199053.ipynb</w:t>
      </w:r>
    </w:p>
    <w:p>
      <w:r>
        <w:rPr>
          <w:b/>
        </w:rPr>
        <w:t xml:space="preserve">Data: </w:t>
      </w:r>
      <w:r>
        <w:t>https://github.com/kvmmn/_COM7022_MachineLearning/blob/main/COM7022%20-%20Assignment/Sales-%5B5444%5D.csv</w:t>
      </w:r>
    </w:p>
    <w:p>
      <w:r>
        <w:rPr>
          <w:b/>
        </w:rPr>
        <w:t xml:space="preserve">Figures: </w:t>
      </w:r>
      <w:r>
        <w:t>https://github.com/kvmmn/_COM7022_MachineLearning/blob/main/COM7022%20-%20Assignment/output/figures</w:t>
      </w:r>
    </w:p>
    <w:p>
      <w:r>
        <w:rPr>
          <w:b/>
        </w:rPr>
        <w:t xml:space="preserve">Tables: </w:t>
      </w:r>
      <w:r>
        <w:t>https://github.com/kvmmn/_COM7022_MachineLearning/blob/main/COM7022%20-%20Assignment/output/tables</w:t>
      </w:r>
    </w:p>
    <w:p>
      <w:r>
        <w:rPr>
          <w:b/>
        </w:rPr>
        <w:t xml:space="preserve">Code screenshots: </w:t>
      </w:r>
      <w:r>
        <w:t>https://github.com/kvmmn/_COM7022_MachineLearning/blob/main/COM7022%20-%20Assignment/output/screenshots</w:t>
      </w:r>
    </w:p>
    <w:p>
      <w:r>
        <w:rPr>
          <w:b/>
        </w:rPr>
        <w:t xml:space="preserve">Interactive review page: </w:t>
      </w:r>
      <w:r>
        <w:t>https://kvmmn.github.io/_COM7022_MachineLearning/</w:t>
      </w:r>
    </w:p>
    <w:p>
      <w:r>
        <w:t>Remaining code screenshots (clustering, hierarchical, DBSCAN and evaluation cells) appear in Sections 3 and 4. The notebook uses fixed random seeds (42), so every figure and table can be regenerated.</w:t>
      </w:r>
    </w:p>
    <w:p>
      <w:r>
        <w:rPr>
          <w:b/>
        </w:rPr>
        <w:t xml:space="preserve">AI use declaration: </w:t>
      </w:r>
      <w:r>
        <w:t>AI tools were used to help structure and proofread this work. All analysis was run, checked and interpreted by me, and every number in this report was verified against the notebook output. (Edit to match the Arden AI policy.)</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COM7022 Machine Learning  |  Student ID 25199053  |  Page </w:t>
    </w:r>
    <w:r>
      <w:rPr>
        <w:sz w:val="17"/>
      </w:rPr>
      <w:fldChar w:fldCharType="begin"/>
    </w:r>
    <w:r>
      <w:rPr>
        <w:sz w:val="17"/>
      </w:rPr>
      <w:instrText xml:space="preserve">PAGE</w:instrText>
    </w:r>
    <w:r>
      <w:rPr>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2B49"/>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002B4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02B4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