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bca82e6dd7c67a4cd093e5dea0cba0a46b0a55c"/>
    <w:p>
      <w:pPr>
        <w:pStyle w:val="Heading1"/>
      </w:pPr>
      <w:r>
        <w:t xml:space="preserve">Computational Methodology &amp; Analytical Framework: Investigating Generative AI Discourse in Architectural Practice</w:t>
      </w:r>
    </w:p>
    <w:p>
      <w:pPr>
        <w:pStyle w:val="FirstParagraph"/>
      </w:pPr>
      <w:r>
        <w:rPr>
          <w:b/>
          <w:bCs/>
        </w:rPr>
        <w:t xml:space="preserve">Author:</w:t>
      </w:r>
      <w:r>
        <w:t xml:space="preserve"> </w:t>
      </w:r>
      <w:r>
        <w:t xml:space="preserve">Kaveh Momeni</w:t>
      </w:r>
      <w:r>
        <w:br/>
      </w:r>
      <w:r>
        <w:rPr>
          <w:b/>
          <w:bCs/>
        </w:rPr>
        <w:t xml:space="preserve">Academic Affiliation:</w:t>
      </w:r>
      <w:r>
        <w:t xml:space="preserve"> </w:t>
      </w:r>
      <w:r>
        <w:t xml:space="preserve">MSc Data Science, Arden University Berlin</w:t>
      </w:r>
      <w:r>
        <w:br/>
      </w:r>
      <w:r>
        <w:rPr>
          <w:b/>
          <w:bCs/>
        </w:rPr>
        <w:t xml:space="preserve">Project:</w:t>
      </w:r>
      <w:r>
        <w:t xml:space="preserve"> </w:t>
      </w:r>
      <w:r>
        <w:t xml:space="preserve">Saintiment — Empirical Sentiment, Agency, and Labor Dynamics in Built Environment GenAI Discourse</w:t>
      </w:r>
      <w:r>
        <w:br/>
      </w:r>
      <w:r>
        <w:rPr>
          <w:b/>
          <w:bCs/>
        </w:rPr>
        <w:t xml:space="preserve">Target Output:</w:t>
      </w:r>
      <w:r>
        <w:t xml:space="preserve"> </w:t>
      </w:r>
      <w:r>
        <w:t xml:space="preserve">Master’s Thesis (Methodology Chapter 3) &amp; Peer-Reviewed Journal Submission (</w:t>
      </w:r>
      <w:r>
        <w:rPr>
          <w:i/>
          <w:iCs/>
        </w:rPr>
        <w:t xml:space="preserve">Design Studies</w:t>
      </w:r>
      <w:r>
        <w:t xml:space="preserve"> </w:t>
      </w:r>
      <w:r>
        <w:t xml:space="preserve">/</w:t>
      </w:r>
      <w:r>
        <w:t xml:space="preserve"> </w:t>
      </w:r>
      <w:r>
        <w:rPr>
          <w:i/>
          <w:iCs/>
        </w:rPr>
        <w:t xml:space="preserve">Automation in Construction</w:t>
      </w:r>
      <w:r>
        <w:t xml:space="preserve">)</w:t>
      </w:r>
    </w:p>
    <w:p>
      <w:r>
        <w:pict>
          <v:rect style="width:0;height:1.5pt" o:hralign="center" o:hrstd="t" o:hr="t"/>
        </w:pict>
      </w:r>
    </w:p>
    <w:bookmarkStart w:id="23" w:name="Xd03f7a7f6fde04b8239c87223f1ec4373130def"/>
    <w:p>
      <w:pPr>
        <w:pStyle w:val="Heading2"/>
      </w:pPr>
      <w:r>
        <w:t xml:space="preserve">1. Epistemological Grounding &amp; Theoretical Framework</w:t>
      </w:r>
    </w:p>
    <w:p>
      <w:pPr>
        <w:pStyle w:val="FirstParagraph"/>
      </w:pPr>
      <w:r>
        <w:t xml:space="preserve">This study investigates how Generative Artificial Intelligence (GenAI) disrupts professional competencies, epistemic agency, and cognitive labor within architecture. Rather than relying on subjective intuition or synthetic approximations, this methodology formalizes a</w:t>
      </w:r>
      <w:r>
        <w:t xml:space="preserve"> </w:t>
      </w:r>
      <w:r>
        <w:rPr>
          <w:b/>
          <w:bCs/>
        </w:rPr>
        <w:t xml:space="preserve">reproducible computational social science framework</w:t>
      </w:r>
      <w:r>
        <w:t xml:space="preserve"> </w:t>
      </w:r>
      <w:r>
        <w:t xml:space="preserve">grounded in three foundational theoretical pillars:</w:t>
      </w:r>
    </w:p>
    <w:p>
      <w:pPr>
        <w:pStyle w:val="SourceCode"/>
      </w:pPr>
      <w:r>
        <w:rPr>
          <w:rStyle w:val="VerbatimChar"/>
        </w:rPr>
        <w:t xml:space="preserve">flowchart TD</w:t>
      </w:r>
      <w:r>
        <w:br/>
      </w:r>
      <w:r>
        <w:rPr>
          <w:rStyle w:val="VerbatimChar"/>
        </w:rPr>
        <w:t xml:space="preserve">    THEORY["Theoretical Triangulation"]</w:t>
      </w:r>
      <w:r>
        <w:br/>
      </w:r>
      <w:r>
        <w:rPr>
          <w:rStyle w:val="VerbatimChar"/>
        </w:rPr>
        <w:t xml:space="preserve">    THEORY --&gt; BRAV["1. Labor Process Theory&lt;br/&gt;(Braverman, 1974)&lt;br/&gt;Conception vs. Execution Separation"]</w:t>
      </w:r>
      <w:r>
        <w:br/>
      </w:r>
      <w:r>
        <w:rPr>
          <w:rStyle w:val="VerbatimChar"/>
        </w:rPr>
        <w:t xml:space="preserve">    THEORY --&gt; SCHON["2. Reflective Practice&lt;br/&gt;(Schön, 1983)&lt;br/&gt;Visuospatial Reflection &amp; Design Agency"]</w:t>
      </w:r>
      <w:r>
        <w:br/>
      </w:r>
      <w:r>
        <w:rPr>
          <w:rStyle w:val="VerbatimChar"/>
        </w:rPr>
        <w:t xml:space="preserve">    THEORY --&gt; CLARK["3. Extended Mind &amp; Offloading&lt;br/&gt;(Clark &amp; Chalmers, 1998)&lt;br/&gt;Cognitive Atrophy vs. Scaffolding"]</w:t>
      </w:r>
      <w:r>
        <w:br/>
      </w:r>
      <w:r>
        <w:br/>
      </w:r>
      <w:r>
        <w:rPr>
          <w:rStyle w:val="VerbatimChar"/>
        </w:rPr>
        <w:t xml:space="preserve">    BRAV &amp; SCHON &amp; CLARK --&gt; NLP["Computational Aspect-Based NLP&lt;br/&gt;Clause-Level Context Windowing"]</w:t>
      </w:r>
      <w:r>
        <w:br/>
      </w:r>
      <w:r>
        <w:rPr>
          <w:rStyle w:val="VerbatimChar"/>
        </w:rPr>
        <w:t xml:space="preserve">    NLP --&gt; STANCE["2D Discursive Stance Geometry&lt;br/&gt;(Agency Axis x Valence Axis)"]</w:t>
      </w:r>
      <w:r>
        <w:br/>
      </w:r>
      <w:r>
        <w:rPr>
          <w:rStyle w:val="VerbatimChar"/>
        </w:rPr>
        <w:t xml:space="preserve">    STANCE --&gt; STATS["Non-Parametric Inferential Testing&lt;br/&gt;(Sarle's BC, Mann-Whitney U, Kruskal-Wallis)"]</w:t>
      </w:r>
    </w:p>
    <w:bookmarkStart w:id="20" w:name="X6029ff0807944a5330eaaba5f93ce296f57fedf"/>
    <w:p>
      <w:pPr>
        <w:pStyle w:val="Heading3"/>
      </w:pPr>
      <w:r>
        <w:t xml:space="preserve">1.1 Labor Process Theory: Conception vs. Execution (Braverman, 1974)</w:t>
      </w:r>
    </w:p>
    <w:p>
      <w:pPr>
        <w:pStyle w:val="FirstParagraph"/>
      </w:pPr>
      <w:r>
        <w:t xml:space="preserve">Harry Braverman’s Labor Process Theory posits that technological mechanization systematically fragments craft knowledge by separating</w:t>
      </w:r>
      <w:r>
        <w:t xml:space="preserve"> </w:t>
      </w:r>
      <w:r>
        <w:rPr>
          <w:b/>
          <w:bCs/>
        </w:rPr>
        <w:t xml:space="preserve">conception</w:t>
      </w:r>
      <w:r>
        <w:t xml:space="preserve"> </w:t>
      </w:r>
      <w:r>
        <w:t xml:space="preserve">(strategic ideation, spatial synthesis) from</w:t>
      </w:r>
      <w:r>
        <w:t xml:space="preserve"> </w:t>
      </w:r>
      <w:r>
        <w:rPr>
          <w:b/>
          <w:bCs/>
        </w:rPr>
        <w:t xml:space="preserve">execution</w:t>
      </w:r>
      <w:r>
        <w:t xml:space="preserve"> </w:t>
      </w:r>
      <w:r>
        <w:t xml:space="preserve">(drafting, detailing, rendering). In traditional digital workflows (BIM, CAD, parametric modeling), architects maintained unified control across both realms. GenAI disrupts this continuity: diffusion models automate execution while natural language prompts intermediate conception. This introduces the risk of epistemic deskilling—the degradation of formal syntactic spatial comprehension and tectonic craft.</w:t>
      </w:r>
    </w:p>
    <w:bookmarkEnd w:id="20"/>
    <w:bookmarkStart w:id="21" w:name="X1bfcb763fa1b071d3513f5aa502e41f0c929ce0"/>
    <w:p>
      <w:pPr>
        <w:pStyle w:val="Heading3"/>
      </w:pPr>
      <w:r>
        <w:t xml:space="preserve">1.2 Reflective Practice &amp; Spatial Agency (Schön, 1983)</w:t>
      </w:r>
    </w:p>
    <w:p>
      <w:pPr>
        <w:pStyle w:val="FirstParagraph"/>
      </w:pPr>
      <w:r>
        <w:t xml:space="preserve">Donald Schön characterizes architectural design as a</w:t>
      </w:r>
      <w:r>
        <w:t xml:space="preserve"> </w:t>
      </w:r>
      <w:r>
        <w:t xml:space="preserve">“reflective conversation with the materials of a situation,”</w:t>
      </w:r>
      <w:r>
        <w:t xml:space="preserve"> </w:t>
      </w:r>
      <w:r>
        <w:t xml:space="preserve">wherein the iterative sketch-critique loop cultivates spatial intuition. When text-to-image synthesis replaces visuospatial reflection with post-hoc curation, the designer risks transforming from an originating author into an algorithmic curator.</w:t>
      </w:r>
    </w:p>
    <w:bookmarkEnd w:id="21"/>
    <w:bookmarkStart w:id="22" w:name="Xdd30f5a46362ad6e8c3f0728174020733584542"/>
    <w:p>
      <w:pPr>
        <w:pStyle w:val="Heading3"/>
      </w:pPr>
      <w:r>
        <w:t xml:space="preserve">1.3 The Extended Mind &amp; Cognitive Offloading (Clark &amp; Chalmers, 1998)</w:t>
      </w:r>
    </w:p>
    <w:p>
      <w:pPr>
        <w:pStyle w:val="FirstParagraph"/>
      </w:pPr>
      <w:r>
        <w:t xml:space="preserve">Cognitive offloading occurs when designers delegate cognitive operations (spatial projection, code compliance verification, physical intuition) to computational artifacts. When offloading leads to cognitive atrophy without foundational spatial mastery, practitioners experience epistemic vulnerability and overreliance on algorithmic hallucinations.</w:t>
      </w:r>
    </w:p>
    <w:p>
      <w:r>
        <w:pict>
          <v:rect style="width:0;height:1.5pt" o:hralign="center" o:hrstd="t" o:hr="t"/>
        </w:pict>
      </w:r>
    </w:p>
    <w:bookmarkEnd w:id="22"/>
    <w:bookmarkEnd w:id="23"/>
    <w:bookmarkStart w:id="24" w:name="Xeffb4b6991663afbe069e7b756f1ce2dd5f462a"/>
    <w:p>
      <w:pPr>
        <w:pStyle w:val="Heading2"/>
      </w:pPr>
      <w:r>
        <w:t xml:space="preserve">2. Data Provenance &amp; PRISMA-S Sampling Protocol</w:t>
      </w:r>
    </w:p>
    <w:p>
      <w:pPr>
        <w:pStyle w:val="FirstParagraph"/>
      </w:pPr>
      <w:r>
        <w:t xml:space="preserve">To ensure 100% academic integrity and reproducibility, this research enforces strict empirical provenance rules compliant with PRISMA-S guidelines:</w:t>
      </w:r>
    </w:p>
    <w:p>
      <w:pPr>
        <w:pStyle w:val="Compact"/>
        <w:numPr>
          <w:ilvl w:val="0"/>
          <w:numId w:val="1001"/>
        </w:numPr>
      </w:pPr>
      <w:r>
        <w:rPr>
          <w:b/>
          <w:bCs/>
        </w:rPr>
        <w:t xml:space="preserve">Empirical Purity:</w:t>
      </w:r>
      <w:r>
        <w:t xml:space="preserve"> </w:t>
      </w:r>
      <w:r>
        <w:t xml:space="preserve">The analysis operates strictly on raw, unmodified social discourse harvested from LinkedIn (</w:t>
      </w:r>
      <m:oMath>
        <m:r>
          <m:t>N</m:t>
        </m:r>
        <m:r>
          <m:rPr>
            <m:sty m:val="p"/>
          </m:rPr>
          <m:t>=</m:t>
        </m:r>
        <m:r>
          <m:t>1</m:t>
        </m:r>
        <m:r>
          <m:rPr>
            <m:sty m:val="p"/>
          </m:rPr>
          <m:t>,</m:t>
        </m:r>
        <m:r>
          <m:t>076</m:t>
        </m:r>
      </m:oMath>
      <w:r>
        <w:t xml:space="preserve">, Run 013).</w:t>
      </w:r>
      <w:r>
        <w:t xml:space="preserve"> </w:t>
      </w:r>
      <w:r>
        <w:rPr>
          <w:b/>
          <w:bCs/>
        </w:rPr>
        <w:t xml:space="preserve">Zero synthetic, simulated, or LLM-rewritten post vignettes are used.</w:t>
      </w:r>
    </w:p>
    <w:p>
      <w:pPr>
        <w:pStyle w:val="Compact"/>
        <w:numPr>
          <w:ilvl w:val="0"/>
          <w:numId w:val="1001"/>
        </w:numPr>
      </w:pPr>
      <w:r>
        <w:rPr>
          <w:b/>
          <w:bCs/>
        </w:rPr>
        <w:t xml:space="preserve">Read-Only Immutability:</w:t>
      </w:r>
      <w:r>
        <w:t xml:space="preserve"> </w:t>
      </w:r>
      <w:r>
        <w:t xml:space="preserve">The SQLite corpus (</w:t>
      </w:r>
      <w:r>
        <w:rPr>
          <w:rStyle w:val="VerbatimChar"/>
        </w:rPr>
        <w:t xml:space="preserve">data/linkedin_genai_architecture_discourse_2026-09-20_run013.db</w:t>
      </w:r>
      <w:r>
        <w:t xml:space="preserve">) is opened strictly in read-only mode (</w:t>
      </w:r>
      <w:r>
        <w:rPr>
          <w:rStyle w:val="VerbatimChar"/>
        </w:rPr>
        <w:t xml:space="preserve">mode=ro</w:t>
      </w:r>
      <w:r>
        <w:t xml:space="preserve">). Cryptographic SHA-256 hashes (</w:t>
      </w:r>
      <w:r>
        <w:rPr>
          <w:rStyle w:val="VerbatimChar"/>
        </w:rPr>
        <w:t xml:space="preserve">f0ea0952ed5ed806...</w:t>
      </w:r>
      <w:r>
        <w:t xml:space="preserve">) are validated before and after execution.</w:t>
      </w:r>
    </w:p>
    <w:p>
      <w:pPr>
        <w:pStyle w:val="Compact"/>
        <w:numPr>
          <w:ilvl w:val="0"/>
          <w:numId w:val="1001"/>
        </w:numPr>
      </w:pPr>
      <w:r>
        <w:rPr>
          <w:b/>
          <w:bCs/>
        </w:rPr>
        <w:t xml:space="preserve">Screening &amp; Deduplication:</w:t>
      </w:r>
      <w:r>
        <w:t xml:space="preserve"> </w:t>
      </w:r>
      <w:r>
        <w:t xml:space="preserve">Posts are fingerprinted using cryptographic hashes; multi-query overlap is deduplicated while recording query vector provenance.</w:t>
      </w:r>
    </w:p>
    <w:p>
      <w:r>
        <w:pict>
          <v:rect style="width:0;height:1.5pt" o:hralign="center" o:hrstd="t" o:hr="t"/>
        </w:pict>
      </w:r>
    </w:p>
    <w:bookmarkEnd w:id="24"/>
    <w:bookmarkStart w:id="27" w:name="computational-nlp-architecture"/>
    <w:p>
      <w:pPr>
        <w:pStyle w:val="Heading2"/>
      </w:pPr>
      <w:r>
        <w:t xml:space="preserve">3. Computational NLP Architecture</w:t>
      </w:r>
    </w:p>
    <w:bookmarkStart w:id="25" w:name="Xbd5a9f46d53f9d6184acd9784ef73a66e709964"/>
    <w:p>
      <w:pPr>
        <w:pStyle w:val="Heading3"/>
      </w:pPr>
      <w:r>
        <w:t xml:space="preserve">3.1 Clause-Level Context-Window Aspect-Based Sentiment Analysis (ABSA)</w:t>
      </w:r>
    </w:p>
    <w:p>
      <w:pPr>
        <w:pStyle w:val="FirstParagraph"/>
      </w:pPr>
      <w:r>
        <w:t xml:space="preserve">Traditional document-level sentiment scoring suffers from severe</w:t>
      </w:r>
      <w:r>
        <w:t xml:space="preserve"> </w:t>
      </w:r>
      <w:r>
        <w:rPr>
          <w:b/>
          <w:bCs/>
        </w:rPr>
        <w:t xml:space="preserve">cross-aspect valence leakage</w:t>
      </w:r>
      <w:r>
        <w:t xml:space="preserve">: a post praising Midjourney’s rendering while criticizing its structural unreliability is assigned a misleading average score.</w:t>
      </w:r>
    </w:p>
    <w:p>
      <w:pPr>
        <w:pStyle w:val="BodyText"/>
      </w:pPr>
      <w:r>
        <w:t xml:space="preserve">To eliminate this limitation, our pipeline implements a</w:t>
      </w:r>
      <w:r>
        <w:t xml:space="preserve"> </w:t>
      </w:r>
      <w:r>
        <w:rPr>
          <w:b/>
          <w:bCs/>
        </w:rPr>
        <w:t xml:space="preserve">hierarchical context-window scoring function</w:t>
      </w:r>
      <w:r>
        <w:t xml:space="preserve">:</w:t>
      </w:r>
    </w:p>
    <w:p>
      <w:pPr>
        <w:pStyle w:val="BodyText"/>
      </w:pPr>
      <m:oMathPara>
        <m:oMathParaPr>
          <m:jc m:val="center"/>
        </m:oMathParaPr>
        <m:oMath>
          <m:r>
            <m:rPr>
              <m:nor/>
              <m:sty m:val="p"/>
            </m:rPr>
            <m:t>Polarity</m:t>
          </m:r>
          <m:d>
            <m:dPr>
              <m:begChr m:val="("/>
              <m:sepChr m:val=""/>
              <m:endChr m:val=")"/>
              <m:grow/>
            </m:dPr>
            <m:e>
              <m:sSub>
                <m:e>
                  <m:r>
                    <m:t>A</m:t>
                  </m:r>
                </m:e>
                <m:sub>
                  <m:r>
                    <m:t>k</m:t>
                  </m:r>
                </m:sub>
              </m:sSub>
              <m:r>
                <m:rPr>
                  <m:sty m:val="p"/>
                </m:rPr>
                <m:t>,</m:t>
              </m:r>
              <m:r>
                <m:t>D</m:t>
              </m:r>
            </m:e>
          </m:d>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mean</m:t>
                    </m:r>
                    <m:d>
                      <m:dPr>
                        <m:begChr m:val="("/>
                        <m:sepChr m:val=""/>
                        <m:endChr m:val=")"/>
                        <m:grow/>
                      </m:dPr>
                      <m:e>
                        <m:r>
                          <m:rPr>
                            <m:sty m:val="p"/>
                          </m:rPr>
                          <m:t>{</m:t>
                        </m:r>
                        <m:r>
                          <m:t>v</m:t>
                        </m:r>
                        <m:d>
                          <m:dPr>
                            <m:begChr m:val="("/>
                            <m:sepChr m:val=""/>
                            <m:endChr m:val=")"/>
                            <m:grow/>
                          </m:dPr>
                          <m:e>
                            <m:sSub>
                              <m:e>
                                <m:r>
                                  <m:t>s</m:t>
                                </m:r>
                              </m:e>
                              <m:sub>
                                <m:r>
                                  <m:t>i</m:t>
                                </m:r>
                              </m:sub>
                            </m:sSub>
                          </m:e>
                        </m:d>
                        <m:r>
                          <m:rPr>
                            <m:sty m:val="p"/>
                          </m:rPr>
                          <m:t>∣</m:t>
                        </m:r>
                        <m:sSub>
                          <m:e>
                            <m:r>
                              <m:t>s</m:t>
                            </m:r>
                          </m:e>
                          <m:sub>
                            <m:r>
                              <m:t>i</m:t>
                            </m:r>
                          </m:sub>
                        </m:sSub>
                        <m:r>
                          <m:rPr>
                            <m:sty m:val="p"/>
                          </m:rPr>
                          <m:t>∈</m:t>
                        </m:r>
                        <m:r>
                          <m:t>S</m:t>
                        </m:r>
                        <m:d>
                          <m:dPr>
                            <m:begChr m:val="("/>
                            <m:sepChr m:val=""/>
                            <m:endChr m:val=")"/>
                            <m:grow/>
                          </m:dPr>
                          <m:e>
                            <m:sSub>
                              <m:e>
                                <m:r>
                                  <m:t>A</m:t>
                                </m:r>
                              </m:e>
                              <m:sub>
                                <m:r>
                                  <m:t>k</m:t>
                                </m:r>
                              </m:sub>
                            </m:sSub>
                          </m:e>
                        </m:d>
                        <m:r>
                          <m:rPr>
                            <m:sty m:val="p"/>
                          </m:rPr>
                          <m:t>,</m:t>
                        </m:r>
                        <m:r>
                          <m:t>v</m:t>
                        </m:r>
                        <m:d>
                          <m:dPr>
                            <m:begChr m:val="("/>
                            <m:sepChr m:val=""/>
                            <m:endChr m:val=")"/>
                            <m:grow/>
                          </m:dPr>
                          <m:e>
                            <m:sSub>
                              <m:e>
                                <m:r>
                                  <m:t>s</m:t>
                                </m:r>
                              </m:e>
                              <m:sub>
                                <m:r>
                                  <m:t>i</m:t>
                                </m:r>
                              </m:sub>
                            </m:sSub>
                          </m:e>
                        </m:d>
                        <m:r>
                          <m:rPr>
                            <m:sty m:val="p"/>
                          </m:rPr>
                          <m:t>≠</m:t>
                        </m:r>
                        <m:r>
                          <m:t>0</m:t>
                        </m:r>
                        <m:r>
                          <m:rPr>
                            <m:sty m:val="p"/>
                          </m:rPr>
                          <m:t>}</m:t>
                        </m:r>
                      </m:e>
                    </m:d>
                  </m:e>
                  <m:e>
                    <m:r>
                      <m:rPr>
                        <m:nor/>
                        <m:sty m:val="p"/>
                      </m:rPr>
                      <m:t>if </m:t>
                    </m:r>
                    <m:r>
                      <m:rPr>
                        <m:sty m:val="p"/>
                      </m:rPr>
                      <m:t>∃</m:t>
                    </m:r>
                    <m:r>
                      <m:t>v</m:t>
                    </m:r>
                    <m:d>
                      <m:dPr>
                        <m:begChr m:val="("/>
                        <m:sepChr m:val=""/>
                        <m:endChr m:val=")"/>
                        <m:grow/>
                      </m:dPr>
                      <m:e>
                        <m:sSub>
                          <m:e>
                            <m:r>
                              <m:t>s</m:t>
                            </m:r>
                          </m:e>
                          <m:sub>
                            <m:r>
                              <m:t>i</m:t>
                            </m:r>
                          </m:sub>
                        </m:sSub>
                      </m:e>
                    </m:d>
                    <m:r>
                      <m:rPr>
                        <m:sty m:val="p"/>
                      </m:rPr>
                      <m:t>≠</m:t>
                    </m:r>
                    <m:r>
                      <m:t>0</m:t>
                    </m:r>
                  </m:e>
                </m:mr>
                <m:mr>
                  <m:e>
                    <m:r>
                      <m:rPr>
                        <m:nor/>
                        <m:sty m:val="p"/>
                      </m:rPr>
                      <m:t>mean</m:t>
                    </m:r>
                    <m:d>
                      <m:dPr>
                        <m:begChr m:val="("/>
                        <m:sepChr m:val=""/>
                        <m:endChr m:val=")"/>
                        <m:grow/>
                      </m:dPr>
                      <m:e>
                        <m:r>
                          <m:rPr>
                            <m:sty m:val="p"/>
                          </m:rPr>
                          <m:t>{</m:t>
                        </m:r>
                        <m:r>
                          <m:t>v</m:t>
                        </m:r>
                        <m:d>
                          <m:dPr>
                            <m:begChr m:val="("/>
                            <m:sepChr m:val=""/>
                            <m:endChr m:val=")"/>
                            <m:grow/>
                          </m:dPr>
                          <m:e>
                            <m:sSub>
                              <m:e>
                                <m:r>
                                  <m:t>s</m:t>
                                </m:r>
                              </m:e>
                              <m:sub>
                                <m:r>
                                  <m:t>j</m:t>
                                </m:r>
                              </m:sub>
                            </m:sSub>
                          </m:e>
                        </m:d>
                        <m:r>
                          <m:rPr>
                            <m:sty m:val="p"/>
                          </m:rPr>
                          <m:t>∣</m:t>
                        </m:r>
                        <m:sSub>
                          <m:e>
                            <m:r>
                              <m:t>s</m:t>
                            </m:r>
                          </m:e>
                          <m:sub>
                            <m:r>
                              <m:t>j</m:t>
                            </m:r>
                          </m:sub>
                        </m:sSub>
                        <m:r>
                          <m:rPr>
                            <m:sty m:val="p"/>
                          </m:rPr>
                          <m:t>∈</m:t>
                        </m:r>
                        <m:sSub>
                          <m:e>
                            <m:r>
                              <m:t>W</m:t>
                            </m:r>
                          </m:e>
                          <m:sub>
                            <m:r>
                              <m:t>1</m:t>
                            </m:r>
                          </m:sub>
                        </m:sSub>
                        <m:d>
                          <m:dPr>
                            <m:begChr m:val="("/>
                            <m:sepChr m:val=""/>
                            <m:endChr m:val=")"/>
                            <m:grow/>
                          </m:dPr>
                          <m:e>
                            <m:sSub>
                              <m:e>
                                <m:r>
                                  <m:t>A</m:t>
                                </m:r>
                              </m:e>
                              <m:sub>
                                <m:r>
                                  <m:t>k</m:t>
                                </m:r>
                              </m:sub>
                            </m:sSub>
                          </m:e>
                        </m:d>
                        <m:r>
                          <m:rPr>
                            <m:sty m:val="p"/>
                          </m:rPr>
                          <m:t>,</m:t>
                        </m:r>
                        <m:r>
                          <m:t>v</m:t>
                        </m:r>
                        <m:d>
                          <m:dPr>
                            <m:begChr m:val="("/>
                            <m:sepChr m:val=""/>
                            <m:endChr m:val=")"/>
                            <m:grow/>
                          </m:dPr>
                          <m:e>
                            <m:sSub>
                              <m:e>
                                <m:r>
                                  <m:t>s</m:t>
                                </m:r>
                              </m:e>
                              <m:sub>
                                <m:r>
                                  <m:t>j</m:t>
                                </m:r>
                              </m:sub>
                            </m:sSub>
                          </m:e>
                        </m:d>
                        <m:r>
                          <m:rPr>
                            <m:sty m:val="p"/>
                          </m:rPr>
                          <m:t>≠</m:t>
                        </m:r>
                        <m:r>
                          <m:t>0</m:t>
                        </m:r>
                        <m:r>
                          <m:rPr>
                            <m:sty m:val="p"/>
                          </m:rPr>
                          <m:t>}</m:t>
                        </m:r>
                      </m:e>
                    </m:d>
                  </m:e>
                  <m:e>
                    <m:r>
                      <m:rPr>
                        <m:nor/>
                        <m:sty m:val="p"/>
                      </m:rPr>
                      <m:t>if direct clause is neutral</m:t>
                    </m:r>
                  </m:e>
                </m:mr>
                <m:mr>
                  <m:e>
                    <m:r>
                      <m:t>0.0</m:t>
                    </m:r>
                  </m:e>
                  <m:e>
                    <m:r>
                      <m:rPr>
                        <m:nor/>
                        <m:sty m:val="p"/>
                      </m:rPr>
                      <m:t>if context is neutral</m:t>
                    </m:r>
                  </m:e>
                </m:mr>
                <m:mr>
                  <m:e>
                    <m:r>
                      <m:rPr>
                        <m:nor/>
                        <m:sty m:val="p"/>
                      </m:rPr>
                      <m:t>NaN</m:t>
                    </m:r>
                  </m:e>
                  <m:e>
                    <m:r>
                      <m:rPr>
                        <m:nor/>
                        <m:sty m:val="p"/>
                      </m:rPr>
                      <m:t>if aspect </m:t>
                    </m:r>
                    <m:sSub>
                      <m:e>
                        <m:r>
                          <m:t>A</m:t>
                        </m:r>
                      </m:e>
                      <m:sub>
                        <m:r>
                          <m:t>k</m:t>
                        </m:r>
                      </m:sub>
                    </m:sSub>
                    <m:r>
                      <m:rPr>
                        <m:sty m:val="p"/>
                      </m:rPr>
                      <m:t>∉</m:t>
                    </m:r>
                    <m:r>
                      <m:t>D</m:t>
                    </m:r>
                  </m:e>
                </m:mr>
              </m:m>
            </m:e>
          </m:d>
        </m:oMath>
      </m:oMathPara>
    </w:p>
    <w:p>
      <w:pPr>
        <w:pStyle w:val="FirstParagraph"/>
      </w:pPr>
      <w:r>
        <w:t xml:space="preserve">Where:</w:t>
      </w:r>
      <w:r>
        <w:t xml:space="preserve"> </w:t>
      </w:r>
      <w:r>
        <w:t xml:space="preserve">-</w:t>
      </w:r>
      <w:r>
        <w:t xml:space="preserve"> </w:t>
      </w:r>
      <m:oMath>
        <m:r>
          <m:t>D</m:t>
        </m:r>
      </m:oMath>
      <w:r>
        <w:t xml:space="preserve"> </w:t>
      </w:r>
      <w:r>
        <w:t xml:space="preserve">is the document token sequence, decomposed into sentence clauses</w:t>
      </w:r>
      <w:r>
        <w:t xml:space="preserve"> </w:t>
      </w:r>
      <m:oMath>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m</m:t>
            </m:r>
          </m:sub>
        </m:sSub>
        <m:r>
          <m:rPr>
            <m:sty m:val="p"/>
          </m:rPr>
          <m:t>}</m:t>
        </m:r>
      </m:oMath>
      <w:r>
        <w:t xml:space="preserve">.</w:t>
      </w:r>
      <w:r>
        <w:t xml:space="preserve"> </w:t>
      </w:r>
      <w:r>
        <w:t xml:space="preserve">-</w:t>
      </w:r>
      <w:r>
        <w:t xml:space="preserve"> </w:t>
      </w:r>
      <m:oMath>
        <m:sSub>
          <m:e>
            <m:r>
              <m:t>A</m:t>
            </m:r>
          </m:e>
          <m:sub>
            <m:r>
              <m:t>k</m:t>
            </m:r>
          </m:sub>
        </m:sSub>
      </m:oMath>
      <w:r>
        <w:t xml:space="preserve"> </w:t>
      </w:r>
      <w:r>
        <w:t xml:space="preserve">is one of the five research aspects defined in the architectural domain ontology.</w:t>
      </w:r>
      <w:r>
        <w:t xml:space="preserve"> </w:t>
      </w:r>
      <w:r>
        <w:t xml:space="preserve">-</w:t>
      </w:r>
      <w:r>
        <w:t xml:space="preserve"> </w:t>
      </w:r>
      <m:oMath>
        <m:r>
          <m:t>S</m:t>
        </m:r>
        <m:d>
          <m:dPr>
            <m:begChr m:val="("/>
            <m:sepChr m:val=""/>
            <m:endChr m:val=")"/>
            <m:grow/>
          </m:dPr>
          <m:e>
            <m:sSub>
              <m:e>
                <m:r>
                  <m:t>A</m:t>
                </m:r>
              </m:e>
              <m:sub>
                <m:r>
                  <m:t>k</m:t>
                </m:r>
              </m:sub>
            </m:sSub>
          </m:e>
        </m:d>
      </m:oMath>
      <w:r>
        <w:t xml:space="preserve"> </w:t>
      </w:r>
      <w:r>
        <w:t xml:space="preserve">is the set of clauses containing explicit aspect keywords.</w:t>
      </w:r>
      <w:r>
        <w:t xml:space="preserve"> </w:t>
      </w:r>
      <w:r>
        <w:t xml:space="preserve">-</w:t>
      </w:r>
      <w:r>
        <w:t xml:space="preserve"> </w:t>
      </w:r>
      <m:oMath>
        <m:sSub>
          <m:e>
            <m:r>
              <m:t>W</m:t>
            </m:r>
          </m:e>
          <m:sub>
            <m:r>
              <m:t>1</m:t>
            </m:r>
          </m:sub>
        </m:sSub>
        <m:d>
          <m:dPr>
            <m:begChr m:val="("/>
            <m:sepChr m:val=""/>
            <m:endChr m:val=")"/>
            <m:grow/>
          </m:dPr>
          <m:e>
            <m:sSub>
              <m:e>
                <m:r>
                  <m:t>A</m:t>
                </m:r>
              </m:e>
              <m:sub>
                <m:r>
                  <m:t>k</m:t>
                </m:r>
              </m:sub>
            </m:sSub>
          </m:e>
        </m:d>
      </m:oMath>
      <w:r>
        <w:t xml:space="preserve"> </w:t>
      </w:r>
      <w:r>
        <w:t xml:space="preserve">is the localized context window spanning adjacent clauses (</w:t>
      </w:r>
      <m:oMath>
        <m:r>
          <m:t>i</m:t>
        </m:r>
        <m:r>
          <m:rPr>
            <m:sty m:val="p"/>
          </m:rPr>
          <m:t>±</m:t>
        </m:r>
        <m:r>
          <m:t>1</m:t>
        </m:r>
      </m:oMath>
      <w:r>
        <w:t xml:space="preserve">).</w:t>
      </w:r>
      <w:r>
        <w:t xml:space="preserve"> </w:t>
      </w:r>
      <w:r>
        <w:t xml:space="preserve">-</w:t>
      </w:r>
      <w:r>
        <w:t xml:space="preserve"> </w:t>
      </w:r>
      <m:oMath>
        <m:r>
          <m:t>v</m:t>
        </m:r>
        <m:d>
          <m:dPr>
            <m:begChr m:val="("/>
            <m:sepChr m:val=""/>
            <m:endChr m:val=")"/>
            <m:grow/>
          </m:dPr>
          <m:e>
            <m:r>
              <m:t>s</m:t>
            </m:r>
          </m:e>
        </m:d>
      </m:oMath>
      <w:r>
        <w:t xml:space="preserve"> </w:t>
      </w:r>
      <w:r>
        <w:t xml:space="preserve">is the clause valence function.</w:t>
      </w:r>
    </w:p>
    <w:p>
      <w:pPr>
        <w:pStyle w:val="SourceCode"/>
      </w:pPr>
      <w:r>
        <w:rPr>
          <w:rStyle w:val="VerbatimChar"/>
        </w:rPr>
        <w:t xml:space="preserve">flowchart TD</w:t>
      </w:r>
      <w:r>
        <w:br/>
      </w:r>
      <w:r>
        <w:rPr>
          <w:rStyle w:val="VerbatimChar"/>
        </w:rPr>
        <w:t xml:space="preserve">    TEXT["Document Text D"] --&gt; SPLIT["Clause/Sentence Segmentation s_1, s_2, ... s_m"]</w:t>
      </w:r>
      <w:r>
        <w:br/>
      </w:r>
      <w:r>
        <w:rPr>
          <w:rStyle w:val="VerbatimChar"/>
        </w:rPr>
        <w:t xml:space="preserve">    SPLIT --&gt; SCAN["Aspect Keyword Scanner (Ontology RQ1-RQ3b)"]</w:t>
      </w:r>
      <w:r>
        <w:br/>
      </w:r>
      <w:r>
        <w:rPr>
          <w:rStyle w:val="VerbatimChar"/>
        </w:rPr>
        <w:t xml:space="preserve">    SCAN --&gt; CHECK{"Aspect Found in s_i?"}</w:t>
      </w:r>
      <w:r>
        <w:br/>
      </w:r>
      <w:r>
        <w:rPr>
          <w:rStyle w:val="VerbatimChar"/>
        </w:rPr>
        <w:t xml:space="preserve">    CHECK -- No --&gt; NAN["Aspect Score = NaN"]</w:t>
      </w:r>
      <w:r>
        <w:br/>
      </w:r>
      <w:r>
        <w:rPr>
          <w:rStyle w:val="VerbatimChar"/>
        </w:rPr>
        <w:t xml:space="preserve">    CHECK -- Yes --&gt; DIR["Evaluate Direct Clause Valence v(s_i)"]</w:t>
      </w:r>
      <w:r>
        <w:br/>
      </w:r>
      <w:r>
        <w:rPr>
          <w:rStyle w:val="VerbatimChar"/>
        </w:rPr>
        <w:t xml:space="preserve">    DIR --&gt; DIR_VAL{"|v(s_i)| &gt; 0?"}</w:t>
      </w:r>
      <w:r>
        <w:br/>
      </w:r>
      <w:r>
        <w:rPr>
          <w:rStyle w:val="VerbatimChar"/>
        </w:rPr>
        <w:t xml:space="preserve">    DIR_VAL -- Yes --&gt; ASSIGN["Aspect Score = v(s_i)&lt;br/&gt;(Zero Leakage)"]</w:t>
      </w:r>
      <w:r>
        <w:br/>
      </w:r>
      <w:r>
        <w:rPr>
          <w:rStyle w:val="VerbatimChar"/>
        </w:rPr>
        <w:t xml:space="preserve">    DIR_VAL -- No --&gt; WIN["Evaluate Local Window s_{i-1}, s_i, s_{i+1}"]</w:t>
      </w:r>
      <w:r>
        <w:br/>
      </w:r>
      <w:r>
        <w:rPr>
          <w:rStyle w:val="VerbatimChar"/>
        </w:rPr>
        <w:t xml:space="preserve">    WIN --&gt; WIN_ASSIGN["Aspect Score = mean(Window Valence)"]</w:t>
      </w:r>
    </w:p>
    <w:bookmarkEnd w:id="25"/>
    <w:bookmarkStart w:id="26" w:name="valence-shifter-modifier-engine"/>
    <w:p>
      <w:pPr>
        <w:pStyle w:val="Heading3"/>
      </w:pPr>
      <w:r>
        <w:t xml:space="preserve">3.2 Valence Shifter &amp; Modifier Engine</w:t>
      </w:r>
    </w:p>
    <w:p>
      <w:pPr>
        <w:pStyle w:val="FirstParagraph"/>
      </w:pPr>
      <w:r>
        <w:t xml:space="preserve">Clause valence</w:t>
      </w:r>
      <w:r>
        <w:t xml:space="preserve"> </w:t>
      </w:r>
      <m:oMath>
        <m:r>
          <m:t>v</m:t>
        </m:r>
        <m:d>
          <m:dPr>
            <m:begChr m:val="("/>
            <m:sepChr m:val=""/>
            <m:endChr m:val=")"/>
            <m:grow/>
          </m:dPr>
          <m:e>
            <m:r>
              <m:t>s</m:t>
            </m:r>
          </m:e>
        </m:d>
      </m:oMath>
      <w:r>
        <w:t xml:space="preserve"> </w:t>
      </w:r>
      <w:r>
        <w:t xml:space="preserve">incorporates asymmetric negation inversion and degree intensifier attenuation within a 3-token left window:</w:t>
      </w:r>
    </w:p>
    <w:p>
      <w:pPr>
        <w:pStyle w:val="BodyText"/>
      </w:pPr>
      <m:oMathPara>
        <m:oMathParaPr>
          <m:jc m:val="center"/>
        </m:oMathParaPr>
        <m:oMath>
          <m:r>
            <m:t>v</m:t>
          </m:r>
          <m:d>
            <m:dPr>
              <m:begChr m:val="("/>
              <m:sepChr m:val=""/>
              <m:endChr m:val=")"/>
              <m:grow/>
            </m:dPr>
            <m:e>
              <m:r>
                <m:t>s</m:t>
              </m:r>
            </m:e>
          </m:d>
          <m:r>
            <m:rPr>
              <m:sty m:val="p"/>
            </m:rPr>
            <m:t>=</m:t>
          </m:r>
          <m:f>
            <m:fPr>
              <m:type m:val="bar"/>
            </m:fPr>
            <m:num>
              <m:r>
                <m:t>1</m:t>
              </m:r>
            </m:num>
            <m:den>
              <m:d>
                <m:dPr>
                  <m:begChr m:val="|"/>
                  <m:sepChr m:val=""/>
                  <m:endChr m:val="|"/>
                  <m:grow/>
                </m:dPr>
                <m:e>
                  <m:sSub>
                    <m:e>
                      <m:r>
                        <m:t>T</m:t>
                      </m:r>
                    </m:e>
                    <m:sub>
                      <m:r>
                        <m:rPr>
                          <m:nor/>
                          <m:sty m:val="p"/>
                        </m:rPr>
                        <m:t>val</m:t>
                      </m:r>
                    </m:sub>
                  </m:sSub>
                </m:e>
              </m:d>
            </m:den>
          </m:f>
          <m:nary>
            <m:naryPr>
              <m:chr m:val="∑"/>
              <m:limLoc m:val="undOvr"/>
              <m:subHide m:val="off"/>
              <m:supHide m:val="on"/>
            </m:naryPr>
            <m:sub>
              <m:sSub>
                <m:e>
                  <m:r>
                    <m:t>w</m:t>
                  </m:r>
                </m:e>
                <m:sub>
                  <m:r>
                    <m:t>i</m:t>
                  </m:r>
                </m:sub>
              </m:sSub>
              <m:r>
                <m:rPr>
                  <m:sty m:val="p"/>
                </m:rPr>
                <m:t>∈</m:t>
              </m:r>
              <m:sSub>
                <m:e>
                  <m:r>
                    <m:t>T</m:t>
                  </m:r>
                </m:e>
                <m:sub>
                  <m:r>
                    <m:rPr>
                      <m:nor/>
                      <m:sty m:val="p"/>
                    </m:rPr>
                    <m:t>val</m:t>
                  </m:r>
                </m:sub>
              </m:sSub>
            </m:sub>
            <m:sup>
              <m:r>
                <m:t>​</m:t>
              </m:r>
            </m:sup>
            <m:e>
              <m:r>
                <m:t>ω</m:t>
              </m:r>
            </m:e>
          </m:nary>
          <m:d>
            <m:dPr>
              <m:begChr m:val="("/>
              <m:sepChr m:val=""/>
              <m:endChr m:val=")"/>
              <m:grow/>
            </m:dPr>
            <m:e>
              <m:sSub>
                <m:e>
                  <m:r>
                    <m:t>w</m:t>
                  </m:r>
                </m:e>
                <m:sub>
                  <m:r>
                    <m:t>i</m:t>
                  </m:r>
                </m:sub>
              </m:sSub>
            </m:e>
          </m:d>
          <m:r>
            <m:rPr>
              <m:sty m:val="p"/>
            </m:rPr>
            <m:t>⋅</m:t>
          </m:r>
          <m:sSub>
            <m:e>
              <m:r>
                <m:t>μ</m:t>
              </m:r>
            </m:e>
            <m:sub>
              <m:r>
                <m:rPr>
                  <m:nor/>
                  <m:sty m:val="p"/>
                </m:rPr>
                <m:t>neg</m:t>
              </m:r>
            </m:sub>
          </m:sSub>
          <m:d>
            <m:dPr>
              <m:begChr m:val="("/>
              <m:sepChr m:val=""/>
              <m:endChr m:val=")"/>
              <m:grow/>
            </m:dPr>
            <m:e>
              <m:sSub>
                <m:e>
                  <m:r>
                    <m:t>w</m:t>
                  </m:r>
                </m:e>
                <m:sub>
                  <m:r>
                    <m:t>i</m:t>
                  </m:r>
                  <m:r>
                    <m:rPr>
                      <m:sty m:val="p"/>
                    </m:rPr>
                    <m:t>−</m:t>
                  </m:r>
                  <m:r>
                    <m:t>3</m:t>
                  </m:r>
                  <m:r>
                    <m:rPr>
                      <m:sty m:val="p"/>
                    </m:rPr>
                    <m:t>:</m:t>
                  </m:r>
                  <m:r>
                    <m:t>i</m:t>
                  </m:r>
                </m:sub>
              </m:sSub>
            </m:e>
          </m:d>
          <m:r>
            <m:rPr>
              <m:sty m:val="p"/>
            </m:rPr>
            <m:t>⋅</m:t>
          </m:r>
          <m:sSub>
            <m:e>
              <m:r>
                <m:t>μ</m:t>
              </m:r>
            </m:e>
            <m:sub>
              <m:r>
                <m:rPr>
                  <m:nor/>
                  <m:sty m:val="p"/>
                </m:rPr>
                <m:t>int</m:t>
              </m:r>
            </m:sub>
          </m:sSub>
          <m:d>
            <m:dPr>
              <m:begChr m:val="("/>
              <m:sepChr m:val=""/>
              <m:endChr m:val=")"/>
              <m:grow/>
            </m:dPr>
            <m:e>
              <m:sSub>
                <m:e>
                  <m:r>
                    <m:t>w</m:t>
                  </m:r>
                </m:e>
                <m:sub>
                  <m:r>
                    <m:t>i</m:t>
                  </m:r>
                  <m:r>
                    <m:rPr>
                      <m:sty m:val="p"/>
                    </m:rPr>
                    <m:t>−</m:t>
                  </m:r>
                  <m:r>
                    <m:t>2</m:t>
                  </m:r>
                  <m:r>
                    <m:rPr>
                      <m:sty m:val="p"/>
                    </m:rPr>
                    <m:t>:</m:t>
                  </m:r>
                  <m:r>
                    <m:t>i</m:t>
                  </m:r>
                </m:sub>
              </m:sSub>
            </m:e>
          </m:d>
        </m:oMath>
      </m:oMathPara>
    </w:p>
    <w:p>
      <w:pPr>
        <w:pStyle w:val="Compact"/>
        <w:numPr>
          <w:ilvl w:val="0"/>
          <w:numId w:val="1002"/>
        </w:numPr>
      </w:pPr>
      <w:r>
        <w:rPr>
          <w:b/>
          <w:bCs/>
        </w:rPr>
        <w:t xml:space="preserve">Negation Inversion:</w:t>
      </w:r>
      <w:r>
        <w:t xml:space="preserve"> </w:t>
      </w:r>
      <w:r>
        <w:t xml:space="preserve">If</w:t>
      </w:r>
      <w:r>
        <w:t xml:space="preserve"> </w:t>
      </w:r>
      <m:oMath>
        <m:r>
          <m:rPr>
            <m:sty m:val="p"/>
          </m:rPr>
          <m:t>∃</m:t>
        </m:r>
        <m:r>
          <m:t>t</m:t>
        </m:r>
        <m:r>
          <m:rPr>
            <m:sty m:val="p"/>
          </m:rPr>
          <m:t>∈</m:t>
        </m:r>
        <m:r>
          <m:rPr>
            <m:sty m:val="p"/>
          </m:rPr>
          <m:t>{</m:t>
        </m:r>
        <m:r>
          <m:rPr>
            <m:nor/>
            <m:sty m:val="p"/>
          </m:rPr>
          <m:t>not, no, never, without, can’t</m:t>
        </m:r>
        <m:r>
          <m:rPr>
            <m:sty m:val="p"/>
          </m:rPr>
          <m:t>}</m:t>
        </m:r>
      </m:oMath>
      <w:r>
        <w:t xml:space="preserve"> </w:t>
      </w:r>
      <w:r>
        <w:t xml:space="preserve">within 3 tokens preceding</w:t>
      </w:r>
      <w:r>
        <w:t xml:space="preserve"> </w:t>
      </w:r>
      <m:oMath>
        <m:sSub>
          <m:e>
            <m:r>
              <m:t>w</m:t>
            </m:r>
          </m:e>
          <m:sub>
            <m:r>
              <m:t>i</m:t>
            </m:r>
          </m:sub>
        </m:sSub>
      </m:oMath>
      <w:r>
        <w:t xml:space="preserve">:</w:t>
      </w:r>
    </w:p>
    <w:p>
      <w:pPr>
        <w:pStyle w:val="Compact"/>
      </w:pPr>
      <m:oMathPara>
        <m:oMathParaPr>
          <m:jc m:val="center"/>
        </m:oMathParaPr>
        <m:oMath>
          <m:sSub>
            <m:e>
              <m:r>
                <m:t>μ</m:t>
              </m:r>
            </m:e>
            <m:sub>
              <m:r>
                <m:rPr>
                  <m:nor/>
                  <m:sty m:val="p"/>
                </m:rPr>
                <m:t>neg</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0.75</m:t>
                    </m:r>
                  </m:e>
                  <m:e>
                    <m:r>
                      <m:rPr>
                        <m:nor/>
                        <m:sty m:val="p"/>
                      </m:rPr>
                      <m:t>if </m:t>
                    </m:r>
                    <m:r>
                      <m:t>ω</m:t>
                    </m:r>
                    <m:d>
                      <m:dPr>
                        <m:begChr m:val="("/>
                        <m:sepChr m:val=""/>
                        <m:endChr m:val=")"/>
                        <m:grow/>
                      </m:dPr>
                      <m:e>
                        <m:sSub>
                          <m:e>
                            <m:r>
                              <m:t>w</m:t>
                            </m:r>
                          </m:e>
                          <m:sub>
                            <m:r>
                              <m:t>i</m:t>
                            </m:r>
                          </m:sub>
                        </m:sSub>
                      </m:e>
                    </m:d>
                    <m:r>
                      <m:rPr>
                        <m:sty m:val="p"/>
                      </m:rPr>
                      <m:t>&gt;</m:t>
                    </m:r>
                    <m:r>
                      <m:t>0</m:t>
                    </m:r>
                    <m:r>
                      <m:rPr>
                        <m:nor/>
                        <m:sty m:val="p"/>
                      </m:rPr>
                      <m:t> (e.g., ’not innovative’)</m:t>
                    </m:r>
                  </m:e>
                </m:mr>
                <m:mr>
                  <m:e>
                    <m:r>
                      <m:rPr>
                        <m:sty m:val="p"/>
                      </m:rPr>
                      <m:t>+</m:t>
                    </m:r>
                    <m:r>
                      <m:t>0.60</m:t>
                    </m:r>
                  </m:e>
                  <m:e>
                    <m:r>
                      <m:rPr>
                        <m:nor/>
                        <m:sty m:val="p"/>
                      </m:rPr>
                      <m:t>if </m:t>
                    </m:r>
                    <m:r>
                      <m:t>ω</m:t>
                    </m:r>
                    <m:d>
                      <m:dPr>
                        <m:begChr m:val="("/>
                        <m:sepChr m:val=""/>
                        <m:endChr m:val=")"/>
                        <m:grow/>
                      </m:dPr>
                      <m:e>
                        <m:sSub>
                          <m:e>
                            <m:r>
                              <m:t>w</m:t>
                            </m:r>
                          </m:e>
                          <m:sub>
                            <m:r>
                              <m:t>i</m:t>
                            </m:r>
                          </m:sub>
                        </m:sSub>
                      </m:e>
                    </m:d>
                    <m:r>
                      <m:rPr>
                        <m:sty m:val="p"/>
                      </m:rPr>
                      <m:t>&lt;</m:t>
                    </m:r>
                    <m:r>
                      <m:t>0</m:t>
                    </m:r>
                    <m:r>
                      <m:rPr>
                        <m:nor/>
                        <m:sty m:val="p"/>
                      </m:rPr>
                      <m:t> (e.g., ’not a threat / not replacing’)</m:t>
                    </m:r>
                  </m:e>
                </m:mr>
              </m:m>
            </m:e>
          </m:d>
        </m:oMath>
      </m:oMathPara>
    </w:p>
    <w:p>
      <w:pPr>
        <w:pStyle w:val="Compact"/>
        <w:numPr>
          <w:ilvl w:val="0"/>
          <w:numId w:val="1002"/>
        </w:numPr>
      </w:pPr>
      <w:r>
        <w:rPr>
          <w:b/>
          <w:bCs/>
        </w:rPr>
        <w:t xml:space="preserve">Intensifier Modulation:</w:t>
      </w:r>
      <w:r>
        <w:t xml:space="preserve"> </w:t>
      </w:r>
      <w:r>
        <w:t xml:space="preserve">If</w:t>
      </w:r>
      <w:r>
        <w:t xml:space="preserve"> </w:t>
      </w:r>
      <m:oMath>
        <m:r>
          <m:rPr>
            <m:sty m:val="p"/>
          </m:rPr>
          <m:t>∃</m:t>
        </m:r>
        <m:r>
          <m:t>t</m:t>
        </m:r>
        <m:r>
          <m:rPr>
            <m:sty m:val="p"/>
          </m:rPr>
          <m:t>∈</m:t>
        </m:r>
        <m:r>
          <m:rPr>
            <m:sty m:val="p"/>
          </m:rPr>
          <m:t>{</m:t>
        </m:r>
        <m:r>
          <m:rPr>
            <m:nor/>
            <m:sty m:val="p"/>
          </m:rPr>
          <m:t>very, extremely, deeply, drastically</m:t>
        </m:r>
        <m:r>
          <m:rPr>
            <m:sty m:val="p"/>
          </m:rPr>
          <m:t>}</m:t>
        </m:r>
      </m:oMath>
      <w:r>
        <w:t xml:space="preserve"> </w:t>
      </w:r>
      <w:r>
        <w:t xml:space="preserve">within 2 tokens:</w:t>
      </w:r>
    </w:p>
    <w:p>
      <w:pPr>
        <w:pStyle w:val="Compact"/>
      </w:pPr>
      <m:oMathPara>
        <m:oMathParaPr>
          <m:jc m:val="center"/>
        </m:oMathParaPr>
        <m:oMath>
          <m:sSub>
            <m:e>
              <m:r>
                <m:t>μ</m:t>
              </m:r>
            </m:e>
            <m:sub>
              <m:r>
                <m:rPr>
                  <m:nor/>
                  <m:sty m:val="p"/>
                </m:rPr>
                <m:t>int</m:t>
              </m:r>
            </m:sub>
          </m:sSub>
          <m:r>
            <m:rPr>
              <m:sty m:val="p"/>
            </m:rPr>
            <m:t>∈</m:t>
          </m:r>
          <m:d>
            <m:dPr>
              <m:begChr m:val="["/>
              <m:sepChr m:val=""/>
              <m:endChr m:val="]"/>
              <m:grow/>
            </m:dPr>
            <m:e>
              <m:r>
                <m:t>1.4</m:t>
              </m:r>
              <m:r>
                <m:rPr>
                  <m:sty m:val="p"/>
                </m:rPr>
                <m:t>,</m:t>
              </m:r>
              <m:r>
                <m:t>1.8</m:t>
              </m:r>
            </m:e>
          </m:d>
        </m:oMath>
      </m:oMathPara>
    </w:p>
    <w:p>
      <w:pPr>
        <w:pStyle w:val="Compact"/>
        <w:numPr>
          <w:ilvl w:val="0"/>
          <w:numId w:val="1000"/>
        </w:numPr>
      </w:pPr>
      <w:r>
        <w:t xml:space="preserve">(amplification); down-toners</w:t>
      </w:r>
      <w:r>
        <w:t xml:space="preserve"> </w:t>
      </w:r>
      <m:oMath>
        <m:r>
          <m:rPr>
            <m:sty m:val="p"/>
          </m:rPr>
          <m:t>{</m:t>
        </m:r>
        <m:r>
          <m:rPr>
            <m:nor/>
            <m:sty m:val="p"/>
          </m:rPr>
          <m:t>slightly, somewhat</m:t>
        </m:r>
        <m:r>
          <m:rPr>
            <m:sty m:val="p"/>
          </m:rPr>
          <m:t>}</m:t>
        </m:r>
        <m:r>
          <m:rPr>
            <m:sty m:val="p"/>
          </m:rPr>
          <m:t>∈</m:t>
        </m:r>
        <m:d>
          <m:dPr>
            <m:begChr m:val="["/>
            <m:sepChr m:val=""/>
            <m:endChr m:val="]"/>
            <m:grow/>
          </m:dPr>
          <m:e>
            <m:r>
              <m:t>0.4</m:t>
            </m:r>
            <m:r>
              <m:rPr>
                <m:sty m:val="p"/>
              </m:rPr>
              <m:t>,</m:t>
            </m:r>
            <m:r>
              <m:t>0.7</m:t>
            </m:r>
          </m:e>
        </m:d>
      </m:oMath>
      <w:r>
        <w:t xml:space="preserve"> </w:t>
      </w:r>
      <w:r>
        <w:t xml:space="preserve">(attenuation).</w:t>
      </w:r>
    </w:p>
    <w:p>
      <w:r>
        <w:pict>
          <v:rect style="width:0;height:1.5pt" o:hralign="center" o:hrstd="t" o:hr="t"/>
        </w:pict>
      </w:r>
    </w:p>
    <w:bookmarkEnd w:id="26"/>
    <w:bookmarkEnd w:id="27"/>
    <w:bookmarkStart w:id="29" w:name="X26afe2b3555e87ee246b8d2db2e1201d5e585aa"/>
    <w:p>
      <w:pPr>
        <w:pStyle w:val="Heading2"/>
      </w:pPr>
      <w:r>
        <w:t xml:space="preserve">4. Kaveh’s 2D Continuous Discursive Stance Geometry</w:t>
      </w:r>
    </w:p>
    <w:p>
      <w:pPr>
        <w:pStyle w:val="FirstParagraph"/>
      </w:pPr>
      <w:r>
        <w:t xml:space="preserve">Rather than forcing social discourse into simplistic categorical buckets, we introduce an</w:t>
      </w:r>
      <w:r>
        <w:t xml:space="preserve"> </w:t>
      </w:r>
      <w:r>
        <w:rPr>
          <w:b/>
          <w:bCs/>
        </w:rPr>
        <w:t xml:space="preserve">original 2D Orthogonal Stance Plane</w:t>
      </w:r>
      <w:r>
        <w:t xml:space="preserve"> </w:t>
      </w:r>
      <w:r>
        <w:t xml:space="preserve">that maps architectural positions along two continuous axes:</w:t>
      </w:r>
    </w:p>
    <w:p>
      <w:pPr>
        <w:pStyle w:val="BodyText"/>
      </w:pPr>
      <m:oMathPara>
        <m:oMathParaPr>
          <m:jc m:val="center"/>
        </m:oMathParaPr>
        <m:oMath>
          <m:r>
            <m:rPr>
              <m:nor/>
              <m:sty m:val="p"/>
            </m:rPr>
            <m:t>Agency Axis </m:t>
          </m:r>
          <m:d>
            <m:dPr>
              <m:begChr m:val="("/>
              <m:sepChr m:val=""/>
              <m:endChr m:val=")"/>
              <m:grow/>
            </m:dPr>
            <m:e>
              <m:r>
                <m:t>X</m:t>
              </m:r>
            </m:e>
          </m:d>
          <m:r>
            <m:rPr>
              <m:sty m:val="p"/>
            </m:rPr>
            <m:t>=</m:t>
          </m:r>
          <m:f>
            <m:fPr>
              <m:type m:val="bar"/>
            </m:fPr>
            <m:num>
              <m:sSub>
                <m:e>
                  <m:r>
                    <m:t>C</m:t>
                  </m:r>
                </m:e>
                <m:sub>
                  <m:r>
                    <m:rPr>
                      <m:nor/>
                      <m:sty m:val="p"/>
                    </m:rPr>
                    <m:t>copilot</m:t>
                  </m:r>
                </m:sub>
              </m:sSub>
              <m:r>
                <m:rPr>
                  <m:sty m:val="p"/>
                </m:rPr>
                <m:t>−</m:t>
              </m:r>
              <m:sSub>
                <m:e>
                  <m:r>
                    <m:t>C</m:t>
                  </m:r>
                </m:e>
                <m:sub>
                  <m:r>
                    <m:rPr>
                      <m:nor/>
                      <m:sty m:val="p"/>
                    </m:rPr>
                    <m:t>autonomous</m:t>
                  </m:r>
                </m:sub>
              </m:sSub>
            </m:num>
            <m:den>
              <m:sSub>
                <m:e>
                  <m:r>
                    <m:t>C</m:t>
                  </m:r>
                </m:e>
                <m:sub>
                  <m:r>
                    <m:rPr>
                      <m:nor/>
                      <m:sty m:val="p"/>
                    </m:rPr>
                    <m:t>copilot</m:t>
                  </m:r>
                </m:sub>
              </m:sSub>
              <m:r>
                <m:rPr>
                  <m:sty m:val="p"/>
                </m:rPr>
                <m:t>+</m:t>
              </m:r>
              <m:sSub>
                <m:e>
                  <m:r>
                    <m:t>C</m:t>
                  </m:r>
                </m:e>
                <m:sub>
                  <m:r>
                    <m:rPr>
                      <m:nor/>
                      <m:sty m:val="p"/>
                    </m:rPr>
                    <m:t>autonomous</m:t>
                  </m:r>
                </m:sub>
              </m:sSub>
              <m:r>
                <m:rPr>
                  <m:sty m:val="p"/>
                </m:rPr>
                <m:t>+</m:t>
              </m:r>
              <m:r>
                <m:t>ϵ</m:t>
              </m:r>
            </m:den>
          </m:f>
          <m:r>
            <m:rPr>
              <m:sty m:val="p"/>
            </m:rPr>
            <m:t>∈</m:t>
          </m:r>
          <m:d>
            <m:dPr>
              <m:begChr m:val="["/>
              <m:sepChr m:val=""/>
              <m:endChr m:val="]"/>
              <m:grow/>
            </m:dPr>
            <m:e>
              <m:r>
                <m:rPr>
                  <m:sty m:val="p"/>
                </m:rPr>
                <m:t>−</m:t>
              </m:r>
              <m:r>
                <m:t>1.0</m:t>
              </m:r>
              <m:r>
                <m:rPr>
                  <m:sty m:val="p"/>
                </m:rPr>
                <m:t>,</m:t>
              </m:r>
              <m:r>
                <m:rPr>
                  <m:sty m:val="p"/>
                </m:rPr>
                <m:t>+</m:t>
              </m:r>
              <m:r>
                <m:t>1.0</m:t>
              </m:r>
            </m:e>
          </m:d>
        </m:oMath>
      </m:oMathPara>
    </w:p>
    <w:p>
      <w:pPr>
        <w:pStyle w:val="FirstParagraph"/>
      </w:pPr>
      <m:oMathPara>
        <m:oMathParaPr>
          <m:jc m:val="center"/>
        </m:oMathParaPr>
        <m:oMath>
          <m:r>
            <m:rPr>
              <m:nor/>
              <m:sty m:val="p"/>
            </m:rPr>
            <m:t>Valence Axis </m:t>
          </m:r>
          <m:d>
            <m:dPr>
              <m:begChr m:val="("/>
              <m:sepChr m:val=""/>
              <m:endChr m:val=")"/>
              <m:grow/>
            </m:dPr>
            <m:e>
              <m:r>
                <m:t>Y</m:t>
              </m:r>
            </m:e>
          </m:d>
          <m:r>
            <m:rPr>
              <m:sty m:val="p"/>
            </m:rPr>
            <m:t>=</m:t>
          </m:r>
          <m:r>
            <m:rPr>
              <m:nor/>
              <m:sty m:val="p"/>
            </m:rPr>
            <m:t>Overall Clause Polarity</m:t>
          </m:r>
          <m:d>
            <m:dPr>
              <m:begChr m:val="("/>
              <m:sepChr m:val=""/>
              <m:endChr m:val=")"/>
              <m:grow/>
            </m:dPr>
            <m:e>
              <m:r>
                <m:t>D</m:t>
              </m:r>
            </m:e>
          </m:d>
          <m:r>
            <m:rPr>
              <m:sty m:val="p"/>
            </m:rPr>
            <m:t>∈</m:t>
          </m:r>
          <m:d>
            <m:dPr>
              <m:begChr m:val="["/>
              <m:sepChr m:val=""/>
              <m:endChr m:val="]"/>
              <m:grow/>
            </m:dPr>
            <m:e>
              <m:r>
                <m:rPr>
                  <m:sty m:val="p"/>
                </m:rPr>
                <m:t>−</m:t>
              </m:r>
              <m:r>
                <m:t>1.0</m:t>
              </m:r>
              <m:r>
                <m:rPr>
                  <m:sty m:val="p"/>
                </m:rPr>
                <m:t>,</m:t>
              </m:r>
              <m:r>
                <m:rPr>
                  <m:sty m:val="p"/>
                </m:rPr>
                <m:t>+</m:t>
              </m:r>
              <m:r>
                <m:t>1.0</m:t>
              </m:r>
            </m:e>
          </m:d>
        </m:oMath>
      </m:oMathPara>
    </w:p>
    <w:p>
      <w:pPr>
        <w:pStyle w:val="SourceCode"/>
      </w:pPr>
      <w:r>
        <w:rPr>
          <w:rStyle w:val="VerbatimChar"/>
        </w:rPr>
        <w:t xml:space="preserve">                   Valence Axis (+1.0 Optimistic / Empowered)</w:t>
      </w:r>
      <w:r>
        <w:br/>
      </w:r>
      <w:r>
        <w:rPr>
          <w:rStyle w:val="VerbatimChar"/>
        </w:rPr>
        <w:t xml:space="preserve">                                      |</w:t>
      </w:r>
      <w:r>
        <w:br/>
      </w:r>
      <w:r>
        <w:rPr>
          <w:rStyle w:val="VerbatimChar"/>
        </w:rPr>
        <w:t xml:space="preserve">         Quadrant 2:                  |         Quadrant 1:</w:t>
      </w:r>
      <w:r>
        <w:br/>
      </w:r>
      <w:r>
        <w:rPr>
          <w:rStyle w:val="VerbatimChar"/>
        </w:rPr>
        <w:t xml:space="preserve">     TECHNO-DETERMINISM               |    EMPOWERED AUGMENTATION</w:t>
      </w:r>
      <w:r>
        <w:br/>
      </w:r>
      <w:r>
        <w:rPr>
          <w:rStyle w:val="VerbatimChar"/>
        </w:rPr>
        <w:t xml:space="preserve">  (Autonomous machine efficiency;     |   (Human co-pilot; elevated agency;</w:t>
      </w:r>
      <w:r>
        <w:br/>
      </w:r>
      <w:r>
        <w:rPr>
          <w:rStyle w:val="VerbatimChar"/>
        </w:rPr>
        <w:t xml:space="preserve">   inevitable technological progress) |    collaborative human-in-the-loop)</w:t>
      </w:r>
      <w:r>
        <w:br/>
      </w:r>
      <w:r>
        <w:rPr>
          <w:rStyle w:val="VerbatimChar"/>
        </w:rPr>
        <w:t xml:space="preserve">                                      |</w:t>
      </w:r>
      <w:r>
        <w:br/>
      </w:r>
      <w:r>
        <w:rPr>
          <w:rStyle w:val="VerbatimChar"/>
        </w:rPr>
        <w:t xml:space="preserve">Agency (-1.0 Machine-Autonomous) -----+----- Agency (+1.0 Human Co-Pilot)</w:t>
      </w:r>
      <w:r>
        <w:br/>
      </w:r>
      <w:r>
        <w:rPr>
          <w:rStyle w:val="VerbatimChar"/>
        </w:rPr>
        <w:t xml:space="preserve">                                      |</w:t>
      </w:r>
      <w:r>
        <w:br/>
      </w:r>
      <w:r>
        <w:rPr>
          <w:rStyle w:val="VerbatimChar"/>
        </w:rPr>
        <w:t xml:space="preserve">         Quadrant 3:                  |         Quadrant 4:</w:t>
      </w:r>
      <w:r>
        <w:br/>
      </w:r>
      <w:r>
        <w:rPr>
          <w:rStyle w:val="VerbatimChar"/>
        </w:rPr>
        <w:t xml:space="preserve">   EXISTENTIAL DISPLACEMENT           |   CRITICAL HUMANIST RESISTANCE</w:t>
      </w:r>
      <w:r>
        <w:br/>
      </w:r>
      <w:r>
        <w:rPr>
          <w:rStyle w:val="VerbatimChar"/>
        </w:rPr>
        <w:t xml:space="preserve">  (Braverman deskilling; labor loss;  |   (Active pushback; ethical veto;</w:t>
      </w:r>
      <w:r>
        <w:br/>
      </w:r>
      <w:r>
        <w:rPr>
          <w:rStyle w:val="VerbatimChar"/>
        </w:rPr>
        <w:t xml:space="preserve">   automated displacement anxiety)    |    craft preservation; manual priority)</w:t>
      </w:r>
      <w:r>
        <w:br/>
      </w:r>
      <w:r>
        <w:rPr>
          <w:rStyle w:val="VerbatimChar"/>
        </w:rPr>
        <w:t xml:space="preserve">                                      |</w:t>
      </w:r>
      <w:r>
        <w:br/>
      </w:r>
      <w:r>
        <w:rPr>
          <w:rStyle w:val="VerbatimChar"/>
        </w:rPr>
        <w:t xml:space="preserve">                   Valence Axis (-1.0 Critical / Existential)</w:t>
      </w:r>
    </w:p>
    <w:bookmarkStart w:id="28" w:name="empirical-distribution-in-corpus-n-1076"/>
    <w:p>
      <w:pPr>
        <w:pStyle w:val="Heading3"/>
      </w:pPr>
      <w:r>
        <w:t xml:space="preserve">Empirical Distribution in Corpus (</w:t>
      </w:r>
      <m:oMath>
        <m:r>
          <m:t>N</m:t>
        </m:r>
        <m:r>
          <m:rPr>
            <m:sty m:val="p"/>
          </m:rPr>
          <m:t>=</m:t>
        </m:r>
        <m:r>
          <m:t>1</m:t>
        </m:r>
        <m:r>
          <m:rPr>
            <m:sty m:val="p"/>
          </m:rPr>
          <m:t>,</m:t>
        </m:r>
        <m:r>
          <m:t>076</m:t>
        </m:r>
      </m:oMath>
      <w:r>
        <w:t xml:space="preserve">):</w:t>
      </w:r>
    </w:p>
    <w:p>
      <w:pPr>
        <w:pStyle w:val="FirstParagraph"/>
      </w:pPr>
      <w:r>
        <w:t xml:space="preserve">Our empirical coordinate mapping reveals that</w:t>
      </w:r>
      <w:r>
        <w:t xml:space="preserve"> </w:t>
      </w:r>
      <w:r>
        <w:rPr>
          <w:b/>
          <w:bCs/>
        </w:rPr>
        <w:t xml:space="preserve">Quadrant 1 (Empowered Augmentation)</w:t>
      </w:r>
      <w:r>
        <w:t xml:space="preserve"> </w:t>
      </w:r>
      <w:r>
        <w:t xml:space="preserve">forms the primary cluster, followed by a substantial body in</w:t>
      </w:r>
      <w:r>
        <w:t xml:space="preserve"> </w:t>
      </w:r>
      <w:r>
        <w:rPr>
          <w:b/>
          <w:bCs/>
        </w:rPr>
        <w:t xml:space="preserve">Quadrant 4 (Critical Humanist Resistance)</w:t>
      </w:r>
      <w:r>
        <w:t xml:space="preserve">. Extreme replacement anxiety (Quadrant 3) forms a vocal but numerically smaller fringe (</w:t>
      </w:r>
      <m:oMath>
        <m:r>
          <m:t>14.1</m:t>
        </m:r>
        <m:r>
          <m:rPr>
            <m:sty m:val="p"/>
          </m:rPr>
          <m:t>%</m:t>
        </m:r>
      </m:oMath>
      <w:r>
        <w:t xml:space="preserve">).</w:t>
      </w:r>
    </w:p>
    <w:p>
      <w:r>
        <w:pict>
          <v:rect style="width:0;height:1.5pt" o:hralign="center" o:hrstd="t" o:hr="t"/>
        </w:pict>
      </w:r>
    </w:p>
    <w:bookmarkEnd w:id="28"/>
    <w:bookmarkEnd w:id="29"/>
    <w:bookmarkStart w:id="30" w:name="X100546a6f792ba911301603c57e56f26a4ffc47"/>
    <w:p>
      <w:pPr>
        <w:pStyle w:val="Heading2"/>
      </w:pPr>
      <w:r>
        <w:t xml:space="preserve">5. Multi-Signal Deterministic Stakeholder Inference</w:t>
      </w:r>
    </w:p>
    <w:p>
      <w:pPr>
        <w:pStyle w:val="FirstParagraph"/>
      </w:pPr>
      <w:r>
        <w:t xml:space="preserve">To overcome the industry-wide bottleneck where social platforms suppress author job titles in compact search feeds (resulting in 99.5% unclassified headlines), we designed an open, deterministic multi-signal classifier:</w:t>
      </w:r>
    </w:p>
    <w:p>
      <w:pPr>
        <w:pStyle w:val="SourceCode"/>
      </w:pPr>
      <w:r>
        <w:rPr>
          <w:rStyle w:val="VerbatimChar"/>
        </w:rPr>
        <w:t xml:space="preserve">flowchart TD</w:t>
      </w:r>
      <w:r>
        <w:br/>
      </w:r>
      <w:r>
        <w:rPr>
          <w:rStyle w:val="VerbatimChar"/>
        </w:rPr>
        <w:t xml:space="preserve">    ROW["Post Record (Author, Text, Query)"] --&gt; S1{"1. Author Post-Nominal Letters?"}</w:t>
      </w:r>
      <w:r>
        <w:br/>
      </w:r>
      <w:r>
        <w:rPr>
          <w:rStyle w:val="VerbatimChar"/>
        </w:rPr>
        <w:t xml:space="preserve">    S1 -- "Dr., Prof., PhD, Lecturer" --&gt; ACAD["Academic / Educator"]</w:t>
      </w:r>
      <w:r>
        <w:br/>
      </w:r>
      <w:r>
        <w:rPr>
          <w:rStyle w:val="VerbatimChar"/>
        </w:rPr>
        <w:t xml:space="preserve">    S1 -- "AIA, RIBA, LEED, Architect" --&gt; PRAC["Architectural Practitioner"]</w:t>
      </w:r>
      <w:r>
        <w:br/>
      </w:r>
      <w:r>
        <w:rPr>
          <w:rStyle w:val="VerbatimChar"/>
        </w:rPr>
        <w:t xml:space="preserve">    S1 -- None --&gt; S2{"2. Contextual First-Person In-Text Markers?"}</w:t>
      </w:r>
      <w:r>
        <w:br/>
      </w:r>
      <w:r>
        <w:rPr>
          <w:rStyle w:val="VerbatimChar"/>
        </w:rPr>
        <w:t xml:space="preserve">    </w:t>
      </w:r>
      <w:r>
        <w:br/>
      </w:r>
      <w:r>
        <w:rPr>
          <w:rStyle w:val="VerbatimChar"/>
        </w:rPr>
        <w:t xml:space="preserve">    S2 -- "'in our firm', 'our practice', 'clients'" --&gt; PRAC</w:t>
      </w:r>
      <w:r>
        <w:br/>
      </w:r>
      <w:r>
        <w:rPr>
          <w:rStyle w:val="VerbatimChar"/>
        </w:rPr>
        <w:t xml:space="preserve">    S2 -- "'my students', 'in the studio', 'teaching'" --&gt; ACAD</w:t>
      </w:r>
      <w:r>
        <w:br/>
      </w:r>
      <w:r>
        <w:rPr>
          <w:rStyle w:val="VerbatimChar"/>
        </w:rPr>
        <w:t xml:space="preserve">    S2 -- "'as a student', 'my thesis', 'internship'" --&gt; STUD["Architecture Student"]</w:t>
      </w:r>
      <w:r>
        <w:br/>
      </w:r>
      <w:r>
        <w:rPr>
          <w:rStyle w:val="VerbatimChar"/>
        </w:rPr>
        <w:t xml:space="preserve">    S2 -- "'our venture', 'proptech', 'founder'" --&gt; LEAD["Industry / Firm Leader"]</w:t>
      </w:r>
      <w:r>
        <w:br/>
      </w:r>
      <w:r>
        <w:rPr>
          <w:rStyle w:val="VerbatimChar"/>
        </w:rPr>
        <w:t xml:space="preserve">    S2 -- None --&gt; S3{"3. Query Vector Intent Mapping?"}</w:t>
      </w:r>
      <w:r>
        <w:br/>
      </w:r>
      <w:r>
        <w:rPr>
          <w:rStyle w:val="VerbatimChar"/>
        </w:rPr>
        <w:t xml:space="preserve">    </w:t>
      </w:r>
      <w:r>
        <w:br/>
      </w:r>
      <w:r>
        <w:rPr>
          <w:rStyle w:val="VerbatimChar"/>
        </w:rPr>
        <w:t xml:space="preserve">    S3 -- "'architecture students'" --&gt; STUD_T["Student (Targeted)"]</w:t>
      </w:r>
      <w:r>
        <w:br/>
      </w:r>
      <w:r>
        <w:rPr>
          <w:rStyle w:val="VerbatimChar"/>
        </w:rPr>
        <w:t xml:space="preserve">    S3 -- "'architectural practice'" --&gt; PRAC_T["Practitioner (Targeted)"]</w:t>
      </w:r>
      <w:r>
        <w:br/>
      </w:r>
      <w:r>
        <w:rPr>
          <w:rStyle w:val="VerbatimChar"/>
        </w:rPr>
        <w:t xml:space="preserve">    S3 -- "'future of architects' 'automation'" --&gt; LEAD_T["Industry Leader (Targeted)"]</w:t>
      </w:r>
      <w:r>
        <w:br/>
      </w:r>
      <w:r>
        <w:rPr>
          <w:rStyle w:val="VerbatimChar"/>
        </w:rPr>
        <w:t xml:space="preserve">    S3 -- Other --&gt; GEN["General AEC Professional"]</w:t>
      </w:r>
    </w:p>
    <w:p>
      <w:pPr>
        <w:pStyle w:val="FirstParagraph"/>
      </w:pPr>
      <w:r>
        <w:t xml:space="preserve">This deterministic architecture provides</w:t>
      </w:r>
      <w:r>
        <w:t xml:space="preserve"> </w:t>
      </w:r>
      <w:r>
        <w:rPr>
          <w:b/>
          <w:bCs/>
        </w:rPr>
        <w:t xml:space="preserve">100% reproducibility</w:t>
      </w:r>
      <w:r>
        <w:t xml:space="preserve"> </w:t>
      </w:r>
      <w:r>
        <w:t xml:space="preserve">and transparent auditable precision without black-box classification noise.</w:t>
      </w:r>
    </w:p>
    <w:p>
      <w:r>
        <w:pict>
          <v:rect style="width:0;height:1.5pt" o:hralign="center" o:hrstd="t" o:hr="t"/>
        </w:pict>
      </w:r>
    </w:p>
    <w:bookmarkEnd w:id="30"/>
    <w:bookmarkStart w:id="35" w:name="X19c5b63d82615fed67fec2e98bd77a33ce965dd"/>
    <w:p>
      <w:pPr>
        <w:pStyle w:val="Heading2"/>
      </w:pPr>
      <w:r>
        <w:t xml:space="preserve">6. Inferential Statistical Hypothesis Testing Suite</w:t>
      </w:r>
    </w:p>
    <w:bookmarkStart w:id="31" w:name="X58989bbeac365b2c8d6d51b9dad1c9eec8b4ae7"/>
    <w:p>
      <w:pPr>
        <w:pStyle w:val="Heading3"/>
      </w:pPr>
      <w:r>
        <w:t xml:space="preserve">6.1 Hypothesis H1: Bimodality of Deskilling Polarity</w:t>
      </w:r>
    </w:p>
    <w:p>
      <w:pPr>
        <w:pStyle w:val="Compact"/>
        <w:numPr>
          <w:ilvl w:val="0"/>
          <w:numId w:val="1003"/>
        </w:numPr>
      </w:pPr>
      <w:r>
        <w:rPr>
          <w:b/>
          <w:bCs/>
        </w:rPr>
        <w:t xml:space="preserve">Hypothesis:</w:t>
      </w:r>
      <w:r>
        <w:t xml:space="preserve"> </w:t>
      </w:r>
      <w:r>
        <w:t xml:space="preserve">Macro sentiment regarding deskilling exhibits a polarized bimodal distribution between techno-optimism and existential anxiety.</w:t>
      </w:r>
    </w:p>
    <w:p>
      <w:pPr>
        <w:pStyle w:val="Compact"/>
        <w:numPr>
          <w:ilvl w:val="0"/>
          <w:numId w:val="1003"/>
        </w:numPr>
      </w:pPr>
      <w:r>
        <w:rPr>
          <w:b/>
          <w:bCs/>
        </w:rPr>
        <w:t xml:space="preserve">Metric:</w:t>
      </w:r>
      <w:r>
        <w:t xml:space="preserve"> </w:t>
      </w:r>
      <w:r>
        <w:t xml:space="preserve">Sarle’s Bimodality Coefficient (</w:t>
      </w:r>
      <m:oMath>
        <m:r>
          <m:t>B</m:t>
        </m:r>
        <m:r>
          <m:t>C</m:t>
        </m:r>
      </m:oMath>
      <w:r>
        <w:t xml:space="preserve">):</w:t>
      </w:r>
    </w:p>
    <w:p>
      <w:pPr>
        <w:pStyle w:val="Compact"/>
      </w:pPr>
      <m:oMathPara>
        <m:oMathParaPr>
          <m:jc m:val="center"/>
        </m:oMathParaPr>
        <m:oMath>
          <m:r>
            <m:t>B</m:t>
          </m:r>
          <m:r>
            <m:t>C</m:t>
          </m:r>
          <m:r>
            <m:rPr>
              <m:sty m:val="p"/>
            </m:rPr>
            <m:t>=</m:t>
          </m:r>
          <m:f>
            <m:fPr>
              <m:type m:val="bar"/>
            </m:fPr>
            <m:num>
              <m:sSup>
                <m:e>
                  <m:r>
                    <m:t>γ</m:t>
                  </m:r>
                </m:e>
                <m:sup>
                  <m:r>
                    <m:t>2</m:t>
                  </m:r>
                </m:sup>
              </m:sSup>
              <m:r>
                <m:rPr>
                  <m:sty m:val="p"/>
                </m:rPr>
                <m:t>+</m:t>
              </m:r>
              <m:r>
                <m:t>1</m:t>
              </m:r>
            </m:num>
            <m:den>
              <m:r>
                <m:t>κ</m:t>
              </m:r>
              <m:r>
                <m:rPr>
                  <m:sty m:val="p"/>
                </m:rPr>
                <m:t>+</m:t>
              </m:r>
              <m:r>
                <m:t>3</m:t>
              </m:r>
              <m:f>
                <m:fPr>
                  <m:type m:val="bar"/>
                </m:fPr>
                <m:num>
                  <m:sSup>
                    <m:e>
                      <m:d>
                        <m:dPr>
                          <m:begChr m:val="("/>
                          <m:sepChr m:val=""/>
                          <m:endChr m:val=")"/>
                          <m:grow/>
                        </m:dPr>
                        <m:e>
                          <m:r>
                            <m:t>n</m:t>
                          </m:r>
                          <m:r>
                            <m:rPr>
                              <m:sty m:val="p"/>
                            </m:rPr>
                            <m:t>−</m:t>
                          </m:r>
                          <m:r>
                            <m:t>1</m:t>
                          </m:r>
                        </m:e>
                      </m:d>
                    </m:e>
                    <m:sup>
                      <m:r>
                        <m:t>2</m:t>
                      </m:r>
                    </m:sup>
                  </m:sSup>
                </m:num>
                <m:den>
                  <m:d>
                    <m:dPr>
                      <m:begChr m:val="("/>
                      <m:sepChr m:val=""/>
                      <m:endChr m:val=")"/>
                      <m:grow/>
                    </m:dPr>
                    <m:e>
                      <m:r>
                        <m:t>n</m:t>
                      </m:r>
                      <m:r>
                        <m:rPr>
                          <m:sty m:val="p"/>
                        </m:rPr>
                        <m:t>−</m:t>
                      </m:r>
                      <m:r>
                        <m:t>2</m:t>
                      </m:r>
                    </m:e>
                  </m:d>
                  <m:d>
                    <m:dPr>
                      <m:begChr m:val="("/>
                      <m:sepChr m:val=""/>
                      <m:endChr m:val=")"/>
                      <m:grow/>
                    </m:dPr>
                    <m:e>
                      <m:r>
                        <m:t>n</m:t>
                      </m:r>
                      <m:r>
                        <m:rPr>
                          <m:sty m:val="p"/>
                        </m:rPr>
                        <m:t>−</m:t>
                      </m:r>
                      <m:r>
                        <m:t>3</m:t>
                      </m:r>
                    </m:e>
                  </m:d>
                </m:den>
              </m:f>
            </m:den>
          </m:f>
        </m:oMath>
      </m:oMathPara>
    </w:p>
    <w:p>
      <w:pPr>
        <w:pStyle w:val="Compact"/>
        <w:numPr>
          <w:ilvl w:val="0"/>
          <w:numId w:val="1000"/>
        </w:numPr>
      </w:pPr>
      <w:r>
        <w:t xml:space="preserve">Where</w:t>
      </w:r>
      <w:r>
        <w:t xml:space="preserve"> </w:t>
      </w:r>
      <m:oMath>
        <m:r>
          <m:t>γ</m:t>
        </m:r>
      </m:oMath>
      <w:r>
        <w:t xml:space="preserve"> </w:t>
      </w:r>
      <w:r>
        <w:t xml:space="preserve">is skewness and</w:t>
      </w:r>
      <w:r>
        <w:t xml:space="preserve"> </w:t>
      </w:r>
      <m:oMath>
        <m:r>
          <m:t>κ</m:t>
        </m:r>
      </m:oMath>
      <w:r>
        <w:t xml:space="preserve"> </w:t>
      </w:r>
      <w:r>
        <w:t xml:space="preserve">is excess kurtosis. A distribution with</w:t>
      </w:r>
      <w:r>
        <w:t xml:space="preserve"> </w:t>
      </w:r>
      <m:oMath>
        <m:r>
          <m:t>B</m:t>
        </m:r>
        <m:r>
          <m:t>C</m:t>
        </m:r>
        <m:r>
          <m:rPr>
            <m:sty m:val="p"/>
          </m:rPr>
          <m:t>&gt;</m:t>
        </m:r>
        <m:r>
          <m:t>0.555</m:t>
        </m:r>
      </m:oMath>
      <w:r>
        <w:t xml:space="preserve"> </w:t>
      </w:r>
      <w:r>
        <w:t xml:space="preserve">indicates significant bimodality.</w:t>
      </w:r>
    </w:p>
    <w:p>
      <w:pPr>
        <w:pStyle w:val="Compact"/>
        <w:numPr>
          <w:ilvl w:val="0"/>
          <w:numId w:val="1003"/>
        </w:numPr>
      </w:pPr>
      <w:r>
        <w:rPr>
          <w:b/>
          <w:bCs/>
        </w:rPr>
        <w:t xml:space="preserve">Empirical Finding:</w:t>
      </w:r>
    </w:p>
    <w:p>
      <w:pPr>
        <w:pStyle w:val="Compact"/>
        <w:numPr>
          <w:ilvl w:val="1"/>
          <w:numId w:val="1004"/>
        </w:numPr>
      </w:pPr>
      <w:r>
        <w:t xml:space="preserve">Naive unweighted scoring produces an artificial bimodal artifact (</w:t>
      </w:r>
      <m:oMath>
        <m:r>
          <m:t>B</m:t>
        </m:r>
        <m:r>
          <m:t>C</m:t>
        </m:r>
        <m:r>
          <m:rPr>
            <m:sty m:val="p"/>
          </m:rPr>
          <m:t>=</m:t>
        </m:r>
        <m:r>
          <m:t>0.586</m:t>
        </m:r>
      </m:oMath>
      <w:r>
        <w:t xml:space="preserve">).</w:t>
      </w:r>
    </w:p>
    <w:p>
      <w:pPr>
        <w:pStyle w:val="Compact"/>
        <w:numPr>
          <w:ilvl w:val="1"/>
          <w:numId w:val="1004"/>
        </w:numPr>
      </w:pPr>
      <w:r>
        <w:t xml:space="preserve">Under Clause-Level ABSA,</w:t>
      </w:r>
      <w:r>
        <w:t xml:space="preserve"> </w:t>
      </w:r>
      <m:oMath>
        <m:r>
          <m:t>B</m:t>
        </m:r>
        <m:r>
          <m:t>C</m:t>
        </m:r>
        <m:r>
          <m:rPr>
            <m:sty m:val="p"/>
          </m:rPr>
          <m:t>=</m:t>
        </m:r>
        <m:r>
          <m:t>0.450</m:t>
        </m:r>
        <m:r>
          <m:rPr>
            <m:sty m:val="p"/>
          </m:rPr>
          <m:t>&lt;</m:t>
        </m:r>
        <m:r>
          <m:t>0.555</m:t>
        </m:r>
      </m:oMath>
      <w:r>
        <w:t xml:space="preserve"> </w:t>
      </w:r>
      <w:r>
        <w:t xml:space="preserve">(Skewness</w:t>
      </w:r>
      <w:r>
        <w:t xml:space="preserve"> </w:t>
      </w:r>
      <m:oMath>
        <m:r>
          <m:t>γ</m:t>
        </m:r>
        <m:r>
          <m:rPr>
            <m:sty m:val="p"/>
          </m:rPr>
          <m:t>=</m:t>
        </m:r>
        <m:r>
          <m:rPr>
            <m:sty m:val="p"/>
          </m:rPr>
          <m:t>−</m:t>
        </m:r>
        <m:r>
          <m:t>0.127</m:t>
        </m:r>
      </m:oMath>
      <w:r>
        <w:t xml:space="preserve">, Kurtosis</w:t>
      </w:r>
      <w:r>
        <w:t xml:space="preserve"> </w:t>
      </w:r>
      <m:oMath>
        <m:r>
          <m:t>κ</m:t>
        </m:r>
        <m:r>
          <m:rPr>
            <m:sty m:val="p"/>
          </m:rPr>
          <m:t>=</m:t>
        </m:r>
        <m:r>
          <m:rPr>
            <m:sty m:val="p"/>
          </m:rPr>
          <m:t>−</m:t>
        </m:r>
        <m:r>
          <m:t>0.785</m:t>
        </m:r>
      </m:oMath>
      <w:r>
        <w:t xml:space="preserve">).</w:t>
      </w:r>
    </w:p>
    <w:p>
      <w:pPr>
        <w:pStyle w:val="Compact"/>
        <w:numPr>
          <w:ilvl w:val="1"/>
          <w:numId w:val="1004"/>
        </w:numPr>
      </w:pPr>
      <w:r>
        <w:rPr>
          <w:b/>
          <w:bCs/>
        </w:rPr>
        <w:t xml:space="preserve">Verdict:</w:t>
      </w:r>
      <w:r>
        <w:t xml:space="preserve"> </w:t>
      </w:r>
      <w:r>
        <w:t xml:space="preserve">Discourse is</w:t>
      </w:r>
      <w:r>
        <w:t xml:space="preserve"> </w:t>
      </w:r>
      <w:r>
        <w:rPr>
          <w:b/>
          <w:bCs/>
        </w:rPr>
        <w:t xml:space="preserve">unimodal and pragmatically centered</w:t>
      </w:r>
      <w:r>
        <w:t xml:space="preserve">; the perceived bimodality in prior literature is an artifact of coarse sentiment dictionaries.</w:t>
      </w:r>
    </w:p>
    <w:bookmarkEnd w:id="31"/>
    <w:bookmarkStart w:id="32" w:name="Xfcbcb7836987b265cabd56b48c04469d392d679"/>
    <w:p>
      <w:pPr>
        <w:pStyle w:val="Heading3"/>
      </w:pPr>
      <w:r>
        <w:t xml:space="preserve">6.2 Hypothesis H2: Creativity (RQ2a) vs. Cognitive Judgment (RQ2b)</w:t>
      </w:r>
    </w:p>
    <w:p>
      <w:pPr>
        <w:pStyle w:val="Compact"/>
        <w:numPr>
          <w:ilvl w:val="0"/>
          <w:numId w:val="1005"/>
        </w:numPr>
      </w:pPr>
      <w:r>
        <w:rPr>
          <w:b/>
          <w:bCs/>
        </w:rPr>
        <w:t xml:space="preserve">Hypothesis:</w:t>
      </w:r>
      <w:r>
        <w:t xml:space="preserve"> </w:t>
      </w:r>
      <w:r>
        <w:t xml:space="preserve">Discourse demonstrates significantly higher enthusiasm for creative ideation than for automated cognitive judgment and spatial vetting.</w:t>
      </w:r>
    </w:p>
    <w:p>
      <w:pPr>
        <w:pStyle w:val="Compact"/>
        <w:numPr>
          <w:ilvl w:val="0"/>
          <w:numId w:val="1005"/>
        </w:numPr>
      </w:pPr>
      <w:r>
        <w:rPr>
          <w:b/>
          <w:bCs/>
        </w:rPr>
        <w:t xml:space="preserve">Test:</w:t>
      </w:r>
      <w:r>
        <w:t xml:space="preserve"> </w:t>
      </w:r>
      <w:r>
        <w:t xml:space="preserve">Mann-Whitney U test (one-tailed) and paired Wilcoxon signed-rank test.</w:t>
      </w:r>
    </w:p>
    <w:p>
      <w:pPr>
        <w:pStyle w:val="Compact"/>
        <w:numPr>
          <w:ilvl w:val="0"/>
          <w:numId w:val="1005"/>
        </w:numPr>
      </w:pPr>
      <w:r>
        <w:rPr>
          <w:b/>
          <w:bCs/>
        </w:rPr>
        <w:t xml:space="preserve">Empirical Result:</w:t>
      </w:r>
    </w:p>
    <w:p>
      <w:pPr>
        <w:pStyle w:val="Compact"/>
        <w:numPr>
          <w:ilvl w:val="1"/>
          <w:numId w:val="1006"/>
        </w:numPr>
      </w:pPr>
      <w:r>
        <w:t xml:space="preserve">Creativity Ideation Mean:</w:t>
      </w:r>
      <w:r>
        <w:t xml:space="preserve"> </w:t>
      </w:r>
      <m:oMath>
        <m:r>
          <m:rPr>
            <m:sty m:val="p"/>
          </m:rPr>
          <m:t>+</m:t>
        </m:r>
        <m:r>
          <m:t>0.219</m:t>
        </m:r>
      </m:oMath>
      <w:r>
        <w:t xml:space="preserve"> </w:t>
      </w:r>
      <w:r>
        <w:t xml:space="preserve">(Median</w:t>
      </w:r>
      <w:r>
        <w:t xml:space="preserve"> </w:t>
      </w:r>
      <m:oMath>
        <m:r>
          <m:t>0.00</m:t>
        </m:r>
      </m:oMath>
      <w:r>
        <w:t xml:space="preserve">,</w:t>
      </w:r>
      <w:r>
        <w:t xml:space="preserve"> </w:t>
      </w:r>
      <m:oMath>
        <m:r>
          <m:t>n</m:t>
        </m:r>
        <m:r>
          <m:rPr>
            <m:sty m:val="p"/>
          </m:rPr>
          <m:t>=</m:t>
        </m:r>
        <m:r>
          <m:t>248</m:t>
        </m:r>
      </m:oMath>
      <w:r>
        <w:t xml:space="preserve">)</w:t>
      </w:r>
    </w:p>
    <w:p>
      <w:pPr>
        <w:pStyle w:val="Compact"/>
        <w:numPr>
          <w:ilvl w:val="1"/>
          <w:numId w:val="1006"/>
        </w:numPr>
      </w:pPr>
      <w:r>
        <w:t xml:space="preserve">Cognitive Judgment Mean:</w:t>
      </w:r>
      <w:r>
        <w:t xml:space="preserve"> </w:t>
      </w:r>
      <m:oMath>
        <m:r>
          <m:rPr>
            <m:sty m:val="p"/>
          </m:rPr>
          <m:t>−</m:t>
        </m:r>
        <m:r>
          <m:t>0.001</m:t>
        </m:r>
      </m:oMath>
      <w:r>
        <w:t xml:space="preserve"> </w:t>
      </w:r>
      <w:r>
        <w:t xml:space="preserve">(Median</w:t>
      </w:r>
      <w:r>
        <w:t xml:space="preserve"> </w:t>
      </w:r>
      <m:oMath>
        <m:r>
          <m:t>0.00</m:t>
        </m:r>
      </m:oMath>
      <w:r>
        <w:t xml:space="preserve">,</w:t>
      </w:r>
      <w:r>
        <w:t xml:space="preserve"> </w:t>
      </w:r>
      <m:oMath>
        <m:r>
          <m:t>n</m:t>
        </m:r>
        <m:r>
          <m:rPr>
            <m:sty m:val="p"/>
          </m:rPr>
          <m:t>=</m:t>
        </m:r>
        <m:r>
          <m:t>274</m:t>
        </m:r>
      </m:oMath>
      <w:r>
        <w:t xml:space="preserve">)</w:t>
      </w:r>
    </w:p>
    <w:p>
      <w:pPr>
        <w:pStyle w:val="Compact"/>
        <w:numPr>
          <w:ilvl w:val="1"/>
          <w:numId w:val="1006"/>
        </w:numPr>
      </w:pPr>
      <w:r>
        <w:t xml:space="preserve">Test Statistic:</w:t>
      </w:r>
      <w:r>
        <w:t xml:space="preserve"> </w:t>
      </w:r>
      <m:oMath>
        <m:r>
          <m:t>U</m:t>
        </m:r>
        <m:r>
          <m:rPr>
            <m:sty m:val="p"/>
          </m:rPr>
          <m:t>=</m:t>
        </m:r>
        <m:r>
          <m:t>42</m:t>
        </m:r>
        <m:r>
          <m:rPr>
            <m:sty m:val="p"/>
          </m:rPr>
          <m:t>,</m:t>
        </m:r>
        <m:r>
          <m:t>018.0</m:t>
        </m:r>
      </m:oMath>
      <w:r>
        <w:t xml:space="preserve">,</w:t>
      </w:r>
      <w:r>
        <w:t xml:space="preserve"> </w:t>
      </w:r>
      <m:oMath>
        <m:r>
          <m:t>p</m:t>
        </m:r>
        <m:r>
          <m:rPr>
            <m:sty m:val="p"/>
          </m:rPr>
          <m:t>=</m:t>
        </m:r>
        <m:r>
          <m:t>1.48</m:t>
        </m:r>
        <m:r>
          <m:rPr>
            <m:sty m:val="p"/>
          </m:rPr>
          <m:t>×</m:t>
        </m:r>
        <m:sSup>
          <m:e>
            <m:r>
              <m:t>10</m:t>
            </m:r>
          </m:e>
          <m:sup>
            <m:r>
              <m:rPr>
                <m:sty m:val="p"/>
              </m:rPr>
              <m:t>−</m:t>
            </m:r>
            <m:r>
              <m:t>7</m:t>
            </m:r>
          </m:sup>
        </m:sSup>
      </m:oMath>
      <w:r>
        <w:t xml:space="preserve"> </w:t>
      </w:r>
      <w:r>
        <w:t xml:space="preserve">(</w:t>
      </w:r>
      <m:oMath>
        <m:r>
          <m:t>p</m:t>
        </m:r>
        <m:r>
          <m:rPr>
            <m:sty m:val="p"/>
          </m:rPr>
          <m:t>&lt;</m:t>
        </m:r>
        <m:r>
          <m:t>0.001</m:t>
        </m:r>
      </m:oMath>
      <w:r>
        <w:t xml:space="preserve">).</w:t>
      </w:r>
    </w:p>
    <w:p>
      <w:pPr>
        <w:pStyle w:val="Compact"/>
        <w:numPr>
          <w:ilvl w:val="1"/>
          <w:numId w:val="1006"/>
        </w:numPr>
      </w:pPr>
      <w:r>
        <w:rPr>
          <w:b/>
          <w:bCs/>
        </w:rPr>
        <w:t xml:space="preserve">Verdict: STRONGLY SUPPORTED.</w:t>
      </w:r>
      <w:r>
        <w:t xml:space="preserve"> </w:t>
      </w:r>
      <w:r>
        <w:t xml:space="preserve">Architects embrace GenAI for rapid visual brainstorming but maintain profound skepticism regarding automated code compliance, ethical validation, and tectonic judgment.</w:t>
      </w:r>
    </w:p>
    <w:bookmarkEnd w:id="32"/>
    <w:bookmarkStart w:id="33" w:name="X8aa8b3707b40c10304942551038050ba55c1a15"/>
    <w:p>
      <w:pPr>
        <w:pStyle w:val="Heading3"/>
      </w:pPr>
      <w:r>
        <w:t xml:space="preserve">6.3 Hypothesis H3: Environmental Building Physics (RQ3a) vs. Representation/BIM (RQ3b)</w:t>
      </w:r>
    </w:p>
    <w:p>
      <w:pPr>
        <w:pStyle w:val="Compact"/>
        <w:numPr>
          <w:ilvl w:val="0"/>
          <w:numId w:val="1007"/>
        </w:numPr>
      </w:pPr>
      <w:r>
        <w:rPr>
          <w:b/>
          <w:bCs/>
        </w:rPr>
        <w:t xml:space="preserve">Hypothesis:</w:t>
      </w:r>
      <w:r>
        <w:t xml:space="preserve"> </w:t>
      </w:r>
      <w:r>
        <w:t xml:space="preserve">Traditional visual representation is perceived as commoditized, while deterministic building physics is framed as an unyielding boundary.</w:t>
      </w:r>
    </w:p>
    <w:p>
      <w:pPr>
        <w:pStyle w:val="Compact"/>
        <w:numPr>
          <w:ilvl w:val="0"/>
          <w:numId w:val="1007"/>
        </w:numPr>
      </w:pPr>
      <w:r>
        <w:rPr>
          <w:b/>
          <w:bCs/>
        </w:rPr>
        <w:t xml:space="preserve">Empirical Result:</w:t>
      </w:r>
    </w:p>
    <w:p>
      <w:pPr>
        <w:pStyle w:val="Compact"/>
        <w:numPr>
          <w:ilvl w:val="1"/>
          <w:numId w:val="1008"/>
        </w:numPr>
      </w:pPr>
      <w:r>
        <w:t xml:space="preserve">Representation/BIM Mean:</w:t>
      </w:r>
      <w:r>
        <w:t xml:space="preserve"> </w:t>
      </w:r>
      <m:oMath>
        <m:r>
          <m:rPr>
            <m:sty m:val="p"/>
          </m:rPr>
          <m:t>+</m:t>
        </m:r>
        <m:r>
          <m:t>0.135</m:t>
        </m:r>
      </m:oMath>
      <w:r>
        <w:t xml:space="preserve"> </w:t>
      </w:r>
      <w:r>
        <w:t xml:space="preserve">(</w:t>
      </w:r>
      <m:oMath>
        <m:r>
          <m:t>n</m:t>
        </m:r>
        <m:r>
          <m:rPr>
            <m:sty m:val="p"/>
          </m:rPr>
          <m:t>=</m:t>
        </m:r>
        <m:r>
          <m:t>330</m:t>
        </m:r>
      </m:oMath>
      <w:r>
        <w:t xml:space="preserve">)</w:t>
      </w:r>
    </w:p>
    <w:p>
      <w:pPr>
        <w:pStyle w:val="Compact"/>
        <w:numPr>
          <w:ilvl w:val="1"/>
          <w:numId w:val="1008"/>
        </w:numPr>
      </w:pPr>
      <w:r>
        <w:t xml:space="preserve">Building Physics Mean:</w:t>
      </w:r>
      <w:r>
        <w:t xml:space="preserve"> </w:t>
      </w:r>
      <m:oMath>
        <m:r>
          <m:rPr>
            <m:sty m:val="p"/>
          </m:rPr>
          <m:t>+</m:t>
        </m:r>
        <m:r>
          <m:t>0.069</m:t>
        </m:r>
      </m:oMath>
      <w:r>
        <w:t xml:space="preserve"> </w:t>
      </w:r>
      <w:r>
        <w:t xml:space="preserve">(</w:t>
      </w:r>
      <m:oMath>
        <m:r>
          <m:t>n</m:t>
        </m:r>
        <m:r>
          <m:rPr>
            <m:sty m:val="p"/>
          </m:rPr>
          <m:t>=</m:t>
        </m:r>
        <m:r>
          <m:t>268</m:t>
        </m:r>
      </m:oMath>
      <w:r>
        <w:t xml:space="preserve">)</w:t>
      </w:r>
    </w:p>
    <w:p>
      <w:pPr>
        <w:pStyle w:val="Compact"/>
        <w:numPr>
          <w:ilvl w:val="1"/>
          <w:numId w:val="1008"/>
        </w:numPr>
      </w:pPr>
      <w:r>
        <w:t xml:space="preserve">Test Statistic:</w:t>
      </w:r>
      <w:r>
        <w:t xml:space="preserve"> </w:t>
      </w:r>
      <m:oMath>
        <m:r>
          <m:t>U</m:t>
        </m:r>
        <m:r>
          <m:rPr>
            <m:sty m:val="p"/>
          </m:rPr>
          <m:t>=</m:t>
        </m:r>
        <m:r>
          <m:t>47</m:t>
        </m:r>
        <m:r>
          <m:rPr>
            <m:sty m:val="p"/>
          </m:rPr>
          <m:t>,</m:t>
        </m:r>
        <m:r>
          <m:t>083.0</m:t>
        </m:r>
      </m:oMath>
      <w:r>
        <w:t xml:space="preserve">,</w:t>
      </w:r>
      <w:r>
        <w:t xml:space="preserve"> </w:t>
      </w:r>
      <m:oMath>
        <m:r>
          <m:t>p</m:t>
        </m:r>
        <m:r>
          <m:rPr>
            <m:sty m:val="p"/>
          </m:rPr>
          <m:t>=</m:t>
        </m:r>
        <m:r>
          <m:t>0.100</m:t>
        </m:r>
      </m:oMath>
      <w:r>
        <w:t xml:space="preserve">.</w:t>
      </w:r>
    </w:p>
    <w:p>
      <w:pPr>
        <w:pStyle w:val="Compact"/>
        <w:numPr>
          <w:ilvl w:val="1"/>
          <w:numId w:val="1008"/>
        </w:numPr>
      </w:pPr>
      <w:r>
        <w:rPr>
          <w:b/>
          <w:bCs/>
        </w:rPr>
        <w:t xml:space="preserve">Verdict:</w:t>
      </w:r>
      <w:r>
        <w:t xml:space="preserve"> </w:t>
      </w:r>
      <w:r>
        <w:t xml:space="preserve">Differentiated trend observed. BIM workflows maintain higher adoption discourse than specialized energy modeling.</w:t>
      </w:r>
    </w:p>
    <w:bookmarkEnd w:id="33"/>
    <w:bookmarkStart w:id="34" w:name="Xdb3513b1cfb538b7d01021a488e3d174a1bf3c7"/>
    <w:p>
      <w:pPr>
        <w:pStyle w:val="Heading3"/>
      </w:pPr>
      <w:r>
        <w:t xml:space="preserve">6.4 Hypothesis H4: Stakeholder Divergence on Deskilling</w:t>
      </w:r>
    </w:p>
    <w:p>
      <w:pPr>
        <w:pStyle w:val="Compact"/>
        <w:numPr>
          <w:ilvl w:val="0"/>
          <w:numId w:val="1009"/>
        </w:numPr>
      </w:pPr>
      <w:r>
        <w:rPr>
          <w:b/>
          <w:bCs/>
        </w:rPr>
        <w:t xml:space="preserve">Test:</w:t>
      </w:r>
      <w:r>
        <w:t xml:space="preserve"> </w:t>
      </w:r>
      <w:r>
        <w:t xml:space="preserve">Kruskal-Wallis non-parametric ANOVA on deskilling scores across inferred stakeholder cohorts.</w:t>
      </w:r>
    </w:p>
    <w:p>
      <w:pPr>
        <w:pStyle w:val="Compact"/>
        <w:numPr>
          <w:ilvl w:val="0"/>
          <w:numId w:val="1009"/>
        </w:numPr>
      </w:pPr>
      <w:r>
        <w:rPr>
          <w:b/>
          <w:bCs/>
        </w:rPr>
        <w:t xml:space="preserve">Empirical Result:</w:t>
      </w:r>
      <w:r>
        <w:t xml:space="preserve"> </w:t>
      </w:r>
      <m:oMath>
        <m:r>
          <m:t>H</m:t>
        </m:r>
        <m:r>
          <m:rPr>
            <m:sty m:val="p"/>
          </m:rPr>
          <m:t>=</m:t>
        </m:r>
        <m:r>
          <m:t>0.069</m:t>
        </m:r>
      </m:oMath>
      <w:r>
        <w:t xml:space="preserve">,</w:t>
      </w:r>
      <w:r>
        <w:t xml:space="preserve"> </w:t>
      </w:r>
      <m:oMath>
        <m:r>
          <m:t>p</m:t>
        </m:r>
        <m:r>
          <m:rPr>
            <m:sty m:val="p"/>
          </m:rPr>
          <m:t>=</m:t>
        </m:r>
        <m:r>
          <m:t>0.793</m:t>
        </m:r>
      </m:oMath>
      <w:r>
        <w:t xml:space="preserve">.</w:t>
      </w:r>
    </w:p>
    <w:p>
      <w:pPr>
        <w:pStyle w:val="Compact"/>
        <w:numPr>
          <w:ilvl w:val="0"/>
          <w:numId w:val="1009"/>
        </w:numPr>
      </w:pPr>
      <w:r>
        <w:rPr>
          <w:b/>
          <w:bCs/>
        </w:rPr>
        <w:t xml:space="preserve">Interpretation:</w:t>
      </w:r>
      <w:r>
        <w:t xml:space="preserve"> </w:t>
      </w:r>
      <w:r>
        <w:t xml:space="preserve">While academics and educators express qualitative anxiety regarding foundational pedagogical literacy, the baseline discourse across all professional roles shares a unified pragmatic skepticism toward immediate labor displacement.</w:t>
      </w:r>
    </w:p>
    <w:p>
      <w:r>
        <w:pict>
          <v:rect style="width:0;height:1.5pt" o:hralign="center" o:hrstd="t" o:hr="t"/>
        </w:pict>
      </w:r>
    </w:p>
    <w:bookmarkEnd w:id="34"/>
    <w:bookmarkEnd w:id="35"/>
    <w:bookmarkStart w:id="36" w:name="corpus-assets-verification-inventory"/>
    <w:p>
      <w:pPr>
        <w:pStyle w:val="Heading2"/>
      </w:pPr>
      <w:r>
        <w:t xml:space="preserve">7. Corpus Assets &amp; Verification Inventory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Asset Name</w:t>
            </w:r>
          </w:p>
        </w:tc>
        <w:tc>
          <w:tcPr/>
          <w:p>
            <w:pPr>
              <w:pStyle w:val="Compact"/>
            </w:pPr>
            <w:r>
              <w:t xml:space="preserve">Location</w:t>
            </w:r>
          </w:p>
        </w:tc>
        <w:tc>
          <w:tcPr/>
          <w:p>
            <w:pPr>
              <w:pStyle w:val="Compact"/>
            </w:pPr>
            <w:r>
              <w:t xml:space="preserve">Description</w:t>
            </w:r>
          </w:p>
        </w:tc>
      </w:tr>
      <w:tr>
        <w:tc>
          <w:tcPr/>
          <w:p>
            <w:pPr>
              <w:pStyle w:val="Compact"/>
            </w:pPr>
            <w:r>
              <w:t xml:space="preserve">Pipeline Script</w:t>
            </w:r>
          </w:p>
        </w:tc>
        <w:tc>
          <w:tcPr/>
          <w:p>
            <w:pPr>
              <w:pStyle w:val="Compact"/>
            </w:pPr>
            <w:r>
              <w:rPr>
                <w:rStyle w:val="VerbatimChar"/>
              </w:rPr>
              <w:t xml:space="preserve">src/analysis/kaveh_analytical_pipeline.py</w:t>
            </w:r>
          </w:p>
        </w:tc>
        <w:tc>
          <w:tcPr/>
          <w:p>
            <w:pPr>
              <w:pStyle w:val="Compact"/>
            </w:pPr>
            <w:r>
              <w:t xml:space="preserve">Complete production codebase</w:t>
            </w:r>
          </w:p>
        </w:tc>
      </w:tr>
      <w:tr>
        <w:tc>
          <w:tcPr/>
          <w:p>
            <w:pPr>
              <w:pStyle w:val="Compact"/>
            </w:pPr>
            <w:r>
              <w:t xml:space="preserve">Unit Test Suite</w:t>
            </w:r>
          </w:p>
        </w:tc>
        <w:tc>
          <w:tcPr/>
          <w:p>
            <w:pPr>
              <w:pStyle w:val="Compact"/>
            </w:pPr>
            <w:r>
              <w:rPr>
                <w:rStyle w:val="VerbatimChar"/>
              </w:rPr>
              <w:t xml:space="preserve">src/analysis/tests/test_kaveh_pipeline.py</w:t>
            </w:r>
          </w:p>
        </w:tc>
        <w:tc>
          <w:tcPr/>
          <w:p>
            <w:pPr>
              <w:pStyle w:val="Compact"/>
            </w:pPr>
            <w:r>
              <w:t xml:space="preserve">7/7 passing unit verification tests</w:t>
            </w:r>
          </w:p>
        </w:tc>
      </w:tr>
      <w:tr>
        <w:tc>
          <w:tcPr/>
          <w:p>
            <w:pPr>
              <w:pStyle w:val="Compact"/>
            </w:pPr>
            <w:r>
              <w:t xml:space="preserve">Enriched Dataset</w:t>
            </w:r>
          </w:p>
        </w:tc>
        <w:tc>
          <w:tcPr/>
          <w:p>
            <w:pPr>
              <w:pStyle w:val="Compact"/>
            </w:pPr>
            <w:r>
              <w:rPr>
                <w:rStyle w:val="VerbatimChar"/>
              </w:rPr>
              <w:t xml:space="preserve">docs/thesis_assets/kaveh_enriched_corpus_run013.csv</w:t>
            </w:r>
          </w:p>
        </w:tc>
        <w:tc>
          <w:tcPr/>
          <w:p>
            <w:pPr>
              <w:pStyle w:val="Compact"/>
            </w:pPr>
            <w:r>
              <w:t xml:space="preserve">Full dataset with ABSA &amp; 2D coordinates (</w:t>
            </w:r>
            <m:oMath>
              <m:r>
                <m:t>N</m:t>
              </m:r>
              <m:r>
                <m:rPr>
                  <m:sty m:val="p"/>
                </m:rPr>
                <m:t>=</m:t>
              </m:r>
              <m:r>
                <m:t>1</m:t>
              </m:r>
              <m:r>
                <m:rPr>
                  <m:sty m:val="p"/>
                </m:rPr>
                <m:t>,</m:t>
              </m:r>
              <m:r>
                <m:t>076</m:t>
              </m:r>
            </m:oMath>
            <w:r>
              <w:t xml:space="preserve">)</w:t>
            </w:r>
          </w:p>
        </w:tc>
      </w:tr>
      <w:tr>
        <w:tc>
          <w:tcPr/>
          <w:p>
            <w:pPr>
              <w:pStyle w:val="Compact"/>
            </w:pPr>
            <w:r>
              <w:t xml:space="preserve">Statistics JSON</w:t>
            </w:r>
          </w:p>
        </w:tc>
        <w:tc>
          <w:tcPr/>
          <w:p>
            <w:pPr>
              <w:pStyle w:val="Compact"/>
            </w:pPr>
            <w:r>
              <w:rPr>
                <w:rStyle w:val="VerbatimChar"/>
              </w:rPr>
              <w:t xml:space="preserve">docs/thesis_assets/kaveh_inferential_statistics.json</w:t>
            </w:r>
          </w:p>
        </w:tc>
        <w:tc>
          <w:tcPr/>
          <w:p>
            <w:pPr>
              <w:pStyle w:val="Compact"/>
            </w:pPr>
            <w:r>
              <w:t xml:space="preserve">Exact numerical values, test statistics &amp; p-values</w:t>
            </w:r>
          </w:p>
        </w:tc>
      </w:tr>
      <w:tr>
        <w:tc>
          <w:tcPr/>
          <w:p>
            <w:pPr>
              <w:pStyle w:val="Compact"/>
            </w:pPr>
            <w:r>
              <w:t xml:space="preserve">Figure 1</w:t>
            </w:r>
          </w:p>
        </w:tc>
        <w:tc>
          <w:tcPr/>
          <w:p>
            <w:pPr>
              <w:pStyle w:val="Compact"/>
            </w:pPr>
            <w:r>
              <w:rPr>
                <w:rStyle w:val="VerbatimChar"/>
              </w:rPr>
              <w:t xml:space="preserve">docs/thesis_assets/kaveh_fig1_h1_bimodality_kde.png</w:t>
            </w:r>
          </w:p>
        </w:tc>
        <w:tc>
          <w:tcPr/>
          <w:p>
            <w:pPr>
              <w:pStyle w:val="Compact"/>
            </w:pPr>
            <w:r>
              <w:t xml:space="preserve">300 DPI KDE density distribution (H1 Bimodality)</w:t>
            </w:r>
          </w:p>
        </w:tc>
      </w:tr>
      <w:tr>
        <w:tc>
          <w:tcPr/>
          <w:p>
            <w:pPr>
              <w:pStyle w:val="Compact"/>
            </w:pPr>
            <w:r>
              <w:t xml:space="preserve">Figure 2</w:t>
            </w:r>
          </w:p>
        </w:tc>
        <w:tc>
          <w:tcPr/>
          <w:p>
            <w:pPr>
              <w:pStyle w:val="Compact"/>
            </w:pPr>
            <w:r>
              <w:rPr>
                <w:rStyle w:val="VerbatimChar"/>
              </w:rPr>
              <w:t xml:space="preserve">docs/thesis_assets/kaveh_fig2_aspect_polarity_boxplots.png</w:t>
            </w:r>
          </w:p>
        </w:tc>
        <w:tc>
          <w:tcPr/>
          <w:p>
            <w:pPr>
              <w:pStyle w:val="Compact"/>
            </w:pPr>
            <w:r>
              <w:t xml:space="preserve">300 DPI Boxplot distributions across 5 aspects</w:t>
            </w:r>
          </w:p>
        </w:tc>
      </w:tr>
      <w:tr>
        <w:tc>
          <w:tcPr/>
          <w:p>
            <w:pPr>
              <w:pStyle w:val="Compact"/>
            </w:pPr>
            <w:r>
              <w:t xml:space="preserve">Figure 3</w:t>
            </w:r>
          </w:p>
        </w:tc>
        <w:tc>
          <w:tcPr/>
          <w:p>
            <w:pPr>
              <w:pStyle w:val="Compact"/>
            </w:pPr>
            <w:r>
              <w:rPr>
                <w:rStyle w:val="VerbatimChar"/>
              </w:rPr>
              <w:t xml:space="preserve">docs/thesis_assets/kaveh_fig3_stance_2d_agency_plane.png</w:t>
            </w:r>
          </w:p>
        </w:tc>
        <w:tc>
          <w:tcPr/>
          <w:p>
            <w:pPr>
              <w:pStyle w:val="Compact"/>
            </w:pPr>
            <w:r>
              <w:t xml:space="preserve">300 DPI Scatter plot of 2D Discursive Stance Geometry</w:t>
            </w:r>
          </w:p>
        </w:tc>
      </w:tr>
      <w:tr>
        <w:tc>
          <w:tcPr/>
          <w:p>
            <w:pPr>
              <w:pStyle w:val="Compact"/>
            </w:pPr>
            <w:r>
              <w:t xml:space="preserve">LaTeX Table</w:t>
            </w:r>
          </w:p>
        </w:tc>
        <w:tc>
          <w:tcPr/>
          <w:p>
            <w:pPr>
              <w:pStyle w:val="Compact"/>
            </w:pPr>
            <w:r>
              <w:rPr>
                <w:rStyle w:val="VerbatimChar"/>
              </w:rPr>
              <w:t xml:space="preserve">docs/thesis_assets/table_aspect_absa_summary.tex</w:t>
            </w:r>
          </w:p>
        </w:tc>
        <w:tc>
          <w:tcPr/>
          <w:p>
            <w:pPr>
              <w:pStyle w:val="Compact"/>
            </w:pPr>
            <w:r>
              <w:t xml:space="preserve">Publication-ready LaTeX descriptive summary</w:t>
            </w:r>
          </w:p>
        </w:tc>
      </w:tr>
    </w:tbl>
    <w:p>
      <w:pPr>
        <w:pStyle w:val="SourceCode"/>
      </w:pPr>
      <w:r>
        <w:rPr>
          <w:rStyle w:val="CommentTok"/>
        </w:rPr>
        <w:t xml:space="preserve">% Summary Excerpt from table_aspect_absa_summary.tex</w:t>
      </w:r>
      <w:r>
        <w:br/>
      </w:r>
      <w:r>
        <w:rPr>
          <w:rStyle w:val="KeywordTok"/>
        </w:rPr>
        <w:t xml:space="preserve">\begin</w:t>
      </w:r>
      <w:r>
        <w:rPr>
          <w:rStyle w:val="NormalTok"/>
        </w:rPr>
        <w:t xml:space="preserve">{</w:t>
      </w:r>
      <w:r>
        <w:rPr>
          <w:rStyle w:val="ExtensionTok"/>
        </w:rPr>
        <w:t xml:space="preserve">tabular</w:t>
      </w:r>
      <w:r>
        <w:rPr>
          <w:rStyle w:val="NormalTok"/>
        </w:rPr>
        <w:t xml:space="preserve">}{lllllll}</w:t>
      </w:r>
      <w:r>
        <w:br/>
      </w:r>
      <w:r>
        <w:rPr>
          <w:rStyle w:val="FunctionTok"/>
        </w:rPr>
        <w:t xml:space="preserve">\toprule</w:t>
      </w:r>
      <w:r>
        <w:br/>
      </w:r>
      <w:r>
        <w:rPr>
          <w:rStyle w:val="NormalTok"/>
        </w:rPr>
        <w:t xml:space="preserve">Aspect </w:t>
      </w:r>
      <w:r>
        <w:rPr>
          <w:rStyle w:val="OperatorTok"/>
        </w:rPr>
        <w:t xml:space="preserve">&amp;</w:t>
      </w:r>
      <w:r>
        <w:rPr>
          <w:rStyle w:val="NormalTok"/>
        </w:rPr>
        <w:t xml:space="preserve"> N </w:t>
      </w:r>
      <w:r>
        <w:rPr>
          <w:rStyle w:val="OperatorTok"/>
        </w:rPr>
        <w:t xml:space="preserve">&amp;</w:t>
      </w:r>
      <w:r>
        <w:rPr>
          <w:rStyle w:val="NormalTok"/>
        </w:rPr>
        <w:t xml:space="preserve"> Salience (</w:t>
      </w:r>
      <w:r>
        <w:rPr>
          <w:rStyle w:val="FunctionTok"/>
        </w:rPr>
        <w:t xml:space="preserve">\%</w:t>
      </w:r>
      <w:r>
        <w:rPr>
          <w:rStyle w:val="NormalTok"/>
        </w:rPr>
        <w:t xml:space="preserve">) </w:t>
      </w:r>
      <w:r>
        <w:rPr>
          <w:rStyle w:val="OperatorTok"/>
        </w:rPr>
        <w:t xml:space="preserve">&amp;</w:t>
      </w:r>
      <w:r>
        <w:rPr>
          <w:rStyle w:val="NormalTok"/>
        </w:rPr>
        <w:t xml:space="preserve"> Mean </w:t>
      </w:r>
      <w:r>
        <w:rPr>
          <w:rStyle w:val="OperatorTok"/>
        </w:rPr>
        <w:t xml:space="preserve">&amp;</w:t>
      </w:r>
      <w:r>
        <w:rPr>
          <w:rStyle w:val="NormalTok"/>
        </w:rPr>
        <w:t xml:space="preserve"> Std </w:t>
      </w:r>
      <w:r>
        <w:rPr>
          <w:rStyle w:val="OperatorTok"/>
        </w:rPr>
        <w:t xml:space="preserve">&amp;</w:t>
      </w:r>
      <w:r>
        <w:rPr>
          <w:rStyle w:val="NormalTok"/>
        </w:rPr>
        <w:t xml:space="preserve"> Median </w:t>
      </w:r>
      <w:r>
        <w:rPr>
          <w:rStyle w:val="OperatorTok"/>
        </w:rPr>
        <w:t xml:space="preserve">&amp;</w:t>
      </w:r>
      <w:r>
        <w:rPr>
          <w:rStyle w:val="NormalTok"/>
        </w:rPr>
        <w:t xml:space="preserve"> IQR </w:t>
      </w:r>
      <w:r>
        <w:rPr>
          <w:rStyle w:val="FunctionTok"/>
        </w:rPr>
        <w:t xml:space="preserve">\\</w:t>
      </w:r>
      <w:r>
        <w:br/>
      </w:r>
      <w:r>
        <w:rPr>
          <w:rStyle w:val="FunctionTok"/>
        </w:rPr>
        <w:t xml:space="preserve">\midrule</w:t>
      </w:r>
      <w:r>
        <w:br/>
      </w:r>
      <w:r>
        <w:rPr>
          <w:rStyle w:val="NormalTok"/>
        </w:rPr>
        <w:t xml:space="preserve">RQ1 Deskilling </w:t>
      </w:r>
      <w:r>
        <w:rPr>
          <w:rStyle w:val="OperatorTok"/>
        </w:rPr>
        <w:t xml:space="preserve">&amp;</w:t>
      </w:r>
      <w:r>
        <w:rPr>
          <w:rStyle w:val="NormalTok"/>
        </w:rPr>
        <w:t xml:space="preserve"> 210 </w:t>
      </w:r>
      <w:r>
        <w:rPr>
          <w:rStyle w:val="OperatorTok"/>
        </w:rPr>
        <w:t xml:space="preserve">&amp;</w:t>
      </w:r>
      <w:r>
        <w:rPr>
          <w:rStyle w:val="NormalTok"/>
        </w:rPr>
        <w:t xml:space="preserve"> 19.5</w:t>
      </w:r>
      <w:r>
        <w:rPr>
          <w:rStyle w:val="FunctionTok"/>
        </w:rPr>
        <w:t xml:space="preserve">\%</w:t>
      </w:r>
      <w:r>
        <w:rPr>
          <w:rStyle w:val="NormalTok"/>
        </w:rPr>
        <w:t xml:space="preserve"> </w:t>
      </w:r>
      <w:r>
        <w:rPr>
          <w:rStyle w:val="OperatorTok"/>
        </w:rPr>
        <w:t xml:space="preserve">&amp;</w:t>
      </w:r>
      <w:r>
        <w:rPr>
          <w:rStyle w:val="NormalTok"/>
        </w:rPr>
        <w:t xml:space="preserve"> 0.047 </w:t>
      </w:r>
      <w:r>
        <w:rPr>
          <w:rStyle w:val="OperatorTok"/>
        </w:rPr>
        <w:t xml:space="preserve">&amp;</w:t>
      </w:r>
      <w:r>
        <w:rPr>
          <w:rStyle w:val="NormalTok"/>
        </w:rPr>
        <w:t xml:space="preserve"> 0.285 </w:t>
      </w:r>
      <w:r>
        <w:rPr>
          <w:rStyle w:val="OperatorTok"/>
        </w:rPr>
        <w:t xml:space="preserve">&amp;</w:t>
      </w:r>
      <w:r>
        <w:rPr>
          <w:rStyle w:val="NormalTok"/>
        </w:rPr>
        <w:t xml:space="preserve"> 0.000 </w:t>
      </w:r>
      <w:r>
        <w:rPr>
          <w:rStyle w:val="OperatorTok"/>
        </w:rPr>
        <w:t xml:space="preserve">&amp;</w:t>
      </w:r>
      <w:r>
        <w:rPr>
          <w:rStyle w:val="NormalTok"/>
        </w:rPr>
        <w:t xml:space="preserve"> 0.000 </w:t>
      </w:r>
      <w:r>
        <w:rPr>
          <w:rStyle w:val="FunctionTok"/>
        </w:rPr>
        <w:t xml:space="preserve">\\</w:t>
      </w:r>
      <w:r>
        <w:br/>
      </w:r>
      <w:r>
        <w:rPr>
          <w:rStyle w:val="NormalTok"/>
        </w:rPr>
        <w:t xml:space="preserve">RQ2a Creativity </w:t>
      </w:r>
      <w:r>
        <w:rPr>
          <w:rStyle w:val="OperatorTok"/>
        </w:rPr>
        <w:t xml:space="preserve">&amp;</w:t>
      </w:r>
      <w:r>
        <w:rPr>
          <w:rStyle w:val="NormalTok"/>
        </w:rPr>
        <w:t xml:space="preserve"> 248 </w:t>
      </w:r>
      <w:r>
        <w:rPr>
          <w:rStyle w:val="OperatorTok"/>
        </w:rPr>
        <w:t xml:space="preserve">&amp;</w:t>
      </w:r>
      <w:r>
        <w:rPr>
          <w:rStyle w:val="NormalTok"/>
        </w:rPr>
        <w:t xml:space="preserve"> 23.0</w:t>
      </w:r>
      <w:r>
        <w:rPr>
          <w:rStyle w:val="FunctionTok"/>
        </w:rPr>
        <w:t xml:space="preserve">\%</w:t>
      </w:r>
      <w:r>
        <w:rPr>
          <w:rStyle w:val="NormalTok"/>
        </w:rPr>
        <w:t xml:space="preserve"> </w:t>
      </w:r>
      <w:r>
        <w:rPr>
          <w:rStyle w:val="OperatorTok"/>
        </w:rPr>
        <w:t xml:space="preserve">&amp;</w:t>
      </w:r>
      <w:r>
        <w:rPr>
          <w:rStyle w:val="NormalTok"/>
        </w:rPr>
        <w:t xml:space="preserve"> 0.219 </w:t>
      </w:r>
      <w:r>
        <w:rPr>
          <w:rStyle w:val="OperatorTok"/>
        </w:rPr>
        <w:t xml:space="preserve">&amp;</w:t>
      </w:r>
      <w:r>
        <w:rPr>
          <w:rStyle w:val="NormalTok"/>
        </w:rPr>
        <w:t xml:space="preserve"> 0.320 </w:t>
      </w:r>
      <w:r>
        <w:rPr>
          <w:rStyle w:val="OperatorTok"/>
        </w:rPr>
        <w:t xml:space="preserve">&amp;</w:t>
      </w:r>
      <w:r>
        <w:rPr>
          <w:rStyle w:val="NormalTok"/>
        </w:rPr>
        <w:t xml:space="preserve"> 0.000 </w:t>
      </w:r>
      <w:r>
        <w:rPr>
          <w:rStyle w:val="OperatorTok"/>
        </w:rPr>
        <w:t xml:space="preserve">&amp;</w:t>
      </w:r>
      <w:r>
        <w:rPr>
          <w:rStyle w:val="NormalTok"/>
        </w:rPr>
        <w:t xml:space="preserve"> 0.400 </w:t>
      </w:r>
      <w:r>
        <w:rPr>
          <w:rStyle w:val="FunctionTok"/>
        </w:rPr>
        <w:t xml:space="preserve">\\</w:t>
      </w:r>
      <w:r>
        <w:br/>
      </w:r>
      <w:r>
        <w:rPr>
          <w:rStyle w:val="NormalTok"/>
        </w:rPr>
        <w:t xml:space="preserve">RQ2b CognitiveJudgment </w:t>
      </w:r>
      <w:r>
        <w:rPr>
          <w:rStyle w:val="OperatorTok"/>
        </w:rPr>
        <w:t xml:space="preserve">&amp;</w:t>
      </w:r>
      <w:r>
        <w:rPr>
          <w:rStyle w:val="NormalTok"/>
        </w:rPr>
        <w:t xml:space="preserve"> 274 </w:t>
      </w:r>
      <w:r>
        <w:rPr>
          <w:rStyle w:val="OperatorTok"/>
        </w:rPr>
        <w:t xml:space="preserve">&amp;</w:t>
      </w:r>
      <w:r>
        <w:rPr>
          <w:rStyle w:val="NormalTok"/>
        </w:rPr>
        <w:t xml:space="preserve"> 25.5</w:t>
      </w:r>
      <w:r>
        <w:rPr>
          <w:rStyle w:val="FunctionTok"/>
        </w:rPr>
        <w:t xml:space="preserve">\%</w:t>
      </w:r>
      <w:r>
        <w:rPr>
          <w:rStyle w:val="NormalTok"/>
        </w:rPr>
        <w:t xml:space="preserve"> </w:t>
      </w:r>
      <w:r>
        <w:rPr>
          <w:rStyle w:val="OperatorTok"/>
        </w:rPr>
        <w:t xml:space="preserve">&amp;</w:t>
      </w:r>
      <w:r>
        <w:rPr>
          <w:rStyle w:val="NormalTok"/>
        </w:rPr>
        <w:t xml:space="preserve"> -0.001 </w:t>
      </w:r>
      <w:r>
        <w:rPr>
          <w:rStyle w:val="OperatorTok"/>
        </w:rPr>
        <w:t xml:space="preserve">&amp;</w:t>
      </w:r>
      <w:r>
        <w:rPr>
          <w:rStyle w:val="NormalTok"/>
        </w:rPr>
        <w:t xml:space="preserve"> 0.301 </w:t>
      </w:r>
      <w:r>
        <w:rPr>
          <w:rStyle w:val="OperatorTok"/>
        </w:rPr>
        <w:t xml:space="preserve">&amp;</w:t>
      </w:r>
      <w:r>
        <w:rPr>
          <w:rStyle w:val="NormalTok"/>
        </w:rPr>
        <w:t xml:space="preserve"> 0.000 </w:t>
      </w:r>
      <w:r>
        <w:rPr>
          <w:rStyle w:val="OperatorTok"/>
        </w:rPr>
        <w:t xml:space="preserve">&amp;</w:t>
      </w:r>
      <w:r>
        <w:rPr>
          <w:rStyle w:val="NormalTok"/>
        </w:rPr>
        <w:t xml:space="preserve"> 0.000 </w:t>
      </w:r>
      <w:r>
        <w:rPr>
          <w:rStyle w:val="FunctionTok"/>
        </w:rPr>
        <w:t xml:space="preserve">\\</w:t>
      </w:r>
      <w:r>
        <w:br/>
      </w:r>
      <w:r>
        <w:rPr>
          <w:rStyle w:val="NormalTok"/>
        </w:rPr>
        <w:t xml:space="preserve">RQ3a TechnicalEnvironmental </w:t>
      </w:r>
      <w:r>
        <w:rPr>
          <w:rStyle w:val="OperatorTok"/>
        </w:rPr>
        <w:t xml:space="preserve">&amp;</w:t>
      </w:r>
      <w:r>
        <w:rPr>
          <w:rStyle w:val="NormalTok"/>
        </w:rPr>
        <w:t xml:space="preserve"> 268 </w:t>
      </w:r>
      <w:r>
        <w:rPr>
          <w:rStyle w:val="OperatorTok"/>
        </w:rPr>
        <w:t xml:space="preserve">&amp;</w:t>
      </w:r>
      <w:r>
        <w:rPr>
          <w:rStyle w:val="NormalTok"/>
        </w:rPr>
        <w:t xml:space="preserve"> 24.9</w:t>
      </w:r>
      <w:r>
        <w:rPr>
          <w:rStyle w:val="FunctionTok"/>
        </w:rPr>
        <w:t xml:space="preserve">\%</w:t>
      </w:r>
      <w:r>
        <w:rPr>
          <w:rStyle w:val="NormalTok"/>
        </w:rPr>
        <w:t xml:space="preserve"> </w:t>
      </w:r>
      <w:r>
        <w:rPr>
          <w:rStyle w:val="OperatorTok"/>
        </w:rPr>
        <w:t xml:space="preserve">&amp;</w:t>
      </w:r>
      <w:r>
        <w:rPr>
          <w:rStyle w:val="NormalTok"/>
        </w:rPr>
        <w:t xml:space="preserve"> 0.069 </w:t>
      </w:r>
      <w:r>
        <w:rPr>
          <w:rStyle w:val="OperatorTok"/>
        </w:rPr>
        <w:t xml:space="preserve">&amp;</w:t>
      </w:r>
      <w:r>
        <w:rPr>
          <w:rStyle w:val="NormalTok"/>
        </w:rPr>
        <w:t xml:space="preserve"> 0.297 </w:t>
      </w:r>
      <w:r>
        <w:rPr>
          <w:rStyle w:val="OperatorTok"/>
        </w:rPr>
        <w:t xml:space="preserve">&amp;</w:t>
      </w:r>
      <w:r>
        <w:rPr>
          <w:rStyle w:val="NormalTok"/>
        </w:rPr>
        <w:t xml:space="preserve"> 0.000 </w:t>
      </w:r>
      <w:r>
        <w:rPr>
          <w:rStyle w:val="OperatorTok"/>
        </w:rPr>
        <w:t xml:space="preserve">&amp;</w:t>
      </w:r>
      <w:r>
        <w:rPr>
          <w:rStyle w:val="NormalTok"/>
        </w:rPr>
        <w:t xml:space="preserve"> 0.000 </w:t>
      </w:r>
      <w:r>
        <w:rPr>
          <w:rStyle w:val="FunctionTok"/>
        </w:rPr>
        <w:t xml:space="preserve">\\</w:t>
      </w:r>
      <w:r>
        <w:br/>
      </w:r>
      <w:r>
        <w:rPr>
          <w:rStyle w:val="NormalTok"/>
        </w:rPr>
        <w:t xml:space="preserve">RQ3b RepresentationBIM </w:t>
      </w:r>
      <w:r>
        <w:rPr>
          <w:rStyle w:val="OperatorTok"/>
        </w:rPr>
        <w:t xml:space="preserve">&amp;</w:t>
      </w:r>
      <w:r>
        <w:rPr>
          <w:rStyle w:val="NormalTok"/>
        </w:rPr>
        <w:t xml:space="preserve"> 330 </w:t>
      </w:r>
      <w:r>
        <w:rPr>
          <w:rStyle w:val="OperatorTok"/>
        </w:rPr>
        <w:t xml:space="preserve">&amp;</w:t>
      </w:r>
      <w:r>
        <w:rPr>
          <w:rStyle w:val="NormalTok"/>
        </w:rPr>
        <w:t xml:space="preserve"> 30.7</w:t>
      </w:r>
      <w:r>
        <w:rPr>
          <w:rStyle w:val="FunctionTok"/>
        </w:rPr>
        <w:t xml:space="preserve">\%</w:t>
      </w:r>
      <w:r>
        <w:rPr>
          <w:rStyle w:val="NormalTok"/>
        </w:rPr>
        <w:t xml:space="preserve"> </w:t>
      </w:r>
      <w:r>
        <w:rPr>
          <w:rStyle w:val="OperatorTok"/>
        </w:rPr>
        <w:t xml:space="preserve">&amp;</w:t>
      </w:r>
      <w:r>
        <w:rPr>
          <w:rStyle w:val="NormalTok"/>
        </w:rPr>
        <w:t xml:space="preserve"> 0.135 </w:t>
      </w:r>
      <w:r>
        <w:rPr>
          <w:rStyle w:val="OperatorTok"/>
        </w:rPr>
        <w:t xml:space="preserve">&amp;</w:t>
      </w:r>
      <w:r>
        <w:rPr>
          <w:rStyle w:val="NormalTok"/>
        </w:rPr>
        <w:t xml:space="preserve"> 0.307 </w:t>
      </w:r>
      <w:r>
        <w:rPr>
          <w:rStyle w:val="OperatorTok"/>
        </w:rPr>
        <w:t xml:space="preserve">&amp;</w:t>
      </w:r>
      <w:r>
        <w:rPr>
          <w:rStyle w:val="NormalTok"/>
        </w:rPr>
        <w:t xml:space="preserve"> 0.000 </w:t>
      </w:r>
      <w:r>
        <w:rPr>
          <w:rStyle w:val="OperatorTok"/>
        </w:rPr>
        <w:t xml:space="preserve">&amp;</w:t>
      </w:r>
      <w:r>
        <w:rPr>
          <w:rStyle w:val="NormalTok"/>
        </w:rPr>
        <w:t xml:space="preserve"> 0.250 </w:t>
      </w:r>
      <w:r>
        <w:rPr>
          <w:rStyle w:val="FunctionTok"/>
        </w:rPr>
        <w:t xml:space="preserve">\\</w:t>
      </w:r>
      <w:r>
        <w:br/>
      </w:r>
      <w:r>
        <w:rPr>
          <w:rStyle w:val="FunctionTok"/>
        </w:rPr>
        <w:t xml:space="preserve">\bottomrule</w:t>
      </w:r>
      <w:r>
        <w:br/>
      </w:r>
      <w:r>
        <w:rPr>
          <w:rStyle w:val="KeywordTok"/>
        </w:rPr>
        <w:t xml:space="preserve">\end</w:t>
      </w:r>
      <w:r>
        <w:rPr>
          <w:rStyle w:val="NormalTok"/>
        </w:rPr>
        <w:t xml:space="preserve">{</w:t>
      </w:r>
      <w:r>
        <w:rPr>
          <w:rStyle w:val="ExtensionTok"/>
        </w:rPr>
        <w:t xml:space="preserve">tabular</w:t>
      </w:r>
      <w:r>
        <w:rPr>
          <w:rStyle w:val="NormalTok"/>
        </w:rPr>
        <w:t xml:space="preserve">}</w:t>
      </w:r>
    </w:p>
    <w:p>
      <w:r>
        <w:pict>
          <v:rect style="width:0;height:1.5pt" o:hralign="center" o:hrstd="t" o:hr="t"/>
        </w:pict>
      </w:r>
    </w:p>
    <w:p>
      <w:pPr>
        <w:pStyle w:val="FirstParagraph"/>
      </w:pPr>
      <w:r>
        <w:rPr>
          <w:i/>
          <w:iCs/>
        </w:rPr>
        <w:t xml:space="preserve">This methodology document is authored by Kaveh Momeni as an independent scientific contribution for the MSc Data Science dissertation at Arden University Berlin and the Saintiment research initiative. All analytical code, mathematical scoring functions, and empirical findings are fully reproducible and verified against raw source data.</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2026-09-25T10:31:29Z</dcterms:created>
  <dcterms:modified xsi:type="dcterms:W3CDTF">2026-09-25T10:31:29Z</dcterms:modified>
</cp:coreProperties>
</file>

<file path=docProps/custom.xml><?xml version="1.0" encoding="utf-8"?>
<Properties xmlns="http://schemas.openxmlformats.org/officeDocument/2006/custom-properties" xmlns:vt="http://schemas.openxmlformats.org/officeDocument/2006/docPropsVTypes"/>
</file>