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56999" w14:textId="77777777" w:rsidR="007C460D" w:rsidRPr="00503F10" w:rsidRDefault="007C460D" w:rsidP="007C460D">
      <w:pPr>
        <w:pStyle w:val="AuthorLine"/>
        <w:spacing w:line="360" w:lineRule="auto"/>
        <w:jc w:val="center"/>
        <w:rPr>
          <w:rFonts w:cs="Calibri"/>
          <w:bCs/>
          <w:sz w:val="48"/>
        </w:rPr>
      </w:pPr>
      <w:r w:rsidRPr="00503F10">
        <w:rPr>
          <w:rFonts w:cs="Calibri"/>
          <w:bCs/>
          <w:sz w:val="48"/>
        </w:rPr>
        <w:t>The Impact of Phage Tail Architecture on Host Bacteria Adsorption</w:t>
      </w:r>
    </w:p>
    <w:p w14:paraId="7310ED9E" w14:textId="77777777" w:rsidR="007C460D" w:rsidRDefault="007C460D" w:rsidP="007C460D">
      <w:pPr>
        <w:pStyle w:val="AuthorLine"/>
        <w:spacing w:line="360" w:lineRule="auto"/>
        <w:jc w:val="center"/>
      </w:pPr>
      <w:r w:rsidRPr="00C2426A">
        <w:t>Tail size vs. adsorption dynamics</w:t>
      </w:r>
    </w:p>
    <w:p w14:paraId="6B78BAD6" w14:textId="77777777" w:rsidR="007C460D" w:rsidRPr="004D2FB2" w:rsidRDefault="007C460D" w:rsidP="007C460D">
      <w:pPr>
        <w:pStyle w:val="AuthorLine"/>
        <w:spacing w:line="360" w:lineRule="auto"/>
        <w:jc w:val="center"/>
      </w:pPr>
      <w:r w:rsidRPr="00D00200">
        <w:t>Col</w:t>
      </w:r>
      <w:r>
        <w:t>e</w:t>
      </w:r>
      <w:r w:rsidRPr="00D00200">
        <w:t>n J. Lawton</w:t>
      </w:r>
      <w:r w:rsidRPr="004D2FB2">
        <w:t xml:space="preserve">¹*, </w:t>
      </w:r>
      <w:r w:rsidRPr="00C2426A">
        <w:t>Alyssa Q. Rivera</w:t>
      </w:r>
      <w:r>
        <w:rPr>
          <w:vertAlign w:val="superscript"/>
        </w:rPr>
        <w:t>1</w:t>
      </w:r>
      <w:r w:rsidRPr="00C2426A">
        <w:t>, Miguel S. Santos</w:t>
      </w:r>
      <w:r>
        <w:rPr>
          <w:vertAlign w:val="superscript"/>
        </w:rPr>
        <w:t>1</w:t>
      </w:r>
    </w:p>
    <w:p w14:paraId="11A48813" w14:textId="77777777" w:rsidR="007C460D" w:rsidRPr="004D2FB2" w:rsidRDefault="007C460D" w:rsidP="007C460D">
      <w:pPr>
        <w:pStyle w:val="Affiliation"/>
        <w:spacing w:line="360" w:lineRule="auto"/>
        <w:jc w:val="center"/>
      </w:pPr>
      <w:r>
        <w:rPr>
          <w:vertAlign w:val="superscript"/>
        </w:rPr>
        <w:t>1</w:t>
      </w:r>
      <w:r w:rsidRPr="00D00200">
        <w:t>Seaside Polytechnic University, Dept. of Bioengineering</w:t>
      </w:r>
      <w:r>
        <w:t>,</w:t>
      </w:r>
      <w:r w:rsidRPr="00C2426A">
        <w:t xml:space="preserve"> San Diego, CA, USA</w:t>
      </w:r>
      <w:r w:rsidRPr="004D2FB2">
        <w:br/>
      </w:r>
    </w:p>
    <w:p w14:paraId="7004FCC4" w14:textId="0A0F7C42" w:rsidR="007C460D" w:rsidRPr="004D2FB2" w:rsidRDefault="007C460D" w:rsidP="007C460D">
      <w:pPr>
        <w:pStyle w:val="Corresponding"/>
        <w:spacing w:line="360" w:lineRule="auto"/>
        <w:jc w:val="center"/>
      </w:pPr>
      <w:r w:rsidRPr="004D2FB2">
        <w:t xml:space="preserve">Corresponding author: </w:t>
      </w:r>
      <w:r w:rsidRPr="00D00200">
        <w:t>Col</w:t>
      </w:r>
      <w:r>
        <w:t>e</w:t>
      </w:r>
      <w:r w:rsidRPr="00D00200">
        <w:t>n J. Lawton</w:t>
      </w:r>
      <w:r w:rsidRPr="004D2FB2">
        <w:t xml:space="preserve">, </w:t>
      </w:r>
      <w:r w:rsidR="00B23AD1" w:rsidRPr="00DC3C5F">
        <w:t>col</w:t>
      </w:r>
      <w:r w:rsidR="00B23AD1">
        <w:t>e</w:t>
      </w:r>
      <w:r w:rsidR="00B23AD1" w:rsidRPr="00DC3C5F">
        <w:t>n.lawton@spu.</w:t>
      </w:r>
      <w:r w:rsidR="00B23AD1">
        <w:t>example.</w:t>
      </w:r>
      <w:r w:rsidR="00B23AD1" w:rsidRPr="00DC3C5F">
        <w:t>edu</w:t>
      </w:r>
      <w:r w:rsidRPr="004D2FB2">
        <w:t xml:space="preserve">; ORCID: </w:t>
      </w:r>
      <w:r>
        <w:t>1234</w:t>
      </w:r>
      <w:r w:rsidRPr="004D2FB2">
        <w:t>-</w:t>
      </w:r>
      <w:r>
        <w:t>5678</w:t>
      </w:r>
      <w:r w:rsidRPr="004D2FB2">
        <w:t>-</w:t>
      </w:r>
      <w:r>
        <w:t>9</w:t>
      </w:r>
      <w:r w:rsidRPr="004D2FB2">
        <w:t>-</w:t>
      </w:r>
      <w:r>
        <w:t>1</w:t>
      </w:r>
      <w:r w:rsidRPr="004D2FB2">
        <w:t>0</w:t>
      </w:r>
      <w:r>
        <w:t>11</w:t>
      </w:r>
    </w:p>
    <w:p w14:paraId="549F534F" w14:textId="77777777" w:rsidR="0036753A" w:rsidRPr="004D2FB2" w:rsidRDefault="0036753A" w:rsidP="006C10A4">
      <w:pPr>
        <w:spacing w:line="360" w:lineRule="auto"/>
      </w:pPr>
    </w:p>
    <w:p w14:paraId="7F4BD656" w14:textId="77777777" w:rsidR="0036753A" w:rsidRPr="00503F10" w:rsidRDefault="0036753A" w:rsidP="006C10A4">
      <w:pPr>
        <w:pStyle w:val="AbstractHeading"/>
        <w:spacing w:line="360" w:lineRule="auto"/>
        <w:rPr>
          <w:b w:val="0"/>
          <w:bCs/>
          <w:sz w:val="40"/>
          <w:szCs w:val="40"/>
        </w:rPr>
      </w:pPr>
      <w:r w:rsidRPr="00503F10">
        <w:rPr>
          <w:b w:val="0"/>
          <w:bCs/>
          <w:sz w:val="40"/>
          <w:szCs w:val="40"/>
        </w:rPr>
        <w:t>Abstract</w:t>
      </w:r>
    </w:p>
    <w:p w14:paraId="256CEB4B" w14:textId="5D413A89" w:rsidR="00BD0014" w:rsidRPr="00C63200" w:rsidRDefault="00BD08FF" w:rsidP="006C10A4">
      <w:pPr>
        <w:pStyle w:val="KeywordsLine"/>
        <w:spacing w:line="360" w:lineRule="auto"/>
        <w:rPr>
          <w:rFonts w:cs="Calibri"/>
          <w:i w:val="0"/>
          <w:sz w:val="22"/>
        </w:rPr>
      </w:pPr>
      <w:r w:rsidRPr="00C63200">
        <w:rPr>
          <w:rFonts w:cs="Calibri"/>
          <w:i w:val="0"/>
          <w:sz w:val="22"/>
        </w:rPr>
        <w:t>Tailed bacteriophage families exhibit wide variation in tail lengths and head sizes. This study examined if taxonomic family alone predicts host adsorption rate. Using data compiled from multiple sources, we found that only Podoviridae tail lengths were statistically different from both Siphoviridae (</w:t>
      </w:r>
      <m:oMath>
        <m:r>
          <w:rPr>
            <w:rFonts w:ascii="Cambria Math" w:hAnsi="Cambria Math" w:cs="Calibri"/>
            <w:sz w:val="22"/>
          </w:rPr>
          <m:t>p=</m:t>
        </m:r>
        <m:r>
          <w:rPr>
            <w:rFonts w:ascii="Cambria Math" w:hAnsi="Cambria Math" w:cs="Calibri"/>
            <w:sz w:val="22"/>
          </w:rPr>
          <m:t>8.23×</m:t>
        </m:r>
        <m:sSup>
          <m:sSupPr>
            <m:ctrlPr>
              <w:rPr>
                <w:rFonts w:ascii="Cambria Math" w:hAnsi="Cambria Math" w:cs="Calibri"/>
                <w:sz w:val="22"/>
              </w:rPr>
            </m:ctrlPr>
          </m:sSupPr>
          <m:e>
            <m:r>
              <w:rPr>
                <w:rFonts w:ascii="Cambria Math" w:hAnsi="Cambria Math" w:cs="Calibri"/>
                <w:sz w:val="22"/>
              </w:rPr>
              <m:t>10</m:t>
            </m:r>
          </m:e>
          <m:sup>
            <m:r>
              <w:rPr>
                <w:rFonts w:ascii="Cambria Math" w:hAnsi="Cambria Math" w:cs="Calibri"/>
                <w:sz w:val="22"/>
              </w:rPr>
              <m:t>-5</m:t>
            </m:r>
          </m:sup>
        </m:sSup>
      </m:oMath>
      <w:r w:rsidRPr="00C63200">
        <w:rPr>
          <w:rFonts w:cs="Calibri"/>
          <w:i w:val="0"/>
          <w:sz w:val="22"/>
        </w:rPr>
        <w:t>) and Myoviridae (</w:t>
      </w:r>
      <m:oMath>
        <m:r>
          <w:rPr>
            <w:rFonts w:ascii="Cambria Math" w:hAnsi="Cambria Math" w:cs="Calibri"/>
            <w:sz w:val="22"/>
          </w:rPr>
          <m:t>p=</m:t>
        </m:r>
        <m:r>
          <w:rPr>
            <w:rFonts w:ascii="Cambria Math" w:hAnsi="Cambria Math" w:cs="Calibri"/>
            <w:sz w:val="22"/>
          </w:rPr>
          <m:t>8.23×</m:t>
        </m:r>
        <m:sSup>
          <m:sSupPr>
            <m:ctrlPr>
              <w:rPr>
                <w:rFonts w:ascii="Cambria Math" w:hAnsi="Cambria Math" w:cs="Calibri"/>
                <w:sz w:val="22"/>
              </w:rPr>
            </m:ctrlPr>
          </m:sSupPr>
          <m:e>
            <m:r>
              <w:rPr>
                <w:rFonts w:ascii="Cambria Math" w:hAnsi="Cambria Math" w:cs="Calibri"/>
                <w:sz w:val="22"/>
              </w:rPr>
              <m:t>10</m:t>
            </m:r>
          </m:e>
          <m:sup>
            <m:r>
              <w:rPr>
                <w:rFonts w:ascii="Cambria Math" w:hAnsi="Cambria Math" w:cs="Calibri"/>
                <w:sz w:val="22"/>
              </w:rPr>
              <m:t>-</m:t>
            </m:r>
            <m:r>
              <w:rPr>
                <w:rFonts w:ascii="Cambria Math" w:hAnsi="Cambria Math" w:cs="Calibri"/>
                <w:sz w:val="22"/>
              </w:rPr>
              <m:t>4</m:t>
            </m:r>
          </m:sup>
        </m:sSup>
      </m:oMath>
      <w:r w:rsidRPr="00C63200">
        <w:rPr>
          <w:rFonts w:cs="Calibri"/>
          <w:i w:val="0"/>
          <w:sz w:val="22"/>
        </w:rPr>
        <w:t xml:space="preserve">), whereas phage–host adsorption rates were </w:t>
      </w:r>
      <w:r w:rsidR="009C2241" w:rsidRPr="00C63200">
        <w:rPr>
          <w:rFonts w:cs="Calibri"/>
          <w:i w:val="0"/>
          <w:sz w:val="22"/>
        </w:rPr>
        <w:t>found to be on the same order of magnitude (</w:t>
      </w:r>
      <m:oMath>
        <m:r>
          <w:rPr>
            <w:rFonts w:ascii="Cambria Math" w:hAnsi="Cambria Math" w:cs="Calibri"/>
            <w:sz w:val="22"/>
          </w:rPr>
          <m:t>≈</m:t>
        </m:r>
        <m:sSup>
          <m:sSupPr>
            <m:ctrlPr>
              <w:rPr>
                <w:rFonts w:ascii="Cambria Math" w:hAnsi="Cambria Math" w:cs="Calibri"/>
                <w:sz w:val="22"/>
              </w:rPr>
            </m:ctrlPr>
          </m:sSupPr>
          <m:e>
            <m:r>
              <w:rPr>
                <w:rFonts w:ascii="Cambria Math" w:hAnsi="Cambria Math" w:cs="Calibri"/>
                <w:sz w:val="22"/>
              </w:rPr>
              <m:t>10</m:t>
            </m:r>
          </m:e>
          <m:sup>
            <m:r>
              <w:rPr>
                <w:rFonts w:ascii="Cambria Math" w:hAnsi="Cambria Math" w:cs="Calibri"/>
                <w:sz w:val="22"/>
              </w:rPr>
              <m:t>-7</m:t>
            </m:r>
          </m:sup>
        </m:sSup>
      </m:oMath>
      <w:r w:rsidR="009C2241" w:rsidRPr="00C63200">
        <w:rPr>
          <w:rFonts w:cs="Calibri"/>
          <w:i w:val="0"/>
          <w:sz w:val="22"/>
        </w:rPr>
        <w:t xml:space="preserve">) </w:t>
      </w:r>
      <w:r w:rsidRPr="00C63200">
        <w:rPr>
          <w:rFonts w:cs="Calibri"/>
          <w:i w:val="0"/>
          <w:sz w:val="22"/>
        </w:rPr>
        <w:t xml:space="preserve">similarly distributed across the major tailed-virus families. By host, adsorption rates for </w:t>
      </w:r>
      <w:r w:rsidR="00527D99" w:rsidRPr="00C63200">
        <w:rPr>
          <w:rFonts w:cs="Calibri"/>
          <w:sz w:val="22"/>
        </w:rPr>
        <w:t>Enterobacteriaceae</w:t>
      </w:r>
      <w:r w:rsidRPr="00C63200">
        <w:rPr>
          <w:rFonts w:cs="Calibri"/>
          <w:i w:val="0"/>
          <w:sz w:val="22"/>
        </w:rPr>
        <w:t xml:space="preserve"> were comparable across phage families and significantly higher than those for </w:t>
      </w:r>
      <w:r w:rsidRPr="00C63200">
        <w:rPr>
          <w:rFonts w:cs="Calibri"/>
          <w:iCs/>
          <w:sz w:val="22"/>
        </w:rPr>
        <w:t>Synechococcus</w:t>
      </w:r>
      <w:r w:rsidRPr="00C63200">
        <w:rPr>
          <w:rFonts w:cs="Calibri"/>
          <w:i w:val="0"/>
          <w:sz w:val="22"/>
        </w:rPr>
        <w:t xml:space="preserve"> (</w:t>
      </w:r>
      <m:oMath>
        <m:r>
          <w:rPr>
            <w:rFonts w:ascii="Cambria Math" w:hAnsi="Cambria Math" w:cs="Calibri"/>
            <w:sz w:val="22"/>
          </w:rPr>
          <m:t>p</m:t>
        </m:r>
        <m:r>
          <m:rPr>
            <m:sty m:val="p"/>
          </m:rPr>
          <w:rPr>
            <w:rFonts w:ascii="Cambria Math" w:hAnsi="Cambria Math" w:cs="Calibri"/>
            <w:sz w:val="22"/>
          </w:rPr>
          <m:t xml:space="preserve"> ≈3.57×</m:t>
        </m:r>
        <m:sSup>
          <m:sSupPr>
            <m:ctrlPr>
              <w:rPr>
                <w:rFonts w:ascii="Cambria Math" w:hAnsi="Cambria Math" w:cs="Calibri"/>
                <w:i w:val="0"/>
                <w:sz w:val="22"/>
              </w:rPr>
            </m:ctrlPr>
          </m:sSupPr>
          <m:e>
            <m:r>
              <m:rPr>
                <m:sty m:val="p"/>
              </m:rPr>
              <w:rPr>
                <w:rFonts w:ascii="Cambria Math" w:hAnsi="Cambria Math" w:cs="Calibri"/>
                <w:sz w:val="22"/>
              </w:rPr>
              <m:t>10</m:t>
            </m:r>
          </m:e>
          <m:sup>
            <m:r>
              <m:rPr>
                <m:sty m:val="p"/>
              </m:rPr>
              <w:rPr>
                <w:rFonts w:ascii="Cambria Math" w:hAnsi="Cambria Math" w:cs="Calibri"/>
                <w:sz w:val="22"/>
              </w:rPr>
              <m:t>-5</m:t>
            </m:r>
          </m:sup>
        </m:sSup>
      </m:oMath>
      <w:r w:rsidR="009C2241" w:rsidRPr="00C63200">
        <w:rPr>
          <w:rFonts w:cs="Calibri"/>
          <w:sz w:val="22"/>
        </w:rPr>
        <w:t xml:space="preserve"> </w:t>
      </w:r>
      <w:r w:rsidRPr="00C63200">
        <w:rPr>
          <w:rFonts w:cs="Calibri"/>
          <w:i w:val="0"/>
          <w:sz w:val="22"/>
        </w:rPr>
        <w:t xml:space="preserve">), </w:t>
      </w:r>
      <w:r w:rsidR="009C2241" w:rsidRPr="00C63200">
        <w:rPr>
          <w:rFonts w:cs="Calibri"/>
          <w:iCs/>
          <w:sz w:val="22"/>
        </w:rPr>
        <w:t>P. aeruginosa</w:t>
      </w:r>
      <w:r w:rsidR="009C2241" w:rsidRPr="00C63200">
        <w:rPr>
          <w:rFonts w:cs="Calibri"/>
          <w:sz w:val="22"/>
        </w:rPr>
        <w:t xml:space="preserve"> (</w:t>
      </w:r>
      <m:oMath>
        <m:r>
          <w:rPr>
            <w:rFonts w:ascii="Cambria Math" w:hAnsi="Cambria Math" w:cs="Calibri"/>
            <w:sz w:val="22"/>
          </w:rPr>
          <m:t>p</m:t>
        </m:r>
        <m:r>
          <m:rPr>
            <m:sty m:val="p"/>
          </m:rPr>
          <w:rPr>
            <w:rFonts w:ascii="Cambria Math" w:hAnsi="Cambria Math" w:cs="Calibri"/>
            <w:sz w:val="22"/>
          </w:rPr>
          <m:t xml:space="preserve"> ≈2.20×</m:t>
        </m:r>
        <m:sSup>
          <m:sSupPr>
            <m:ctrlPr>
              <w:rPr>
                <w:rFonts w:ascii="Cambria Math" w:hAnsi="Cambria Math" w:cs="Calibri"/>
                <w:i w:val="0"/>
                <w:sz w:val="22"/>
              </w:rPr>
            </m:ctrlPr>
          </m:sSupPr>
          <m:e>
            <m:r>
              <m:rPr>
                <m:sty m:val="p"/>
              </m:rPr>
              <w:rPr>
                <w:rFonts w:ascii="Cambria Math" w:hAnsi="Cambria Math" w:cs="Calibri"/>
                <w:sz w:val="22"/>
              </w:rPr>
              <m:t>10</m:t>
            </m:r>
          </m:e>
          <m:sup>
            <m:r>
              <m:rPr>
                <m:sty m:val="p"/>
              </m:rPr>
              <w:rPr>
                <w:rFonts w:ascii="Cambria Math" w:hAnsi="Cambria Math" w:cs="Calibri"/>
                <w:sz w:val="22"/>
              </w:rPr>
              <m:t>-2</m:t>
            </m:r>
          </m:sup>
        </m:sSup>
      </m:oMath>
      <w:r w:rsidR="009C2241" w:rsidRPr="00C63200">
        <w:rPr>
          <w:rFonts w:cs="Calibri"/>
          <w:sz w:val="22"/>
        </w:rPr>
        <w:t xml:space="preserve">), and </w:t>
      </w:r>
      <w:r w:rsidR="009C2241" w:rsidRPr="00C63200">
        <w:rPr>
          <w:rFonts w:cs="Calibri"/>
          <w:iCs/>
          <w:sz w:val="22"/>
        </w:rPr>
        <w:t>Vibrio</w:t>
      </w:r>
      <w:r w:rsidR="009C2241" w:rsidRPr="00C63200">
        <w:rPr>
          <w:rFonts w:cs="Calibri"/>
          <w:sz w:val="22"/>
        </w:rPr>
        <w:t xml:space="preserve"> (</w:t>
      </w:r>
      <m:oMath>
        <m:r>
          <w:rPr>
            <w:rFonts w:ascii="Cambria Math" w:hAnsi="Cambria Math" w:cs="Calibri"/>
            <w:sz w:val="22"/>
          </w:rPr>
          <m:t>p</m:t>
        </m:r>
        <m:r>
          <m:rPr>
            <m:sty m:val="p"/>
          </m:rPr>
          <w:rPr>
            <w:rFonts w:ascii="Cambria Math" w:hAnsi="Cambria Math" w:cs="Calibri"/>
            <w:sz w:val="22"/>
          </w:rPr>
          <m:t xml:space="preserve"> ≈3.90×</m:t>
        </m:r>
        <m:sSup>
          <m:sSupPr>
            <m:ctrlPr>
              <w:rPr>
                <w:rFonts w:ascii="Cambria Math" w:hAnsi="Cambria Math" w:cs="Calibri"/>
                <w:i w:val="0"/>
                <w:sz w:val="22"/>
              </w:rPr>
            </m:ctrlPr>
          </m:sSupPr>
          <m:e>
            <m:r>
              <m:rPr>
                <m:sty m:val="p"/>
              </m:rPr>
              <w:rPr>
                <w:rFonts w:ascii="Cambria Math" w:hAnsi="Cambria Math" w:cs="Calibri"/>
                <w:sz w:val="22"/>
              </w:rPr>
              <m:t>10</m:t>
            </m:r>
          </m:e>
          <m:sup>
            <m:r>
              <m:rPr>
                <m:sty m:val="p"/>
              </m:rPr>
              <w:rPr>
                <w:rFonts w:ascii="Cambria Math" w:hAnsi="Cambria Math" w:cs="Calibri"/>
                <w:sz w:val="22"/>
              </w:rPr>
              <m:t>-3</m:t>
            </m:r>
          </m:sup>
        </m:sSup>
      </m:oMath>
      <w:r w:rsidR="009C2241" w:rsidRPr="00C63200">
        <w:rPr>
          <w:rFonts w:cs="Calibri"/>
          <w:sz w:val="22"/>
        </w:rPr>
        <w:t>)</w:t>
      </w:r>
      <w:r w:rsidRPr="00C63200">
        <w:rPr>
          <w:rFonts w:cs="Calibri"/>
          <w:i w:val="0"/>
          <w:sz w:val="22"/>
        </w:rPr>
        <w:t xml:space="preserve">. </w:t>
      </w:r>
    </w:p>
    <w:p w14:paraId="64110C1F" w14:textId="7FF642C8" w:rsidR="0036753A" w:rsidRPr="004D2FB2" w:rsidRDefault="0036753A" w:rsidP="006C10A4">
      <w:pPr>
        <w:pStyle w:val="KeywordsLine"/>
        <w:spacing w:line="360" w:lineRule="auto"/>
      </w:pPr>
      <w:r w:rsidRPr="004D2FB2">
        <w:t>Keywords:</w:t>
      </w:r>
      <w:r w:rsidR="00BA20EF">
        <w:t xml:space="preserve"> </w:t>
      </w:r>
      <w:r w:rsidR="001F5817" w:rsidRPr="001F5817">
        <w:t xml:space="preserve">bacteriophage; adsorption rate; </w:t>
      </w:r>
      <w:r w:rsidR="00BD08FF" w:rsidRPr="00BD08FF">
        <w:t>Phage morphology</w:t>
      </w:r>
    </w:p>
    <w:p w14:paraId="7D0AFDCA" w14:textId="77777777" w:rsidR="0036753A" w:rsidRPr="004D2FB2" w:rsidRDefault="0036753A" w:rsidP="006C10A4">
      <w:pPr>
        <w:spacing w:line="360" w:lineRule="auto"/>
      </w:pPr>
      <w:r w:rsidRPr="004D2FB2">
        <w:br w:type="page"/>
      </w:r>
    </w:p>
    <w:p w14:paraId="0EF1E5C8" w14:textId="77777777" w:rsidR="00B72E21" w:rsidRPr="00503F10" w:rsidRDefault="00B72E21" w:rsidP="00B72E21">
      <w:pPr>
        <w:pStyle w:val="Heading1"/>
        <w:rPr>
          <w:rFonts w:ascii="Calibri" w:hAnsi="Calibri" w:cs="Calibri"/>
          <w:color w:val="auto"/>
        </w:rPr>
      </w:pPr>
      <w:r w:rsidRPr="00503F10">
        <w:rPr>
          <w:rFonts w:ascii="Calibri" w:hAnsi="Calibri" w:cs="Calibri"/>
          <w:color w:val="auto"/>
        </w:rPr>
        <w:lastRenderedPageBreak/>
        <w:t>Introduction</w:t>
      </w:r>
    </w:p>
    <w:p w14:paraId="1DA99CD2" w14:textId="3392A3CB" w:rsidR="00B72E21" w:rsidRDefault="00B72E21" w:rsidP="00B72E21">
      <w:r w:rsidRPr="004D2FB2">
        <w:t>Context, motivation, and prior work. Summarize main contributions and outline the manuscript.</w:t>
      </w:r>
    </w:p>
    <w:p w14:paraId="0805C0DD" w14:textId="6890FF93" w:rsidR="0036753A" w:rsidRPr="00503F10" w:rsidRDefault="0036753A" w:rsidP="006C10A4">
      <w:pPr>
        <w:pStyle w:val="Heading1"/>
        <w:spacing w:line="360" w:lineRule="auto"/>
        <w:rPr>
          <w:rFonts w:ascii="Calibri" w:hAnsi="Calibri" w:cs="Calibri"/>
          <w:color w:val="auto"/>
        </w:rPr>
      </w:pPr>
      <w:r w:rsidRPr="00503F10">
        <w:rPr>
          <w:rFonts w:ascii="Calibri" w:hAnsi="Calibri" w:cs="Calibri"/>
          <w:color w:val="auto"/>
        </w:rPr>
        <w:t>Methods</w:t>
      </w:r>
    </w:p>
    <w:p w14:paraId="388AAC77" w14:textId="77777777" w:rsidR="007F39CE" w:rsidRPr="00503F10" w:rsidRDefault="006705D9" w:rsidP="006C10A4">
      <w:pPr>
        <w:pStyle w:val="Heading2"/>
        <w:spacing w:line="360" w:lineRule="auto"/>
        <w:rPr>
          <w:rFonts w:ascii="Calibri" w:hAnsi="Calibri" w:cs="Calibri"/>
          <w:color w:val="auto"/>
        </w:rPr>
      </w:pPr>
      <w:r w:rsidRPr="00503F10">
        <w:rPr>
          <w:rFonts w:ascii="Calibri" w:hAnsi="Calibri" w:cs="Calibri"/>
          <w:color w:val="auto"/>
        </w:rPr>
        <w:t>Surveyed adsorption rates of tailed phage with bacteria</w:t>
      </w:r>
    </w:p>
    <w:p w14:paraId="564CB3DA" w14:textId="5BDBBB2F" w:rsidR="006705D9" w:rsidRPr="006705D9" w:rsidRDefault="00823D4A" w:rsidP="006C10A4">
      <w:pPr>
        <w:pStyle w:val="Heading1"/>
        <w:spacing w:line="360" w:lineRule="auto"/>
        <w:rPr>
          <w:rFonts w:ascii="Calibri" w:eastAsiaTheme="minorEastAsia" w:hAnsi="Calibri" w:cstheme="minorBidi"/>
          <w:color w:val="auto"/>
          <w:sz w:val="22"/>
          <w:szCs w:val="22"/>
        </w:rPr>
      </w:pPr>
      <w:r w:rsidRPr="00823D4A">
        <w:rPr>
          <w:rFonts w:ascii="Calibri" w:eastAsiaTheme="minorEastAsia" w:hAnsi="Calibri" w:cstheme="minorBidi"/>
          <w:color w:val="auto"/>
          <w:sz w:val="22"/>
          <w:szCs w:val="22"/>
        </w:rPr>
        <w:t xml:space="preserve">For this study, bacteriophage adsorption data was compiled from 18 different literature sources to examine the association between microbial physical characteristics and phage adsorption rates. The literature review provided </w:t>
      </w:r>
      <w:r w:rsidR="00757A85">
        <w:rPr>
          <w:rFonts w:ascii="Calibri" w:eastAsiaTheme="minorEastAsia" w:hAnsi="Calibri" w:cstheme="minorBidi"/>
          <w:color w:val="auto"/>
          <w:sz w:val="22"/>
          <w:szCs w:val="22"/>
        </w:rPr>
        <w:t>6</w:t>
      </w:r>
      <w:r w:rsidR="00F30814">
        <w:rPr>
          <w:rFonts w:ascii="Calibri" w:eastAsiaTheme="minorEastAsia" w:hAnsi="Calibri" w:cstheme="minorBidi"/>
          <w:color w:val="auto"/>
          <w:sz w:val="22"/>
          <w:szCs w:val="22"/>
        </w:rPr>
        <w:t>6</w:t>
      </w:r>
      <w:r w:rsidRPr="00823D4A">
        <w:rPr>
          <w:rFonts w:ascii="Calibri" w:eastAsiaTheme="minorEastAsia" w:hAnsi="Calibri" w:cstheme="minorBidi"/>
          <w:color w:val="auto"/>
          <w:sz w:val="22"/>
          <w:szCs w:val="22"/>
        </w:rPr>
        <w:t xml:space="preserve"> individual data samples of adsorption rates spanning the Siphoviridae (</w:t>
      </w:r>
      <w:r w:rsidR="009C3E1F">
        <w:rPr>
          <w:rFonts w:ascii="Calibri" w:eastAsiaTheme="minorEastAsia" w:hAnsi="Calibri" w:cstheme="minorBidi"/>
          <w:color w:val="auto"/>
          <w:sz w:val="22"/>
          <w:szCs w:val="22"/>
        </w:rPr>
        <w:t>Abedon et al., 2023</w:t>
      </w:r>
      <w:r w:rsidR="009C3E1F">
        <w:rPr>
          <w:rFonts w:ascii="Calibri" w:eastAsiaTheme="minorEastAsia" w:hAnsi="Calibri" w:cstheme="minorBidi"/>
          <w:color w:val="auto"/>
          <w:sz w:val="22"/>
          <w:szCs w:val="22"/>
        </w:rPr>
        <w:t xml:space="preserve">, </w:t>
      </w:r>
      <w:r w:rsidRPr="00823D4A">
        <w:rPr>
          <w:rFonts w:ascii="Calibri" w:eastAsiaTheme="minorEastAsia" w:hAnsi="Calibri" w:cstheme="minorBidi"/>
          <w:color w:val="auto"/>
          <w:sz w:val="22"/>
          <w:szCs w:val="22"/>
        </w:rPr>
        <w:t xml:space="preserve">Moldovan et al., 2007; Shao and Wang, 2008; </w:t>
      </w:r>
      <w:r w:rsidR="009C3E1F" w:rsidRPr="00823D4A">
        <w:rPr>
          <w:rFonts w:ascii="Calibri" w:eastAsiaTheme="minorEastAsia" w:hAnsi="Calibri" w:cstheme="minorBidi"/>
          <w:color w:val="auto"/>
          <w:sz w:val="22"/>
          <w:szCs w:val="22"/>
        </w:rPr>
        <w:t>Puck et al., 195</w:t>
      </w:r>
      <w:r w:rsidR="00660EBE">
        <w:rPr>
          <w:rFonts w:ascii="Calibri" w:eastAsiaTheme="minorEastAsia" w:hAnsi="Calibri" w:cstheme="minorBidi"/>
          <w:color w:val="auto"/>
          <w:sz w:val="22"/>
          <w:szCs w:val="22"/>
        </w:rPr>
        <w:t>0</w:t>
      </w:r>
      <w:r w:rsidR="009C3E1F">
        <w:rPr>
          <w:rFonts w:ascii="Calibri" w:eastAsiaTheme="minorEastAsia" w:hAnsi="Calibri" w:cstheme="minorBidi"/>
          <w:color w:val="auto"/>
          <w:sz w:val="22"/>
          <w:szCs w:val="22"/>
        </w:rPr>
        <w:t>;</w:t>
      </w:r>
      <w:r w:rsidR="009C3E1F">
        <w:rPr>
          <w:rFonts w:ascii="Calibri" w:eastAsiaTheme="minorEastAsia" w:hAnsi="Calibri" w:cstheme="minorBidi"/>
          <w:color w:val="auto"/>
          <w:sz w:val="22"/>
          <w:szCs w:val="22"/>
        </w:rPr>
        <w:t xml:space="preserve"> Storms et al., 2012; </w:t>
      </w:r>
      <w:r w:rsidR="009C3E1F" w:rsidRPr="00823D4A">
        <w:rPr>
          <w:rFonts w:ascii="Calibri" w:eastAsiaTheme="minorEastAsia" w:hAnsi="Calibri" w:cstheme="minorBidi"/>
          <w:color w:val="auto"/>
          <w:sz w:val="22"/>
          <w:szCs w:val="22"/>
        </w:rPr>
        <w:t xml:space="preserve">Mann, 2003; </w:t>
      </w:r>
      <w:r w:rsidRPr="00823D4A">
        <w:rPr>
          <w:rFonts w:ascii="Calibri" w:eastAsiaTheme="minorEastAsia" w:hAnsi="Calibri" w:cstheme="minorBidi"/>
          <w:color w:val="auto"/>
          <w:sz w:val="22"/>
          <w:szCs w:val="22"/>
        </w:rPr>
        <w:t>Suttle and Chan, 1993</w:t>
      </w:r>
      <w:r w:rsidR="009C3E1F">
        <w:rPr>
          <w:rFonts w:ascii="Calibri" w:eastAsiaTheme="minorEastAsia" w:hAnsi="Calibri" w:cstheme="minorBidi"/>
          <w:color w:val="auto"/>
          <w:sz w:val="22"/>
          <w:szCs w:val="22"/>
        </w:rPr>
        <w:t xml:space="preserve">; </w:t>
      </w:r>
      <w:proofErr w:type="spellStart"/>
      <w:r w:rsidR="009C3E1F" w:rsidRPr="00F30814">
        <w:rPr>
          <w:rFonts w:ascii="Calibri" w:eastAsiaTheme="minorEastAsia" w:hAnsi="Calibri" w:cstheme="minorBidi"/>
          <w:color w:val="auto"/>
          <w:sz w:val="22"/>
          <w:szCs w:val="22"/>
        </w:rPr>
        <w:t>Namonyo</w:t>
      </w:r>
      <w:proofErr w:type="spellEnd"/>
      <w:r w:rsidR="009C3E1F" w:rsidRPr="00823D4A">
        <w:rPr>
          <w:rFonts w:ascii="Calibri" w:eastAsiaTheme="minorEastAsia" w:hAnsi="Calibri" w:cstheme="minorBidi"/>
          <w:color w:val="auto"/>
          <w:sz w:val="22"/>
          <w:szCs w:val="22"/>
        </w:rPr>
        <w:t xml:space="preserve"> et al., 20</w:t>
      </w:r>
      <w:r w:rsidR="009C3E1F">
        <w:rPr>
          <w:rFonts w:ascii="Calibri" w:eastAsiaTheme="minorEastAsia" w:hAnsi="Calibri" w:cstheme="minorBidi"/>
          <w:color w:val="auto"/>
          <w:sz w:val="22"/>
          <w:szCs w:val="22"/>
        </w:rPr>
        <w:t>23</w:t>
      </w:r>
      <w:r w:rsidRPr="00823D4A">
        <w:rPr>
          <w:rFonts w:ascii="Calibri" w:eastAsiaTheme="minorEastAsia" w:hAnsi="Calibri" w:cstheme="minorBidi"/>
          <w:color w:val="auto"/>
          <w:sz w:val="22"/>
          <w:szCs w:val="22"/>
        </w:rPr>
        <w:t>) (1</w:t>
      </w:r>
      <w:r w:rsidR="00F30814">
        <w:rPr>
          <w:rFonts w:ascii="Calibri" w:eastAsiaTheme="minorEastAsia" w:hAnsi="Calibri" w:cstheme="minorBidi"/>
          <w:color w:val="auto"/>
          <w:sz w:val="22"/>
          <w:szCs w:val="22"/>
        </w:rPr>
        <w:t>7</w:t>
      </w:r>
      <w:r w:rsidRPr="00823D4A">
        <w:rPr>
          <w:rFonts w:ascii="Calibri" w:eastAsiaTheme="minorEastAsia" w:hAnsi="Calibri" w:cstheme="minorBidi"/>
          <w:color w:val="auto"/>
          <w:sz w:val="22"/>
          <w:szCs w:val="22"/>
        </w:rPr>
        <w:t xml:space="preserve"> samples), Myoviridae (Stoddard et al., 2007; </w:t>
      </w:r>
      <w:r w:rsidR="00C545FA">
        <w:rPr>
          <w:rFonts w:ascii="Calibri" w:eastAsiaTheme="minorEastAsia" w:hAnsi="Calibri" w:cstheme="minorBidi"/>
          <w:color w:val="auto"/>
          <w:sz w:val="22"/>
          <w:szCs w:val="22"/>
        </w:rPr>
        <w:t xml:space="preserve">Mann, 2003; </w:t>
      </w:r>
      <w:r w:rsidR="00660EBE">
        <w:rPr>
          <w:rFonts w:ascii="Calibri" w:eastAsiaTheme="minorEastAsia" w:hAnsi="Calibri" w:cstheme="minorBidi"/>
          <w:color w:val="auto"/>
          <w:sz w:val="22"/>
          <w:szCs w:val="22"/>
        </w:rPr>
        <w:t xml:space="preserve">Jamal et al., 2014; </w:t>
      </w:r>
      <w:r w:rsidR="00660EBE" w:rsidRPr="00823D4A">
        <w:rPr>
          <w:rFonts w:ascii="Calibri" w:eastAsiaTheme="minorEastAsia" w:hAnsi="Calibri" w:cstheme="minorBidi"/>
          <w:color w:val="auto"/>
          <w:sz w:val="22"/>
          <w:szCs w:val="22"/>
        </w:rPr>
        <w:t>Storms et al., 2010; Storms et al., 201</w:t>
      </w:r>
      <w:r w:rsidR="00660EBE">
        <w:rPr>
          <w:rFonts w:ascii="Calibri" w:eastAsiaTheme="minorEastAsia" w:hAnsi="Calibri" w:cstheme="minorBidi"/>
          <w:color w:val="auto"/>
          <w:sz w:val="22"/>
          <w:szCs w:val="22"/>
        </w:rPr>
        <w:t>2</w:t>
      </w:r>
      <w:r w:rsidR="00660EBE" w:rsidRPr="00823D4A">
        <w:rPr>
          <w:rFonts w:ascii="Calibri" w:eastAsiaTheme="minorEastAsia" w:hAnsi="Calibri" w:cstheme="minorBidi"/>
          <w:color w:val="auto"/>
          <w:sz w:val="22"/>
          <w:szCs w:val="22"/>
        </w:rPr>
        <w:t xml:space="preserve">; </w:t>
      </w:r>
      <w:r w:rsidRPr="00823D4A">
        <w:rPr>
          <w:rFonts w:ascii="Calibri" w:eastAsiaTheme="minorEastAsia" w:hAnsi="Calibri" w:cstheme="minorBidi"/>
          <w:color w:val="auto"/>
          <w:sz w:val="22"/>
          <w:szCs w:val="22"/>
        </w:rPr>
        <w:t>Puck et al., 195</w:t>
      </w:r>
      <w:r w:rsidR="00660EBE">
        <w:rPr>
          <w:rFonts w:ascii="Calibri" w:eastAsiaTheme="minorEastAsia" w:hAnsi="Calibri" w:cstheme="minorBidi"/>
          <w:color w:val="auto"/>
          <w:sz w:val="22"/>
          <w:szCs w:val="22"/>
        </w:rPr>
        <w:t>0</w:t>
      </w:r>
      <w:r w:rsidRPr="00823D4A">
        <w:rPr>
          <w:rFonts w:ascii="Calibri" w:eastAsiaTheme="minorEastAsia" w:hAnsi="Calibri" w:cstheme="minorBidi"/>
          <w:color w:val="auto"/>
          <w:sz w:val="22"/>
          <w:szCs w:val="22"/>
        </w:rPr>
        <w:t xml:space="preserve">; Barr et al., 2015; Levisohn and Engelhard, 1987; </w:t>
      </w:r>
      <w:proofErr w:type="spellStart"/>
      <w:r w:rsidR="00660EBE" w:rsidRPr="00660EBE">
        <w:rPr>
          <w:rFonts w:ascii="Calibri" w:eastAsiaTheme="minorEastAsia" w:hAnsi="Calibri" w:cstheme="minorBidi"/>
          <w:color w:val="auto"/>
          <w:sz w:val="22"/>
          <w:szCs w:val="22"/>
        </w:rPr>
        <w:t>Thammatinna</w:t>
      </w:r>
      <w:proofErr w:type="spellEnd"/>
      <w:r w:rsidRPr="00823D4A">
        <w:rPr>
          <w:rFonts w:ascii="Calibri" w:eastAsiaTheme="minorEastAsia" w:hAnsi="Calibri" w:cstheme="minorBidi"/>
          <w:color w:val="auto"/>
          <w:sz w:val="22"/>
          <w:szCs w:val="22"/>
        </w:rPr>
        <w:t xml:space="preserve"> et al., 20</w:t>
      </w:r>
      <w:r w:rsidR="00660EBE">
        <w:rPr>
          <w:rFonts w:ascii="Calibri" w:eastAsiaTheme="minorEastAsia" w:hAnsi="Calibri" w:cstheme="minorBidi"/>
          <w:color w:val="auto"/>
          <w:sz w:val="22"/>
          <w:szCs w:val="22"/>
        </w:rPr>
        <w:t>2</w:t>
      </w:r>
      <w:r w:rsidRPr="00823D4A">
        <w:rPr>
          <w:rFonts w:ascii="Calibri" w:eastAsiaTheme="minorEastAsia" w:hAnsi="Calibri" w:cstheme="minorBidi"/>
          <w:color w:val="auto"/>
          <w:sz w:val="22"/>
          <w:szCs w:val="22"/>
        </w:rPr>
        <w:t>3</w:t>
      </w:r>
      <w:r w:rsidR="00660EBE">
        <w:rPr>
          <w:rFonts w:ascii="Calibri" w:eastAsiaTheme="minorEastAsia" w:hAnsi="Calibri" w:cstheme="minorBidi"/>
          <w:color w:val="auto"/>
          <w:sz w:val="22"/>
          <w:szCs w:val="22"/>
        </w:rPr>
        <w:t>, Kim et al</w:t>
      </w:r>
      <w:r w:rsidR="00E207D7">
        <w:rPr>
          <w:rFonts w:ascii="Calibri" w:eastAsiaTheme="minorEastAsia" w:hAnsi="Calibri" w:cstheme="minorBidi"/>
          <w:color w:val="auto"/>
          <w:sz w:val="22"/>
          <w:szCs w:val="22"/>
        </w:rPr>
        <w:t xml:space="preserve">., 2019; </w:t>
      </w:r>
      <w:proofErr w:type="spellStart"/>
      <w:r w:rsidR="00E207D7" w:rsidRPr="00F30814">
        <w:rPr>
          <w:rFonts w:ascii="Calibri" w:eastAsiaTheme="minorEastAsia" w:hAnsi="Calibri" w:cstheme="minorBidi"/>
          <w:color w:val="auto"/>
          <w:sz w:val="22"/>
          <w:szCs w:val="22"/>
        </w:rPr>
        <w:t>Namonyo</w:t>
      </w:r>
      <w:proofErr w:type="spellEnd"/>
      <w:r w:rsidR="00E207D7" w:rsidRPr="00823D4A">
        <w:rPr>
          <w:rFonts w:ascii="Calibri" w:eastAsiaTheme="minorEastAsia" w:hAnsi="Calibri" w:cstheme="minorBidi"/>
          <w:color w:val="auto"/>
          <w:sz w:val="22"/>
          <w:szCs w:val="22"/>
        </w:rPr>
        <w:t xml:space="preserve"> et al., 20</w:t>
      </w:r>
      <w:r w:rsidR="00E207D7">
        <w:rPr>
          <w:rFonts w:ascii="Calibri" w:eastAsiaTheme="minorEastAsia" w:hAnsi="Calibri" w:cstheme="minorBidi"/>
          <w:color w:val="auto"/>
          <w:sz w:val="22"/>
          <w:szCs w:val="22"/>
        </w:rPr>
        <w:t>23</w:t>
      </w:r>
      <w:r w:rsidRPr="00823D4A">
        <w:rPr>
          <w:rFonts w:ascii="Calibri" w:eastAsiaTheme="minorEastAsia" w:hAnsi="Calibri" w:cstheme="minorBidi"/>
          <w:color w:val="auto"/>
          <w:sz w:val="22"/>
          <w:szCs w:val="22"/>
        </w:rPr>
        <w:t>) (3</w:t>
      </w:r>
      <w:r w:rsidR="00E207D7">
        <w:rPr>
          <w:rFonts w:ascii="Calibri" w:eastAsiaTheme="minorEastAsia" w:hAnsi="Calibri" w:cstheme="minorBidi"/>
          <w:color w:val="auto"/>
          <w:sz w:val="22"/>
          <w:szCs w:val="22"/>
        </w:rPr>
        <w:t>6</w:t>
      </w:r>
      <w:r w:rsidRPr="00823D4A">
        <w:rPr>
          <w:rFonts w:ascii="Calibri" w:eastAsiaTheme="minorEastAsia" w:hAnsi="Calibri" w:cstheme="minorBidi"/>
          <w:color w:val="auto"/>
          <w:sz w:val="22"/>
          <w:szCs w:val="22"/>
        </w:rPr>
        <w:t xml:space="preserve"> samples)</w:t>
      </w:r>
      <w:r w:rsidR="00152EE0">
        <w:rPr>
          <w:rFonts w:ascii="Calibri" w:eastAsiaTheme="minorEastAsia" w:hAnsi="Calibri" w:cstheme="minorBidi"/>
          <w:color w:val="auto"/>
          <w:sz w:val="22"/>
          <w:szCs w:val="22"/>
        </w:rPr>
        <w:t xml:space="preserve"> </w:t>
      </w:r>
      <w:r w:rsidRPr="00823D4A">
        <w:rPr>
          <w:rFonts w:ascii="Calibri" w:eastAsiaTheme="minorEastAsia" w:hAnsi="Calibri" w:cstheme="minorBidi"/>
          <w:color w:val="auto"/>
          <w:sz w:val="22"/>
          <w:szCs w:val="22"/>
        </w:rPr>
        <w:t>and Podoviridae (</w:t>
      </w:r>
      <w:r w:rsidR="00E207D7">
        <w:rPr>
          <w:rFonts w:ascii="Calibri" w:eastAsiaTheme="minorEastAsia" w:hAnsi="Calibri" w:cstheme="minorBidi"/>
          <w:color w:val="auto"/>
          <w:sz w:val="22"/>
          <w:szCs w:val="22"/>
        </w:rPr>
        <w:t>Niu et al., 2022</w:t>
      </w:r>
      <w:r w:rsidR="00E207D7">
        <w:rPr>
          <w:rFonts w:ascii="Calibri" w:eastAsiaTheme="minorEastAsia" w:hAnsi="Calibri" w:cstheme="minorBidi"/>
          <w:color w:val="auto"/>
          <w:sz w:val="22"/>
          <w:szCs w:val="22"/>
        </w:rPr>
        <w:t xml:space="preserve">; </w:t>
      </w:r>
      <w:proofErr w:type="spellStart"/>
      <w:r w:rsidR="00E207D7" w:rsidRPr="003F0881">
        <w:rPr>
          <w:rFonts w:ascii="Calibri" w:eastAsiaTheme="minorEastAsia" w:hAnsi="Calibri" w:cstheme="minorBidi"/>
          <w:color w:val="auto"/>
          <w:sz w:val="22"/>
          <w:szCs w:val="22"/>
        </w:rPr>
        <w:t>Sillankorva</w:t>
      </w:r>
      <w:proofErr w:type="spellEnd"/>
      <w:r w:rsidR="00E207D7">
        <w:rPr>
          <w:rFonts w:ascii="Calibri" w:eastAsiaTheme="minorEastAsia" w:hAnsi="Calibri" w:cstheme="minorBidi"/>
          <w:color w:val="auto"/>
          <w:sz w:val="22"/>
          <w:szCs w:val="22"/>
        </w:rPr>
        <w:t xml:space="preserve"> et al.,</w:t>
      </w:r>
      <w:r w:rsidR="00E207D7" w:rsidRPr="003F0881">
        <w:rPr>
          <w:rFonts w:ascii="Calibri" w:eastAsiaTheme="minorEastAsia" w:hAnsi="Calibri" w:cstheme="minorBidi"/>
          <w:color w:val="auto"/>
          <w:sz w:val="22"/>
          <w:szCs w:val="22"/>
        </w:rPr>
        <w:t xml:space="preserve"> 2008</w:t>
      </w:r>
      <w:r w:rsidR="00E207D7">
        <w:rPr>
          <w:rFonts w:ascii="Calibri" w:eastAsiaTheme="minorEastAsia" w:hAnsi="Calibri" w:cstheme="minorBidi"/>
          <w:color w:val="auto"/>
          <w:sz w:val="22"/>
          <w:szCs w:val="22"/>
        </w:rPr>
        <w:t xml:space="preserve">; </w:t>
      </w:r>
      <w:proofErr w:type="spellStart"/>
      <w:r w:rsidR="00E207D7" w:rsidRPr="00F30814">
        <w:rPr>
          <w:rFonts w:ascii="Calibri" w:eastAsiaTheme="minorEastAsia" w:hAnsi="Calibri" w:cstheme="minorBidi"/>
          <w:color w:val="auto"/>
          <w:sz w:val="22"/>
          <w:szCs w:val="22"/>
        </w:rPr>
        <w:t>Namonyo</w:t>
      </w:r>
      <w:proofErr w:type="spellEnd"/>
      <w:r w:rsidR="00E207D7" w:rsidRPr="00823D4A">
        <w:rPr>
          <w:rFonts w:ascii="Calibri" w:eastAsiaTheme="minorEastAsia" w:hAnsi="Calibri" w:cstheme="minorBidi"/>
          <w:color w:val="auto"/>
          <w:sz w:val="22"/>
          <w:szCs w:val="22"/>
        </w:rPr>
        <w:t xml:space="preserve"> et al., 20</w:t>
      </w:r>
      <w:r w:rsidR="00E207D7">
        <w:rPr>
          <w:rFonts w:ascii="Calibri" w:eastAsiaTheme="minorEastAsia" w:hAnsi="Calibri" w:cstheme="minorBidi"/>
          <w:color w:val="auto"/>
          <w:sz w:val="22"/>
          <w:szCs w:val="22"/>
        </w:rPr>
        <w:t>23</w:t>
      </w:r>
      <w:r w:rsidR="00E207D7">
        <w:rPr>
          <w:rFonts w:ascii="Calibri" w:eastAsiaTheme="minorEastAsia" w:hAnsi="Calibri" w:cstheme="minorBidi"/>
          <w:color w:val="auto"/>
          <w:sz w:val="22"/>
          <w:szCs w:val="22"/>
        </w:rPr>
        <w:t xml:space="preserve">; </w:t>
      </w:r>
      <w:r w:rsidR="00E207D7" w:rsidRPr="00823D4A">
        <w:rPr>
          <w:rFonts w:ascii="Calibri" w:eastAsiaTheme="minorEastAsia" w:hAnsi="Calibri" w:cstheme="minorBidi"/>
          <w:color w:val="auto"/>
          <w:sz w:val="22"/>
          <w:szCs w:val="22"/>
        </w:rPr>
        <w:t>Zhang et al., 2016</w:t>
      </w:r>
      <w:r w:rsidR="00E207D7">
        <w:rPr>
          <w:rFonts w:ascii="Calibri" w:eastAsiaTheme="minorEastAsia" w:hAnsi="Calibri" w:cstheme="minorBidi"/>
          <w:color w:val="auto"/>
          <w:sz w:val="22"/>
          <w:szCs w:val="22"/>
        </w:rPr>
        <w:t xml:space="preserve">; </w:t>
      </w:r>
      <w:r w:rsidR="00E207D7">
        <w:rPr>
          <w:rFonts w:ascii="Calibri" w:eastAsiaTheme="minorEastAsia" w:hAnsi="Calibri" w:cstheme="minorBidi"/>
          <w:color w:val="auto"/>
          <w:sz w:val="22"/>
          <w:szCs w:val="22"/>
        </w:rPr>
        <w:t xml:space="preserve">Yang et al., 2022; </w:t>
      </w:r>
      <w:r w:rsidR="00E207D7" w:rsidRPr="00823D4A">
        <w:rPr>
          <w:rFonts w:ascii="Calibri" w:eastAsiaTheme="minorEastAsia" w:hAnsi="Calibri" w:cstheme="minorBidi"/>
          <w:color w:val="auto"/>
          <w:sz w:val="22"/>
          <w:szCs w:val="22"/>
        </w:rPr>
        <w:t>Puck et al., 195</w:t>
      </w:r>
      <w:r w:rsidR="00E207D7">
        <w:rPr>
          <w:rFonts w:ascii="Calibri" w:eastAsiaTheme="minorEastAsia" w:hAnsi="Calibri" w:cstheme="minorBidi"/>
          <w:color w:val="auto"/>
          <w:sz w:val="22"/>
          <w:szCs w:val="22"/>
        </w:rPr>
        <w:t>0</w:t>
      </w:r>
      <w:r w:rsidR="00E207D7">
        <w:rPr>
          <w:rFonts w:ascii="Calibri" w:eastAsiaTheme="minorEastAsia" w:hAnsi="Calibri" w:cstheme="minorBidi"/>
          <w:color w:val="auto"/>
          <w:sz w:val="22"/>
          <w:szCs w:val="22"/>
        </w:rPr>
        <w:t xml:space="preserve">; </w:t>
      </w:r>
      <w:r w:rsidR="00E207D7">
        <w:rPr>
          <w:rFonts w:ascii="Calibri" w:eastAsiaTheme="minorEastAsia" w:hAnsi="Calibri" w:cstheme="minorBidi"/>
          <w:color w:val="auto"/>
          <w:sz w:val="22"/>
          <w:szCs w:val="22"/>
        </w:rPr>
        <w:t>Storms et al., 2012;</w:t>
      </w:r>
      <w:r w:rsidR="00E207D7">
        <w:rPr>
          <w:rFonts w:ascii="Calibri" w:eastAsiaTheme="minorEastAsia" w:hAnsi="Calibri" w:cstheme="minorBidi"/>
          <w:color w:val="auto"/>
          <w:sz w:val="22"/>
          <w:szCs w:val="22"/>
        </w:rPr>
        <w:t xml:space="preserve"> </w:t>
      </w:r>
      <w:proofErr w:type="spellStart"/>
      <w:r w:rsidR="00E207D7">
        <w:rPr>
          <w:rFonts w:ascii="Calibri" w:eastAsiaTheme="minorEastAsia" w:hAnsi="Calibri" w:cstheme="minorBidi"/>
          <w:color w:val="auto"/>
          <w:sz w:val="22"/>
          <w:szCs w:val="22"/>
        </w:rPr>
        <w:t>Koonjan</w:t>
      </w:r>
      <w:proofErr w:type="spellEnd"/>
      <w:r w:rsidR="00E207D7">
        <w:rPr>
          <w:rFonts w:ascii="Calibri" w:eastAsiaTheme="minorEastAsia" w:hAnsi="Calibri" w:cstheme="minorBidi"/>
          <w:color w:val="auto"/>
          <w:sz w:val="22"/>
          <w:szCs w:val="22"/>
        </w:rPr>
        <w:t xml:space="preserve"> et al., 2021; Xu et al., 2021</w:t>
      </w:r>
      <w:r w:rsidR="00E207D7">
        <w:rPr>
          <w:rFonts w:ascii="Calibri" w:eastAsiaTheme="minorEastAsia" w:hAnsi="Calibri" w:cstheme="minorBidi"/>
          <w:color w:val="auto"/>
          <w:sz w:val="22"/>
          <w:szCs w:val="22"/>
        </w:rPr>
        <w:t xml:space="preserve">; </w:t>
      </w:r>
      <w:proofErr w:type="spellStart"/>
      <w:r w:rsidR="00E207D7" w:rsidRPr="00F30814">
        <w:rPr>
          <w:rFonts w:ascii="Calibri" w:eastAsiaTheme="minorEastAsia" w:hAnsi="Calibri" w:cstheme="minorBidi"/>
          <w:color w:val="auto"/>
          <w:sz w:val="22"/>
          <w:szCs w:val="22"/>
        </w:rPr>
        <w:t>Namonyo</w:t>
      </w:r>
      <w:proofErr w:type="spellEnd"/>
      <w:r w:rsidR="00E207D7" w:rsidRPr="00823D4A">
        <w:rPr>
          <w:rFonts w:ascii="Calibri" w:eastAsiaTheme="minorEastAsia" w:hAnsi="Calibri" w:cstheme="minorBidi"/>
          <w:color w:val="auto"/>
          <w:sz w:val="22"/>
          <w:szCs w:val="22"/>
        </w:rPr>
        <w:t xml:space="preserve"> et al., 20</w:t>
      </w:r>
      <w:r w:rsidR="00E207D7">
        <w:rPr>
          <w:rFonts w:ascii="Calibri" w:eastAsiaTheme="minorEastAsia" w:hAnsi="Calibri" w:cstheme="minorBidi"/>
          <w:color w:val="auto"/>
          <w:sz w:val="22"/>
          <w:szCs w:val="22"/>
        </w:rPr>
        <w:t>23</w:t>
      </w:r>
      <w:r w:rsidRPr="00823D4A">
        <w:rPr>
          <w:rFonts w:ascii="Calibri" w:eastAsiaTheme="minorEastAsia" w:hAnsi="Calibri" w:cstheme="minorBidi"/>
          <w:color w:val="auto"/>
          <w:sz w:val="22"/>
          <w:szCs w:val="22"/>
        </w:rPr>
        <w:t>) (1</w:t>
      </w:r>
      <w:r w:rsidR="00E207D7">
        <w:rPr>
          <w:rFonts w:ascii="Calibri" w:eastAsiaTheme="minorEastAsia" w:hAnsi="Calibri" w:cstheme="minorBidi"/>
          <w:color w:val="auto"/>
          <w:sz w:val="22"/>
          <w:szCs w:val="22"/>
        </w:rPr>
        <w:t>4</w:t>
      </w:r>
      <w:r w:rsidRPr="00823D4A">
        <w:rPr>
          <w:rFonts w:ascii="Calibri" w:eastAsiaTheme="minorEastAsia" w:hAnsi="Calibri" w:cstheme="minorBidi"/>
          <w:color w:val="auto"/>
          <w:sz w:val="22"/>
          <w:szCs w:val="22"/>
        </w:rPr>
        <w:t xml:space="preserve"> samples) bacteriophage families.</w:t>
      </w:r>
      <w:r>
        <w:rPr>
          <w:rFonts w:ascii="Calibri" w:eastAsiaTheme="minorEastAsia" w:hAnsi="Calibri" w:cstheme="minorBidi"/>
          <w:color w:val="auto"/>
          <w:sz w:val="22"/>
          <w:szCs w:val="22"/>
        </w:rPr>
        <w:t xml:space="preserve"> </w:t>
      </w:r>
      <w:r w:rsidR="00E207D7">
        <w:rPr>
          <w:rFonts w:ascii="Calibri" w:eastAsiaTheme="minorEastAsia" w:hAnsi="Calibri" w:cstheme="minorBidi"/>
          <w:color w:val="auto"/>
          <w:sz w:val="22"/>
          <w:szCs w:val="22"/>
        </w:rPr>
        <w:t xml:space="preserve"> </w:t>
      </w:r>
      <w:r w:rsidR="006705D9" w:rsidRPr="006705D9">
        <w:rPr>
          <w:rFonts w:ascii="Calibri" w:eastAsiaTheme="minorEastAsia" w:hAnsi="Calibri" w:cstheme="minorBidi"/>
          <w:color w:val="auto"/>
          <w:sz w:val="22"/>
          <w:szCs w:val="22"/>
        </w:rPr>
        <w:t>This survey provided a reasonable database to compare phage adsorption rates over four bacterial host</w:t>
      </w:r>
      <w:r w:rsidR="00253F65">
        <w:rPr>
          <w:rFonts w:ascii="Calibri" w:eastAsiaTheme="minorEastAsia" w:hAnsi="Calibri" w:cstheme="minorBidi"/>
          <w:color w:val="auto"/>
          <w:sz w:val="22"/>
          <w:szCs w:val="22"/>
        </w:rPr>
        <w:t xml:space="preserve"> families</w:t>
      </w:r>
      <w:r w:rsidR="006705D9" w:rsidRPr="006705D9">
        <w:rPr>
          <w:rFonts w:ascii="Calibri" w:eastAsiaTheme="minorEastAsia" w:hAnsi="Calibri" w:cstheme="minorBidi"/>
          <w:color w:val="auto"/>
          <w:sz w:val="22"/>
          <w:szCs w:val="22"/>
        </w:rPr>
        <w:t xml:space="preserve"> (</w:t>
      </w:r>
      <w:r w:rsidR="00253F65" w:rsidRPr="00253F65">
        <w:rPr>
          <w:rFonts w:ascii="Calibri" w:eastAsiaTheme="minorEastAsia" w:hAnsi="Calibri" w:cstheme="minorBidi"/>
          <w:i/>
          <w:iCs/>
          <w:color w:val="auto"/>
          <w:sz w:val="22"/>
          <w:szCs w:val="22"/>
        </w:rPr>
        <w:t>Enterobacteriaceae</w:t>
      </w:r>
      <w:r w:rsidR="006705D9" w:rsidRPr="00197FA7">
        <w:rPr>
          <w:rFonts w:ascii="Calibri" w:eastAsiaTheme="minorEastAsia" w:hAnsi="Calibri" w:cstheme="minorBidi"/>
          <w:i/>
          <w:iCs/>
          <w:color w:val="auto"/>
          <w:sz w:val="22"/>
          <w:szCs w:val="22"/>
        </w:rPr>
        <w:t xml:space="preserve">, </w:t>
      </w:r>
      <w:r w:rsidR="00253F65" w:rsidRPr="00253F65">
        <w:rPr>
          <w:rFonts w:ascii="Calibri" w:eastAsiaTheme="minorEastAsia" w:hAnsi="Calibri" w:cstheme="minorBidi"/>
          <w:i/>
          <w:iCs/>
          <w:color w:val="auto"/>
          <w:sz w:val="22"/>
          <w:szCs w:val="22"/>
        </w:rPr>
        <w:t>Pseudomonadaceae</w:t>
      </w:r>
      <w:r w:rsidR="006705D9" w:rsidRPr="00197FA7">
        <w:rPr>
          <w:rFonts w:ascii="Calibri" w:eastAsiaTheme="minorEastAsia" w:hAnsi="Calibri" w:cstheme="minorBidi"/>
          <w:i/>
          <w:iCs/>
          <w:color w:val="auto"/>
          <w:sz w:val="22"/>
          <w:szCs w:val="22"/>
        </w:rPr>
        <w:t xml:space="preserve">, </w:t>
      </w:r>
      <w:proofErr w:type="spellStart"/>
      <w:r w:rsidR="00253F65" w:rsidRPr="00253F65">
        <w:rPr>
          <w:rFonts w:ascii="Calibri" w:eastAsiaTheme="minorEastAsia" w:hAnsi="Calibri" w:cstheme="minorBidi"/>
          <w:i/>
          <w:iCs/>
          <w:color w:val="auto"/>
          <w:sz w:val="22"/>
          <w:szCs w:val="22"/>
        </w:rPr>
        <w:t>Synechococcaceae</w:t>
      </w:r>
      <w:proofErr w:type="spellEnd"/>
      <w:r w:rsidR="006705D9" w:rsidRPr="006705D9">
        <w:rPr>
          <w:rFonts w:ascii="Calibri" w:eastAsiaTheme="minorEastAsia" w:hAnsi="Calibri" w:cstheme="minorBidi"/>
          <w:color w:val="auto"/>
          <w:sz w:val="22"/>
          <w:szCs w:val="22"/>
        </w:rPr>
        <w:t xml:space="preserve"> and </w:t>
      </w:r>
      <w:r w:rsidR="00253F65" w:rsidRPr="00253F65">
        <w:rPr>
          <w:rFonts w:ascii="Calibri" w:eastAsiaTheme="minorEastAsia" w:hAnsi="Calibri" w:cstheme="minorBidi"/>
          <w:i/>
          <w:iCs/>
          <w:color w:val="auto"/>
          <w:sz w:val="22"/>
          <w:szCs w:val="22"/>
        </w:rPr>
        <w:t>Vibrionaceae</w:t>
      </w:r>
      <w:r w:rsidR="006705D9" w:rsidRPr="006705D9">
        <w:rPr>
          <w:rFonts w:ascii="Calibri" w:eastAsiaTheme="minorEastAsia" w:hAnsi="Calibri" w:cstheme="minorBidi"/>
          <w:color w:val="auto"/>
          <w:sz w:val="22"/>
          <w:szCs w:val="22"/>
        </w:rPr>
        <w:t>) and achieve insight into the variability of phage-host interactions across mammalian gut and marine habitats. Data on phage tail lengths</w:t>
      </w:r>
      <w:r w:rsidR="00A01422">
        <w:rPr>
          <w:rFonts w:ascii="Calibri" w:eastAsiaTheme="minorEastAsia" w:hAnsi="Calibri" w:cstheme="minorBidi"/>
          <w:color w:val="auto"/>
          <w:sz w:val="22"/>
          <w:szCs w:val="22"/>
        </w:rPr>
        <w:t xml:space="preserve"> and head sizes</w:t>
      </w:r>
      <w:r w:rsidR="006705D9" w:rsidRPr="006705D9">
        <w:rPr>
          <w:rFonts w:ascii="Calibri" w:eastAsiaTheme="minorEastAsia" w:hAnsi="Calibri" w:cstheme="minorBidi"/>
          <w:color w:val="auto"/>
          <w:sz w:val="22"/>
          <w:szCs w:val="22"/>
        </w:rPr>
        <w:t xml:space="preserve"> from the Siphoviridae</w:t>
      </w:r>
      <w:r w:rsidR="00152EE0">
        <w:rPr>
          <w:rFonts w:ascii="Calibri" w:eastAsiaTheme="minorEastAsia" w:hAnsi="Calibri" w:cstheme="minorBidi"/>
          <w:color w:val="auto"/>
          <w:sz w:val="22"/>
          <w:szCs w:val="22"/>
        </w:rPr>
        <w:t>,</w:t>
      </w:r>
      <w:r w:rsidR="006705D9" w:rsidRPr="006705D9">
        <w:rPr>
          <w:rFonts w:ascii="Calibri" w:eastAsiaTheme="minorEastAsia" w:hAnsi="Calibri" w:cstheme="minorBidi"/>
          <w:color w:val="auto"/>
          <w:sz w:val="22"/>
          <w:szCs w:val="22"/>
        </w:rPr>
        <w:t xml:space="preserve"> Myoviridae</w:t>
      </w:r>
      <w:r w:rsidR="00152EE0">
        <w:rPr>
          <w:rFonts w:ascii="Calibri" w:eastAsiaTheme="minorEastAsia" w:hAnsi="Calibri" w:cstheme="minorBidi"/>
          <w:color w:val="auto"/>
          <w:sz w:val="22"/>
          <w:szCs w:val="22"/>
        </w:rPr>
        <w:t xml:space="preserve">, </w:t>
      </w:r>
      <w:r w:rsidR="006705D9" w:rsidRPr="006705D9">
        <w:rPr>
          <w:rFonts w:ascii="Calibri" w:eastAsiaTheme="minorEastAsia" w:hAnsi="Calibri" w:cstheme="minorBidi"/>
          <w:color w:val="auto"/>
          <w:sz w:val="22"/>
          <w:szCs w:val="22"/>
        </w:rPr>
        <w:t xml:space="preserve">and Podoviridae were </w:t>
      </w:r>
      <w:r w:rsidR="00A01422">
        <w:rPr>
          <w:rFonts w:ascii="Calibri" w:eastAsiaTheme="minorEastAsia" w:hAnsi="Calibri" w:cstheme="minorBidi"/>
          <w:color w:val="auto"/>
          <w:sz w:val="22"/>
          <w:szCs w:val="22"/>
        </w:rPr>
        <w:t xml:space="preserve">also </w:t>
      </w:r>
      <w:r w:rsidR="006705D9" w:rsidRPr="006705D9">
        <w:rPr>
          <w:rFonts w:ascii="Calibri" w:eastAsiaTheme="minorEastAsia" w:hAnsi="Calibri" w:cstheme="minorBidi"/>
          <w:color w:val="auto"/>
          <w:sz w:val="22"/>
          <w:szCs w:val="22"/>
        </w:rPr>
        <w:t xml:space="preserve">collected. Statistical correlations were performed with a Mann-Whitney U-test </w:t>
      </w:r>
      <w:r>
        <w:rPr>
          <w:rFonts w:ascii="Calibri" w:eastAsiaTheme="minorEastAsia" w:hAnsi="Calibri" w:cstheme="minorBidi"/>
          <w:color w:val="auto"/>
          <w:sz w:val="22"/>
          <w:szCs w:val="22"/>
        </w:rPr>
        <w:t>(</w:t>
      </w:r>
      <w:r w:rsidR="002C58A1" w:rsidRPr="002C58A1">
        <w:rPr>
          <w:rFonts w:ascii="Calibri" w:eastAsiaTheme="minorEastAsia" w:hAnsi="Calibri" w:cstheme="minorBidi"/>
          <w:color w:val="auto"/>
          <w:sz w:val="22"/>
          <w:szCs w:val="22"/>
        </w:rPr>
        <w:t>Nadim</w:t>
      </w:r>
      <w:r>
        <w:rPr>
          <w:rFonts w:ascii="Calibri" w:eastAsiaTheme="minorEastAsia" w:hAnsi="Calibri" w:cstheme="minorBidi"/>
          <w:color w:val="auto"/>
          <w:sz w:val="22"/>
          <w:szCs w:val="22"/>
        </w:rPr>
        <w:t>,</w:t>
      </w:r>
      <w:r w:rsidR="002C58A1">
        <w:rPr>
          <w:rFonts w:ascii="Calibri" w:eastAsiaTheme="minorEastAsia" w:hAnsi="Calibri" w:cstheme="minorBidi"/>
          <w:color w:val="auto"/>
          <w:sz w:val="22"/>
          <w:szCs w:val="22"/>
        </w:rPr>
        <w:t xml:space="preserve"> 2008</w:t>
      </w:r>
      <w:r w:rsidR="00A01422">
        <w:rPr>
          <w:rFonts w:ascii="Calibri" w:eastAsiaTheme="minorEastAsia" w:hAnsi="Calibri" w:cstheme="minorBidi"/>
          <w:color w:val="auto"/>
          <w:sz w:val="22"/>
          <w:szCs w:val="22"/>
        </w:rPr>
        <w:t>)</w:t>
      </w:r>
      <w:r w:rsidR="006705D9" w:rsidRPr="006705D9">
        <w:rPr>
          <w:rFonts w:ascii="Calibri" w:eastAsiaTheme="minorEastAsia" w:hAnsi="Calibri" w:cstheme="minorBidi"/>
          <w:color w:val="auto"/>
          <w:sz w:val="22"/>
          <w:szCs w:val="22"/>
        </w:rPr>
        <w:t xml:space="preserve">. Reconstruction of distributions from data was accomplished using typical bootstrapping techniques. </w:t>
      </w:r>
    </w:p>
    <w:p w14:paraId="39AE894B" w14:textId="12B027DA" w:rsidR="00655BB0" w:rsidRPr="00C63200" w:rsidRDefault="00D2171A" w:rsidP="006C10A4">
      <w:pPr>
        <w:pStyle w:val="Heading1"/>
        <w:spacing w:line="360" w:lineRule="auto"/>
        <w:rPr>
          <w:rFonts w:ascii="Calibri" w:eastAsiaTheme="minorEastAsia" w:hAnsi="Calibri" w:cs="Calibri"/>
          <w:color w:val="auto"/>
          <w:sz w:val="22"/>
          <w:szCs w:val="22"/>
        </w:rPr>
      </w:pPr>
      <w:r w:rsidRPr="00C63200">
        <w:rPr>
          <w:rFonts w:ascii="Calibri" w:eastAsiaTheme="minorEastAsia" w:hAnsi="Calibri" w:cs="Calibri"/>
          <w:color w:val="auto"/>
          <w:sz w:val="22"/>
          <w:szCs w:val="22"/>
        </w:rPr>
        <w:t>Several</w:t>
      </w:r>
      <w:r w:rsidR="006705D9" w:rsidRPr="00C63200">
        <w:rPr>
          <w:rFonts w:ascii="Calibri" w:eastAsiaTheme="minorEastAsia" w:hAnsi="Calibri" w:cs="Calibri"/>
          <w:color w:val="auto"/>
          <w:sz w:val="22"/>
          <w:szCs w:val="22"/>
        </w:rPr>
        <w:t xml:space="preserve"> studies</w:t>
      </w:r>
      <w:r w:rsidR="00823D4A" w:rsidRPr="00C63200">
        <w:rPr>
          <w:rFonts w:ascii="Calibri" w:eastAsiaTheme="minorEastAsia" w:hAnsi="Calibri" w:cs="Calibri"/>
          <w:color w:val="auto"/>
          <w:sz w:val="22"/>
          <w:szCs w:val="22"/>
        </w:rPr>
        <w:t xml:space="preserve"> (Moldovan et al., 2007</w:t>
      </w:r>
      <w:r w:rsidR="007373BC" w:rsidRPr="00C63200">
        <w:rPr>
          <w:rFonts w:ascii="Calibri" w:eastAsiaTheme="minorEastAsia" w:hAnsi="Calibri" w:cs="Calibri"/>
          <w:color w:val="auto"/>
          <w:sz w:val="22"/>
          <w:szCs w:val="22"/>
        </w:rPr>
        <w:t xml:space="preserve">; </w:t>
      </w:r>
      <w:r w:rsidR="007373BC" w:rsidRPr="00C63200">
        <w:rPr>
          <w:rFonts w:ascii="Calibri" w:eastAsiaTheme="minorEastAsia" w:hAnsi="Calibri" w:cs="Calibri"/>
          <w:color w:val="auto"/>
          <w:sz w:val="22"/>
          <w:szCs w:val="22"/>
        </w:rPr>
        <w:t>Barr et al. 2015</w:t>
      </w:r>
      <w:r w:rsidR="007373BC" w:rsidRPr="00C63200">
        <w:rPr>
          <w:rFonts w:ascii="Calibri" w:eastAsiaTheme="minorEastAsia" w:hAnsi="Calibri" w:cs="Calibri"/>
          <w:color w:val="auto"/>
          <w:sz w:val="22"/>
          <w:szCs w:val="22"/>
        </w:rPr>
        <w:t xml:space="preserve">; </w:t>
      </w:r>
      <w:proofErr w:type="spellStart"/>
      <w:r w:rsidR="007373BC" w:rsidRPr="00C63200">
        <w:rPr>
          <w:rFonts w:ascii="Calibri" w:eastAsiaTheme="minorEastAsia" w:hAnsi="Calibri" w:cs="Calibri"/>
          <w:color w:val="auto"/>
          <w:sz w:val="22"/>
          <w:szCs w:val="22"/>
        </w:rPr>
        <w:t>Sillankorva</w:t>
      </w:r>
      <w:proofErr w:type="spellEnd"/>
      <w:r w:rsidR="007373BC" w:rsidRPr="00C63200">
        <w:rPr>
          <w:rFonts w:ascii="Calibri" w:eastAsiaTheme="minorEastAsia" w:hAnsi="Calibri" w:cs="Calibri"/>
          <w:color w:val="auto"/>
          <w:sz w:val="22"/>
          <w:szCs w:val="22"/>
        </w:rPr>
        <w:t xml:space="preserve"> et al., 2008</w:t>
      </w:r>
      <w:r w:rsidR="007373BC" w:rsidRPr="00C63200">
        <w:rPr>
          <w:rFonts w:ascii="Calibri" w:eastAsiaTheme="minorEastAsia" w:hAnsi="Calibri" w:cs="Calibri"/>
          <w:color w:val="auto"/>
          <w:sz w:val="22"/>
          <w:szCs w:val="22"/>
        </w:rPr>
        <w:t xml:space="preserve">; </w:t>
      </w:r>
      <w:r w:rsidR="007373BC" w:rsidRPr="00C63200">
        <w:rPr>
          <w:rFonts w:ascii="Calibri" w:eastAsiaTheme="minorEastAsia" w:hAnsi="Calibri" w:cs="Calibri"/>
          <w:color w:val="auto"/>
          <w:sz w:val="22"/>
          <w:szCs w:val="22"/>
        </w:rPr>
        <w:t xml:space="preserve">Suttle </w:t>
      </w:r>
      <w:r w:rsidR="007373BC" w:rsidRPr="00C63200">
        <w:rPr>
          <w:rFonts w:ascii="Calibri" w:eastAsiaTheme="minorEastAsia" w:hAnsi="Calibri" w:cs="Calibri"/>
          <w:color w:val="auto"/>
          <w:sz w:val="22"/>
          <w:szCs w:val="22"/>
        </w:rPr>
        <w:t>and</w:t>
      </w:r>
      <w:r w:rsidR="007373BC" w:rsidRPr="00C63200">
        <w:rPr>
          <w:rFonts w:ascii="Calibri" w:eastAsiaTheme="minorEastAsia" w:hAnsi="Calibri" w:cs="Calibri"/>
          <w:color w:val="auto"/>
          <w:sz w:val="22"/>
          <w:szCs w:val="22"/>
        </w:rPr>
        <w:t xml:space="preserve"> Chan, 1993</w:t>
      </w:r>
      <w:r w:rsidRPr="00C63200">
        <w:rPr>
          <w:rFonts w:ascii="Calibri" w:eastAsiaTheme="minorEastAsia" w:hAnsi="Calibri" w:cs="Calibri"/>
          <w:color w:val="auto"/>
          <w:sz w:val="22"/>
          <w:szCs w:val="22"/>
        </w:rPr>
        <w:t xml:space="preserve">; </w:t>
      </w:r>
      <w:r w:rsidRPr="00C63200">
        <w:rPr>
          <w:rFonts w:ascii="Calibri" w:eastAsiaTheme="minorEastAsia" w:hAnsi="Calibri" w:cs="Calibri"/>
          <w:color w:val="auto"/>
          <w:sz w:val="22"/>
          <w:szCs w:val="22"/>
        </w:rPr>
        <w:t>Yang et al., 2022</w:t>
      </w:r>
      <w:r w:rsidR="00823D4A" w:rsidRPr="00C63200">
        <w:rPr>
          <w:rFonts w:ascii="Calibri" w:eastAsiaTheme="minorEastAsia" w:hAnsi="Calibri" w:cs="Calibri"/>
          <w:color w:val="auto"/>
          <w:sz w:val="22"/>
          <w:szCs w:val="22"/>
        </w:rPr>
        <w:t xml:space="preserve">), </w:t>
      </w:r>
      <w:r w:rsidR="006705D9" w:rsidRPr="00C63200">
        <w:rPr>
          <w:rFonts w:ascii="Calibri" w:eastAsiaTheme="minorEastAsia" w:hAnsi="Calibri" w:cs="Calibri"/>
          <w:color w:val="auto"/>
          <w:sz w:val="22"/>
          <w:szCs w:val="22"/>
        </w:rPr>
        <w:t>expressed phage adsorption rates in terms of percentage of adsorbed phages,</w:t>
      </w:r>
      <w:r w:rsidR="003B698E" w:rsidRPr="00C63200">
        <w:rPr>
          <w:rFonts w:ascii="Calibri" w:eastAsiaTheme="minorEastAsia" w:hAnsi="Calibri" w:cs="Calibri"/>
          <w:color w:val="auto"/>
          <w:sz w:val="22"/>
          <w:szCs w:val="22"/>
        </w:rPr>
        <w:t xml:space="preserve"> </w:t>
      </w:r>
      <m:oMath>
        <m:r>
          <w:rPr>
            <w:rFonts w:ascii="Cambria Math" w:eastAsiaTheme="minorEastAsia" w:hAnsi="Cambria Math" w:cs="Calibri"/>
            <w:color w:val="auto"/>
            <w:sz w:val="22"/>
            <w:szCs w:val="22"/>
          </w:rPr>
          <m:t>∆</m:t>
        </m:r>
        <m:acc>
          <m:accPr>
            <m:ctrlPr>
              <w:rPr>
                <w:rFonts w:ascii="Cambria Math" w:eastAsiaTheme="minorEastAsia" w:hAnsi="Cambria Math" w:cs="Calibri"/>
                <w:i/>
                <w:color w:val="auto"/>
                <w:sz w:val="22"/>
                <w:szCs w:val="22"/>
              </w:rPr>
            </m:ctrlPr>
          </m:accPr>
          <m:e>
            <m:r>
              <w:rPr>
                <w:rFonts w:ascii="Cambria Math" w:eastAsiaTheme="minorEastAsia" w:hAnsi="Cambria Math" w:cs="Calibri"/>
                <w:color w:val="auto"/>
                <w:sz w:val="22"/>
                <w:szCs w:val="22"/>
              </w:rPr>
              <m:t>P</m:t>
            </m:r>
          </m:e>
        </m:acc>
      </m:oMath>
      <w:r w:rsidR="006705D9" w:rsidRPr="00C63200">
        <w:rPr>
          <w:rFonts w:ascii="Calibri" w:eastAsiaTheme="minorEastAsia" w:hAnsi="Calibri" w:cs="Calibri"/>
          <w:color w:val="auto"/>
          <w:sz w:val="22"/>
          <w:szCs w:val="22"/>
        </w:rPr>
        <w:t xml:space="preserve"> </w:t>
      </w:r>
      <w:r w:rsidR="003B698E" w:rsidRPr="00C63200">
        <w:rPr>
          <w:rFonts w:ascii="Calibri" w:eastAsiaTheme="minorEastAsia" w:hAnsi="Calibri" w:cs="Calibri"/>
          <w:color w:val="auto"/>
          <w:sz w:val="22"/>
          <w:szCs w:val="22"/>
        </w:rPr>
        <w:t>(</w:t>
      </w:r>
      <m:oMath>
        <m:r>
          <w:rPr>
            <w:rFonts w:ascii="Cambria Math" w:eastAsiaTheme="minorEastAsia" w:hAnsi="Cambria Math" w:cs="Calibri"/>
            <w:color w:val="auto"/>
            <w:sz w:val="22"/>
            <w:szCs w:val="22"/>
          </w:rPr>
          <m:t>%</m:t>
        </m:r>
      </m:oMath>
      <w:r w:rsidR="003B698E" w:rsidRPr="00C63200">
        <w:rPr>
          <w:rFonts w:ascii="Calibri" w:eastAsiaTheme="minorEastAsia" w:hAnsi="Calibri" w:cs="Calibri"/>
          <w:color w:val="auto"/>
          <w:sz w:val="22"/>
          <w:szCs w:val="22"/>
        </w:rPr>
        <w:t xml:space="preserve">) </w:t>
      </w:r>
      <w:r w:rsidR="006705D9" w:rsidRPr="00C63200">
        <w:rPr>
          <w:rFonts w:ascii="Calibri" w:eastAsiaTheme="minorEastAsia" w:hAnsi="Calibri" w:cs="Calibri"/>
          <w:color w:val="auto"/>
          <w:sz w:val="22"/>
          <w:szCs w:val="22"/>
        </w:rPr>
        <w:t xml:space="preserve">= </w:t>
      </w:r>
      <m:oMath>
        <m:sSub>
          <m:sSubPr>
            <m:ctrlPr>
              <w:rPr>
                <w:rFonts w:ascii="Cambria Math" w:eastAsiaTheme="minorEastAsia" w:hAnsi="Cambria Math" w:cs="Calibri"/>
                <w:i/>
                <w:color w:val="auto"/>
                <w:sz w:val="22"/>
                <w:szCs w:val="22"/>
              </w:rPr>
            </m:ctrlPr>
          </m:sSubPr>
          <m:e>
            <m:r>
              <w:rPr>
                <w:rFonts w:ascii="Cambria Math" w:eastAsiaTheme="minorEastAsia" w:hAnsi="Cambria Math" w:cs="Calibri"/>
                <w:color w:val="auto"/>
                <w:sz w:val="22"/>
                <w:szCs w:val="22"/>
              </w:rPr>
              <m:t>P</m:t>
            </m:r>
          </m:e>
          <m:sub>
            <m:r>
              <w:rPr>
                <w:rFonts w:ascii="Cambria Math" w:eastAsiaTheme="minorEastAsia" w:hAnsi="Cambria Math" w:cs="Calibri"/>
                <w:color w:val="auto"/>
                <w:sz w:val="22"/>
                <w:szCs w:val="22"/>
              </w:rPr>
              <m:t>0</m:t>
            </m:r>
          </m:sub>
        </m:sSub>
      </m:oMath>
      <w:r w:rsidR="006705D9" w:rsidRPr="00C63200">
        <w:rPr>
          <w:rFonts w:ascii="Calibri" w:eastAsiaTheme="minorEastAsia" w:hAnsi="Calibri" w:cs="Calibri"/>
          <w:color w:val="auto"/>
          <w:sz w:val="22"/>
          <w:szCs w:val="22"/>
        </w:rPr>
        <w:t xml:space="preserve"> - </w:t>
      </w:r>
      <m:oMath>
        <m:sSub>
          <m:sSubPr>
            <m:ctrlPr>
              <w:rPr>
                <w:rFonts w:ascii="Cambria Math" w:eastAsiaTheme="minorEastAsia" w:hAnsi="Cambria Math" w:cs="Calibri"/>
                <w:i/>
                <w:color w:val="auto"/>
                <w:sz w:val="22"/>
                <w:szCs w:val="22"/>
              </w:rPr>
            </m:ctrlPr>
          </m:sSubPr>
          <m:e>
            <m:r>
              <w:rPr>
                <w:rFonts w:ascii="Cambria Math" w:eastAsiaTheme="minorEastAsia" w:hAnsi="Cambria Math" w:cs="Calibri"/>
                <w:color w:val="auto"/>
                <w:sz w:val="22"/>
                <w:szCs w:val="22"/>
              </w:rPr>
              <m:t>P</m:t>
            </m:r>
          </m:e>
          <m:sub>
            <m:r>
              <m:rPr>
                <m:sty m:val="p"/>
              </m:rPr>
              <w:rPr>
                <w:rFonts w:ascii="Cambria Math" w:eastAsiaTheme="minorEastAsia" w:hAnsi="Cambria Math" w:cs="Calibri"/>
                <w:color w:val="auto"/>
                <w:sz w:val="22"/>
                <w:szCs w:val="22"/>
              </w:rPr>
              <m:t>final</m:t>
            </m:r>
          </m:sub>
        </m:sSub>
      </m:oMath>
      <w:r w:rsidR="003B698E" w:rsidRPr="00C63200">
        <w:rPr>
          <w:rFonts w:ascii="Calibri" w:eastAsiaTheme="minorEastAsia" w:hAnsi="Calibri" w:cs="Calibri"/>
          <w:color w:val="auto"/>
          <w:sz w:val="22"/>
          <w:szCs w:val="22"/>
        </w:rPr>
        <w:t xml:space="preserve"> / </w:t>
      </w:r>
      <m:oMath>
        <m:sSub>
          <m:sSubPr>
            <m:ctrlPr>
              <w:rPr>
                <w:rFonts w:ascii="Cambria Math" w:eastAsiaTheme="minorEastAsia" w:hAnsi="Cambria Math" w:cs="Calibri"/>
                <w:i/>
                <w:color w:val="auto"/>
                <w:sz w:val="22"/>
                <w:szCs w:val="22"/>
              </w:rPr>
            </m:ctrlPr>
          </m:sSubPr>
          <m:e>
            <m:r>
              <w:rPr>
                <w:rFonts w:ascii="Cambria Math" w:eastAsiaTheme="minorEastAsia" w:hAnsi="Cambria Math" w:cs="Calibri"/>
                <w:color w:val="auto"/>
                <w:sz w:val="22"/>
                <w:szCs w:val="22"/>
              </w:rPr>
              <m:t>P</m:t>
            </m:r>
          </m:e>
          <m:sub>
            <m:r>
              <w:rPr>
                <w:rFonts w:ascii="Cambria Math" w:eastAsiaTheme="minorEastAsia" w:hAnsi="Cambria Math" w:cs="Calibri"/>
                <w:color w:val="auto"/>
                <w:sz w:val="22"/>
                <w:szCs w:val="22"/>
              </w:rPr>
              <m:t>0</m:t>
            </m:r>
          </m:sub>
        </m:sSub>
      </m:oMath>
      <w:r w:rsidR="006705D9" w:rsidRPr="00C63200">
        <w:rPr>
          <w:rFonts w:ascii="Calibri" w:eastAsiaTheme="minorEastAsia" w:hAnsi="Calibri" w:cs="Calibri"/>
          <w:color w:val="auto"/>
          <w:sz w:val="22"/>
          <w:szCs w:val="22"/>
        </w:rPr>
        <w:t>, in relation to the initial (</w:t>
      </w:r>
      <m:oMath>
        <m:sSub>
          <m:sSubPr>
            <m:ctrlPr>
              <w:rPr>
                <w:rFonts w:ascii="Cambria Math" w:eastAsiaTheme="minorEastAsia" w:hAnsi="Cambria Math" w:cs="Calibri"/>
                <w:i/>
                <w:color w:val="auto"/>
                <w:sz w:val="22"/>
                <w:szCs w:val="22"/>
              </w:rPr>
            </m:ctrlPr>
          </m:sSubPr>
          <m:e>
            <m:r>
              <w:rPr>
                <w:rFonts w:ascii="Cambria Math" w:eastAsiaTheme="minorEastAsia" w:hAnsi="Cambria Math" w:cs="Calibri"/>
                <w:color w:val="auto"/>
                <w:sz w:val="22"/>
                <w:szCs w:val="22"/>
              </w:rPr>
              <m:t>P</m:t>
            </m:r>
          </m:e>
          <m:sub>
            <m:r>
              <w:rPr>
                <w:rFonts w:ascii="Cambria Math" w:eastAsiaTheme="minorEastAsia" w:hAnsi="Cambria Math" w:cs="Calibri"/>
                <w:color w:val="auto"/>
                <w:sz w:val="22"/>
                <w:szCs w:val="22"/>
              </w:rPr>
              <m:t>0</m:t>
            </m:r>
          </m:sub>
        </m:sSub>
      </m:oMath>
      <w:r w:rsidR="006705D9" w:rsidRPr="00C63200">
        <w:rPr>
          <w:rFonts w:ascii="Calibri" w:eastAsiaTheme="minorEastAsia" w:hAnsi="Calibri" w:cs="Calibri"/>
          <w:color w:val="auto"/>
          <w:sz w:val="22"/>
          <w:szCs w:val="22"/>
        </w:rPr>
        <w:t xml:space="preserve">) and final </w:t>
      </w:r>
      <w:r w:rsidR="003B698E" w:rsidRPr="00C63200">
        <w:rPr>
          <w:rFonts w:ascii="Calibri" w:eastAsiaTheme="minorEastAsia" w:hAnsi="Calibri" w:cs="Calibri"/>
          <w:color w:val="auto"/>
          <w:sz w:val="22"/>
          <w:szCs w:val="22"/>
        </w:rPr>
        <w:t>(</w:t>
      </w:r>
      <m:oMath>
        <m:sSub>
          <m:sSubPr>
            <m:ctrlPr>
              <w:rPr>
                <w:rFonts w:ascii="Cambria Math" w:eastAsiaTheme="minorEastAsia" w:hAnsi="Cambria Math" w:cs="Calibri"/>
                <w:i/>
                <w:color w:val="auto"/>
                <w:sz w:val="22"/>
                <w:szCs w:val="22"/>
              </w:rPr>
            </m:ctrlPr>
          </m:sSubPr>
          <m:e>
            <m:r>
              <w:rPr>
                <w:rFonts w:ascii="Cambria Math" w:eastAsiaTheme="minorEastAsia" w:hAnsi="Cambria Math" w:cs="Calibri"/>
                <w:color w:val="auto"/>
                <w:sz w:val="22"/>
                <w:szCs w:val="22"/>
              </w:rPr>
              <m:t>P</m:t>
            </m:r>
          </m:e>
          <m:sub>
            <m:r>
              <m:rPr>
                <m:sty m:val="p"/>
              </m:rPr>
              <w:rPr>
                <w:rFonts w:ascii="Cambria Math" w:eastAsiaTheme="minorEastAsia" w:hAnsi="Cambria Math" w:cs="Calibri"/>
                <w:color w:val="auto"/>
                <w:sz w:val="22"/>
                <w:szCs w:val="22"/>
              </w:rPr>
              <m:t>final</m:t>
            </m:r>
          </m:sub>
        </m:sSub>
      </m:oMath>
      <w:r w:rsidR="006705D9" w:rsidRPr="00C63200">
        <w:rPr>
          <w:rFonts w:ascii="Calibri" w:eastAsiaTheme="minorEastAsia" w:hAnsi="Calibri" w:cs="Calibri"/>
          <w:color w:val="auto"/>
          <w:sz w:val="22"/>
          <w:szCs w:val="22"/>
        </w:rPr>
        <w:t>) phage counts. In these cases, the percentage of adsorbed phages</w:t>
      </w:r>
      <w:r w:rsidR="003B698E" w:rsidRPr="00C63200">
        <w:rPr>
          <w:rFonts w:ascii="Calibri" w:eastAsiaTheme="minorEastAsia" w:hAnsi="Calibri" w:cs="Calibri"/>
          <w:color w:val="auto"/>
          <w:sz w:val="22"/>
          <w:szCs w:val="22"/>
        </w:rPr>
        <w:t xml:space="preserve"> (</w:t>
      </w:r>
      <m:oMath>
        <m:r>
          <w:rPr>
            <w:rFonts w:ascii="Cambria Math" w:eastAsiaTheme="minorEastAsia" w:hAnsi="Cambria Math" w:cs="Calibri"/>
            <w:color w:val="auto"/>
            <w:sz w:val="22"/>
            <w:szCs w:val="22"/>
          </w:rPr>
          <m:t>∆</m:t>
        </m:r>
        <m:acc>
          <m:accPr>
            <m:ctrlPr>
              <w:rPr>
                <w:rFonts w:ascii="Cambria Math" w:eastAsiaTheme="minorEastAsia" w:hAnsi="Cambria Math" w:cs="Calibri"/>
                <w:i/>
                <w:color w:val="auto"/>
                <w:sz w:val="22"/>
                <w:szCs w:val="22"/>
              </w:rPr>
            </m:ctrlPr>
          </m:accPr>
          <m:e>
            <m:r>
              <w:rPr>
                <w:rFonts w:ascii="Cambria Math" w:eastAsiaTheme="minorEastAsia" w:hAnsi="Cambria Math" w:cs="Calibri"/>
                <w:color w:val="auto"/>
                <w:sz w:val="22"/>
                <w:szCs w:val="22"/>
              </w:rPr>
              <m:t>P</m:t>
            </m:r>
          </m:e>
        </m:acc>
      </m:oMath>
      <w:r w:rsidR="003B698E" w:rsidRPr="00C63200">
        <w:rPr>
          <w:rFonts w:ascii="Calibri" w:eastAsiaTheme="minorEastAsia" w:hAnsi="Calibri" w:cs="Calibri"/>
          <w:color w:val="auto"/>
          <w:sz w:val="22"/>
          <w:szCs w:val="22"/>
        </w:rPr>
        <w:t xml:space="preserve"> (</w:t>
      </w:r>
      <m:oMath>
        <m:r>
          <w:rPr>
            <w:rFonts w:ascii="Cambria Math" w:eastAsiaTheme="minorEastAsia" w:hAnsi="Cambria Math" w:cs="Calibri"/>
            <w:color w:val="auto"/>
            <w:sz w:val="22"/>
            <w:szCs w:val="22"/>
          </w:rPr>
          <m:t>%</m:t>
        </m:r>
      </m:oMath>
      <w:r w:rsidR="003B698E" w:rsidRPr="00C63200">
        <w:rPr>
          <w:rFonts w:ascii="Calibri" w:eastAsiaTheme="minorEastAsia" w:hAnsi="Calibri" w:cs="Calibri"/>
          <w:color w:val="auto"/>
          <w:sz w:val="22"/>
          <w:szCs w:val="22"/>
        </w:rPr>
        <w:t>)</w:t>
      </w:r>
      <w:r w:rsidR="006705D9" w:rsidRPr="00C63200">
        <w:rPr>
          <w:rFonts w:ascii="Calibri" w:eastAsiaTheme="minorEastAsia" w:hAnsi="Calibri" w:cs="Calibri"/>
          <w:color w:val="auto"/>
          <w:sz w:val="22"/>
          <w:szCs w:val="22"/>
        </w:rPr>
        <w:t xml:space="preserve">) was converted to proper adsorption rates </w:t>
      </w:r>
      <m:oMath>
        <m:r>
          <w:rPr>
            <w:rFonts w:ascii="Cambria Math" w:eastAsiaTheme="minorEastAsia" w:hAnsi="Cambria Math" w:cs="Calibri"/>
            <w:color w:val="auto"/>
            <w:sz w:val="22"/>
            <w:szCs w:val="22"/>
          </w:rPr>
          <m:t>k</m:t>
        </m:r>
      </m:oMath>
      <w:r w:rsidR="006705D9" w:rsidRPr="00C63200">
        <w:rPr>
          <w:rFonts w:ascii="Calibri" w:eastAsiaTheme="minorEastAsia" w:hAnsi="Calibri" w:cs="Calibri"/>
          <w:color w:val="auto"/>
          <w:sz w:val="22"/>
          <w:szCs w:val="22"/>
        </w:rPr>
        <w:t xml:space="preserve"> </w:t>
      </w:r>
      <w:r w:rsidR="00F43BCB" w:rsidRPr="00C63200">
        <w:rPr>
          <w:rFonts w:ascii="Calibri" w:eastAsiaTheme="minorEastAsia" w:hAnsi="Calibri" w:cs="Calibri"/>
          <w:color w:val="auto"/>
          <w:sz w:val="22"/>
          <w:szCs w:val="22"/>
        </w:rPr>
        <w:t>(mL/</w:t>
      </w:r>
      <w:proofErr w:type="spellStart"/>
      <w:r w:rsidR="00F43BCB" w:rsidRPr="00C63200">
        <w:rPr>
          <w:rFonts w:ascii="Calibri" w:eastAsiaTheme="minorEastAsia" w:hAnsi="Calibri" w:cs="Calibri"/>
          <w:color w:val="auto"/>
          <w:sz w:val="22"/>
          <w:szCs w:val="22"/>
        </w:rPr>
        <w:t>hr</w:t>
      </w:r>
      <w:proofErr w:type="spellEnd"/>
      <w:r w:rsidR="006705D9" w:rsidRPr="00C63200">
        <w:rPr>
          <w:rFonts w:ascii="Calibri" w:eastAsiaTheme="minorEastAsia" w:hAnsi="Calibri" w:cs="Calibri"/>
          <w:color w:val="auto"/>
          <w:sz w:val="22"/>
          <w:szCs w:val="22"/>
        </w:rPr>
        <w:t>) using the adsorption formula</w:t>
      </w:r>
      <w:r w:rsidR="00F43BCB" w:rsidRPr="00C63200">
        <w:rPr>
          <w:rFonts w:ascii="Calibri" w:eastAsiaTheme="minorEastAsia" w:hAnsi="Calibri" w:cs="Calibri"/>
          <w:color w:val="auto"/>
          <w:sz w:val="22"/>
          <w:szCs w:val="22"/>
        </w:rPr>
        <w:t xml:space="preserve"> </w:t>
      </w:r>
      <w:r w:rsidR="00823D4A" w:rsidRPr="00C63200">
        <w:rPr>
          <w:rFonts w:ascii="Calibri" w:eastAsiaTheme="minorEastAsia" w:hAnsi="Calibri" w:cs="Calibri"/>
          <w:color w:val="auto"/>
          <w:sz w:val="22"/>
          <w:szCs w:val="22"/>
        </w:rPr>
        <w:t>(</w:t>
      </w:r>
      <w:proofErr w:type="spellStart"/>
      <w:r w:rsidR="00F57D57" w:rsidRPr="00C63200">
        <w:rPr>
          <w:rFonts w:ascii="Calibri" w:eastAsiaTheme="minorEastAsia" w:hAnsi="Calibri" w:cs="Calibri"/>
          <w:color w:val="auto"/>
          <w:sz w:val="22"/>
          <w:szCs w:val="22"/>
        </w:rPr>
        <w:t>Stergachis</w:t>
      </w:r>
      <w:proofErr w:type="spellEnd"/>
      <w:r w:rsidR="00F57D57" w:rsidRPr="00C63200">
        <w:rPr>
          <w:rFonts w:ascii="Calibri" w:eastAsiaTheme="minorEastAsia" w:hAnsi="Calibri" w:cs="Calibri"/>
          <w:color w:val="auto"/>
          <w:sz w:val="22"/>
          <w:szCs w:val="22"/>
        </w:rPr>
        <w:t>, 2010</w:t>
      </w:r>
      <w:r w:rsidR="00823D4A" w:rsidRPr="00C63200">
        <w:rPr>
          <w:rFonts w:ascii="Calibri" w:eastAsiaTheme="minorEastAsia" w:hAnsi="Calibri" w:cs="Calibri"/>
          <w:color w:val="auto"/>
          <w:sz w:val="22"/>
          <w:szCs w:val="22"/>
        </w:rPr>
        <w:t>),</w:t>
      </w:r>
    </w:p>
    <w:p w14:paraId="45248FB6" w14:textId="4F98273A" w:rsidR="006705D9" w:rsidRPr="00C63200" w:rsidRDefault="007F39CE" w:rsidP="006C10A4">
      <w:pPr>
        <w:spacing w:line="360" w:lineRule="auto"/>
        <w:rPr>
          <w:rFonts w:cs="Calibri"/>
        </w:rPr>
      </w:pPr>
      <m:oMathPara>
        <m:oMath>
          <m:r>
            <w:rPr>
              <w:rFonts w:ascii="Cambria Math" w:hAnsi="Cambria Math" w:cs="Calibri"/>
            </w:rPr>
            <w:lastRenderedPageBreak/>
            <m:t>k=-</m:t>
          </m:r>
          <m:f>
            <m:fPr>
              <m:ctrlPr>
                <w:rPr>
                  <w:rFonts w:ascii="Cambria Math" w:hAnsi="Cambria Math" w:cs="Calibri"/>
                  <w:i/>
                </w:rPr>
              </m:ctrlPr>
            </m:fPr>
            <m:num>
              <m:r>
                <w:rPr>
                  <w:rFonts w:ascii="Cambria Math" w:hAnsi="Cambria Math" w:cs="Calibri"/>
                </w:rPr>
                <m:t>1</m:t>
              </m:r>
            </m:num>
            <m:den>
              <m:r>
                <w:rPr>
                  <w:rFonts w:ascii="Cambria Math" w:hAnsi="Cambria Math" w:cs="Calibri"/>
                </w:rPr>
                <m:t>tB</m:t>
              </m:r>
            </m:den>
          </m:f>
          <m:func>
            <m:funcPr>
              <m:ctrlPr>
                <w:rPr>
                  <w:rFonts w:ascii="Cambria Math" w:hAnsi="Cambria Math" w:cs="Calibri"/>
                  <w:i/>
                </w:rPr>
              </m:ctrlPr>
            </m:funcPr>
            <m:fName>
              <m:r>
                <m:rPr>
                  <m:sty m:val="p"/>
                </m:rPr>
                <w:rPr>
                  <w:rFonts w:ascii="Cambria Math" w:hAnsi="Cambria Math" w:cs="Calibri"/>
                </w:rPr>
                <m:t>log</m:t>
              </m:r>
            </m:fName>
            <m:e>
              <m:d>
                <m:dPr>
                  <m:ctrlPr>
                    <w:rPr>
                      <w:rFonts w:ascii="Cambria Math" w:hAnsi="Cambria Math" w:cs="Calibri"/>
                      <w:i/>
                    </w:rPr>
                  </m:ctrlPr>
                </m:dPr>
                <m:e>
                  <m:r>
                    <w:rPr>
                      <w:rFonts w:ascii="Cambria Math" w:hAnsi="Cambria Math" w:cs="Calibri"/>
                    </w:rPr>
                    <m:t>1-∆</m:t>
                  </m:r>
                  <m:acc>
                    <m:accPr>
                      <m:ctrlPr>
                        <w:rPr>
                          <w:rFonts w:ascii="Cambria Math" w:hAnsi="Cambria Math" w:cs="Calibri"/>
                          <w:i/>
                        </w:rPr>
                      </m:ctrlPr>
                    </m:accPr>
                    <m:e>
                      <m:r>
                        <w:rPr>
                          <w:rFonts w:ascii="Cambria Math" w:hAnsi="Cambria Math" w:cs="Calibri"/>
                        </w:rPr>
                        <m:t>P</m:t>
                      </m:r>
                    </m:e>
                  </m:acc>
                </m:e>
              </m:d>
            </m:e>
          </m:func>
          <m:r>
            <w:rPr>
              <w:rFonts w:ascii="Cambria Math" w:hAnsi="Cambria Math" w:cs="Calibri"/>
            </w:rPr>
            <m:t xml:space="preserve">  </m:t>
          </m:r>
          <m:r>
            <m:rPr>
              <m:sty m:val="p"/>
            </m:rPr>
            <w:rPr>
              <w:rFonts w:ascii="Cambria Math" w:hAnsi="Cambria Math" w:cs="Calibri"/>
            </w:rPr>
            <w:br/>
          </m:r>
        </m:oMath>
      </m:oMathPara>
      <w:r w:rsidR="006705D9" w:rsidRPr="00C63200">
        <w:rPr>
          <w:rFonts w:cs="Calibri"/>
        </w:rPr>
        <w:t xml:space="preserve">where </w:t>
      </w:r>
      <m:oMath>
        <m:r>
          <w:rPr>
            <w:rFonts w:ascii="Cambria Math" w:hAnsi="Cambria Math" w:cs="Calibri"/>
          </w:rPr>
          <m:t>t</m:t>
        </m:r>
      </m:oMath>
      <w:r w:rsidR="006705D9" w:rsidRPr="00C63200">
        <w:rPr>
          <w:rFonts w:cs="Calibri"/>
        </w:rPr>
        <w:t xml:space="preserve"> was the incubation time (hr), and </w:t>
      </w:r>
      <m:oMath>
        <m:r>
          <w:rPr>
            <w:rFonts w:ascii="Cambria Math" w:hAnsi="Cambria Math" w:cs="Calibri"/>
          </w:rPr>
          <m:t>B</m:t>
        </m:r>
      </m:oMath>
      <w:r w:rsidR="006705D9" w:rsidRPr="00C63200">
        <w:rPr>
          <w:rFonts w:cs="Calibri"/>
        </w:rPr>
        <w:t xml:space="preserve"> was the concentration of bacterial hosts (</w:t>
      </w:r>
      <w:r w:rsidRPr="00C63200">
        <w:rPr>
          <w:rFonts w:cs="Calibri"/>
        </w:rPr>
        <w:t>per mL</w:t>
      </w:r>
      <w:r w:rsidR="006705D9" w:rsidRPr="00C63200">
        <w:rPr>
          <w:rFonts w:cs="Calibri"/>
        </w:rPr>
        <w:t xml:space="preserve">). The local concentration of phage and bacteria were taken as molecules per cubic centimeter. If input bacterial concentrations were given in terms of the multiplicity of infection, MOI, then </w:t>
      </w:r>
      <m:oMath>
        <m:r>
          <w:rPr>
            <w:rFonts w:ascii="Cambria Math" w:hAnsi="Cambria Math" w:cs="Calibri"/>
          </w:rPr>
          <m:t>B=</m:t>
        </m:r>
        <m:sSub>
          <m:sSubPr>
            <m:ctrlPr>
              <w:rPr>
                <w:rFonts w:ascii="Cambria Math" w:hAnsi="Cambria Math" w:cs="Calibri"/>
                <w:i/>
              </w:rPr>
            </m:ctrlPr>
          </m:sSubPr>
          <m:e>
            <m:r>
              <w:rPr>
                <w:rFonts w:ascii="Cambria Math" w:hAnsi="Cambria Math" w:cs="Calibri"/>
              </w:rPr>
              <m:t>P</m:t>
            </m:r>
          </m:e>
          <m:sub>
            <m:r>
              <w:rPr>
                <w:rFonts w:ascii="Cambria Math" w:hAnsi="Cambria Math" w:cs="Calibri"/>
              </w:rPr>
              <m:t>0</m:t>
            </m:r>
          </m:sub>
        </m:sSub>
        <m:r>
          <w:rPr>
            <w:rFonts w:ascii="Cambria Math" w:hAnsi="Cambria Math" w:cs="Calibri"/>
          </w:rPr>
          <m:t xml:space="preserve"> / MOI</m:t>
        </m:r>
      </m:oMath>
      <w:r w:rsidRPr="00C63200">
        <w:rPr>
          <w:rFonts w:cs="Calibri"/>
        </w:rPr>
        <w:t xml:space="preserve"> </w:t>
      </w:r>
      <w:r w:rsidR="006705D9" w:rsidRPr="00C63200">
        <w:rPr>
          <w:rFonts w:cs="Calibri"/>
        </w:rPr>
        <w:t>was taken as the bacterial concentration for the observed adsorption rate.</w:t>
      </w:r>
    </w:p>
    <w:p w14:paraId="36312ED8" w14:textId="1C3555AD" w:rsidR="0036753A" w:rsidRPr="004C36D5" w:rsidRDefault="0036753A" w:rsidP="006C10A4">
      <w:pPr>
        <w:pStyle w:val="Heading1"/>
        <w:spacing w:line="360" w:lineRule="auto"/>
        <w:rPr>
          <w:rFonts w:ascii="Calibri" w:hAnsi="Calibri" w:cs="Calibri"/>
          <w:color w:val="auto"/>
        </w:rPr>
      </w:pPr>
      <w:r w:rsidRPr="004C36D5">
        <w:rPr>
          <w:rFonts w:ascii="Calibri" w:hAnsi="Calibri" w:cs="Calibri"/>
          <w:color w:val="auto"/>
        </w:rPr>
        <w:t>Results</w:t>
      </w:r>
    </w:p>
    <w:p w14:paraId="404770A9" w14:textId="7276AAD1" w:rsidR="007F39CE" w:rsidRPr="004C36D5" w:rsidRDefault="007F39CE" w:rsidP="006C10A4">
      <w:pPr>
        <w:spacing w:line="360" w:lineRule="auto"/>
        <w:rPr>
          <w:rFonts w:eastAsiaTheme="majorEastAsia" w:cs="Calibri"/>
          <w:sz w:val="32"/>
          <w:szCs w:val="32"/>
        </w:rPr>
      </w:pPr>
      <w:r w:rsidRPr="004C36D5">
        <w:rPr>
          <w:rFonts w:eastAsiaTheme="majorEastAsia" w:cs="Calibri"/>
          <w:sz w:val="32"/>
          <w:szCs w:val="32"/>
        </w:rPr>
        <w:t>Statistical Analysis of Adsorption Rate Data</w:t>
      </w:r>
    </w:p>
    <w:p w14:paraId="0A0578F4" w14:textId="176ADA3E" w:rsidR="004D22A0" w:rsidRDefault="007F39CE" w:rsidP="006C10A4">
      <w:pPr>
        <w:spacing w:line="360" w:lineRule="auto"/>
      </w:pPr>
      <w:r w:rsidRPr="007F39CE">
        <w:t>From the surveyed literature, phage family tail length distributions (Fig.</w:t>
      </w:r>
      <w:r w:rsidR="00C91206">
        <w:t xml:space="preserve"> 1</w:t>
      </w:r>
      <w:r w:rsidRPr="007F39CE">
        <w:t xml:space="preserve">A) were slightly skewed with medians; Siphoviridae: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L</m:t>
                </m:r>
              </m:e>
            </m:acc>
          </m:e>
          <m:sub>
            <m:r>
              <m:rPr>
                <m:sty m:val="p"/>
              </m:rPr>
              <w:rPr>
                <w:rFonts w:ascii="Cambria Math" w:hAnsi="Cambria Math"/>
              </w:rPr>
              <m:t>tail</m:t>
            </m:r>
          </m:sub>
        </m:sSub>
      </m:oMath>
      <w:r w:rsidR="00C91206">
        <w:t xml:space="preserve"> =281 nm</w:t>
      </w:r>
      <w:r w:rsidRPr="007F39CE">
        <w:t xml:space="preserve">, Myoviridae: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L</m:t>
                </m:r>
              </m:e>
            </m:acc>
          </m:e>
          <m:sub>
            <m:r>
              <m:rPr>
                <m:sty m:val="p"/>
              </m:rPr>
              <w:rPr>
                <w:rFonts w:ascii="Cambria Math" w:hAnsi="Cambria Math"/>
              </w:rPr>
              <m:t>tail</m:t>
            </m:r>
          </m:sub>
        </m:sSub>
      </m:oMath>
      <w:r w:rsidR="00C91206">
        <w:t xml:space="preserve"> = 134 nm</w:t>
      </w:r>
      <w:r w:rsidRPr="007F39CE">
        <w:t xml:space="preserve"> and Podoviridae: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L</m:t>
                </m:r>
              </m:e>
            </m:acc>
          </m:e>
          <m:sub>
            <m:r>
              <m:rPr>
                <m:sty m:val="p"/>
              </m:rPr>
              <w:rPr>
                <w:rFonts w:ascii="Cambria Math" w:hAnsi="Cambria Math"/>
              </w:rPr>
              <m:t>tail</m:t>
            </m:r>
          </m:sub>
        </m:sSub>
      </m:oMath>
      <w:r w:rsidR="00C91206">
        <w:t xml:space="preserve"> =18.9 nm </w:t>
      </w:r>
      <w:r w:rsidRPr="007F39CE">
        <w:t>(Table</w:t>
      </w:r>
      <w:r w:rsidR="00C91206">
        <w:t xml:space="preserve"> 1</w:t>
      </w:r>
      <w:r w:rsidRPr="007F39CE">
        <w:t>). Statistical analysis showed the tail lengths grouped by phage family (Fig.</w:t>
      </w:r>
      <w:r w:rsidR="00C91206">
        <w:t xml:space="preserve"> 1</w:t>
      </w:r>
      <w:r w:rsidRPr="007F39CE">
        <w:t xml:space="preserve">A) were statistically different between the Siphoviridae and Podoviridae families (Mann-Whitney U-test, </w:t>
      </w:r>
      <m:oMath>
        <m:r>
          <m:rPr>
            <m:sty m:val="p"/>
          </m:rPr>
          <w:rPr>
            <w:rFonts w:ascii="Cambria Math" w:hAnsi="Cambria Math"/>
          </w:rPr>
          <m:t>p</m:t>
        </m:r>
        <m:r>
          <w:rPr>
            <w:rFonts w:ascii="Cambria Math" w:hAnsi="Cambria Math"/>
          </w:rPr>
          <m:t>=8.23×</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7F39CE">
        <w:t xml:space="preserve">) and Myoviridae and Podoviridae families (Mann-Whitney U-test, </w:t>
      </w:r>
      <m:oMath>
        <m:r>
          <m:rPr>
            <m:sty m:val="p"/>
          </m:rPr>
          <w:rPr>
            <w:rFonts w:ascii="Cambria Math" w:hAnsi="Cambria Math"/>
          </w:rPr>
          <m:t>p</m:t>
        </m:r>
        <m:r>
          <w:rPr>
            <w:rFonts w:ascii="Cambria Math" w:hAnsi="Cambria Math"/>
          </w:rPr>
          <m:t>=8.23×</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7F39CE">
        <w:t>). Phage head data was similar across phage families (Fig.</w:t>
      </w:r>
      <w:r w:rsidR="00C91206">
        <w:t xml:space="preserve"> 1</w:t>
      </w:r>
      <w:r w:rsidRPr="007F39CE">
        <w:t>A).</w:t>
      </w:r>
      <w:r w:rsidR="008333EF">
        <w:t xml:space="preserve"> </w:t>
      </w:r>
      <w:r w:rsidRPr="007F39CE">
        <w:t>Distributions of phage adsorption rate constants grouped by phage family (Fig</w:t>
      </w:r>
      <w:r w:rsidR="00C91206">
        <w:t>. 1</w:t>
      </w:r>
      <w:r w:rsidRPr="007F39CE">
        <w:t xml:space="preserve">B) were highly skewed, but with medians </w:t>
      </w:r>
      <w:r w:rsidR="008333EF">
        <w:t xml:space="preserve">one the same order of magnitude </w:t>
      </w:r>
      <m:oMath>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-7</m:t>
                </m:r>
              </m:sup>
            </m:sSup>
          </m:e>
        </m:d>
      </m:oMath>
      <w:r w:rsidRPr="007F39CE">
        <w:t xml:space="preserve"> from one another; Siphoviridae: </w:t>
      </w:r>
      <m:oMath>
        <m:acc>
          <m:accPr>
            <m:chr m:val="̃"/>
            <m:ctrlPr>
              <w:rPr>
                <w:rFonts w:ascii="Cambria Math" w:hAnsi="Cambria Math"/>
                <w:i/>
              </w:rPr>
            </m:ctrlPr>
          </m:accPr>
          <m:e>
            <m:r>
              <w:rPr>
                <w:rFonts w:ascii="Cambria Math" w:hAnsi="Cambria Math"/>
              </w:rPr>
              <m:t>k</m:t>
            </m:r>
          </m:e>
        </m:acc>
        <m:r>
          <w:rPr>
            <w:rFonts w:ascii="Cambria Math" w:hAnsi="Cambria Math"/>
          </w:rPr>
          <m:t>=</m:t>
        </m:r>
        <m:r>
          <w:rPr>
            <w:rFonts w:ascii="Cambria Math" w:hAnsi="Cambria Math"/>
          </w:rPr>
          <m:t>2.34</m:t>
        </m:r>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7</m:t>
            </m:r>
          </m:sup>
        </m:sSup>
      </m:oMath>
      <w:r w:rsidR="00C91206">
        <w:t xml:space="preserve"> </w:t>
      </w:r>
      <w:r w:rsidRPr="007F39CE">
        <w:t xml:space="preserve">(mL </w:t>
      </w:r>
      <w:r w:rsidR="00C91206">
        <w:t xml:space="preserve">/ </w:t>
      </w:r>
      <w:proofErr w:type="spellStart"/>
      <w:r w:rsidR="00C91206">
        <w:t>hr</w:t>
      </w:r>
      <w:proofErr w:type="spellEnd"/>
      <w:r w:rsidRPr="007F39CE">
        <w:t xml:space="preserve">), Myoviridae: </w:t>
      </w:r>
      <m:oMath>
        <m:acc>
          <m:accPr>
            <m:chr m:val="̃"/>
            <m:ctrlPr>
              <w:rPr>
                <w:rFonts w:ascii="Cambria Math" w:hAnsi="Cambria Math"/>
                <w:i/>
              </w:rPr>
            </m:ctrlPr>
          </m:accPr>
          <m:e>
            <m:r>
              <w:rPr>
                <w:rFonts w:ascii="Cambria Math" w:hAnsi="Cambria Math"/>
              </w:rPr>
              <m:t>k</m:t>
            </m:r>
          </m:e>
        </m:acc>
        <m:r>
          <w:rPr>
            <w:rFonts w:ascii="Cambria Math" w:hAnsi="Cambria Math"/>
          </w:rPr>
          <m:t>=5.</m:t>
        </m:r>
        <m:r>
          <w:rPr>
            <w:rFonts w:ascii="Cambria Math" w:hAnsi="Cambria Math"/>
          </w:rPr>
          <m:t>70</m:t>
        </m:r>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7F39CE">
        <w:t xml:space="preserve"> (mL </w:t>
      </w:r>
      <w:r w:rsidR="00C91206">
        <w:t xml:space="preserve">/ </w:t>
      </w:r>
      <w:proofErr w:type="spellStart"/>
      <w:r w:rsidR="00C91206">
        <w:t>hr</w:t>
      </w:r>
      <w:proofErr w:type="spellEnd"/>
      <w:r w:rsidRPr="007F39CE">
        <w:t xml:space="preserve">) and Podoviridae: </w:t>
      </w:r>
      <m:oMath>
        <m:acc>
          <m:accPr>
            <m:chr m:val="̃"/>
            <m:ctrlPr>
              <w:rPr>
                <w:rFonts w:ascii="Cambria Math" w:hAnsi="Cambria Math"/>
                <w:i/>
              </w:rPr>
            </m:ctrlPr>
          </m:accPr>
          <m:e>
            <m:r>
              <w:rPr>
                <w:rFonts w:ascii="Cambria Math" w:hAnsi="Cambria Math"/>
              </w:rPr>
              <m:t>k</m:t>
            </m:r>
          </m:e>
        </m:acc>
        <m:r>
          <w:rPr>
            <w:rFonts w:ascii="Cambria Math" w:hAnsi="Cambria Math"/>
          </w:rPr>
          <m:t>=</m:t>
        </m:r>
        <m:r>
          <w:rPr>
            <w:rFonts w:ascii="Cambria Math" w:hAnsi="Cambria Math"/>
          </w:rPr>
          <m:t>3.57</m:t>
        </m:r>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7</m:t>
            </m:r>
          </m:sup>
        </m:sSup>
      </m:oMath>
      <w:r w:rsidR="00AC2B5E">
        <w:t xml:space="preserve"> </w:t>
      </w:r>
      <w:r w:rsidRPr="007F39CE">
        <w:t xml:space="preserve">(mL </w:t>
      </w:r>
      <w:r w:rsidR="00AC2B5E">
        <w:t xml:space="preserve">/ </w:t>
      </w:r>
      <w:proofErr w:type="spellStart"/>
      <w:r w:rsidR="00AC2B5E">
        <w:t>hr</w:t>
      </w:r>
      <w:proofErr w:type="spellEnd"/>
      <w:r w:rsidRPr="007F39CE">
        <w:t xml:space="preserve">). </w:t>
      </w:r>
    </w:p>
    <w:p w14:paraId="5D5CFC4C" w14:textId="2399BC5B" w:rsidR="007F39CE" w:rsidRDefault="00347F63" w:rsidP="006C10A4">
      <w:pPr>
        <w:spacing w:line="360" w:lineRule="auto"/>
      </w:pPr>
      <w:r w:rsidRPr="00347F63">
        <w:t>Statistical analysis showed that adsorption rates grouped by phage family (Fig. 1B) were non-normally distributed and highly skewed, so medians were compared using the Mann–Whitney U-test (5% significance). Adsorption rates for Siphoviridae and Podoviridae were not significantly different</w:t>
      </w:r>
      <w:r>
        <w:t xml:space="preserve"> </w:t>
      </w:r>
      <w:r w:rsidR="00863BD7">
        <w:t>(</w:t>
      </w:r>
      <m:oMath>
        <m:r>
          <w:rPr>
            <w:rFonts w:ascii="Cambria Math" w:hAnsi="Cambria Math"/>
          </w:rPr>
          <m:t>p ≈0.39</m:t>
        </m:r>
      </m:oMath>
      <w:r w:rsidR="00863BD7">
        <w:t>)</w:t>
      </w:r>
      <w:r w:rsidRPr="00347F63">
        <w:t>, whereas both differed significantly from Myoviridae</w:t>
      </w:r>
      <w:r w:rsidR="00DF2A07">
        <w:t xml:space="preserve"> </w:t>
      </w:r>
      <w:r w:rsidR="005B3819">
        <w:t>(</w:t>
      </w:r>
      <m:oMath>
        <m:r>
          <w:rPr>
            <w:rFonts w:ascii="Cambria Math" w:hAnsi="Cambria Math"/>
          </w:rPr>
          <m:t>p ≈0.006</m:t>
        </m:r>
      </m:oMath>
      <w:r w:rsidRPr="00347F63">
        <w:t xml:space="preserve"> and </w:t>
      </w:r>
      <m:oMath>
        <m:r>
          <w:rPr>
            <w:rFonts w:ascii="Cambria Math" w:hAnsi="Cambria Math"/>
          </w:rPr>
          <m:t>p ≈0.008</m:t>
        </m:r>
      </m:oMath>
      <w:r w:rsidRPr="00347F63">
        <w:t xml:space="preserve">, respectively). Thus, the surveyed data </w:t>
      </w:r>
      <w:r w:rsidR="00DF2A07" w:rsidRPr="00347F63">
        <w:t>indicates</w:t>
      </w:r>
      <w:r w:rsidRPr="00347F63">
        <w:t xml:space="preserve"> that Podoviridae share similar adsorption rates with Siphoviridae, while Myoviridae exhibit lower median rates. Consequently, tail-length variation does not appear to exert a strong family-scale influence on adsorption kinetics</w:t>
      </w:r>
      <w:r w:rsidR="00DF2A07">
        <w:t xml:space="preserve"> in this data</w:t>
      </w:r>
      <w:r w:rsidRPr="00347F63">
        <w:t>.</w:t>
      </w:r>
      <w:r w:rsidR="007F39CE" w:rsidRPr="007F39CE">
        <w:t xml:space="preserve"> </w:t>
      </w:r>
      <w:r w:rsidR="00863BD7">
        <w:t xml:space="preserve"> </w:t>
      </w:r>
    </w:p>
    <w:p w14:paraId="3ADE48FC" w14:textId="79B7AB83" w:rsidR="004D22A0" w:rsidRDefault="00DF2A07" w:rsidP="006C10A4">
      <w:pPr>
        <w:spacing w:line="360" w:lineRule="auto"/>
      </w:pPr>
      <w:r w:rsidRPr="00DF2A07">
        <w:t>Adsorption rates for</w:t>
      </w:r>
      <w:r w:rsidR="009C2241">
        <w:t xml:space="preserve"> </w:t>
      </w:r>
      <w:r w:rsidR="009C2241" w:rsidRPr="009C2241">
        <w:rPr>
          <w:i/>
          <w:iCs/>
        </w:rPr>
        <w:t>Enterobacteriaceae</w:t>
      </w:r>
      <w:r w:rsidRPr="00DF2A07">
        <w:t xml:space="preserve"> were not significantly different across phage families (Mann–Whitney U-test, 5% significance). However, when compared across host species, </w:t>
      </w:r>
      <w:r w:rsidR="009C2241" w:rsidRPr="009C2241">
        <w:rPr>
          <w:i/>
          <w:iCs/>
        </w:rPr>
        <w:t>Enterobacteriaceae</w:t>
      </w:r>
      <w:r w:rsidR="009C2241">
        <w:rPr>
          <w:i/>
          <w:iCs/>
        </w:rPr>
        <w:t xml:space="preserve"> </w:t>
      </w:r>
      <w:r w:rsidRPr="00DF2A07">
        <w:t xml:space="preserve">exhibited adsorption rates roughly 4–5 times higher than </w:t>
      </w:r>
      <w:r w:rsidRPr="00DF2A07">
        <w:rPr>
          <w:i/>
          <w:iCs/>
        </w:rPr>
        <w:t>Synechococcus</w:t>
      </w:r>
      <w:r w:rsidRPr="00DF2A07">
        <w:t xml:space="preserve"> and </w:t>
      </w:r>
      <w:r w:rsidRPr="00DF2A07">
        <w:rPr>
          <w:i/>
          <w:iCs/>
        </w:rPr>
        <w:t>Vibrio</w:t>
      </w:r>
      <w:r w:rsidRPr="00DF2A07">
        <w:t xml:space="preserve"> (p &lt; 0.01), while </w:t>
      </w:r>
      <w:r w:rsidRPr="00DF2A07">
        <w:rPr>
          <w:i/>
          <w:iCs/>
        </w:rPr>
        <w:t>P. aeruginosa</w:t>
      </w:r>
      <w:r w:rsidRPr="00DF2A07">
        <w:t xml:space="preserve"> showed even greater rates overall </w:t>
      </w:r>
      <w:r>
        <w:t>(</w:t>
      </w:r>
      <m:oMath>
        <m:r>
          <w:rPr>
            <w:rFonts w:ascii="Cambria Math" w:hAnsi="Cambria Math"/>
          </w:rPr>
          <m:t>p ≈0.0</m:t>
        </m:r>
        <m:r>
          <w:rPr>
            <w:rFonts w:ascii="Cambria Math" w:hAnsi="Cambria Math"/>
          </w:rPr>
          <m:t>2</m:t>
        </m:r>
      </m:oMath>
      <w:r>
        <w:t>)</w:t>
      </w:r>
      <w:r w:rsidRPr="00DF2A07">
        <w:t xml:space="preserve">. Thus, </w:t>
      </w:r>
      <w:r w:rsidR="009C2241" w:rsidRPr="009C2241">
        <w:rPr>
          <w:i/>
          <w:iCs/>
        </w:rPr>
        <w:t>Enterobacteriaceae</w:t>
      </w:r>
      <w:r w:rsidRPr="00DF2A07">
        <w:t xml:space="preserve"> represents a relatively favorable host across phage families, with </w:t>
      </w:r>
      <w:r w:rsidRPr="00DF2A07">
        <w:rPr>
          <w:i/>
          <w:iCs/>
        </w:rPr>
        <w:t>Synechococcus</w:t>
      </w:r>
      <w:r w:rsidRPr="00DF2A07">
        <w:t xml:space="preserve"> and </w:t>
      </w:r>
      <w:r w:rsidRPr="00DF2A07">
        <w:rPr>
          <w:i/>
          <w:iCs/>
        </w:rPr>
        <w:t>Vibrio</w:t>
      </w:r>
      <w:r w:rsidRPr="00DF2A07">
        <w:t xml:space="preserve"> supporting lower adsorption efficiencies and </w:t>
      </w:r>
      <w:r w:rsidRPr="00DF2A07">
        <w:rPr>
          <w:i/>
          <w:iCs/>
        </w:rPr>
        <w:t>P. aeruginosa</w:t>
      </w:r>
      <w:r w:rsidRPr="00DF2A07">
        <w:t xml:space="preserve"> supporting the highest.</w:t>
      </w:r>
      <w:r w:rsidR="007F39CE" w:rsidRPr="007F39CE">
        <w:t xml:space="preserve"> </w:t>
      </w:r>
    </w:p>
    <w:p w14:paraId="3DE762D3" w14:textId="1A8CCA23" w:rsidR="002D5F96" w:rsidRPr="002D5F96" w:rsidRDefault="002D5F96" w:rsidP="006C10A4">
      <w:pPr>
        <w:pStyle w:val="Heading1"/>
        <w:spacing w:line="360" w:lineRule="auto"/>
        <w:rPr>
          <w:rFonts w:ascii="Calibri" w:eastAsiaTheme="minorEastAsia" w:hAnsi="Calibri" w:cstheme="minorBidi"/>
          <w:color w:val="auto"/>
          <w:sz w:val="22"/>
          <w:szCs w:val="22"/>
        </w:rPr>
      </w:pPr>
      <w:r w:rsidRPr="002D5F96">
        <w:rPr>
          <w:rFonts w:ascii="Calibri" w:eastAsiaTheme="minorEastAsia" w:hAnsi="Calibri" w:cstheme="minorBidi"/>
          <w:color w:val="auto"/>
          <w:sz w:val="22"/>
          <w:szCs w:val="22"/>
        </w:rPr>
        <w:lastRenderedPageBreak/>
        <w:t xml:space="preserve">Mann–Whitney U-tests (5 % significance) showed that adsorption rates for </w:t>
      </w:r>
      <w:r w:rsidR="009C2241" w:rsidRPr="009C2241">
        <w:rPr>
          <w:rFonts w:ascii="Calibri" w:eastAsiaTheme="minorEastAsia" w:hAnsi="Calibri" w:cstheme="minorBidi"/>
          <w:i/>
          <w:iCs/>
          <w:color w:val="auto"/>
          <w:sz w:val="22"/>
          <w:szCs w:val="22"/>
        </w:rPr>
        <w:t>Enterobacteriaceae</w:t>
      </w:r>
      <w:r w:rsidRPr="002D5F96">
        <w:rPr>
          <w:rFonts w:ascii="Calibri" w:eastAsiaTheme="minorEastAsia" w:hAnsi="Calibri" w:cstheme="minorBidi"/>
          <w:color w:val="auto"/>
          <w:sz w:val="22"/>
          <w:szCs w:val="22"/>
        </w:rPr>
        <w:t xml:space="preserve"> differed significantly from those for </w:t>
      </w:r>
      <w:r w:rsidRPr="002D5F96">
        <w:rPr>
          <w:rFonts w:ascii="Calibri" w:eastAsiaTheme="minorEastAsia" w:hAnsi="Calibri" w:cstheme="minorBidi"/>
          <w:i/>
          <w:iCs/>
          <w:color w:val="auto"/>
          <w:sz w:val="22"/>
          <w:szCs w:val="22"/>
        </w:rPr>
        <w:t>Synechococcus</w:t>
      </w:r>
      <w:r w:rsidRPr="002D5F96">
        <w:rPr>
          <w:rFonts w:ascii="Calibri" w:eastAsiaTheme="minorEastAsia" w:hAnsi="Calibri" w:cstheme="minorBidi"/>
          <w:color w:val="auto"/>
          <w:sz w:val="22"/>
          <w:szCs w:val="22"/>
        </w:rPr>
        <w:t xml:space="preserve"> </w:t>
      </w:r>
      <w:r>
        <w:rPr>
          <w:rFonts w:ascii="Calibri" w:eastAsiaTheme="minorEastAsia" w:hAnsi="Calibri" w:cstheme="minorBidi"/>
          <w:color w:val="auto"/>
          <w:sz w:val="22"/>
          <w:szCs w:val="22"/>
        </w:rPr>
        <w:t>(</w:t>
      </w:r>
      <m:oMath>
        <m:r>
          <w:rPr>
            <w:rFonts w:ascii="Cambria Math" w:eastAsiaTheme="minorEastAsia" w:hAnsi="Cambria Math" w:cstheme="minorBidi"/>
            <w:color w:val="auto"/>
            <w:sz w:val="22"/>
            <w:szCs w:val="22"/>
          </w:rPr>
          <m:t>p ≈3.57×</m:t>
        </m:r>
        <m:sSup>
          <m:sSupPr>
            <m:ctrlPr>
              <w:rPr>
                <w:rFonts w:ascii="Cambria Math" w:eastAsiaTheme="minorEastAsia" w:hAnsi="Cambria Math" w:cstheme="minorBidi"/>
                <w:i/>
                <w:color w:val="auto"/>
                <w:sz w:val="22"/>
                <w:szCs w:val="22"/>
              </w:rPr>
            </m:ctrlPr>
          </m:sSupPr>
          <m:e>
            <m:r>
              <w:rPr>
                <w:rFonts w:ascii="Cambria Math" w:eastAsiaTheme="minorEastAsia" w:hAnsi="Cambria Math" w:cstheme="minorBidi"/>
                <w:color w:val="auto"/>
                <w:sz w:val="22"/>
                <w:szCs w:val="22"/>
              </w:rPr>
              <m:t>10</m:t>
            </m:r>
          </m:e>
          <m:sup>
            <m:r>
              <w:rPr>
                <w:rFonts w:ascii="Cambria Math" w:eastAsiaTheme="minorEastAsia" w:hAnsi="Cambria Math" w:cstheme="minorBidi"/>
                <w:color w:val="auto"/>
                <w:sz w:val="22"/>
                <w:szCs w:val="22"/>
              </w:rPr>
              <m:t>-5</m:t>
            </m:r>
          </m:sup>
        </m:sSup>
      </m:oMath>
      <w:r>
        <w:rPr>
          <w:rFonts w:ascii="Calibri" w:eastAsiaTheme="minorEastAsia" w:hAnsi="Calibri" w:cstheme="minorBidi"/>
          <w:color w:val="auto"/>
          <w:sz w:val="22"/>
          <w:szCs w:val="22"/>
        </w:rPr>
        <w:t>)</w:t>
      </w:r>
      <w:r w:rsidRPr="002D5F96">
        <w:rPr>
          <w:rFonts w:ascii="Calibri" w:eastAsiaTheme="minorEastAsia" w:hAnsi="Calibri" w:cstheme="minorBidi"/>
          <w:color w:val="auto"/>
          <w:sz w:val="22"/>
          <w:szCs w:val="22"/>
        </w:rPr>
        <w:t xml:space="preserve">, </w:t>
      </w:r>
      <w:r w:rsidRPr="002D5F96">
        <w:rPr>
          <w:rFonts w:ascii="Calibri" w:eastAsiaTheme="minorEastAsia" w:hAnsi="Calibri" w:cstheme="minorBidi"/>
          <w:i/>
          <w:iCs/>
          <w:color w:val="auto"/>
          <w:sz w:val="22"/>
          <w:szCs w:val="22"/>
        </w:rPr>
        <w:t>P. aeruginosa</w:t>
      </w:r>
      <w:r w:rsidRPr="002D5F96">
        <w:rPr>
          <w:rFonts w:ascii="Calibri" w:eastAsiaTheme="minorEastAsia" w:hAnsi="Calibri" w:cstheme="minorBidi"/>
          <w:color w:val="auto"/>
          <w:sz w:val="22"/>
          <w:szCs w:val="22"/>
        </w:rPr>
        <w:t xml:space="preserve"> </w:t>
      </w:r>
      <w:r w:rsidR="008F13DF">
        <w:rPr>
          <w:rFonts w:ascii="Calibri" w:eastAsiaTheme="minorEastAsia" w:hAnsi="Calibri" w:cstheme="minorBidi"/>
          <w:color w:val="auto"/>
          <w:sz w:val="22"/>
          <w:szCs w:val="22"/>
        </w:rPr>
        <w:t>(</w:t>
      </w:r>
      <m:oMath>
        <m:r>
          <w:rPr>
            <w:rFonts w:ascii="Cambria Math" w:eastAsiaTheme="minorEastAsia" w:hAnsi="Cambria Math" w:cstheme="minorBidi"/>
            <w:color w:val="auto"/>
            <w:sz w:val="22"/>
            <w:szCs w:val="22"/>
          </w:rPr>
          <m:t>p ≈</m:t>
        </m:r>
        <m:r>
          <w:rPr>
            <w:rFonts w:ascii="Cambria Math" w:eastAsiaTheme="minorEastAsia" w:hAnsi="Cambria Math" w:cstheme="minorBidi"/>
            <w:color w:val="auto"/>
            <w:sz w:val="22"/>
            <w:szCs w:val="22"/>
          </w:rPr>
          <m:t>2.20</m:t>
        </m:r>
        <m:r>
          <w:rPr>
            <w:rFonts w:ascii="Cambria Math" w:eastAsiaTheme="minorEastAsia" w:hAnsi="Cambria Math" w:cstheme="minorBidi"/>
            <w:color w:val="auto"/>
            <w:sz w:val="22"/>
            <w:szCs w:val="22"/>
          </w:rPr>
          <m:t>×</m:t>
        </m:r>
        <m:sSup>
          <m:sSupPr>
            <m:ctrlPr>
              <w:rPr>
                <w:rFonts w:ascii="Cambria Math" w:eastAsiaTheme="minorEastAsia" w:hAnsi="Cambria Math" w:cstheme="minorBidi"/>
                <w:i/>
                <w:color w:val="auto"/>
                <w:sz w:val="22"/>
                <w:szCs w:val="22"/>
              </w:rPr>
            </m:ctrlPr>
          </m:sSupPr>
          <m:e>
            <m:r>
              <w:rPr>
                <w:rFonts w:ascii="Cambria Math" w:eastAsiaTheme="minorEastAsia" w:hAnsi="Cambria Math" w:cstheme="minorBidi"/>
                <w:color w:val="auto"/>
                <w:sz w:val="22"/>
                <w:szCs w:val="22"/>
              </w:rPr>
              <m:t>10</m:t>
            </m:r>
          </m:e>
          <m:sup>
            <m:r>
              <w:rPr>
                <w:rFonts w:ascii="Cambria Math" w:eastAsiaTheme="minorEastAsia" w:hAnsi="Cambria Math" w:cstheme="minorBidi"/>
                <w:color w:val="auto"/>
                <w:sz w:val="22"/>
                <w:szCs w:val="22"/>
              </w:rPr>
              <m:t>-</m:t>
            </m:r>
            <m:r>
              <w:rPr>
                <w:rFonts w:ascii="Cambria Math" w:eastAsiaTheme="minorEastAsia" w:hAnsi="Cambria Math" w:cstheme="minorBidi"/>
                <w:color w:val="auto"/>
                <w:sz w:val="22"/>
                <w:szCs w:val="22"/>
              </w:rPr>
              <m:t>2</m:t>
            </m:r>
          </m:sup>
        </m:sSup>
      </m:oMath>
      <w:r w:rsidR="008F13DF">
        <w:rPr>
          <w:rFonts w:ascii="Calibri" w:eastAsiaTheme="minorEastAsia" w:hAnsi="Calibri" w:cstheme="minorBidi"/>
          <w:color w:val="auto"/>
          <w:sz w:val="22"/>
          <w:szCs w:val="22"/>
        </w:rPr>
        <w:t>)</w:t>
      </w:r>
      <w:r w:rsidRPr="002D5F96">
        <w:rPr>
          <w:rFonts w:ascii="Calibri" w:eastAsiaTheme="minorEastAsia" w:hAnsi="Calibri" w:cstheme="minorBidi"/>
          <w:color w:val="auto"/>
          <w:sz w:val="22"/>
          <w:szCs w:val="22"/>
        </w:rPr>
        <w:t xml:space="preserve">, and </w:t>
      </w:r>
      <w:r w:rsidRPr="002D5F96">
        <w:rPr>
          <w:rFonts w:ascii="Calibri" w:eastAsiaTheme="minorEastAsia" w:hAnsi="Calibri" w:cstheme="minorBidi"/>
          <w:i/>
          <w:iCs/>
          <w:color w:val="auto"/>
          <w:sz w:val="22"/>
          <w:szCs w:val="22"/>
        </w:rPr>
        <w:t>Vibrio</w:t>
      </w:r>
      <w:r w:rsidRPr="002D5F96">
        <w:rPr>
          <w:rFonts w:ascii="Calibri" w:eastAsiaTheme="minorEastAsia" w:hAnsi="Calibri" w:cstheme="minorBidi"/>
          <w:color w:val="auto"/>
          <w:sz w:val="22"/>
          <w:szCs w:val="22"/>
        </w:rPr>
        <w:t xml:space="preserve"> (</w:t>
      </w:r>
      <m:oMath>
        <m:r>
          <w:rPr>
            <w:rFonts w:ascii="Cambria Math" w:eastAsiaTheme="minorEastAsia" w:hAnsi="Cambria Math" w:cstheme="minorBidi"/>
            <w:color w:val="auto"/>
            <w:sz w:val="22"/>
            <w:szCs w:val="22"/>
          </w:rPr>
          <m:t>p ≈3.</m:t>
        </m:r>
        <m:r>
          <w:rPr>
            <w:rFonts w:ascii="Cambria Math" w:eastAsiaTheme="minorEastAsia" w:hAnsi="Cambria Math" w:cstheme="minorBidi"/>
            <w:color w:val="auto"/>
            <w:sz w:val="22"/>
            <w:szCs w:val="22"/>
          </w:rPr>
          <m:t>90</m:t>
        </m:r>
        <m:r>
          <w:rPr>
            <w:rFonts w:ascii="Cambria Math" w:eastAsiaTheme="minorEastAsia" w:hAnsi="Cambria Math" w:cstheme="minorBidi"/>
            <w:color w:val="auto"/>
            <w:sz w:val="22"/>
            <w:szCs w:val="22"/>
          </w:rPr>
          <m:t>×</m:t>
        </m:r>
        <m:sSup>
          <m:sSupPr>
            <m:ctrlPr>
              <w:rPr>
                <w:rFonts w:ascii="Cambria Math" w:eastAsiaTheme="minorEastAsia" w:hAnsi="Cambria Math" w:cstheme="minorBidi"/>
                <w:i/>
                <w:color w:val="auto"/>
                <w:sz w:val="22"/>
                <w:szCs w:val="22"/>
              </w:rPr>
            </m:ctrlPr>
          </m:sSupPr>
          <m:e>
            <m:r>
              <w:rPr>
                <w:rFonts w:ascii="Cambria Math" w:eastAsiaTheme="minorEastAsia" w:hAnsi="Cambria Math" w:cstheme="minorBidi"/>
                <w:color w:val="auto"/>
                <w:sz w:val="22"/>
                <w:szCs w:val="22"/>
              </w:rPr>
              <m:t>10</m:t>
            </m:r>
          </m:e>
          <m:sup>
            <m:r>
              <w:rPr>
                <w:rFonts w:ascii="Cambria Math" w:eastAsiaTheme="minorEastAsia" w:hAnsi="Cambria Math" w:cstheme="minorBidi"/>
                <w:color w:val="auto"/>
                <w:sz w:val="22"/>
                <w:szCs w:val="22"/>
              </w:rPr>
              <m:t>-</m:t>
            </m:r>
            <m:r>
              <w:rPr>
                <w:rFonts w:ascii="Cambria Math" w:eastAsiaTheme="minorEastAsia" w:hAnsi="Cambria Math" w:cstheme="minorBidi"/>
                <w:color w:val="auto"/>
                <w:sz w:val="22"/>
                <w:szCs w:val="22"/>
              </w:rPr>
              <m:t>3</m:t>
            </m:r>
          </m:sup>
        </m:sSup>
      </m:oMath>
      <w:r w:rsidR="008F13DF">
        <w:rPr>
          <w:rFonts w:ascii="Calibri" w:eastAsiaTheme="minorEastAsia" w:hAnsi="Calibri" w:cstheme="minorBidi"/>
          <w:color w:val="auto"/>
          <w:sz w:val="22"/>
          <w:szCs w:val="22"/>
        </w:rPr>
        <w:t>)</w:t>
      </w:r>
      <w:r w:rsidRPr="002D5F96">
        <w:rPr>
          <w:rFonts w:ascii="Calibri" w:eastAsiaTheme="minorEastAsia" w:hAnsi="Calibri" w:cstheme="minorBidi"/>
          <w:color w:val="auto"/>
          <w:sz w:val="22"/>
          <w:szCs w:val="22"/>
        </w:rPr>
        <w:t xml:space="preserve">. </w:t>
      </w:r>
      <w:r w:rsidR="009C2241" w:rsidRPr="009C2241">
        <w:rPr>
          <w:rFonts w:ascii="Calibri" w:eastAsiaTheme="minorEastAsia" w:hAnsi="Calibri" w:cstheme="minorBidi"/>
          <w:i/>
          <w:iCs/>
          <w:color w:val="auto"/>
          <w:sz w:val="22"/>
          <w:szCs w:val="22"/>
        </w:rPr>
        <w:t>Enterobacteriaceae</w:t>
      </w:r>
      <w:r w:rsidRPr="002D5F96">
        <w:rPr>
          <w:rFonts w:ascii="Calibri" w:eastAsiaTheme="minorEastAsia" w:hAnsi="Calibri" w:cstheme="minorBidi"/>
          <w:color w:val="auto"/>
          <w:sz w:val="22"/>
          <w:szCs w:val="22"/>
        </w:rPr>
        <w:t xml:space="preserve"> exhibited adsorption rates roughly 4–5 times higher than </w:t>
      </w:r>
      <w:r w:rsidRPr="002D5F96">
        <w:rPr>
          <w:rFonts w:ascii="Calibri" w:eastAsiaTheme="minorEastAsia" w:hAnsi="Calibri" w:cstheme="minorBidi"/>
          <w:i/>
          <w:iCs/>
          <w:color w:val="auto"/>
          <w:sz w:val="22"/>
          <w:szCs w:val="22"/>
        </w:rPr>
        <w:t>Synechococcus</w:t>
      </w:r>
      <w:r w:rsidRPr="002D5F96">
        <w:rPr>
          <w:rFonts w:ascii="Calibri" w:eastAsiaTheme="minorEastAsia" w:hAnsi="Calibri" w:cstheme="minorBidi"/>
          <w:color w:val="auto"/>
          <w:sz w:val="22"/>
          <w:szCs w:val="22"/>
        </w:rPr>
        <w:t xml:space="preserve"> and </w:t>
      </w:r>
      <w:r w:rsidRPr="002D5F96">
        <w:rPr>
          <w:rFonts w:ascii="Calibri" w:eastAsiaTheme="minorEastAsia" w:hAnsi="Calibri" w:cstheme="minorBidi"/>
          <w:i/>
          <w:iCs/>
          <w:color w:val="auto"/>
          <w:sz w:val="22"/>
          <w:szCs w:val="22"/>
        </w:rPr>
        <w:t>Vibrio</w:t>
      </w:r>
      <w:r w:rsidRPr="002D5F96">
        <w:rPr>
          <w:rFonts w:ascii="Calibri" w:eastAsiaTheme="minorEastAsia" w:hAnsi="Calibri" w:cstheme="minorBidi"/>
          <w:color w:val="auto"/>
          <w:sz w:val="22"/>
          <w:szCs w:val="22"/>
        </w:rPr>
        <w:t xml:space="preserve">, but lower than </w:t>
      </w:r>
      <w:r w:rsidRPr="002D5F96">
        <w:rPr>
          <w:rFonts w:ascii="Calibri" w:eastAsiaTheme="minorEastAsia" w:hAnsi="Calibri" w:cstheme="minorBidi"/>
          <w:i/>
          <w:iCs/>
          <w:color w:val="auto"/>
          <w:sz w:val="22"/>
          <w:szCs w:val="22"/>
        </w:rPr>
        <w:t>P. aeruginosa</w:t>
      </w:r>
      <w:r w:rsidRPr="002D5F96">
        <w:rPr>
          <w:rFonts w:ascii="Calibri" w:eastAsiaTheme="minorEastAsia" w:hAnsi="Calibri" w:cstheme="minorBidi"/>
          <w:color w:val="auto"/>
          <w:sz w:val="22"/>
          <w:szCs w:val="22"/>
        </w:rPr>
        <w:t xml:space="preserve">. Among the remaining hosts, </w:t>
      </w:r>
      <w:r w:rsidRPr="002D5F96">
        <w:rPr>
          <w:rFonts w:ascii="Calibri" w:eastAsiaTheme="minorEastAsia" w:hAnsi="Calibri" w:cstheme="minorBidi"/>
          <w:i/>
          <w:iCs/>
          <w:color w:val="auto"/>
          <w:sz w:val="22"/>
          <w:szCs w:val="22"/>
        </w:rPr>
        <w:t>Synechococcus</w:t>
      </w:r>
      <w:r w:rsidRPr="002D5F96">
        <w:rPr>
          <w:rFonts w:ascii="Calibri" w:eastAsiaTheme="minorEastAsia" w:hAnsi="Calibri" w:cstheme="minorBidi"/>
          <w:color w:val="auto"/>
          <w:sz w:val="22"/>
          <w:szCs w:val="22"/>
        </w:rPr>
        <w:t xml:space="preserve"> and </w:t>
      </w:r>
      <w:r w:rsidRPr="002D5F96">
        <w:rPr>
          <w:rFonts w:ascii="Calibri" w:eastAsiaTheme="minorEastAsia" w:hAnsi="Calibri" w:cstheme="minorBidi"/>
          <w:i/>
          <w:iCs/>
          <w:color w:val="auto"/>
          <w:sz w:val="22"/>
          <w:szCs w:val="22"/>
        </w:rPr>
        <w:t>Vibrio</w:t>
      </w:r>
      <w:r w:rsidRPr="002D5F96">
        <w:rPr>
          <w:rFonts w:ascii="Calibri" w:eastAsiaTheme="minorEastAsia" w:hAnsi="Calibri" w:cstheme="minorBidi"/>
          <w:color w:val="auto"/>
          <w:sz w:val="22"/>
          <w:szCs w:val="22"/>
        </w:rPr>
        <w:t xml:space="preserve"> did not differ significantly </w:t>
      </w:r>
      <w:r w:rsidR="008F13DF">
        <w:rPr>
          <w:rFonts w:ascii="Calibri" w:eastAsiaTheme="minorEastAsia" w:hAnsi="Calibri" w:cstheme="minorBidi"/>
          <w:color w:val="auto"/>
          <w:sz w:val="22"/>
          <w:szCs w:val="22"/>
        </w:rPr>
        <w:t>(</w:t>
      </w:r>
      <m:oMath>
        <m:r>
          <w:rPr>
            <w:rFonts w:ascii="Cambria Math" w:eastAsiaTheme="minorEastAsia" w:hAnsi="Cambria Math" w:cstheme="minorBidi"/>
            <w:color w:val="auto"/>
            <w:sz w:val="22"/>
            <w:szCs w:val="22"/>
          </w:rPr>
          <m:t>p ≈</m:t>
        </m:r>
        <m:r>
          <w:rPr>
            <w:rFonts w:ascii="Cambria Math" w:eastAsiaTheme="minorEastAsia" w:hAnsi="Cambria Math" w:cstheme="minorBidi"/>
            <w:color w:val="auto"/>
            <w:sz w:val="22"/>
            <w:szCs w:val="22"/>
          </w:rPr>
          <m:t>0.67</m:t>
        </m:r>
      </m:oMath>
      <w:r w:rsidR="008F13DF">
        <w:rPr>
          <w:rFonts w:ascii="Calibri" w:eastAsiaTheme="minorEastAsia" w:hAnsi="Calibri" w:cstheme="minorBidi"/>
          <w:color w:val="auto"/>
          <w:sz w:val="22"/>
          <w:szCs w:val="22"/>
        </w:rPr>
        <w:t>)</w:t>
      </w:r>
      <w:r w:rsidRPr="002D5F96">
        <w:rPr>
          <w:rFonts w:ascii="Calibri" w:eastAsiaTheme="minorEastAsia" w:hAnsi="Calibri" w:cstheme="minorBidi"/>
          <w:color w:val="auto"/>
          <w:sz w:val="22"/>
          <w:szCs w:val="22"/>
        </w:rPr>
        <w:t xml:space="preserve">, whereas </w:t>
      </w:r>
      <w:r w:rsidRPr="002D5F96">
        <w:rPr>
          <w:rFonts w:ascii="Calibri" w:eastAsiaTheme="minorEastAsia" w:hAnsi="Calibri" w:cstheme="minorBidi"/>
          <w:i/>
          <w:iCs/>
          <w:color w:val="auto"/>
          <w:sz w:val="22"/>
          <w:szCs w:val="22"/>
        </w:rPr>
        <w:t>P. aeruginosa</w:t>
      </w:r>
      <w:r w:rsidRPr="002D5F96">
        <w:rPr>
          <w:rFonts w:ascii="Calibri" w:eastAsiaTheme="minorEastAsia" w:hAnsi="Calibri" w:cstheme="minorBidi"/>
          <w:color w:val="auto"/>
          <w:sz w:val="22"/>
          <w:szCs w:val="22"/>
        </w:rPr>
        <w:t xml:space="preserve"> showed consistently higher adsorption constants. Thus, </w:t>
      </w:r>
      <w:r w:rsidR="009C2241" w:rsidRPr="009C2241">
        <w:rPr>
          <w:rFonts w:ascii="Calibri" w:eastAsiaTheme="minorEastAsia" w:hAnsi="Calibri" w:cstheme="minorBidi"/>
          <w:i/>
          <w:iCs/>
          <w:color w:val="auto"/>
          <w:sz w:val="22"/>
          <w:szCs w:val="22"/>
        </w:rPr>
        <w:t>Enterobacteriaceae</w:t>
      </w:r>
      <w:r w:rsidRPr="002D5F96">
        <w:rPr>
          <w:rFonts w:ascii="Calibri" w:eastAsiaTheme="minorEastAsia" w:hAnsi="Calibri" w:cstheme="minorBidi"/>
          <w:color w:val="auto"/>
          <w:sz w:val="22"/>
          <w:szCs w:val="22"/>
        </w:rPr>
        <w:t xml:space="preserve"> and </w:t>
      </w:r>
      <w:r w:rsidRPr="002D5F96">
        <w:rPr>
          <w:rFonts w:ascii="Calibri" w:eastAsiaTheme="minorEastAsia" w:hAnsi="Calibri" w:cstheme="minorBidi"/>
          <w:i/>
          <w:iCs/>
          <w:color w:val="auto"/>
          <w:sz w:val="22"/>
          <w:szCs w:val="22"/>
        </w:rPr>
        <w:t>P. aeruginosa</w:t>
      </w:r>
      <w:r w:rsidRPr="002D5F96">
        <w:rPr>
          <w:rFonts w:ascii="Calibri" w:eastAsiaTheme="minorEastAsia" w:hAnsi="Calibri" w:cstheme="minorBidi"/>
          <w:color w:val="auto"/>
          <w:sz w:val="22"/>
          <w:szCs w:val="22"/>
        </w:rPr>
        <w:t xml:space="preserve"> represent the most favorable hosts, while </w:t>
      </w:r>
      <w:r w:rsidRPr="002D5F96">
        <w:rPr>
          <w:rFonts w:ascii="Calibri" w:eastAsiaTheme="minorEastAsia" w:hAnsi="Calibri" w:cstheme="minorBidi"/>
          <w:i/>
          <w:iCs/>
          <w:color w:val="auto"/>
          <w:sz w:val="22"/>
          <w:szCs w:val="22"/>
        </w:rPr>
        <w:t>Synechococcus</w:t>
      </w:r>
      <w:r w:rsidRPr="002D5F96">
        <w:rPr>
          <w:rFonts w:ascii="Calibri" w:eastAsiaTheme="minorEastAsia" w:hAnsi="Calibri" w:cstheme="minorBidi"/>
          <w:color w:val="auto"/>
          <w:sz w:val="22"/>
          <w:szCs w:val="22"/>
        </w:rPr>
        <w:t xml:space="preserve"> and </w:t>
      </w:r>
      <w:r w:rsidRPr="002D5F96">
        <w:rPr>
          <w:rFonts w:ascii="Calibri" w:eastAsiaTheme="minorEastAsia" w:hAnsi="Calibri" w:cstheme="minorBidi"/>
          <w:i/>
          <w:iCs/>
          <w:color w:val="auto"/>
          <w:sz w:val="22"/>
          <w:szCs w:val="22"/>
        </w:rPr>
        <w:t>Vibrio</w:t>
      </w:r>
      <w:r w:rsidRPr="002D5F96">
        <w:rPr>
          <w:rFonts w:ascii="Calibri" w:eastAsiaTheme="minorEastAsia" w:hAnsi="Calibri" w:cstheme="minorBidi"/>
          <w:color w:val="auto"/>
          <w:sz w:val="22"/>
          <w:szCs w:val="22"/>
        </w:rPr>
        <w:t xml:space="preserve"> exhibit comparatively lower adsorption efficiencies.</w:t>
      </w:r>
      <w:r w:rsidR="005B3819">
        <w:rPr>
          <w:rFonts w:ascii="Calibri" w:eastAsiaTheme="minorEastAsia" w:hAnsi="Calibri" w:cstheme="minorBidi"/>
          <w:color w:val="auto"/>
          <w:sz w:val="22"/>
          <w:szCs w:val="22"/>
        </w:rPr>
        <w:t xml:space="preserve"> </w:t>
      </w:r>
      <w:r w:rsidR="009C2241">
        <w:rPr>
          <w:rFonts w:ascii="Calibri" w:eastAsiaTheme="minorEastAsia" w:hAnsi="Calibri" w:cstheme="minorBidi"/>
          <w:color w:val="auto"/>
          <w:sz w:val="22"/>
          <w:szCs w:val="22"/>
        </w:rPr>
        <w:t xml:space="preserve"> </w:t>
      </w:r>
    </w:p>
    <w:p w14:paraId="71CCBDA2" w14:textId="4A15B5AC" w:rsidR="0036753A" w:rsidRPr="004C36D5" w:rsidRDefault="0036753A" w:rsidP="006C10A4">
      <w:pPr>
        <w:pStyle w:val="Heading1"/>
        <w:spacing w:line="360" w:lineRule="auto"/>
        <w:rPr>
          <w:rFonts w:ascii="Calibri" w:hAnsi="Calibri" w:cs="Calibri"/>
          <w:color w:val="auto"/>
        </w:rPr>
      </w:pPr>
      <w:r w:rsidRPr="004C36D5">
        <w:rPr>
          <w:rFonts w:ascii="Calibri" w:hAnsi="Calibri" w:cs="Calibri"/>
          <w:color w:val="auto"/>
        </w:rPr>
        <w:t>Discussion</w:t>
      </w:r>
    </w:p>
    <w:p w14:paraId="49F7F4A5" w14:textId="58CE2AF9" w:rsidR="00161651" w:rsidRDefault="00161651" w:rsidP="006C10A4">
      <w:pPr>
        <w:pStyle w:val="Heading1"/>
        <w:spacing w:line="360" w:lineRule="auto"/>
        <w:rPr>
          <w:rFonts w:ascii="Calibri" w:eastAsiaTheme="minorEastAsia" w:hAnsi="Calibri" w:cstheme="minorBidi"/>
          <w:color w:val="auto"/>
          <w:sz w:val="22"/>
          <w:szCs w:val="22"/>
        </w:rPr>
      </w:pPr>
      <w:r w:rsidRPr="00161651">
        <w:rPr>
          <w:rFonts w:ascii="Calibri" w:eastAsiaTheme="minorEastAsia" w:hAnsi="Calibri" w:cstheme="minorBidi"/>
          <w:color w:val="auto"/>
          <w:sz w:val="22"/>
          <w:szCs w:val="22"/>
        </w:rPr>
        <w:t xml:space="preserve">The violin plots highlight how bacteriophage adsorption dynamics depend more on host identity than on phage family morphology. Although Siphoviridae, Myoviridae, and Podoviridae differ markedly in tail length (panel A), their adsorption rate distributions largely overlap (panel B), suggesting tail length alone is not a dominant predictor of adsorption efficiency. Instead, host specificity emerges as a stronger determinant (panels C–D), with </w:t>
      </w:r>
      <w:r w:rsidR="009C2241" w:rsidRPr="009C2241">
        <w:rPr>
          <w:rFonts w:ascii="Calibri" w:eastAsiaTheme="minorEastAsia" w:hAnsi="Calibri" w:cstheme="minorBidi"/>
          <w:i/>
          <w:iCs/>
          <w:color w:val="auto"/>
          <w:sz w:val="22"/>
          <w:szCs w:val="22"/>
        </w:rPr>
        <w:t>Enterobacteriaceae</w:t>
      </w:r>
      <w:r w:rsidR="009C2241">
        <w:rPr>
          <w:rFonts w:ascii="Calibri" w:eastAsiaTheme="minorEastAsia" w:hAnsi="Calibri" w:cstheme="minorBidi"/>
          <w:i/>
          <w:iCs/>
          <w:color w:val="auto"/>
          <w:sz w:val="22"/>
          <w:szCs w:val="22"/>
        </w:rPr>
        <w:t xml:space="preserve"> </w:t>
      </w:r>
      <w:r w:rsidRPr="00161651">
        <w:rPr>
          <w:rFonts w:ascii="Calibri" w:eastAsiaTheme="minorEastAsia" w:hAnsi="Calibri" w:cstheme="minorBidi"/>
          <w:color w:val="auto"/>
          <w:sz w:val="22"/>
          <w:szCs w:val="22"/>
        </w:rPr>
        <w:t xml:space="preserve">supporting consistently higher adsorption rates than </w:t>
      </w:r>
      <w:r w:rsidRPr="00161651">
        <w:rPr>
          <w:rFonts w:ascii="Calibri" w:eastAsiaTheme="minorEastAsia" w:hAnsi="Calibri" w:cstheme="minorBidi"/>
          <w:i/>
          <w:iCs/>
          <w:color w:val="auto"/>
          <w:sz w:val="22"/>
          <w:szCs w:val="22"/>
        </w:rPr>
        <w:t>Synechococcus</w:t>
      </w:r>
      <w:r w:rsidRPr="00161651">
        <w:rPr>
          <w:rFonts w:ascii="Calibri" w:eastAsiaTheme="minorEastAsia" w:hAnsi="Calibri" w:cstheme="minorBidi"/>
          <w:color w:val="auto"/>
          <w:sz w:val="22"/>
          <w:szCs w:val="22"/>
        </w:rPr>
        <w:t xml:space="preserve">, </w:t>
      </w:r>
      <w:r w:rsidRPr="00161651">
        <w:rPr>
          <w:rFonts w:ascii="Calibri" w:eastAsiaTheme="minorEastAsia" w:hAnsi="Calibri" w:cstheme="minorBidi"/>
          <w:i/>
          <w:iCs/>
          <w:color w:val="auto"/>
          <w:sz w:val="22"/>
          <w:szCs w:val="22"/>
        </w:rPr>
        <w:t>Vibrio</w:t>
      </w:r>
      <w:r w:rsidRPr="00161651">
        <w:rPr>
          <w:rFonts w:ascii="Calibri" w:eastAsiaTheme="minorEastAsia" w:hAnsi="Calibri" w:cstheme="minorBidi"/>
          <w:color w:val="auto"/>
          <w:sz w:val="22"/>
          <w:szCs w:val="22"/>
        </w:rPr>
        <w:t xml:space="preserve">, or </w:t>
      </w:r>
      <w:r w:rsidRPr="00161651">
        <w:rPr>
          <w:rFonts w:ascii="Calibri" w:eastAsiaTheme="minorEastAsia" w:hAnsi="Calibri" w:cstheme="minorBidi"/>
          <w:i/>
          <w:iCs/>
          <w:color w:val="auto"/>
          <w:sz w:val="22"/>
          <w:szCs w:val="22"/>
        </w:rPr>
        <w:t>Pseudomonas aeruginosa</w:t>
      </w:r>
      <w:r w:rsidRPr="00161651">
        <w:rPr>
          <w:rFonts w:ascii="Calibri" w:eastAsiaTheme="minorEastAsia" w:hAnsi="Calibri" w:cstheme="minorBidi"/>
          <w:color w:val="auto"/>
          <w:sz w:val="22"/>
          <w:szCs w:val="22"/>
        </w:rPr>
        <w:t xml:space="preserve">. Hidden variables may </w:t>
      </w:r>
      <w:proofErr w:type="gramStart"/>
      <w:r w:rsidRPr="00161651">
        <w:rPr>
          <w:rFonts w:ascii="Calibri" w:eastAsiaTheme="minorEastAsia" w:hAnsi="Calibri" w:cstheme="minorBidi"/>
          <w:color w:val="auto"/>
          <w:sz w:val="22"/>
          <w:szCs w:val="22"/>
        </w:rPr>
        <w:t>underlie</w:t>
      </w:r>
      <w:proofErr w:type="gramEnd"/>
      <w:r w:rsidRPr="00161651">
        <w:rPr>
          <w:rFonts w:ascii="Calibri" w:eastAsiaTheme="minorEastAsia" w:hAnsi="Calibri" w:cstheme="minorBidi"/>
          <w:color w:val="auto"/>
          <w:sz w:val="22"/>
          <w:szCs w:val="22"/>
        </w:rPr>
        <w:t xml:space="preserve"> these patterns, including differences in receptor abundance on host surfaces, variations in experimental conditions (e.g., temperature, ionic strength, and growth medium), and methodological differences in adsorption assays across studies. Moreover, ecological origin (marine vs. gut isolates), multiplicity of infection, and unreported host physiology at the time of infection could further confound comparisons. Together, the figure suggests that while phage morphology contributes to adsorption potential, biological and environmental host factors exert stronger control over observed rates.</w:t>
      </w:r>
    </w:p>
    <w:p w14:paraId="0F4396BA" w14:textId="44A2D101" w:rsidR="0036753A" w:rsidRPr="004C36D5" w:rsidRDefault="0036753A" w:rsidP="006C10A4">
      <w:pPr>
        <w:pStyle w:val="Heading1"/>
        <w:spacing w:line="360" w:lineRule="auto"/>
        <w:rPr>
          <w:rFonts w:ascii="Calibri" w:hAnsi="Calibri" w:cs="Calibri"/>
          <w:color w:val="auto"/>
        </w:rPr>
      </w:pPr>
      <w:r w:rsidRPr="004C36D5">
        <w:rPr>
          <w:rFonts w:ascii="Calibri" w:hAnsi="Calibri" w:cs="Calibri"/>
          <w:color w:val="auto"/>
        </w:rPr>
        <w:t>References</w:t>
      </w:r>
    </w:p>
    <w:p w14:paraId="08B2F182" w14:textId="72D444A0" w:rsidR="00D7283A" w:rsidRDefault="00D7283A" w:rsidP="00D7283A">
      <w:pPr>
        <w:spacing w:after="0" w:line="240" w:lineRule="auto"/>
        <w:rPr>
          <w:rFonts w:eastAsia="Times New Roman" w:cs="Calibri"/>
          <w:color w:val="000000"/>
          <w14:ligatures w14:val="none"/>
        </w:rPr>
      </w:pPr>
      <w:r>
        <w:t xml:space="preserve">1. </w:t>
      </w:r>
      <w:r w:rsidR="00DF6DF7" w:rsidRPr="00DF6DF7">
        <w:rPr>
          <w:rFonts w:eastAsia="Times New Roman" w:cs="Calibri"/>
          <w:color w:val="000000"/>
          <w14:ligatures w14:val="none"/>
        </w:rPr>
        <w:t>Stoddard, Lauren I., Jennifer BH Martiny, and Marcia F. Marston. "Selection and characterization of cyanophage resistance in marine Synechococcus strains." </w:t>
      </w:r>
      <w:r w:rsidR="00DF6DF7" w:rsidRPr="00DF6DF7">
        <w:rPr>
          <w:rFonts w:eastAsia="Times New Roman" w:cs="Calibri"/>
          <w:i/>
          <w:iCs/>
          <w:color w:val="000000"/>
          <w14:ligatures w14:val="none"/>
        </w:rPr>
        <w:t>Applied and Environmental Microbiology</w:t>
      </w:r>
      <w:r w:rsidR="00DF6DF7" w:rsidRPr="00DF6DF7">
        <w:rPr>
          <w:rFonts w:eastAsia="Times New Roman" w:cs="Calibri"/>
          <w:color w:val="000000"/>
          <w14:ligatures w14:val="none"/>
        </w:rPr>
        <w:t> 73.17 (2007): 5516-5522.</w:t>
      </w:r>
    </w:p>
    <w:p w14:paraId="0C847F07" w14:textId="77777777" w:rsidR="00D7283A" w:rsidRDefault="00D7283A" w:rsidP="00D7283A">
      <w:pPr>
        <w:spacing w:after="0" w:line="240" w:lineRule="auto"/>
        <w:rPr>
          <w:rFonts w:eastAsia="Times New Roman" w:cs="Calibri"/>
          <w:color w:val="000000"/>
          <w14:ligatures w14:val="none"/>
        </w:rPr>
      </w:pPr>
    </w:p>
    <w:p w14:paraId="4A2F970C" w14:textId="6343A93B"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 xml:space="preserve">2. </w:t>
      </w:r>
      <w:r w:rsidR="00DF6DF7" w:rsidRPr="00DF6DF7">
        <w:rPr>
          <w:rFonts w:eastAsia="Times New Roman" w:cs="Calibri"/>
          <w:color w:val="000000"/>
          <w14:ligatures w14:val="none"/>
        </w:rPr>
        <w:t>Mann, Nicholas H. "Phages of the marine cyanobacterial picophytoplankton." </w:t>
      </w:r>
      <w:r w:rsidR="00DF6DF7" w:rsidRPr="00DF6DF7">
        <w:rPr>
          <w:rFonts w:eastAsia="Times New Roman" w:cs="Calibri"/>
          <w:i/>
          <w:iCs/>
          <w:color w:val="000000"/>
          <w14:ligatures w14:val="none"/>
        </w:rPr>
        <w:t>FEMS microbiology reviews</w:t>
      </w:r>
      <w:r w:rsidR="00DF6DF7" w:rsidRPr="00DF6DF7">
        <w:rPr>
          <w:rFonts w:eastAsia="Times New Roman" w:cs="Calibri"/>
          <w:color w:val="000000"/>
          <w14:ligatures w14:val="none"/>
        </w:rPr>
        <w:t> 27.1 (2003): 17-34.</w:t>
      </w:r>
    </w:p>
    <w:p w14:paraId="635F2592" w14:textId="629B439D" w:rsidR="00D7283A" w:rsidRDefault="00D7283A" w:rsidP="00D7283A">
      <w:pPr>
        <w:spacing w:after="0" w:line="240" w:lineRule="auto"/>
        <w:rPr>
          <w:rFonts w:eastAsia="Times New Roman" w:cs="Calibri"/>
          <w:color w:val="000000"/>
          <w14:ligatures w14:val="none"/>
        </w:rPr>
      </w:pPr>
    </w:p>
    <w:p w14:paraId="6B92759A" w14:textId="12BF3686"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 xml:space="preserve">3. </w:t>
      </w:r>
      <w:r w:rsidR="00DF6DF7" w:rsidRPr="00DF6DF7">
        <w:rPr>
          <w:rFonts w:eastAsia="Times New Roman" w:cs="Calibri"/>
          <w:color w:val="000000"/>
          <w14:ligatures w14:val="none"/>
        </w:rPr>
        <w:t>Puck, Theodore T., Alan Garen, and Jewell Cline. "The mechanism of virus attachment to host cells: I. The role of ions in the primary reaction." </w:t>
      </w:r>
      <w:r w:rsidR="00DF6DF7" w:rsidRPr="00DF6DF7">
        <w:rPr>
          <w:rFonts w:eastAsia="Times New Roman" w:cs="Calibri"/>
          <w:i/>
          <w:iCs/>
          <w:color w:val="000000"/>
          <w14:ligatures w14:val="none"/>
        </w:rPr>
        <w:t xml:space="preserve">The Journal of </w:t>
      </w:r>
      <w:proofErr w:type="gramStart"/>
      <w:r w:rsidR="00DF6DF7" w:rsidRPr="00DF6DF7">
        <w:rPr>
          <w:rFonts w:eastAsia="Times New Roman" w:cs="Calibri"/>
          <w:i/>
          <w:iCs/>
          <w:color w:val="000000"/>
          <w14:ligatures w14:val="none"/>
        </w:rPr>
        <w:t>experimental medicine</w:t>
      </w:r>
      <w:proofErr w:type="gramEnd"/>
      <w:r w:rsidR="00DF6DF7" w:rsidRPr="00DF6DF7">
        <w:rPr>
          <w:rFonts w:eastAsia="Times New Roman" w:cs="Calibri"/>
          <w:color w:val="000000"/>
          <w14:ligatures w14:val="none"/>
        </w:rPr>
        <w:t> 93.1 (1951): 65-88.</w:t>
      </w:r>
    </w:p>
    <w:p w14:paraId="0F830328" w14:textId="2E906817" w:rsidR="00D7283A" w:rsidRDefault="00D7283A" w:rsidP="00D7283A">
      <w:pPr>
        <w:spacing w:after="0" w:line="240" w:lineRule="auto"/>
        <w:rPr>
          <w:rFonts w:eastAsia="Times New Roman" w:cs="Calibri"/>
          <w:color w:val="000000"/>
          <w14:ligatures w14:val="none"/>
        </w:rPr>
      </w:pPr>
    </w:p>
    <w:p w14:paraId="3D4F4CA1" w14:textId="176EFA43"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 xml:space="preserve">4. </w:t>
      </w:r>
      <w:r w:rsidR="00DF6DF7" w:rsidRPr="00DF6DF7">
        <w:rPr>
          <w:rFonts w:eastAsia="Times New Roman" w:cs="Calibri"/>
          <w:color w:val="000000"/>
          <w14:ligatures w14:val="none"/>
        </w:rPr>
        <w:t>Storms, Zachary J., et al. "Bacteriophage adsorption efficiency and its effect on amplification." </w:t>
      </w:r>
      <w:r w:rsidR="00DF6DF7" w:rsidRPr="00DF6DF7">
        <w:rPr>
          <w:rFonts w:eastAsia="Times New Roman" w:cs="Calibri"/>
          <w:i/>
          <w:iCs/>
          <w:color w:val="000000"/>
          <w14:ligatures w14:val="none"/>
        </w:rPr>
        <w:t>Bioprocess and biosystems engineering</w:t>
      </w:r>
      <w:r w:rsidR="00DF6DF7" w:rsidRPr="00DF6DF7">
        <w:rPr>
          <w:rFonts w:eastAsia="Times New Roman" w:cs="Calibri"/>
          <w:color w:val="000000"/>
          <w14:ligatures w14:val="none"/>
        </w:rPr>
        <w:t> 33.7 (2010): 823-831.</w:t>
      </w:r>
    </w:p>
    <w:p w14:paraId="0F0BD6E6" w14:textId="6C874F36" w:rsidR="00D7283A" w:rsidRDefault="00D7283A" w:rsidP="00D7283A">
      <w:pPr>
        <w:spacing w:after="0" w:line="240" w:lineRule="auto"/>
        <w:rPr>
          <w:rFonts w:eastAsia="Times New Roman" w:cs="Calibri"/>
          <w:color w:val="000000"/>
          <w14:ligatures w14:val="none"/>
        </w:rPr>
      </w:pPr>
    </w:p>
    <w:p w14:paraId="3CA5BC83" w14:textId="4507B1DE" w:rsid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 xml:space="preserve">5. </w:t>
      </w:r>
      <w:r w:rsidR="00DF6DF7" w:rsidRPr="00DF6DF7">
        <w:rPr>
          <w:rFonts w:eastAsia="Times New Roman" w:cs="Calibri"/>
          <w:color w:val="000000"/>
          <w14:ligatures w14:val="none"/>
        </w:rPr>
        <w:t>Storms, Zachary J., et al. "Modeling bacteriophage attachment using adsorption efficiency." </w:t>
      </w:r>
      <w:r w:rsidR="00DF6DF7" w:rsidRPr="00DF6DF7">
        <w:rPr>
          <w:rFonts w:eastAsia="Times New Roman" w:cs="Calibri"/>
          <w:i/>
          <w:iCs/>
          <w:color w:val="000000"/>
          <w14:ligatures w14:val="none"/>
        </w:rPr>
        <w:t>Biochemical Engineering Journal</w:t>
      </w:r>
      <w:r w:rsidR="00DF6DF7" w:rsidRPr="00DF6DF7">
        <w:rPr>
          <w:rFonts w:eastAsia="Times New Roman" w:cs="Calibri"/>
          <w:color w:val="000000"/>
          <w14:ligatures w14:val="none"/>
        </w:rPr>
        <w:t> 64 (2012): 22-29.</w:t>
      </w:r>
    </w:p>
    <w:p w14:paraId="7A9E03FE" w14:textId="77777777" w:rsidR="00D7283A" w:rsidRDefault="00D7283A" w:rsidP="00D7283A">
      <w:pPr>
        <w:spacing w:after="0" w:line="240" w:lineRule="auto"/>
        <w:rPr>
          <w:rFonts w:eastAsia="Times New Roman" w:cs="Calibri"/>
          <w:color w:val="000000"/>
          <w14:ligatures w14:val="none"/>
        </w:rPr>
      </w:pPr>
    </w:p>
    <w:p w14:paraId="5FB3B657" w14:textId="27F18CDF"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 xml:space="preserve">6. </w:t>
      </w:r>
      <w:r w:rsidRPr="00D7283A">
        <w:rPr>
          <w:rFonts w:eastAsia="Times New Roman" w:cs="Calibri"/>
          <w:color w:val="000000"/>
          <w14:ligatures w14:val="none"/>
        </w:rPr>
        <w:t>Barr, Jeremy J., et al. "</w:t>
      </w:r>
      <w:proofErr w:type="spellStart"/>
      <w:r w:rsidRPr="00D7283A">
        <w:rPr>
          <w:rFonts w:eastAsia="Times New Roman" w:cs="Calibri"/>
          <w:color w:val="000000"/>
          <w14:ligatures w14:val="none"/>
        </w:rPr>
        <w:t>Subdiffusive</w:t>
      </w:r>
      <w:proofErr w:type="spellEnd"/>
      <w:r w:rsidRPr="00D7283A">
        <w:rPr>
          <w:rFonts w:eastAsia="Times New Roman" w:cs="Calibri"/>
          <w:color w:val="000000"/>
          <w14:ligatures w14:val="none"/>
        </w:rPr>
        <w:t xml:space="preserve"> motion of bacteriophage in mucosal surfaces increases the frequency of bacterial encounters." </w:t>
      </w:r>
      <w:r w:rsidRPr="00D7283A">
        <w:rPr>
          <w:rFonts w:eastAsia="Times New Roman" w:cs="Calibri"/>
          <w:i/>
          <w:iCs/>
          <w:color w:val="000000"/>
          <w14:ligatures w14:val="none"/>
        </w:rPr>
        <w:t>Proceedings of the National Academy of Sciences</w:t>
      </w:r>
      <w:r w:rsidRPr="00D7283A">
        <w:rPr>
          <w:rFonts w:eastAsia="Times New Roman" w:cs="Calibri"/>
          <w:color w:val="000000"/>
          <w14:ligatures w14:val="none"/>
        </w:rPr>
        <w:t> 112.44 (2015): 13675-13680.</w:t>
      </w:r>
    </w:p>
    <w:p w14:paraId="3DEB72B4" w14:textId="52D1262C" w:rsidR="00D7283A" w:rsidRDefault="00D7283A" w:rsidP="00D7283A">
      <w:pPr>
        <w:spacing w:after="0" w:line="240" w:lineRule="auto"/>
        <w:rPr>
          <w:rFonts w:eastAsia="Times New Roman" w:cs="Calibri"/>
          <w:color w:val="000000"/>
          <w14:ligatures w14:val="none"/>
        </w:rPr>
      </w:pPr>
    </w:p>
    <w:p w14:paraId="10486E3B" w14:textId="21CB4232"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 xml:space="preserve">7. </w:t>
      </w:r>
      <w:r w:rsidR="00E838A7" w:rsidRPr="00E838A7">
        <w:rPr>
          <w:rFonts w:eastAsia="Times New Roman" w:cs="Calibri"/>
          <w:color w:val="000000"/>
          <w14:ligatures w14:val="none"/>
        </w:rPr>
        <w:t xml:space="preserve">Levisohn, Reuben, Jay Moreland, and K. H. </w:t>
      </w:r>
      <w:proofErr w:type="spellStart"/>
      <w:r w:rsidR="00E838A7" w:rsidRPr="00E838A7">
        <w:rPr>
          <w:rFonts w:eastAsia="Times New Roman" w:cs="Calibri"/>
          <w:color w:val="000000"/>
          <w14:ligatures w14:val="none"/>
        </w:rPr>
        <w:t>Nealson</w:t>
      </w:r>
      <w:proofErr w:type="spellEnd"/>
      <w:r w:rsidR="00E838A7" w:rsidRPr="00E838A7">
        <w:rPr>
          <w:rFonts w:eastAsia="Times New Roman" w:cs="Calibri"/>
          <w:color w:val="000000"/>
          <w14:ligatures w14:val="none"/>
        </w:rPr>
        <w:t>. "Isolation and characterization of a generalized transducing phage for the marine luminous bacterium Vibrio fischeri MJ-1." </w:t>
      </w:r>
      <w:r w:rsidR="00E838A7" w:rsidRPr="00E838A7">
        <w:rPr>
          <w:rFonts w:eastAsia="Times New Roman" w:cs="Calibri"/>
          <w:i/>
          <w:iCs/>
          <w:color w:val="000000"/>
          <w14:ligatures w14:val="none"/>
        </w:rPr>
        <w:t>Journal of general microbiology</w:t>
      </w:r>
      <w:r w:rsidR="00E838A7" w:rsidRPr="00E838A7">
        <w:rPr>
          <w:rFonts w:eastAsia="Times New Roman" w:cs="Calibri"/>
          <w:color w:val="000000"/>
          <w14:ligatures w14:val="none"/>
        </w:rPr>
        <w:t> 133.6 (1987): 1577-1582.</w:t>
      </w:r>
    </w:p>
    <w:p w14:paraId="5E53ED37" w14:textId="7A69823A" w:rsidR="00D7283A" w:rsidRDefault="00D7283A" w:rsidP="00D7283A">
      <w:pPr>
        <w:spacing w:after="0" w:line="240" w:lineRule="auto"/>
        <w:rPr>
          <w:rFonts w:eastAsia="Times New Roman" w:cs="Calibri"/>
          <w:color w:val="000000"/>
          <w14:ligatures w14:val="none"/>
        </w:rPr>
      </w:pPr>
    </w:p>
    <w:p w14:paraId="309CAAC2" w14:textId="679451C4" w:rsidR="00D7283A" w:rsidRPr="00D7283A" w:rsidRDefault="004D22A0" w:rsidP="00D7283A">
      <w:pPr>
        <w:spacing w:after="0" w:line="240" w:lineRule="auto"/>
        <w:rPr>
          <w:rFonts w:eastAsia="Times New Roman" w:cs="Calibri"/>
          <w:color w:val="000000"/>
          <w14:ligatures w14:val="none"/>
        </w:rPr>
      </w:pPr>
      <w:r>
        <w:rPr>
          <w:rFonts w:eastAsia="Times New Roman" w:cs="Calibri"/>
          <w:color w:val="000000"/>
          <w14:ligatures w14:val="none"/>
        </w:rPr>
        <w:t>8</w:t>
      </w:r>
      <w:r w:rsidR="00D7283A">
        <w:rPr>
          <w:rFonts w:eastAsia="Times New Roman" w:cs="Calibri"/>
          <w:color w:val="000000"/>
          <w14:ligatures w14:val="none"/>
        </w:rPr>
        <w:t xml:space="preserve">. </w:t>
      </w:r>
      <w:r w:rsidR="00E838A7" w:rsidRPr="00E838A7">
        <w:rPr>
          <w:rFonts w:eastAsia="Times New Roman" w:cs="Calibri"/>
          <w:color w:val="000000"/>
          <w14:ligatures w14:val="none"/>
        </w:rPr>
        <w:t>Zhang, Hui, et al. "Polar flagella rotation in Vibrio parahaemolyticus confers resistance to bacteriophage infection." </w:t>
      </w:r>
      <w:r w:rsidR="00E838A7" w:rsidRPr="00E838A7">
        <w:rPr>
          <w:rFonts w:eastAsia="Times New Roman" w:cs="Calibri"/>
          <w:i/>
          <w:iCs/>
          <w:color w:val="000000"/>
          <w14:ligatures w14:val="none"/>
        </w:rPr>
        <w:t>Scientific Reports</w:t>
      </w:r>
      <w:r w:rsidR="00E838A7" w:rsidRPr="00E838A7">
        <w:rPr>
          <w:rFonts w:eastAsia="Times New Roman" w:cs="Calibri"/>
          <w:color w:val="000000"/>
          <w14:ligatures w14:val="none"/>
        </w:rPr>
        <w:t> 6.1 (2016): 26147.</w:t>
      </w:r>
    </w:p>
    <w:p w14:paraId="0D273A8F" w14:textId="63763895" w:rsidR="00D7283A" w:rsidRDefault="00D7283A" w:rsidP="00D7283A">
      <w:pPr>
        <w:spacing w:after="0" w:line="240" w:lineRule="auto"/>
        <w:rPr>
          <w:rFonts w:eastAsia="Times New Roman" w:cs="Calibri"/>
          <w:color w:val="000000"/>
          <w14:ligatures w14:val="none"/>
        </w:rPr>
      </w:pPr>
    </w:p>
    <w:p w14:paraId="7392C4D6" w14:textId="22CFA540" w:rsidR="00D7283A" w:rsidRPr="00D7283A" w:rsidRDefault="004D22A0" w:rsidP="00D7283A">
      <w:pPr>
        <w:spacing w:after="0" w:line="240" w:lineRule="auto"/>
        <w:rPr>
          <w:rFonts w:eastAsia="Times New Roman" w:cs="Calibri"/>
          <w:color w:val="000000"/>
          <w14:ligatures w14:val="none"/>
        </w:rPr>
      </w:pPr>
      <w:r>
        <w:rPr>
          <w:rFonts w:eastAsia="Times New Roman" w:cs="Calibri"/>
          <w:color w:val="000000"/>
          <w14:ligatures w14:val="none"/>
        </w:rPr>
        <w:t>9</w:t>
      </w:r>
      <w:r w:rsidR="00D7283A">
        <w:rPr>
          <w:rFonts w:eastAsia="Times New Roman" w:cs="Calibri"/>
          <w:color w:val="000000"/>
          <w14:ligatures w14:val="none"/>
        </w:rPr>
        <w:t xml:space="preserve">. </w:t>
      </w:r>
      <w:proofErr w:type="spellStart"/>
      <w:r w:rsidR="00E838A7" w:rsidRPr="00E838A7">
        <w:rPr>
          <w:rFonts w:eastAsia="Times New Roman" w:cs="Calibri"/>
          <w:color w:val="000000"/>
          <w14:ligatures w14:val="none"/>
        </w:rPr>
        <w:t>Koonjan</w:t>
      </w:r>
      <w:proofErr w:type="spellEnd"/>
      <w:r w:rsidR="00E838A7" w:rsidRPr="00E838A7">
        <w:rPr>
          <w:rFonts w:eastAsia="Times New Roman" w:cs="Calibri"/>
          <w:color w:val="000000"/>
          <w14:ligatures w14:val="none"/>
        </w:rPr>
        <w:t xml:space="preserve">, </w:t>
      </w:r>
      <w:proofErr w:type="spellStart"/>
      <w:r w:rsidR="00E838A7" w:rsidRPr="00E838A7">
        <w:rPr>
          <w:rFonts w:eastAsia="Times New Roman" w:cs="Calibri"/>
          <w:color w:val="000000"/>
          <w14:ligatures w14:val="none"/>
        </w:rPr>
        <w:t>Shazeeda</w:t>
      </w:r>
      <w:proofErr w:type="spellEnd"/>
      <w:r w:rsidR="00E838A7" w:rsidRPr="00E838A7">
        <w:rPr>
          <w:rFonts w:eastAsia="Times New Roman" w:cs="Calibri"/>
          <w:color w:val="000000"/>
          <w14:ligatures w14:val="none"/>
        </w:rPr>
        <w:t xml:space="preserve">, Callum J. Cooper, and Anders S. Nilsson. "Complete genome sequence of vb_ecop_su7, a </w:t>
      </w:r>
      <w:proofErr w:type="spellStart"/>
      <w:r w:rsidR="00E838A7" w:rsidRPr="00E838A7">
        <w:rPr>
          <w:rFonts w:eastAsia="Times New Roman" w:cs="Calibri"/>
          <w:color w:val="000000"/>
          <w14:ligatures w14:val="none"/>
        </w:rPr>
        <w:t>podoviridae</w:t>
      </w:r>
      <w:proofErr w:type="spellEnd"/>
      <w:r w:rsidR="00E838A7" w:rsidRPr="00E838A7">
        <w:rPr>
          <w:rFonts w:eastAsia="Times New Roman" w:cs="Calibri"/>
          <w:color w:val="000000"/>
          <w14:ligatures w14:val="none"/>
        </w:rPr>
        <w:t xml:space="preserve"> coliphage with the rare c3 morphotype." </w:t>
      </w:r>
      <w:r w:rsidR="00E838A7" w:rsidRPr="00E838A7">
        <w:rPr>
          <w:rFonts w:eastAsia="Times New Roman" w:cs="Calibri"/>
          <w:i/>
          <w:iCs/>
          <w:color w:val="000000"/>
          <w14:ligatures w14:val="none"/>
        </w:rPr>
        <w:t>Microorganisms</w:t>
      </w:r>
      <w:r w:rsidR="00E838A7" w:rsidRPr="00E838A7">
        <w:rPr>
          <w:rFonts w:eastAsia="Times New Roman" w:cs="Calibri"/>
          <w:color w:val="000000"/>
          <w14:ligatures w14:val="none"/>
        </w:rPr>
        <w:t> 9.8 (2021): 1576.</w:t>
      </w:r>
    </w:p>
    <w:p w14:paraId="53696167" w14:textId="30D71ED9" w:rsidR="00D7283A" w:rsidRDefault="00D7283A" w:rsidP="00D7283A">
      <w:pPr>
        <w:spacing w:after="0" w:line="240" w:lineRule="auto"/>
        <w:rPr>
          <w:rFonts w:eastAsia="Times New Roman" w:cs="Calibri"/>
          <w:color w:val="000000"/>
          <w14:ligatures w14:val="none"/>
        </w:rPr>
      </w:pPr>
    </w:p>
    <w:p w14:paraId="70019A24" w14:textId="0221FD31"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0</w:t>
      </w:r>
      <w:r>
        <w:rPr>
          <w:rFonts w:eastAsia="Times New Roman" w:cs="Calibri"/>
          <w:color w:val="000000"/>
          <w14:ligatures w14:val="none"/>
        </w:rPr>
        <w:t xml:space="preserve">. </w:t>
      </w:r>
      <w:r w:rsidR="00E838A7" w:rsidRPr="00E838A7">
        <w:rPr>
          <w:rFonts w:eastAsia="Times New Roman" w:cs="Calibri"/>
          <w:color w:val="000000"/>
          <w14:ligatures w14:val="none"/>
        </w:rPr>
        <w:t>Yuanyuan, Niu, et al. "Isolation and characterization of two homolog phages infecting Pseudomonas aeruginosa." </w:t>
      </w:r>
      <w:r w:rsidR="00E838A7" w:rsidRPr="00E838A7">
        <w:rPr>
          <w:rFonts w:eastAsia="Times New Roman" w:cs="Calibri"/>
          <w:i/>
          <w:iCs/>
          <w:color w:val="000000"/>
          <w14:ligatures w14:val="none"/>
        </w:rPr>
        <w:t>Frontiers in Microbiology</w:t>
      </w:r>
      <w:r w:rsidR="00E838A7" w:rsidRPr="00E838A7">
        <w:rPr>
          <w:rFonts w:eastAsia="Times New Roman" w:cs="Calibri"/>
          <w:color w:val="000000"/>
          <w14:ligatures w14:val="none"/>
        </w:rPr>
        <w:t> 13 (2022): 946251.</w:t>
      </w:r>
    </w:p>
    <w:p w14:paraId="1ED19B60" w14:textId="7B8162EE" w:rsidR="00D7283A" w:rsidRDefault="00D7283A" w:rsidP="00D7283A">
      <w:pPr>
        <w:spacing w:after="0" w:line="240" w:lineRule="auto"/>
        <w:rPr>
          <w:rFonts w:eastAsia="Times New Roman" w:cs="Calibri"/>
          <w:color w:val="000000"/>
          <w14:ligatures w14:val="none"/>
        </w:rPr>
      </w:pPr>
    </w:p>
    <w:p w14:paraId="7A58B097" w14:textId="70BDFD72" w:rsidR="00D7283A" w:rsidRP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1</w:t>
      </w:r>
      <w:r>
        <w:rPr>
          <w:rFonts w:eastAsia="Times New Roman" w:cs="Calibri"/>
          <w:color w:val="000000"/>
          <w14:ligatures w14:val="none"/>
        </w:rPr>
        <w:t xml:space="preserve">. </w:t>
      </w:r>
      <w:r w:rsidR="00E838A7" w:rsidRPr="00E838A7">
        <w:rPr>
          <w:rFonts w:eastAsia="Times New Roman" w:cs="Calibri"/>
          <w:color w:val="000000"/>
          <w14:ligatures w14:val="none"/>
        </w:rPr>
        <w:t>Xu, Jing, et al. "Molecular characteristics of novel phage vB_ShiP-A7 infecting multidrug-resistant Shigella flexneri and Escherichia coli, and its bactericidal effect in vitro and in vivo." </w:t>
      </w:r>
      <w:r w:rsidR="00E838A7" w:rsidRPr="00E838A7">
        <w:rPr>
          <w:rFonts w:eastAsia="Times New Roman" w:cs="Calibri"/>
          <w:i/>
          <w:iCs/>
          <w:color w:val="000000"/>
          <w14:ligatures w14:val="none"/>
        </w:rPr>
        <w:t>Frontiers in Microbiology</w:t>
      </w:r>
      <w:r w:rsidR="00E838A7" w:rsidRPr="00E838A7">
        <w:rPr>
          <w:rFonts w:eastAsia="Times New Roman" w:cs="Calibri"/>
          <w:color w:val="000000"/>
          <w14:ligatures w14:val="none"/>
        </w:rPr>
        <w:t> 12 (2021): 698962.</w:t>
      </w:r>
    </w:p>
    <w:p w14:paraId="51DF3F2E" w14:textId="73A1D08D" w:rsidR="00D7283A" w:rsidRDefault="00D7283A" w:rsidP="00D7283A">
      <w:pPr>
        <w:spacing w:after="0" w:line="240" w:lineRule="auto"/>
        <w:rPr>
          <w:rFonts w:eastAsia="Times New Roman" w:cs="Calibri"/>
          <w:color w:val="000000"/>
          <w14:ligatures w14:val="none"/>
        </w:rPr>
      </w:pPr>
    </w:p>
    <w:p w14:paraId="4E453AB7" w14:textId="7658D9D6" w:rsidR="00D7283A" w:rsidRDefault="00D7283A"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2</w:t>
      </w:r>
      <w:r>
        <w:rPr>
          <w:rFonts w:eastAsia="Times New Roman" w:cs="Calibri"/>
          <w:color w:val="000000"/>
          <w14:ligatures w14:val="none"/>
        </w:rPr>
        <w:t xml:space="preserve">. </w:t>
      </w:r>
      <w:proofErr w:type="spellStart"/>
      <w:r w:rsidR="000D324E" w:rsidRPr="000D324E">
        <w:rPr>
          <w:rFonts w:eastAsia="Times New Roman" w:cs="Calibri"/>
          <w:color w:val="000000"/>
          <w14:ligatures w14:val="none"/>
        </w:rPr>
        <w:t>Sillankorva</w:t>
      </w:r>
      <w:proofErr w:type="spellEnd"/>
      <w:r w:rsidR="000D324E" w:rsidRPr="000D324E">
        <w:rPr>
          <w:rFonts w:eastAsia="Times New Roman" w:cs="Calibri"/>
          <w:color w:val="000000"/>
          <w14:ligatures w14:val="none"/>
        </w:rPr>
        <w:t>, Sanna, Peter Neubauer, and Joana Azeredo. "Isolation and characterization of a T7-like lytic phage for Pseudomonas fluorescens." </w:t>
      </w:r>
      <w:r w:rsidR="000D324E" w:rsidRPr="000D324E">
        <w:rPr>
          <w:rFonts w:eastAsia="Times New Roman" w:cs="Calibri"/>
          <w:i/>
          <w:iCs/>
          <w:color w:val="000000"/>
          <w14:ligatures w14:val="none"/>
        </w:rPr>
        <w:t>BMC biotechnology</w:t>
      </w:r>
      <w:r w:rsidR="000D324E" w:rsidRPr="000D324E">
        <w:rPr>
          <w:rFonts w:eastAsia="Times New Roman" w:cs="Calibri"/>
          <w:color w:val="000000"/>
          <w14:ligatures w14:val="none"/>
        </w:rPr>
        <w:t> 8.1 (2008): 80.</w:t>
      </w:r>
    </w:p>
    <w:p w14:paraId="38D2F9CB" w14:textId="77777777" w:rsidR="001D799D" w:rsidRDefault="001D799D" w:rsidP="00D7283A">
      <w:pPr>
        <w:spacing w:after="0" w:line="240" w:lineRule="auto"/>
        <w:rPr>
          <w:rFonts w:eastAsia="Times New Roman" w:cs="Calibri"/>
          <w:color w:val="000000"/>
          <w14:ligatures w14:val="none"/>
        </w:rPr>
      </w:pPr>
    </w:p>
    <w:p w14:paraId="0DC49075" w14:textId="125BEE49" w:rsidR="001D799D" w:rsidRDefault="001D799D"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3</w:t>
      </w:r>
      <w:r>
        <w:rPr>
          <w:rFonts w:eastAsia="Times New Roman" w:cs="Calibri"/>
          <w:color w:val="000000"/>
          <w14:ligatures w14:val="none"/>
        </w:rPr>
        <w:t xml:space="preserve">. </w:t>
      </w:r>
      <w:r w:rsidRPr="001D799D">
        <w:rPr>
          <w:rFonts w:eastAsia="Times New Roman" w:cs="Calibri"/>
          <w:color w:val="000000"/>
          <w14:ligatures w14:val="none"/>
        </w:rPr>
        <w:t>Moldovan, R., E. Chapman-McQuiston, and X. L. Wu. "On kinetics of phage adsorption." </w:t>
      </w:r>
      <w:r w:rsidRPr="001D799D">
        <w:rPr>
          <w:rFonts w:eastAsia="Times New Roman" w:cs="Calibri"/>
          <w:i/>
          <w:iCs/>
          <w:color w:val="000000"/>
          <w14:ligatures w14:val="none"/>
        </w:rPr>
        <w:t>Biophysical journal</w:t>
      </w:r>
      <w:r w:rsidRPr="001D799D">
        <w:rPr>
          <w:rFonts w:eastAsia="Times New Roman" w:cs="Calibri"/>
          <w:color w:val="000000"/>
          <w14:ligatures w14:val="none"/>
        </w:rPr>
        <w:t> 93.1 (2007): 303-315.</w:t>
      </w:r>
    </w:p>
    <w:p w14:paraId="3D6752AF" w14:textId="77777777" w:rsidR="001D799D" w:rsidRDefault="001D799D" w:rsidP="00D7283A">
      <w:pPr>
        <w:spacing w:after="0" w:line="240" w:lineRule="auto"/>
        <w:rPr>
          <w:rFonts w:eastAsia="Times New Roman" w:cs="Calibri"/>
          <w:color w:val="000000"/>
          <w14:ligatures w14:val="none"/>
        </w:rPr>
      </w:pPr>
    </w:p>
    <w:p w14:paraId="701AA511" w14:textId="53DB8F66" w:rsidR="001D799D" w:rsidRDefault="001D799D"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4</w:t>
      </w:r>
      <w:r>
        <w:rPr>
          <w:rFonts w:eastAsia="Times New Roman" w:cs="Calibri"/>
          <w:color w:val="000000"/>
          <w14:ligatures w14:val="none"/>
        </w:rPr>
        <w:t xml:space="preserve">. </w:t>
      </w:r>
      <w:r w:rsidR="00757A85" w:rsidRPr="00757A85">
        <w:rPr>
          <w:rFonts w:eastAsia="Times New Roman" w:cs="Calibri"/>
          <w:color w:val="000000"/>
          <w14:ligatures w14:val="none"/>
        </w:rPr>
        <w:t>Shao, Yongping, and Ing-Nang Wang. "Bacteriophage adsorption rate and optimal lysis time." </w:t>
      </w:r>
      <w:r w:rsidR="00757A85" w:rsidRPr="00757A85">
        <w:rPr>
          <w:rFonts w:eastAsia="Times New Roman" w:cs="Calibri"/>
          <w:i/>
          <w:iCs/>
          <w:color w:val="000000"/>
          <w14:ligatures w14:val="none"/>
        </w:rPr>
        <w:t>Genetics</w:t>
      </w:r>
      <w:r w:rsidR="00757A85" w:rsidRPr="00757A85">
        <w:rPr>
          <w:rFonts w:eastAsia="Times New Roman" w:cs="Calibri"/>
          <w:color w:val="000000"/>
          <w14:ligatures w14:val="none"/>
        </w:rPr>
        <w:t> 180.1 (2008): 471-482.</w:t>
      </w:r>
    </w:p>
    <w:p w14:paraId="1B469BB4" w14:textId="77777777" w:rsidR="00757A85" w:rsidRDefault="00757A85" w:rsidP="00D7283A">
      <w:pPr>
        <w:spacing w:after="0" w:line="240" w:lineRule="auto"/>
        <w:rPr>
          <w:rFonts w:eastAsia="Times New Roman" w:cs="Calibri"/>
          <w:color w:val="000000"/>
          <w14:ligatures w14:val="none"/>
        </w:rPr>
      </w:pPr>
    </w:p>
    <w:p w14:paraId="0DD2D03E" w14:textId="41950D6F" w:rsidR="00757A85" w:rsidRDefault="00757A85"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5</w:t>
      </w:r>
      <w:r>
        <w:rPr>
          <w:rFonts w:eastAsia="Times New Roman" w:cs="Calibri"/>
          <w:color w:val="000000"/>
          <w14:ligatures w14:val="none"/>
        </w:rPr>
        <w:t xml:space="preserve">. </w:t>
      </w:r>
      <w:r w:rsidRPr="00757A85">
        <w:rPr>
          <w:rFonts w:eastAsia="Times New Roman" w:cs="Calibri"/>
          <w:color w:val="000000"/>
          <w14:ligatures w14:val="none"/>
        </w:rPr>
        <w:t>Suttle, Curtis A., and Amy M. Chan. "Marine cyanophages infecting oceanic and coastal strains of Synechococcus: abundance, morphology, cross-infectivity and growth characteristics." </w:t>
      </w:r>
      <w:r w:rsidRPr="00757A85">
        <w:rPr>
          <w:rFonts w:eastAsia="Times New Roman" w:cs="Calibri"/>
          <w:i/>
          <w:iCs/>
          <w:color w:val="000000"/>
          <w14:ligatures w14:val="none"/>
        </w:rPr>
        <w:t>Marine Ecology Progress Series</w:t>
      </w:r>
      <w:r w:rsidRPr="00757A85">
        <w:rPr>
          <w:rFonts w:eastAsia="Times New Roman" w:cs="Calibri"/>
          <w:color w:val="000000"/>
          <w14:ligatures w14:val="none"/>
        </w:rPr>
        <w:t> 92 (1993): 99-109.</w:t>
      </w:r>
    </w:p>
    <w:p w14:paraId="1423CEBD" w14:textId="77777777" w:rsidR="002C58A1" w:rsidRDefault="002C58A1" w:rsidP="00D7283A">
      <w:pPr>
        <w:spacing w:after="0" w:line="240" w:lineRule="auto"/>
        <w:rPr>
          <w:rFonts w:eastAsia="Times New Roman" w:cs="Calibri"/>
          <w:color w:val="000000"/>
          <w14:ligatures w14:val="none"/>
        </w:rPr>
      </w:pPr>
    </w:p>
    <w:p w14:paraId="0363019F" w14:textId="10756212" w:rsidR="002C58A1" w:rsidRDefault="002C58A1" w:rsidP="00D7283A">
      <w:pPr>
        <w:spacing w:after="0" w:line="240" w:lineRule="auto"/>
        <w:rPr>
          <w:rFonts w:eastAsia="Times New Roman" w:cs="Calibri"/>
          <w:color w:val="000000"/>
          <w14:ligatures w14:val="none"/>
        </w:rPr>
      </w:pPr>
      <w:r>
        <w:rPr>
          <w:rFonts w:eastAsia="Times New Roman" w:cs="Calibri"/>
          <w:color w:val="000000"/>
          <w14:ligatures w14:val="none"/>
        </w:rPr>
        <w:t>1</w:t>
      </w:r>
      <w:r w:rsidR="004D22A0">
        <w:rPr>
          <w:rFonts w:eastAsia="Times New Roman" w:cs="Calibri"/>
          <w:color w:val="000000"/>
          <w14:ligatures w14:val="none"/>
        </w:rPr>
        <w:t>6</w:t>
      </w:r>
      <w:r>
        <w:rPr>
          <w:rFonts w:eastAsia="Times New Roman" w:cs="Calibri"/>
          <w:color w:val="000000"/>
          <w14:ligatures w14:val="none"/>
        </w:rPr>
        <w:t xml:space="preserve">. </w:t>
      </w:r>
      <w:r w:rsidRPr="002C58A1">
        <w:rPr>
          <w:rFonts w:eastAsia="Times New Roman" w:cs="Calibri"/>
          <w:color w:val="000000"/>
          <w14:ligatures w14:val="none"/>
        </w:rPr>
        <w:t xml:space="preserve">Nachar, </w:t>
      </w:r>
      <w:bookmarkStart w:id="0" w:name="_Hlk212641159"/>
      <w:r w:rsidRPr="002C58A1">
        <w:rPr>
          <w:rFonts w:eastAsia="Times New Roman" w:cs="Calibri"/>
          <w:color w:val="000000"/>
          <w14:ligatures w14:val="none"/>
        </w:rPr>
        <w:t>Nadim</w:t>
      </w:r>
      <w:bookmarkEnd w:id="0"/>
      <w:r w:rsidRPr="002C58A1">
        <w:rPr>
          <w:rFonts w:eastAsia="Times New Roman" w:cs="Calibri"/>
          <w:color w:val="000000"/>
          <w14:ligatures w14:val="none"/>
        </w:rPr>
        <w:t>. "The Mann–Whitney U: A test for assessing whether two independent samples come from the same distribution." Tutorials in Quantitative Methods for Psychology 4.1 (2008): 13–20.</w:t>
      </w:r>
    </w:p>
    <w:p w14:paraId="0BE199DD" w14:textId="77777777" w:rsidR="00F57D57" w:rsidRDefault="00F57D57" w:rsidP="00D7283A">
      <w:pPr>
        <w:spacing w:after="0" w:line="240" w:lineRule="auto"/>
        <w:rPr>
          <w:rFonts w:eastAsia="Times New Roman" w:cs="Calibri"/>
          <w:color w:val="000000"/>
          <w14:ligatures w14:val="none"/>
        </w:rPr>
      </w:pPr>
    </w:p>
    <w:p w14:paraId="5138B505" w14:textId="5EDCDEBE" w:rsidR="00F57D57" w:rsidRPr="00D7283A" w:rsidRDefault="004D22A0" w:rsidP="00D7283A">
      <w:pPr>
        <w:spacing w:after="0" w:line="240" w:lineRule="auto"/>
        <w:rPr>
          <w:rFonts w:eastAsia="Times New Roman" w:cs="Calibri"/>
          <w:color w:val="000000"/>
          <w14:ligatures w14:val="none"/>
        </w:rPr>
      </w:pPr>
      <w:r>
        <w:rPr>
          <w:rFonts w:eastAsia="Times New Roman" w:cs="Calibri"/>
          <w:color w:val="000000"/>
          <w14:ligatures w14:val="none"/>
        </w:rPr>
        <w:t>17</w:t>
      </w:r>
      <w:r w:rsidR="00F57D57">
        <w:rPr>
          <w:rFonts w:eastAsia="Times New Roman" w:cs="Calibri"/>
          <w:color w:val="000000"/>
          <w14:ligatures w14:val="none"/>
        </w:rPr>
        <w:t xml:space="preserve">. </w:t>
      </w:r>
      <w:bookmarkStart w:id="1" w:name="_Hlk212645843"/>
      <w:proofErr w:type="spellStart"/>
      <w:r w:rsidR="00F57D57" w:rsidRPr="00F57D57">
        <w:rPr>
          <w:rFonts w:eastAsia="Times New Roman" w:cs="Calibri"/>
          <w:color w:val="000000"/>
          <w14:ligatures w14:val="none"/>
        </w:rPr>
        <w:t>Stergachis</w:t>
      </w:r>
      <w:bookmarkEnd w:id="1"/>
      <w:proofErr w:type="spellEnd"/>
      <w:r w:rsidR="00F57D57" w:rsidRPr="00F57D57">
        <w:rPr>
          <w:rFonts w:eastAsia="Times New Roman" w:cs="Calibri"/>
          <w:color w:val="000000"/>
          <w14:ligatures w14:val="none"/>
        </w:rPr>
        <w:t>, Andy, Rebecca J. K. Bartlein, Alexander Dodoo, Jude Nwokike, and S. Patrick Kachur. "A situational analysis of pharmacovigilance plans in the Global Fund Malaria and U.S. President's Malaria Initiative proposals." Malaria Journal 9.1 (2010): 148.</w:t>
      </w:r>
    </w:p>
    <w:p w14:paraId="23BAF4E3" w14:textId="7B395A0C" w:rsidR="00D7283A" w:rsidRPr="00D7283A" w:rsidRDefault="00D7283A" w:rsidP="00D7283A">
      <w:pPr>
        <w:spacing w:after="0" w:line="240" w:lineRule="auto"/>
        <w:rPr>
          <w:rFonts w:eastAsia="Times New Roman" w:cs="Calibri"/>
          <w:color w:val="000000"/>
          <w14:ligatures w14:val="none"/>
        </w:rPr>
      </w:pPr>
    </w:p>
    <w:p w14:paraId="2E9FF51F" w14:textId="33893D8C" w:rsidR="0036753A" w:rsidRPr="004C36D5" w:rsidRDefault="0036753A" w:rsidP="006C10A4">
      <w:pPr>
        <w:pStyle w:val="Heading1"/>
        <w:spacing w:line="360" w:lineRule="auto"/>
        <w:rPr>
          <w:rFonts w:ascii="Calibri" w:hAnsi="Calibri" w:cs="Calibri"/>
          <w:color w:val="auto"/>
        </w:rPr>
      </w:pPr>
      <w:r w:rsidRPr="004C36D5">
        <w:rPr>
          <w:rFonts w:ascii="Calibri" w:hAnsi="Calibri" w:cs="Calibri"/>
          <w:color w:val="auto"/>
        </w:rPr>
        <w:lastRenderedPageBreak/>
        <w:t>Figures</w:t>
      </w:r>
    </w:p>
    <w:p w14:paraId="498B68CC" w14:textId="2D41F54A" w:rsidR="0036753A" w:rsidRDefault="002C58A1" w:rsidP="006C10A4">
      <w:pPr>
        <w:spacing w:line="360" w:lineRule="auto"/>
      </w:pPr>
      <w:r>
        <w:rPr>
          <w:noProof/>
        </w:rPr>
        <w:drawing>
          <wp:inline distT="0" distB="0" distL="0" distR="0" wp14:anchorId="566BECC7" wp14:editId="58582ACA">
            <wp:extent cx="5943600" cy="2917825"/>
            <wp:effectExtent l="0" t="0" r="0" b="0"/>
            <wp:docPr id="1378973595" name="Picture 2"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3595" name="Picture 2" descr="A collage of graphs and diagram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14:paraId="0DB39D0D" w14:textId="279701E3" w:rsidR="0036753A" w:rsidRPr="00FD0412" w:rsidRDefault="0036753A" w:rsidP="006C10A4">
      <w:pPr>
        <w:spacing w:line="360" w:lineRule="auto"/>
        <w:rPr>
          <w:i/>
          <w:iCs/>
        </w:rPr>
      </w:pPr>
      <w:r w:rsidRPr="00FD0412">
        <w:rPr>
          <w:i/>
          <w:iCs/>
        </w:rPr>
        <w:t>Figure 1.</w:t>
      </w:r>
      <w:r>
        <w:rPr>
          <w:i/>
          <w:iCs/>
        </w:rPr>
        <w:t xml:space="preserve"> </w:t>
      </w:r>
      <w:r w:rsidR="006C10A4" w:rsidRPr="006C10A4">
        <w:rPr>
          <w:i/>
          <w:iCs/>
        </w:rPr>
        <w:t xml:space="preserve">Adsorption rate and phage tail statistics. </w:t>
      </w:r>
      <w:r w:rsidRPr="00FD0412">
        <w:rPr>
          <w:i/>
          <w:iCs/>
        </w:rPr>
        <w:t xml:space="preserve"> </w:t>
      </w:r>
    </w:p>
    <w:sectPr w:rsidR="0036753A" w:rsidRPr="00FD0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3A"/>
    <w:rsid w:val="0002565A"/>
    <w:rsid w:val="000D324E"/>
    <w:rsid w:val="00152EE0"/>
    <w:rsid w:val="00161651"/>
    <w:rsid w:val="00197FA7"/>
    <w:rsid w:val="001D799D"/>
    <w:rsid w:val="001F5817"/>
    <w:rsid w:val="00253F65"/>
    <w:rsid w:val="002C58A1"/>
    <w:rsid w:val="002D5F96"/>
    <w:rsid w:val="00347F63"/>
    <w:rsid w:val="0036753A"/>
    <w:rsid w:val="003B698E"/>
    <w:rsid w:val="003F0881"/>
    <w:rsid w:val="00461DB5"/>
    <w:rsid w:val="0047496F"/>
    <w:rsid w:val="004C36D5"/>
    <w:rsid w:val="004D22A0"/>
    <w:rsid w:val="00503F10"/>
    <w:rsid w:val="00527D99"/>
    <w:rsid w:val="005B3819"/>
    <w:rsid w:val="00655BB0"/>
    <w:rsid w:val="00660EBE"/>
    <w:rsid w:val="00662CAE"/>
    <w:rsid w:val="006705D9"/>
    <w:rsid w:val="006C10A4"/>
    <w:rsid w:val="007373BC"/>
    <w:rsid w:val="00757A85"/>
    <w:rsid w:val="007C460D"/>
    <w:rsid w:val="007C7273"/>
    <w:rsid w:val="007F39CE"/>
    <w:rsid w:val="00823D4A"/>
    <w:rsid w:val="008333EF"/>
    <w:rsid w:val="00863BD7"/>
    <w:rsid w:val="008C2A83"/>
    <w:rsid w:val="008E55E4"/>
    <w:rsid w:val="008F13DF"/>
    <w:rsid w:val="00986CC1"/>
    <w:rsid w:val="009C2241"/>
    <w:rsid w:val="009C3E1F"/>
    <w:rsid w:val="009F23B9"/>
    <w:rsid w:val="00A01422"/>
    <w:rsid w:val="00A91798"/>
    <w:rsid w:val="00A92DC7"/>
    <w:rsid w:val="00AC2B5E"/>
    <w:rsid w:val="00AE3212"/>
    <w:rsid w:val="00B23AD1"/>
    <w:rsid w:val="00B72E21"/>
    <w:rsid w:val="00BA20EF"/>
    <w:rsid w:val="00BA5318"/>
    <w:rsid w:val="00BD0014"/>
    <w:rsid w:val="00BD08FF"/>
    <w:rsid w:val="00BE7D5B"/>
    <w:rsid w:val="00C2426A"/>
    <w:rsid w:val="00C545FA"/>
    <w:rsid w:val="00C63200"/>
    <w:rsid w:val="00C91206"/>
    <w:rsid w:val="00D2171A"/>
    <w:rsid w:val="00D7283A"/>
    <w:rsid w:val="00D84CC5"/>
    <w:rsid w:val="00D85789"/>
    <w:rsid w:val="00DB1FCD"/>
    <w:rsid w:val="00DF2A07"/>
    <w:rsid w:val="00DF6DF7"/>
    <w:rsid w:val="00E10DAE"/>
    <w:rsid w:val="00E207D7"/>
    <w:rsid w:val="00E402EB"/>
    <w:rsid w:val="00E725A2"/>
    <w:rsid w:val="00E838A7"/>
    <w:rsid w:val="00EE13A0"/>
    <w:rsid w:val="00EE66A0"/>
    <w:rsid w:val="00F23AAD"/>
    <w:rsid w:val="00F30814"/>
    <w:rsid w:val="00F3589C"/>
    <w:rsid w:val="00F43BCB"/>
    <w:rsid w:val="00F57D57"/>
    <w:rsid w:val="00FA4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F4D7B"/>
  <w15:chartTrackingRefBased/>
  <w15:docId w15:val="{1C7A95DB-2E52-4C8B-A6D2-5F411F29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53A"/>
    <w:pPr>
      <w:spacing w:after="200" w:line="276" w:lineRule="auto"/>
    </w:pPr>
    <w:rPr>
      <w:rFonts w:ascii="Calibri" w:eastAsiaTheme="minorEastAsia" w:hAnsi="Calibri"/>
      <w:kern w:val="0"/>
      <w:sz w:val="22"/>
      <w:szCs w:val="22"/>
    </w:rPr>
  </w:style>
  <w:style w:type="paragraph" w:styleId="Heading1">
    <w:name w:val="heading 1"/>
    <w:basedOn w:val="Normal"/>
    <w:next w:val="Normal"/>
    <w:link w:val="Heading1Char"/>
    <w:uiPriority w:val="9"/>
    <w:qFormat/>
    <w:rsid w:val="0036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3A"/>
    <w:rPr>
      <w:rFonts w:eastAsiaTheme="majorEastAsia" w:cstheme="majorBidi"/>
      <w:color w:val="272727" w:themeColor="text1" w:themeTint="D8"/>
    </w:rPr>
  </w:style>
  <w:style w:type="paragraph" w:styleId="Title">
    <w:name w:val="Title"/>
    <w:basedOn w:val="Normal"/>
    <w:next w:val="Normal"/>
    <w:link w:val="TitleChar"/>
    <w:uiPriority w:val="10"/>
    <w:qFormat/>
    <w:rsid w:val="0036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53A"/>
    <w:pPr>
      <w:spacing w:before="160"/>
      <w:jc w:val="center"/>
    </w:pPr>
    <w:rPr>
      <w:i/>
      <w:iCs/>
      <w:color w:val="404040" w:themeColor="text1" w:themeTint="BF"/>
    </w:rPr>
  </w:style>
  <w:style w:type="character" w:customStyle="1" w:styleId="QuoteChar">
    <w:name w:val="Quote Char"/>
    <w:basedOn w:val="DefaultParagraphFont"/>
    <w:link w:val="Quote"/>
    <w:uiPriority w:val="29"/>
    <w:rsid w:val="0036753A"/>
    <w:rPr>
      <w:i/>
      <w:iCs/>
      <w:color w:val="404040" w:themeColor="text1" w:themeTint="BF"/>
    </w:rPr>
  </w:style>
  <w:style w:type="paragraph" w:styleId="ListParagraph">
    <w:name w:val="List Paragraph"/>
    <w:basedOn w:val="Normal"/>
    <w:uiPriority w:val="34"/>
    <w:qFormat/>
    <w:rsid w:val="0036753A"/>
    <w:pPr>
      <w:ind w:left="720"/>
      <w:contextualSpacing/>
    </w:pPr>
  </w:style>
  <w:style w:type="character" w:styleId="IntenseEmphasis">
    <w:name w:val="Intense Emphasis"/>
    <w:basedOn w:val="DefaultParagraphFont"/>
    <w:uiPriority w:val="21"/>
    <w:qFormat/>
    <w:rsid w:val="0036753A"/>
    <w:rPr>
      <w:i/>
      <w:iCs/>
      <w:color w:val="0F4761" w:themeColor="accent1" w:themeShade="BF"/>
    </w:rPr>
  </w:style>
  <w:style w:type="paragraph" w:styleId="IntenseQuote">
    <w:name w:val="Intense Quote"/>
    <w:basedOn w:val="Normal"/>
    <w:next w:val="Normal"/>
    <w:link w:val="IntenseQuoteChar"/>
    <w:uiPriority w:val="30"/>
    <w:qFormat/>
    <w:rsid w:val="0036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53A"/>
    <w:rPr>
      <w:i/>
      <w:iCs/>
      <w:color w:val="0F4761" w:themeColor="accent1" w:themeShade="BF"/>
    </w:rPr>
  </w:style>
  <w:style w:type="character" w:styleId="IntenseReference">
    <w:name w:val="Intense Reference"/>
    <w:basedOn w:val="DefaultParagraphFont"/>
    <w:uiPriority w:val="32"/>
    <w:qFormat/>
    <w:rsid w:val="0036753A"/>
    <w:rPr>
      <w:b/>
      <w:bCs/>
      <w:smallCaps/>
      <w:color w:val="0F4761" w:themeColor="accent1" w:themeShade="BF"/>
      <w:spacing w:val="5"/>
    </w:rPr>
  </w:style>
  <w:style w:type="paragraph" w:styleId="Caption">
    <w:name w:val="caption"/>
    <w:basedOn w:val="Normal"/>
    <w:next w:val="Normal"/>
    <w:uiPriority w:val="35"/>
    <w:semiHidden/>
    <w:unhideWhenUsed/>
    <w:qFormat/>
    <w:rsid w:val="0036753A"/>
    <w:pPr>
      <w:spacing w:line="240" w:lineRule="auto"/>
    </w:pPr>
    <w:rPr>
      <w:bCs/>
      <w:i/>
      <w:color w:val="156082" w:themeColor="accent1"/>
      <w:sz w:val="20"/>
      <w:szCs w:val="18"/>
    </w:rPr>
  </w:style>
  <w:style w:type="table" w:styleId="LightList">
    <w:name w:val="Light List"/>
    <w:basedOn w:val="TableNormal"/>
    <w:uiPriority w:val="61"/>
    <w:rsid w:val="0036753A"/>
    <w:pPr>
      <w:spacing w:after="0" w:line="240" w:lineRule="auto"/>
    </w:pPr>
    <w:rPr>
      <w:rFonts w:eastAsiaTheme="minorEastAsia"/>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itleCentered">
    <w:name w:val="Title Centered"/>
    <w:basedOn w:val="Normal"/>
    <w:rsid w:val="0036753A"/>
    <w:rPr>
      <w:rFonts w:ascii="Calibri Light" w:hAnsi="Calibri Light"/>
      <w:b/>
      <w:sz w:val="48"/>
    </w:rPr>
  </w:style>
  <w:style w:type="paragraph" w:customStyle="1" w:styleId="AuthorLine">
    <w:name w:val="Author Line"/>
    <w:basedOn w:val="Normal"/>
    <w:rsid w:val="0036753A"/>
    <w:rPr>
      <w:sz w:val="24"/>
    </w:rPr>
  </w:style>
  <w:style w:type="paragraph" w:customStyle="1" w:styleId="Affiliation">
    <w:name w:val="Affiliation"/>
    <w:basedOn w:val="Normal"/>
    <w:rsid w:val="0036753A"/>
    <w:rPr>
      <w:sz w:val="20"/>
    </w:rPr>
  </w:style>
  <w:style w:type="paragraph" w:customStyle="1" w:styleId="Corresponding">
    <w:name w:val="Corresponding"/>
    <w:basedOn w:val="Normal"/>
    <w:rsid w:val="0036753A"/>
    <w:rPr>
      <w:i/>
      <w:sz w:val="20"/>
    </w:rPr>
  </w:style>
  <w:style w:type="paragraph" w:customStyle="1" w:styleId="AbstractHeading">
    <w:name w:val="Abstract Heading"/>
    <w:basedOn w:val="Normal"/>
    <w:rsid w:val="0036753A"/>
    <w:rPr>
      <w:b/>
      <w:sz w:val="24"/>
    </w:rPr>
  </w:style>
  <w:style w:type="paragraph" w:customStyle="1" w:styleId="KeywordsLine">
    <w:name w:val="Keywords Line"/>
    <w:basedOn w:val="Normal"/>
    <w:rsid w:val="0036753A"/>
    <w:rPr>
      <w:i/>
      <w:sz w:val="20"/>
    </w:rPr>
  </w:style>
  <w:style w:type="paragraph" w:customStyle="1" w:styleId="References">
    <w:name w:val="References"/>
    <w:basedOn w:val="Normal"/>
    <w:rsid w:val="0036753A"/>
    <w:pPr>
      <w:spacing w:after="0"/>
      <w:ind w:left="432" w:hanging="432"/>
    </w:pPr>
  </w:style>
  <w:style w:type="character" w:styleId="PlaceholderText">
    <w:name w:val="Placeholder Text"/>
    <w:basedOn w:val="DefaultParagraphFont"/>
    <w:uiPriority w:val="99"/>
    <w:semiHidden/>
    <w:rsid w:val="003B69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1384</TotalTime>
  <Pages>6</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Joiner</dc:creator>
  <cp:keywords/>
  <dc:description/>
  <cp:lastModifiedBy>Kevin Joiner</cp:lastModifiedBy>
  <cp:revision>41</cp:revision>
  <dcterms:created xsi:type="dcterms:W3CDTF">2025-09-30T00:50:00Z</dcterms:created>
  <dcterms:modified xsi:type="dcterms:W3CDTF">2025-10-30T01:32:00Z</dcterms:modified>
</cp:coreProperties>
</file>