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81B7" w14:textId="77777777" w:rsidR="00082723" w:rsidRPr="00082723" w:rsidRDefault="003419AC" w:rsidP="00082723">
      <w:pPr>
        <w:spacing w:line="240" w:lineRule="auto"/>
        <w:rPr>
          <w:rFonts w:asciiTheme="majorHAnsi" w:hAnsiTheme="majorHAnsi" w:cstheme="majorHAnsi"/>
        </w:rPr>
      </w:pPr>
      <w:r w:rsidRPr="00082723">
        <w:rPr>
          <w:rFonts w:asciiTheme="majorHAnsi" w:hAnsiTheme="majorHAnsi" w:cstheme="majorHAnsi"/>
          <w:b/>
          <w:bCs/>
        </w:rPr>
        <w:t>Environmental and Habitat Analysis.</w:t>
      </w:r>
      <w:r w:rsidRPr="00082723">
        <w:rPr>
          <w:rFonts w:asciiTheme="majorHAnsi" w:hAnsiTheme="majorHAnsi" w:cstheme="majorHAnsi"/>
        </w:rPr>
        <w:t xml:space="preserve"> </w:t>
      </w:r>
      <w:r w:rsidR="00082723" w:rsidRPr="00082723">
        <w:rPr>
          <w:rFonts w:asciiTheme="majorHAnsi" w:hAnsiTheme="majorHAnsi" w:cstheme="majorHAnsi"/>
        </w:rPr>
        <w:t xml:space="preserve">Our QGIS study of the </w:t>
      </w:r>
      <w:proofErr w:type="spellStart"/>
      <w:r w:rsidR="00082723" w:rsidRPr="00082723">
        <w:rPr>
          <w:rFonts w:asciiTheme="majorHAnsi" w:hAnsiTheme="majorHAnsi" w:cstheme="majorHAnsi"/>
        </w:rPr>
        <w:t>Malawan</w:t>
      </w:r>
      <w:proofErr w:type="spellEnd"/>
      <w:r w:rsidR="00082723" w:rsidRPr="00082723">
        <w:rPr>
          <w:rFonts w:asciiTheme="majorHAnsi" w:hAnsiTheme="majorHAnsi" w:cstheme="majorHAnsi"/>
        </w:rPr>
        <w:t xml:space="preserve"> north-east region shows that the area we analyzed contains a raster grid of 118 by 118 cells. The forest coverage figure shows the distribution of forested and non</w:t>
      </w:r>
      <w:r w:rsidR="00082723" w:rsidRPr="00082723">
        <w:rPr>
          <w:rFonts w:ascii="Cambria Math" w:hAnsi="Cambria Math" w:cs="Cambria Math"/>
        </w:rPr>
        <w:t>‑</w:t>
      </w:r>
      <w:r w:rsidR="00082723" w:rsidRPr="00082723">
        <w:rPr>
          <w:rFonts w:asciiTheme="majorHAnsi" w:hAnsiTheme="majorHAnsi" w:cstheme="majorHAnsi"/>
        </w:rPr>
        <w:t>forested cells. Out of the 13,924 total cells, about 1,926 were classified as forest, which means roughly 13.83% of the region is covered by forest or mangroves. From the estimated size of each cell, the total land area is about 11,741.75 square kilometers, while the forested area makes up around 1,624.15 square kilometers.</w:t>
      </w:r>
    </w:p>
    <w:p w14:paraId="60722C29" w14:textId="77777777" w:rsidR="00082723" w:rsidRPr="00082723" w:rsidRDefault="00082723" w:rsidP="00082723">
      <w:pPr>
        <w:spacing w:line="240" w:lineRule="auto"/>
        <w:rPr>
          <w:rFonts w:asciiTheme="majorHAnsi" w:hAnsiTheme="majorHAnsi" w:cstheme="majorHAnsi"/>
        </w:rPr>
      </w:pPr>
    </w:p>
    <w:p w14:paraId="7824CBB7" w14:textId="17150334" w:rsidR="003419AC" w:rsidRPr="00082723" w:rsidRDefault="00082723" w:rsidP="00082723">
      <w:pPr>
        <w:spacing w:line="240" w:lineRule="auto"/>
        <w:rPr>
          <w:rFonts w:asciiTheme="majorHAnsi" w:hAnsiTheme="majorHAnsi" w:cstheme="majorHAnsi"/>
        </w:rPr>
      </w:pPr>
      <w:r w:rsidRPr="00082723">
        <w:rPr>
          <w:rFonts w:asciiTheme="majorHAnsi" w:hAnsiTheme="majorHAnsi" w:cstheme="majorHAnsi"/>
        </w:rPr>
        <w:t>We also calculated the fractal dimension of the forest pattern. The fractal dimension describes how complex or detailed a natural pattern is [1]. For comparison, a straight line has a fractal dimension of 1, while a fully filled square has a fractal dimension of 2. Forests fall somewhere in between because their edges twist, break apart, and branch like natural networks. To compute this for the current study, we used the box</w:t>
      </w:r>
      <w:r w:rsidRPr="00082723">
        <w:rPr>
          <w:rFonts w:ascii="Cambria Math" w:hAnsi="Cambria Math" w:cs="Cambria Math"/>
        </w:rPr>
        <w:t>‑</w:t>
      </w:r>
      <w:r w:rsidRPr="00082723">
        <w:rPr>
          <w:rFonts w:asciiTheme="majorHAnsi" w:hAnsiTheme="majorHAnsi" w:cstheme="majorHAnsi"/>
        </w:rPr>
        <w:t>counting method. The mathematical formula for the fractal dimension (D) is:</w:t>
      </w:r>
    </w:p>
    <w:p w14:paraId="02977B9E" w14:textId="60AAE8BC" w:rsidR="00082723" w:rsidRDefault="003419AC" w:rsidP="00082723">
      <w:pPr>
        <w:spacing w:line="240" w:lineRule="auto"/>
        <w:rPr>
          <w:rFonts w:asciiTheme="majorHAnsi" w:hAnsiTheme="majorHAnsi" w:cstheme="majorHAnsi"/>
        </w:rPr>
      </w:pPr>
      <m:oMathPara>
        <m:oMath>
          <m:r>
            <w:rPr>
              <w:rFonts w:ascii="Cambria Math" w:hAnsi="Cambria Math" w:cstheme="majorHAnsi"/>
            </w:rPr>
            <m:t>D=-</m:t>
          </m:r>
          <m:func>
            <m:funcPr>
              <m:ctrlPr>
                <w:rPr>
                  <w:rFonts w:ascii="Cambria Math" w:hAnsi="Cambria Math" w:cstheme="majorHAnsi"/>
                  <w:i/>
                </w:rPr>
              </m:ctrlPr>
            </m:funcPr>
            <m:fName>
              <m:limLow>
                <m:limLowPr>
                  <m:ctrlPr>
                    <w:rPr>
                      <w:rFonts w:ascii="Cambria Math" w:hAnsi="Cambria Math" w:cstheme="majorHAnsi"/>
                      <w:i/>
                    </w:rPr>
                  </m:ctrlPr>
                </m:limLowPr>
                <m:e>
                  <m:r>
                    <m:rPr>
                      <m:sty m:val="p"/>
                    </m:rPr>
                    <w:rPr>
                      <w:rFonts w:ascii="Cambria Math" w:hAnsi="Cambria Math" w:cstheme="majorHAnsi"/>
                    </w:rPr>
                    <m:t>lim</m:t>
                  </m:r>
                </m:e>
                <m:lim>
                  <m:r>
                    <w:rPr>
                      <w:rFonts w:ascii="Cambria Math" w:hAnsi="Cambria Math" w:cstheme="majorHAnsi"/>
                    </w:rPr>
                    <m:t>ϵ→0</m:t>
                  </m:r>
                </m:lim>
              </m:limLow>
            </m:fName>
            <m:e>
              <m:func>
                <m:funcPr>
                  <m:ctrlPr>
                    <w:rPr>
                      <w:rFonts w:ascii="Cambria Math" w:hAnsi="Cambria Math" w:cstheme="majorHAnsi"/>
                      <w:i/>
                    </w:rPr>
                  </m:ctrlPr>
                </m:funcPr>
                <m:fName>
                  <m:r>
                    <m:rPr>
                      <m:sty m:val="p"/>
                    </m:rPr>
                    <w:rPr>
                      <w:rFonts w:ascii="Cambria Math" w:hAnsi="Cambria Math" w:cstheme="majorHAnsi"/>
                    </w:rPr>
                    <m:t>log</m:t>
                  </m:r>
                </m:fName>
                <m:e>
                  <m:r>
                    <w:rPr>
                      <w:rFonts w:ascii="Cambria Math" w:hAnsi="Cambria Math" w:cstheme="majorHAnsi"/>
                    </w:rPr>
                    <m:t>N(ϵ)/</m:t>
                  </m:r>
                  <m:func>
                    <m:funcPr>
                      <m:ctrlPr>
                        <w:rPr>
                          <w:rFonts w:ascii="Cambria Math" w:hAnsi="Cambria Math" w:cstheme="majorHAnsi"/>
                          <w:i/>
                        </w:rPr>
                      </m:ctrlPr>
                    </m:funcPr>
                    <m:fName>
                      <m:r>
                        <m:rPr>
                          <m:sty m:val="p"/>
                        </m:rPr>
                        <w:rPr>
                          <w:rFonts w:ascii="Cambria Math" w:hAnsi="Cambria Math" w:cstheme="majorHAnsi"/>
                        </w:rPr>
                        <m:t>log</m:t>
                      </m:r>
                    </m:fName>
                    <m:e>
                      <m:r>
                        <w:rPr>
                          <w:rFonts w:ascii="Cambria Math" w:hAnsi="Cambria Math" w:cstheme="majorHAnsi"/>
                        </w:rPr>
                        <m:t>ϵ</m:t>
                      </m:r>
                    </m:e>
                  </m:func>
                </m:e>
              </m:func>
            </m:e>
          </m:func>
          <m:r>
            <m:rPr>
              <m:sty m:val="p"/>
            </m:rPr>
            <w:rPr>
              <w:rFonts w:ascii="Cambria Math" w:hAnsi="Cambria Math" w:cstheme="majorHAnsi"/>
            </w:rPr>
            <m:t>.</m:t>
          </m:r>
          <m:r>
            <m:rPr>
              <m:sty m:val="p"/>
            </m:rPr>
            <w:rPr>
              <w:rFonts w:ascii="Cambria Math" w:hAnsi="Cambria Math" w:cstheme="majorHAnsi"/>
            </w:rPr>
            <w:br/>
          </m:r>
        </m:oMath>
        <m:oMath>
          <m:r>
            <m:rPr>
              <m:sty m:val="p"/>
            </m:rPr>
            <w:rPr>
              <w:rFonts w:ascii="Cambria Math" w:hAnsi="Cambria Math" w:cstheme="majorHAnsi"/>
            </w:rPr>
            <w:br/>
          </m:r>
          <m:r>
            <m:rPr>
              <m:sty m:val="p"/>
            </m:rPr>
            <w:rPr>
              <w:rFonts w:ascii="Cambria Math" w:hAnsi="Cambria Math" w:cstheme="majorHAnsi"/>
            </w:rPr>
            <m:t xml:space="preserve">Here, </m:t>
          </m:r>
          <m:r>
            <w:rPr>
              <w:rFonts w:ascii="Cambria Math" w:hAnsi="Cambria Math" w:cstheme="majorHAnsi"/>
            </w:rPr>
            <m:t>N(ϵ)</m:t>
          </m:r>
        </m:oMath>
      </m:oMathPara>
      <w:r w:rsidRPr="00082723">
        <w:rPr>
          <w:rFonts w:asciiTheme="majorHAnsi" w:hAnsiTheme="majorHAnsi" w:cstheme="majorHAnsi"/>
        </w:rPr>
        <w:t xml:space="preserve"> is the number of boxes of size </w:t>
      </w:r>
      <m:oMath>
        <m:r>
          <w:rPr>
            <w:rFonts w:ascii="Cambria Math" w:hAnsi="Cambria Math" w:cstheme="majorHAnsi"/>
          </w:rPr>
          <m:t>ϵ</m:t>
        </m:r>
      </m:oMath>
      <w:r w:rsidRPr="00082723">
        <w:rPr>
          <w:rFonts w:asciiTheme="majorHAnsi" w:hAnsiTheme="majorHAnsi" w:cstheme="majorHAnsi"/>
        </w:rPr>
        <w:t xml:space="preserve"> needed to cover the forested region</w:t>
      </w:r>
      <w:r w:rsidR="00082723" w:rsidRPr="00082723">
        <w:rPr>
          <w:rFonts w:asciiTheme="majorHAnsi" w:hAnsiTheme="majorHAnsi" w:cstheme="majorHAnsi"/>
        </w:rPr>
        <w:t xml:space="preserve"> [1]</w:t>
      </w:r>
      <w:r w:rsidRPr="00082723">
        <w:rPr>
          <w:rFonts w:asciiTheme="majorHAnsi" w:hAnsiTheme="majorHAnsi" w:cstheme="majorHAnsi"/>
        </w:rPr>
        <w:t xml:space="preserve">. If </w:t>
      </w:r>
      <m:oMath>
        <m:r>
          <w:rPr>
            <w:rFonts w:ascii="Cambria Math" w:hAnsi="Cambria Math" w:cstheme="majorHAnsi"/>
          </w:rPr>
          <m:t>N(ϵ)</m:t>
        </m:r>
      </m:oMath>
      <w:r w:rsidRPr="00082723">
        <w:rPr>
          <w:rFonts w:asciiTheme="majorHAnsi" w:hAnsiTheme="majorHAnsi" w:cstheme="majorHAnsi"/>
        </w:rPr>
        <w:t xml:space="preserve">  grows very quickly as the boxes get smaller, it means the pattern is highly detailed. A fractal dimension close to 1.0 would mean the forest edges are simple and smooth. A value closer to 2.0 would mean the forest fills space in a very dense and tangled way. </w:t>
      </w:r>
      <w:r w:rsidRPr="00082723">
        <w:rPr>
          <w:rFonts w:asciiTheme="majorHAnsi" w:hAnsiTheme="majorHAnsi" w:cstheme="majorHAnsi"/>
        </w:rPr>
        <w:br/>
      </w:r>
      <w:r w:rsidRPr="00082723">
        <w:rPr>
          <w:rFonts w:asciiTheme="majorHAnsi" w:hAnsiTheme="majorHAnsi" w:cstheme="majorHAnsi"/>
        </w:rPr>
        <w:br/>
      </w:r>
      <w:r w:rsidR="00082723" w:rsidRPr="00082723">
        <w:rPr>
          <w:rFonts w:asciiTheme="majorHAnsi" w:hAnsiTheme="majorHAnsi" w:cstheme="majorHAnsi"/>
        </w:rPr>
        <w:t xml:space="preserve">The estimated fractal dimension of </w:t>
      </w:r>
      <w:proofErr w:type="spellStart"/>
      <w:r w:rsidR="00082723" w:rsidRPr="00082723">
        <w:rPr>
          <w:rFonts w:asciiTheme="majorHAnsi" w:hAnsiTheme="majorHAnsi" w:cstheme="majorHAnsi"/>
        </w:rPr>
        <w:t>Malawan</w:t>
      </w:r>
      <w:proofErr w:type="spellEnd"/>
      <w:r w:rsidR="00082723" w:rsidRPr="00082723">
        <w:rPr>
          <w:rFonts w:asciiTheme="majorHAnsi" w:hAnsiTheme="majorHAnsi" w:cstheme="majorHAnsi"/>
        </w:rPr>
        <w:t xml:space="preserve"> is 1.74 which is considered high, and indicates a complex forest structure with </w:t>
      </w:r>
      <w:r w:rsidR="00082723" w:rsidRPr="00082723">
        <w:rPr>
          <w:rFonts w:asciiTheme="majorHAnsi" w:hAnsiTheme="majorHAnsi" w:cstheme="majorHAnsi"/>
        </w:rPr>
        <w:t>covers</w:t>
      </w:r>
      <w:r w:rsidR="00082723" w:rsidRPr="00082723">
        <w:rPr>
          <w:rFonts w:asciiTheme="majorHAnsi" w:hAnsiTheme="majorHAnsi" w:cstheme="majorHAnsi"/>
        </w:rPr>
        <w:t xml:space="preserve">, shallow pocket areas, and irregular patches consistent with natural fragmentation patterns [1]. This measure provides a </w:t>
      </w:r>
      <w:r w:rsidR="00082723" w:rsidRPr="00082723">
        <w:rPr>
          <w:rFonts w:asciiTheme="majorHAnsi" w:hAnsiTheme="majorHAnsi" w:cstheme="majorHAnsi"/>
        </w:rPr>
        <w:t>quantitative</w:t>
      </w:r>
      <w:r w:rsidR="00082723" w:rsidRPr="00082723">
        <w:rPr>
          <w:rFonts w:asciiTheme="majorHAnsi" w:hAnsiTheme="majorHAnsi" w:cstheme="majorHAnsi"/>
        </w:rPr>
        <w:t xml:space="preserve"> way to describe habitat complexity and aligns with methods used in prior forest</w:t>
      </w:r>
      <w:r w:rsidR="00082723" w:rsidRPr="00082723">
        <w:rPr>
          <w:rFonts w:ascii="Cambria Math" w:hAnsi="Cambria Math" w:cs="Cambria Math"/>
        </w:rPr>
        <w:t>‑</w:t>
      </w:r>
      <w:r w:rsidR="00082723" w:rsidRPr="00082723">
        <w:rPr>
          <w:rFonts w:asciiTheme="majorHAnsi" w:hAnsiTheme="majorHAnsi" w:cstheme="majorHAnsi"/>
        </w:rPr>
        <w:t>structure studies [1].</w:t>
      </w:r>
    </w:p>
    <w:p w14:paraId="5DD5BBD1" w14:textId="77777777" w:rsidR="00C33BDB" w:rsidRDefault="00C33BDB" w:rsidP="00082723">
      <w:pPr>
        <w:spacing w:line="240" w:lineRule="auto"/>
        <w:rPr>
          <w:rFonts w:asciiTheme="majorHAnsi" w:hAnsiTheme="majorHAnsi" w:cstheme="majorHAnsi"/>
          <w:b/>
        </w:rPr>
      </w:pPr>
    </w:p>
    <w:p w14:paraId="4F7401D9" w14:textId="0AE71322" w:rsidR="00540CB3" w:rsidRPr="00082723" w:rsidRDefault="00000000" w:rsidP="00082723">
      <w:pPr>
        <w:spacing w:line="240" w:lineRule="auto"/>
        <w:rPr>
          <w:rFonts w:asciiTheme="majorHAnsi" w:hAnsiTheme="majorHAnsi" w:cstheme="majorHAnsi"/>
        </w:rPr>
      </w:pPr>
      <w:r w:rsidRPr="00082723">
        <w:rPr>
          <w:rFonts w:asciiTheme="majorHAnsi" w:hAnsiTheme="majorHAnsi" w:cstheme="majorHAnsi"/>
          <w:b/>
        </w:rPr>
        <w:br/>
        <w:t>References</w:t>
      </w:r>
      <w:r w:rsidRPr="00082723">
        <w:rPr>
          <w:rFonts w:asciiTheme="majorHAnsi" w:hAnsiTheme="majorHAnsi" w:cstheme="majorHAnsi"/>
          <w:b/>
        </w:rPr>
        <w:br/>
      </w:r>
    </w:p>
    <w:p w14:paraId="3077B9B9" w14:textId="77777777" w:rsidR="00540CB3" w:rsidRPr="00082723" w:rsidRDefault="00000000" w:rsidP="00082723">
      <w:pPr>
        <w:spacing w:line="240" w:lineRule="auto"/>
        <w:rPr>
          <w:rFonts w:asciiTheme="majorHAnsi" w:hAnsiTheme="majorHAnsi" w:cstheme="majorHAnsi"/>
        </w:rPr>
      </w:pPr>
      <w:r w:rsidRPr="00082723">
        <w:rPr>
          <w:rFonts w:asciiTheme="majorHAnsi" w:hAnsiTheme="majorHAnsi" w:cstheme="majorHAnsi"/>
        </w:rPr>
        <w:t>[1] Andronache, Ion C., et al. “Fractal Analysis for Studying the Evolution of Forests.” *Chaos, Solitons &amp; Fractals*, vol. 91, 2016, pp. 310–318.</w:t>
      </w:r>
    </w:p>
    <w:sectPr w:rsidR="00540CB3" w:rsidRPr="000827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8496447">
    <w:abstractNumId w:val="8"/>
  </w:num>
  <w:num w:numId="2" w16cid:durableId="1122387468">
    <w:abstractNumId w:val="6"/>
  </w:num>
  <w:num w:numId="3" w16cid:durableId="1885094912">
    <w:abstractNumId w:val="5"/>
  </w:num>
  <w:num w:numId="4" w16cid:durableId="427580185">
    <w:abstractNumId w:val="4"/>
  </w:num>
  <w:num w:numId="5" w16cid:durableId="2016958795">
    <w:abstractNumId w:val="7"/>
  </w:num>
  <w:num w:numId="6" w16cid:durableId="216206207">
    <w:abstractNumId w:val="3"/>
  </w:num>
  <w:num w:numId="7" w16cid:durableId="2077975374">
    <w:abstractNumId w:val="2"/>
  </w:num>
  <w:num w:numId="8" w16cid:durableId="427964685">
    <w:abstractNumId w:val="1"/>
  </w:num>
  <w:num w:numId="9" w16cid:durableId="1837454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723"/>
    <w:rsid w:val="0015074B"/>
    <w:rsid w:val="0029639D"/>
    <w:rsid w:val="002A4E52"/>
    <w:rsid w:val="00326F90"/>
    <w:rsid w:val="003419AC"/>
    <w:rsid w:val="00540CB3"/>
    <w:rsid w:val="00890327"/>
    <w:rsid w:val="00AA1D8D"/>
    <w:rsid w:val="00B47730"/>
    <w:rsid w:val="00B964AD"/>
    <w:rsid w:val="00C044D2"/>
    <w:rsid w:val="00C33B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3BA79"/>
  <w14:defaultImageDpi w14:val="300"/>
  <w15:docId w15:val="{FD8F7551-ED7D-4A3C-861D-292C644C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419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Joiner</cp:lastModifiedBy>
  <cp:revision>4</cp:revision>
  <dcterms:created xsi:type="dcterms:W3CDTF">2025-11-17T01:45:00Z</dcterms:created>
  <dcterms:modified xsi:type="dcterms:W3CDTF">2025-12-08T23:54:00Z</dcterms:modified>
  <cp:category/>
</cp:coreProperties>
</file>