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Adjusted hazard ratio estimates for cancer (any site).</w:t>
      </w:r>
    </w:p>
    <w:tbl>
      <w:tblPr>
        <w:tblStyle w:val="Table"/>
        <w:tblW w:type="pct" w:w="5000.0"/>
        <w:tblLook w:firstRow="1"/>
        <w:tblCaption w:val="Adjusted hazard ratio estimates for cancer (any site)."/>
      </w:tblPr>
      <w:tblGrid>
        <w:gridCol w:w="2143"/>
        <w:gridCol w:w="1584"/>
        <w:gridCol w:w="652"/>
        <w:gridCol w:w="652"/>
        <w:gridCol w:w="1397"/>
        <w:gridCol w:w="745"/>
        <w:gridCol w:w="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straight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2263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 to 0.415</w:t>
            </w:r>
          </w:p>
        </w:tc>
        <w:tc>
          <w:p>
            <w:pPr>
              <w:pStyle w:val="Compact"/>
              <w:jc w:val="right"/>
            </w:pPr>
            <w:r>
              <w:t xml:space="preserve">1066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(0.94, 1.11)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&gt;0.415 to 1.98</w:t>
            </w:r>
          </w:p>
        </w:tc>
        <w:tc>
          <w:p>
            <w:pPr>
              <w:pStyle w:val="Compact"/>
              <w:jc w:val="right"/>
            </w:pPr>
            <w:r>
              <w:t xml:space="preserve">1065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(0.89, 1.05)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&gt;1.98</w:t>
            </w:r>
          </w:p>
        </w:tc>
        <w:tc>
          <w:p>
            <w:pPr>
              <w:pStyle w:val="Compact"/>
              <w:jc w:val="right"/>
            </w:pPr>
            <w:r>
              <w:t xml:space="preserve">1066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(0.95, 1.11)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soluble</w:t>
            </w:r>
          </w:p>
        </w:tc>
        <w:tc>
          <w:p>
            <w:pPr>
              <w:pStyle w:val="Compact"/>
              <w:jc w:val="left"/>
            </w:pPr>
            <w:r>
              <w:t xml:space="preserve">0 to 0.05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&gt;0.05 to 4.04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(0.84, 1.02)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&gt;4.04 to 12.9</w:t>
            </w:r>
          </w:p>
        </w:tc>
        <w:tc>
          <w:p>
            <w:pPr>
              <w:pStyle w:val="Compact"/>
              <w:jc w:val="right"/>
            </w:pPr>
            <w:r>
              <w:t xml:space="preserve">1641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(0.88, 1.08)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&gt;12.9</w:t>
            </w:r>
          </w:p>
        </w:tc>
        <w:tc>
          <w:p>
            <w:pPr>
              <w:pStyle w:val="Compact"/>
              <w:jc w:val="right"/>
            </w:pPr>
            <w:r>
              <w:t xml:space="preserve">1641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(0.89, 1.10)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synthetic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3640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 to 0.337</w:t>
            </w:r>
          </w:p>
        </w:tc>
        <w:tc>
          <w:p>
            <w:pPr>
              <w:pStyle w:val="Compact"/>
              <w:jc w:val="right"/>
            </w:pPr>
            <w:r>
              <w:t xml:space="preserve">607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(0.88, 1.09)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&gt;0.337 to 1.64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(0.90, 1.10)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&gt;1.64</w:t>
            </w:r>
          </w:p>
        </w:tc>
        <w:tc>
          <w:p>
            <w:pPr>
              <w:pStyle w:val="Compact"/>
              <w:jc w:val="right"/>
            </w:pPr>
            <w:r>
              <w:t xml:space="preserve">607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(0.87, 1.06)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1941 to 1983</w:t>
            </w:r>
          </w:p>
        </w:tc>
        <w:tc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1984 to 1993</w:t>
            </w:r>
          </w:p>
        </w:tc>
        <w:tc>
          <w:p>
            <w:pPr>
              <w:pStyle w:val="Compact"/>
              <w:jc w:val="right"/>
            </w:pPr>
            <w:r>
              <w:t xml:space="preserve">1179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(1.05, 1.26)</w:t>
            </w:r>
          </w:p>
        </w:tc>
        <w:tc>
          <w:p>
            <w:pPr>
              <w:pStyle w:val="Compact"/>
              <w:jc w:val="center"/>
            </w:pPr>
            <w:r>
              <w:t xml:space="preserve">&gt;0.01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1994 to 2000</w:t>
            </w:r>
          </w:p>
        </w:tc>
        <w:tc>
          <w:p>
            <w:pPr>
              <w:pStyle w:val="Compact"/>
              <w:jc w:val="right"/>
            </w:pPr>
            <w:r>
              <w:t xml:space="preserve">996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(0.96, 1.17)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2001 to 2008</w:t>
            </w:r>
          </w:p>
        </w:tc>
        <w:tc>
          <w:p>
            <w:pPr>
              <w:pStyle w:val="Compact"/>
              <w:jc w:val="right"/>
            </w:pPr>
            <w:r>
              <w:t xml:space="preserve">1179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(0.86, 1.06)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&gt;2008</w:t>
            </w:r>
          </w:p>
        </w:tc>
        <w:tc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(0.74, 0.93)</w:t>
            </w:r>
          </w:p>
        </w:tc>
        <w:tc>
          <w:p>
            <w:pPr>
              <w:pStyle w:val="Compact"/>
              <w:jc w:val="center"/>
            </w:pPr>
            <w:r>
              <w:t xml:space="preserve">&gt;0.01</w:t>
            </w:r>
          </w:p>
        </w:tc>
        <w:tc>
          <w:p>
            <w:pPr>
              <w:pStyle w:val="Compact"/>
              <w:jc w:val="center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of hire</w:t>
            </w:r>
          </w:p>
        </w:tc>
        <w:tc>
          <w:p>
            <w:pPr>
              <w:pStyle w:val="Compact"/>
              <w:jc w:val="left"/>
            </w:pPr>
            <w:r>
              <w:t xml:space="preserve">1938 to 1948</w:t>
            </w:r>
          </w:p>
        </w:tc>
        <w:tc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1949 to 1952</w:t>
            </w:r>
          </w:p>
        </w:tc>
        <w:tc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(1.08, 1.30)</w:t>
            </w:r>
          </w:p>
        </w:tc>
        <w:tc>
          <w:p>
            <w:pPr>
              <w:pStyle w:val="Compact"/>
              <w:jc w:val="center"/>
            </w:pPr>
            <w:r>
              <w:t xml:space="preserve">&gt;0.01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1953 to 1959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(1.06, 1.27)</w:t>
            </w:r>
          </w:p>
        </w:tc>
        <w:tc>
          <w:p>
            <w:pPr>
              <w:pStyle w:val="Compact"/>
              <w:jc w:val="center"/>
            </w:pPr>
            <w:r>
              <w:t xml:space="preserve">&gt;0.01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1960 to 1968</w:t>
            </w:r>
          </w:p>
        </w:tc>
        <w:tc>
          <w:p>
            <w:pPr>
              <w:pStyle w:val="Compact"/>
              <w:jc w:val="right"/>
            </w:pPr>
            <w:r>
              <w:t xml:space="preserve">1141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(1.05, 1.30)</w:t>
            </w:r>
          </w:p>
        </w:tc>
        <w:tc>
          <w:p>
            <w:pPr>
              <w:pStyle w:val="Compact"/>
              <w:jc w:val="center"/>
            </w:pPr>
            <w:r>
              <w:t xml:space="preserve">&gt;0.01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&gt;1968</w:t>
            </w:r>
          </w:p>
        </w:tc>
        <w:tc>
          <w:p>
            <w:pPr>
              <w:pStyle w:val="Compact"/>
              <w:jc w:val="right"/>
            </w:pPr>
            <w:r>
              <w:t xml:space="preserve">1114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(1.03, 1.32)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2853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1044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(1.15, 1.35)</w:t>
            </w:r>
          </w:p>
        </w:tc>
        <w:tc>
          <w:p>
            <w:pPr>
              <w:pStyle w:val="Compact"/>
              <w:jc w:val="center"/>
            </w:pPr>
            <w:r>
              <w:t xml:space="preserve">&gt;0.01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1563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(1.15, 1.32)</w:t>
            </w:r>
          </w:p>
        </w:tc>
        <w:tc>
          <w:p>
            <w:pPr>
              <w:pStyle w:val="Compact"/>
              <w:jc w:val="center"/>
            </w:pPr>
            <w:r>
              <w:t xml:space="preserve">&gt;0.01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1541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2450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(0.90, 1.07)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1469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(0.83, 0.99)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4891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(0.69, 0.83)</w:t>
            </w:r>
          </w:p>
        </w:tc>
        <w:tc>
          <w:p>
            <w:pPr>
              <w:pStyle w:val="Compact"/>
              <w:jc w:val="center"/>
            </w:pPr>
            <w:r>
              <w:t xml:space="preserve">&gt;0.01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</w:tbl>
    <w:p>
      <w:pPr>
        <w:pStyle w:val="TableCaption"/>
      </w:pPr>
      <w:r>
        <w:t xml:space="preserve">Adjusted hazard ratio estimates for cancer (any site). Unknown race accounted for by multiple imputation (</w:t>
      </w:r>
      <m:oMath>
        <m:r>
          <m:t>M</m:t>
        </m:r>
        <m:r>
          <m:t>=</m:t>
        </m:r>
        <m:r>
          <m:t>50</m:t>
        </m:r>
      </m:oMath>
      <w:r>
        <w:t xml:space="preserve">).</w:t>
      </w:r>
    </w:p>
    <w:tbl>
      <w:tblPr>
        <w:tblStyle w:val="Table"/>
        <w:tblW w:type="pct" w:w="4999.999999999999"/>
        <w:tblLook w:firstRow="1"/>
        <w:tblCaption w:val="Adjusted hazard ratio estimates for cancer (any site). Unknown race accounted for by multiple imputation (M = 50)."/>
      </w:tblPr>
      <w:tblGrid>
        <w:gridCol w:w="2118"/>
        <w:gridCol w:w="1565"/>
        <w:gridCol w:w="736"/>
        <w:gridCol w:w="644"/>
        <w:gridCol w:w="1381"/>
        <w:gridCol w:w="736"/>
        <w:gridCol w:w="7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straight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2263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 to 0.415</w:t>
            </w:r>
          </w:p>
        </w:tc>
        <w:tc>
          <w:p>
            <w:pPr>
              <w:pStyle w:val="Compact"/>
              <w:jc w:val="right"/>
            </w:pPr>
            <w:r>
              <w:t xml:space="preserve">1066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(0.95, 1.12)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&gt;0.415 to 1.98</w:t>
            </w:r>
          </w:p>
        </w:tc>
        <w:tc>
          <w:p>
            <w:pPr>
              <w:pStyle w:val="Compact"/>
              <w:jc w:val="right"/>
            </w:pPr>
            <w:r>
              <w:t xml:space="preserve">1065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(0.89, 1.05)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&gt;1.98</w:t>
            </w:r>
          </w:p>
        </w:tc>
        <w:tc>
          <w:p>
            <w:pPr>
              <w:pStyle w:val="Compact"/>
              <w:jc w:val="right"/>
            </w:pPr>
            <w:r>
              <w:t xml:space="preserve">1066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(0.93, 1.09)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soluble</w:t>
            </w:r>
          </w:p>
        </w:tc>
        <w:tc>
          <w:p>
            <w:pPr>
              <w:pStyle w:val="Compact"/>
              <w:jc w:val="left"/>
            </w:pPr>
            <w:r>
              <w:t xml:space="preserve">0 to 0.05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&gt;0.05 to 4.04</w:t>
            </w:r>
          </w:p>
        </w:tc>
        <w:tc>
          <w:p>
            <w:pPr>
              <w:pStyle w:val="Compact"/>
              <w:jc w:val="right"/>
            </w:pPr>
            <w:r>
              <w:t xml:space="preserve">1585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(0.85, 1.04)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&gt;4.04 to 12.9</w:t>
            </w:r>
          </w:p>
        </w:tc>
        <w:tc>
          <w:p>
            <w:pPr>
              <w:pStyle w:val="Compact"/>
              <w:jc w:val="right"/>
            </w:pPr>
            <w:r>
              <w:t xml:space="preserve">1641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(0.89, 1.09)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&gt;12.9</w:t>
            </w:r>
          </w:p>
        </w:tc>
        <w:tc>
          <w:p>
            <w:pPr>
              <w:pStyle w:val="Compact"/>
              <w:jc w:val="right"/>
            </w:pPr>
            <w:r>
              <w:t xml:space="preserve">1641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(0.87, 1.07)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synthetic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3640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 to 0.337</w:t>
            </w:r>
          </w:p>
        </w:tc>
        <w:tc>
          <w:p>
            <w:pPr>
              <w:pStyle w:val="Compact"/>
              <w:jc w:val="right"/>
            </w:pPr>
            <w:r>
              <w:t xml:space="preserve">607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(0.86, 1.06)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&gt;0.337 to 1.64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(0.88, 1.08)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&gt;1.64</w:t>
            </w:r>
          </w:p>
        </w:tc>
        <w:tc>
          <w:p>
            <w:pPr>
              <w:pStyle w:val="Compact"/>
              <w:jc w:val="right"/>
            </w:pPr>
            <w:r>
              <w:t xml:space="preserve">607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(0.85, 1.03)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1941 to 1983</w:t>
            </w:r>
          </w:p>
        </w:tc>
        <w:tc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1984 to 1993</w:t>
            </w:r>
          </w:p>
        </w:tc>
        <w:tc>
          <w:p>
            <w:pPr>
              <w:pStyle w:val="Compact"/>
              <w:jc w:val="right"/>
            </w:pPr>
            <w:r>
              <w:t xml:space="preserve">1179</w:t>
            </w:r>
          </w:p>
        </w:tc>
        <w:tc>
          <w:p>
            <w:pPr>
              <w:pStyle w:val="Compact"/>
              <w:jc w:val="center"/>
            </w:pPr>
            <w:r>
              <w:t xml:space="preserve">1.13</w:t>
            </w:r>
          </w:p>
        </w:tc>
        <w:tc>
          <w:p>
            <w:pPr>
              <w:pStyle w:val="Compact"/>
              <w:jc w:val="center"/>
            </w:pPr>
            <w:r>
              <w:t xml:space="preserve">(1.04, 1.24)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1994 to 2000</w:t>
            </w:r>
          </w:p>
        </w:tc>
        <w:tc>
          <w:p>
            <w:pPr>
              <w:pStyle w:val="Compact"/>
              <w:jc w:val="right"/>
            </w:pPr>
            <w:r>
              <w:t xml:space="preserve">996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(0.95, 1.16)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2001 to 2008</w:t>
            </w:r>
          </w:p>
        </w:tc>
        <w:tc>
          <w:p>
            <w:pPr>
              <w:pStyle w:val="Compact"/>
              <w:jc w:val="right"/>
            </w:pPr>
            <w:r>
              <w:t xml:space="preserve">1179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(0.85, 1.04)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&gt;2008</w:t>
            </w:r>
          </w:p>
        </w:tc>
        <w:tc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(0.73, 0.92)</w:t>
            </w:r>
          </w:p>
        </w:tc>
        <w:tc>
          <w:p>
            <w:pPr>
              <w:pStyle w:val="Compact"/>
              <w:jc w:val="center"/>
            </w:pPr>
            <w:r>
              <w:t xml:space="preserve">&lt;0.01</w:t>
            </w:r>
          </w:p>
        </w:tc>
        <w:tc>
          <w:p>
            <w:pPr>
              <w:pStyle w:val="Compact"/>
              <w:jc w:val="center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of hire</w:t>
            </w:r>
          </w:p>
        </w:tc>
        <w:tc>
          <w:p>
            <w:pPr>
              <w:pStyle w:val="Compact"/>
              <w:jc w:val="left"/>
            </w:pPr>
            <w:r>
              <w:t xml:space="preserve">1938 to 1948</w:t>
            </w:r>
          </w:p>
        </w:tc>
        <w:tc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1949 to 1952</w:t>
            </w:r>
          </w:p>
        </w:tc>
        <w:tc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(1.08, 1.30)</w:t>
            </w:r>
          </w:p>
        </w:tc>
        <w:tc>
          <w:p>
            <w:pPr>
              <w:pStyle w:val="Compact"/>
              <w:jc w:val="center"/>
            </w:pPr>
            <w:r>
              <w:t xml:space="preserve">&lt;0.01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1953 to 1959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center"/>
            </w:pPr>
            <w:r>
              <w:t xml:space="preserve">1.17</w:t>
            </w:r>
          </w:p>
        </w:tc>
        <w:tc>
          <w:p>
            <w:pPr>
              <w:pStyle w:val="Compact"/>
              <w:jc w:val="center"/>
            </w:pPr>
            <w:r>
              <w:t xml:space="preserve">(1.08, 1.28)</w:t>
            </w:r>
          </w:p>
        </w:tc>
        <w:tc>
          <w:p>
            <w:pPr>
              <w:pStyle w:val="Compact"/>
              <w:jc w:val="center"/>
            </w:pPr>
            <w:r>
              <w:t xml:space="preserve">&lt;0.01</w:t>
            </w:r>
          </w:p>
        </w:tc>
        <w:tc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1960 to 1968</w:t>
            </w:r>
          </w:p>
        </w:tc>
        <w:tc>
          <w:p>
            <w:pPr>
              <w:pStyle w:val="Compact"/>
              <w:jc w:val="right"/>
            </w:pPr>
            <w:r>
              <w:t xml:space="preserve">1141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(1.03, 1.27)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&gt;1968</w:t>
            </w:r>
          </w:p>
        </w:tc>
        <w:tc>
          <w:p>
            <w:pPr>
              <w:pStyle w:val="Compact"/>
              <w:jc w:val="right"/>
            </w:pPr>
            <w:r>
              <w:t xml:space="preserve">1114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(0.96, 1.22)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47675.4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8576.6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(1.11, 1.30)</w:t>
            </w:r>
          </w:p>
        </w:tc>
        <w:tc>
          <w:p>
            <w:pPr>
              <w:pStyle w:val="Compact"/>
              <w:jc w:val="center"/>
            </w:pPr>
            <w:r>
              <w:t xml:space="preserve">&lt;0.01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1541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2450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(0.94, 1.13)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1469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(0.83, 1.00)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4891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(0.69, 0.83)</w:t>
            </w:r>
          </w:p>
        </w:tc>
        <w:tc>
          <w:p>
            <w:pPr>
              <w:pStyle w:val="Compact"/>
              <w:jc w:val="center"/>
            </w:pPr>
            <w:r>
              <w:t xml:space="preserve">&lt;0.01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</w:tbl>
    <w:sectPr w:rsidR="0021346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9E38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E8D2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2664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B6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083A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D61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8A36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5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4AA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8E9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0D291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9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9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3"/>
  </w:num>
  <w:num w:numId="20">
    <w:abstractNumId w:val="1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3EC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24D24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24D24"/>
    <w:pPr>
      <w:keepNext/>
      <w:keepLines/>
      <w:numPr>
        <w:ilvl w:val="4"/>
        <w:numId w:val="20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24D24"/>
    <w:pPr>
      <w:keepNext/>
      <w:keepLines/>
      <w:numPr>
        <w:ilvl w:val="5"/>
        <w:numId w:val="20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24D24"/>
    <w:pPr>
      <w:keepNext/>
      <w:keepLines/>
      <w:numPr>
        <w:ilvl w:val="6"/>
        <w:numId w:val="20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24D24"/>
    <w:pPr>
      <w:keepNext/>
      <w:keepLines/>
      <w:numPr>
        <w:ilvl w:val="7"/>
        <w:numId w:val="20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24D24"/>
    <w:pPr>
      <w:keepNext/>
      <w:keepLines/>
      <w:numPr>
        <w:ilvl w:val="8"/>
        <w:numId w:val="20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53E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26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AC7C08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AC7C08"/>
    <w:pPr>
      <w:spacing w:after="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style-guide-arial-11+.dotx</Template>
  <TotalTime>1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2021-08-19T01:34:03Z</dcterms:created>
  <dcterms:modified xsi:type="dcterms:W3CDTF">2021-08-19T01:34:03Z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