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F74D37" w14:textId="32CC4AD6" w:rsidR="00CB7898" w:rsidRPr="0036299A" w:rsidRDefault="00CB7898" w:rsidP="006C324A">
      <w:pPr>
        <w:spacing w:line="240" w:lineRule="auto"/>
        <w:rPr>
          <w:rFonts w:ascii="Times New Roman" w:hAnsi="Times New Roman" w:cs="Times New Roman"/>
          <w:sz w:val="24"/>
          <w:szCs w:val="24"/>
        </w:rPr>
      </w:pPr>
      <w:bookmarkStart w:id="0" w:name="_GoBack"/>
      <w:bookmarkEnd w:id="0"/>
      <w:r w:rsidRPr="0036299A">
        <w:rPr>
          <w:rFonts w:ascii="Times New Roman" w:hAnsi="Times New Roman" w:cs="Times New Roman"/>
          <w:b/>
          <w:sz w:val="24"/>
          <w:szCs w:val="24"/>
        </w:rPr>
        <w:t>Title</w:t>
      </w:r>
      <w:r w:rsidR="00015755" w:rsidRPr="0036299A">
        <w:rPr>
          <w:rFonts w:ascii="Times New Roman" w:hAnsi="Times New Roman" w:cs="Times New Roman"/>
          <w:b/>
          <w:sz w:val="24"/>
          <w:szCs w:val="24"/>
        </w:rPr>
        <w:t>:</w:t>
      </w:r>
      <w:r w:rsidR="00A36EDB" w:rsidRPr="0036299A">
        <w:rPr>
          <w:rFonts w:ascii="Times New Roman" w:hAnsi="Times New Roman" w:cs="Times New Roman"/>
          <w:b/>
          <w:sz w:val="24"/>
          <w:szCs w:val="24"/>
        </w:rPr>
        <w:t xml:space="preserve"> </w:t>
      </w:r>
      <w:r w:rsidRPr="0036299A">
        <w:rPr>
          <w:rFonts w:ascii="Times New Roman" w:hAnsi="Times New Roman" w:cs="Times New Roman"/>
          <w:sz w:val="24"/>
          <w:szCs w:val="24"/>
        </w:rPr>
        <w:t>Suicide, overdose, and worker exit in a cohort of Michigan autoworkers</w:t>
      </w:r>
    </w:p>
    <w:p w14:paraId="5A44895F" w14:textId="127B02F5" w:rsidR="006341D4" w:rsidRPr="0036299A" w:rsidRDefault="006341D4" w:rsidP="0036299A">
      <w:pPr>
        <w:spacing w:line="240" w:lineRule="auto"/>
        <w:rPr>
          <w:rFonts w:ascii="Times New Roman" w:hAnsi="Times New Roman" w:cs="Times New Roman"/>
          <w:sz w:val="24"/>
          <w:szCs w:val="24"/>
        </w:rPr>
      </w:pPr>
      <w:r w:rsidRPr="0036299A">
        <w:rPr>
          <w:rFonts w:ascii="Times New Roman" w:hAnsi="Times New Roman" w:cs="Times New Roman"/>
          <w:b/>
          <w:sz w:val="24"/>
          <w:szCs w:val="24"/>
        </w:rPr>
        <w:t>Manuscript word count:</w:t>
      </w:r>
      <w:r w:rsidRPr="0036299A">
        <w:rPr>
          <w:rFonts w:ascii="Times New Roman" w:hAnsi="Times New Roman" w:cs="Times New Roman"/>
          <w:sz w:val="24"/>
          <w:szCs w:val="24"/>
        </w:rPr>
        <w:t xml:space="preserve"> 2986 words</w:t>
      </w:r>
    </w:p>
    <w:p w14:paraId="7909B3E2" w14:textId="0A9FDF63" w:rsidR="00015755" w:rsidRPr="0036299A" w:rsidRDefault="00015755" w:rsidP="0036299A">
      <w:pPr>
        <w:spacing w:line="240" w:lineRule="auto"/>
        <w:rPr>
          <w:rFonts w:ascii="Times New Roman" w:hAnsi="Times New Roman" w:cs="Times New Roman"/>
          <w:sz w:val="24"/>
          <w:szCs w:val="24"/>
        </w:rPr>
      </w:pPr>
      <w:r w:rsidRPr="0036299A">
        <w:rPr>
          <w:rFonts w:ascii="Times New Roman" w:hAnsi="Times New Roman" w:cs="Times New Roman"/>
          <w:b/>
          <w:sz w:val="24"/>
          <w:szCs w:val="24"/>
        </w:rPr>
        <w:t>Authors:</w:t>
      </w:r>
    </w:p>
    <w:p w14:paraId="3249907D" w14:textId="1B0ECD7F" w:rsidR="00015755" w:rsidRPr="0036299A" w:rsidRDefault="00896419" w:rsidP="0036299A">
      <w:pPr>
        <w:spacing w:line="240" w:lineRule="auto"/>
        <w:rPr>
          <w:rFonts w:ascii="Times New Roman" w:hAnsi="Times New Roman" w:cs="Times New Roman"/>
          <w:sz w:val="24"/>
          <w:szCs w:val="24"/>
        </w:rPr>
      </w:pPr>
      <w:r w:rsidRPr="0036299A">
        <w:rPr>
          <w:rFonts w:ascii="Times New Roman" w:hAnsi="Times New Roman" w:cs="Times New Roman"/>
          <w:sz w:val="24"/>
          <w:szCs w:val="24"/>
        </w:rPr>
        <w:t>Ellen A Eisen, ScD</w:t>
      </w:r>
      <w:r w:rsidR="00B24B88" w:rsidRPr="0036299A">
        <w:rPr>
          <w:rFonts w:ascii="Times New Roman" w:hAnsi="Times New Roman" w:cs="Times New Roman"/>
          <w:sz w:val="24"/>
          <w:szCs w:val="24"/>
          <w:vertAlign w:val="superscript"/>
        </w:rPr>
        <w:t>1</w:t>
      </w:r>
    </w:p>
    <w:p w14:paraId="7DB3E3DB" w14:textId="71C2F138" w:rsidR="00071238" w:rsidRPr="0036299A" w:rsidRDefault="00D21F70" w:rsidP="0036299A">
      <w:pPr>
        <w:spacing w:line="240" w:lineRule="auto"/>
        <w:ind w:left="720"/>
        <w:rPr>
          <w:rFonts w:ascii="Times New Roman" w:hAnsi="Times New Roman" w:cs="Times New Roman"/>
          <w:sz w:val="24"/>
          <w:szCs w:val="24"/>
        </w:rPr>
      </w:pPr>
      <w:r w:rsidRPr="0036299A">
        <w:rPr>
          <w:rFonts w:ascii="Times New Roman" w:hAnsi="Times New Roman" w:cs="Times New Roman"/>
          <w:sz w:val="24"/>
          <w:szCs w:val="24"/>
        </w:rPr>
        <w:t xml:space="preserve">E-mail: </w:t>
      </w:r>
      <w:hyperlink r:id="rId8" w:history="1">
        <w:r w:rsidRPr="0036299A">
          <w:rPr>
            <w:rStyle w:val="Hyperlink"/>
            <w:rFonts w:ascii="Times New Roman" w:hAnsi="Times New Roman" w:cs="Times New Roman"/>
            <w:sz w:val="24"/>
            <w:szCs w:val="24"/>
          </w:rPr>
          <w:t>eeisen@berkeley.edu</w:t>
        </w:r>
      </w:hyperlink>
    </w:p>
    <w:p w14:paraId="286E4CC6" w14:textId="46E1ACEE" w:rsidR="00D21F70" w:rsidRPr="0036299A" w:rsidRDefault="00D21F70" w:rsidP="0036299A">
      <w:pPr>
        <w:spacing w:line="240" w:lineRule="auto"/>
        <w:ind w:left="720"/>
        <w:rPr>
          <w:rFonts w:ascii="Times New Roman" w:hAnsi="Times New Roman" w:cs="Times New Roman"/>
          <w:sz w:val="24"/>
          <w:szCs w:val="24"/>
        </w:rPr>
      </w:pPr>
      <w:r w:rsidRPr="0036299A">
        <w:rPr>
          <w:rFonts w:ascii="Times New Roman" w:hAnsi="Times New Roman" w:cs="Times New Roman"/>
          <w:sz w:val="24"/>
          <w:szCs w:val="24"/>
        </w:rPr>
        <w:t>Work phone: (510) 643-5310</w:t>
      </w:r>
    </w:p>
    <w:p w14:paraId="5D4D6B70" w14:textId="6431FCEC" w:rsidR="00071238" w:rsidRPr="0036299A" w:rsidRDefault="00071238" w:rsidP="0036299A">
      <w:pPr>
        <w:spacing w:line="240" w:lineRule="auto"/>
        <w:ind w:left="720"/>
        <w:rPr>
          <w:rFonts w:ascii="Times New Roman" w:hAnsi="Times New Roman" w:cs="Times New Roman"/>
          <w:sz w:val="24"/>
          <w:szCs w:val="24"/>
        </w:rPr>
      </w:pPr>
      <w:r w:rsidRPr="0036299A">
        <w:rPr>
          <w:rFonts w:ascii="Times New Roman" w:hAnsi="Times New Roman" w:cs="Times New Roman"/>
          <w:sz w:val="24"/>
          <w:szCs w:val="24"/>
        </w:rPr>
        <w:t>2121 Berkeley Way West, Room 5314</w:t>
      </w:r>
    </w:p>
    <w:p w14:paraId="21EE40AE" w14:textId="7E1F9F45" w:rsidR="00071238" w:rsidRPr="0036299A" w:rsidRDefault="00071238" w:rsidP="0036299A">
      <w:pPr>
        <w:spacing w:line="240" w:lineRule="auto"/>
        <w:ind w:left="720"/>
        <w:rPr>
          <w:rFonts w:ascii="Times New Roman" w:hAnsi="Times New Roman" w:cs="Times New Roman"/>
          <w:sz w:val="24"/>
          <w:szCs w:val="24"/>
        </w:rPr>
      </w:pPr>
      <w:r w:rsidRPr="0036299A">
        <w:rPr>
          <w:rFonts w:ascii="Times New Roman" w:hAnsi="Times New Roman" w:cs="Times New Roman"/>
          <w:sz w:val="24"/>
          <w:szCs w:val="24"/>
        </w:rPr>
        <w:t>Berkeley, CA 94720</w:t>
      </w:r>
    </w:p>
    <w:p w14:paraId="372B517B" w14:textId="73174CB7" w:rsidR="00896419" w:rsidRPr="0036299A" w:rsidRDefault="00896419" w:rsidP="0036299A">
      <w:pPr>
        <w:spacing w:line="240" w:lineRule="auto"/>
        <w:rPr>
          <w:rFonts w:ascii="Times New Roman" w:hAnsi="Times New Roman" w:cs="Times New Roman"/>
          <w:sz w:val="24"/>
          <w:szCs w:val="24"/>
        </w:rPr>
      </w:pPr>
      <w:r w:rsidRPr="0036299A">
        <w:rPr>
          <w:rFonts w:ascii="Times New Roman" w:hAnsi="Times New Roman" w:cs="Times New Roman"/>
          <w:sz w:val="24"/>
          <w:szCs w:val="24"/>
        </w:rPr>
        <w:t>Kevin T Chen, MPH</w:t>
      </w:r>
      <w:r w:rsidR="00B24B88" w:rsidRPr="0036299A">
        <w:rPr>
          <w:rFonts w:ascii="Times New Roman" w:hAnsi="Times New Roman" w:cs="Times New Roman"/>
          <w:sz w:val="24"/>
          <w:szCs w:val="24"/>
          <w:vertAlign w:val="superscript"/>
        </w:rPr>
        <w:t>1</w:t>
      </w:r>
    </w:p>
    <w:p w14:paraId="17160815" w14:textId="571EB4F9" w:rsidR="00896419" w:rsidRPr="0036299A" w:rsidRDefault="00B24B88" w:rsidP="0036299A">
      <w:pPr>
        <w:spacing w:line="240" w:lineRule="auto"/>
        <w:rPr>
          <w:rFonts w:ascii="Times New Roman" w:hAnsi="Times New Roman" w:cs="Times New Roman"/>
          <w:sz w:val="24"/>
          <w:szCs w:val="24"/>
          <w:vertAlign w:val="superscript"/>
        </w:rPr>
      </w:pPr>
      <w:r w:rsidRPr="0036299A">
        <w:rPr>
          <w:rFonts w:ascii="Times New Roman" w:hAnsi="Times New Roman" w:cs="Times New Roman"/>
          <w:sz w:val="24"/>
          <w:szCs w:val="24"/>
        </w:rPr>
        <w:t xml:space="preserve">Holly C </w:t>
      </w:r>
      <w:r w:rsidR="004565B4">
        <w:rPr>
          <w:rFonts w:ascii="Times New Roman" w:hAnsi="Times New Roman" w:cs="Times New Roman"/>
          <w:sz w:val="24"/>
          <w:szCs w:val="24"/>
        </w:rPr>
        <w:t>Elser</w:t>
      </w:r>
      <w:r w:rsidR="00207467" w:rsidRPr="0036299A">
        <w:rPr>
          <w:rFonts w:ascii="Times New Roman" w:hAnsi="Times New Roman" w:cs="Times New Roman"/>
          <w:sz w:val="24"/>
          <w:szCs w:val="24"/>
        </w:rPr>
        <w:t>, PhD</w:t>
      </w:r>
      <w:r w:rsidR="00623637" w:rsidRPr="0036299A">
        <w:rPr>
          <w:rFonts w:ascii="Times New Roman" w:hAnsi="Times New Roman" w:cs="Times New Roman"/>
          <w:sz w:val="24"/>
          <w:szCs w:val="24"/>
          <w:vertAlign w:val="superscript"/>
        </w:rPr>
        <w:t>2</w:t>
      </w:r>
    </w:p>
    <w:p w14:paraId="39286AE3" w14:textId="6DDEBFFC" w:rsidR="00896419" w:rsidRPr="0036299A" w:rsidRDefault="00896419" w:rsidP="0036299A">
      <w:pPr>
        <w:spacing w:line="240" w:lineRule="auto"/>
        <w:rPr>
          <w:rFonts w:ascii="Times New Roman" w:hAnsi="Times New Roman" w:cs="Times New Roman"/>
          <w:sz w:val="24"/>
          <w:szCs w:val="24"/>
        </w:rPr>
      </w:pPr>
      <w:r w:rsidRPr="0036299A">
        <w:rPr>
          <w:rFonts w:ascii="Times New Roman" w:hAnsi="Times New Roman" w:cs="Times New Roman"/>
          <w:sz w:val="24"/>
          <w:szCs w:val="24"/>
        </w:rPr>
        <w:t>Sally Picciotto</w:t>
      </w:r>
      <w:r w:rsidR="00651EC2" w:rsidRPr="0036299A">
        <w:rPr>
          <w:rFonts w:ascii="Times New Roman" w:hAnsi="Times New Roman" w:cs="Times New Roman"/>
          <w:sz w:val="24"/>
          <w:szCs w:val="24"/>
        </w:rPr>
        <w:t>, PhD</w:t>
      </w:r>
      <w:r w:rsidR="00B24B88" w:rsidRPr="0036299A">
        <w:rPr>
          <w:rFonts w:ascii="Times New Roman" w:hAnsi="Times New Roman" w:cs="Times New Roman"/>
          <w:sz w:val="24"/>
          <w:szCs w:val="24"/>
          <w:vertAlign w:val="superscript"/>
        </w:rPr>
        <w:t>1</w:t>
      </w:r>
    </w:p>
    <w:p w14:paraId="6C38ABC8" w14:textId="08229733" w:rsidR="00651EC2" w:rsidRPr="0036299A" w:rsidRDefault="00651EC2" w:rsidP="0036299A">
      <w:pPr>
        <w:spacing w:line="240" w:lineRule="auto"/>
        <w:rPr>
          <w:rFonts w:ascii="Times New Roman" w:hAnsi="Times New Roman" w:cs="Times New Roman"/>
          <w:sz w:val="24"/>
          <w:szCs w:val="24"/>
        </w:rPr>
      </w:pPr>
      <w:r w:rsidRPr="0036299A">
        <w:rPr>
          <w:rFonts w:ascii="Times New Roman" w:hAnsi="Times New Roman" w:cs="Times New Roman"/>
          <w:sz w:val="24"/>
          <w:szCs w:val="24"/>
        </w:rPr>
        <w:t>Corinne</w:t>
      </w:r>
      <w:r w:rsidR="004349AC" w:rsidRPr="0036299A">
        <w:rPr>
          <w:rFonts w:ascii="Times New Roman" w:hAnsi="Times New Roman" w:cs="Times New Roman"/>
          <w:sz w:val="24"/>
          <w:szCs w:val="24"/>
        </w:rPr>
        <w:t xml:space="preserve"> A</w:t>
      </w:r>
      <w:r w:rsidRPr="0036299A">
        <w:rPr>
          <w:rFonts w:ascii="Times New Roman" w:hAnsi="Times New Roman" w:cs="Times New Roman"/>
          <w:sz w:val="24"/>
          <w:szCs w:val="24"/>
        </w:rPr>
        <w:t xml:space="preserve"> Riddell, PhD</w:t>
      </w:r>
      <w:r w:rsidR="00F32933" w:rsidRPr="0036299A">
        <w:rPr>
          <w:rFonts w:ascii="Times New Roman" w:hAnsi="Times New Roman" w:cs="Times New Roman"/>
          <w:sz w:val="24"/>
          <w:szCs w:val="24"/>
          <w:vertAlign w:val="superscript"/>
        </w:rPr>
        <w:t>3</w:t>
      </w:r>
    </w:p>
    <w:p w14:paraId="27370062" w14:textId="54AB2F38" w:rsidR="00896419" w:rsidRPr="0036299A" w:rsidRDefault="00896419" w:rsidP="0036299A">
      <w:pPr>
        <w:spacing w:line="240" w:lineRule="auto"/>
        <w:rPr>
          <w:rFonts w:ascii="Times New Roman" w:hAnsi="Times New Roman" w:cs="Times New Roman"/>
          <w:sz w:val="24"/>
          <w:szCs w:val="24"/>
        </w:rPr>
      </w:pPr>
      <w:r w:rsidRPr="0036299A">
        <w:rPr>
          <w:rFonts w:ascii="Times New Roman" w:hAnsi="Times New Roman" w:cs="Times New Roman"/>
          <w:sz w:val="24"/>
          <w:szCs w:val="24"/>
        </w:rPr>
        <w:t>Mary A Combs, MA</w:t>
      </w:r>
      <w:r w:rsidR="00F37D51" w:rsidRPr="0036299A">
        <w:rPr>
          <w:rFonts w:ascii="Times New Roman" w:hAnsi="Times New Roman" w:cs="Times New Roman"/>
          <w:sz w:val="24"/>
          <w:szCs w:val="24"/>
          <w:vertAlign w:val="superscript"/>
        </w:rPr>
        <w:t>3</w:t>
      </w:r>
    </w:p>
    <w:p w14:paraId="1E1ACD2D" w14:textId="76D46CD4" w:rsidR="00896419" w:rsidRPr="0036299A" w:rsidRDefault="001E5CD9" w:rsidP="0036299A">
      <w:pPr>
        <w:spacing w:line="240" w:lineRule="auto"/>
        <w:rPr>
          <w:rFonts w:ascii="Times New Roman" w:hAnsi="Times New Roman" w:cs="Times New Roman"/>
          <w:sz w:val="24"/>
          <w:szCs w:val="24"/>
        </w:rPr>
      </w:pPr>
      <w:r w:rsidRPr="0036299A">
        <w:rPr>
          <w:rFonts w:ascii="Times New Roman" w:hAnsi="Times New Roman" w:cs="Times New Roman"/>
          <w:sz w:val="24"/>
          <w:szCs w:val="24"/>
        </w:rPr>
        <w:t>Suzanne</w:t>
      </w:r>
      <w:r w:rsidR="008F20BC" w:rsidRPr="0036299A">
        <w:rPr>
          <w:rFonts w:ascii="Times New Roman" w:hAnsi="Times New Roman" w:cs="Times New Roman"/>
          <w:sz w:val="24"/>
          <w:szCs w:val="24"/>
        </w:rPr>
        <w:t xml:space="preserve"> M Dufault, MA</w:t>
      </w:r>
      <w:r w:rsidR="00C148B8" w:rsidRPr="0036299A">
        <w:rPr>
          <w:rFonts w:ascii="Times New Roman" w:hAnsi="Times New Roman" w:cs="Times New Roman"/>
          <w:sz w:val="24"/>
          <w:szCs w:val="24"/>
          <w:vertAlign w:val="superscript"/>
        </w:rPr>
        <w:t>3</w:t>
      </w:r>
    </w:p>
    <w:p w14:paraId="0A6BF6B7" w14:textId="074FD61C" w:rsidR="008F20BC" w:rsidRPr="0036299A" w:rsidRDefault="008F20BC" w:rsidP="0036299A">
      <w:pPr>
        <w:spacing w:line="240" w:lineRule="auto"/>
        <w:rPr>
          <w:rFonts w:ascii="Times New Roman" w:hAnsi="Times New Roman" w:cs="Times New Roman"/>
          <w:sz w:val="24"/>
          <w:szCs w:val="24"/>
        </w:rPr>
      </w:pPr>
      <w:r w:rsidRPr="0036299A">
        <w:rPr>
          <w:rFonts w:ascii="Times New Roman" w:hAnsi="Times New Roman" w:cs="Times New Roman"/>
          <w:sz w:val="24"/>
          <w:szCs w:val="24"/>
        </w:rPr>
        <w:t>Sidra Goldman-Mellor, PhD</w:t>
      </w:r>
      <w:r w:rsidR="00744DDA">
        <w:rPr>
          <w:rFonts w:ascii="Times New Roman" w:hAnsi="Times New Roman" w:cs="Times New Roman"/>
          <w:sz w:val="24"/>
          <w:szCs w:val="24"/>
          <w:vertAlign w:val="superscript"/>
        </w:rPr>
        <w:t>3</w:t>
      </w:r>
    </w:p>
    <w:p w14:paraId="562F79EF" w14:textId="4878A58F" w:rsidR="008F20BC" w:rsidRPr="0036299A" w:rsidRDefault="008F20BC" w:rsidP="0036299A">
      <w:pPr>
        <w:spacing w:line="240" w:lineRule="auto"/>
        <w:rPr>
          <w:rFonts w:ascii="Times New Roman" w:hAnsi="Times New Roman" w:cs="Times New Roman"/>
          <w:sz w:val="24"/>
          <w:szCs w:val="24"/>
        </w:rPr>
      </w:pPr>
      <w:r w:rsidRPr="0036299A">
        <w:rPr>
          <w:rFonts w:ascii="Times New Roman" w:hAnsi="Times New Roman" w:cs="Times New Roman"/>
          <w:sz w:val="24"/>
          <w:szCs w:val="24"/>
        </w:rPr>
        <w:t>Joshua Cohen</w:t>
      </w:r>
      <w:r w:rsidR="00AF0FFE" w:rsidRPr="0036299A">
        <w:rPr>
          <w:rFonts w:ascii="Times New Roman" w:hAnsi="Times New Roman" w:cs="Times New Roman"/>
          <w:sz w:val="24"/>
          <w:szCs w:val="24"/>
        </w:rPr>
        <w:t>, PhD</w:t>
      </w:r>
      <w:r w:rsidR="00744DDA">
        <w:rPr>
          <w:rFonts w:ascii="Times New Roman" w:hAnsi="Times New Roman" w:cs="Times New Roman"/>
          <w:sz w:val="24"/>
          <w:szCs w:val="24"/>
          <w:vertAlign w:val="superscript"/>
        </w:rPr>
        <w:t>5</w:t>
      </w:r>
    </w:p>
    <w:p w14:paraId="7E9A104C" w14:textId="60F76128" w:rsidR="00B24B88" w:rsidRPr="0036299A" w:rsidRDefault="00B24B88" w:rsidP="0036299A">
      <w:pPr>
        <w:spacing w:line="240" w:lineRule="auto"/>
        <w:rPr>
          <w:rFonts w:ascii="Times New Roman" w:hAnsi="Times New Roman" w:cs="Times New Roman"/>
          <w:sz w:val="24"/>
          <w:szCs w:val="24"/>
        </w:rPr>
      </w:pPr>
      <w:r w:rsidRPr="0036299A">
        <w:rPr>
          <w:rFonts w:ascii="Times New Roman" w:hAnsi="Times New Roman" w:cs="Times New Roman"/>
          <w:b/>
          <w:sz w:val="24"/>
          <w:szCs w:val="24"/>
        </w:rPr>
        <w:t>Affiliations:</w:t>
      </w:r>
    </w:p>
    <w:p w14:paraId="279477E5" w14:textId="766964F3" w:rsidR="00B24B88" w:rsidRPr="0036299A" w:rsidRDefault="00B24B88" w:rsidP="0036299A">
      <w:pPr>
        <w:spacing w:line="240" w:lineRule="auto"/>
        <w:rPr>
          <w:rFonts w:ascii="Times New Roman" w:hAnsi="Times New Roman" w:cs="Times New Roman"/>
          <w:sz w:val="24"/>
          <w:szCs w:val="24"/>
        </w:rPr>
      </w:pPr>
      <w:r w:rsidRPr="0036299A">
        <w:rPr>
          <w:rFonts w:ascii="Times New Roman" w:hAnsi="Times New Roman" w:cs="Times New Roman"/>
          <w:sz w:val="24"/>
          <w:szCs w:val="24"/>
          <w:vertAlign w:val="superscript"/>
        </w:rPr>
        <w:t>1</w:t>
      </w:r>
      <w:r w:rsidRPr="0036299A">
        <w:rPr>
          <w:rFonts w:ascii="Times New Roman" w:hAnsi="Times New Roman" w:cs="Times New Roman"/>
          <w:sz w:val="24"/>
          <w:szCs w:val="24"/>
        </w:rPr>
        <w:t xml:space="preserve"> </w:t>
      </w:r>
      <w:r w:rsidR="008E167C" w:rsidRPr="0036299A">
        <w:rPr>
          <w:rFonts w:ascii="Times New Roman" w:hAnsi="Times New Roman" w:cs="Times New Roman"/>
          <w:sz w:val="24"/>
          <w:szCs w:val="24"/>
        </w:rPr>
        <w:t xml:space="preserve">Division of Environmental Health Sciences, </w:t>
      </w:r>
      <w:r w:rsidR="00711C47" w:rsidRPr="0036299A">
        <w:rPr>
          <w:rFonts w:ascii="Times New Roman" w:hAnsi="Times New Roman" w:cs="Times New Roman"/>
          <w:sz w:val="24"/>
          <w:szCs w:val="24"/>
        </w:rPr>
        <w:t xml:space="preserve">School of Public Health, </w:t>
      </w:r>
      <w:r w:rsidRPr="0036299A">
        <w:rPr>
          <w:rFonts w:ascii="Times New Roman" w:hAnsi="Times New Roman" w:cs="Times New Roman"/>
          <w:sz w:val="24"/>
          <w:szCs w:val="24"/>
        </w:rPr>
        <w:t>University of California, Berkeley</w:t>
      </w:r>
    </w:p>
    <w:p w14:paraId="6779FF6E" w14:textId="2DF7B2A8" w:rsidR="001A05A3" w:rsidRPr="0036299A" w:rsidRDefault="001A05A3" w:rsidP="0036299A">
      <w:pPr>
        <w:spacing w:line="240" w:lineRule="auto"/>
        <w:rPr>
          <w:rFonts w:ascii="Times New Roman" w:hAnsi="Times New Roman" w:cs="Times New Roman"/>
          <w:sz w:val="24"/>
          <w:szCs w:val="24"/>
        </w:rPr>
      </w:pPr>
      <w:r w:rsidRPr="0036299A">
        <w:rPr>
          <w:rFonts w:ascii="Times New Roman" w:hAnsi="Times New Roman" w:cs="Times New Roman"/>
          <w:sz w:val="24"/>
          <w:szCs w:val="24"/>
          <w:vertAlign w:val="superscript"/>
        </w:rPr>
        <w:t>2</w:t>
      </w:r>
      <w:r w:rsidRPr="0036299A">
        <w:rPr>
          <w:rFonts w:ascii="Times New Roman" w:hAnsi="Times New Roman" w:cs="Times New Roman"/>
          <w:sz w:val="24"/>
          <w:szCs w:val="24"/>
        </w:rPr>
        <w:t xml:space="preserve"> School of Medicine, Stanford University</w:t>
      </w:r>
    </w:p>
    <w:p w14:paraId="257905E5" w14:textId="077BB5CB" w:rsidR="007E6BEB" w:rsidRPr="0036299A" w:rsidRDefault="007E6BEB" w:rsidP="0036299A">
      <w:pPr>
        <w:spacing w:line="240" w:lineRule="auto"/>
        <w:rPr>
          <w:rFonts w:ascii="Times New Roman" w:hAnsi="Times New Roman" w:cs="Times New Roman"/>
          <w:b/>
          <w:sz w:val="24"/>
          <w:szCs w:val="24"/>
        </w:rPr>
      </w:pPr>
      <w:r w:rsidRPr="0036299A">
        <w:rPr>
          <w:rFonts w:ascii="Times New Roman" w:hAnsi="Times New Roman" w:cs="Times New Roman"/>
          <w:sz w:val="24"/>
          <w:szCs w:val="24"/>
          <w:vertAlign w:val="superscript"/>
        </w:rPr>
        <w:t>3</w:t>
      </w:r>
      <w:r w:rsidRPr="0036299A">
        <w:rPr>
          <w:rFonts w:ascii="Times New Roman" w:hAnsi="Times New Roman" w:cs="Times New Roman"/>
          <w:sz w:val="24"/>
          <w:szCs w:val="24"/>
        </w:rPr>
        <w:t xml:space="preserve"> Division of </w:t>
      </w:r>
      <w:r w:rsidR="005F3835" w:rsidRPr="0036299A">
        <w:rPr>
          <w:rFonts w:ascii="Times New Roman" w:hAnsi="Times New Roman" w:cs="Times New Roman"/>
          <w:sz w:val="24"/>
          <w:szCs w:val="24"/>
        </w:rPr>
        <w:t xml:space="preserve">Epidemiology </w:t>
      </w:r>
      <w:r w:rsidR="005F3835">
        <w:rPr>
          <w:rFonts w:ascii="Times New Roman" w:hAnsi="Times New Roman" w:cs="Times New Roman"/>
          <w:sz w:val="24"/>
          <w:szCs w:val="24"/>
        </w:rPr>
        <w:t xml:space="preserve">and </w:t>
      </w:r>
      <w:r w:rsidRPr="0036299A">
        <w:rPr>
          <w:rFonts w:ascii="Times New Roman" w:hAnsi="Times New Roman" w:cs="Times New Roman"/>
          <w:sz w:val="24"/>
          <w:szCs w:val="24"/>
        </w:rPr>
        <w:t>Biostatistics, School of Public Health, University of California, Berkeley</w:t>
      </w:r>
    </w:p>
    <w:p w14:paraId="4477B54A" w14:textId="71215C4C" w:rsidR="00D649A3" w:rsidRPr="0036299A" w:rsidRDefault="00B5677D" w:rsidP="0036299A">
      <w:pPr>
        <w:spacing w:line="240" w:lineRule="auto"/>
        <w:rPr>
          <w:rFonts w:ascii="Times New Roman" w:hAnsi="Times New Roman" w:cs="Times New Roman"/>
          <w:sz w:val="24"/>
          <w:szCs w:val="24"/>
        </w:rPr>
      </w:pPr>
      <w:r>
        <w:rPr>
          <w:rFonts w:ascii="Times New Roman" w:hAnsi="Times New Roman" w:cs="Times New Roman"/>
          <w:sz w:val="24"/>
          <w:szCs w:val="24"/>
          <w:vertAlign w:val="superscript"/>
        </w:rPr>
        <w:t>4</w:t>
      </w:r>
      <w:r w:rsidR="00D649A3" w:rsidRPr="0036299A">
        <w:rPr>
          <w:rFonts w:ascii="Times New Roman" w:hAnsi="Times New Roman" w:cs="Times New Roman"/>
          <w:sz w:val="24"/>
          <w:szCs w:val="24"/>
        </w:rPr>
        <w:t xml:space="preserve"> Department of Public Health, School of Social Sciences, Humanities, and Arts, University of California, Merced</w:t>
      </w:r>
    </w:p>
    <w:p w14:paraId="11E424C1" w14:textId="2AB76639" w:rsidR="00E16029" w:rsidRPr="0036299A" w:rsidRDefault="00B5677D" w:rsidP="0036299A">
      <w:pPr>
        <w:spacing w:line="240" w:lineRule="auto"/>
        <w:rPr>
          <w:rFonts w:ascii="Times New Roman" w:hAnsi="Times New Roman" w:cs="Times New Roman"/>
          <w:sz w:val="24"/>
          <w:szCs w:val="24"/>
        </w:rPr>
      </w:pPr>
      <w:r>
        <w:rPr>
          <w:rFonts w:ascii="Times New Roman" w:hAnsi="Times New Roman" w:cs="Times New Roman"/>
          <w:sz w:val="24"/>
          <w:szCs w:val="24"/>
          <w:vertAlign w:val="superscript"/>
        </w:rPr>
        <w:t>5</w:t>
      </w:r>
      <w:r w:rsidR="00614DC5" w:rsidRPr="0036299A">
        <w:rPr>
          <w:rFonts w:ascii="Times New Roman" w:hAnsi="Times New Roman" w:cs="Times New Roman"/>
          <w:sz w:val="24"/>
          <w:szCs w:val="24"/>
        </w:rPr>
        <w:t xml:space="preserve"> </w:t>
      </w:r>
      <w:r w:rsidR="00274342" w:rsidRPr="0036299A">
        <w:rPr>
          <w:rFonts w:ascii="Times New Roman" w:hAnsi="Times New Roman" w:cs="Times New Roman"/>
          <w:sz w:val="24"/>
          <w:szCs w:val="24"/>
        </w:rPr>
        <w:t>Apple University, Apple Inc., Cupertino, CA</w:t>
      </w:r>
    </w:p>
    <w:p w14:paraId="4A36DFBD" w14:textId="736CB4E8" w:rsidR="00ED6DBA" w:rsidRDefault="00CB7898" w:rsidP="00D8533C">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r w:rsidR="00ED6DBA">
        <w:rPr>
          <w:rFonts w:ascii="Times New Roman" w:hAnsi="Times New Roman" w:cs="Times New Roman"/>
          <w:b/>
          <w:sz w:val="24"/>
          <w:szCs w:val="24"/>
        </w:rPr>
        <w:lastRenderedPageBreak/>
        <w:t>Key Points</w:t>
      </w:r>
    </w:p>
    <w:p w14:paraId="40F4219A" w14:textId="77777777" w:rsidR="00075BFE" w:rsidRPr="00075BFE" w:rsidRDefault="00075BFE" w:rsidP="00D8533C">
      <w:pPr>
        <w:spacing w:line="480" w:lineRule="auto"/>
        <w:rPr>
          <w:rFonts w:ascii="Times New Roman" w:hAnsi="Times New Roman" w:cs="Times New Roman"/>
          <w:sz w:val="24"/>
          <w:szCs w:val="24"/>
        </w:rPr>
      </w:pPr>
      <w:r w:rsidRPr="0011524A">
        <w:rPr>
          <w:rFonts w:ascii="Times New Roman" w:hAnsi="Times New Roman" w:cs="Times New Roman"/>
          <w:b/>
          <w:sz w:val="24"/>
          <w:szCs w:val="24"/>
        </w:rPr>
        <w:t>Question:</w:t>
      </w:r>
      <w:r w:rsidRPr="00075BFE">
        <w:rPr>
          <w:rFonts w:ascii="Times New Roman" w:hAnsi="Times New Roman" w:cs="Times New Roman"/>
          <w:sz w:val="24"/>
          <w:szCs w:val="24"/>
        </w:rPr>
        <w:t xml:space="preserve"> Is risk of suicide or overdose among Michigan autoworkers associated with leaving work before retirement age during the period of decline in the domestic automobile industry?</w:t>
      </w:r>
    </w:p>
    <w:p w14:paraId="70B9F2F3" w14:textId="4454E783" w:rsidR="00075BFE" w:rsidRPr="00075BFE" w:rsidRDefault="00075BFE" w:rsidP="00D8533C">
      <w:pPr>
        <w:spacing w:line="480" w:lineRule="auto"/>
        <w:rPr>
          <w:rFonts w:ascii="Times New Roman" w:hAnsi="Times New Roman" w:cs="Times New Roman"/>
          <w:sz w:val="24"/>
          <w:szCs w:val="24"/>
        </w:rPr>
      </w:pPr>
      <w:r w:rsidRPr="0011524A">
        <w:rPr>
          <w:rFonts w:ascii="Times New Roman" w:hAnsi="Times New Roman" w:cs="Times New Roman"/>
          <w:b/>
          <w:sz w:val="24"/>
          <w:szCs w:val="24"/>
        </w:rPr>
        <w:t>Findings:</w:t>
      </w:r>
      <w:r w:rsidRPr="00075BFE">
        <w:rPr>
          <w:rFonts w:ascii="Times New Roman" w:hAnsi="Times New Roman" w:cs="Times New Roman"/>
          <w:sz w:val="24"/>
          <w:szCs w:val="24"/>
        </w:rPr>
        <w:t xml:space="preserve"> In a longitudinal study of 26,890 autoworkers, risk of suicide was 17 times higher for those who left work than for those still employed. Workers who left work in their 20s or 30s had twice the risk of suicide or overdose relative to </w:t>
      </w:r>
      <w:r w:rsidR="009C5706">
        <w:rPr>
          <w:rFonts w:ascii="Times New Roman" w:hAnsi="Times New Roman" w:cs="Times New Roman"/>
          <w:sz w:val="24"/>
          <w:szCs w:val="24"/>
        </w:rPr>
        <w:t>those who left for retirement.</w:t>
      </w:r>
    </w:p>
    <w:p w14:paraId="28AA4499" w14:textId="77777777" w:rsidR="00075BFE" w:rsidRPr="00075BFE" w:rsidRDefault="00075BFE" w:rsidP="00D8533C">
      <w:pPr>
        <w:spacing w:line="480" w:lineRule="auto"/>
        <w:rPr>
          <w:rFonts w:ascii="Times New Roman" w:hAnsi="Times New Roman" w:cs="Times New Roman"/>
          <w:sz w:val="24"/>
          <w:szCs w:val="24"/>
        </w:rPr>
      </w:pPr>
      <w:r w:rsidRPr="0011524A">
        <w:rPr>
          <w:rFonts w:ascii="Times New Roman" w:hAnsi="Times New Roman" w:cs="Times New Roman"/>
          <w:b/>
          <w:sz w:val="24"/>
          <w:szCs w:val="24"/>
        </w:rPr>
        <w:t>Meaning:</w:t>
      </w:r>
      <w:r w:rsidRPr="00075BFE">
        <w:rPr>
          <w:rFonts w:ascii="Times New Roman" w:hAnsi="Times New Roman" w:cs="Times New Roman"/>
          <w:sz w:val="24"/>
          <w:szCs w:val="24"/>
        </w:rPr>
        <w:t xml:space="preserve"> Most events occurred within five years of leaving work, suggesting that involuntary job loss may lead to suicide and fatal overdose.</w:t>
      </w:r>
    </w:p>
    <w:p w14:paraId="57217678" w14:textId="356F7705" w:rsidR="00E35037" w:rsidRDefault="00ED6DBA" w:rsidP="00D8533C">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r w:rsidR="00E35037">
        <w:rPr>
          <w:rFonts w:ascii="Times New Roman" w:hAnsi="Times New Roman" w:cs="Times New Roman"/>
          <w:b/>
          <w:sz w:val="24"/>
          <w:szCs w:val="24"/>
        </w:rPr>
        <w:lastRenderedPageBreak/>
        <w:t>Abstract</w:t>
      </w:r>
    </w:p>
    <w:p w14:paraId="62456E37" w14:textId="56CED07F" w:rsidR="007A79B1" w:rsidRPr="001E35A2" w:rsidRDefault="007A79B1" w:rsidP="00D8533C">
      <w:pPr>
        <w:spacing w:line="480" w:lineRule="auto"/>
        <w:rPr>
          <w:rFonts w:ascii="Times New Roman" w:hAnsi="Times New Roman" w:cs="Times New Roman"/>
          <w:sz w:val="24"/>
          <w:szCs w:val="24"/>
        </w:rPr>
      </w:pPr>
      <w:r w:rsidRPr="001E35A2">
        <w:rPr>
          <w:rFonts w:ascii="Times New Roman" w:hAnsi="Times New Roman" w:cs="Times New Roman"/>
          <w:b/>
          <w:sz w:val="24"/>
          <w:szCs w:val="24"/>
        </w:rPr>
        <w:t>Importance</w:t>
      </w:r>
      <w:r w:rsidRPr="001E35A2">
        <w:rPr>
          <w:rFonts w:ascii="Times New Roman" w:hAnsi="Times New Roman" w:cs="Times New Roman"/>
          <w:sz w:val="24"/>
          <w:szCs w:val="24"/>
        </w:rPr>
        <w:t>: Implications of</w:t>
      </w:r>
      <w:r w:rsidR="00142462" w:rsidRPr="001E35A2">
        <w:rPr>
          <w:rFonts w:ascii="Times New Roman" w:hAnsi="Times New Roman" w:cs="Times New Roman"/>
          <w:sz w:val="24"/>
          <w:szCs w:val="24"/>
        </w:rPr>
        <w:t xml:space="preserve"> the declin</w:t>
      </w:r>
      <w:r w:rsidR="00C908EE" w:rsidRPr="001E35A2">
        <w:rPr>
          <w:rFonts w:ascii="Times New Roman" w:hAnsi="Times New Roman" w:cs="Times New Roman"/>
          <w:sz w:val="24"/>
          <w:szCs w:val="24"/>
        </w:rPr>
        <w:t>e</w:t>
      </w:r>
      <w:r w:rsidR="00142462" w:rsidRPr="001E35A2">
        <w:rPr>
          <w:rFonts w:ascii="Times New Roman" w:hAnsi="Times New Roman" w:cs="Times New Roman"/>
          <w:sz w:val="24"/>
          <w:szCs w:val="24"/>
        </w:rPr>
        <w:t xml:space="preserve"> </w:t>
      </w:r>
      <w:r w:rsidR="00A402B9" w:rsidRPr="001E35A2">
        <w:rPr>
          <w:rFonts w:ascii="Times New Roman" w:hAnsi="Times New Roman" w:cs="Times New Roman"/>
          <w:sz w:val="24"/>
          <w:szCs w:val="24"/>
        </w:rPr>
        <w:t xml:space="preserve">in the </w:t>
      </w:r>
      <w:r w:rsidRPr="001E35A2">
        <w:rPr>
          <w:rFonts w:ascii="Times New Roman" w:hAnsi="Times New Roman" w:cs="Times New Roman"/>
          <w:sz w:val="24"/>
          <w:szCs w:val="24"/>
        </w:rPr>
        <w:t xml:space="preserve">US automobile industry for the </w:t>
      </w:r>
      <w:r w:rsidR="009C38C4" w:rsidRPr="001E35A2">
        <w:rPr>
          <w:rFonts w:ascii="Times New Roman" w:hAnsi="Times New Roman" w:cs="Times New Roman"/>
          <w:sz w:val="24"/>
          <w:szCs w:val="24"/>
        </w:rPr>
        <w:t>mental health and safety</w:t>
      </w:r>
      <w:r w:rsidRPr="001E35A2">
        <w:rPr>
          <w:rFonts w:ascii="Times New Roman" w:hAnsi="Times New Roman" w:cs="Times New Roman"/>
          <w:sz w:val="24"/>
          <w:szCs w:val="24"/>
        </w:rPr>
        <w:t xml:space="preserve"> of Michigan autoworkers.</w:t>
      </w:r>
    </w:p>
    <w:p w14:paraId="1CA20D73" w14:textId="1D55C36D" w:rsidR="007A79B1" w:rsidRPr="001E35A2" w:rsidRDefault="007A79B1" w:rsidP="00D8533C">
      <w:pPr>
        <w:spacing w:line="480" w:lineRule="auto"/>
        <w:rPr>
          <w:rFonts w:ascii="Times New Roman" w:hAnsi="Times New Roman" w:cs="Times New Roman"/>
          <w:sz w:val="24"/>
          <w:szCs w:val="24"/>
        </w:rPr>
      </w:pPr>
      <w:r w:rsidRPr="001E35A2">
        <w:rPr>
          <w:rFonts w:ascii="Times New Roman" w:hAnsi="Times New Roman" w:cs="Times New Roman"/>
          <w:b/>
          <w:sz w:val="24"/>
          <w:szCs w:val="24"/>
        </w:rPr>
        <w:t>Objective</w:t>
      </w:r>
      <w:r w:rsidRPr="001E35A2">
        <w:rPr>
          <w:rFonts w:ascii="Times New Roman" w:hAnsi="Times New Roman" w:cs="Times New Roman"/>
          <w:sz w:val="24"/>
          <w:szCs w:val="24"/>
        </w:rPr>
        <w:t>: We examine</w:t>
      </w:r>
      <w:r w:rsidR="006F2226" w:rsidRPr="001E35A2">
        <w:rPr>
          <w:rFonts w:ascii="Times New Roman" w:hAnsi="Times New Roman" w:cs="Times New Roman"/>
          <w:sz w:val="24"/>
          <w:szCs w:val="24"/>
        </w:rPr>
        <w:t>d</w:t>
      </w:r>
      <w:r w:rsidRPr="001E35A2">
        <w:rPr>
          <w:rFonts w:ascii="Times New Roman" w:hAnsi="Times New Roman" w:cs="Times New Roman"/>
          <w:sz w:val="24"/>
          <w:szCs w:val="24"/>
        </w:rPr>
        <w:t xml:space="preserve"> </w:t>
      </w:r>
      <w:r w:rsidR="00485D51" w:rsidRPr="001E35A2">
        <w:rPr>
          <w:rFonts w:ascii="Times New Roman" w:hAnsi="Times New Roman" w:cs="Times New Roman"/>
          <w:sz w:val="24"/>
          <w:szCs w:val="24"/>
        </w:rPr>
        <w:t xml:space="preserve">worker exit </w:t>
      </w:r>
      <w:r w:rsidRPr="001E35A2">
        <w:rPr>
          <w:rFonts w:ascii="Times New Roman" w:hAnsi="Times New Roman" w:cs="Times New Roman"/>
          <w:sz w:val="24"/>
          <w:szCs w:val="24"/>
        </w:rPr>
        <w:t>and risk of suicide and fatal overdose</w:t>
      </w:r>
      <w:r w:rsidR="00A02181" w:rsidRPr="001E35A2">
        <w:rPr>
          <w:rFonts w:ascii="Times New Roman" w:hAnsi="Times New Roman" w:cs="Times New Roman"/>
          <w:sz w:val="24"/>
          <w:szCs w:val="24"/>
        </w:rPr>
        <w:t xml:space="preserve"> among</w:t>
      </w:r>
      <w:r w:rsidR="00F467B2" w:rsidRPr="001E35A2">
        <w:rPr>
          <w:rFonts w:ascii="Times New Roman" w:hAnsi="Times New Roman" w:cs="Times New Roman"/>
          <w:sz w:val="24"/>
          <w:szCs w:val="24"/>
        </w:rPr>
        <w:t xml:space="preserve"> male</w:t>
      </w:r>
      <w:r w:rsidR="00A02181" w:rsidRPr="001E35A2">
        <w:rPr>
          <w:rFonts w:ascii="Times New Roman" w:hAnsi="Times New Roman" w:cs="Times New Roman"/>
          <w:sz w:val="24"/>
          <w:szCs w:val="24"/>
        </w:rPr>
        <w:t xml:space="preserve"> </w:t>
      </w:r>
      <w:r w:rsidR="00F467B2" w:rsidRPr="001E35A2">
        <w:rPr>
          <w:rFonts w:ascii="Times New Roman" w:hAnsi="Times New Roman" w:cs="Times New Roman"/>
          <w:sz w:val="24"/>
          <w:szCs w:val="24"/>
        </w:rPr>
        <w:t xml:space="preserve">Michigan </w:t>
      </w:r>
      <w:r w:rsidR="00A02181" w:rsidRPr="001E35A2">
        <w:rPr>
          <w:rFonts w:ascii="Times New Roman" w:hAnsi="Times New Roman" w:cs="Times New Roman"/>
          <w:sz w:val="24"/>
          <w:szCs w:val="24"/>
        </w:rPr>
        <w:t>autoworkers</w:t>
      </w:r>
      <w:r w:rsidRPr="001E35A2">
        <w:rPr>
          <w:rFonts w:ascii="Times New Roman" w:hAnsi="Times New Roman" w:cs="Times New Roman"/>
          <w:sz w:val="24"/>
          <w:szCs w:val="24"/>
        </w:rPr>
        <w:t>.</w:t>
      </w:r>
    </w:p>
    <w:p w14:paraId="0FEAA39C" w14:textId="037351B5" w:rsidR="007A79B1" w:rsidRPr="001E35A2" w:rsidRDefault="007A79B1" w:rsidP="00D8533C">
      <w:pPr>
        <w:spacing w:line="480" w:lineRule="auto"/>
        <w:rPr>
          <w:rFonts w:ascii="Times New Roman" w:hAnsi="Times New Roman" w:cs="Times New Roman"/>
          <w:sz w:val="24"/>
          <w:szCs w:val="24"/>
        </w:rPr>
      </w:pPr>
      <w:r w:rsidRPr="001E35A2">
        <w:rPr>
          <w:rFonts w:ascii="Times New Roman" w:hAnsi="Times New Roman" w:cs="Times New Roman"/>
          <w:b/>
          <w:sz w:val="24"/>
          <w:szCs w:val="24"/>
        </w:rPr>
        <w:t>Design</w:t>
      </w:r>
      <w:r w:rsidRPr="001E35A2">
        <w:rPr>
          <w:rFonts w:ascii="Times New Roman" w:hAnsi="Times New Roman" w:cs="Times New Roman"/>
          <w:sz w:val="24"/>
          <w:szCs w:val="24"/>
        </w:rPr>
        <w:t xml:space="preserve">: </w:t>
      </w:r>
      <w:r w:rsidR="003E3A0B" w:rsidRPr="001E35A2">
        <w:rPr>
          <w:rFonts w:ascii="Times New Roman" w:hAnsi="Times New Roman" w:cs="Times New Roman"/>
          <w:sz w:val="24"/>
          <w:szCs w:val="24"/>
        </w:rPr>
        <w:t>We used i</w:t>
      </w:r>
      <w:r w:rsidR="00D6254A" w:rsidRPr="001E35A2">
        <w:rPr>
          <w:rFonts w:ascii="Times New Roman" w:hAnsi="Times New Roman" w:cs="Times New Roman"/>
          <w:sz w:val="24"/>
          <w:szCs w:val="24"/>
        </w:rPr>
        <w:t xml:space="preserve">ndividual-level data from </w:t>
      </w:r>
      <w:r w:rsidR="003E3A0B" w:rsidRPr="001E35A2">
        <w:rPr>
          <w:rFonts w:ascii="Times New Roman" w:hAnsi="Times New Roman" w:cs="Times New Roman"/>
          <w:sz w:val="24"/>
          <w:szCs w:val="24"/>
        </w:rPr>
        <w:t>a</w:t>
      </w:r>
      <w:r w:rsidR="00D6254A" w:rsidRPr="001E35A2">
        <w:rPr>
          <w:rFonts w:ascii="Times New Roman" w:hAnsi="Times New Roman" w:cs="Times New Roman"/>
          <w:sz w:val="24"/>
          <w:szCs w:val="24"/>
        </w:rPr>
        <w:t xml:space="preserve"> </w:t>
      </w:r>
      <w:r w:rsidR="00F23A53" w:rsidRPr="001E35A2">
        <w:rPr>
          <w:rFonts w:ascii="Times New Roman" w:hAnsi="Times New Roman" w:cs="Times New Roman"/>
          <w:sz w:val="24"/>
          <w:szCs w:val="24"/>
        </w:rPr>
        <w:t xml:space="preserve">retrospective </w:t>
      </w:r>
      <w:r w:rsidR="003E3A0B" w:rsidRPr="001E35A2">
        <w:rPr>
          <w:rFonts w:ascii="Times New Roman" w:hAnsi="Times New Roman" w:cs="Times New Roman"/>
          <w:sz w:val="24"/>
          <w:szCs w:val="24"/>
        </w:rPr>
        <w:t xml:space="preserve">cohort study of autoworkers in the </w:t>
      </w:r>
      <w:r w:rsidRPr="001E35A2">
        <w:rPr>
          <w:rFonts w:ascii="Times New Roman" w:hAnsi="Times New Roman" w:cs="Times New Roman"/>
          <w:sz w:val="24"/>
          <w:szCs w:val="24"/>
        </w:rPr>
        <w:t>United Autoworkers</w:t>
      </w:r>
      <w:r w:rsidR="00D6254A" w:rsidRPr="001E35A2">
        <w:rPr>
          <w:rFonts w:ascii="Times New Roman" w:hAnsi="Times New Roman" w:cs="Times New Roman"/>
          <w:sz w:val="24"/>
          <w:szCs w:val="24"/>
        </w:rPr>
        <w:t>-</w:t>
      </w:r>
      <w:r w:rsidRPr="001E35A2">
        <w:rPr>
          <w:rFonts w:ascii="Times New Roman" w:hAnsi="Times New Roman" w:cs="Times New Roman"/>
          <w:sz w:val="24"/>
          <w:szCs w:val="24"/>
        </w:rPr>
        <w:t>General Motors (UAW-GM) cohort</w:t>
      </w:r>
      <w:r w:rsidR="003E3A0B" w:rsidRPr="001E35A2">
        <w:rPr>
          <w:rFonts w:ascii="Times New Roman" w:hAnsi="Times New Roman" w:cs="Times New Roman"/>
          <w:sz w:val="24"/>
          <w:szCs w:val="24"/>
        </w:rPr>
        <w:t>, with mortality f</w:t>
      </w:r>
      <w:r w:rsidRPr="001E35A2">
        <w:rPr>
          <w:rFonts w:ascii="Times New Roman" w:hAnsi="Times New Roman" w:cs="Times New Roman"/>
          <w:sz w:val="24"/>
          <w:szCs w:val="24"/>
        </w:rPr>
        <w:t>ollow-up from 19</w:t>
      </w:r>
      <w:r w:rsidR="00B70913" w:rsidRPr="001E35A2">
        <w:rPr>
          <w:rFonts w:ascii="Times New Roman" w:hAnsi="Times New Roman" w:cs="Times New Roman"/>
          <w:sz w:val="24"/>
          <w:szCs w:val="24"/>
        </w:rPr>
        <w:t>70</w:t>
      </w:r>
      <w:r w:rsidRPr="001E35A2">
        <w:rPr>
          <w:rFonts w:ascii="Times New Roman" w:hAnsi="Times New Roman" w:cs="Times New Roman"/>
          <w:sz w:val="24"/>
          <w:szCs w:val="24"/>
        </w:rPr>
        <w:t xml:space="preserve"> to 2015</w:t>
      </w:r>
      <w:r w:rsidR="003E3A0B" w:rsidRPr="001E35A2">
        <w:rPr>
          <w:rFonts w:ascii="Times New Roman" w:hAnsi="Times New Roman" w:cs="Times New Roman"/>
          <w:sz w:val="24"/>
          <w:szCs w:val="24"/>
        </w:rPr>
        <w:t>.</w:t>
      </w:r>
    </w:p>
    <w:p w14:paraId="37935F4E" w14:textId="7E36FFC4" w:rsidR="007A79B1" w:rsidRPr="001E35A2" w:rsidRDefault="007A79B1" w:rsidP="00D8533C">
      <w:pPr>
        <w:spacing w:line="480" w:lineRule="auto"/>
        <w:rPr>
          <w:rFonts w:ascii="Times New Roman" w:hAnsi="Times New Roman" w:cs="Times New Roman"/>
          <w:sz w:val="24"/>
          <w:szCs w:val="24"/>
        </w:rPr>
      </w:pPr>
      <w:r w:rsidRPr="001E35A2">
        <w:rPr>
          <w:rFonts w:ascii="Times New Roman" w:hAnsi="Times New Roman" w:cs="Times New Roman"/>
          <w:b/>
          <w:sz w:val="24"/>
          <w:szCs w:val="24"/>
        </w:rPr>
        <w:t>Setting</w:t>
      </w:r>
      <w:r w:rsidRPr="001E35A2">
        <w:rPr>
          <w:rFonts w:ascii="Times New Roman" w:hAnsi="Times New Roman" w:cs="Times New Roman"/>
          <w:sz w:val="24"/>
          <w:szCs w:val="24"/>
        </w:rPr>
        <w:t xml:space="preserve">: </w:t>
      </w:r>
      <w:r w:rsidR="006A288E" w:rsidRPr="001E35A2">
        <w:rPr>
          <w:rFonts w:ascii="Times New Roman" w:hAnsi="Times New Roman" w:cs="Times New Roman"/>
          <w:sz w:val="24"/>
          <w:szCs w:val="24"/>
        </w:rPr>
        <w:t xml:space="preserve">Workers employed in one of three </w:t>
      </w:r>
      <w:r w:rsidRPr="001E35A2">
        <w:rPr>
          <w:rFonts w:ascii="Times New Roman" w:hAnsi="Times New Roman" w:cs="Times New Roman"/>
          <w:sz w:val="24"/>
          <w:szCs w:val="24"/>
        </w:rPr>
        <w:t>G</w:t>
      </w:r>
      <w:r w:rsidR="00F467B2" w:rsidRPr="001E35A2">
        <w:rPr>
          <w:rFonts w:ascii="Times New Roman" w:hAnsi="Times New Roman" w:cs="Times New Roman"/>
          <w:sz w:val="24"/>
          <w:szCs w:val="24"/>
        </w:rPr>
        <w:t xml:space="preserve">eneral </w:t>
      </w:r>
      <w:r w:rsidRPr="001E35A2">
        <w:rPr>
          <w:rFonts w:ascii="Times New Roman" w:hAnsi="Times New Roman" w:cs="Times New Roman"/>
          <w:sz w:val="24"/>
          <w:szCs w:val="24"/>
        </w:rPr>
        <w:t>M</w:t>
      </w:r>
      <w:r w:rsidR="00F467B2" w:rsidRPr="001E35A2">
        <w:rPr>
          <w:rFonts w:ascii="Times New Roman" w:hAnsi="Times New Roman" w:cs="Times New Roman"/>
          <w:sz w:val="24"/>
          <w:szCs w:val="24"/>
        </w:rPr>
        <w:t>otors</w:t>
      </w:r>
      <w:r w:rsidRPr="001E35A2">
        <w:rPr>
          <w:rFonts w:ascii="Times New Roman" w:hAnsi="Times New Roman" w:cs="Times New Roman"/>
          <w:sz w:val="24"/>
          <w:szCs w:val="24"/>
        </w:rPr>
        <w:t xml:space="preserve"> manufacturing facilities </w:t>
      </w:r>
      <w:r w:rsidR="006A288E" w:rsidRPr="001E35A2">
        <w:rPr>
          <w:rFonts w:ascii="Times New Roman" w:hAnsi="Times New Roman" w:cs="Times New Roman"/>
          <w:sz w:val="24"/>
          <w:szCs w:val="24"/>
        </w:rPr>
        <w:t>located</w:t>
      </w:r>
      <w:r w:rsidRPr="001E35A2">
        <w:rPr>
          <w:rFonts w:ascii="Times New Roman" w:hAnsi="Times New Roman" w:cs="Times New Roman"/>
          <w:sz w:val="24"/>
          <w:szCs w:val="24"/>
        </w:rPr>
        <w:t xml:space="preserve"> in an urban center</w:t>
      </w:r>
      <w:r w:rsidR="00A402B9" w:rsidRPr="001E35A2">
        <w:rPr>
          <w:rFonts w:ascii="Times New Roman" w:hAnsi="Times New Roman" w:cs="Times New Roman"/>
          <w:sz w:val="24"/>
          <w:szCs w:val="24"/>
        </w:rPr>
        <w:t>,</w:t>
      </w:r>
      <w:r w:rsidRPr="001E35A2">
        <w:rPr>
          <w:rFonts w:ascii="Times New Roman" w:hAnsi="Times New Roman" w:cs="Times New Roman"/>
          <w:sz w:val="24"/>
          <w:szCs w:val="24"/>
        </w:rPr>
        <w:t xml:space="preserve"> </w:t>
      </w:r>
      <w:r w:rsidR="00A402B9" w:rsidRPr="001E35A2">
        <w:rPr>
          <w:rFonts w:ascii="Times New Roman" w:hAnsi="Times New Roman" w:cs="Times New Roman"/>
          <w:sz w:val="24"/>
          <w:szCs w:val="24"/>
        </w:rPr>
        <w:t xml:space="preserve">a </w:t>
      </w:r>
      <w:r w:rsidR="00B208FC" w:rsidRPr="001E35A2">
        <w:rPr>
          <w:rFonts w:ascii="Times New Roman" w:hAnsi="Times New Roman" w:cs="Times New Roman"/>
          <w:sz w:val="24"/>
          <w:szCs w:val="24"/>
        </w:rPr>
        <w:t xml:space="preserve">rural </w:t>
      </w:r>
      <w:r w:rsidR="00A402B9" w:rsidRPr="001E35A2">
        <w:rPr>
          <w:rFonts w:ascii="Times New Roman" w:hAnsi="Times New Roman" w:cs="Times New Roman"/>
          <w:sz w:val="24"/>
          <w:szCs w:val="24"/>
        </w:rPr>
        <w:t xml:space="preserve">town, </w:t>
      </w:r>
      <w:r w:rsidRPr="001E35A2">
        <w:rPr>
          <w:rFonts w:ascii="Times New Roman" w:hAnsi="Times New Roman" w:cs="Times New Roman"/>
          <w:sz w:val="24"/>
          <w:szCs w:val="24"/>
        </w:rPr>
        <w:t xml:space="preserve">and </w:t>
      </w:r>
      <w:r w:rsidR="00A402B9" w:rsidRPr="001E35A2">
        <w:rPr>
          <w:rFonts w:ascii="Times New Roman" w:hAnsi="Times New Roman" w:cs="Times New Roman"/>
          <w:sz w:val="24"/>
          <w:szCs w:val="24"/>
        </w:rPr>
        <w:t>a small city</w:t>
      </w:r>
      <w:r w:rsidR="006A288E" w:rsidRPr="001E35A2">
        <w:rPr>
          <w:rFonts w:ascii="Times New Roman" w:hAnsi="Times New Roman" w:cs="Times New Roman"/>
          <w:sz w:val="24"/>
          <w:szCs w:val="24"/>
        </w:rPr>
        <w:t>, respectively</w:t>
      </w:r>
      <w:r w:rsidR="00A402B9" w:rsidRPr="001E35A2">
        <w:rPr>
          <w:rFonts w:ascii="Times New Roman" w:hAnsi="Times New Roman" w:cs="Times New Roman"/>
          <w:sz w:val="24"/>
          <w:szCs w:val="24"/>
        </w:rPr>
        <w:t xml:space="preserve">. </w:t>
      </w:r>
      <w:r w:rsidR="006552BC" w:rsidRPr="001E35A2">
        <w:rPr>
          <w:rFonts w:ascii="Times New Roman" w:hAnsi="Times New Roman" w:cs="Times New Roman"/>
          <w:sz w:val="24"/>
          <w:szCs w:val="24"/>
        </w:rPr>
        <w:t xml:space="preserve">By the end of </w:t>
      </w:r>
      <w:r w:rsidR="006A288E" w:rsidRPr="001E35A2">
        <w:rPr>
          <w:rFonts w:ascii="Times New Roman" w:hAnsi="Times New Roman" w:cs="Times New Roman"/>
          <w:sz w:val="24"/>
          <w:szCs w:val="24"/>
        </w:rPr>
        <w:t>the study period</w:t>
      </w:r>
      <w:r w:rsidR="006552BC" w:rsidRPr="001E35A2">
        <w:rPr>
          <w:rFonts w:ascii="Times New Roman" w:hAnsi="Times New Roman" w:cs="Times New Roman"/>
          <w:sz w:val="24"/>
          <w:szCs w:val="24"/>
        </w:rPr>
        <w:t xml:space="preserve"> all three </w:t>
      </w:r>
      <w:r w:rsidR="00F26761" w:rsidRPr="001E35A2">
        <w:rPr>
          <w:rFonts w:ascii="Times New Roman" w:hAnsi="Times New Roman" w:cs="Times New Roman"/>
          <w:sz w:val="24"/>
          <w:szCs w:val="24"/>
        </w:rPr>
        <w:t xml:space="preserve">Michigan </w:t>
      </w:r>
      <w:r w:rsidR="006552BC" w:rsidRPr="001E35A2">
        <w:rPr>
          <w:rFonts w:ascii="Times New Roman" w:hAnsi="Times New Roman" w:cs="Times New Roman"/>
          <w:sz w:val="24"/>
          <w:szCs w:val="24"/>
        </w:rPr>
        <w:t>study plants had closed.</w:t>
      </w:r>
    </w:p>
    <w:p w14:paraId="2BBBFFB0" w14:textId="1EFEF3DF" w:rsidR="007A79B1" w:rsidRPr="001E35A2" w:rsidRDefault="007A79B1" w:rsidP="00D8533C">
      <w:pPr>
        <w:spacing w:line="480" w:lineRule="auto"/>
        <w:rPr>
          <w:rFonts w:ascii="Times New Roman" w:hAnsi="Times New Roman" w:cs="Times New Roman"/>
          <w:sz w:val="24"/>
          <w:szCs w:val="24"/>
        </w:rPr>
      </w:pPr>
      <w:r w:rsidRPr="001E35A2">
        <w:rPr>
          <w:rFonts w:ascii="Times New Roman" w:hAnsi="Times New Roman" w:cs="Times New Roman"/>
          <w:b/>
          <w:sz w:val="24"/>
          <w:szCs w:val="24"/>
        </w:rPr>
        <w:t>Participants</w:t>
      </w:r>
      <w:r w:rsidRPr="001E35A2">
        <w:rPr>
          <w:rFonts w:ascii="Times New Roman" w:hAnsi="Times New Roman" w:cs="Times New Roman"/>
          <w:sz w:val="24"/>
          <w:szCs w:val="24"/>
        </w:rPr>
        <w:t xml:space="preserve">: The </w:t>
      </w:r>
      <w:r w:rsidR="00F467B2" w:rsidRPr="001E35A2">
        <w:rPr>
          <w:rFonts w:ascii="Times New Roman" w:hAnsi="Times New Roman" w:cs="Times New Roman"/>
          <w:sz w:val="24"/>
          <w:szCs w:val="24"/>
        </w:rPr>
        <w:t xml:space="preserve">study </w:t>
      </w:r>
      <w:r w:rsidR="00CC4F8C" w:rsidRPr="001E35A2">
        <w:rPr>
          <w:rFonts w:ascii="Times New Roman" w:hAnsi="Times New Roman" w:cs="Times New Roman"/>
          <w:sz w:val="24"/>
          <w:szCs w:val="24"/>
        </w:rPr>
        <w:t xml:space="preserve">population </w:t>
      </w:r>
      <w:r w:rsidRPr="001E35A2">
        <w:rPr>
          <w:rFonts w:ascii="Times New Roman" w:hAnsi="Times New Roman" w:cs="Times New Roman"/>
          <w:sz w:val="24"/>
          <w:szCs w:val="24"/>
        </w:rPr>
        <w:t>include</w:t>
      </w:r>
      <w:r w:rsidR="00F23A53" w:rsidRPr="001E35A2">
        <w:rPr>
          <w:rFonts w:ascii="Times New Roman" w:hAnsi="Times New Roman" w:cs="Times New Roman"/>
          <w:sz w:val="24"/>
          <w:szCs w:val="24"/>
        </w:rPr>
        <w:t>d</w:t>
      </w:r>
      <w:r w:rsidRPr="001E35A2">
        <w:rPr>
          <w:rFonts w:ascii="Times New Roman" w:hAnsi="Times New Roman" w:cs="Times New Roman"/>
          <w:sz w:val="24"/>
          <w:szCs w:val="24"/>
        </w:rPr>
        <w:t xml:space="preserve"> </w:t>
      </w:r>
      <w:r w:rsidR="00E6160F" w:rsidRPr="001E35A2">
        <w:rPr>
          <w:rFonts w:ascii="Times New Roman" w:hAnsi="Times New Roman" w:cs="Times New Roman"/>
          <w:sz w:val="24"/>
          <w:szCs w:val="24"/>
        </w:rPr>
        <w:t xml:space="preserve">26,890 </w:t>
      </w:r>
      <w:r w:rsidR="00270878" w:rsidRPr="001E35A2">
        <w:rPr>
          <w:rFonts w:ascii="Times New Roman" w:hAnsi="Times New Roman" w:cs="Times New Roman"/>
          <w:sz w:val="24"/>
          <w:szCs w:val="24"/>
        </w:rPr>
        <w:t xml:space="preserve">male </w:t>
      </w:r>
      <w:r w:rsidRPr="001E35A2">
        <w:rPr>
          <w:rFonts w:ascii="Times New Roman" w:hAnsi="Times New Roman" w:cs="Times New Roman"/>
          <w:sz w:val="24"/>
          <w:szCs w:val="24"/>
        </w:rPr>
        <w:t xml:space="preserve">autoworkers </w:t>
      </w:r>
      <w:r w:rsidR="003E3A0B" w:rsidRPr="001E35A2">
        <w:rPr>
          <w:rFonts w:ascii="Times New Roman" w:hAnsi="Times New Roman" w:cs="Times New Roman"/>
          <w:sz w:val="24"/>
          <w:szCs w:val="24"/>
        </w:rPr>
        <w:t xml:space="preserve">employed in or after </w:t>
      </w:r>
      <w:r w:rsidR="00F948B9" w:rsidRPr="001E35A2">
        <w:rPr>
          <w:rFonts w:ascii="Times New Roman" w:hAnsi="Times New Roman" w:cs="Times New Roman"/>
          <w:sz w:val="24"/>
          <w:szCs w:val="24"/>
        </w:rPr>
        <w:t xml:space="preserve">1970 </w:t>
      </w:r>
      <w:r w:rsidR="003C00F3" w:rsidRPr="001E35A2">
        <w:rPr>
          <w:rFonts w:ascii="Times New Roman" w:hAnsi="Times New Roman" w:cs="Times New Roman"/>
          <w:sz w:val="24"/>
          <w:szCs w:val="24"/>
        </w:rPr>
        <w:t xml:space="preserve">who worked </w:t>
      </w:r>
      <w:r w:rsidR="00CC4F8C" w:rsidRPr="001E35A2">
        <w:rPr>
          <w:rFonts w:ascii="Times New Roman" w:hAnsi="Times New Roman" w:cs="Times New Roman"/>
          <w:sz w:val="24"/>
          <w:szCs w:val="24"/>
        </w:rPr>
        <w:t xml:space="preserve">for at least three years </w:t>
      </w:r>
      <w:r w:rsidRPr="001E35A2">
        <w:rPr>
          <w:rFonts w:ascii="Times New Roman" w:hAnsi="Times New Roman" w:cs="Times New Roman"/>
          <w:sz w:val="24"/>
          <w:szCs w:val="24"/>
        </w:rPr>
        <w:t xml:space="preserve">at one of the three </w:t>
      </w:r>
      <w:r w:rsidR="006A288E" w:rsidRPr="001E35A2">
        <w:rPr>
          <w:rFonts w:ascii="Times New Roman" w:hAnsi="Times New Roman" w:cs="Times New Roman"/>
          <w:sz w:val="24"/>
          <w:szCs w:val="24"/>
        </w:rPr>
        <w:t xml:space="preserve">study </w:t>
      </w:r>
      <w:r w:rsidRPr="001E35A2">
        <w:rPr>
          <w:rFonts w:ascii="Times New Roman" w:hAnsi="Times New Roman" w:cs="Times New Roman"/>
          <w:sz w:val="24"/>
          <w:szCs w:val="24"/>
        </w:rPr>
        <w:t>plants.</w:t>
      </w:r>
    </w:p>
    <w:p w14:paraId="735CBD09" w14:textId="02A0C11E" w:rsidR="006A288E" w:rsidRPr="001E35A2" w:rsidRDefault="007A79B1" w:rsidP="00D8533C">
      <w:pPr>
        <w:spacing w:line="480" w:lineRule="auto"/>
        <w:rPr>
          <w:rFonts w:ascii="Times New Roman" w:hAnsi="Times New Roman" w:cs="Times New Roman"/>
          <w:sz w:val="24"/>
          <w:szCs w:val="24"/>
        </w:rPr>
      </w:pPr>
      <w:r w:rsidRPr="001E35A2">
        <w:rPr>
          <w:rFonts w:ascii="Times New Roman" w:hAnsi="Times New Roman" w:cs="Times New Roman"/>
          <w:b/>
          <w:sz w:val="24"/>
          <w:szCs w:val="24"/>
        </w:rPr>
        <w:t>Exposure</w:t>
      </w:r>
      <w:r w:rsidRPr="001E35A2">
        <w:rPr>
          <w:rFonts w:ascii="Times New Roman" w:hAnsi="Times New Roman" w:cs="Times New Roman"/>
          <w:sz w:val="24"/>
          <w:szCs w:val="24"/>
        </w:rPr>
        <w:t xml:space="preserve">: </w:t>
      </w:r>
      <w:r w:rsidR="006A288E" w:rsidRPr="001E35A2">
        <w:rPr>
          <w:rFonts w:ascii="Times New Roman" w:hAnsi="Times New Roman" w:cs="Times New Roman"/>
          <w:sz w:val="24"/>
          <w:szCs w:val="24"/>
        </w:rPr>
        <w:t xml:space="preserve">The exposure of interest was </w:t>
      </w:r>
      <w:r w:rsidR="00F4689C" w:rsidRPr="001E35A2">
        <w:rPr>
          <w:rFonts w:ascii="Times New Roman" w:hAnsi="Times New Roman" w:cs="Times New Roman"/>
          <w:sz w:val="24"/>
          <w:szCs w:val="24"/>
        </w:rPr>
        <w:t xml:space="preserve">worker exit, i.e., </w:t>
      </w:r>
      <w:r w:rsidR="006A288E" w:rsidRPr="001E35A2">
        <w:rPr>
          <w:rFonts w:ascii="Times New Roman" w:hAnsi="Times New Roman" w:cs="Times New Roman"/>
          <w:sz w:val="24"/>
          <w:szCs w:val="24"/>
        </w:rPr>
        <w:t xml:space="preserve">employment termination. We first defined </w:t>
      </w:r>
      <w:r w:rsidR="00F4689C" w:rsidRPr="001E35A2">
        <w:rPr>
          <w:rFonts w:ascii="Times New Roman" w:hAnsi="Times New Roman" w:cs="Times New Roman"/>
          <w:sz w:val="24"/>
          <w:szCs w:val="24"/>
        </w:rPr>
        <w:t xml:space="preserve">worker exit </w:t>
      </w:r>
      <w:r w:rsidR="006A288E" w:rsidRPr="001E35A2">
        <w:rPr>
          <w:rFonts w:ascii="Times New Roman" w:hAnsi="Times New Roman" w:cs="Times New Roman"/>
          <w:sz w:val="24"/>
          <w:szCs w:val="24"/>
        </w:rPr>
        <w:t xml:space="preserve">using time-varying employment status (i.e. active or inactive). Next, </w:t>
      </w:r>
      <w:r w:rsidR="00BF3633" w:rsidRPr="001E35A2">
        <w:rPr>
          <w:rFonts w:ascii="Times New Roman" w:hAnsi="Times New Roman" w:cs="Times New Roman"/>
          <w:sz w:val="24"/>
          <w:szCs w:val="24"/>
        </w:rPr>
        <w:t xml:space="preserve">we examined categorical age at </w:t>
      </w:r>
      <w:r w:rsidR="00F4689C" w:rsidRPr="001E35A2">
        <w:rPr>
          <w:rFonts w:ascii="Times New Roman" w:hAnsi="Times New Roman" w:cs="Times New Roman"/>
          <w:sz w:val="24"/>
          <w:szCs w:val="24"/>
        </w:rPr>
        <w:t xml:space="preserve">worker exit </w:t>
      </w:r>
      <w:r w:rsidR="00BF3633" w:rsidRPr="001E35A2">
        <w:rPr>
          <w:rFonts w:ascii="Times New Roman" w:hAnsi="Times New Roman" w:cs="Times New Roman"/>
          <w:sz w:val="24"/>
          <w:szCs w:val="24"/>
        </w:rPr>
        <w:t>with workers</w:t>
      </w:r>
      <w:r w:rsidR="006A288E" w:rsidRPr="001E35A2">
        <w:rPr>
          <w:rFonts w:ascii="Times New Roman" w:hAnsi="Times New Roman" w:cs="Times New Roman"/>
          <w:sz w:val="24"/>
          <w:szCs w:val="24"/>
        </w:rPr>
        <w:t xml:space="preserve"> who terminated employment after age 55</w:t>
      </w:r>
      <w:r w:rsidR="00D92509">
        <w:rPr>
          <w:rFonts w:ascii="Times New Roman" w:hAnsi="Times New Roman" w:cs="Times New Roman"/>
          <w:sz w:val="24"/>
          <w:szCs w:val="24"/>
        </w:rPr>
        <w:t>--</w:t>
      </w:r>
      <w:r w:rsidR="006A288E" w:rsidRPr="001E35A2">
        <w:rPr>
          <w:rFonts w:ascii="Times New Roman" w:hAnsi="Times New Roman" w:cs="Times New Roman"/>
          <w:sz w:val="24"/>
          <w:szCs w:val="24"/>
        </w:rPr>
        <w:t>at which point the decision to retire was more likely to be voluntary</w:t>
      </w:r>
      <w:r w:rsidR="00BF3633" w:rsidRPr="001E35A2">
        <w:rPr>
          <w:rFonts w:ascii="Times New Roman" w:hAnsi="Times New Roman" w:cs="Times New Roman"/>
          <w:sz w:val="24"/>
          <w:szCs w:val="24"/>
        </w:rPr>
        <w:t xml:space="preserve"> – as the reference group</w:t>
      </w:r>
      <w:r w:rsidR="006A288E" w:rsidRPr="001E35A2">
        <w:rPr>
          <w:rFonts w:ascii="Times New Roman" w:hAnsi="Times New Roman" w:cs="Times New Roman"/>
          <w:sz w:val="24"/>
          <w:szCs w:val="24"/>
        </w:rPr>
        <w:t>.</w:t>
      </w:r>
    </w:p>
    <w:p w14:paraId="2E45A9E3" w14:textId="3312D99D" w:rsidR="007A79B1" w:rsidRPr="001E35A2" w:rsidRDefault="007A79B1" w:rsidP="00D8533C">
      <w:pPr>
        <w:spacing w:line="480" w:lineRule="auto"/>
        <w:rPr>
          <w:rFonts w:ascii="Times New Roman" w:hAnsi="Times New Roman" w:cs="Times New Roman"/>
          <w:sz w:val="24"/>
          <w:szCs w:val="24"/>
        </w:rPr>
      </w:pPr>
      <w:r w:rsidRPr="001E35A2">
        <w:rPr>
          <w:rFonts w:ascii="Times New Roman" w:hAnsi="Times New Roman" w:cs="Times New Roman"/>
          <w:b/>
          <w:sz w:val="24"/>
          <w:szCs w:val="24"/>
        </w:rPr>
        <w:t>Main outcome</w:t>
      </w:r>
      <w:r w:rsidRPr="001E35A2">
        <w:rPr>
          <w:rFonts w:ascii="Times New Roman" w:hAnsi="Times New Roman" w:cs="Times New Roman"/>
          <w:sz w:val="24"/>
          <w:szCs w:val="24"/>
        </w:rPr>
        <w:t xml:space="preserve">: The primary outcomes were </w:t>
      </w:r>
      <w:r w:rsidR="000A0FD5" w:rsidRPr="001E35A2">
        <w:rPr>
          <w:rFonts w:ascii="Times New Roman" w:hAnsi="Times New Roman" w:cs="Times New Roman"/>
          <w:sz w:val="24"/>
          <w:szCs w:val="24"/>
        </w:rPr>
        <w:t xml:space="preserve">mortality </w:t>
      </w:r>
      <w:r w:rsidRPr="001E35A2">
        <w:rPr>
          <w:rFonts w:ascii="Times New Roman" w:hAnsi="Times New Roman" w:cs="Times New Roman"/>
          <w:sz w:val="24"/>
          <w:szCs w:val="24"/>
        </w:rPr>
        <w:t xml:space="preserve">rates for suicide </w:t>
      </w:r>
      <w:r w:rsidR="007C27B2" w:rsidRPr="001E35A2">
        <w:rPr>
          <w:rFonts w:ascii="Times New Roman" w:hAnsi="Times New Roman" w:cs="Times New Roman"/>
          <w:sz w:val="24"/>
          <w:szCs w:val="24"/>
        </w:rPr>
        <w:t>alone and combined with</w:t>
      </w:r>
      <w:r w:rsidR="001E70C8" w:rsidRPr="001E35A2">
        <w:rPr>
          <w:rFonts w:ascii="Times New Roman" w:hAnsi="Times New Roman" w:cs="Times New Roman"/>
          <w:sz w:val="24"/>
          <w:szCs w:val="24"/>
        </w:rPr>
        <w:t xml:space="preserve"> unintentional </w:t>
      </w:r>
      <w:r w:rsidRPr="001E35A2">
        <w:rPr>
          <w:rFonts w:ascii="Times New Roman" w:hAnsi="Times New Roman" w:cs="Times New Roman"/>
          <w:sz w:val="24"/>
          <w:szCs w:val="24"/>
        </w:rPr>
        <w:t>overdose.</w:t>
      </w:r>
    </w:p>
    <w:p w14:paraId="419340FB" w14:textId="49050A2A" w:rsidR="007A79B1" w:rsidRPr="001E35A2" w:rsidRDefault="007A79B1" w:rsidP="00D8533C">
      <w:pPr>
        <w:spacing w:line="480" w:lineRule="auto"/>
        <w:rPr>
          <w:rFonts w:ascii="Times New Roman" w:hAnsi="Times New Roman" w:cs="Times New Roman"/>
          <w:sz w:val="24"/>
          <w:szCs w:val="24"/>
        </w:rPr>
      </w:pPr>
      <w:r w:rsidRPr="001E35A2">
        <w:rPr>
          <w:rFonts w:ascii="Times New Roman" w:hAnsi="Times New Roman" w:cs="Times New Roman"/>
          <w:b/>
          <w:sz w:val="24"/>
          <w:szCs w:val="24"/>
        </w:rPr>
        <w:t>Results</w:t>
      </w:r>
      <w:r w:rsidRPr="001E35A2">
        <w:rPr>
          <w:rFonts w:ascii="Times New Roman" w:hAnsi="Times New Roman" w:cs="Times New Roman"/>
          <w:sz w:val="24"/>
          <w:szCs w:val="24"/>
        </w:rPr>
        <w:t xml:space="preserve">: </w:t>
      </w:r>
      <w:r w:rsidR="00FC5207" w:rsidRPr="001E35A2">
        <w:rPr>
          <w:rFonts w:ascii="Times New Roman" w:hAnsi="Times New Roman" w:cs="Times New Roman"/>
          <w:sz w:val="24"/>
          <w:szCs w:val="24"/>
        </w:rPr>
        <w:t xml:space="preserve">Among </w:t>
      </w:r>
      <w:r w:rsidR="00282C03" w:rsidRPr="001E35A2">
        <w:rPr>
          <w:rFonts w:ascii="Times New Roman" w:hAnsi="Times New Roman" w:cs="Times New Roman"/>
          <w:sz w:val="24"/>
          <w:szCs w:val="24"/>
        </w:rPr>
        <w:t>26,890</w:t>
      </w:r>
      <w:r w:rsidR="00F31F1B" w:rsidRPr="001E35A2">
        <w:rPr>
          <w:rFonts w:ascii="Times New Roman" w:hAnsi="Times New Roman" w:cs="Times New Roman"/>
          <w:sz w:val="24"/>
          <w:szCs w:val="24"/>
        </w:rPr>
        <w:t xml:space="preserve"> </w:t>
      </w:r>
      <w:r w:rsidRPr="001E35A2">
        <w:rPr>
          <w:rFonts w:ascii="Times New Roman" w:hAnsi="Times New Roman" w:cs="Times New Roman"/>
          <w:sz w:val="24"/>
          <w:szCs w:val="24"/>
        </w:rPr>
        <w:t>autoworkers</w:t>
      </w:r>
      <w:r w:rsidR="002D1BE5" w:rsidRPr="001E35A2">
        <w:rPr>
          <w:rFonts w:ascii="Times New Roman" w:hAnsi="Times New Roman" w:cs="Times New Roman"/>
          <w:sz w:val="24"/>
          <w:szCs w:val="24"/>
        </w:rPr>
        <w:t xml:space="preserve"> </w:t>
      </w:r>
      <w:r w:rsidR="001E70C8" w:rsidRPr="001E35A2">
        <w:rPr>
          <w:rFonts w:ascii="Times New Roman" w:hAnsi="Times New Roman" w:cs="Times New Roman"/>
          <w:sz w:val="24"/>
          <w:szCs w:val="24"/>
        </w:rPr>
        <w:t xml:space="preserve">there were </w:t>
      </w:r>
      <w:r w:rsidR="002D1BE5" w:rsidRPr="001E35A2">
        <w:rPr>
          <w:rFonts w:ascii="Times New Roman" w:hAnsi="Times New Roman" w:cs="Times New Roman"/>
          <w:sz w:val="24"/>
          <w:szCs w:val="24"/>
        </w:rPr>
        <w:t>2</w:t>
      </w:r>
      <w:r w:rsidR="003C00F3" w:rsidRPr="001E35A2">
        <w:rPr>
          <w:rFonts w:ascii="Times New Roman" w:hAnsi="Times New Roman" w:cs="Times New Roman"/>
          <w:sz w:val="24"/>
          <w:szCs w:val="24"/>
        </w:rPr>
        <w:t>58</w:t>
      </w:r>
      <w:r w:rsidR="002D1BE5" w:rsidRPr="001E35A2">
        <w:rPr>
          <w:rFonts w:ascii="Times New Roman" w:hAnsi="Times New Roman" w:cs="Times New Roman"/>
          <w:sz w:val="24"/>
          <w:szCs w:val="24"/>
        </w:rPr>
        <w:t xml:space="preserve"> </w:t>
      </w:r>
      <w:r w:rsidRPr="001E35A2">
        <w:rPr>
          <w:rFonts w:ascii="Times New Roman" w:hAnsi="Times New Roman" w:cs="Times New Roman"/>
          <w:sz w:val="24"/>
          <w:szCs w:val="24"/>
        </w:rPr>
        <w:t>deaths</w:t>
      </w:r>
      <w:r w:rsidR="001E70C8" w:rsidRPr="001E35A2">
        <w:rPr>
          <w:rFonts w:ascii="Times New Roman" w:hAnsi="Times New Roman" w:cs="Times New Roman"/>
          <w:sz w:val="24"/>
          <w:szCs w:val="24"/>
        </w:rPr>
        <w:t xml:space="preserve"> </w:t>
      </w:r>
      <w:r w:rsidRPr="001E35A2">
        <w:rPr>
          <w:rFonts w:ascii="Times New Roman" w:hAnsi="Times New Roman" w:cs="Times New Roman"/>
          <w:sz w:val="24"/>
          <w:szCs w:val="24"/>
        </w:rPr>
        <w:t xml:space="preserve">due to </w:t>
      </w:r>
      <w:r w:rsidR="001E70C8" w:rsidRPr="001E35A2">
        <w:rPr>
          <w:rFonts w:ascii="Times New Roman" w:hAnsi="Times New Roman" w:cs="Times New Roman"/>
          <w:sz w:val="24"/>
          <w:szCs w:val="24"/>
        </w:rPr>
        <w:t xml:space="preserve">either </w:t>
      </w:r>
      <w:r w:rsidRPr="001E35A2">
        <w:rPr>
          <w:rFonts w:ascii="Times New Roman" w:hAnsi="Times New Roman" w:cs="Times New Roman"/>
          <w:sz w:val="24"/>
          <w:szCs w:val="24"/>
        </w:rPr>
        <w:t>suicide (n</w:t>
      </w:r>
      <w:r w:rsidR="001E0765">
        <w:rPr>
          <w:rFonts w:ascii="Times New Roman" w:hAnsi="Times New Roman" w:cs="Times New Roman"/>
          <w:sz w:val="24"/>
          <w:szCs w:val="24"/>
        </w:rPr>
        <w:t> </w:t>
      </w:r>
      <w:r w:rsidRPr="001E35A2">
        <w:rPr>
          <w:rFonts w:ascii="Times New Roman" w:hAnsi="Times New Roman" w:cs="Times New Roman"/>
          <w:sz w:val="24"/>
          <w:szCs w:val="24"/>
        </w:rPr>
        <w:t>=</w:t>
      </w:r>
      <w:r w:rsidR="001E0765">
        <w:rPr>
          <w:rFonts w:ascii="Times New Roman" w:hAnsi="Times New Roman" w:cs="Times New Roman"/>
          <w:sz w:val="24"/>
          <w:szCs w:val="24"/>
        </w:rPr>
        <w:t> </w:t>
      </w:r>
      <w:r w:rsidR="003C00F3" w:rsidRPr="001E35A2">
        <w:rPr>
          <w:rFonts w:ascii="Times New Roman" w:hAnsi="Times New Roman" w:cs="Times New Roman"/>
          <w:sz w:val="24"/>
          <w:szCs w:val="24"/>
        </w:rPr>
        <w:t>203</w:t>
      </w:r>
      <w:r w:rsidRPr="001E35A2">
        <w:rPr>
          <w:rFonts w:ascii="Times New Roman" w:hAnsi="Times New Roman" w:cs="Times New Roman"/>
          <w:sz w:val="24"/>
          <w:szCs w:val="24"/>
        </w:rPr>
        <w:t>) or overdose (n</w:t>
      </w:r>
      <w:r w:rsidR="001E0765">
        <w:rPr>
          <w:rFonts w:ascii="Times New Roman" w:hAnsi="Times New Roman" w:cs="Times New Roman"/>
          <w:sz w:val="24"/>
          <w:szCs w:val="24"/>
        </w:rPr>
        <w:t> </w:t>
      </w:r>
      <w:r w:rsidRPr="001E35A2">
        <w:rPr>
          <w:rFonts w:ascii="Times New Roman" w:hAnsi="Times New Roman" w:cs="Times New Roman"/>
          <w:sz w:val="24"/>
          <w:szCs w:val="24"/>
        </w:rPr>
        <w:t>=</w:t>
      </w:r>
      <w:r w:rsidR="001E0765">
        <w:rPr>
          <w:rFonts w:ascii="Times New Roman" w:hAnsi="Times New Roman" w:cs="Times New Roman"/>
          <w:sz w:val="24"/>
          <w:szCs w:val="24"/>
        </w:rPr>
        <w:t> </w:t>
      </w:r>
      <w:r w:rsidR="003C00F3" w:rsidRPr="001E35A2">
        <w:rPr>
          <w:rFonts w:ascii="Times New Roman" w:hAnsi="Times New Roman" w:cs="Times New Roman"/>
          <w:sz w:val="24"/>
          <w:szCs w:val="24"/>
        </w:rPr>
        <w:t>55</w:t>
      </w:r>
      <w:r w:rsidRPr="001E35A2">
        <w:rPr>
          <w:rFonts w:ascii="Times New Roman" w:hAnsi="Times New Roman" w:cs="Times New Roman"/>
          <w:sz w:val="24"/>
          <w:szCs w:val="24"/>
        </w:rPr>
        <w:t>)</w:t>
      </w:r>
      <w:r w:rsidR="001E70C8" w:rsidRPr="001E35A2">
        <w:rPr>
          <w:rFonts w:ascii="Times New Roman" w:hAnsi="Times New Roman" w:cs="Times New Roman"/>
          <w:sz w:val="24"/>
          <w:szCs w:val="24"/>
        </w:rPr>
        <w:t xml:space="preserve">; all but 21 </w:t>
      </w:r>
      <w:r w:rsidR="000F553A" w:rsidRPr="001E35A2">
        <w:rPr>
          <w:rFonts w:ascii="Times New Roman" w:hAnsi="Times New Roman" w:cs="Times New Roman"/>
          <w:sz w:val="24"/>
          <w:szCs w:val="24"/>
        </w:rPr>
        <w:t xml:space="preserve">events </w:t>
      </w:r>
      <w:r w:rsidR="001E70C8" w:rsidRPr="001E35A2">
        <w:rPr>
          <w:rFonts w:ascii="Times New Roman" w:hAnsi="Times New Roman" w:cs="Times New Roman"/>
          <w:sz w:val="24"/>
          <w:szCs w:val="24"/>
        </w:rPr>
        <w:t xml:space="preserve">occurred after leaving work. </w:t>
      </w:r>
      <w:r w:rsidRPr="001E35A2">
        <w:rPr>
          <w:rFonts w:ascii="Times New Roman" w:hAnsi="Times New Roman" w:cs="Times New Roman"/>
          <w:sz w:val="24"/>
          <w:szCs w:val="24"/>
        </w:rPr>
        <w:t xml:space="preserve">The </w:t>
      </w:r>
      <w:r w:rsidR="00C51FE1" w:rsidRPr="001E35A2">
        <w:rPr>
          <w:rFonts w:ascii="Times New Roman" w:hAnsi="Times New Roman" w:cs="Times New Roman"/>
          <w:sz w:val="24"/>
          <w:szCs w:val="24"/>
        </w:rPr>
        <w:t xml:space="preserve">hazard rate for </w:t>
      </w:r>
      <w:r w:rsidRPr="001E35A2">
        <w:rPr>
          <w:rFonts w:ascii="Times New Roman" w:hAnsi="Times New Roman" w:cs="Times New Roman"/>
          <w:sz w:val="24"/>
          <w:szCs w:val="24"/>
        </w:rPr>
        <w:t xml:space="preserve">suicide </w:t>
      </w:r>
      <w:r w:rsidR="00C51FE1" w:rsidRPr="001E35A2">
        <w:rPr>
          <w:rFonts w:ascii="Times New Roman" w:hAnsi="Times New Roman" w:cs="Times New Roman"/>
          <w:sz w:val="24"/>
          <w:szCs w:val="24"/>
        </w:rPr>
        <w:t xml:space="preserve">was </w:t>
      </w:r>
      <w:r w:rsidR="003C00F3" w:rsidRPr="001E35A2">
        <w:rPr>
          <w:rFonts w:ascii="Times New Roman" w:hAnsi="Times New Roman" w:cs="Times New Roman"/>
          <w:sz w:val="24"/>
          <w:szCs w:val="24"/>
        </w:rPr>
        <w:lastRenderedPageBreak/>
        <w:t>17</w:t>
      </w:r>
      <w:r w:rsidR="00282C03" w:rsidRPr="001E35A2">
        <w:rPr>
          <w:rFonts w:ascii="Times New Roman" w:hAnsi="Times New Roman" w:cs="Times New Roman"/>
          <w:sz w:val="24"/>
          <w:szCs w:val="24"/>
        </w:rPr>
        <w:t>.7</w:t>
      </w:r>
      <w:r w:rsidRPr="001E35A2">
        <w:rPr>
          <w:rFonts w:ascii="Times New Roman" w:hAnsi="Times New Roman" w:cs="Times New Roman"/>
          <w:sz w:val="24"/>
          <w:szCs w:val="24"/>
        </w:rPr>
        <w:t xml:space="preserve"> times higher </w:t>
      </w:r>
      <w:r w:rsidR="00C51FE1" w:rsidRPr="001E35A2">
        <w:rPr>
          <w:rFonts w:ascii="Times New Roman" w:hAnsi="Times New Roman" w:cs="Times New Roman"/>
          <w:sz w:val="24"/>
          <w:szCs w:val="24"/>
        </w:rPr>
        <w:t xml:space="preserve">for inactive </w:t>
      </w:r>
      <w:r w:rsidR="00BF3633" w:rsidRPr="001E35A2">
        <w:rPr>
          <w:rFonts w:ascii="Times New Roman" w:hAnsi="Times New Roman" w:cs="Times New Roman"/>
          <w:sz w:val="24"/>
          <w:szCs w:val="24"/>
        </w:rPr>
        <w:t>versus</w:t>
      </w:r>
      <w:r w:rsidR="006273B1" w:rsidRPr="001E35A2">
        <w:rPr>
          <w:rFonts w:ascii="Times New Roman" w:hAnsi="Times New Roman" w:cs="Times New Roman"/>
          <w:sz w:val="24"/>
          <w:szCs w:val="24"/>
        </w:rPr>
        <w:t xml:space="preserve"> </w:t>
      </w:r>
      <w:r w:rsidRPr="001E35A2">
        <w:rPr>
          <w:rFonts w:ascii="Times New Roman" w:hAnsi="Times New Roman" w:cs="Times New Roman"/>
          <w:sz w:val="24"/>
          <w:szCs w:val="24"/>
        </w:rPr>
        <w:t xml:space="preserve">active </w:t>
      </w:r>
      <w:r w:rsidR="00C51FE1" w:rsidRPr="001E35A2">
        <w:rPr>
          <w:rFonts w:ascii="Times New Roman" w:hAnsi="Times New Roman" w:cs="Times New Roman"/>
          <w:sz w:val="24"/>
          <w:szCs w:val="24"/>
        </w:rPr>
        <w:t xml:space="preserve">workers </w:t>
      </w:r>
      <w:r w:rsidRPr="001E35A2">
        <w:rPr>
          <w:rFonts w:ascii="Times New Roman" w:hAnsi="Times New Roman" w:cs="Times New Roman"/>
          <w:sz w:val="24"/>
          <w:szCs w:val="24"/>
        </w:rPr>
        <w:t>(95% CI:</w:t>
      </w:r>
      <w:r w:rsidR="006B5813">
        <w:rPr>
          <w:rFonts w:ascii="Times New Roman" w:hAnsi="Times New Roman" w:cs="Times New Roman"/>
          <w:sz w:val="24"/>
          <w:szCs w:val="24"/>
        </w:rPr>
        <w:t xml:space="preserve"> </w:t>
      </w:r>
      <w:r w:rsidR="00282C03" w:rsidRPr="001E35A2">
        <w:rPr>
          <w:rFonts w:ascii="Times New Roman" w:hAnsi="Times New Roman" w:cs="Times New Roman"/>
          <w:sz w:val="24"/>
          <w:szCs w:val="24"/>
        </w:rPr>
        <w:t>10.8</w:t>
      </w:r>
      <w:r w:rsidR="0001713C">
        <w:rPr>
          <w:rFonts w:ascii="Times New Roman" w:hAnsi="Times New Roman" w:cs="Times New Roman"/>
          <w:sz w:val="24"/>
          <w:szCs w:val="24"/>
        </w:rPr>
        <w:noBreakHyphen/>
      </w:r>
      <w:r w:rsidR="00282C03" w:rsidRPr="001E35A2">
        <w:rPr>
          <w:rFonts w:ascii="Times New Roman" w:hAnsi="Times New Roman" w:cs="Times New Roman"/>
          <w:sz w:val="24"/>
          <w:szCs w:val="24"/>
        </w:rPr>
        <w:t>29.1)</w:t>
      </w:r>
      <w:r w:rsidRPr="001E35A2">
        <w:rPr>
          <w:rFonts w:ascii="Times New Roman" w:hAnsi="Times New Roman" w:cs="Times New Roman"/>
          <w:sz w:val="24"/>
          <w:szCs w:val="24"/>
        </w:rPr>
        <w:t xml:space="preserve">. </w:t>
      </w:r>
      <w:r w:rsidR="004E1144" w:rsidRPr="001E35A2">
        <w:rPr>
          <w:rFonts w:ascii="Times New Roman" w:hAnsi="Times New Roman" w:cs="Times New Roman"/>
          <w:sz w:val="24"/>
          <w:szCs w:val="24"/>
        </w:rPr>
        <w:t>H</w:t>
      </w:r>
      <w:r w:rsidRPr="001E35A2">
        <w:rPr>
          <w:rFonts w:ascii="Times New Roman" w:hAnsi="Times New Roman" w:cs="Times New Roman"/>
          <w:sz w:val="24"/>
          <w:szCs w:val="24"/>
        </w:rPr>
        <w:t xml:space="preserve">azard ratios </w:t>
      </w:r>
      <w:r w:rsidR="00C51FE1" w:rsidRPr="001E35A2">
        <w:rPr>
          <w:rFonts w:ascii="Times New Roman" w:hAnsi="Times New Roman" w:cs="Times New Roman"/>
          <w:sz w:val="24"/>
          <w:szCs w:val="24"/>
        </w:rPr>
        <w:t xml:space="preserve">for suicide </w:t>
      </w:r>
      <w:r w:rsidRPr="001E35A2">
        <w:rPr>
          <w:rFonts w:ascii="Times New Roman" w:hAnsi="Times New Roman" w:cs="Times New Roman"/>
          <w:sz w:val="24"/>
          <w:szCs w:val="24"/>
        </w:rPr>
        <w:t xml:space="preserve">were elevated for all </w:t>
      </w:r>
      <w:r w:rsidR="000F553A" w:rsidRPr="001E35A2">
        <w:rPr>
          <w:rFonts w:ascii="Times New Roman" w:hAnsi="Times New Roman" w:cs="Times New Roman"/>
          <w:sz w:val="24"/>
          <w:szCs w:val="24"/>
        </w:rPr>
        <w:t xml:space="preserve">younger </w:t>
      </w:r>
      <w:r w:rsidRPr="001E35A2">
        <w:rPr>
          <w:rFonts w:ascii="Times New Roman" w:hAnsi="Times New Roman" w:cs="Times New Roman"/>
          <w:sz w:val="24"/>
          <w:szCs w:val="24"/>
        </w:rPr>
        <w:t>age</w:t>
      </w:r>
      <w:r w:rsidR="00C51FE1" w:rsidRPr="001E35A2">
        <w:rPr>
          <w:rFonts w:ascii="Times New Roman" w:hAnsi="Times New Roman" w:cs="Times New Roman"/>
          <w:sz w:val="24"/>
          <w:szCs w:val="24"/>
        </w:rPr>
        <w:t xml:space="preserve"> group</w:t>
      </w:r>
      <w:r w:rsidR="004E1144" w:rsidRPr="001E35A2">
        <w:rPr>
          <w:rFonts w:ascii="Times New Roman" w:hAnsi="Times New Roman" w:cs="Times New Roman"/>
          <w:sz w:val="24"/>
          <w:szCs w:val="24"/>
        </w:rPr>
        <w:t>s</w:t>
      </w:r>
      <w:r w:rsidRPr="001E35A2">
        <w:rPr>
          <w:rFonts w:ascii="Times New Roman" w:hAnsi="Times New Roman" w:cs="Times New Roman"/>
          <w:sz w:val="24"/>
          <w:szCs w:val="24"/>
        </w:rPr>
        <w:t xml:space="preserve"> </w:t>
      </w:r>
      <w:r w:rsidR="002D1BE5" w:rsidRPr="001E35A2">
        <w:rPr>
          <w:rFonts w:ascii="Times New Roman" w:hAnsi="Times New Roman" w:cs="Times New Roman"/>
          <w:sz w:val="24"/>
          <w:szCs w:val="24"/>
        </w:rPr>
        <w:t xml:space="preserve">relative </w:t>
      </w:r>
      <w:r w:rsidR="00BF3633" w:rsidRPr="001E35A2">
        <w:rPr>
          <w:rFonts w:ascii="Times New Roman" w:hAnsi="Times New Roman" w:cs="Times New Roman"/>
          <w:sz w:val="24"/>
          <w:szCs w:val="24"/>
        </w:rPr>
        <w:t xml:space="preserve">to those leaving work after </w:t>
      </w:r>
      <w:r w:rsidR="00F4689C" w:rsidRPr="001E35A2">
        <w:rPr>
          <w:rFonts w:ascii="Times New Roman" w:hAnsi="Times New Roman" w:cs="Times New Roman"/>
          <w:sz w:val="24"/>
          <w:szCs w:val="24"/>
        </w:rPr>
        <w:t xml:space="preserve">age </w:t>
      </w:r>
      <w:r w:rsidR="00BF3633" w:rsidRPr="001E35A2">
        <w:rPr>
          <w:rFonts w:ascii="Times New Roman" w:hAnsi="Times New Roman" w:cs="Times New Roman"/>
          <w:sz w:val="24"/>
          <w:szCs w:val="24"/>
        </w:rPr>
        <w:t xml:space="preserve">55. Those </w:t>
      </w:r>
      <w:r w:rsidR="00B21EEA" w:rsidRPr="001E35A2">
        <w:rPr>
          <w:rFonts w:ascii="Times New Roman" w:hAnsi="Times New Roman" w:cs="Times New Roman"/>
          <w:sz w:val="24"/>
          <w:szCs w:val="24"/>
        </w:rPr>
        <w:t>30-39 year</w:t>
      </w:r>
      <w:r w:rsidR="00F23A53" w:rsidRPr="001E35A2">
        <w:rPr>
          <w:rFonts w:ascii="Times New Roman" w:hAnsi="Times New Roman" w:cs="Times New Roman"/>
          <w:sz w:val="24"/>
          <w:szCs w:val="24"/>
        </w:rPr>
        <w:t>s</w:t>
      </w:r>
      <w:r w:rsidR="00B21EEA" w:rsidRPr="001E35A2">
        <w:rPr>
          <w:rFonts w:ascii="Times New Roman" w:hAnsi="Times New Roman" w:cs="Times New Roman"/>
          <w:sz w:val="24"/>
          <w:szCs w:val="24"/>
        </w:rPr>
        <w:t xml:space="preserve"> old at </w:t>
      </w:r>
      <w:r w:rsidR="004E1144" w:rsidRPr="001E35A2">
        <w:rPr>
          <w:rFonts w:ascii="Times New Roman" w:hAnsi="Times New Roman" w:cs="Times New Roman"/>
          <w:sz w:val="24"/>
          <w:szCs w:val="24"/>
        </w:rPr>
        <w:t xml:space="preserve">exit had the highest </w:t>
      </w:r>
      <w:r w:rsidR="00BF3633" w:rsidRPr="001E35A2">
        <w:rPr>
          <w:rFonts w:ascii="Times New Roman" w:hAnsi="Times New Roman" w:cs="Times New Roman"/>
          <w:sz w:val="24"/>
          <w:szCs w:val="24"/>
        </w:rPr>
        <w:t xml:space="preserve">rates </w:t>
      </w:r>
      <w:r w:rsidR="004E1144" w:rsidRPr="001E35A2">
        <w:rPr>
          <w:rFonts w:ascii="Times New Roman" w:hAnsi="Times New Roman" w:cs="Times New Roman"/>
          <w:sz w:val="24"/>
          <w:szCs w:val="24"/>
        </w:rPr>
        <w:t>of suicide</w:t>
      </w:r>
      <w:r w:rsidR="00270878" w:rsidRPr="001E35A2">
        <w:rPr>
          <w:rFonts w:ascii="Times New Roman" w:hAnsi="Times New Roman" w:cs="Times New Roman"/>
          <w:sz w:val="24"/>
          <w:szCs w:val="24"/>
        </w:rPr>
        <w:t xml:space="preserve"> </w:t>
      </w:r>
      <w:r w:rsidR="00BF3633" w:rsidRPr="001E35A2">
        <w:rPr>
          <w:rFonts w:ascii="Times New Roman" w:hAnsi="Times New Roman" w:cs="Times New Roman"/>
          <w:sz w:val="24"/>
          <w:szCs w:val="24"/>
        </w:rPr>
        <w:t>(</w:t>
      </w:r>
      <w:r w:rsidR="00270878" w:rsidRPr="001E35A2">
        <w:rPr>
          <w:rFonts w:ascii="Times New Roman" w:hAnsi="Times New Roman" w:cs="Times New Roman"/>
          <w:sz w:val="24"/>
          <w:szCs w:val="24"/>
        </w:rPr>
        <w:t>1.</w:t>
      </w:r>
      <w:r w:rsidR="0096470A" w:rsidRPr="001E35A2">
        <w:rPr>
          <w:rFonts w:ascii="Times New Roman" w:hAnsi="Times New Roman" w:cs="Times New Roman"/>
          <w:sz w:val="24"/>
          <w:szCs w:val="24"/>
        </w:rPr>
        <w:t>7</w:t>
      </w:r>
      <w:r w:rsidR="00BF3633" w:rsidRPr="001E35A2">
        <w:rPr>
          <w:rFonts w:ascii="Times New Roman" w:hAnsi="Times New Roman" w:cs="Times New Roman"/>
          <w:sz w:val="24"/>
          <w:szCs w:val="24"/>
        </w:rPr>
        <w:t xml:space="preserve">, </w:t>
      </w:r>
      <w:r w:rsidR="00270878" w:rsidRPr="001E35A2">
        <w:rPr>
          <w:rFonts w:ascii="Times New Roman" w:hAnsi="Times New Roman" w:cs="Times New Roman"/>
          <w:sz w:val="24"/>
          <w:szCs w:val="24"/>
        </w:rPr>
        <w:t>1.</w:t>
      </w:r>
      <w:r w:rsidR="0096470A" w:rsidRPr="001E35A2">
        <w:rPr>
          <w:rFonts w:ascii="Times New Roman" w:hAnsi="Times New Roman" w:cs="Times New Roman"/>
          <w:sz w:val="24"/>
          <w:szCs w:val="24"/>
        </w:rPr>
        <w:t>1</w:t>
      </w:r>
      <w:r w:rsidR="0001713C">
        <w:rPr>
          <w:rFonts w:ascii="Times New Roman" w:hAnsi="Times New Roman" w:cs="Times New Roman"/>
          <w:sz w:val="24"/>
          <w:szCs w:val="24"/>
        </w:rPr>
        <w:noBreakHyphen/>
      </w:r>
      <w:r w:rsidR="00270878" w:rsidRPr="001E35A2">
        <w:rPr>
          <w:rFonts w:ascii="Times New Roman" w:hAnsi="Times New Roman" w:cs="Times New Roman"/>
          <w:sz w:val="24"/>
          <w:szCs w:val="24"/>
        </w:rPr>
        <w:t>2.</w:t>
      </w:r>
      <w:r w:rsidR="0096470A" w:rsidRPr="001E35A2">
        <w:rPr>
          <w:rFonts w:ascii="Times New Roman" w:hAnsi="Times New Roman" w:cs="Times New Roman"/>
          <w:sz w:val="24"/>
          <w:szCs w:val="24"/>
        </w:rPr>
        <w:t>6</w:t>
      </w:r>
      <w:r w:rsidR="00270878" w:rsidRPr="001E35A2">
        <w:rPr>
          <w:rFonts w:ascii="Times New Roman" w:hAnsi="Times New Roman" w:cs="Times New Roman"/>
          <w:sz w:val="24"/>
          <w:szCs w:val="24"/>
        </w:rPr>
        <w:t>)</w:t>
      </w:r>
      <w:r w:rsidR="001E70C8" w:rsidRPr="001E35A2">
        <w:rPr>
          <w:rFonts w:ascii="Times New Roman" w:hAnsi="Times New Roman" w:cs="Times New Roman"/>
          <w:sz w:val="24"/>
          <w:szCs w:val="24"/>
        </w:rPr>
        <w:t>. When overdose was included</w:t>
      </w:r>
      <w:r w:rsidR="00BF3633" w:rsidRPr="001E35A2">
        <w:rPr>
          <w:rFonts w:ascii="Times New Roman" w:hAnsi="Times New Roman" w:cs="Times New Roman"/>
          <w:sz w:val="24"/>
          <w:szCs w:val="24"/>
        </w:rPr>
        <w:t xml:space="preserve"> th</w:t>
      </w:r>
      <w:r w:rsidR="001E70C8" w:rsidRPr="001E35A2">
        <w:rPr>
          <w:rFonts w:ascii="Times New Roman" w:hAnsi="Times New Roman" w:cs="Times New Roman"/>
          <w:sz w:val="24"/>
          <w:szCs w:val="24"/>
        </w:rPr>
        <w:t xml:space="preserve">e </w:t>
      </w:r>
      <w:r w:rsidR="00BF3633" w:rsidRPr="001E35A2">
        <w:rPr>
          <w:rFonts w:ascii="Times New Roman" w:hAnsi="Times New Roman" w:cs="Times New Roman"/>
          <w:sz w:val="24"/>
          <w:szCs w:val="24"/>
        </w:rPr>
        <w:t xml:space="preserve">rate </w:t>
      </w:r>
      <w:r w:rsidR="00C51FE1" w:rsidRPr="001E35A2">
        <w:rPr>
          <w:rFonts w:ascii="Times New Roman" w:hAnsi="Times New Roman" w:cs="Times New Roman"/>
          <w:sz w:val="24"/>
          <w:szCs w:val="24"/>
        </w:rPr>
        <w:t xml:space="preserve">increased </w:t>
      </w:r>
      <w:r w:rsidR="000F553A" w:rsidRPr="001E35A2">
        <w:rPr>
          <w:rFonts w:ascii="Times New Roman" w:hAnsi="Times New Roman" w:cs="Times New Roman"/>
          <w:sz w:val="24"/>
          <w:szCs w:val="24"/>
        </w:rPr>
        <w:t xml:space="preserve">to 2-fold </w:t>
      </w:r>
      <w:r w:rsidR="001E70C8" w:rsidRPr="001E35A2">
        <w:rPr>
          <w:rFonts w:ascii="Times New Roman" w:hAnsi="Times New Roman" w:cs="Times New Roman"/>
          <w:sz w:val="24"/>
          <w:szCs w:val="24"/>
        </w:rPr>
        <w:t>for b</w:t>
      </w:r>
      <w:r w:rsidR="00C51FE1" w:rsidRPr="001E35A2">
        <w:rPr>
          <w:rFonts w:ascii="Times New Roman" w:hAnsi="Times New Roman" w:cs="Times New Roman"/>
          <w:sz w:val="24"/>
          <w:szCs w:val="24"/>
        </w:rPr>
        <w:t xml:space="preserve">oth </w:t>
      </w:r>
      <w:r w:rsidR="00270878" w:rsidRPr="001E35A2">
        <w:rPr>
          <w:rFonts w:ascii="Times New Roman" w:hAnsi="Times New Roman" w:cs="Times New Roman"/>
          <w:sz w:val="24"/>
          <w:szCs w:val="24"/>
        </w:rPr>
        <w:t xml:space="preserve">19-29 </w:t>
      </w:r>
      <w:r w:rsidR="00C51FE1" w:rsidRPr="001E35A2">
        <w:rPr>
          <w:rFonts w:ascii="Times New Roman" w:hAnsi="Times New Roman" w:cs="Times New Roman"/>
          <w:sz w:val="24"/>
          <w:szCs w:val="24"/>
        </w:rPr>
        <w:t xml:space="preserve">and </w:t>
      </w:r>
      <w:r w:rsidR="00270878" w:rsidRPr="001E35A2">
        <w:rPr>
          <w:rFonts w:ascii="Times New Roman" w:hAnsi="Times New Roman" w:cs="Times New Roman"/>
          <w:sz w:val="24"/>
          <w:szCs w:val="24"/>
        </w:rPr>
        <w:t>30-39</w:t>
      </w:r>
      <w:r w:rsidR="001030AA" w:rsidRPr="001E35A2">
        <w:rPr>
          <w:rFonts w:ascii="Times New Roman" w:hAnsi="Times New Roman" w:cs="Times New Roman"/>
          <w:sz w:val="24"/>
          <w:szCs w:val="24"/>
        </w:rPr>
        <w:t xml:space="preserve"> </w:t>
      </w:r>
      <w:r w:rsidR="000F553A" w:rsidRPr="001E35A2">
        <w:rPr>
          <w:rFonts w:ascii="Times New Roman" w:hAnsi="Times New Roman" w:cs="Times New Roman"/>
          <w:sz w:val="24"/>
          <w:szCs w:val="24"/>
        </w:rPr>
        <w:t xml:space="preserve">year olds </w:t>
      </w:r>
      <w:r w:rsidR="001030AA" w:rsidRPr="001E35A2">
        <w:rPr>
          <w:rFonts w:ascii="Times New Roman" w:hAnsi="Times New Roman" w:cs="Times New Roman"/>
          <w:sz w:val="24"/>
          <w:szCs w:val="24"/>
        </w:rPr>
        <w:t xml:space="preserve">at </w:t>
      </w:r>
      <w:r w:rsidR="00F4689C" w:rsidRPr="001E35A2">
        <w:rPr>
          <w:rFonts w:ascii="Times New Roman" w:hAnsi="Times New Roman" w:cs="Times New Roman"/>
          <w:sz w:val="24"/>
          <w:szCs w:val="24"/>
        </w:rPr>
        <w:t>exit</w:t>
      </w:r>
      <w:r w:rsidR="004E1144" w:rsidRPr="001E35A2">
        <w:rPr>
          <w:rFonts w:ascii="Times New Roman" w:hAnsi="Times New Roman" w:cs="Times New Roman"/>
          <w:sz w:val="24"/>
          <w:szCs w:val="24"/>
        </w:rPr>
        <w:t xml:space="preserve">. </w:t>
      </w:r>
      <w:r w:rsidR="00270878" w:rsidRPr="001E35A2">
        <w:rPr>
          <w:rFonts w:ascii="Times New Roman" w:hAnsi="Times New Roman" w:cs="Times New Roman"/>
          <w:sz w:val="24"/>
          <w:szCs w:val="24"/>
        </w:rPr>
        <w:t>Risk</w:t>
      </w:r>
      <w:r w:rsidR="00C51FE1" w:rsidRPr="001E35A2">
        <w:rPr>
          <w:rFonts w:ascii="Times New Roman" w:hAnsi="Times New Roman" w:cs="Times New Roman"/>
          <w:sz w:val="24"/>
          <w:szCs w:val="24"/>
        </w:rPr>
        <w:t>s</w:t>
      </w:r>
      <w:r w:rsidR="00270878" w:rsidRPr="001E35A2">
        <w:rPr>
          <w:rFonts w:ascii="Times New Roman" w:hAnsi="Times New Roman" w:cs="Times New Roman"/>
          <w:sz w:val="24"/>
          <w:szCs w:val="24"/>
        </w:rPr>
        <w:t xml:space="preserve"> remained elevated when </w:t>
      </w:r>
      <w:r w:rsidR="004E1144" w:rsidRPr="001E35A2">
        <w:rPr>
          <w:rFonts w:ascii="Times New Roman" w:hAnsi="Times New Roman" w:cs="Times New Roman"/>
          <w:sz w:val="24"/>
          <w:szCs w:val="24"/>
        </w:rPr>
        <w:t xml:space="preserve">follow-up </w:t>
      </w:r>
      <w:r w:rsidR="00270878" w:rsidRPr="001E35A2">
        <w:rPr>
          <w:rFonts w:ascii="Times New Roman" w:hAnsi="Times New Roman" w:cs="Times New Roman"/>
          <w:sz w:val="24"/>
          <w:szCs w:val="24"/>
        </w:rPr>
        <w:t xml:space="preserve">was restricted to </w:t>
      </w:r>
      <w:r w:rsidR="004E1144" w:rsidRPr="001E35A2">
        <w:rPr>
          <w:rFonts w:ascii="Times New Roman" w:hAnsi="Times New Roman" w:cs="Times New Roman"/>
          <w:sz w:val="24"/>
          <w:szCs w:val="24"/>
        </w:rPr>
        <w:t>five years after exit</w:t>
      </w:r>
      <w:r w:rsidR="00270878" w:rsidRPr="001E35A2">
        <w:rPr>
          <w:rFonts w:ascii="Times New Roman" w:hAnsi="Times New Roman" w:cs="Times New Roman"/>
          <w:sz w:val="24"/>
          <w:szCs w:val="24"/>
        </w:rPr>
        <w:t>.</w:t>
      </w:r>
    </w:p>
    <w:p w14:paraId="4930BD04" w14:textId="75332A2F" w:rsidR="007A79B1" w:rsidRPr="001E35A2" w:rsidRDefault="007A79B1" w:rsidP="00D8533C">
      <w:pPr>
        <w:spacing w:line="480" w:lineRule="auto"/>
        <w:rPr>
          <w:rFonts w:ascii="Times New Roman" w:hAnsi="Times New Roman" w:cs="Times New Roman"/>
          <w:sz w:val="24"/>
          <w:szCs w:val="24"/>
        </w:rPr>
      </w:pPr>
      <w:r w:rsidRPr="001E35A2">
        <w:rPr>
          <w:rFonts w:ascii="Times New Roman" w:hAnsi="Times New Roman" w:cs="Times New Roman"/>
          <w:b/>
          <w:sz w:val="24"/>
          <w:szCs w:val="24"/>
        </w:rPr>
        <w:t>Conclusions and Relevance</w:t>
      </w:r>
      <w:r w:rsidRPr="001E35A2">
        <w:rPr>
          <w:rFonts w:ascii="Times New Roman" w:hAnsi="Times New Roman" w:cs="Times New Roman"/>
          <w:sz w:val="24"/>
          <w:szCs w:val="24"/>
        </w:rPr>
        <w:t xml:space="preserve">: </w:t>
      </w:r>
      <w:bookmarkStart w:id="1" w:name="_Hlk32482196"/>
      <w:r w:rsidRPr="001E35A2">
        <w:rPr>
          <w:rFonts w:ascii="Times New Roman" w:hAnsi="Times New Roman" w:cs="Times New Roman"/>
          <w:sz w:val="24"/>
          <w:szCs w:val="24"/>
        </w:rPr>
        <w:t xml:space="preserve">Michigan autoworkers </w:t>
      </w:r>
      <w:r w:rsidR="00A402B9" w:rsidRPr="001E35A2">
        <w:rPr>
          <w:rFonts w:ascii="Times New Roman" w:hAnsi="Times New Roman" w:cs="Times New Roman"/>
          <w:sz w:val="24"/>
          <w:szCs w:val="24"/>
        </w:rPr>
        <w:t xml:space="preserve">who </w:t>
      </w:r>
      <w:r w:rsidR="000F4C3F" w:rsidRPr="001E35A2">
        <w:rPr>
          <w:rFonts w:ascii="Times New Roman" w:hAnsi="Times New Roman" w:cs="Times New Roman"/>
          <w:sz w:val="24"/>
          <w:szCs w:val="24"/>
        </w:rPr>
        <w:t xml:space="preserve">left work had higher </w:t>
      </w:r>
      <w:r w:rsidR="00B61B55" w:rsidRPr="001E35A2">
        <w:rPr>
          <w:rFonts w:ascii="Times New Roman" w:hAnsi="Times New Roman" w:cs="Times New Roman"/>
          <w:sz w:val="24"/>
          <w:szCs w:val="24"/>
        </w:rPr>
        <w:t xml:space="preserve">risk of </w:t>
      </w:r>
      <w:r w:rsidRPr="001E35A2">
        <w:rPr>
          <w:rFonts w:ascii="Times New Roman" w:hAnsi="Times New Roman" w:cs="Times New Roman"/>
          <w:sz w:val="24"/>
          <w:szCs w:val="24"/>
        </w:rPr>
        <w:t>suicide or overdose</w:t>
      </w:r>
      <w:r w:rsidR="000F4C3F" w:rsidRPr="001E35A2">
        <w:rPr>
          <w:rFonts w:ascii="Times New Roman" w:hAnsi="Times New Roman" w:cs="Times New Roman"/>
          <w:sz w:val="24"/>
          <w:szCs w:val="24"/>
        </w:rPr>
        <w:t xml:space="preserve"> than active employees. </w:t>
      </w:r>
      <w:r w:rsidRPr="001E35A2">
        <w:rPr>
          <w:rFonts w:ascii="Times New Roman" w:hAnsi="Times New Roman" w:cs="Times New Roman"/>
          <w:sz w:val="24"/>
          <w:szCs w:val="24"/>
        </w:rPr>
        <w:t xml:space="preserve">Most </w:t>
      </w:r>
      <w:r w:rsidR="008D7671" w:rsidRPr="001E35A2">
        <w:rPr>
          <w:rFonts w:ascii="Times New Roman" w:hAnsi="Times New Roman" w:cs="Times New Roman"/>
          <w:sz w:val="24"/>
          <w:szCs w:val="24"/>
        </w:rPr>
        <w:t xml:space="preserve">events </w:t>
      </w:r>
      <w:r w:rsidRPr="001E35A2">
        <w:rPr>
          <w:rFonts w:ascii="Times New Roman" w:hAnsi="Times New Roman" w:cs="Times New Roman"/>
          <w:sz w:val="24"/>
          <w:szCs w:val="24"/>
        </w:rPr>
        <w:t xml:space="preserve">occurred within five years of leaving work among those who left before </w:t>
      </w:r>
      <w:r w:rsidR="00DF2B9F" w:rsidRPr="001E35A2">
        <w:rPr>
          <w:rFonts w:ascii="Times New Roman" w:hAnsi="Times New Roman" w:cs="Times New Roman"/>
          <w:sz w:val="24"/>
          <w:szCs w:val="24"/>
        </w:rPr>
        <w:t xml:space="preserve">retirement </w:t>
      </w:r>
      <w:r w:rsidRPr="001E35A2">
        <w:rPr>
          <w:rFonts w:ascii="Times New Roman" w:hAnsi="Times New Roman" w:cs="Times New Roman"/>
          <w:sz w:val="24"/>
          <w:szCs w:val="24"/>
        </w:rPr>
        <w:t>age</w:t>
      </w:r>
      <w:r w:rsidR="00D6254A" w:rsidRPr="001E35A2">
        <w:rPr>
          <w:rFonts w:ascii="Times New Roman" w:hAnsi="Times New Roman" w:cs="Times New Roman"/>
          <w:sz w:val="24"/>
          <w:szCs w:val="24"/>
        </w:rPr>
        <w:t xml:space="preserve">, </w:t>
      </w:r>
      <w:bookmarkStart w:id="2" w:name="_Hlk33191437"/>
      <w:r w:rsidR="00D6254A" w:rsidRPr="001E35A2">
        <w:rPr>
          <w:rFonts w:ascii="Times New Roman" w:hAnsi="Times New Roman" w:cs="Times New Roman"/>
          <w:sz w:val="24"/>
          <w:szCs w:val="24"/>
        </w:rPr>
        <w:t xml:space="preserve">suggesting that leaving work </w:t>
      </w:r>
      <w:r w:rsidR="004E1144" w:rsidRPr="001E35A2">
        <w:rPr>
          <w:rFonts w:ascii="Times New Roman" w:hAnsi="Times New Roman" w:cs="Times New Roman"/>
          <w:sz w:val="24"/>
          <w:szCs w:val="24"/>
        </w:rPr>
        <w:t xml:space="preserve">early </w:t>
      </w:r>
      <w:r w:rsidR="00D6254A" w:rsidRPr="001E35A2">
        <w:rPr>
          <w:rFonts w:ascii="Times New Roman" w:hAnsi="Times New Roman" w:cs="Times New Roman"/>
          <w:sz w:val="24"/>
          <w:szCs w:val="24"/>
        </w:rPr>
        <w:t>may increase the risk</w:t>
      </w:r>
      <w:bookmarkEnd w:id="2"/>
      <w:r w:rsidR="00D6254A" w:rsidRPr="001E35A2">
        <w:rPr>
          <w:rFonts w:ascii="Times New Roman" w:hAnsi="Times New Roman" w:cs="Times New Roman"/>
          <w:sz w:val="24"/>
          <w:szCs w:val="24"/>
        </w:rPr>
        <w:t>.</w:t>
      </w:r>
      <w:bookmarkEnd w:id="1"/>
    </w:p>
    <w:p w14:paraId="217DB23E" w14:textId="453645E3" w:rsidR="001030AA" w:rsidRPr="001E35A2" w:rsidRDefault="001030AA" w:rsidP="00D8533C">
      <w:pPr>
        <w:spacing w:line="480" w:lineRule="auto"/>
        <w:rPr>
          <w:rFonts w:ascii="Times New Roman" w:hAnsi="Times New Roman" w:cs="Times New Roman"/>
          <w:b/>
          <w:sz w:val="24"/>
          <w:szCs w:val="24"/>
        </w:rPr>
      </w:pPr>
      <w:r w:rsidRPr="001E35A2">
        <w:rPr>
          <w:rFonts w:ascii="Times New Roman" w:hAnsi="Times New Roman" w:cs="Times New Roman"/>
          <w:b/>
          <w:sz w:val="24"/>
          <w:szCs w:val="24"/>
        </w:rPr>
        <w:t>Abstract</w:t>
      </w:r>
      <w:r w:rsidR="00695ADA">
        <w:rPr>
          <w:rFonts w:ascii="Times New Roman" w:hAnsi="Times New Roman" w:cs="Times New Roman"/>
          <w:b/>
          <w:sz w:val="24"/>
          <w:szCs w:val="24"/>
        </w:rPr>
        <w:t xml:space="preserve"> word count</w:t>
      </w:r>
      <w:r w:rsidRPr="001E35A2">
        <w:rPr>
          <w:rFonts w:ascii="Times New Roman" w:hAnsi="Times New Roman" w:cs="Times New Roman"/>
          <w:b/>
          <w:sz w:val="24"/>
          <w:szCs w:val="24"/>
        </w:rPr>
        <w:t>: 350 words</w:t>
      </w:r>
    </w:p>
    <w:p w14:paraId="78770C76" w14:textId="1070D790" w:rsidR="00D3402E" w:rsidRPr="001E35A2" w:rsidRDefault="007A79B1" w:rsidP="00D8533C">
      <w:pPr>
        <w:spacing w:line="480" w:lineRule="auto"/>
        <w:rPr>
          <w:rFonts w:ascii="Times New Roman" w:hAnsi="Times New Roman" w:cs="Times New Roman"/>
          <w:sz w:val="24"/>
          <w:szCs w:val="24"/>
        </w:rPr>
      </w:pPr>
      <w:r w:rsidRPr="001E35A2">
        <w:rPr>
          <w:rFonts w:ascii="Times New Roman" w:hAnsi="Times New Roman" w:cs="Times New Roman"/>
          <w:b/>
          <w:sz w:val="24"/>
          <w:szCs w:val="24"/>
        </w:rPr>
        <w:br w:type="page"/>
      </w:r>
      <w:bookmarkStart w:id="3" w:name="_Hlk30518642"/>
      <w:r w:rsidR="00D3402E" w:rsidRPr="001E35A2">
        <w:rPr>
          <w:rFonts w:ascii="Times New Roman" w:hAnsi="Times New Roman" w:cs="Times New Roman"/>
          <w:sz w:val="24"/>
          <w:szCs w:val="24"/>
        </w:rPr>
        <w:lastRenderedPageBreak/>
        <w:t>Over the past 20 years, mortality rates for drug overdose and suicide have increased in the U</w:t>
      </w:r>
      <w:r w:rsidR="00E84BEF" w:rsidRPr="001E35A2">
        <w:rPr>
          <w:rFonts w:ascii="Times New Roman" w:hAnsi="Times New Roman" w:cs="Times New Roman"/>
          <w:sz w:val="24"/>
          <w:szCs w:val="24"/>
        </w:rPr>
        <w:t xml:space="preserve">nited </w:t>
      </w:r>
      <w:r w:rsidR="00D3402E" w:rsidRPr="001E35A2">
        <w:rPr>
          <w:rFonts w:ascii="Times New Roman" w:hAnsi="Times New Roman" w:cs="Times New Roman"/>
          <w:sz w:val="24"/>
          <w:szCs w:val="24"/>
        </w:rPr>
        <w:t>S</w:t>
      </w:r>
      <w:r w:rsidR="00E84BEF" w:rsidRPr="001E35A2">
        <w:rPr>
          <w:rFonts w:ascii="Times New Roman" w:hAnsi="Times New Roman" w:cs="Times New Roman"/>
          <w:sz w:val="24"/>
          <w:szCs w:val="24"/>
        </w:rPr>
        <w:t>tates</w:t>
      </w:r>
      <w:r w:rsidR="00D3402E" w:rsidRPr="001E35A2">
        <w:rPr>
          <w:rFonts w:ascii="Times New Roman" w:hAnsi="Times New Roman" w:cs="Times New Roman"/>
          <w:sz w:val="24"/>
          <w:szCs w:val="24"/>
        </w:rPr>
        <w:t xml:space="preserve"> across all ages, but most dramatically for working aged adults.</w:t>
      </w:r>
      <w:r w:rsidR="00936F3A" w:rsidRPr="001E35A2">
        <w:rPr>
          <w:rFonts w:ascii="Times New Roman" w:hAnsi="Times New Roman" w:cs="Times New Roman"/>
          <w:sz w:val="24"/>
          <w:szCs w:val="24"/>
        </w:rPr>
        <w:fldChar w:fldCharType="begin" w:fldLock="1"/>
      </w:r>
      <w:r w:rsidR="00D91983" w:rsidRPr="001E35A2">
        <w:rPr>
          <w:rFonts w:ascii="Times New Roman" w:hAnsi="Times New Roman" w:cs="Times New Roman"/>
          <w:sz w:val="24"/>
          <w:szCs w:val="24"/>
        </w:rPr>
        <w:instrText>ADDIN CSL_CITATION {"citationItems":[{"id":"ITEM-1","itemData":{"ISSN":"1941-4927","PMID":"30500323","abstract":"Deaths from drug overdose continue to be a public health burden in the United States (1-5). This report uses the most recent final mortality data from the National Vital Statistics System (NVSS) to update trends in drug overdose deaths, describe demographic and geographic patterns, and identify shifts in the types of drugs involved.","author":[{"dropping-particle":"","family":"Hedegaard","given":"Holly","non-dropping-particle":"","parse-names":false,"suffix":""},{"dropping-particle":"","family":"Warner","given":"Margaret","non-dropping-particle":"","parse-names":false,"suffix":""},{"dropping-particle":"","family":"Miniño","given":"Arialdi M","non-dropping-particle":"","parse-names":false,"suffix":""}],"container-title":"NCHS data brief, no 294","id":"ITEM-1","issued":{"date-parts":[["2017"]]},"title":"Drug Overdose Deaths in the United States, 1999-2016","type":"article-journal"},"uris":["http://www.mendeley.com/documents/?uuid=55a8d832-7e69-456a-8dec-a3fc3c4ce872"]},{"id":"ITEM-2","itemData":{"URL":"https://wonder.cdc.gov/wonder/help/ucd.html","author":[{"dropping-particle":"","family":"CDC","given":"","non-dropping-particle":"","parse-names":false,"suffix":""}],"id":"ITEM-2","issued":{"date-parts":[["2014"]]},"title":"Underlying Cause of Death 1999-2017","type":"webpage"},"uris":["http://www.mendeley.com/documents/?uuid=3316c99f-2c47-4a8a-bf73-0f76a2009e59"]}],"mendeley":{"formattedCitation":"&lt;sup&gt;1,2&lt;/sup&gt;","plainTextFormattedCitation":"1,2","previouslyFormattedCitation":"&lt;sup&gt;1,2&lt;/sup&gt;"},"properties":{"noteIndex":0},"schema":"https://github.com/citation-style-language/schema/raw/master/csl-citation.json"}</w:instrText>
      </w:r>
      <w:r w:rsidR="00936F3A" w:rsidRPr="001E35A2">
        <w:rPr>
          <w:rFonts w:ascii="Times New Roman" w:hAnsi="Times New Roman" w:cs="Times New Roman"/>
          <w:sz w:val="24"/>
          <w:szCs w:val="24"/>
        </w:rPr>
        <w:fldChar w:fldCharType="separate"/>
      </w:r>
      <w:r w:rsidR="00936F3A" w:rsidRPr="001E35A2">
        <w:rPr>
          <w:rFonts w:ascii="Times New Roman" w:hAnsi="Times New Roman" w:cs="Times New Roman"/>
          <w:noProof/>
          <w:sz w:val="24"/>
          <w:szCs w:val="24"/>
          <w:vertAlign w:val="superscript"/>
        </w:rPr>
        <w:t>1,2</w:t>
      </w:r>
      <w:r w:rsidR="00936F3A" w:rsidRPr="001E35A2">
        <w:rPr>
          <w:rFonts w:ascii="Times New Roman" w:hAnsi="Times New Roman" w:cs="Times New Roman"/>
          <w:sz w:val="24"/>
          <w:szCs w:val="24"/>
        </w:rPr>
        <w:fldChar w:fldCharType="end"/>
      </w:r>
      <w:r w:rsidR="00D3402E" w:rsidRPr="001E35A2">
        <w:rPr>
          <w:rFonts w:ascii="Times New Roman" w:hAnsi="Times New Roman" w:cs="Times New Roman"/>
          <w:sz w:val="24"/>
          <w:szCs w:val="24"/>
        </w:rPr>
        <w:t xml:space="preserve"> Case and Deaton</w:t>
      </w:r>
      <w:r w:rsidR="009178E3" w:rsidRPr="001E35A2">
        <w:rPr>
          <w:rFonts w:ascii="Times New Roman" w:hAnsi="Times New Roman" w:cs="Times New Roman"/>
          <w:sz w:val="24"/>
          <w:szCs w:val="24"/>
        </w:rPr>
        <w:t xml:space="preserve"> </w:t>
      </w:r>
      <w:r w:rsidR="006A2E51" w:rsidRPr="001E35A2">
        <w:rPr>
          <w:rFonts w:ascii="Times New Roman" w:hAnsi="Times New Roman" w:cs="Times New Roman"/>
          <w:sz w:val="24"/>
          <w:szCs w:val="24"/>
        </w:rPr>
        <w:t xml:space="preserve">were the first to </w:t>
      </w:r>
      <w:r w:rsidR="00D3402E" w:rsidRPr="001E35A2">
        <w:rPr>
          <w:rFonts w:ascii="Times New Roman" w:hAnsi="Times New Roman" w:cs="Times New Roman"/>
          <w:sz w:val="24"/>
          <w:szCs w:val="24"/>
        </w:rPr>
        <w:t xml:space="preserve">note rising </w:t>
      </w:r>
      <w:r w:rsidR="00064DF8" w:rsidRPr="001E35A2">
        <w:rPr>
          <w:rFonts w:ascii="Times New Roman" w:hAnsi="Times New Roman" w:cs="Times New Roman"/>
          <w:sz w:val="24"/>
          <w:szCs w:val="24"/>
        </w:rPr>
        <w:t xml:space="preserve">midlife </w:t>
      </w:r>
      <w:r w:rsidR="00D3402E" w:rsidRPr="001E35A2">
        <w:rPr>
          <w:rFonts w:ascii="Times New Roman" w:hAnsi="Times New Roman" w:cs="Times New Roman"/>
          <w:sz w:val="24"/>
          <w:szCs w:val="24"/>
        </w:rPr>
        <w:t xml:space="preserve">mortality rates among </w:t>
      </w:r>
      <w:r w:rsidR="006A2E51" w:rsidRPr="001E35A2">
        <w:rPr>
          <w:rFonts w:ascii="Times New Roman" w:hAnsi="Times New Roman" w:cs="Times New Roman"/>
          <w:sz w:val="24"/>
          <w:szCs w:val="24"/>
        </w:rPr>
        <w:t>Wh</w:t>
      </w:r>
      <w:r w:rsidR="00D3402E" w:rsidRPr="001E35A2">
        <w:rPr>
          <w:rFonts w:ascii="Times New Roman" w:hAnsi="Times New Roman" w:cs="Times New Roman"/>
          <w:sz w:val="24"/>
          <w:szCs w:val="24"/>
        </w:rPr>
        <w:t xml:space="preserve">ite, </w:t>
      </w:r>
      <w:r w:rsidR="00064DF8" w:rsidRPr="001E35A2">
        <w:rPr>
          <w:rFonts w:ascii="Times New Roman" w:hAnsi="Times New Roman" w:cs="Times New Roman"/>
          <w:sz w:val="24"/>
          <w:szCs w:val="24"/>
        </w:rPr>
        <w:t>non-Hispanic Americans</w:t>
      </w:r>
      <w:r w:rsidR="00BF3633" w:rsidRPr="001E35A2">
        <w:rPr>
          <w:rFonts w:ascii="Times New Roman" w:hAnsi="Times New Roman" w:cs="Times New Roman"/>
          <w:sz w:val="24"/>
          <w:szCs w:val="24"/>
        </w:rPr>
        <w:t xml:space="preserve"> ages 35 to 54</w:t>
      </w:r>
      <w:r w:rsidR="00064DF8" w:rsidRPr="001E35A2">
        <w:rPr>
          <w:rFonts w:ascii="Times New Roman" w:hAnsi="Times New Roman" w:cs="Times New Roman"/>
          <w:sz w:val="24"/>
          <w:szCs w:val="24"/>
        </w:rPr>
        <w:t xml:space="preserve"> with a high school education or less</w:t>
      </w:r>
      <w:r w:rsidR="00D3402E" w:rsidRPr="001E35A2">
        <w:rPr>
          <w:rFonts w:ascii="Times New Roman" w:hAnsi="Times New Roman" w:cs="Times New Roman"/>
          <w:sz w:val="24"/>
          <w:szCs w:val="24"/>
        </w:rPr>
        <w:t>.</w:t>
      </w:r>
      <w:r w:rsidR="00D3402E" w:rsidRPr="001E35A2">
        <w:rPr>
          <w:rFonts w:ascii="Times New Roman" w:hAnsi="Times New Roman" w:cs="Times New Roman"/>
          <w:sz w:val="24"/>
          <w:szCs w:val="24"/>
        </w:rPr>
        <w:fldChar w:fldCharType="begin" w:fldLock="1"/>
      </w:r>
      <w:r w:rsidR="00936F3A" w:rsidRPr="001E35A2">
        <w:rPr>
          <w:rFonts w:ascii="Times New Roman" w:hAnsi="Times New Roman" w:cs="Times New Roman"/>
          <w:sz w:val="24"/>
          <w:szCs w:val="24"/>
        </w:rPr>
        <w:instrText>ADDIN CSL_CITATION {"citationItems":[{"id":"ITEM-1","itemData":{"DOI":"10.1073/pnas.1518393112","ISBN":"1091-6490 (Electronic)\\r0027-8424 (Linking)","ISSN":"0027-8424","PMID":"26575631","abstract":"SignificanceMidlife increases in suicides and drug poisonings have been previously noted. However, that these upward trends were persistent and large enough to drive up all-cause midlife mortality has, to our knowledge, been overlooked. If the white mortality rate for ages 45-54 had held at their 1998 value, 96,000 deaths would have been avoided from 1999-2013, 7,000 in 2013 alone. If it had continued to decline at its previous (1979-1998) rate, half a million deaths would have been avoided in the period 1999-2013, comparable to lives lost in the US AIDS epidemic through mid-2015. Concurrent declines in self-reported health, mental health, and ability to work, increased reports of pain, and deteriorating measures of liver function all point to increasing midlife distress. This paper documents a marked increase in the all-cause mortality of middle-aged white non-Hispanic men and women in the United States between 1999 and 2013. This change reversed decades of progress in mortality and was unique to the United States; no other rich country saw a similar turnaround. The midlife mortality reversal was confined to white non-Hispanics; black non-Hispanics and Hispanics at midlife, and those aged 65 and above in every racial and ethnic group, continued to see mortality rates fall. This increase for whites was largely accounted for by increasing death rates from drug and alcohol poisonings, suicide, and chronic liver diseases and cirrhosis. Although all education groups saw increases in mortality from suicide and poisonings, and an overall increase in external cause mortality, those with less education saw the most marked increases. Rising midlife mortality rates of white non-Hispanics were paralleled by increases in midlife morbidity. Self-reported declines in health, mental health, and ability to conduct activities of daily living, and increases in chronic pain and inability to work, as well as clinically measured deteriorations in liver function, all point to growing distress in this population. We comment on potential economic causes and consequences of this deterioration.","author":[{"dropping-particle":"","family":"Case","given":"Anne","non-dropping-particle":"","parse-names":false,"suffix":""},{"dropping-particle":"","family":"Deaton","given":"Angus","non-dropping-particle":"","parse-names":false,"suffix":""}],"container-title":"Proceedings of the National Academy of Sciences","id":"ITEM-1","issue":"49","issued":{"date-parts":[["2015"]]},"page":"15078-15083","title":"Rising morbidity and mortality in midlife among white non-Hispanic Americans in the 21st century","type":"article-journal","volume":"112"},"uris":["http://www.mendeley.com/documents/?uuid=712dae36-c028-4c87-a878-045f888bcf20"]}],"mendeley":{"formattedCitation":"&lt;sup&gt;3&lt;/sup&gt;","plainTextFormattedCitation":"3","previouslyFormattedCitation":"&lt;sup&gt;3&lt;/sup&gt;"},"properties":{"noteIndex":0},"schema":"https://github.com/citation-style-language/schema/raw/master/csl-citation.json"}</w:instrText>
      </w:r>
      <w:r w:rsidR="00D3402E" w:rsidRPr="001E35A2">
        <w:rPr>
          <w:rFonts w:ascii="Times New Roman" w:hAnsi="Times New Roman" w:cs="Times New Roman"/>
          <w:sz w:val="24"/>
          <w:szCs w:val="24"/>
        </w:rPr>
        <w:fldChar w:fldCharType="separate"/>
      </w:r>
      <w:r w:rsidR="00936F3A" w:rsidRPr="001E35A2">
        <w:rPr>
          <w:rFonts w:ascii="Times New Roman" w:hAnsi="Times New Roman" w:cs="Times New Roman"/>
          <w:noProof/>
          <w:sz w:val="24"/>
          <w:szCs w:val="24"/>
          <w:vertAlign w:val="superscript"/>
        </w:rPr>
        <w:t>3</w:t>
      </w:r>
      <w:r w:rsidR="00D3402E" w:rsidRPr="001E35A2">
        <w:rPr>
          <w:rFonts w:ascii="Times New Roman" w:hAnsi="Times New Roman" w:cs="Times New Roman"/>
          <w:sz w:val="24"/>
          <w:szCs w:val="24"/>
        </w:rPr>
        <w:fldChar w:fldCharType="end"/>
      </w:r>
      <w:r w:rsidR="00D3402E" w:rsidRPr="001E35A2">
        <w:rPr>
          <w:rFonts w:ascii="Times New Roman" w:hAnsi="Times New Roman" w:cs="Times New Roman"/>
          <w:sz w:val="24"/>
          <w:szCs w:val="24"/>
        </w:rPr>
        <w:t xml:space="preserve"> They </w:t>
      </w:r>
      <w:r w:rsidR="006A2E51" w:rsidRPr="001E35A2">
        <w:rPr>
          <w:rFonts w:ascii="Times New Roman" w:hAnsi="Times New Roman" w:cs="Times New Roman"/>
          <w:sz w:val="24"/>
          <w:szCs w:val="24"/>
        </w:rPr>
        <w:t xml:space="preserve">identified drug overdose, suicide, and alcohol-related liver disease mortality as the causes of the increase and attributed these </w:t>
      </w:r>
      <w:r w:rsidR="00D3402E" w:rsidRPr="001E35A2">
        <w:rPr>
          <w:rFonts w:ascii="Times New Roman" w:hAnsi="Times New Roman" w:cs="Times New Roman"/>
          <w:sz w:val="24"/>
          <w:szCs w:val="24"/>
        </w:rPr>
        <w:t xml:space="preserve">“deaths of despair” </w:t>
      </w:r>
      <w:r w:rsidR="006A2E51" w:rsidRPr="001E35A2">
        <w:rPr>
          <w:rFonts w:ascii="Times New Roman" w:hAnsi="Times New Roman" w:cs="Times New Roman"/>
          <w:sz w:val="24"/>
          <w:szCs w:val="24"/>
        </w:rPr>
        <w:t xml:space="preserve">to reduced </w:t>
      </w:r>
      <w:r w:rsidR="00D3402E" w:rsidRPr="001E35A2">
        <w:rPr>
          <w:rFonts w:ascii="Times New Roman" w:hAnsi="Times New Roman" w:cs="Times New Roman"/>
          <w:sz w:val="24"/>
          <w:szCs w:val="24"/>
        </w:rPr>
        <w:t>economic opportunity among less educated adults.</w:t>
      </w:r>
      <w:r w:rsidR="00D3402E" w:rsidRPr="001E35A2">
        <w:rPr>
          <w:rFonts w:ascii="Times New Roman" w:hAnsi="Times New Roman" w:cs="Times New Roman"/>
          <w:sz w:val="24"/>
          <w:szCs w:val="24"/>
        </w:rPr>
        <w:fldChar w:fldCharType="begin" w:fldLock="1"/>
      </w:r>
      <w:r w:rsidR="00936F3A" w:rsidRPr="001E35A2">
        <w:rPr>
          <w:rFonts w:ascii="Times New Roman" w:hAnsi="Times New Roman" w:cs="Times New Roman"/>
          <w:sz w:val="24"/>
          <w:szCs w:val="24"/>
        </w:rPr>
        <w:instrText>ADDIN CSL_CITATION {"citationItems":[{"id":"ITEM-1","itemData":{"ISSN":"0007-2303","PMID":"29033460","abstract":"We build on and extend the findings in Case and Deaton (2015) on increases in mortality and morbidity among white non-Hispanic Americans in midlife since the turn of the century. Increases in all-cause mortality continued unabated to 2015, with additional increases in drug overdoses, suicides, and alcohol-related liver mortality, particularly among those with a high-school degree or less. The decline in mortality from heart disease has slowed and, most recently, stopped, and this combined with the three other causes is responsible for the increase in all-cause mortality. Not only are educational differences in mortality among whites increasing, but from 1998 to 2015 mortality rose for those without, and fell for those with, a college degree. This is true for non-Hispanic white men and women in all five year age groups from 35-39 through 55-59. Mortality rates among blacks and Hispanics continued to fall; in 1999, the mortality rate of white non-Hispanics aged 50-54 with only a high-school degree was 30 percent lower than the mortality rate of blacks in the same age group but irrespective of education; by 2015, it was 30 percent higher. There are similar crossovers in all age groups from 25-29 to 60-64. Mortality rates in comparable rich countries have continued their pre-millennial fall at the rates that used to characterize the US. In contrast to the US, mortality rates in Europe are falling for those with low levels of educational attainment, and have fallen further over this period than mortality rates for those with higher levels of education. Many commentators have suggested that poor mortality outcomes can be attributed to contemporaneous levels of resources, particularly to slowly growing, stagnant, and even declining incomes; we evaluate this possibility, but find that it cannot provide a comprehensive explanation. In particular, the income profiles for blacks and Hispanics, whose mortality rates have fallen, are no better than those for whites. Nor is there any evidence in the European data that mortality trends match income trends, in spite of sharply different patterns of median income across countries after the Great Recession. We propose a preliminary but plausible story in which cumulative disadvantage from one birth cohort to the next, in the labor market, in marriage and child outcomes, and in health, is triggered by progressively worsening labor market opportunities at the time of entry for whites with low levels of education. This acco…","author":[{"dropping-particle":"","family":"Case","given":"Anne","non-dropping-particle":"","parse-names":false,"suffix":""},{"dropping-particle":"","family":"Deaton","given":"Angus","non-dropping-particle":"","parse-names":false,"suffix":""}],"container-title":"Brookings papers on economic activity","id":"ITEM-1","issued":{"date-parts":[["2017"]]},"page":"397-476","title":"Mortality and morbidity in the 21(st) century.","type":"article-journal","volume":"2017"},"uris":["http://www.mendeley.com/documents/?uuid=d06104ac-341c-45f3-b8c0-531ee1fb92eb"]}],"mendeley":{"formattedCitation":"&lt;sup&gt;4&lt;/sup&gt;","plainTextFormattedCitation":"4","previouslyFormattedCitation":"&lt;sup&gt;4&lt;/sup&gt;"},"properties":{"noteIndex":0},"schema":"https://github.com/citation-style-language/schema/raw/master/csl-citation.json"}</w:instrText>
      </w:r>
      <w:r w:rsidR="00D3402E" w:rsidRPr="001E35A2">
        <w:rPr>
          <w:rFonts w:ascii="Times New Roman" w:hAnsi="Times New Roman" w:cs="Times New Roman"/>
          <w:sz w:val="24"/>
          <w:szCs w:val="24"/>
        </w:rPr>
        <w:fldChar w:fldCharType="separate"/>
      </w:r>
      <w:r w:rsidR="00936F3A" w:rsidRPr="001E35A2">
        <w:rPr>
          <w:rFonts w:ascii="Times New Roman" w:hAnsi="Times New Roman" w:cs="Times New Roman"/>
          <w:noProof/>
          <w:sz w:val="24"/>
          <w:szCs w:val="24"/>
          <w:vertAlign w:val="superscript"/>
        </w:rPr>
        <w:t>4</w:t>
      </w:r>
      <w:r w:rsidR="00D3402E" w:rsidRPr="001E35A2">
        <w:rPr>
          <w:rFonts w:ascii="Times New Roman" w:hAnsi="Times New Roman" w:cs="Times New Roman"/>
          <w:sz w:val="24"/>
          <w:szCs w:val="24"/>
        </w:rPr>
        <w:fldChar w:fldCharType="end"/>
      </w:r>
    </w:p>
    <w:p w14:paraId="0A260B4C" w14:textId="7294309B" w:rsidR="00D3402E" w:rsidRPr="001E35A2" w:rsidRDefault="00346BC9" w:rsidP="00D8533C">
      <w:pPr>
        <w:spacing w:line="480" w:lineRule="auto"/>
        <w:ind w:firstLine="720"/>
        <w:rPr>
          <w:rFonts w:ascii="Times New Roman" w:hAnsi="Times New Roman" w:cs="Times New Roman"/>
          <w:sz w:val="24"/>
          <w:szCs w:val="24"/>
        </w:rPr>
      </w:pPr>
      <w:r w:rsidRPr="001E35A2">
        <w:rPr>
          <w:rFonts w:ascii="Times New Roman" w:hAnsi="Times New Roman" w:cs="Times New Roman"/>
          <w:sz w:val="24"/>
          <w:szCs w:val="24"/>
        </w:rPr>
        <w:t>I</w:t>
      </w:r>
      <w:r w:rsidR="00D3402E" w:rsidRPr="001E35A2">
        <w:rPr>
          <w:rFonts w:ascii="Times New Roman" w:hAnsi="Times New Roman" w:cs="Times New Roman"/>
          <w:sz w:val="24"/>
          <w:szCs w:val="24"/>
        </w:rPr>
        <w:t>ncreases in</w:t>
      </w:r>
      <w:r w:rsidR="00522119" w:rsidRPr="001E35A2">
        <w:rPr>
          <w:rFonts w:ascii="Times New Roman" w:hAnsi="Times New Roman" w:cs="Times New Roman"/>
          <w:sz w:val="24"/>
          <w:szCs w:val="24"/>
        </w:rPr>
        <w:t xml:space="preserve"> these</w:t>
      </w:r>
      <w:r w:rsidR="00D3402E" w:rsidRPr="001E35A2">
        <w:rPr>
          <w:rFonts w:ascii="Times New Roman" w:hAnsi="Times New Roman" w:cs="Times New Roman"/>
          <w:sz w:val="24"/>
          <w:szCs w:val="24"/>
        </w:rPr>
        <w:t xml:space="preserve"> </w:t>
      </w:r>
      <w:r w:rsidR="00522119" w:rsidRPr="001E35A2">
        <w:rPr>
          <w:rFonts w:ascii="Times New Roman" w:hAnsi="Times New Roman" w:cs="Times New Roman"/>
          <w:sz w:val="24"/>
          <w:szCs w:val="24"/>
        </w:rPr>
        <w:t>“</w:t>
      </w:r>
      <w:r w:rsidR="00D3402E" w:rsidRPr="001E35A2">
        <w:rPr>
          <w:rFonts w:ascii="Times New Roman" w:hAnsi="Times New Roman" w:cs="Times New Roman"/>
          <w:sz w:val="24"/>
          <w:szCs w:val="24"/>
        </w:rPr>
        <w:t>deaths of despair</w:t>
      </w:r>
      <w:r w:rsidR="00522119" w:rsidRPr="001E35A2">
        <w:rPr>
          <w:rFonts w:ascii="Times New Roman" w:hAnsi="Times New Roman" w:cs="Times New Roman"/>
          <w:sz w:val="24"/>
          <w:szCs w:val="24"/>
        </w:rPr>
        <w:t>”</w:t>
      </w:r>
      <w:r w:rsidR="00D3402E" w:rsidRPr="001E35A2">
        <w:rPr>
          <w:rFonts w:ascii="Times New Roman" w:hAnsi="Times New Roman" w:cs="Times New Roman"/>
          <w:sz w:val="24"/>
          <w:szCs w:val="24"/>
        </w:rPr>
        <w:t xml:space="preserve"> have </w:t>
      </w:r>
      <w:r w:rsidR="00846452" w:rsidRPr="001E35A2">
        <w:rPr>
          <w:rFonts w:ascii="Times New Roman" w:hAnsi="Times New Roman" w:cs="Times New Roman"/>
          <w:sz w:val="24"/>
          <w:szCs w:val="24"/>
        </w:rPr>
        <w:t xml:space="preserve">now </w:t>
      </w:r>
      <w:r w:rsidR="00D3402E" w:rsidRPr="001E35A2">
        <w:rPr>
          <w:rFonts w:ascii="Times New Roman" w:hAnsi="Times New Roman" w:cs="Times New Roman"/>
          <w:sz w:val="24"/>
          <w:szCs w:val="24"/>
        </w:rPr>
        <w:t xml:space="preserve">been identified across multiple race and ethnic groups and </w:t>
      </w:r>
      <w:r w:rsidR="009178E3" w:rsidRPr="001E35A2">
        <w:rPr>
          <w:rFonts w:ascii="Times New Roman" w:hAnsi="Times New Roman" w:cs="Times New Roman"/>
          <w:sz w:val="24"/>
          <w:szCs w:val="24"/>
        </w:rPr>
        <w:t>geographic contexts</w:t>
      </w:r>
      <w:r w:rsidR="00D3402E" w:rsidRPr="001E35A2">
        <w:rPr>
          <w:rFonts w:ascii="Times New Roman" w:hAnsi="Times New Roman" w:cs="Times New Roman"/>
          <w:sz w:val="24"/>
          <w:szCs w:val="24"/>
        </w:rPr>
        <w:t>.</w:t>
      </w:r>
      <w:r w:rsidRPr="001E35A2">
        <w:rPr>
          <w:rFonts w:ascii="Times New Roman" w:hAnsi="Times New Roman" w:cs="Times New Roman"/>
          <w:sz w:val="24"/>
          <w:szCs w:val="24"/>
        </w:rPr>
        <w:fldChar w:fldCharType="begin" w:fldLock="1"/>
      </w:r>
      <w:r w:rsidR="00337373" w:rsidRPr="001E35A2">
        <w:rPr>
          <w:rFonts w:ascii="Times New Roman" w:hAnsi="Times New Roman" w:cs="Times New Roman"/>
          <w:sz w:val="24"/>
          <w:szCs w:val="24"/>
        </w:rPr>
        <w:instrText>ADDIN CSL_CITATION {"citationItems":[{"id":"ITEM-1","itemData":{"DOI":"10.1093/jurban/jtg023","ISSN":"10993460","abstract":"Racial/ethnic disparities in health and disease have been present in the United States for the past century. Although differences such as individual access to health care and health-related behaviors account for some of these health disparities, it is likely that a combination of individual and contextual-level factors determine the differential rates of disease between racial/ethnic groups. We studied fatal accidental drug overdose in New York City between 1990 and 1998 to describe differences in racial/ethnic patterns over time and to develop hypotheses about factors that might contribute to these differences. During this period, rates of overdose death were consistently higher among blacks and Latinos compared to whites. In addition, cocaine was more common among black decedents, while opiates and alcohol were more common among Latino and white decedents. Differences in situational factors, such as differential likelihood of activating emergency medical response, may in part explain the consistently higher overdose mortality rates observed among minorities. Further study to determine the individual and contextual factors that explain these observed disparities in overdose death may identify effective areas for public health intervention and provide insight into factors underlying racial/ethnic disparities in other health outcomes.","author":[{"dropping-particle":"","family":"Galea","given":"Sandro","non-dropping-particle":"","parse-names":false,"suffix":""},{"dropping-particle":"","family":"Ahern","given":"Jennifer","non-dropping-particle":"","parse-names":false,"suffix":""},{"dropping-particle":"","family":"Tardiff","given":"Ken","non-dropping-particle":"","parse-names":false,"suffix":""},{"dropping-particle":"","family":"Leon","given":"Andy","non-dropping-particle":"","parse-names":false,"suffix":""},{"dropping-particle":"","family":"Coffin","given":"Phillip O.","non-dropping-particle":"","parse-names":false,"suffix":""},{"dropping-particle":"","family":"Derr","given":"Karen","non-dropping-particle":"","parse-names":false,"suffix":""},{"dropping-particle":"","family":"Vlahov","given":"David","non-dropping-particle":"","parse-names":false,"suffix":""}],"container-title":"Journal of Urban Health","id":"ITEM-1","issue":"2","issued":{"date-parts":[["2003"]]},"page":"201-211","title":"Racial/Ethnic Disparities in Overdose Mortality Trends in New York City, 1990-1998","type":"article-journal","volume":"80"},"uris":["http://www.mendeley.com/documents/?uuid=f3c32f21-fe14-40b9-ba06-29a2a30898d4"]},{"id":"ITEM-2","itemData":{"DOI":"10.2105/AJPH.2013.301709","ISBN":"0090-0036","ISSN":"00900036","PMID":"24328642","abstract":"Nonmedical prescription opioid misuse remains a growing public problem in need of action and is concentrated in areas of US states with large rural populations such as Kentucky, West Virginia, Alaska, and Oklahoma. We developed hypotheses regarding the influence of 4 factors: (1) greater opioid prescription in rural areas, creating availability from which illegal markets can arise; (2) an out-migration of young adults; (3) greater rural social and kinship network connections, which may facilitate drug diversion and distribution; and (4) economic stressors that may create vulnerability to drug use more generally. A systematic consideration of the contexts that create differences in availability, access, and preferences is critical to understanding how drug use context varies across geography.","author":[{"dropping-particle":"","family":"Keyes","given":"Katherine M.","non-dropping-particle":"","parse-names":false,"suffix":""},{"dropping-particle":"","family":"Cerdá","given":"Magdalena","non-dropping-particle":"","parse-names":false,"suffix":""},{"dropping-particle":"","family":"Brady","given":"Joanne E.","non-dropping-particle":"","parse-names":false,"suffix":""},{"dropping-particle":"","family":"Havens","given":"Jennifer R.","non-dropping-particle":"","parse-names":false,"suffix":""},{"dropping-particle":"","family":"Galea","given":"Sandro","non-dropping-particle":"","parse-names":false,"suffix":""}],"container-title":"American Journal of Public Health","id":"ITEM-2","issue":"2","issued":{"date-parts":[["2014"]]},"page":"52-59","title":"Understanding the rural-urban differences in nonmedical prescription opioid use and abuse in the United States","type":"article-journal","volume":"104"},"uris":["http://www.mendeley.com/documents/?uuid=c70471fe-6463-4dde-9ebf-94d82a3e3e34"]}],"mendeley":{"formattedCitation":"&lt;sup&gt;5,6&lt;/sup&gt;","plainTextFormattedCitation":"5,6","previouslyFormattedCitation":"&lt;sup&gt;5,6&lt;/sup&gt;"},"properties":{"noteIndex":0},"schema":"https://github.com/citation-style-language/schema/raw/master/csl-citation.json"}</w:instrText>
      </w:r>
      <w:r w:rsidRPr="001E35A2">
        <w:rPr>
          <w:rFonts w:ascii="Times New Roman" w:hAnsi="Times New Roman" w:cs="Times New Roman"/>
          <w:sz w:val="24"/>
          <w:szCs w:val="24"/>
        </w:rPr>
        <w:fldChar w:fldCharType="separate"/>
      </w:r>
      <w:r w:rsidRPr="001E35A2">
        <w:rPr>
          <w:rFonts w:ascii="Times New Roman" w:hAnsi="Times New Roman" w:cs="Times New Roman"/>
          <w:noProof/>
          <w:sz w:val="24"/>
          <w:szCs w:val="24"/>
          <w:vertAlign w:val="superscript"/>
        </w:rPr>
        <w:t>5,6</w:t>
      </w:r>
      <w:r w:rsidRPr="001E35A2">
        <w:rPr>
          <w:rFonts w:ascii="Times New Roman" w:hAnsi="Times New Roman" w:cs="Times New Roman"/>
          <w:sz w:val="24"/>
          <w:szCs w:val="24"/>
        </w:rPr>
        <w:fldChar w:fldCharType="end"/>
      </w:r>
      <w:r w:rsidR="00D3402E" w:rsidRPr="001E35A2">
        <w:rPr>
          <w:rFonts w:ascii="Times New Roman" w:hAnsi="Times New Roman" w:cs="Times New Roman"/>
          <w:sz w:val="24"/>
          <w:szCs w:val="24"/>
        </w:rPr>
        <w:t xml:space="preserve"> </w:t>
      </w:r>
      <w:r w:rsidR="00846452" w:rsidRPr="001E35A2">
        <w:rPr>
          <w:rFonts w:ascii="Times New Roman" w:hAnsi="Times New Roman" w:cs="Times New Roman"/>
          <w:sz w:val="24"/>
          <w:szCs w:val="24"/>
        </w:rPr>
        <w:t>Ri</w:t>
      </w:r>
      <w:r w:rsidR="00D3402E" w:rsidRPr="001E35A2">
        <w:rPr>
          <w:rFonts w:ascii="Times New Roman" w:hAnsi="Times New Roman" w:cs="Times New Roman"/>
          <w:sz w:val="24"/>
          <w:szCs w:val="24"/>
        </w:rPr>
        <w:t xml:space="preserve">sing </w:t>
      </w:r>
      <w:r w:rsidR="009E4F48" w:rsidRPr="001E35A2">
        <w:rPr>
          <w:rFonts w:ascii="Times New Roman" w:hAnsi="Times New Roman" w:cs="Times New Roman"/>
          <w:sz w:val="24"/>
          <w:szCs w:val="24"/>
        </w:rPr>
        <w:t xml:space="preserve">mortality </w:t>
      </w:r>
      <w:r w:rsidR="00D3402E" w:rsidRPr="001E35A2">
        <w:rPr>
          <w:rFonts w:ascii="Times New Roman" w:hAnsi="Times New Roman" w:cs="Times New Roman"/>
          <w:sz w:val="24"/>
          <w:szCs w:val="24"/>
        </w:rPr>
        <w:t>rates have been reported for U.S. Blacks, Hispanics, Asians and Pacific Islanders, 25-64 years of age, with</w:t>
      </w:r>
      <w:r w:rsidR="008E5E89" w:rsidRPr="001E35A2">
        <w:rPr>
          <w:rFonts w:ascii="Times New Roman" w:hAnsi="Times New Roman" w:cs="Times New Roman"/>
          <w:sz w:val="24"/>
          <w:szCs w:val="24"/>
        </w:rPr>
        <w:t xml:space="preserve"> as</w:t>
      </w:r>
      <w:r w:rsidR="00D3402E" w:rsidRPr="001E35A2">
        <w:rPr>
          <w:rFonts w:ascii="Times New Roman" w:hAnsi="Times New Roman" w:cs="Times New Roman"/>
          <w:sz w:val="24"/>
          <w:szCs w:val="24"/>
        </w:rPr>
        <w:t xml:space="preserve"> drug overdoses the leading cause of the </w:t>
      </w:r>
      <w:r w:rsidR="00064DF8" w:rsidRPr="001E35A2">
        <w:rPr>
          <w:rFonts w:ascii="Times New Roman" w:hAnsi="Times New Roman" w:cs="Times New Roman"/>
          <w:sz w:val="24"/>
          <w:szCs w:val="24"/>
        </w:rPr>
        <w:t xml:space="preserve">recent </w:t>
      </w:r>
      <w:r w:rsidR="00D3402E" w:rsidRPr="001E35A2">
        <w:rPr>
          <w:rFonts w:ascii="Times New Roman" w:hAnsi="Times New Roman" w:cs="Times New Roman"/>
          <w:sz w:val="24"/>
          <w:szCs w:val="24"/>
        </w:rPr>
        <w:t xml:space="preserve">increases in </w:t>
      </w:r>
      <w:r w:rsidR="009178E3" w:rsidRPr="001E35A2">
        <w:rPr>
          <w:rFonts w:ascii="Times New Roman" w:hAnsi="Times New Roman" w:cs="Times New Roman"/>
          <w:sz w:val="24"/>
          <w:szCs w:val="24"/>
        </w:rPr>
        <w:t xml:space="preserve">all </w:t>
      </w:r>
      <w:r w:rsidR="00425268" w:rsidRPr="001E35A2">
        <w:rPr>
          <w:rFonts w:ascii="Times New Roman" w:hAnsi="Times New Roman" w:cs="Times New Roman"/>
          <w:sz w:val="24"/>
          <w:szCs w:val="24"/>
        </w:rPr>
        <w:t xml:space="preserve">these </w:t>
      </w:r>
      <w:r w:rsidR="00D3402E" w:rsidRPr="001E35A2">
        <w:rPr>
          <w:rFonts w:ascii="Times New Roman" w:hAnsi="Times New Roman" w:cs="Times New Roman"/>
          <w:sz w:val="24"/>
          <w:szCs w:val="24"/>
        </w:rPr>
        <w:t>sub-population</w:t>
      </w:r>
      <w:r w:rsidR="00045ACB" w:rsidRPr="001E35A2">
        <w:rPr>
          <w:rFonts w:ascii="Times New Roman" w:hAnsi="Times New Roman" w:cs="Times New Roman"/>
          <w:sz w:val="24"/>
          <w:szCs w:val="24"/>
        </w:rPr>
        <w:t>s</w:t>
      </w:r>
      <w:r w:rsidR="00D3402E" w:rsidRPr="001E35A2">
        <w:rPr>
          <w:rFonts w:ascii="Times New Roman" w:hAnsi="Times New Roman" w:cs="Times New Roman"/>
          <w:sz w:val="24"/>
          <w:szCs w:val="24"/>
        </w:rPr>
        <w:t>.</w:t>
      </w:r>
      <w:r w:rsidRPr="001E35A2">
        <w:rPr>
          <w:rFonts w:ascii="Times New Roman" w:hAnsi="Times New Roman" w:cs="Times New Roman"/>
          <w:sz w:val="24"/>
          <w:szCs w:val="24"/>
        </w:rPr>
        <w:fldChar w:fldCharType="begin" w:fldLock="1"/>
      </w:r>
      <w:r w:rsidRPr="001E35A2">
        <w:rPr>
          <w:rFonts w:ascii="Times New Roman" w:hAnsi="Times New Roman" w:cs="Times New Roman"/>
          <w:sz w:val="24"/>
          <w:szCs w:val="24"/>
        </w:rPr>
        <w:instrText>ADDIN CSL_CITATION {"citationItems":[{"id":"ITEM-1","itemData":{"DOI":"10.2105/AJPH.2013.301709","ISBN":"0090-0036","ISSN":"00900036","PMID":"24328642","abstract":"Nonmedical prescription opioid misuse remains a growing public problem in need of action and is concentrated in areas of US states with large rural populations such as Kentucky, West Virginia, Alaska, and Oklahoma. We developed hypotheses regarding the influence of 4 factors: (1) greater opioid prescription in rural areas, creating availability from which illegal markets can arise; (2) an out-migration of young adults; (3) greater rural social and kinship network connections, which may facilitate drug diversion and distribution; and (4) economic stressors that may create vulnerability to drug use more generally. A systematic consideration of the contexts that create differences in availability, access, and preferences is critical to understanding how drug use context varies across geography.","author":[{"dropping-particle":"","family":"Keyes","given":"Katherine M.","non-dropping-particle":"","parse-names":false,"suffix":""},{"dropping-particle":"","family":"Cerdá","given":"Magdalena","non-dropping-particle":"","parse-names":false,"suffix":""},{"dropping-particle":"","family":"Brady","given":"Joanne E.","non-dropping-particle":"","parse-names":false,"suffix":""},{"dropping-particle":"","family":"Havens","given":"Jennifer R.","non-dropping-particle":"","parse-names":false,"suffix":""},{"dropping-particle":"","family":"Galea","given":"Sandro","non-dropping-particle":"","parse-names":false,"suffix":""}],"container-title":"American Journal of Public Health","id":"ITEM-1","issue":"2","issued":{"date-parts":[["2014"]]},"page":"52-59","title":"Understanding the rural-urban differences in nonmedical prescription opioid use and abuse in the United States","type":"article-journal","volume":"104"},"uris":["http://www.mendeley.com/documents/?uuid=c70471fe-6463-4dde-9ebf-94d82a3e3e34"]},{"id":"ITEM-2","itemData":{"DOI":"10.1093/jurban/jtg023","ISSN":"10993460","abstract":"Racial/ethnic disparities in health and disease have been present in the United States for the past century. Although differences such as individual access to health care and health-related behaviors account for some of these health disparities, it is likely that a combination of individual and contextual-level factors determine the differential rates of disease between racial/ethnic groups. We studied fatal accidental drug overdose in New York City between 1990 and 1998 to describe differences in racial/ethnic patterns over time and to develop hypotheses about factors that might contribute to these differences. During this period, rates of overdose death were consistently higher among blacks and Latinos compared to whites. In addition, cocaine was more common among black decedents, while opiates and alcohol were more common among Latino and white decedents. Differences in situational factors, such as differential likelihood of activating emergency medical response, may in part explain the consistently higher overdose mortality rates observed among minorities. Further study to determine the individual and contextual factors that explain these observed disparities in overdose death may identify effective areas for public health intervention and provide insight into factors underlying racial/ethnic disparities in other health outcomes.","author":[{"dropping-particle":"","family":"Galea","given":"Sandro","non-dropping-particle":"","parse-names":false,"suffix":""},{"dropping-particle":"","family":"Ahern","given":"Jennifer","non-dropping-particle":"","parse-names":false,"suffix":""},{"dropping-particle":"","family":"Tardiff","given":"Ken","non-dropping-particle":"","parse-names":false,"suffix":""},{"dropping-particle":"","family":"Leon","given":"Andy","non-dropping-particle":"","parse-names":false,"suffix":""},{"dropping-particle":"","family":"Coffin","given":"Phillip O.","non-dropping-particle":"","parse-names":false,"suffix":""},{"dropping-particle":"","family":"Derr","given":"Karen","non-dropping-particle":"","parse-names":false,"suffix":""},{"dropping-particle":"","family":"Vlahov","given":"David","non-dropping-particle":"","parse-names":false,"suffix":""}],"container-title":"Journal of Urban Health","id":"ITEM-2","issue":"2","issued":{"date-parts":[["2003"]]},"page":"201-211","title":"Racial/Ethnic Disparities in Overdose Mortality Trends in New York City, 1990-1998","type":"article-journal","volume":"80"},"uris":["http://www.mendeley.com/documents/?uuid=f3c32f21-fe14-40b9-ba06-29a2a30898d4"]}],"mendeley":{"formattedCitation":"&lt;sup&gt;5,6&lt;/sup&gt;","plainTextFormattedCitation":"5,6","previouslyFormattedCitation":"&lt;sup&gt;5,6&lt;/sup&gt;"},"properties":{"noteIndex":0},"schema":"https://github.com/citation-style-language/schema/raw/master/csl-citation.json"}</w:instrText>
      </w:r>
      <w:r w:rsidRPr="001E35A2">
        <w:rPr>
          <w:rFonts w:ascii="Times New Roman" w:hAnsi="Times New Roman" w:cs="Times New Roman"/>
          <w:sz w:val="24"/>
          <w:szCs w:val="24"/>
        </w:rPr>
        <w:fldChar w:fldCharType="separate"/>
      </w:r>
      <w:r w:rsidRPr="001E35A2">
        <w:rPr>
          <w:rFonts w:ascii="Times New Roman" w:hAnsi="Times New Roman" w:cs="Times New Roman"/>
          <w:noProof/>
          <w:sz w:val="24"/>
          <w:szCs w:val="24"/>
          <w:vertAlign w:val="superscript"/>
        </w:rPr>
        <w:t>5,6</w:t>
      </w:r>
      <w:r w:rsidRPr="001E35A2">
        <w:rPr>
          <w:rFonts w:ascii="Times New Roman" w:hAnsi="Times New Roman" w:cs="Times New Roman"/>
          <w:sz w:val="24"/>
          <w:szCs w:val="24"/>
        </w:rPr>
        <w:fldChar w:fldCharType="end"/>
      </w:r>
      <w:r w:rsidR="00D3402E" w:rsidRPr="001E35A2">
        <w:rPr>
          <w:rFonts w:ascii="Times New Roman" w:hAnsi="Times New Roman" w:cs="Times New Roman"/>
          <w:sz w:val="24"/>
          <w:szCs w:val="24"/>
        </w:rPr>
        <w:t xml:space="preserve"> Reversing decades of steady decline, these disturbing shifts are particularly pronounced for </w:t>
      </w:r>
      <w:r w:rsidR="00425268" w:rsidRPr="001E35A2">
        <w:rPr>
          <w:rFonts w:ascii="Times New Roman" w:hAnsi="Times New Roman" w:cs="Times New Roman"/>
          <w:sz w:val="24"/>
          <w:szCs w:val="24"/>
        </w:rPr>
        <w:t xml:space="preserve">midlife </w:t>
      </w:r>
      <w:r w:rsidR="00FA1B4C" w:rsidRPr="001E35A2">
        <w:rPr>
          <w:rFonts w:ascii="Times New Roman" w:hAnsi="Times New Roman" w:cs="Times New Roman"/>
          <w:sz w:val="24"/>
          <w:szCs w:val="24"/>
        </w:rPr>
        <w:t>individ</w:t>
      </w:r>
      <w:r w:rsidR="00D3402E" w:rsidRPr="001E35A2">
        <w:rPr>
          <w:rFonts w:ascii="Times New Roman" w:hAnsi="Times New Roman" w:cs="Times New Roman"/>
          <w:sz w:val="24"/>
          <w:szCs w:val="24"/>
        </w:rPr>
        <w:t>uals</w:t>
      </w:r>
      <w:r w:rsidR="00FA1B4C" w:rsidRPr="001E35A2">
        <w:rPr>
          <w:rFonts w:ascii="Times New Roman" w:hAnsi="Times New Roman" w:cs="Times New Roman"/>
          <w:sz w:val="24"/>
          <w:szCs w:val="24"/>
        </w:rPr>
        <w:t xml:space="preserve"> </w:t>
      </w:r>
      <w:r w:rsidR="00D3402E" w:rsidRPr="001E35A2">
        <w:rPr>
          <w:rFonts w:ascii="Times New Roman" w:hAnsi="Times New Roman" w:cs="Times New Roman"/>
          <w:sz w:val="24"/>
          <w:szCs w:val="24"/>
        </w:rPr>
        <w:t>with a high school education or less.</w:t>
      </w:r>
      <w:r w:rsidR="00936F3A" w:rsidRPr="001E35A2">
        <w:rPr>
          <w:rFonts w:ascii="Times New Roman" w:hAnsi="Times New Roman" w:cs="Times New Roman"/>
          <w:sz w:val="24"/>
          <w:szCs w:val="24"/>
        </w:rPr>
        <w:fldChar w:fldCharType="begin" w:fldLock="1"/>
      </w:r>
      <w:r w:rsidRPr="001E35A2">
        <w:rPr>
          <w:rFonts w:ascii="Times New Roman" w:hAnsi="Times New Roman" w:cs="Times New Roman"/>
          <w:sz w:val="24"/>
          <w:szCs w:val="24"/>
        </w:rPr>
        <w:instrText>ADDIN CSL_CITATION {"citationItems":[{"id":"ITEM-1","itemData":{"DOI":"10.2105/AJPH.2013.301709","ISBN":"0090-0036","ISSN":"00900036","PMID":"24328642","abstract":"Nonmedical prescription opioid misuse remains a growing public problem in need of action and is concentrated in areas of US states with large rural populations such as Kentucky, West Virginia, Alaska, and Oklahoma. We developed hypotheses regarding the influence of 4 factors: (1) greater opioid prescription in rural areas, creating availability from which illegal markets can arise; (2) an out-migration of young adults; (3) greater rural social and kinship network connections, which may facilitate drug diversion and distribution; and (4) economic stressors that may create vulnerability to drug use more generally. A systematic consideration of the contexts that create differences in availability, access, and preferences is critical to understanding how drug use context varies across geography.","author":[{"dropping-particle":"","family":"Keyes","given":"Katherine M.","non-dropping-particle":"","parse-names":false,"suffix":""},{"dropping-particle":"","family":"Cerdá","given":"Magdalena","non-dropping-particle":"","parse-names":false,"suffix":""},{"dropping-particle":"","family":"Brady","given":"Joanne E.","non-dropping-particle":"","parse-names":false,"suffix":""},{"dropping-particle":"","family":"Havens","given":"Jennifer R.","non-dropping-particle":"","parse-names":false,"suffix":""},{"dropping-particle":"","family":"Galea","given":"Sandro","non-dropping-particle":"","parse-names":false,"suffix":""}],"container-title":"American Journal of Public Health","id":"ITEM-1","issue":"2","issued":{"date-parts":[["2014"]]},"page":"52-59","title":"Understanding the rural-urban differences in nonmedical prescription opioid use and abuse in the United States","type":"article-journal","volume":"104"},"uris":["http://www.mendeley.com/documents/?uuid=c70471fe-6463-4dde-9ebf-94d82a3e3e34"]}],"mendeley":{"formattedCitation":"&lt;sup&gt;6&lt;/sup&gt;","plainTextFormattedCitation":"6","previouslyFormattedCitation":"&lt;sup&gt;6&lt;/sup&gt;"},"properties":{"noteIndex":0},"schema":"https://github.com/citation-style-language/schema/raw/master/csl-citation.json"}</w:instrText>
      </w:r>
      <w:r w:rsidR="00936F3A" w:rsidRPr="001E35A2">
        <w:rPr>
          <w:rFonts w:ascii="Times New Roman" w:hAnsi="Times New Roman" w:cs="Times New Roman"/>
          <w:sz w:val="24"/>
          <w:szCs w:val="24"/>
        </w:rPr>
        <w:fldChar w:fldCharType="separate"/>
      </w:r>
      <w:r w:rsidRPr="001E35A2">
        <w:rPr>
          <w:rFonts w:ascii="Times New Roman" w:hAnsi="Times New Roman" w:cs="Times New Roman"/>
          <w:noProof/>
          <w:sz w:val="24"/>
          <w:szCs w:val="24"/>
          <w:vertAlign w:val="superscript"/>
        </w:rPr>
        <w:t>6</w:t>
      </w:r>
      <w:r w:rsidR="00936F3A" w:rsidRPr="001E35A2">
        <w:rPr>
          <w:rFonts w:ascii="Times New Roman" w:hAnsi="Times New Roman" w:cs="Times New Roman"/>
          <w:sz w:val="24"/>
          <w:szCs w:val="24"/>
        </w:rPr>
        <w:fldChar w:fldCharType="end"/>
      </w:r>
      <w:r w:rsidR="00D3402E" w:rsidRPr="001E35A2">
        <w:rPr>
          <w:rFonts w:ascii="Times New Roman" w:hAnsi="Times New Roman" w:cs="Times New Roman"/>
          <w:sz w:val="24"/>
          <w:szCs w:val="24"/>
        </w:rPr>
        <w:t xml:space="preserve"> Suicide rates have also increased by 33% since 2000</w:t>
      </w:r>
      <w:r w:rsidR="009345E3" w:rsidRPr="001E35A2">
        <w:rPr>
          <w:rFonts w:ascii="Times New Roman" w:hAnsi="Times New Roman" w:cs="Times New Roman"/>
          <w:sz w:val="24"/>
          <w:szCs w:val="24"/>
        </w:rPr>
        <w:t xml:space="preserve">, with the steepest increase for </w:t>
      </w:r>
      <w:r w:rsidR="00936F3A" w:rsidRPr="001E35A2">
        <w:rPr>
          <w:rFonts w:ascii="Times New Roman" w:hAnsi="Times New Roman" w:cs="Times New Roman"/>
          <w:sz w:val="24"/>
          <w:szCs w:val="24"/>
        </w:rPr>
        <w:t>W</w:t>
      </w:r>
      <w:r w:rsidR="009345E3" w:rsidRPr="001E35A2">
        <w:rPr>
          <w:rFonts w:ascii="Times New Roman" w:hAnsi="Times New Roman" w:cs="Times New Roman"/>
          <w:sz w:val="24"/>
          <w:szCs w:val="24"/>
        </w:rPr>
        <w:t>hite males</w:t>
      </w:r>
      <w:r w:rsidR="00D3402E" w:rsidRPr="001E35A2">
        <w:rPr>
          <w:rFonts w:ascii="Times New Roman" w:hAnsi="Times New Roman" w:cs="Times New Roman"/>
          <w:sz w:val="24"/>
          <w:szCs w:val="24"/>
        </w:rPr>
        <w:t>.</w:t>
      </w:r>
      <w:r w:rsidR="00296076" w:rsidRPr="001E35A2">
        <w:rPr>
          <w:rFonts w:ascii="Times New Roman" w:hAnsi="Times New Roman" w:cs="Times New Roman"/>
          <w:sz w:val="24"/>
          <w:szCs w:val="24"/>
        </w:rPr>
        <w:fldChar w:fldCharType="begin" w:fldLock="1"/>
      </w:r>
      <w:r w:rsidRPr="001E35A2">
        <w:rPr>
          <w:rFonts w:ascii="Times New Roman" w:hAnsi="Times New Roman" w:cs="Times New Roman"/>
          <w:sz w:val="24"/>
          <w:szCs w:val="24"/>
        </w:rPr>
        <w:instrText>ADDIN CSL_CITATION {"citationItems":[{"id":"ITEM-1","itemData":{"author":[{"dropping-particle":"","family":"Curtin","given":"SC","non-dropping-particle":"","parse-names":false,"suffix":""},{"dropping-particle":"","family":"Warner","given":"M","non-dropping-particle":"","parse-names":false,"suffix":""},{"dropping-particle":"","family":"Hedegaard","given":"H","non-dropping-particle":"","parse-names":false,"suffix":""}],"id":"ITEM-1","issued":{"date-parts":[["2016"]]},"title":"Increase in suicide in the United States, 1999-2014. NCHS data brief","type":"report"},"uris":["http://www.mendeley.com/documents/?uuid=1d852f93-00b7-4364-b505-73d5fe0471c4"]}],"mendeley":{"formattedCitation":"&lt;sup&gt;7&lt;/sup&gt;","plainTextFormattedCitation":"7","previouslyFormattedCitation":"&lt;sup&gt;7&lt;/sup&gt;"},"properties":{"noteIndex":0},"schema":"https://github.com/citation-style-language/schema/raw/master/csl-citation.json"}</w:instrText>
      </w:r>
      <w:r w:rsidR="00296076" w:rsidRPr="001E35A2">
        <w:rPr>
          <w:rFonts w:ascii="Times New Roman" w:hAnsi="Times New Roman" w:cs="Times New Roman"/>
          <w:sz w:val="24"/>
          <w:szCs w:val="24"/>
        </w:rPr>
        <w:fldChar w:fldCharType="separate"/>
      </w:r>
      <w:r w:rsidRPr="001E35A2">
        <w:rPr>
          <w:rFonts w:ascii="Times New Roman" w:hAnsi="Times New Roman" w:cs="Times New Roman"/>
          <w:noProof/>
          <w:sz w:val="24"/>
          <w:szCs w:val="24"/>
          <w:vertAlign w:val="superscript"/>
        </w:rPr>
        <w:t>7</w:t>
      </w:r>
      <w:r w:rsidR="00296076" w:rsidRPr="001E35A2">
        <w:rPr>
          <w:rFonts w:ascii="Times New Roman" w:hAnsi="Times New Roman" w:cs="Times New Roman"/>
          <w:sz w:val="24"/>
          <w:szCs w:val="24"/>
        </w:rPr>
        <w:fldChar w:fldCharType="end"/>
      </w:r>
      <w:r w:rsidR="00296076" w:rsidRPr="001E35A2">
        <w:rPr>
          <w:rFonts w:ascii="Times New Roman" w:hAnsi="Times New Roman" w:cs="Times New Roman"/>
          <w:sz w:val="24"/>
          <w:szCs w:val="24"/>
        </w:rPr>
        <w:t xml:space="preserve"> </w:t>
      </w:r>
      <w:r w:rsidR="00425268" w:rsidRPr="001E35A2">
        <w:rPr>
          <w:rFonts w:ascii="Times New Roman" w:hAnsi="Times New Roman" w:cs="Times New Roman"/>
          <w:sz w:val="24"/>
          <w:szCs w:val="24"/>
        </w:rPr>
        <w:t>Though the rise has been less dramatic</w:t>
      </w:r>
      <w:r w:rsidR="005302AD" w:rsidRPr="001E35A2">
        <w:rPr>
          <w:rFonts w:ascii="Times New Roman" w:hAnsi="Times New Roman" w:cs="Times New Roman"/>
          <w:sz w:val="24"/>
          <w:szCs w:val="24"/>
        </w:rPr>
        <w:t xml:space="preserve"> </w:t>
      </w:r>
      <w:r w:rsidR="00182E98" w:rsidRPr="001E35A2">
        <w:rPr>
          <w:rFonts w:ascii="Times New Roman" w:hAnsi="Times New Roman" w:cs="Times New Roman"/>
          <w:sz w:val="24"/>
          <w:szCs w:val="24"/>
        </w:rPr>
        <w:t xml:space="preserve">for suicide than </w:t>
      </w:r>
      <w:r w:rsidR="005302AD" w:rsidRPr="001E35A2">
        <w:rPr>
          <w:rFonts w:ascii="Times New Roman" w:hAnsi="Times New Roman" w:cs="Times New Roman"/>
          <w:sz w:val="24"/>
          <w:szCs w:val="24"/>
        </w:rPr>
        <w:t xml:space="preserve">for </w:t>
      </w:r>
      <w:r w:rsidR="00936F3A" w:rsidRPr="001E35A2">
        <w:rPr>
          <w:rFonts w:ascii="Times New Roman" w:hAnsi="Times New Roman" w:cs="Times New Roman"/>
          <w:sz w:val="24"/>
          <w:szCs w:val="24"/>
        </w:rPr>
        <w:t>overdose</w:t>
      </w:r>
      <w:r w:rsidR="005302AD" w:rsidRPr="001E35A2">
        <w:rPr>
          <w:rFonts w:ascii="Times New Roman" w:hAnsi="Times New Roman" w:cs="Times New Roman"/>
          <w:sz w:val="24"/>
          <w:szCs w:val="24"/>
        </w:rPr>
        <w:t>,</w:t>
      </w:r>
      <w:r w:rsidR="00425268" w:rsidRPr="001E35A2">
        <w:rPr>
          <w:rFonts w:ascii="Times New Roman" w:hAnsi="Times New Roman" w:cs="Times New Roman"/>
          <w:sz w:val="24"/>
          <w:szCs w:val="24"/>
        </w:rPr>
        <w:t xml:space="preserve"> </w:t>
      </w:r>
      <w:r w:rsidR="00182E98" w:rsidRPr="001E35A2">
        <w:rPr>
          <w:rFonts w:ascii="Times New Roman" w:hAnsi="Times New Roman" w:cs="Times New Roman"/>
          <w:sz w:val="24"/>
          <w:szCs w:val="24"/>
        </w:rPr>
        <w:t xml:space="preserve">it </w:t>
      </w:r>
      <w:r w:rsidR="00931FEE" w:rsidRPr="001E35A2">
        <w:rPr>
          <w:rFonts w:ascii="Times New Roman" w:hAnsi="Times New Roman" w:cs="Times New Roman"/>
          <w:sz w:val="24"/>
          <w:szCs w:val="24"/>
        </w:rPr>
        <w:t xml:space="preserve">emerged </w:t>
      </w:r>
      <w:r w:rsidR="00425268" w:rsidRPr="001E35A2">
        <w:rPr>
          <w:rFonts w:ascii="Times New Roman" w:hAnsi="Times New Roman" w:cs="Times New Roman"/>
          <w:sz w:val="24"/>
          <w:szCs w:val="24"/>
        </w:rPr>
        <w:t xml:space="preserve">in 2016 </w:t>
      </w:r>
      <w:r w:rsidR="00931FEE" w:rsidRPr="001E35A2">
        <w:rPr>
          <w:rFonts w:ascii="Times New Roman" w:hAnsi="Times New Roman" w:cs="Times New Roman"/>
          <w:sz w:val="24"/>
          <w:szCs w:val="24"/>
        </w:rPr>
        <w:t>as</w:t>
      </w:r>
      <w:r w:rsidR="00D3402E" w:rsidRPr="001E35A2">
        <w:rPr>
          <w:rFonts w:ascii="Times New Roman" w:hAnsi="Times New Roman" w:cs="Times New Roman"/>
          <w:sz w:val="24"/>
          <w:szCs w:val="24"/>
        </w:rPr>
        <w:t xml:space="preserve"> the fourth leading cause of death among</w:t>
      </w:r>
      <w:r w:rsidR="00591688">
        <w:rPr>
          <w:rFonts w:ascii="Times New Roman" w:hAnsi="Times New Roman" w:cs="Times New Roman"/>
          <w:sz w:val="24"/>
          <w:szCs w:val="24"/>
        </w:rPr>
        <w:t xml:space="preserve"> </w:t>
      </w:r>
      <w:r w:rsidR="00D3402E" w:rsidRPr="001E35A2">
        <w:rPr>
          <w:rFonts w:ascii="Times New Roman" w:hAnsi="Times New Roman" w:cs="Times New Roman"/>
          <w:sz w:val="24"/>
          <w:szCs w:val="24"/>
        </w:rPr>
        <w:t>adults</w:t>
      </w:r>
      <w:r w:rsidR="009345E3" w:rsidRPr="001E35A2">
        <w:rPr>
          <w:rFonts w:ascii="Times New Roman" w:hAnsi="Times New Roman" w:cs="Times New Roman"/>
          <w:sz w:val="24"/>
          <w:szCs w:val="24"/>
        </w:rPr>
        <w:t>, aged 35-54</w:t>
      </w:r>
      <w:r w:rsidR="00D3402E" w:rsidRPr="001E35A2">
        <w:rPr>
          <w:rFonts w:ascii="Times New Roman" w:hAnsi="Times New Roman" w:cs="Times New Roman"/>
          <w:sz w:val="24"/>
          <w:szCs w:val="24"/>
        </w:rPr>
        <w:t>.</w:t>
      </w:r>
      <w:r w:rsidR="00D3402E" w:rsidRPr="001E35A2">
        <w:rPr>
          <w:rFonts w:ascii="Times New Roman" w:hAnsi="Times New Roman" w:cs="Times New Roman"/>
          <w:sz w:val="24"/>
          <w:szCs w:val="24"/>
        </w:rPr>
        <w:fldChar w:fldCharType="begin" w:fldLock="1"/>
      </w:r>
      <w:r w:rsidRPr="001E35A2">
        <w:rPr>
          <w:rFonts w:ascii="Times New Roman" w:hAnsi="Times New Roman" w:cs="Times New Roman"/>
          <w:sz w:val="24"/>
          <w:szCs w:val="24"/>
        </w:rPr>
        <w:instrText>ADDIN CSL_CITATION {"citationItems":[{"id":"ITEM-1","itemData":{"author":[{"dropping-particle":"","family":"Hedegaard","given":"Holly","non-dropping-particle":"","parse-names":false,"suffix":""},{"dropping-particle":"","family":"Curtin","given":"Sally C","non-dropping-particle":"","parse-names":false,"suffix":""},{"dropping-particle":"","family":"Warner","given":"Margaret","non-dropping-particle":"","parse-names":false,"suffix":""}],"id":"ITEM-1","issue":"330","issued":{"date-parts":[["2018"]]},"page":"1999-2017","title":"NCHS Data Brief, Number330, November 2018","type":"article-journal"},"uris":["http://www.mendeley.com/documents/?uuid=d1f4abf7-f484-4e4f-86f1-24edf4646ab1"]}],"mendeley":{"formattedCitation":"&lt;sup&gt;8&lt;/sup&gt;","plainTextFormattedCitation":"8","previouslyFormattedCitation":"&lt;sup&gt;8&lt;/sup&gt;"},"properties":{"noteIndex":0},"schema":"https://github.com/citation-style-language/schema/raw/master/csl-citation.json"}</w:instrText>
      </w:r>
      <w:r w:rsidR="00D3402E" w:rsidRPr="001E35A2">
        <w:rPr>
          <w:rFonts w:ascii="Times New Roman" w:hAnsi="Times New Roman" w:cs="Times New Roman"/>
          <w:sz w:val="24"/>
          <w:szCs w:val="24"/>
        </w:rPr>
        <w:fldChar w:fldCharType="separate"/>
      </w:r>
      <w:r w:rsidRPr="001E35A2">
        <w:rPr>
          <w:rFonts w:ascii="Times New Roman" w:hAnsi="Times New Roman" w:cs="Times New Roman"/>
          <w:noProof/>
          <w:sz w:val="24"/>
          <w:szCs w:val="24"/>
          <w:vertAlign w:val="superscript"/>
        </w:rPr>
        <w:t>8</w:t>
      </w:r>
      <w:r w:rsidR="00D3402E" w:rsidRPr="001E35A2">
        <w:rPr>
          <w:rFonts w:ascii="Times New Roman" w:hAnsi="Times New Roman" w:cs="Times New Roman"/>
          <w:sz w:val="24"/>
          <w:szCs w:val="24"/>
        </w:rPr>
        <w:fldChar w:fldCharType="end"/>
      </w:r>
      <w:r w:rsidR="00591688">
        <w:rPr>
          <w:rFonts w:ascii="Times New Roman" w:hAnsi="Times New Roman" w:cs="Times New Roman"/>
          <w:sz w:val="24"/>
          <w:szCs w:val="24"/>
        </w:rPr>
        <w:t xml:space="preserve"> </w:t>
      </w:r>
      <w:r w:rsidR="003871DA" w:rsidRPr="001E35A2">
        <w:rPr>
          <w:rFonts w:ascii="Times New Roman" w:hAnsi="Times New Roman" w:cs="Times New Roman"/>
          <w:sz w:val="24"/>
          <w:szCs w:val="24"/>
        </w:rPr>
        <w:t>Rural counties had consistently higher suicide rates than metropolitan counties.</w:t>
      </w:r>
      <w:r w:rsidR="002C4F7E" w:rsidRPr="001E35A2">
        <w:rPr>
          <w:rFonts w:ascii="Times New Roman" w:hAnsi="Times New Roman" w:cs="Times New Roman"/>
          <w:sz w:val="24"/>
          <w:szCs w:val="24"/>
        </w:rPr>
        <w:fldChar w:fldCharType="begin" w:fldLock="1"/>
      </w:r>
      <w:r w:rsidRPr="001E35A2">
        <w:rPr>
          <w:rFonts w:ascii="Times New Roman" w:hAnsi="Times New Roman" w:cs="Times New Roman"/>
          <w:sz w:val="24"/>
          <w:szCs w:val="24"/>
        </w:rPr>
        <w:instrText>ADDIN CSL_CITATION {"citationItems":[{"id":"ITEM-1","itemData":{"author":[{"dropping-particle":"","family":"CDCNewsroom","given":"","non-dropping-particle":"","parse-names":false,"suffix":""}],"id":"ITEM-1","issued":{"date-parts":[["2017"]]},"title":"Americans in rural areas more likely to die by suicide","type":"article-journal"},"uris":["http://www.mendeley.com/documents/?uuid=ab6b3fd9-8b3d-4d18-b7db-7cccf8394174"]}],"mendeley":{"formattedCitation":"&lt;sup&gt;9&lt;/sup&gt;","plainTextFormattedCitation":"9","previouslyFormattedCitation":"&lt;sup&gt;9&lt;/sup&gt;"},"properties":{"noteIndex":0},"schema":"https://github.com/citation-style-language/schema/raw/master/csl-citation.json"}</w:instrText>
      </w:r>
      <w:r w:rsidR="002C4F7E" w:rsidRPr="001E35A2">
        <w:rPr>
          <w:rFonts w:ascii="Times New Roman" w:hAnsi="Times New Roman" w:cs="Times New Roman"/>
          <w:sz w:val="24"/>
          <w:szCs w:val="24"/>
        </w:rPr>
        <w:fldChar w:fldCharType="separate"/>
      </w:r>
      <w:r w:rsidRPr="001E35A2">
        <w:rPr>
          <w:rFonts w:ascii="Times New Roman" w:hAnsi="Times New Roman" w:cs="Times New Roman"/>
          <w:noProof/>
          <w:sz w:val="24"/>
          <w:szCs w:val="24"/>
          <w:vertAlign w:val="superscript"/>
        </w:rPr>
        <w:t>9</w:t>
      </w:r>
      <w:r w:rsidR="002C4F7E" w:rsidRPr="001E35A2">
        <w:rPr>
          <w:rFonts w:ascii="Times New Roman" w:hAnsi="Times New Roman" w:cs="Times New Roman"/>
          <w:sz w:val="24"/>
          <w:szCs w:val="24"/>
        </w:rPr>
        <w:fldChar w:fldCharType="end"/>
      </w:r>
    </w:p>
    <w:p w14:paraId="708C22F8" w14:textId="3A199ADA" w:rsidR="00D3402E" w:rsidRPr="001E35A2" w:rsidRDefault="00D3402E" w:rsidP="00D8533C">
      <w:pPr>
        <w:spacing w:line="480" w:lineRule="auto"/>
        <w:ind w:firstLine="720"/>
        <w:rPr>
          <w:rFonts w:ascii="Times New Roman" w:hAnsi="Times New Roman" w:cs="Times New Roman"/>
          <w:sz w:val="24"/>
          <w:szCs w:val="24"/>
        </w:rPr>
      </w:pPr>
      <w:r w:rsidRPr="001E35A2">
        <w:rPr>
          <w:rFonts w:ascii="Times New Roman" w:hAnsi="Times New Roman" w:cs="Times New Roman"/>
          <w:sz w:val="24"/>
          <w:szCs w:val="24"/>
        </w:rPr>
        <w:t>Coincident with the increases in midlife mortality rates, the long</w:t>
      </w:r>
      <w:r w:rsidR="006273B1" w:rsidRPr="001E35A2">
        <w:rPr>
          <w:rFonts w:ascii="Times New Roman" w:hAnsi="Times New Roman" w:cs="Times New Roman"/>
          <w:sz w:val="24"/>
          <w:szCs w:val="24"/>
        </w:rPr>
        <w:t>-</w:t>
      </w:r>
      <w:r w:rsidRPr="001E35A2">
        <w:rPr>
          <w:rFonts w:ascii="Times New Roman" w:hAnsi="Times New Roman" w:cs="Times New Roman"/>
          <w:sz w:val="24"/>
          <w:szCs w:val="24"/>
        </w:rPr>
        <w:t xml:space="preserve">term decline in US manufacturing has limited good employment options for many </w:t>
      </w:r>
      <w:r w:rsidR="005A42CA" w:rsidRPr="001E35A2">
        <w:rPr>
          <w:rFonts w:ascii="Times New Roman" w:hAnsi="Times New Roman" w:cs="Times New Roman"/>
          <w:sz w:val="24"/>
          <w:szCs w:val="24"/>
        </w:rPr>
        <w:t>less</w:t>
      </w:r>
      <w:r w:rsidR="00B208FC" w:rsidRPr="001E35A2">
        <w:rPr>
          <w:rFonts w:ascii="Times New Roman" w:hAnsi="Times New Roman" w:cs="Times New Roman"/>
          <w:sz w:val="24"/>
          <w:szCs w:val="24"/>
        </w:rPr>
        <w:t xml:space="preserve"> educated </w:t>
      </w:r>
      <w:r w:rsidRPr="001E35A2">
        <w:rPr>
          <w:rFonts w:ascii="Times New Roman" w:hAnsi="Times New Roman" w:cs="Times New Roman"/>
          <w:sz w:val="24"/>
          <w:szCs w:val="24"/>
        </w:rPr>
        <w:t>adults. In the 1970s, 36% of all employed U.S. males worked in manufacturing</w:t>
      </w:r>
      <w:r w:rsidR="00B74C4A" w:rsidRPr="001E35A2">
        <w:rPr>
          <w:rFonts w:ascii="Times New Roman" w:hAnsi="Times New Roman" w:cs="Times New Roman"/>
          <w:sz w:val="24"/>
          <w:szCs w:val="24"/>
        </w:rPr>
        <w:t>--</w:t>
      </w:r>
      <w:r w:rsidRPr="001E35A2">
        <w:rPr>
          <w:rFonts w:ascii="Times New Roman" w:hAnsi="Times New Roman" w:cs="Times New Roman"/>
          <w:sz w:val="24"/>
          <w:szCs w:val="24"/>
        </w:rPr>
        <w:t>in 2018, only 15% did.</w:t>
      </w:r>
      <w:r w:rsidRPr="001E35A2">
        <w:rPr>
          <w:rFonts w:ascii="Times New Roman" w:hAnsi="Times New Roman" w:cs="Times New Roman"/>
          <w:sz w:val="24"/>
          <w:szCs w:val="24"/>
        </w:rPr>
        <w:fldChar w:fldCharType="begin" w:fldLock="1"/>
      </w:r>
      <w:r w:rsidR="00F95A3D" w:rsidRPr="001E35A2">
        <w:rPr>
          <w:rFonts w:ascii="Times New Roman" w:hAnsi="Times New Roman" w:cs="Times New Roman"/>
          <w:sz w:val="24"/>
          <w:szCs w:val="24"/>
        </w:rPr>
        <w:instrText>ADDIN CSL_CITATION {"citationItems":[{"id":"ITEM-1","itemData":{"author":[{"dropping-particle":"","family":"Rose","given":"Stephen J","non-dropping-particle":"","parse-names":false,"suffix":""}],"container-title":"Washington, DC: Urban Institute","id":"ITEM-1","issue":"April","issued":{"date-parts":[["2018"]]},"page":"1-15","title":"Is Foreign Trade the Cause of Manufacturing Job Losses?","type":"article-journal"},"uris":["http://www.mendeley.com/documents/?uuid=47f440f2-f34f-4111-9589-f2bc18342ee9"]}],"mendeley":{"formattedCitation":"&lt;sup&gt;10&lt;/sup&gt;","plainTextFormattedCitation":"10","previouslyFormattedCitation":"&lt;sup&gt;10&lt;/sup&gt;"},"properties":{"noteIndex":0},"schema":"https://github.com/citation-style-language/schema/raw/master/csl-citation.json"}</w:instrText>
      </w:r>
      <w:r w:rsidRPr="001E35A2">
        <w:rPr>
          <w:rFonts w:ascii="Times New Roman" w:hAnsi="Times New Roman" w:cs="Times New Roman"/>
          <w:sz w:val="24"/>
          <w:szCs w:val="24"/>
        </w:rPr>
        <w:fldChar w:fldCharType="separate"/>
      </w:r>
      <w:r w:rsidR="00D5534F" w:rsidRPr="001E35A2">
        <w:rPr>
          <w:rFonts w:ascii="Times New Roman" w:hAnsi="Times New Roman" w:cs="Times New Roman"/>
          <w:noProof/>
          <w:sz w:val="24"/>
          <w:szCs w:val="24"/>
          <w:vertAlign w:val="superscript"/>
        </w:rPr>
        <w:t>10</w:t>
      </w:r>
      <w:r w:rsidRPr="001E35A2">
        <w:rPr>
          <w:rFonts w:ascii="Times New Roman" w:hAnsi="Times New Roman" w:cs="Times New Roman"/>
          <w:sz w:val="24"/>
          <w:szCs w:val="24"/>
        </w:rPr>
        <w:fldChar w:fldCharType="end"/>
      </w:r>
      <w:r w:rsidRPr="001E35A2">
        <w:rPr>
          <w:rFonts w:ascii="Times New Roman" w:hAnsi="Times New Roman" w:cs="Times New Roman"/>
          <w:sz w:val="24"/>
          <w:szCs w:val="24"/>
        </w:rPr>
        <w:t xml:space="preserve"> </w:t>
      </w:r>
      <w:r w:rsidR="00D5534F" w:rsidRPr="001E35A2">
        <w:rPr>
          <w:rFonts w:ascii="Times New Roman" w:hAnsi="Times New Roman" w:cs="Times New Roman"/>
          <w:sz w:val="24"/>
          <w:szCs w:val="24"/>
        </w:rPr>
        <w:t>The most dramatic decreases have occurred since 2000, with a loss of over 5 million jobs.</w:t>
      </w:r>
      <w:r w:rsidR="00D5534F" w:rsidRPr="001E35A2">
        <w:rPr>
          <w:rFonts w:ascii="Times New Roman" w:hAnsi="Times New Roman" w:cs="Times New Roman"/>
          <w:sz w:val="24"/>
          <w:szCs w:val="24"/>
        </w:rPr>
        <w:fldChar w:fldCharType="begin" w:fldLock="1"/>
      </w:r>
      <w:r w:rsidR="00F95A3D" w:rsidRPr="001E35A2">
        <w:rPr>
          <w:rFonts w:ascii="Times New Roman" w:hAnsi="Times New Roman" w:cs="Times New Roman"/>
          <w:sz w:val="24"/>
          <w:szCs w:val="24"/>
        </w:rPr>
        <w:instrText>ADDIN CSL_CITATION {"citationItems":[{"id":"ITEM-1","itemData":{"DOI":"10.2139/ssrn.3154376","ISBN":"9780226645728","abstract":"Using data from a variety of sources, this paper comprehensively documents the dramatic changes in the manufacturing sector and the large decline in employment rates and hours worked among prime-aged Americans since 2000. We use cross-region variation to explore the link between declining manufacturing employment and labor market outcomes. We find that manufacturing decline in a local area in the 2000s had large and persistent negative effects on local employment rates, hours worked and wages. We also show that declining local manufacturing employment is related to rising local opioid use and deaths. These results suggest that some of the recent opioid epidemic is driven by demand factors in addition to increased opioid supply. We conclude the paper with a discussion of potential mediating factors associated with declining manufacturing labor demand including public and private transfer receipt, sectoral switching, and inter-region mobility. Overall, we conclude that the decline in manufacturing employment was a substantial cause of the decline in employment rates during the 2000s particularly for less educated prime age workers. Given the trends in both capital and skill deepening within this sector, we further conclude that many policies currently being discussed to promote the manufacturing sector will have only a modest labor market impact for less educated individuals.","author":[{"dropping-particle":"","family":"Charles","given":"Kerwin Kofi","non-dropping-particle":"","parse-names":false,"suffix":""},{"dropping-particle":"","family":"Hurst","given":"Erik","non-dropping-particle":"","parse-names":false,"suffix":""},{"dropping-particle":"","family":"Schwartz","given":"Mariel","non-dropping-particle":"","parse-names":false,"suffix":""}],"container-title":"Ssrn","id":"ITEM-1","issued":{"date-parts":[["2018"]]},"title":"The Transformation of Manufacturing and the Decline in U.S. Employment","type":"book"},"uris":["http://www.mendeley.com/documents/?uuid=519ce867-3cc9-4c80-95ce-cbc30b1f86c4"]}],"mendeley":{"formattedCitation":"&lt;sup&gt;11&lt;/sup&gt;","plainTextFormattedCitation":"11","previouslyFormattedCitation":"&lt;sup&gt;11&lt;/sup&gt;"},"properties":{"noteIndex":0},"schema":"https://github.com/citation-style-language/schema/raw/master/csl-citation.json"}</w:instrText>
      </w:r>
      <w:r w:rsidR="00D5534F" w:rsidRPr="001E35A2">
        <w:rPr>
          <w:rFonts w:ascii="Times New Roman" w:hAnsi="Times New Roman" w:cs="Times New Roman"/>
          <w:sz w:val="24"/>
          <w:szCs w:val="24"/>
        </w:rPr>
        <w:fldChar w:fldCharType="separate"/>
      </w:r>
      <w:r w:rsidR="00D5534F" w:rsidRPr="001E35A2">
        <w:rPr>
          <w:rFonts w:ascii="Times New Roman" w:hAnsi="Times New Roman" w:cs="Times New Roman"/>
          <w:noProof/>
          <w:sz w:val="24"/>
          <w:szCs w:val="24"/>
          <w:vertAlign w:val="superscript"/>
        </w:rPr>
        <w:t>11</w:t>
      </w:r>
      <w:r w:rsidR="00D5534F" w:rsidRPr="001E35A2">
        <w:rPr>
          <w:rFonts w:ascii="Times New Roman" w:hAnsi="Times New Roman" w:cs="Times New Roman"/>
          <w:sz w:val="24"/>
          <w:szCs w:val="24"/>
        </w:rPr>
        <w:fldChar w:fldCharType="end"/>
      </w:r>
      <w:r w:rsidR="00D5534F" w:rsidRPr="001E35A2">
        <w:rPr>
          <w:rFonts w:ascii="Times New Roman" w:hAnsi="Times New Roman" w:cs="Times New Roman"/>
          <w:sz w:val="24"/>
          <w:szCs w:val="24"/>
        </w:rPr>
        <w:t xml:space="preserve"> </w:t>
      </w:r>
      <w:r w:rsidR="0043196F" w:rsidRPr="001E35A2">
        <w:rPr>
          <w:rFonts w:ascii="Times New Roman" w:hAnsi="Times New Roman" w:cs="Times New Roman"/>
          <w:sz w:val="24"/>
          <w:szCs w:val="24"/>
        </w:rPr>
        <w:t xml:space="preserve">As </w:t>
      </w:r>
      <w:r w:rsidR="005B305D" w:rsidRPr="001E35A2">
        <w:rPr>
          <w:rFonts w:ascii="Times New Roman" w:hAnsi="Times New Roman" w:cs="Times New Roman"/>
          <w:sz w:val="24"/>
          <w:szCs w:val="24"/>
        </w:rPr>
        <w:t>these well-paying jobs with standard employer-employee relationships and job security</w:t>
      </w:r>
      <w:r w:rsidR="0043196F" w:rsidRPr="001E35A2">
        <w:rPr>
          <w:rFonts w:ascii="Times New Roman" w:hAnsi="Times New Roman" w:cs="Times New Roman"/>
          <w:sz w:val="24"/>
          <w:szCs w:val="24"/>
        </w:rPr>
        <w:t xml:space="preserve"> have declined</w:t>
      </w:r>
      <w:r w:rsidR="005B305D" w:rsidRPr="001E35A2">
        <w:rPr>
          <w:rFonts w:ascii="Times New Roman" w:hAnsi="Times New Roman" w:cs="Times New Roman"/>
          <w:sz w:val="24"/>
          <w:szCs w:val="24"/>
        </w:rPr>
        <w:t xml:space="preserve">, precarious work </w:t>
      </w:r>
      <w:r w:rsidR="00D5534F" w:rsidRPr="001E35A2">
        <w:rPr>
          <w:rFonts w:ascii="Times New Roman" w:hAnsi="Times New Roman" w:cs="Times New Roman"/>
          <w:sz w:val="24"/>
          <w:szCs w:val="24"/>
        </w:rPr>
        <w:t xml:space="preserve">has been </w:t>
      </w:r>
      <w:r w:rsidR="0043196F" w:rsidRPr="001E35A2">
        <w:rPr>
          <w:rFonts w:ascii="Times New Roman" w:hAnsi="Times New Roman" w:cs="Times New Roman"/>
          <w:sz w:val="24"/>
          <w:szCs w:val="24"/>
        </w:rPr>
        <w:t>on the rise</w:t>
      </w:r>
      <w:r w:rsidR="005B305D" w:rsidRPr="001E35A2">
        <w:rPr>
          <w:rFonts w:ascii="Times New Roman" w:hAnsi="Times New Roman" w:cs="Times New Roman"/>
          <w:sz w:val="24"/>
          <w:szCs w:val="24"/>
        </w:rPr>
        <w:t>.</w:t>
      </w:r>
      <w:r w:rsidR="005B305D" w:rsidRPr="001E35A2">
        <w:rPr>
          <w:rFonts w:ascii="Times New Roman" w:hAnsi="Times New Roman" w:cs="Times New Roman"/>
          <w:sz w:val="24"/>
          <w:szCs w:val="24"/>
        </w:rPr>
        <w:fldChar w:fldCharType="begin" w:fldLock="1"/>
      </w:r>
      <w:r w:rsidR="00D5534F" w:rsidRPr="001E35A2">
        <w:rPr>
          <w:rFonts w:ascii="Times New Roman" w:hAnsi="Times New Roman" w:cs="Times New Roman"/>
          <w:sz w:val="24"/>
          <w:szCs w:val="24"/>
        </w:rPr>
        <w:instrText>ADDIN CSL_CITATION {"citationItems":[{"id":"ITEM-1","itemData":{"DOI":"10.1177/000312240907400101","ISSN":"00031224","abstract":"The growth of precarious work since the 1970s has emerged as a core contemporary concern within politics, in the media, and among researchers. Uncertain and unpredictable work contrasts with the relative security that characterized the three decades following World War II. Precarious work constitutes a global challenge that has a wide range of consequences cutting across many areas of concern to sociologists. Hence, it is increasingly important to understand the new workplace arrangements that generate precarious work and worker insecurity. A focus on employment relations forms the foundation of theories of the institutions and structures that generate precarious work and the cultural and individual factors that influence people's responses to uncertainty. Sociologists are well-positioned to explain, offer insight, and provide input into public policy about such changes and the state of contemporary employment relations.","author":[{"dropping-particle":"","family":"Kalleberg","given":"Arne L.","non-dropping-particle":"","parse-names":false,"suffix":""}],"container-title":"American Sociological Review","id":"ITEM-1","issue":"1","issued":{"date-parts":[["2009"]]},"page":"1-22","title":"Precarious work, insecure workers: Employment relations in transition","type":"article-journal","volume":"74"},"uris":["http://www.mendeley.com/documents/?uuid=77ac0843-fc6d-4e55-bf7b-2dcfb1ad263d"]}],"mendeley":{"formattedCitation":"&lt;sup&gt;12&lt;/sup&gt;","plainTextFormattedCitation":"12","previouslyFormattedCitation":"&lt;sup&gt;12&lt;/sup&gt;"},"properties":{"noteIndex":0},"schema":"https://github.com/citation-style-language/schema/raw/master/csl-citation.json"}</w:instrText>
      </w:r>
      <w:r w:rsidR="005B305D" w:rsidRPr="001E35A2">
        <w:rPr>
          <w:rFonts w:ascii="Times New Roman" w:hAnsi="Times New Roman" w:cs="Times New Roman"/>
          <w:sz w:val="24"/>
          <w:szCs w:val="24"/>
        </w:rPr>
        <w:fldChar w:fldCharType="separate"/>
      </w:r>
      <w:r w:rsidR="005B305D" w:rsidRPr="001E35A2">
        <w:rPr>
          <w:rFonts w:ascii="Times New Roman" w:hAnsi="Times New Roman" w:cs="Times New Roman"/>
          <w:noProof/>
          <w:sz w:val="24"/>
          <w:szCs w:val="24"/>
          <w:vertAlign w:val="superscript"/>
        </w:rPr>
        <w:t>12</w:t>
      </w:r>
      <w:r w:rsidR="005B305D" w:rsidRPr="001E35A2">
        <w:rPr>
          <w:rFonts w:ascii="Times New Roman" w:hAnsi="Times New Roman" w:cs="Times New Roman"/>
          <w:sz w:val="24"/>
          <w:szCs w:val="24"/>
        </w:rPr>
        <w:fldChar w:fldCharType="end"/>
      </w:r>
      <w:r w:rsidR="005B305D" w:rsidRPr="001E35A2">
        <w:rPr>
          <w:rFonts w:ascii="Times New Roman" w:hAnsi="Times New Roman" w:cs="Times New Roman"/>
          <w:sz w:val="24"/>
          <w:szCs w:val="24"/>
        </w:rPr>
        <w:t xml:space="preserve"> </w:t>
      </w:r>
      <w:r w:rsidR="002C4F7E" w:rsidRPr="001E35A2">
        <w:rPr>
          <w:rFonts w:ascii="Times New Roman" w:hAnsi="Times New Roman" w:cs="Times New Roman"/>
          <w:sz w:val="24"/>
          <w:szCs w:val="24"/>
        </w:rPr>
        <w:t>P</w:t>
      </w:r>
      <w:r w:rsidR="00FA1B4C" w:rsidRPr="001E35A2">
        <w:rPr>
          <w:rFonts w:ascii="Times New Roman" w:hAnsi="Times New Roman" w:cs="Times New Roman"/>
          <w:sz w:val="24"/>
          <w:szCs w:val="24"/>
        </w:rPr>
        <w:t xml:space="preserve">rior to the Great Recession, </w:t>
      </w:r>
      <w:r w:rsidR="007B6B85" w:rsidRPr="001E35A2">
        <w:rPr>
          <w:rFonts w:ascii="Times New Roman" w:hAnsi="Times New Roman" w:cs="Times New Roman"/>
          <w:sz w:val="24"/>
          <w:szCs w:val="24"/>
        </w:rPr>
        <w:t>China</w:t>
      </w:r>
      <w:r w:rsidR="005B305D" w:rsidRPr="001E35A2">
        <w:rPr>
          <w:rFonts w:ascii="Times New Roman" w:hAnsi="Times New Roman" w:cs="Times New Roman"/>
          <w:sz w:val="24"/>
          <w:szCs w:val="24"/>
        </w:rPr>
        <w:t>’s</w:t>
      </w:r>
      <w:r w:rsidR="007B6B85" w:rsidRPr="001E35A2">
        <w:rPr>
          <w:rFonts w:ascii="Times New Roman" w:hAnsi="Times New Roman" w:cs="Times New Roman"/>
          <w:sz w:val="24"/>
          <w:szCs w:val="24"/>
        </w:rPr>
        <w:t xml:space="preserve"> </w:t>
      </w:r>
      <w:r w:rsidR="000F7A9C" w:rsidRPr="001E35A2">
        <w:rPr>
          <w:rFonts w:ascii="Times New Roman" w:hAnsi="Times New Roman" w:cs="Times New Roman"/>
          <w:sz w:val="24"/>
          <w:szCs w:val="24"/>
        </w:rPr>
        <w:t>entr</w:t>
      </w:r>
      <w:r w:rsidR="005B305D" w:rsidRPr="001E35A2">
        <w:rPr>
          <w:rFonts w:ascii="Times New Roman" w:hAnsi="Times New Roman" w:cs="Times New Roman"/>
          <w:sz w:val="24"/>
          <w:szCs w:val="24"/>
        </w:rPr>
        <w:t>y</w:t>
      </w:r>
      <w:r w:rsidR="000F7A9C" w:rsidRPr="001E35A2">
        <w:rPr>
          <w:rFonts w:ascii="Times New Roman" w:hAnsi="Times New Roman" w:cs="Times New Roman"/>
          <w:sz w:val="24"/>
          <w:szCs w:val="24"/>
        </w:rPr>
        <w:t xml:space="preserve"> </w:t>
      </w:r>
      <w:r w:rsidR="007B6B85" w:rsidRPr="001E35A2">
        <w:rPr>
          <w:rFonts w:ascii="Times New Roman" w:hAnsi="Times New Roman" w:cs="Times New Roman"/>
          <w:sz w:val="24"/>
          <w:szCs w:val="24"/>
        </w:rPr>
        <w:t>i</w:t>
      </w:r>
      <w:r w:rsidR="000F7A9C" w:rsidRPr="001E35A2">
        <w:rPr>
          <w:rFonts w:ascii="Times New Roman" w:hAnsi="Times New Roman" w:cs="Times New Roman"/>
          <w:sz w:val="24"/>
          <w:szCs w:val="24"/>
        </w:rPr>
        <w:t xml:space="preserve">nto the World Trade Organization in 2001 accelerated its export surge in manufacturing, </w:t>
      </w:r>
      <w:r w:rsidR="00936F3A" w:rsidRPr="001E35A2">
        <w:rPr>
          <w:rFonts w:ascii="Times New Roman" w:hAnsi="Times New Roman" w:cs="Times New Roman"/>
          <w:sz w:val="24"/>
          <w:szCs w:val="24"/>
        </w:rPr>
        <w:t xml:space="preserve">and </w:t>
      </w:r>
      <w:r w:rsidR="000F7A9C" w:rsidRPr="001E35A2">
        <w:rPr>
          <w:rFonts w:ascii="Times New Roman" w:hAnsi="Times New Roman" w:cs="Times New Roman"/>
          <w:sz w:val="24"/>
          <w:szCs w:val="24"/>
        </w:rPr>
        <w:t>contribut</w:t>
      </w:r>
      <w:r w:rsidR="00936F3A" w:rsidRPr="001E35A2">
        <w:rPr>
          <w:rFonts w:ascii="Times New Roman" w:hAnsi="Times New Roman" w:cs="Times New Roman"/>
          <w:sz w:val="24"/>
          <w:szCs w:val="24"/>
        </w:rPr>
        <w:t>ed</w:t>
      </w:r>
      <w:r w:rsidR="000F7A9C" w:rsidRPr="001E35A2">
        <w:rPr>
          <w:rFonts w:ascii="Times New Roman" w:hAnsi="Times New Roman" w:cs="Times New Roman"/>
          <w:sz w:val="24"/>
          <w:szCs w:val="24"/>
        </w:rPr>
        <w:t xml:space="preserve"> to </w:t>
      </w:r>
      <w:r w:rsidR="00FA1B4C" w:rsidRPr="001E35A2">
        <w:rPr>
          <w:rFonts w:ascii="Times New Roman" w:hAnsi="Times New Roman" w:cs="Times New Roman"/>
          <w:sz w:val="24"/>
          <w:szCs w:val="24"/>
        </w:rPr>
        <w:t xml:space="preserve">U.S. </w:t>
      </w:r>
      <w:r w:rsidR="000F7A9C" w:rsidRPr="001E35A2">
        <w:rPr>
          <w:rFonts w:ascii="Times New Roman" w:hAnsi="Times New Roman" w:cs="Times New Roman"/>
          <w:sz w:val="24"/>
          <w:szCs w:val="24"/>
        </w:rPr>
        <w:t>contraction</w:t>
      </w:r>
      <w:r w:rsidR="00FA1B4C" w:rsidRPr="001E35A2">
        <w:rPr>
          <w:rFonts w:ascii="Times New Roman" w:hAnsi="Times New Roman" w:cs="Times New Roman"/>
          <w:sz w:val="24"/>
          <w:szCs w:val="24"/>
        </w:rPr>
        <w:t>.</w:t>
      </w:r>
      <w:r w:rsidR="00FA1B4C" w:rsidRPr="001E35A2">
        <w:rPr>
          <w:rFonts w:ascii="Times New Roman" w:hAnsi="Times New Roman" w:cs="Times New Roman"/>
          <w:sz w:val="24"/>
          <w:szCs w:val="24"/>
        </w:rPr>
        <w:fldChar w:fldCharType="begin" w:fldLock="1"/>
      </w:r>
      <w:r w:rsidR="00D5534F" w:rsidRPr="001E35A2">
        <w:rPr>
          <w:rFonts w:ascii="Times New Roman" w:hAnsi="Times New Roman" w:cs="Times New Roman"/>
          <w:sz w:val="24"/>
          <w:szCs w:val="24"/>
        </w:rPr>
        <w:instrText>ADDIN CSL_CITATION {"citationItems":[{"id":"ITEM-1","itemData":{"author":[{"dropping-particle":"","family":"Fort","given":"TC","non-dropping-particle":"","parse-names":false,"suffix":""},{"dropping-particle":"","family":"Pierce","given":"JR","non-dropping-particle":"","parse-names":false,"suffix":""},{"dropping-particle":"","family":"Schott","given":"PK","non-dropping-particle":"","parse-names":false,"suffix":""}],"container-title":"Journal of Economioc Perspectives","id":"ITEM-1","issue":"2","issued":{"date-parts":[["2018"]]},"page":"47-72","title":"New perspectoves on the decline of US manufactuirng employment","type":"article-journal","volume":"32"},"uris":["http://www.mendeley.com/documents/?uuid=9f906353-8b68-4640-80a4-eb9eaac78232"]}],"mendeley":{"formattedCitation":"&lt;sup&gt;13&lt;/sup&gt;","plainTextFormattedCitation":"13","previouslyFormattedCitation":"&lt;sup&gt;13&lt;/sup&gt;"},"properties":{"noteIndex":0},"schema":"https://github.com/citation-style-language/schema/raw/master/csl-citation.json"}</w:instrText>
      </w:r>
      <w:r w:rsidR="00FA1B4C" w:rsidRPr="001E35A2">
        <w:rPr>
          <w:rFonts w:ascii="Times New Roman" w:hAnsi="Times New Roman" w:cs="Times New Roman"/>
          <w:sz w:val="24"/>
          <w:szCs w:val="24"/>
        </w:rPr>
        <w:fldChar w:fldCharType="separate"/>
      </w:r>
      <w:r w:rsidR="005B305D" w:rsidRPr="001E35A2">
        <w:rPr>
          <w:rFonts w:ascii="Times New Roman" w:hAnsi="Times New Roman" w:cs="Times New Roman"/>
          <w:noProof/>
          <w:sz w:val="24"/>
          <w:szCs w:val="24"/>
          <w:vertAlign w:val="superscript"/>
        </w:rPr>
        <w:t>13</w:t>
      </w:r>
      <w:r w:rsidR="00FA1B4C" w:rsidRPr="001E35A2">
        <w:rPr>
          <w:rFonts w:ascii="Times New Roman" w:hAnsi="Times New Roman" w:cs="Times New Roman"/>
          <w:sz w:val="24"/>
          <w:szCs w:val="24"/>
        </w:rPr>
        <w:fldChar w:fldCharType="end"/>
      </w:r>
      <w:r w:rsidR="000F7A9C" w:rsidRPr="001E35A2">
        <w:rPr>
          <w:rFonts w:ascii="Times New Roman" w:hAnsi="Times New Roman" w:cs="Times New Roman"/>
          <w:sz w:val="24"/>
          <w:szCs w:val="24"/>
        </w:rPr>
        <w:t xml:space="preserve"> Impacts of the China Shock are most visible in the local labor markets with </w:t>
      </w:r>
      <w:r w:rsidR="000F7A9C" w:rsidRPr="001E35A2">
        <w:rPr>
          <w:rFonts w:ascii="Times New Roman" w:hAnsi="Times New Roman" w:cs="Times New Roman"/>
          <w:sz w:val="24"/>
          <w:szCs w:val="24"/>
        </w:rPr>
        <w:lastRenderedPageBreak/>
        <w:t>a concentration of industries exposed to foreign competition where workers who lose jobs may end up out of the job market entirely.</w:t>
      </w:r>
      <w:r w:rsidR="00FA1B4C" w:rsidRPr="001E35A2">
        <w:rPr>
          <w:rFonts w:ascii="Times New Roman" w:hAnsi="Times New Roman" w:cs="Times New Roman"/>
          <w:sz w:val="24"/>
          <w:szCs w:val="24"/>
        </w:rPr>
        <w:fldChar w:fldCharType="begin" w:fldLock="1"/>
      </w:r>
      <w:r w:rsidR="00D5534F" w:rsidRPr="001E35A2">
        <w:rPr>
          <w:rFonts w:ascii="Times New Roman" w:hAnsi="Times New Roman" w:cs="Times New Roman"/>
          <w:sz w:val="24"/>
          <w:szCs w:val="24"/>
        </w:rPr>
        <w:instrText>ADDIN CSL_CITATION {"citationItems":[{"id":"ITEM-1","itemData":{"DOI":"10.1146/annurev-economics-080315-015041","abstract":"China's emergence as a great economic power has induced an epochal shift in patterns of world trade. Simultaneously, it has challenged much of the received empirical wisdom about how labor markets adjust to trade shocks. Alongside the heralded consumer benefits of expanded trade are substantial adjustment costs and distributional consequences. These impacts are most visible in the local labor markets in which the industries exposed to foreign competition are concentrated. Adjustment in local labor markets is remarkably slow, with wages and labor-force participation rates remaining depressed and unemployment rates remaining elevated for at least a full decade after the China trade shock commences. Exposed workers experience greater job churning and reduced lifetime income. At the national level, employment has fallen in the US industries more exposed to import competition, as expected, but offsetting employment gains in other industries have yet to materialize. Better understanding when and where trade is costly, and how and why it may be beneficial, is a key item on the research agenda for trade and labor economists.","author":[{"dropping-particle":"","family":"Autor","given":"David H.","non-dropping-particle":"","parse-names":false,"suffix":""},{"dropping-particle":"","family":"Dorn","given":"David","non-dropping-particle":"","parse-names":false,"suffix":""},{"dropping-particle":"","family":"Hanson","given":"Gordon H.","non-dropping-particle":"","parse-names":false,"suffix":""}],"container-title":"Ssrn","id":"ITEM-1","issued":{"date-parts":[["2016"]]},"title":"The China Shock: Learning from Labor-Market Adjustment to Large Changes in Trade","type":"article-journal"},"uris":["http://www.mendeley.com/documents/?uuid=24a70c9d-a998-4f64-8351-4ce56b99ae1b"]}],"mendeley":{"formattedCitation":"&lt;sup&gt;14&lt;/sup&gt;","plainTextFormattedCitation":"14","previouslyFormattedCitation":"&lt;sup&gt;14&lt;/sup&gt;"},"properties":{"noteIndex":0},"schema":"https://github.com/citation-style-language/schema/raw/master/csl-citation.json"}</w:instrText>
      </w:r>
      <w:r w:rsidR="00FA1B4C" w:rsidRPr="001E35A2">
        <w:rPr>
          <w:rFonts w:ascii="Times New Roman" w:hAnsi="Times New Roman" w:cs="Times New Roman"/>
          <w:sz w:val="24"/>
          <w:szCs w:val="24"/>
        </w:rPr>
        <w:fldChar w:fldCharType="separate"/>
      </w:r>
      <w:r w:rsidR="005B305D" w:rsidRPr="001E35A2">
        <w:rPr>
          <w:rFonts w:ascii="Times New Roman" w:hAnsi="Times New Roman" w:cs="Times New Roman"/>
          <w:noProof/>
          <w:sz w:val="24"/>
          <w:szCs w:val="24"/>
          <w:vertAlign w:val="superscript"/>
        </w:rPr>
        <w:t>14</w:t>
      </w:r>
      <w:r w:rsidR="00FA1B4C" w:rsidRPr="001E35A2">
        <w:rPr>
          <w:rFonts w:ascii="Times New Roman" w:hAnsi="Times New Roman" w:cs="Times New Roman"/>
          <w:sz w:val="24"/>
          <w:szCs w:val="24"/>
        </w:rPr>
        <w:fldChar w:fldCharType="end"/>
      </w:r>
    </w:p>
    <w:p w14:paraId="1FD9477E" w14:textId="39BCCC24" w:rsidR="00D3402E" w:rsidRPr="001E35A2" w:rsidRDefault="00D3402E" w:rsidP="00D8533C">
      <w:pPr>
        <w:spacing w:line="480" w:lineRule="auto"/>
        <w:ind w:firstLine="720"/>
        <w:rPr>
          <w:rFonts w:ascii="Times New Roman" w:hAnsi="Times New Roman" w:cs="Times New Roman"/>
          <w:sz w:val="24"/>
          <w:szCs w:val="24"/>
        </w:rPr>
      </w:pPr>
      <w:r w:rsidRPr="001E35A2">
        <w:rPr>
          <w:rFonts w:ascii="Times New Roman" w:hAnsi="Times New Roman" w:cs="Times New Roman"/>
          <w:sz w:val="24"/>
          <w:szCs w:val="24"/>
        </w:rPr>
        <w:t xml:space="preserve">The US automobile industry offers </w:t>
      </w:r>
      <w:r w:rsidR="00B208FC" w:rsidRPr="001E35A2">
        <w:rPr>
          <w:rFonts w:ascii="Times New Roman" w:hAnsi="Times New Roman" w:cs="Times New Roman"/>
          <w:sz w:val="24"/>
          <w:szCs w:val="24"/>
        </w:rPr>
        <w:t xml:space="preserve">a striking </w:t>
      </w:r>
      <w:r w:rsidRPr="001E35A2">
        <w:rPr>
          <w:rFonts w:ascii="Times New Roman" w:hAnsi="Times New Roman" w:cs="Times New Roman"/>
          <w:sz w:val="24"/>
          <w:szCs w:val="24"/>
        </w:rPr>
        <w:t xml:space="preserve">case study of an </w:t>
      </w:r>
      <w:r w:rsidR="00182E98" w:rsidRPr="001E35A2">
        <w:rPr>
          <w:rFonts w:ascii="Times New Roman" w:hAnsi="Times New Roman" w:cs="Times New Roman"/>
          <w:sz w:val="24"/>
          <w:szCs w:val="24"/>
        </w:rPr>
        <w:t xml:space="preserve">impacted </w:t>
      </w:r>
      <w:r w:rsidRPr="001E35A2">
        <w:rPr>
          <w:rFonts w:ascii="Times New Roman" w:hAnsi="Times New Roman" w:cs="Times New Roman"/>
          <w:sz w:val="24"/>
          <w:szCs w:val="24"/>
        </w:rPr>
        <w:t xml:space="preserve">industry in decline. From the 1950s until the China Shock of the early 2000s, the “Big Three” Detroit companies Ford, Chrysler and General Motors dominated the automobile market. By the late 1960s, foreign automakers began to capture a share of the </w:t>
      </w:r>
      <w:r w:rsidR="00182E98" w:rsidRPr="001E35A2">
        <w:rPr>
          <w:rFonts w:ascii="Times New Roman" w:hAnsi="Times New Roman" w:cs="Times New Roman"/>
          <w:sz w:val="24"/>
          <w:szCs w:val="24"/>
        </w:rPr>
        <w:t xml:space="preserve">domestic </w:t>
      </w:r>
      <w:r w:rsidRPr="001E35A2">
        <w:rPr>
          <w:rFonts w:ascii="Times New Roman" w:hAnsi="Times New Roman" w:cs="Times New Roman"/>
          <w:sz w:val="24"/>
          <w:szCs w:val="24"/>
        </w:rPr>
        <w:t xml:space="preserve">market. </w:t>
      </w:r>
      <w:r w:rsidR="00045ACB" w:rsidRPr="001E35A2">
        <w:rPr>
          <w:rFonts w:ascii="Times New Roman" w:hAnsi="Times New Roman" w:cs="Times New Roman"/>
          <w:sz w:val="24"/>
          <w:szCs w:val="24"/>
        </w:rPr>
        <w:t>T</w:t>
      </w:r>
      <w:r w:rsidRPr="001E35A2">
        <w:rPr>
          <w:rFonts w:ascii="Times New Roman" w:hAnsi="Times New Roman" w:cs="Times New Roman"/>
          <w:sz w:val="24"/>
          <w:szCs w:val="24"/>
        </w:rPr>
        <w:t xml:space="preserve">he oil embargo </w:t>
      </w:r>
      <w:r w:rsidR="00045ACB" w:rsidRPr="001E35A2">
        <w:rPr>
          <w:rFonts w:ascii="Times New Roman" w:hAnsi="Times New Roman" w:cs="Times New Roman"/>
          <w:sz w:val="24"/>
          <w:szCs w:val="24"/>
        </w:rPr>
        <w:t xml:space="preserve">in 1979 </w:t>
      </w:r>
      <w:r w:rsidRPr="001E35A2">
        <w:rPr>
          <w:rFonts w:ascii="Times New Roman" w:hAnsi="Times New Roman" w:cs="Times New Roman"/>
          <w:sz w:val="24"/>
          <w:szCs w:val="24"/>
        </w:rPr>
        <w:t xml:space="preserve">further fueled the rise of imported smaller cars. Detroit automakers </w:t>
      </w:r>
      <w:r w:rsidR="00045ACB" w:rsidRPr="001E35A2">
        <w:rPr>
          <w:rFonts w:ascii="Times New Roman" w:hAnsi="Times New Roman" w:cs="Times New Roman"/>
          <w:sz w:val="24"/>
          <w:szCs w:val="24"/>
        </w:rPr>
        <w:t xml:space="preserve">responded by </w:t>
      </w:r>
      <w:r w:rsidRPr="001E35A2">
        <w:rPr>
          <w:rFonts w:ascii="Times New Roman" w:hAnsi="Times New Roman" w:cs="Times New Roman"/>
          <w:sz w:val="24"/>
          <w:szCs w:val="24"/>
        </w:rPr>
        <w:t>shift</w:t>
      </w:r>
      <w:r w:rsidR="00045ACB" w:rsidRPr="001E35A2">
        <w:rPr>
          <w:rFonts w:ascii="Times New Roman" w:hAnsi="Times New Roman" w:cs="Times New Roman"/>
          <w:sz w:val="24"/>
          <w:szCs w:val="24"/>
        </w:rPr>
        <w:t>ing</w:t>
      </w:r>
      <w:r w:rsidRPr="001E35A2">
        <w:rPr>
          <w:rFonts w:ascii="Times New Roman" w:hAnsi="Times New Roman" w:cs="Times New Roman"/>
          <w:sz w:val="24"/>
          <w:szCs w:val="24"/>
        </w:rPr>
        <w:t xml:space="preserve"> to light trucks, minivans, sports utility vehicles and pick-up trucks. Between 1980 and 1996, stronger vehicle safety regulations, increasing oil prices and the emergence of hybrid</w:t>
      </w:r>
      <w:r w:rsidR="00C85640" w:rsidRPr="001E35A2">
        <w:rPr>
          <w:rFonts w:ascii="Times New Roman" w:hAnsi="Times New Roman" w:cs="Times New Roman"/>
          <w:sz w:val="24"/>
          <w:szCs w:val="24"/>
        </w:rPr>
        <w:t>ized vehicles</w:t>
      </w:r>
      <w:r w:rsidRPr="001E35A2">
        <w:rPr>
          <w:rFonts w:ascii="Times New Roman" w:hAnsi="Times New Roman" w:cs="Times New Roman"/>
          <w:sz w:val="24"/>
          <w:szCs w:val="24"/>
        </w:rPr>
        <w:t xml:space="preserve"> further challenged the </w:t>
      </w:r>
      <w:r w:rsidR="00931FEE" w:rsidRPr="001E35A2">
        <w:rPr>
          <w:rFonts w:ascii="Times New Roman" w:hAnsi="Times New Roman" w:cs="Times New Roman"/>
          <w:sz w:val="24"/>
          <w:szCs w:val="24"/>
        </w:rPr>
        <w:t xml:space="preserve">domestic </w:t>
      </w:r>
      <w:r w:rsidRPr="001E35A2">
        <w:rPr>
          <w:rFonts w:ascii="Times New Roman" w:hAnsi="Times New Roman" w:cs="Times New Roman"/>
          <w:sz w:val="24"/>
          <w:szCs w:val="24"/>
        </w:rPr>
        <w:t>industry. By 2008</w:t>
      </w:r>
      <w:r w:rsidR="00C85640" w:rsidRPr="001E35A2">
        <w:rPr>
          <w:rFonts w:ascii="Times New Roman" w:hAnsi="Times New Roman" w:cs="Times New Roman"/>
          <w:sz w:val="24"/>
          <w:szCs w:val="24"/>
        </w:rPr>
        <w:t>,</w:t>
      </w:r>
      <w:r w:rsidRPr="001E35A2">
        <w:rPr>
          <w:rFonts w:ascii="Times New Roman" w:hAnsi="Times New Roman" w:cs="Times New Roman"/>
          <w:sz w:val="24"/>
          <w:szCs w:val="24"/>
        </w:rPr>
        <w:t xml:space="preserve"> Toyota had become the largest producer worldwide</w:t>
      </w:r>
      <w:r w:rsidR="00D92509">
        <w:rPr>
          <w:rFonts w:ascii="Times New Roman" w:hAnsi="Times New Roman" w:cs="Times New Roman"/>
          <w:sz w:val="24"/>
          <w:szCs w:val="24"/>
        </w:rPr>
        <w:t>--</w:t>
      </w:r>
      <w:r w:rsidRPr="001E35A2">
        <w:rPr>
          <w:rFonts w:ascii="Times New Roman" w:hAnsi="Times New Roman" w:cs="Times New Roman"/>
          <w:sz w:val="24"/>
          <w:szCs w:val="24"/>
        </w:rPr>
        <w:t xml:space="preserve">a title General Motors </w:t>
      </w:r>
      <w:r w:rsidR="006273B1" w:rsidRPr="001E35A2">
        <w:rPr>
          <w:rFonts w:ascii="Times New Roman" w:hAnsi="Times New Roman" w:cs="Times New Roman"/>
          <w:sz w:val="24"/>
          <w:szCs w:val="24"/>
        </w:rPr>
        <w:t xml:space="preserve">had </w:t>
      </w:r>
      <w:r w:rsidRPr="001E35A2">
        <w:rPr>
          <w:rFonts w:ascii="Times New Roman" w:hAnsi="Times New Roman" w:cs="Times New Roman"/>
          <w:sz w:val="24"/>
          <w:szCs w:val="24"/>
        </w:rPr>
        <w:t>held for 77 years.</w:t>
      </w:r>
      <w:r w:rsidRPr="001E35A2">
        <w:rPr>
          <w:rFonts w:ascii="Times New Roman" w:hAnsi="Times New Roman" w:cs="Times New Roman"/>
          <w:sz w:val="24"/>
          <w:szCs w:val="24"/>
        </w:rPr>
        <w:fldChar w:fldCharType="begin" w:fldLock="1"/>
      </w:r>
      <w:r w:rsidR="00D5534F" w:rsidRPr="001E35A2">
        <w:rPr>
          <w:rFonts w:ascii="Times New Roman" w:hAnsi="Times New Roman" w:cs="Times New Roman"/>
          <w:sz w:val="24"/>
          <w:szCs w:val="24"/>
        </w:rPr>
        <w:instrText>ADDIN CSL_CITATION {"citationItems":[{"id":"ITEM-1","itemData":{"author":[{"dropping-particle":"","family":"Klier","given":"TH","non-dropping-particle":"","parse-names":false,"suffix":""}],"container-title":"Economic Perspective","id":"ITEM-1","issue":"2","issued":{"date-parts":[["2009"]]},"title":"From tail fins to hybrids: How Detroit lost its dominance of the U.S. auto market","type":"article-journal","volume":"33"},"uris":["http://www.mendeley.com/documents/?uuid=3d18fd6d-e55a-4efd-8016-cef141265018"]}],"mendeley":{"formattedCitation":"&lt;sup&gt;15&lt;/sup&gt;","plainTextFormattedCitation":"15","previouslyFormattedCitation":"&lt;sup&gt;15&lt;/sup&gt;"},"properties":{"noteIndex":0},"schema":"https://github.com/citation-style-language/schema/raw/master/csl-citation.json"}</w:instrText>
      </w:r>
      <w:r w:rsidRPr="001E35A2">
        <w:rPr>
          <w:rFonts w:ascii="Times New Roman" w:hAnsi="Times New Roman" w:cs="Times New Roman"/>
          <w:sz w:val="24"/>
          <w:szCs w:val="24"/>
        </w:rPr>
        <w:fldChar w:fldCharType="separate"/>
      </w:r>
      <w:r w:rsidR="005B305D" w:rsidRPr="001E35A2">
        <w:rPr>
          <w:rFonts w:ascii="Times New Roman" w:hAnsi="Times New Roman" w:cs="Times New Roman"/>
          <w:noProof/>
          <w:sz w:val="24"/>
          <w:szCs w:val="24"/>
          <w:vertAlign w:val="superscript"/>
        </w:rPr>
        <w:t>15</w:t>
      </w:r>
      <w:r w:rsidRPr="001E35A2">
        <w:rPr>
          <w:rFonts w:ascii="Times New Roman" w:hAnsi="Times New Roman" w:cs="Times New Roman"/>
          <w:sz w:val="24"/>
          <w:szCs w:val="24"/>
        </w:rPr>
        <w:fldChar w:fldCharType="end"/>
      </w:r>
      <w:r w:rsidRPr="001E35A2">
        <w:rPr>
          <w:rFonts w:ascii="Times New Roman" w:hAnsi="Times New Roman" w:cs="Times New Roman"/>
          <w:sz w:val="24"/>
          <w:szCs w:val="24"/>
        </w:rPr>
        <w:t xml:space="preserve"> </w:t>
      </w:r>
      <w:r w:rsidR="00C85640" w:rsidRPr="001E35A2">
        <w:rPr>
          <w:rFonts w:ascii="Times New Roman" w:hAnsi="Times New Roman" w:cs="Times New Roman"/>
          <w:sz w:val="24"/>
          <w:szCs w:val="24"/>
        </w:rPr>
        <w:t>A</w:t>
      </w:r>
      <w:r w:rsidRPr="001E35A2">
        <w:rPr>
          <w:rFonts w:ascii="Times New Roman" w:hAnsi="Times New Roman" w:cs="Times New Roman"/>
          <w:sz w:val="24"/>
          <w:szCs w:val="24"/>
        </w:rPr>
        <w:t xml:space="preserve">fter the </w:t>
      </w:r>
      <w:r w:rsidR="00425268" w:rsidRPr="001E35A2">
        <w:rPr>
          <w:rFonts w:ascii="Times New Roman" w:hAnsi="Times New Roman" w:cs="Times New Roman"/>
          <w:sz w:val="24"/>
          <w:szCs w:val="24"/>
        </w:rPr>
        <w:t xml:space="preserve">US financial crisis </w:t>
      </w:r>
      <w:r w:rsidR="00C85640" w:rsidRPr="001E35A2">
        <w:rPr>
          <w:rFonts w:ascii="Times New Roman" w:hAnsi="Times New Roman" w:cs="Times New Roman"/>
          <w:sz w:val="24"/>
          <w:szCs w:val="24"/>
        </w:rPr>
        <w:t xml:space="preserve">in </w:t>
      </w:r>
      <w:r w:rsidRPr="001E35A2">
        <w:rPr>
          <w:rFonts w:ascii="Times New Roman" w:hAnsi="Times New Roman" w:cs="Times New Roman"/>
          <w:sz w:val="24"/>
          <w:szCs w:val="24"/>
        </w:rPr>
        <w:t>2008</w:t>
      </w:r>
      <w:r w:rsidR="00C85640" w:rsidRPr="001E35A2">
        <w:rPr>
          <w:rFonts w:ascii="Times New Roman" w:hAnsi="Times New Roman" w:cs="Times New Roman"/>
          <w:sz w:val="24"/>
          <w:szCs w:val="24"/>
        </w:rPr>
        <w:t>,</w:t>
      </w:r>
      <w:r w:rsidRPr="001E35A2">
        <w:rPr>
          <w:rFonts w:ascii="Times New Roman" w:hAnsi="Times New Roman" w:cs="Times New Roman"/>
          <w:sz w:val="24"/>
          <w:szCs w:val="24"/>
        </w:rPr>
        <w:t xml:space="preserve"> </w:t>
      </w:r>
      <w:r w:rsidR="006D2237" w:rsidRPr="001E35A2">
        <w:rPr>
          <w:rFonts w:ascii="Times New Roman" w:hAnsi="Times New Roman" w:cs="Times New Roman"/>
          <w:sz w:val="24"/>
          <w:szCs w:val="24"/>
        </w:rPr>
        <w:t>the US government bailed out the</w:t>
      </w:r>
      <w:r w:rsidR="00C85640" w:rsidRPr="001E35A2">
        <w:rPr>
          <w:rFonts w:ascii="Times New Roman" w:hAnsi="Times New Roman" w:cs="Times New Roman"/>
          <w:sz w:val="24"/>
          <w:szCs w:val="24"/>
        </w:rPr>
        <w:t xml:space="preserve"> automobile</w:t>
      </w:r>
      <w:r w:rsidR="006D2237" w:rsidRPr="001E35A2">
        <w:rPr>
          <w:rFonts w:ascii="Times New Roman" w:hAnsi="Times New Roman" w:cs="Times New Roman"/>
          <w:sz w:val="24"/>
          <w:szCs w:val="24"/>
        </w:rPr>
        <w:t xml:space="preserve"> industry at a cost of $80 billion, and restructured </w:t>
      </w:r>
      <w:r w:rsidRPr="001E35A2">
        <w:rPr>
          <w:rFonts w:ascii="Times New Roman" w:hAnsi="Times New Roman" w:cs="Times New Roman"/>
          <w:sz w:val="24"/>
          <w:szCs w:val="24"/>
        </w:rPr>
        <w:t>GM and Chrysler a</w:t>
      </w:r>
      <w:r w:rsidR="006D2237" w:rsidRPr="001E35A2">
        <w:rPr>
          <w:rFonts w:ascii="Times New Roman" w:hAnsi="Times New Roman" w:cs="Times New Roman"/>
          <w:sz w:val="24"/>
          <w:szCs w:val="24"/>
        </w:rPr>
        <w:t xml:space="preserve">fter they entered </w:t>
      </w:r>
      <w:r w:rsidRPr="001E35A2">
        <w:rPr>
          <w:rFonts w:ascii="Times New Roman" w:hAnsi="Times New Roman" w:cs="Times New Roman"/>
          <w:sz w:val="24"/>
          <w:szCs w:val="24"/>
        </w:rPr>
        <w:t>bankruptcy</w:t>
      </w:r>
      <w:r w:rsidR="006D2237" w:rsidRPr="001E35A2">
        <w:rPr>
          <w:rFonts w:ascii="Times New Roman" w:hAnsi="Times New Roman" w:cs="Times New Roman"/>
          <w:sz w:val="24"/>
          <w:szCs w:val="24"/>
        </w:rPr>
        <w:t xml:space="preserve"> in 2009</w:t>
      </w:r>
      <w:r w:rsidRPr="001E35A2">
        <w:rPr>
          <w:rFonts w:ascii="Times New Roman" w:hAnsi="Times New Roman" w:cs="Times New Roman"/>
          <w:sz w:val="24"/>
          <w:szCs w:val="24"/>
        </w:rPr>
        <w:t>.</w:t>
      </w:r>
    </w:p>
    <w:p w14:paraId="6D987CA5" w14:textId="10055041" w:rsidR="00D3402E" w:rsidRPr="001E35A2" w:rsidRDefault="00D3402E" w:rsidP="00D8533C">
      <w:pPr>
        <w:spacing w:line="480" w:lineRule="auto"/>
        <w:ind w:firstLine="720"/>
        <w:rPr>
          <w:rFonts w:ascii="Times New Roman" w:hAnsi="Times New Roman" w:cs="Times New Roman"/>
          <w:sz w:val="24"/>
          <w:szCs w:val="24"/>
        </w:rPr>
      </w:pPr>
      <w:r w:rsidRPr="001E35A2">
        <w:rPr>
          <w:rFonts w:ascii="Times New Roman" w:hAnsi="Times New Roman" w:cs="Times New Roman"/>
          <w:sz w:val="24"/>
          <w:szCs w:val="24"/>
        </w:rPr>
        <w:t>This study focuses on</w:t>
      </w:r>
      <w:r w:rsidR="00C85640" w:rsidRPr="001E35A2">
        <w:rPr>
          <w:rFonts w:ascii="Times New Roman" w:hAnsi="Times New Roman" w:cs="Times New Roman"/>
          <w:sz w:val="24"/>
          <w:szCs w:val="24"/>
        </w:rPr>
        <w:t xml:space="preserve"> the</w:t>
      </w:r>
      <w:r w:rsidRPr="001E35A2">
        <w:rPr>
          <w:rFonts w:ascii="Times New Roman" w:hAnsi="Times New Roman" w:cs="Times New Roman"/>
          <w:sz w:val="24"/>
          <w:szCs w:val="24"/>
        </w:rPr>
        <w:t xml:space="preserve"> implications of the erosion of the US automobile industry for the </w:t>
      </w:r>
      <w:r w:rsidR="009B0492" w:rsidRPr="001E35A2">
        <w:rPr>
          <w:rFonts w:ascii="Times New Roman" w:hAnsi="Times New Roman" w:cs="Times New Roman"/>
          <w:sz w:val="24"/>
          <w:szCs w:val="24"/>
        </w:rPr>
        <w:t>mental health and safety</w:t>
      </w:r>
      <w:r w:rsidRPr="001E35A2">
        <w:rPr>
          <w:rFonts w:ascii="Times New Roman" w:hAnsi="Times New Roman" w:cs="Times New Roman"/>
          <w:sz w:val="24"/>
          <w:szCs w:val="24"/>
        </w:rPr>
        <w:t xml:space="preserve"> of Michigan autoworkers who </w:t>
      </w:r>
      <w:r w:rsidR="009B3C63" w:rsidRPr="001E35A2">
        <w:rPr>
          <w:rFonts w:ascii="Times New Roman" w:hAnsi="Times New Roman" w:cs="Times New Roman"/>
          <w:sz w:val="24"/>
          <w:szCs w:val="24"/>
        </w:rPr>
        <w:t xml:space="preserve">faced potential </w:t>
      </w:r>
      <w:r w:rsidRPr="001E35A2">
        <w:rPr>
          <w:rFonts w:ascii="Times New Roman" w:hAnsi="Times New Roman" w:cs="Times New Roman"/>
          <w:sz w:val="24"/>
          <w:szCs w:val="24"/>
        </w:rPr>
        <w:t>job</w:t>
      </w:r>
      <w:r w:rsidR="009B3C63" w:rsidRPr="001E35A2">
        <w:rPr>
          <w:rFonts w:ascii="Times New Roman" w:hAnsi="Times New Roman" w:cs="Times New Roman"/>
          <w:sz w:val="24"/>
          <w:szCs w:val="24"/>
        </w:rPr>
        <w:t xml:space="preserve"> loss</w:t>
      </w:r>
      <w:r w:rsidRPr="001E35A2">
        <w:rPr>
          <w:rFonts w:ascii="Times New Roman" w:hAnsi="Times New Roman" w:cs="Times New Roman"/>
          <w:sz w:val="24"/>
          <w:szCs w:val="24"/>
        </w:rPr>
        <w:t xml:space="preserve">. </w:t>
      </w:r>
      <w:r w:rsidR="004A2435" w:rsidRPr="001E35A2">
        <w:rPr>
          <w:rFonts w:ascii="Times New Roman" w:hAnsi="Times New Roman" w:cs="Times New Roman"/>
          <w:sz w:val="24"/>
          <w:szCs w:val="24"/>
        </w:rPr>
        <w:t xml:space="preserve">Involuntary </w:t>
      </w:r>
      <w:r w:rsidR="00485D51" w:rsidRPr="001E35A2">
        <w:rPr>
          <w:rFonts w:ascii="Times New Roman" w:hAnsi="Times New Roman" w:cs="Times New Roman"/>
          <w:sz w:val="24"/>
          <w:szCs w:val="24"/>
        </w:rPr>
        <w:t>worker exit</w:t>
      </w:r>
      <w:r w:rsidR="004A2435" w:rsidRPr="001E35A2">
        <w:rPr>
          <w:rFonts w:ascii="Times New Roman" w:hAnsi="Times New Roman" w:cs="Times New Roman"/>
          <w:sz w:val="24"/>
          <w:szCs w:val="24"/>
        </w:rPr>
        <w:t xml:space="preserve"> has been found to have substantial effects o</w:t>
      </w:r>
      <w:r w:rsidR="00A402B9" w:rsidRPr="001E35A2">
        <w:rPr>
          <w:rFonts w:ascii="Times New Roman" w:hAnsi="Times New Roman" w:cs="Times New Roman"/>
          <w:sz w:val="24"/>
          <w:szCs w:val="24"/>
        </w:rPr>
        <w:t>n</w:t>
      </w:r>
      <w:r w:rsidR="004A2435" w:rsidRPr="001E35A2">
        <w:rPr>
          <w:rFonts w:ascii="Times New Roman" w:hAnsi="Times New Roman" w:cs="Times New Roman"/>
          <w:sz w:val="24"/>
          <w:szCs w:val="24"/>
        </w:rPr>
        <w:t xml:space="preserve"> depressive symptoms, even after adjusting for baseline health.</w:t>
      </w:r>
      <w:r w:rsidR="004A2435" w:rsidRPr="001E35A2">
        <w:rPr>
          <w:rFonts w:ascii="Times New Roman" w:hAnsi="Times New Roman" w:cs="Times New Roman"/>
          <w:sz w:val="24"/>
          <w:szCs w:val="24"/>
        </w:rPr>
        <w:fldChar w:fldCharType="begin" w:fldLock="1"/>
      </w:r>
      <w:r w:rsidR="00D5534F" w:rsidRPr="001E35A2">
        <w:rPr>
          <w:rFonts w:ascii="Times New Roman" w:hAnsi="Times New Roman" w:cs="Times New Roman"/>
          <w:sz w:val="24"/>
          <w:szCs w:val="24"/>
        </w:rPr>
        <w:instrText>ADDIN CSL_CITATION {"citationItems":[{"id":"ITEM-1","itemData":{"DOI":"10.1177/002214650704800403","ISBN":"00221465","ISSN":"0022-1465","PMID":"18198685","abstract":"Previous research has shown that involuntary job loss may have negative health consequences, but existing analyses have not adequately adjusted for health selection or other confounding factors that could reveal the association to be spurious. Using two large, population-based longitudinal samples of U.S. workers from the Americans' Changing Lives Study and the Wisconsin Longitudinal Study, this analysis goes further by using respondents' self-reports of the reasons for job loss and information about the timing of job losses and acute negative health shocks to distinguish health-related job losses from other involuntary job losses. Results suggest that even after adjustment for numerous social background characteristics and baseline health, involuntary job loss is associated with significantly poorer overall self-rated health and more depressive symptoms. More nuanced analyses reveal that among involuntary job losers, those who lose their jobs for health-related reasons have, not surprisingly, the most precipitous declines in health. Job losses for other reasons have substantive and statistically significant effects on depressive symptoms, while effects on self-rated poor health are relatively small.","author":[{"dropping-particle":"","family":"Burgard","given":"Sarah A","non-dropping-particle":"","parse-names":false,"suffix":""},{"dropping-particle":"","family":"Brand","given":"Jennie E","non-dropping-particle":"","parse-names":false,"suffix":""},{"dropping-particle":"","family":"House","given":"James S","non-dropping-particle":"","parse-names":false,"suffix":""}],"container-title":"Journal of Health and Social Behavior","id":"ITEM-1","issue":"4","issued":{"date-parts":[["2007"]]},"page":"369-384","title":"Toward a better estimation of the effect of job loss on health.","type":"article-journal","volume":"48"},"uris":["http://www.mendeley.com/documents/?uuid=955ef2fd-39cf-4ec7-ba73-dac325566ff6"]}],"mendeley":{"formattedCitation":"&lt;sup&gt;16&lt;/sup&gt;","plainTextFormattedCitation":"16","previouslyFormattedCitation":"&lt;sup&gt;16&lt;/sup&gt;"},"properties":{"noteIndex":0},"schema":"https://github.com/citation-style-language/schema/raw/master/csl-citation.json"}</w:instrText>
      </w:r>
      <w:r w:rsidR="004A2435" w:rsidRPr="001E35A2">
        <w:rPr>
          <w:rFonts w:ascii="Times New Roman" w:hAnsi="Times New Roman" w:cs="Times New Roman"/>
          <w:sz w:val="24"/>
          <w:szCs w:val="24"/>
        </w:rPr>
        <w:fldChar w:fldCharType="separate"/>
      </w:r>
      <w:r w:rsidR="005B305D" w:rsidRPr="001E35A2">
        <w:rPr>
          <w:rFonts w:ascii="Times New Roman" w:hAnsi="Times New Roman" w:cs="Times New Roman"/>
          <w:noProof/>
          <w:sz w:val="24"/>
          <w:szCs w:val="24"/>
          <w:vertAlign w:val="superscript"/>
        </w:rPr>
        <w:t>16</w:t>
      </w:r>
      <w:r w:rsidR="004A2435" w:rsidRPr="001E35A2">
        <w:rPr>
          <w:rFonts w:ascii="Times New Roman" w:hAnsi="Times New Roman" w:cs="Times New Roman"/>
          <w:sz w:val="24"/>
          <w:szCs w:val="24"/>
        </w:rPr>
        <w:fldChar w:fldCharType="end"/>
      </w:r>
      <w:r w:rsidR="004A2435" w:rsidRPr="001E35A2">
        <w:rPr>
          <w:rFonts w:ascii="Times New Roman" w:hAnsi="Times New Roman" w:cs="Times New Roman"/>
          <w:sz w:val="24"/>
          <w:szCs w:val="24"/>
        </w:rPr>
        <w:t xml:space="preserve"> </w:t>
      </w:r>
      <w:r w:rsidR="00182E98" w:rsidRPr="001E35A2">
        <w:rPr>
          <w:rFonts w:ascii="Times New Roman" w:hAnsi="Times New Roman" w:cs="Times New Roman"/>
          <w:sz w:val="24"/>
          <w:szCs w:val="24"/>
        </w:rPr>
        <w:t xml:space="preserve">Taking advantage of </w:t>
      </w:r>
      <w:r w:rsidRPr="001E35A2">
        <w:rPr>
          <w:rFonts w:ascii="Times New Roman" w:hAnsi="Times New Roman" w:cs="Times New Roman"/>
          <w:sz w:val="24"/>
          <w:szCs w:val="24"/>
        </w:rPr>
        <w:t xml:space="preserve">individual-level data from an existing study of </w:t>
      </w:r>
      <w:r w:rsidR="00182E98" w:rsidRPr="001E35A2">
        <w:rPr>
          <w:rFonts w:ascii="Times New Roman" w:hAnsi="Times New Roman" w:cs="Times New Roman"/>
          <w:sz w:val="24"/>
          <w:szCs w:val="24"/>
        </w:rPr>
        <w:t>a</w:t>
      </w:r>
      <w:r w:rsidRPr="001E35A2">
        <w:rPr>
          <w:rFonts w:ascii="Times New Roman" w:hAnsi="Times New Roman" w:cs="Times New Roman"/>
          <w:sz w:val="24"/>
          <w:szCs w:val="24"/>
        </w:rPr>
        <w:t xml:space="preserve"> United Autoworkers-General Motors (UAW-GM) cohort, </w:t>
      </w:r>
      <w:r w:rsidR="006D2237" w:rsidRPr="001E35A2">
        <w:rPr>
          <w:rFonts w:ascii="Times New Roman" w:hAnsi="Times New Roman" w:cs="Times New Roman"/>
          <w:sz w:val="24"/>
          <w:szCs w:val="24"/>
        </w:rPr>
        <w:t>we</w:t>
      </w:r>
      <w:r w:rsidRPr="001E35A2">
        <w:rPr>
          <w:rFonts w:ascii="Times New Roman" w:hAnsi="Times New Roman" w:cs="Times New Roman"/>
          <w:sz w:val="24"/>
          <w:szCs w:val="24"/>
        </w:rPr>
        <w:t xml:space="preserve"> examine associations between </w:t>
      </w:r>
      <w:r w:rsidR="00485D51" w:rsidRPr="001E35A2">
        <w:rPr>
          <w:rFonts w:ascii="Times New Roman" w:hAnsi="Times New Roman" w:cs="Times New Roman"/>
          <w:sz w:val="24"/>
          <w:szCs w:val="24"/>
        </w:rPr>
        <w:t xml:space="preserve">worker exit </w:t>
      </w:r>
      <w:r w:rsidRPr="001E35A2">
        <w:rPr>
          <w:rFonts w:ascii="Times New Roman" w:hAnsi="Times New Roman" w:cs="Times New Roman"/>
          <w:sz w:val="24"/>
          <w:szCs w:val="24"/>
        </w:rPr>
        <w:t xml:space="preserve">and risk of suicide and fatal overdose. </w:t>
      </w:r>
      <w:r w:rsidR="006D2237" w:rsidRPr="001E35A2">
        <w:rPr>
          <w:rFonts w:ascii="Times New Roman" w:hAnsi="Times New Roman" w:cs="Times New Roman"/>
          <w:sz w:val="24"/>
          <w:szCs w:val="24"/>
        </w:rPr>
        <w:t xml:space="preserve">The cohort includes workers </w:t>
      </w:r>
      <w:r w:rsidR="002C4F7E" w:rsidRPr="001E35A2">
        <w:rPr>
          <w:rFonts w:ascii="Times New Roman" w:hAnsi="Times New Roman" w:cs="Times New Roman"/>
          <w:sz w:val="24"/>
          <w:szCs w:val="24"/>
        </w:rPr>
        <w:t>at</w:t>
      </w:r>
      <w:r w:rsidR="006D2237" w:rsidRPr="001E35A2">
        <w:rPr>
          <w:rFonts w:ascii="Times New Roman" w:hAnsi="Times New Roman" w:cs="Times New Roman"/>
          <w:sz w:val="24"/>
          <w:szCs w:val="24"/>
        </w:rPr>
        <w:t xml:space="preserve"> three GM manufacturing facilities in Michigan</w:t>
      </w:r>
      <w:r w:rsidR="00D92509">
        <w:rPr>
          <w:rFonts w:ascii="Times New Roman" w:hAnsi="Times New Roman" w:cs="Times New Roman"/>
          <w:sz w:val="24"/>
          <w:szCs w:val="24"/>
        </w:rPr>
        <w:t>--</w:t>
      </w:r>
      <w:r w:rsidR="006D2237" w:rsidRPr="001E35A2">
        <w:rPr>
          <w:rFonts w:ascii="Times New Roman" w:hAnsi="Times New Roman" w:cs="Times New Roman"/>
          <w:sz w:val="24"/>
          <w:szCs w:val="24"/>
        </w:rPr>
        <w:t>one located in an urban center</w:t>
      </w:r>
      <w:r w:rsidR="00603656" w:rsidRPr="001E35A2">
        <w:rPr>
          <w:rFonts w:ascii="Times New Roman" w:hAnsi="Times New Roman" w:cs="Times New Roman"/>
          <w:sz w:val="24"/>
          <w:szCs w:val="24"/>
        </w:rPr>
        <w:t>,</w:t>
      </w:r>
      <w:r w:rsidR="006D2237" w:rsidRPr="001E35A2">
        <w:rPr>
          <w:rFonts w:ascii="Times New Roman" w:hAnsi="Times New Roman" w:cs="Times New Roman"/>
          <w:sz w:val="24"/>
          <w:szCs w:val="24"/>
        </w:rPr>
        <w:t xml:space="preserve"> </w:t>
      </w:r>
      <w:r w:rsidR="00603656" w:rsidRPr="001E35A2">
        <w:rPr>
          <w:rFonts w:ascii="Times New Roman" w:hAnsi="Times New Roman" w:cs="Times New Roman"/>
          <w:sz w:val="24"/>
          <w:szCs w:val="24"/>
        </w:rPr>
        <w:t>one in a</w:t>
      </w:r>
      <w:r w:rsidR="006D2237" w:rsidRPr="001E35A2">
        <w:rPr>
          <w:rFonts w:ascii="Times New Roman" w:hAnsi="Times New Roman" w:cs="Times New Roman"/>
          <w:sz w:val="24"/>
          <w:szCs w:val="24"/>
        </w:rPr>
        <w:t xml:space="preserve"> </w:t>
      </w:r>
      <w:r w:rsidR="009B3C63" w:rsidRPr="001E35A2">
        <w:rPr>
          <w:rFonts w:ascii="Times New Roman" w:hAnsi="Times New Roman" w:cs="Times New Roman"/>
          <w:sz w:val="24"/>
          <w:szCs w:val="24"/>
        </w:rPr>
        <w:t>more rural area</w:t>
      </w:r>
      <w:r w:rsidR="00603656" w:rsidRPr="001E35A2">
        <w:rPr>
          <w:rFonts w:ascii="Times New Roman" w:hAnsi="Times New Roman" w:cs="Times New Roman"/>
          <w:sz w:val="24"/>
          <w:szCs w:val="24"/>
        </w:rPr>
        <w:t>, and one in a small city</w:t>
      </w:r>
      <w:r w:rsidR="006D2237" w:rsidRPr="001E35A2">
        <w:rPr>
          <w:rFonts w:ascii="Times New Roman" w:hAnsi="Times New Roman" w:cs="Times New Roman"/>
          <w:sz w:val="24"/>
          <w:szCs w:val="24"/>
        </w:rPr>
        <w:t xml:space="preserve">. </w:t>
      </w:r>
      <w:r w:rsidRPr="001E35A2">
        <w:rPr>
          <w:rFonts w:ascii="Times New Roman" w:hAnsi="Times New Roman" w:cs="Times New Roman"/>
          <w:sz w:val="24"/>
          <w:szCs w:val="24"/>
        </w:rPr>
        <w:t xml:space="preserve">We </w:t>
      </w:r>
      <w:r w:rsidR="006D2237" w:rsidRPr="001E35A2">
        <w:rPr>
          <w:rFonts w:ascii="Times New Roman" w:hAnsi="Times New Roman" w:cs="Times New Roman"/>
          <w:sz w:val="24"/>
          <w:szCs w:val="24"/>
        </w:rPr>
        <w:t xml:space="preserve">focus on the </w:t>
      </w:r>
      <w:r w:rsidRPr="001E35A2">
        <w:rPr>
          <w:rFonts w:ascii="Times New Roman" w:hAnsi="Times New Roman" w:cs="Times New Roman"/>
          <w:sz w:val="24"/>
          <w:szCs w:val="24"/>
        </w:rPr>
        <w:t>period</w:t>
      </w:r>
      <w:r w:rsidR="006D2237" w:rsidRPr="001E35A2">
        <w:rPr>
          <w:rFonts w:ascii="Times New Roman" w:hAnsi="Times New Roman" w:cs="Times New Roman"/>
          <w:sz w:val="24"/>
          <w:szCs w:val="24"/>
        </w:rPr>
        <w:t xml:space="preserve"> since </w:t>
      </w:r>
      <w:r w:rsidR="00C5723E" w:rsidRPr="001E35A2">
        <w:rPr>
          <w:rFonts w:ascii="Times New Roman" w:hAnsi="Times New Roman" w:cs="Times New Roman"/>
          <w:sz w:val="24"/>
          <w:szCs w:val="24"/>
        </w:rPr>
        <w:t>the late</w:t>
      </w:r>
      <w:r w:rsidR="006273B1" w:rsidRPr="001E35A2">
        <w:rPr>
          <w:rFonts w:ascii="Times New Roman" w:hAnsi="Times New Roman" w:cs="Times New Roman"/>
          <w:sz w:val="24"/>
          <w:szCs w:val="24"/>
        </w:rPr>
        <w:t xml:space="preserve"> </w:t>
      </w:r>
      <w:r w:rsidR="006D2237" w:rsidRPr="001E35A2">
        <w:rPr>
          <w:rFonts w:ascii="Times New Roman" w:hAnsi="Times New Roman" w:cs="Times New Roman"/>
          <w:sz w:val="24"/>
          <w:szCs w:val="24"/>
        </w:rPr>
        <w:t>1970</w:t>
      </w:r>
      <w:r w:rsidR="00C5723E" w:rsidRPr="001E35A2">
        <w:rPr>
          <w:rFonts w:ascii="Times New Roman" w:hAnsi="Times New Roman" w:cs="Times New Roman"/>
          <w:sz w:val="24"/>
          <w:szCs w:val="24"/>
        </w:rPr>
        <w:t>s</w:t>
      </w:r>
      <w:r w:rsidRPr="001E35A2">
        <w:rPr>
          <w:rFonts w:ascii="Times New Roman" w:hAnsi="Times New Roman" w:cs="Times New Roman"/>
          <w:sz w:val="24"/>
          <w:szCs w:val="24"/>
        </w:rPr>
        <w:t xml:space="preserve"> t</w:t>
      </w:r>
      <w:r w:rsidR="009515DB" w:rsidRPr="001E35A2">
        <w:rPr>
          <w:rFonts w:ascii="Times New Roman" w:hAnsi="Times New Roman" w:cs="Times New Roman"/>
          <w:sz w:val="24"/>
          <w:szCs w:val="24"/>
        </w:rPr>
        <w:t xml:space="preserve">hat </w:t>
      </w:r>
      <w:r w:rsidRPr="001E35A2">
        <w:rPr>
          <w:rFonts w:ascii="Times New Roman" w:hAnsi="Times New Roman" w:cs="Times New Roman"/>
          <w:sz w:val="24"/>
          <w:szCs w:val="24"/>
        </w:rPr>
        <w:t>capture</w:t>
      </w:r>
      <w:r w:rsidR="009515DB" w:rsidRPr="001E35A2">
        <w:rPr>
          <w:rFonts w:ascii="Times New Roman" w:hAnsi="Times New Roman" w:cs="Times New Roman"/>
          <w:sz w:val="24"/>
          <w:szCs w:val="24"/>
        </w:rPr>
        <w:t>s</w:t>
      </w:r>
      <w:r w:rsidRPr="001E35A2">
        <w:rPr>
          <w:rFonts w:ascii="Times New Roman" w:hAnsi="Times New Roman" w:cs="Times New Roman"/>
          <w:sz w:val="24"/>
          <w:szCs w:val="24"/>
        </w:rPr>
        <w:t xml:space="preserve"> accelerat</w:t>
      </w:r>
      <w:r w:rsidR="009515DB" w:rsidRPr="001E35A2">
        <w:rPr>
          <w:rFonts w:ascii="Times New Roman" w:hAnsi="Times New Roman" w:cs="Times New Roman"/>
          <w:sz w:val="24"/>
          <w:szCs w:val="24"/>
        </w:rPr>
        <w:t>ion</w:t>
      </w:r>
      <w:r w:rsidRPr="001E35A2">
        <w:rPr>
          <w:rFonts w:ascii="Times New Roman" w:hAnsi="Times New Roman" w:cs="Times New Roman"/>
          <w:sz w:val="24"/>
          <w:szCs w:val="24"/>
        </w:rPr>
        <w:t xml:space="preserve"> </w:t>
      </w:r>
      <w:r w:rsidR="009515DB" w:rsidRPr="001E35A2">
        <w:rPr>
          <w:rFonts w:ascii="Times New Roman" w:hAnsi="Times New Roman" w:cs="Times New Roman"/>
          <w:sz w:val="24"/>
          <w:szCs w:val="24"/>
        </w:rPr>
        <w:t xml:space="preserve">in the </w:t>
      </w:r>
      <w:r w:rsidRPr="001E35A2">
        <w:rPr>
          <w:rFonts w:ascii="Times New Roman" w:hAnsi="Times New Roman" w:cs="Times New Roman"/>
          <w:sz w:val="24"/>
          <w:szCs w:val="24"/>
        </w:rPr>
        <w:t xml:space="preserve">decline </w:t>
      </w:r>
      <w:r w:rsidR="006D2237" w:rsidRPr="001E35A2">
        <w:rPr>
          <w:rFonts w:ascii="Times New Roman" w:hAnsi="Times New Roman" w:cs="Times New Roman"/>
          <w:sz w:val="24"/>
          <w:szCs w:val="24"/>
        </w:rPr>
        <w:t xml:space="preserve">of </w:t>
      </w:r>
      <w:r w:rsidR="00B82D6E" w:rsidRPr="001E35A2">
        <w:rPr>
          <w:rFonts w:ascii="Times New Roman" w:hAnsi="Times New Roman" w:cs="Times New Roman"/>
          <w:sz w:val="24"/>
          <w:szCs w:val="24"/>
        </w:rPr>
        <w:t>the industry</w:t>
      </w:r>
      <w:r w:rsidRPr="001E35A2">
        <w:rPr>
          <w:rFonts w:ascii="Times New Roman" w:hAnsi="Times New Roman" w:cs="Times New Roman"/>
          <w:sz w:val="24"/>
          <w:szCs w:val="24"/>
        </w:rPr>
        <w:t>. By the end of follow-up all three study plants had closed.</w:t>
      </w:r>
    </w:p>
    <w:bookmarkEnd w:id="3"/>
    <w:p w14:paraId="5EF3B18A" w14:textId="3C5E2524" w:rsidR="000A0FDB" w:rsidRPr="001E35A2" w:rsidRDefault="000A0FDB" w:rsidP="00D8533C">
      <w:pPr>
        <w:spacing w:line="480" w:lineRule="auto"/>
        <w:rPr>
          <w:rFonts w:ascii="Times New Roman" w:hAnsi="Times New Roman" w:cs="Times New Roman"/>
          <w:sz w:val="24"/>
          <w:szCs w:val="24"/>
        </w:rPr>
      </w:pPr>
      <w:r w:rsidRPr="001E35A2">
        <w:rPr>
          <w:rFonts w:ascii="Times New Roman" w:hAnsi="Times New Roman" w:cs="Times New Roman"/>
          <w:b/>
          <w:sz w:val="24"/>
          <w:szCs w:val="24"/>
        </w:rPr>
        <w:lastRenderedPageBreak/>
        <w:t>Methods</w:t>
      </w:r>
    </w:p>
    <w:p w14:paraId="39D4FD95" w14:textId="78E8C31A" w:rsidR="00886708" w:rsidRPr="001E35A2" w:rsidRDefault="009515DB" w:rsidP="00D8533C">
      <w:pPr>
        <w:spacing w:line="480" w:lineRule="auto"/>
        <w:ind w:firstLine="720"/>
        <w:rPr>
          <w:rFonts w:ascii="Times New Roman" w:hAnsi="Times New Roman" w:cs="Times New Roman"/>
          <w:sz w:val="24"/>
          <w:szCs w:val="24"/>
        </w:rPr>
      </w:pPr>
      <w:r w:rsidRPr="001E35A2">
        <w:rPr>
          <w:rFonts w:ascii="Times New Roman" w:hAnsi="Times New Roman" w:cs="Times New Roman"/>
          <w:sz w:val="24"/>
          <w:szCs w:val="24"/>
        </w:rPr>
        <w:t xml:space="preserve">The UAW-GM cohort mortality study was </w:t>
      </w:r>
      <w:r w:rsidR="00182E98" w:rsidRPr="001E35A2">
        <w:rPr>
          <w:rFonts w:ascii="Times New Roman" w:hAnsi="Times New Roman" w:cs="Times New Roman"/>
          <w:sz w:val="24"/>
          <w:szCs w:val="24"/>
        </w:rPr>
        <w:t xml:space="preserve">originally </w:t>
      </w:r>
      <w:r w:rsidRPr="001E35A2">
        <w:rPr>
          <w:rFonts w:ascii="Times New Roman" w:hAnsi="Times New Roman" w:cs="Times New Roman"/>
          <w:sz w:val="24"/>
          <w:szCs w:val="24"/>
        </w:rPr>
        <w:t xml:space="preserve">designed to assess the health effects of occupational exposures. </w:t>
      </w:r>
      <w:r w:rsidR="00381340" w:rsidRPr="001E35A2">
        <w:rPr>
          <w:rFonts w:ascii="Times New Roman" w:hAnsi="Times New Roman" w:cs="Times New Roman"/>
          <w:sz w:val="24"/>
          <w:szCs w:val="24"/>
        </w:rPr>
        <w:t>Details regarding the study have been described in previous publications.</w:t>
      </w:r>
      <w:r w:rsidR="00800375" w:rsidRPr="001E35A2">
        <w:rPr>
          <w:rFonts w:ascii="Times New Roman" w:hAnsi="Times New Roman" w:cs="Times New Roman"/>
          <w:sz w:val="24"/>
          <w:szCs w:val="24"/>
        </w:rPr>
        <w:fldChar w:fldCharType="begin" w:fldLock="1"/>
      </w:r>
      <w:r w:rsidR="00D5534F" w:rsidRPr="001E35A2">
        <w:rPr>
          <w:rFonts w:ascii="Times New Roman" w:hAnsi="Times New Roman" w:cs="Times New Roman"/>
          <w:sz w:val="24"/>
          <w:szCs w:val="24"/>
        </w:rPr>
        <w:instrText>ADDIN CSL_CITATION {"citationItems":[{"id":"ITEM-1","itemData":{"ISBN":"0271-3586 (Print)","PMID":"1463027","abstract":"Machining fluids are widely used in a variety of common industrial metalworking operations to lubricate and cool both the tool and the working surfaces. Previous studies have suggested elevated respiratory, digestive, and skin cancers in exposed populations. This cohort study was initiated to assess whether long-term exposure to machining fluids in the course of machining, grinding, and other cutting operations is associated with excess cancer mortality. The cohort includes more than 45,000 automobile production workers from 3 plants, almost 1 million years of follow-up, over 10,000 deaths, and an extensive exposure assessment component. Standardized mortality ratios (SMRs) have been estimated for each of the 3 plants, using both U.S. as well as local populations as reference. Relative risks of 1.2-3.1 have been observed for several specific respiratory and digestive cancers of a priori interest, including cancer of the stomach, large intestine, pancreas, lung, and larynx. In addition, elevated risks for leukemia and asthma were noted. Future exposure-response analyses will provide the opportunity to identify relatively modest excesses in cause-specific mortality risk associated with exposure to specific types (straight, soluble, or synthetic), additives, or components of machining fluids.","author":[{"dropping-particle":"","family":"Eisen","given":"E A","non-dropping-particle":"","parse-names":false,"suffix":""},{"dropping-particle":"","family":"Tolbert","given":"P E","non-dropping-particle":"","parse-names":false,"suffix":""},{"dropping-particle":"","family":"Monson","given":"R R","non-dropping-particle":"","parse-names":false,"suffix":""},{"dropping-particle":"","family":"Smith","given":"T J","non-dropping-particle":"","parse-names":false,"suffix":""}],"container-title":"Am J Ind Med","edition":"1992/01/01","id":"ITEM-1","issue":"6","issued":{"date-parts":[["1992"]]},"language":"eng","note":"Eisen, E A\nTolbert, P E\nMonson, R R\nSmith, T J\n2 P30 ES 00002/ES/NIEHS NIH HHS/United States\nResearch Support, Non-U.S. Gov't\nResearch Support, U.S. Gov't, P.H.S.\nUnited states\nAmerican journal of industrial medicine\nAm J Ind Med. 1992;22(6):809-24.","page":"809-824","title":"Mortality studies of machining fluid exposure in the automobile industry I: A standardized mortality ratio analysis","type":"article-journal","volume":"22"},"uris":["http://www.mendeley.com/documents/?uuid=086c2076-5c7c-463a-a32d-fde171ecc16e"]},{"id":"ITEM-2","itemData":{"ISBN":"0355-3140 (Print)","PMID":"11560338","abstract":"OBJECTIVE: This report describes the extended follow-up of a cohort of 46 399 automobile manufacturing workers with potential exposure to metalworking fluids (MWF). The outcomes of interest were cancers of the esophagus, stomach, colon, rectum, liver, pancreas, larynx, skin, prostate, and brain, as well as leukemia. Additional follow-up increased the power to detect modest elevations in mortality rates in association with specific types of MWF, including synthetic fluids not in widespread use until the 1970s. METHODS: Standardized mortality ratios (SMR) were computed for the most recent 10 years of follow-up, as well as for the entire study period. Adjusted relative risks (RR) were estimated in Poisson regression models with categorical variables for cumulative exposure to each type of MWF and in proportional hazards models with continuous exposure variables. RESULTS: Associations were found between straight MWF and esophageal, laryngeal and rectal cancer; soluble MWF and cancer of the esophagus, larynx, skin, and brain; synthetic MWF and cancer of the esophagus, liver, and prostate. The elevated RR values were modest in magnitude (1.5 to 2.0). SMR values were increased for stomach, liver, and pancreatic cancer and also for leukemia in the last 10 years of follow-up. The SMR values were also elevated for stomach and liver cancer among the persons recently hired. CONCLUSIONS: The results provide further evidence that exposure to metalworking fluids causes cancer among workers in automobile manufacturing. Although airborne exposures declined over the study period, this study suggests that modest risk of several digestive cancers, as well as prostatic cancer and leukemia, may persist at current levels of exposure to water-based metalworking fluids.","author":[{"dropping-particle":"","family":"Eisen","given":"E A","non-dropping-particle":"","parse-names":false,"suffix":""},{"dropping-particle":"","family":"Bardin","given":"J","non-dropping-particle":"","parse-names":false,"suffix":""},{"dropping-particle":"","family":"Gore","given":"R","non-dropping-particle":"","parse-names":false,"suffix":""},{"dropping-particle":"","family":"Woskie","given":"S R","non-dropping-particle":"","parse-names":false,"suffix":""},{"dropping-particle":"","family":"Hallock","given":"M F","non-dropping-particle":"","parse-names":false,"suffix":""},{"dropping-particle":"","family":"Monson","given":"R R","non-dropping-particle":"","parse-names":false,"suffix":""}],"container-title":"Scand J Work Environ Health","edition":"2001/09/19","id":"ITEM-2","issue":"4","issued":{"date-parts":[["2001"]]},"language":"eng","note":"Eisen, E A\nBardin, J\nGore, R\nWoskie, S R\nHallock, M F\nMonson, R R\nResearch Support, Non-U.S. Gov't\nFinland\nScandinavian journal of work, environment &amp;amp; health\nScand J Work Environ Health. 2001 Aug;27(4):240-9.","page":"240-249","title":"Exposure-response models based on extended follow-up of a cohort mortality study in the automobile industry","type":"article-journal","volume":"27"},"uris":["http://www.mendeley.com/documents/?uuid=5dad8c8b-6ff8-4eab-bc46-7e52b14cd6d8"]}],"mendeley":{"formattedCitation":"&lt;sup&gt;17,18&lt;/sup&gt;","plainTextFormattedCitation":"17,18","previouslyFormattedCitation":"&lt;sup&gt;17,18&lt;/sup&gt;"},"properties":{"noteIndex":0},"schema":"https://github.com/citation-style-language/schema/raw/master/csl-citation.json"}</w:instrText>
      </w:r>
      <w:r w:rsidR="00800375" w:rsidRPr="001E35A2">
        <w:rPr>
          <w:rFonts w:ascii="Times New Roman" w:hAnsi="Times New Roman" w:cs="Times New Roman"/>
          <w:sz w:val="24"/>
          <w:szCs w:val="24"/>
        </w:rPr>
        <w:fldChar w:fldCharType="separate"/>
      </w:r>
      <w:r w:rsidR="005B305D" w:rsidRPr="001E35A2">
        <w:rPr>
          <w:rFonts w:ascii="Times New Roman" w:hAnsi="Times New Roman" w:cs="Times New Roman"/>
          <w:noProof/>
          <w:sz w:val="24"/>
          <w:szCs w:val="24"/>
          <w:vertAlign w:val="superscript"/>
        </w:rPr>
        <w:t>17,18</w:t>
      </w:r>
      <w:r w:rsidR="00800375" w:rsidRPr="001E35A2">
        <w:rPr>
          <w:rFonts w:ascii="Times New Roman" w:hAnsi="Times New Roman" w:cs="Times New Roman"/>
          <w:sz w:val="24"/>
          <w:szCs w:val="24"/>
        </w:rPr>
        <w:fldChar w:fldCharType="end"/>
      </w:r>
      <w:r w:rsidR="00381340" w:rsidRPr="001E35A2">
        <w:rPr>
          <w:rFonts w:ascii="Times New Roman" w:hAnsi="Times New Roman" w:cs="Times New Roman"/>
          <w:sz w:val="24"/>
          <w:szCs w:val="24"/>
        </w:rPr>
        <w:t xml:space="preserve"> Here, we describe the </w:t>
      </w:r>
      <w:r w:rsidR="00182E98" w:rsidRPr="001E35A2">
        <w:rPr>
          <w:rFonts w:ascii="Times New Roman" w:hAnsi="Times New Roman" w:cs="Times New Roman"/>
          <w:sz w:val="24"/>
          <w:szCs w:val="24"/>
        </w:rPr>
        <w:t>more recent</w:t>
      </w:r>
      <w:r w:rsidR="005B305D" w:rsidRPr="001E35A2">
        <w:rPr>
          <w:rFonts w:ascii="Times New Roman" w:hAnsi="Times New Roman" w:cs="Times New Roman"/>
          <w:sz w:val="24"/>
          <w:szCs w:val="24"/>
        </w:rPr>
        <w:t xml:space="preserve">ly employed </w:t>
      </w:r>
      <w:r w:rsidR="00182E98" w:rsidRPr="001E35A2">
        <w:rPr>
          <w:rFonts w:ascii="Times New Roman" w:hAnsi="Times New Roman" w:cs="Times New Roman"/>
          <w:sz w:val="24"/>
          <w:szCs w:val="24"/>
        </w:rPr>
        <w:t>subset of the cohort included in this analysis</w:t>
      </w:r>
      <w:r w:rsidR="00381340" w:rsidRPr="001E35A2">
        <w:rPr>
          <w:rFonts w:ascii="Times New Roman" w:hAnsi="Times New Roman" w:cs="Times New Roman"/>
          <w:sz w:val="24"/>
          <w:szCs w:val="24"/>
        </w:rPr>
        <w:t>.</w:t>
      </w:r>
    </w:p>
    <w:p w14:paraId="5EB54175" w14:textId="47CA8728" w:rsidR="00381340" w:rsidRPr="001E35A2" w:rsidRDefault="00381340" w:rsidP="00D8533C">
      <w:pPr>
        <w:spacing w:line="480" w:lineRule="auto"/>
        <w:ind w:firstLine="720"/>
        <w:rPr>
          <w:rFonts w:ascii="Times New Roman" w:hAnsi="Times New Roman" w:cs="Times New Roman"/>
          <w:sz w:val="24"/>
          <w:szCs w:val="24"/>
        </w:rPr>
      </w:pPr>
      <w:r w:rsidRPr="001E35A2">
        <w:rPr>
          <w:rFonts w:ascii="Times New Roman" w:hAnsi="Times New Roman" w:cs="Times New Roman"/>
          <w:b/>
          <w:sz w:val="24"/>
          <w:szCs w:val="24"/>
        </w:rPr>
        <w:t>Study Population</w:t>
      </w:r>
      <w:r w:rsidRPr="001E35A2">
        <w:rPr>
          <w:rFonts w:ascii="Times New Roman" w:hAnsi="Times New Roman" w:cs="Times New Roman"/>
          <w:sz w:val="24"/>
          <w:szCs w:val="24"/>
        </w:rPr>
        <w:t>: The UAW-GM cohort includes all hourly workers identified through company records at three automobile manufacturing plants in Michigan who were hired between January 1</w:t>
      </w:r>
      <w:r w:rsidR="00CA24F0" w:rsidRPr="001E35A2">
        <w:rPr>
          <w:rFonts w:ascii="Times New Roman" w:hAnsi="Times New Roman" w:cs="Times New Roman"/>
          <w:sz w:val="24"/>
          <w:szCs w:val="24"/>
        </w:rPr>
        <w:t>,</w:t>
      </w:r>
      <w:r w:rsidRPr="001E35A2">
        <w:rPr>
          <w:rFonts w:ascii="Times New Roman" w:hAnsi="Times New Roman" w:cs="Times New Roman"/>
          <w:sz w:val="24"/>
          <w:szCs w:val="24"/>
        </w:rPr>
        <w:t xml:space="preserve"> 1938 and </w:t>
      </w:r>
      <w:r w:rsidR="00B208FC" w:rsidRPr="001E35A2">
        <w:rPr>
          <w:rFonts w:ascii="Times New Roman" w:hAnsi="Times New Roman" w:cs="Times New Roman"/>
          <w:sz w:val="24"/>
          <w:szCs w:val="24"/>
        </w:rPr>
        <w:t>December 31,</w:t>
      </w:r>
      <w:r w:rsidR="006B704B" w:rsidRPr="001E35A2">
        <w:rPr>
          <w:rFonts w:ascii="Times New Roman" w:hAnsi="Times New Roman" w:cs="Times New Roman"/>
          <w:sz w:val="24"/>
          <w:szCs w:val="24"/>
        </w:rPr>
        <w:t xml:space="preserve"> 198</w:t>
      </w:r>
      <w:r w:rsidR="00B208FC" w:rsidRPr="001E35A2">
        <w:rPr>
          <w:rFonts w:ascii="Times New Roman" w:hAnsi="Times New Roman" w:cs="Times New Roman"/>
          <w:sz w:val="24"/>
          <w:szCs w:val="24"/>
        </w:rPr>
        <w:t>2</w:t>
      </w:r>
      <w:r w:rsidR="00CF7600" w:rsidRPr="001E35A2">
        <w:rPr>
          <w:rFonts w:ascii="Times New Roman" w:hAnsi="Times New Roman" w:cs="Times New Roman"/>
          <w:sz w:val="24"/>
          <w:szCs w:val="24"/>
        </w:rPr>
        <w:t xml:space="preserve"> and worked for at least three years</w:t>
      </w:r>
      <w:r w:rsidRPr="001E35A2">
        <w:rPr>
          <w:rFonts w:ascii="Times New Roman" w:hAnsi="Times New Roman" w:cs="Times New Roman"/>
          <w:sz w:val="24"/>
          <w:szCs w:val="24"/>
        </w:rPr>
        <w:t xml:space="preserve">. </w:t>
      </w:r>
      <w:r w:rsidR="006B704B" w:rsidRPr="001E35A2">
        <w:rPr>
          <w:rFonts w:ascii="Times New Roman" w:hAnsi="Times New Roman" w:cs="Times New Roman"/>
          <w:sz w:val="24"/>
          <w:szCs w:val="24"/>
        </w:rPr>
        <w:t>The study population for this analysis includes</w:t>
      </w:r>
      <w:r w:rsidR="00CA24F0" w:rsidRPr="001E35A2">
        <w:rPr>
          <w:rFonts w:ascii="Times New Roman" w:hAnsi="Times New Roman" w:cs="Times New Roman"/>
          <w:sz w:val="24"/>
          <w:szCs w:val="24"/>
        </w:rPr>
        <w:t xml:space="preserve"> </w:t>
      </w:r>
      <w:r w:rsidR="006B704B" w:rsidRPr="001E35A2">
        <w:rPr>
          <w:rFonts w:ascii="Times New Roman" w:hAnsi="Times New Roman" w:cs="Times New Roman"/>
          <w:sz w:val="24"/>
          <w:szCs w:val="24"/>
        </w:rPr>
        <w:t>the more recent sub</w:t>
      </w:r>
      <w:r w:rsidR="00495E27" w:rsidRPr="001E35A2">
        <w:rPr>
          <w:rFonts w:ascii="Times New Roman" w:hAnsi="Times New Roman" w:cs="Times New Roman"/>
          <w:sz w:val="24"/>
          <w:szCs w:val="24"/>
        </w:rPr>
        <w:t xml:space="preserve">group </w:t>
      </w:r>
      <w:r w:rsidR="006B704B" w:rsidRPr="001E35A2">
        <w:rPr>
          <w:rFonts w:ascii="Times New Roman" w:hAnsi="Times New Roman" w:cs="Times New Roman"/>
          <w:sz w:val="24"/>
          <w:szCs w:val="24"/>
        </w:rPr>
        <w:t xml:space="preserve">employed in 1970 or later. </w:t>
      </w:r>
      <w:r w:rsidR="005302AD" w:rsidRPr="001E35A2">
        <w:rPr>
          <w:rFonts w:ascii="Times New Roman" w:hAnsi="Times New Roman" w:cs="Times New Roman"/>
          <w:sz w:val="24"/>
          <w:szCs w:val="24"/>
        </w:rPr>
        <w:t xml:space="preserve">Plant 1, located in the </w:t>
      </w:r>
      <w:r w:rsidR="00C5723E" w:rsidRPr="001E35A2">
        <w:rPr>
          <w:rFonts w:ascii="Times New Roman" w:hAnsi="Times New Roman" w:cs="Times New Roman"/>
          <w:sz w:val="24"/>
          <w:szCs w:val="24"/>
        </w:rPr>
        <w:t xml:space="preserve">urban center </w:t>
      </w:r>
      <w:r w:rsidR="005302AD" w:rsidRPr="001E35A2">
        <w:rPr>
          <w:rFonts w:ascii="Times New Roman" w:hAnsi="Times New Roman" w:cs="Times New Roman"/>
          <w:sz w:val="24"/>
          <w:szCs w:val="24"/>
        </w:rPr>
        <w:t xml:space="preserve">of Detroit, </w:t>
      </w:r>
      <w:proofErr w:type="gramStart"/>
      <w:r w:rsidR="005302AD" w:rsidRPr="001E35A2">
        <w:rPr>
          <w:rFonts w:ascii="Times New Roman" w:hAnsi="Times New Roman" w:cs="Times New Roman"/>
          <w:sz w:val="24"/>
          <w:szCs w:val="24"/>
        </w:rPr>
        <w:t>employed</w:t>
      </w:r>
      <w:proofErr w:type="gramEnd"/>
      <w:r w:rsidR="005302AD" w:rsidRPr="001E35A2">
        <w:rPr>
          <w:rFonts w:ascii="Times New Roman" w:hAnsi="Times New Roman" w:cs="Times New Roman"/>
          <w:sz w:val="24"/>
          <w:szCs w:val="24"/>
        </w:rPr>
        <w:t xml:space="preserve"> almost all the Black subjects in the cohort. Plant 2 was located 50 miles west in a small town best known as the site of the Willow Run manufacturing complex during World War II.</w:t>
      </w:r>
      <w:r w:rsidR="00603656" w:rsidRPr="001E35A2">
        <w:rPr>
          <w:rFonts w:ascii="Times New Roman" w:hAnsi="Times New Roman" w:cs="Times New Roman"/>
          <w:sz w:val="24"/>
          <w:szCs w:val="24"/>
        </w:rPr>
        <w:fldChar w:fldCharType="begin" w:fldLock="1"/>
      </w:r>
      <w:r w:rsidR="00D5534F" w:rsidRPr="001E35A2">
        <w:rPr>
          <w:rFonts w:ascii="Times New Roman" w:hAnsi="Times New Roman" w:cs="Times New Roman"/>
          <w:sz w:val="24"/>
          <w:szCs w:val="24"/>
        </w:rPr>
        <w:instrText>ADDIN CSL_CITATION {"citationItems":[{"id":"ITEM-1","itemData":{"author":[{"dropping-particle":"","family":"Baime","given":"AJ","non-dropping-particle":"","parse-names":false,"suffix":""}],"id":"ITEM-1","issued":{"date-parts":[["2014"]]},"publisher":"Houghton Mifflin Harcourt","title":"The arsenal of democracy: FDR, Detroit, and an epic quest to arm an America at war","type":"book"},"uris":["http://www.mendeley.com/documents/?uuid=3d4ec0ef-157c-4357-b2ab-d0194fdeb43a"]}],"mendeley":{"formattedCitation":"&lt;sup&gt;19&lt;/sup&gt;","plainTextFormattedCitation":"19","previouslyFormattedCitation":"&lt;sup&gt;19&lt;/sup&gt;"},"properties":{"noteIndex":0},"schema":"https://github.com/citation-style-language/schema/raw/master/csl-citation.json"}</w:instrText>
      </w:r>
      <w:r w:rsidR="00603656" w:rsidRPr="001E35A2">
        <w:rPr>
          <w:rFonts w:ascii="Times New Roman" w:hAnsi="Times New Roman" w:cs="Times New Roman"/>
          <w:sz w:val="24"/>
          <w:szCs w:val="24"/>
        </w:rPr>
        <w:fldChar w:fldCharType="separate"/>
      </w:r>
      <w:r w:rsidR="005B305D" w:rsidRPr="001E35A2">
        <w:rPr>
          <w:rFonts w:ascii="Times New Roman" w:hAnsi="Times New Roman" w:cs="Times New Roman"/>
          <w:noProof/>
          <w:sz w:val="24"/>
          <w:szCs w:val="24"/>
          <w:vertAlign w:val="superscript"/>
        </w:rPr>
        <w:t>19</w:t>
      </w:r>
      <w:r w:rsidR="00603656" w:rsidRPr="001E35A2">
        <w:rPr>
          <w:rFonts w:ascii="Times New Roman" w:hAnsi="Times New Roman" w:cs="Times New Roman"/>
          <w:sz w:val="24"/>
          <w:szCs w:val="24"/>
        </w:rPr>
        <w:fldChar w:fldCharType="end"/>
      </w:r>
      <w:r w:rsidR="005302AD" w:rsidRPr="001E35A2">
        <w:rPr>
          <w:rFonts w:ascii="Times New Roman" w:hAnsi="Times New Roman" w:cs="Times New Roman"/>
          <w:sz w:val="24"/>
          <w:szCs w:val="24"/>
        </w:rPr>
        <w:t xml:space="preserve"> Plant 3 was further upstate in a once thriving lumber and manufacturing center that suffered high unemployment and population loss in the late 1900s. </w:t>
      </w:r>
      <w:r w:rsidRPr="001E35A2">
        <w:rPr>
          <w:rFonts w:ascii="Times New Roman" w:hAnsi="Times New Roman" w:cs="Times New Roman"/>
          <w:sz w:val="24"/>
          <w:szCs w:val="24"/>
        </w:rPr>
        <w:t xml:space="preserve">Mortality follow-up </w:t>
      </w:r>
      <w:r w:rsidR="00337373" w:rsidRPr="001E35A2">
        <w:rPr>
          <w:rFonts w:ascii="Times New Roman" w:hAnsi="Times New Roman" w:cs="Times New Roman"/>
          <w:sz w:val="24"/>
          <w:szCs w:val="24"/>
        </w:rPr>
        <w:t xml:space="preserve">starts </w:t>
      </w:r>
      <w:r w:rsidR="00B208FC" w:rsidRPr="001E35A2">
        <w:rPr>
          <w:rFonts w:ascii="Times New Roman" w:hAnsi="Times New Roman" w:cs="Times New Roman"/>
          <w:sz w:val="24"/>
          <w:szCs w:val="24"/>
        </w:rPr>
        <w:t>in 1970 or three years after date of hire, whichever comes later</w:t>
      </w:r>
      <w:r w:rsidR="00337373" w:rsidRPr="001E35A2">
        <w:rPr>
          <w:rFonts w:ascii="Times New Roman" w:hAnsi="Times New Roman" w:cs="Times New Roman"/>
          <w:sz w:val="24"/>
          <w:szCs w:val="24"/>
        </w:rPr>
        <w:t xml:space="preserve">, and </w:t>
      </w:r>
      <w:r w:rsidR="00C5723E" w:rsidRPr="001E35A2">
        <w:rPr>
          <w:rFonts w:ascii="Times New Roman" w:hAnsi="Times New Roman" w:cs="Times New Roman"/>
          <w:sz w:val="24"/>
          <w:szCs w:val="24"/>
        </w:rPr>
        <w:t>ends in</w:t>
      </w:r>
      <w:r w:rsidR="00E876BE" w:rsidRPr="001E35A2">
        <w:rPr>
          <w:rFonts w:ascii="Times New Roman" w:hAnsi="Times New Roman" w:cs="Times New Roman"/>
          <w:sz w:val="24"/>
          <w:szCs w:val="24"/>
        </w:rPr>
        <w:t xml:space="preserve"> </w:t>
      </w:r>
      <w:r w:rsidRPr="001E35A2">
        <w:rPr>
          <w:rFonts w:ascii="Times New Roman" w:hAnsi="Times New Roman" w:cs="Times New Roman"/>
          <w:sz w:val="24"/>
          <w:szCs w:val="24"/>
        </w:rPr>
        <w:t>2015</w:t>
      </w:r>
      <w:r w:rsidR="0051562E" w:rsidRPr="001E35A2">
        <w:rPr>
          <w:rFonts w:ascii="Times New Roman" w:hAnsi="Times New Roman" w:cs="Times New Roman"/>
          <w:sz w:val="24"/>
          <w:szCs w:val="24"/>
        </w:rPr>
        <w:t>.</w:t>
      </w:r>
      <w:r w:rsidRPr="001E35A2">
        <w:rPr>
          <w:rFonts w:ascii="Times New Roman" w:hAnsi="Times New Roman" w:cs="Times New Roman"/>
          <w:sz w:val="24"/>
          <w:szCs w:val="24"/>
        </w:rPr>
        <w:t xml:space="preserve"> </w:t>
      </w:r>
      <w:r w:rsidR="00CF7600" w:rsidRPr="001E35A2">
        <w:rPr>
          <w:rFonts w:ascii="Times New Roman" w:hAnsi="Times New Roman" w:cs="Times New Roman"/>
          <w:sz w:val="24"/>
          <w:szCs w:val="24"/>
        </w:rPr>
        <w:t>L</w:t>
      </w:r>
      <w:r w:rsidRPr="001E35A2">
        <w:rPr>
          <w:rFonts w:ascii="Times New Roman" w:hAnsi="Times New Roman" w:cs="Times New Roman"/>
          <w:sz w:val="24"/>
          <w:szCs w:val="24"/>
        </w:rPr>
        <w:t>ess than 0.</w:t>
      </w:r>
      <w:r w:rsidR="0084639F" w:rsidRPr="001E35A2">
        <w:rPr>
          <w:rFonts w:ascii="Times New Roman" w:hAnsi="Times New Roman" w:cs="Times New Roman"/>
          <w:sz w:val="24"/>
          <w:szCs w:val="24"/>
        </w:rPr>
        <w:t>6</w:t>
      </w:r>
      <w:r w:rsidRPr="001E35A2">
        <w:rPr>
          <w:rFonts w:ascii="Times New Roman" w:hAnsi="Times New Roman" w:cs="Times New Roman"/>
          <w:sz w:val="24"/>
          <w:szCs w:val="24"/>
        </w:rPr>
        <w:t xml:space="preserve">% of the </w:t>
      </w:r>
      <w:r w:rsidR="00756738" w:rsidRPr="001E35A2">
        <w:rPr>
          <w:rFonts w:ascii="Times New Roman" w:hAnsi="Times New Roman" w:cs="Times New Roman"/>
          <w:sz w:val="24"/>
          <w:szCs w:val="24"/>
        </w:rPr>
        <w:t xml:space="preserve">subjects </w:t>
      </w:r>
      <w:r w:rsidR="00CA24F0" w:rsidRPr="001E35A2">
        <w:rPr>
          <w:rFonts w:ascii="Times New Roman" w:hAnsi="Times New Roman" w:cs="Times New Roman"/>
          <w:sz w:val="24"/>
          <w:szCs w:val="24"/>
        </w:rPr>
        <w:t>were</w:t>
      </w:r>
      <w:r w:rsidR="00E876BE" w:rsidRPr="001E35A2">
        <w:rPr>
          <w:rFonts w:ascii="Times New Roman" w:hAnsi="Times New Roman" w:cs="Times New Roman"/>
          <w:sz w:val="24"/>
          <w:szCs w:val="24"/>
        </w:rPr>
        <w:t xml:space="preserve"> </w:t>
      </w:r>
      <w:r w:rsidRPr="001E35A2">
        <w:rPr>
          <w:rFonts w:ascii="Times New Roman" w:hAnsi="Times New Roman" w:cs="Times New Roman"/>
          <w:sz w:val="24"/>
          <w:szCs w:val="24"/>
        </w:rPr>
        <w:t>lost to follow-up.</w:t>
      </w:r>
    </w:p>
    <w:p w14:paraId="0167DE24" w14:textId="7AF5301B" w:rsidR="005302AD" w:rsidRPr="001E35A2" w:rsidRDefault="00A41B55" w:rsidP="00D8533C">
      <w:pPr>
        <w:spacing w:line="480" w:lineRule="auto"/>
        <w:ind w:firstLine="720"/>
        <w:rPr>
          <w:rFonts w:ascii="Times New Roman" w:hAnsi="Times New Roman" w:cs="Times New Roman"/>
          <w:sz w:val="24"/>
          <w:szCs w:val="24"/>
        </w:rPr>
      </w:pPr>
      <w:r w:rsidRPr="001E35A2">
        <w:rPr>
          <w:rFonts w:ascii="Times New Roman" w:hAnsi="Times New Roman" w:cs="Times New Roman"/>
          <w:b/>
          <w:sz w:val="24"/>
          <w:szCs w:val="24"/>
        </w:rPr>
        <w:t>Exposure</w:t>
      </w:r>
      <w:r w:rsidRPr="001E35A2">
        <w:rPr>
          <w:rFonts w:ascii="Times New Roman" w:hAnsi="Times New Roman" w:cs="Times New Roman"/>
          <w:sz w:val="24"/>
          <w:szCs w:val="24"/>
        </w:rPr>
        <w:t xml:space="preserve">: </w:t>
      </w:r>
      <w:bookmarkStart w:id="4" w:name="_Hlk33192121"/>
      <w:r w:rsidR="00C5723E" w:rsidRPr="001E35A2">
        <w:rPr>
          <w:rFonts w:ascii="Times New Roman" w:hAnsi="Times New Roman" w:cs="Times New Roman"/>
          <w:sz w:val="24"/>
          <w:szCs w:val="24"/>
        </w:rPr>
        <w:t>The</w:t>
      </w:r>
      <w:r w:rsidR="00F214A2" w:rsidRPr="001E35A2">
        <w:rPr>
          <w:rFonts w:ascii="Times New Roman" w:hAnsi="Times New Roman" w:cs="Times New Roman"/>
          <w:sz w:val="24"/>
          <w:szCs w:val="24"/>
        </w:rPr>
        <w:t xml:space="preserve"> primary exposure is </w:t>
      </w:r>
      <w:r w:rsidR="00E876BE" w:rsidRPr="001E35A2">
        <w:rPr>
          <w:rFonts w:ascii="Times New Roman" w:hAnsi="Times New Roman" w:cs="Times New Roman"/>
          <w:sz w:val="24"/>
          <w:szCs w:val="24"/>
        </w:rPr>
        <w:t xml:space="preserve">worker exit, defined as employment termination at the three plants, and </w:t>
      </w:r>
      <w:r w:rsidR="00F214A2" w:rsidRPr="001E35A2">
        <w:rPr>
          <w:rFonts w:ascii="Times New Roman" w:hAnsi="Times New Roman" w:cs="Times New Roman"/>
          <w:sz w:val="24"/>
          <w:szCs w:val="24"/>
        </w:rPr>
        <w:t>measured in two ways</w:t>
      </w:r>
      <w:r w:rsidR="005302AD" w:rsidRPr="001E35A2">
        <w:rPr>
          <w:rFonts w:ascii="Times New Roman" w:hAnsi="Times New Roman" w:cs="Times New Roman"/>
          <w:sz w:val="24"/>
          <w:szCs w:val="24"/>
        </w:rPr>
        <w:t>.</w:t>
      </w:r>
      <w:r w:rsidR="00F214A2" w:rsidRPr="001E35A2">
        <w:rPr>
          <w:rFonts w:ascii="Times New Roman" w:hAnsi="Times New Roman" w:cs="Times New Roman"/>
          <w:sz w:val="24"/>
          <w:szCs w:val="24"/>
        </w:rPr>
        <w:t xml:space="preserve"> </w:t>
      </w:r>
      <w:r w:rsidR="00C85640" w:rsidRPr="001E35A2">
        <w:rPr>
          <w:rFonts w:ascii="Times New Roman" w:hAnsi="Times New Roman" w:cs="Times New Roman"/>
          <w:sz w:val="24"/>
          <w:szCs w:val="24"/>
        </w:rPr>
        <w:t>First</w:t>
      </w:r>
      <w:r w:rsidR="005302AD" w:rsidRPr="001E35A2">
        <w:rPr>
          <w:rFonts w:ascii="Times New Roman" w:hAnsi="Times New Roman" w:cs="Times New Roman"/>
          <w:sz w:val="24"/>
          <w:szCs w:val="24"/>
        </w:rPr>
        <w:t>,</w:t>
      </w:r>
      <w:r w:rsidR="00C85640" w:rsidRPr="001E35A2">
        <w:rPr>
          <w:rFonts w:ascii="Times New Roman" w:hAnsi="Times New Roman" w:cs="Times New Roman"/>
          <w:sz w:val="24"/>
          <w:szCs w:val="24"/>
        </w:rPr>
        <w:t xml:space="preserve"> we used</w:t>
      </w:r>
      <w:r w:rsidR="005302AD" w:rsidRPr="001E35A2">
        <w:rPr>
          <w:rFonts w:ascii="Times New Roman" w:hAnsi="Times New Roman" w:cs="Times New Roman"/>
          <w:sz w:val="24"/>
          <w:szCs w:val="24"/>
        </w:rPr>
        <w:t xml:space="preserve"> </w:t>
      </w:r>
      <w:r w:rsidR="00F214A2" w:rsidRPr="001E35A2">
        <w:rPr>
          <w:rFonts w:ascii="Times New Roman" w:hAnsi="Times New Roman" w:cs="Times New Roman"/>
          <w:sz w:val="24"/>
          <w:szCs w:val="24"/>
        </w:rPr>
        <w:t>time-varying employment status (active or inactive)</w:t>
      </w:r>
      <w:r w:rsidR="00F16255" w:rsidRPr="001E35A2">
        <w:rPr>
          <w:rFonts w:ascii="Times New Roman" w:hAnsi="Times New Roman" w:cs="Times New Roman"/>
          <w:sz w:val="24"/>
          <w:szCs w:val="24"/>
        </w:rPr>
        <w:t xml:space="preserve"> </w:t>
      </w:r>
      <w:r w:rsidR="00E31E2E" w:rsidRPr="001E35A2">
        <w:rPr>
          <w:rFonts w:ascii="Times New Roman" w:hAnsi="Times New Roman" w:cs="Times New Roman"/>
          <w:sz w:val="24"/>
          <w:szCs w:val="24"/>
        </w:rPr>
        <w:t xml:space="preserve">as an indicator of </w:t>
      </w:r>
      <w:r w:rsidR="0032043C" w:rsidRPr="001E35A2">
        <w:rPr>
          <w:rFonts w:ascii="Times New Roman" w:hAnsi="Times New Roman" w:cs="Times New Roman"/>
          <w:sz w:val="24"/>
          <w:szCs w:val="24"/>
        </w:rPr>
        <w:t>leaving work</w:t>
      </w:r>
      <w:r w:rsidR="00F214A2" w:rsidRPr="001E35A2">
        <w:rPr>
          <w:rFonts w:ascii="Times New Roman" w:hAnsi="Times New Roman" w:cs="Times New Roman"/>
          <w:sz w:val="24"/>
          <w:szCs w:val="24"/>
        </w:rPr>
        <w:t xml:space="preserve">. </w:t>
      </w:r>
      <w:r w:rsidR="00337373" w:rsidRPr="001E35A2">
        <w:rPr>
          <w:rFonts w:ascii="Times New Roman" w:hAnsi="Times New Roman" w:cs="Times New Roman"/>
          <w:sz w:val="24"/>
          <w:szCs w:val="24"/>
        </w:rPr>
        <w:t>The binary variable equals 0 until the year of termination and 1 thereafter.</w:t>
      </w:r>
    </w:p>
    <w:p w14:paraId="1506AFE4" w14:textId="3FAFE7F1" w:rsidR="00AF6E48" w:rsidRPr="001E35A2" w:rsidRDefault="00C5723E" w:rsidP="00D8533C">
      <w:pPr>
        <w:spacing w:line="480" w:lineRule="auto"/>
        <w:ind w:firstLine="720"/>
        <w:rPr>
          <w:rFonts w:ascii="Times New Roman" w:hAnsi="Times New Roman" w:cs="Times New Roman"/>
          <w:sz w:val="24"/>
          <w:szCs w:val="24"/>
        </w:rPr>
      </w:pPr>
      <w:r w:rsidRPr="001E35A2">
        <w:rPr>
          <w:rFonts w:ascii="Times New Roman" w:hAnsi="Times New Roman" w:cs="Times New Roman"/>
          <w:sz w:val="24"/>
          <w:szCs w:val="24"/>
        </w:rPr>
        <w:t>In</w:t>
      </w:r>
      <w:r w:rsidR="005302AD" w:rsidRPr="001E35A2">
        <w:rPr>
          <w:rFonts w:ascii="Times New Roman" w:hAnsi="Times New Roman" w:cs="Times New Roman"/>
          <w:sz w:val="24"/>
          <w:szCs w:val="24"/>
        </w:rPr>
        <w:t xml:space="preserve"> the second</w:t>
      </w:r>
      <w:r w:rsidRPr="001E35A2">
        <w:rPr>
          <w:rFonts w:ascii="Times New Roman" w:hAnsi="Times New Roman" w:cs="Times New Roman"/>
          <w:sz w:val="24"/>
          <w:szCs w:val="24"/>
        </w:rPr>
        <w:t xml:space="preserve"> analysis</w:t>
      </w:r>
      <w:r w:rsidR="005302AD" w:rsidRPr="001E35A2">
        <w:rPr>
          <w:rFonts w:ascii="Times New Roman" w:hAnsi="Times New Roman" w:cs="Times New Roman"/>
          <w:sz w:val="24"/>
          <w:szCs w:val="24"/>
        </w:rPr>
        <w:t>, w</w:t>
      </w:r>
      <w:r w:rsidR="00F214A2" w:rsidRPr="001E35A2">
        <w:rPr>
          <w:rFonts w:ascii="Times New Roman" w:hAnsi="Times New Roman" w:cs="Times New Roman"/>
          <w:sz w:val="24"/>
          <w:szCs w:val="24"/>
        </w:rPr>
        <w:t xml:space="preserve">e </w:t>
      </w:r>
      <w:r w:rsidR="00E31E2E" w:rsidRPr="001E35A2">
        <w:rPr>
          <w:rFonts w:ascii="Times New Roman" w:hAnsi="Times New Roman" w:cs="Times New Roman"/>
          <w:sz w:val="24"/>
          <w:szCs w:val="24"/>
        </w:rPr>
        <w:t xml:space="preserve">defined </w:t>
      </w:r>
      <w:r w:rsidR="00E876BE" w:rsidRPr="001E35A2">
        <w:rPr>
          <w:rFonts w:ascii="Times New Roman" w:hAnsi="Times New Roman" w:cs="Times New Roman"/>
          <w:sz w:val="24"/>
          <w:szCs w:val="24"/>
        </w:rPr>
        <w:t xml:space="preserve">exposure as the </w:t>
      </w:r>
      <w:r w:rsidR="00E31E2E" w:rsidRPr="001E35A2">
        <w:rPr>
          <w:rFonts w:ascii="Times New Roman" w:hAnsi="Times New Roman" w:cs="Times New Roman"/>
          <w:sz w:val="24"/>
          <w:szCs w:val="24"/>
        </w:rPr>
        <w:t xml:space="preserve">age at </w:t>
      </w:r>
      <w:r w:rsidRPr="001E35A2">
        <w:rPr>
          <w:rFonts w:ascii="Times New Roman" w:hAnsi="Times New Roman" w:cs="Times New Roman"/>
          <w:sz w:val="24"/>
          <w:szCs w:val="24"/>
        </w:rPr>
        <w:t xml:space="preserve">worker </w:t>
      </w:r>
      <w:r w:rsidR="00E876BE" w:rsidRPr="001E35A2">
        <w:rPr>
          <w:rFonts w:ascii="Times New Roman" w:hAnsi="Times New Roman" w:cs="Times New Roman"/>
          <w:sz w:val="24"/>
          <w:szCs w:val="24"/>
        </w:rPr>
        <w:t xml:space="preserve">exit </w:t>
      </w:r>
      <w:r w:rsidR="00E31E2E" w:rsidRPr="001E35A2">
        <w:rPr>
          <w:rFonts w:ascii="Times New Roman" w:hAnsi="Times New Roman" w:cs="Times New Roman"/>
          <w:sz w:val="24"/>
          <w:szCs w:val="24"/>
        </w:rPr>
        <w:t xml:space="preserve">in order to </w:t>
      </w:r>
      <w:r w:rsidR="000A0FD5" w:rsidRPr="001E35A2">
        <w:rPr>
          <w:rFonts w:ascii="Times New Roman" w:hAnsi="Times New Roman" w:cs="Times New Roman"/>
          <w:sz w:val="24"/>
          <w:szCs w:val="24"/>
        </w:rPr>
        <w:t xml:space="preserve">distinguish retirement from </w:t>
      </w:r>
      <w:r w:rsidRPr="001E35A2">
        <w:rPr>
          <w:rFonts w:ascii="Times New Roman" w:hAnsi="Times New Roman" w:cs="Times New Roman"/>
          <w:sz w:val="24"/>
          <w:szCs w:val="24"/>
        </w:rPr>
        <w:t xml:space="preserve">early worker exit. </w:t>
      </w:r>
      <w:bookmarkEnd w:id="4"/>
      <w:r w:rsidR="005302AD" w:rsidRPr="001E35A2">
        <w:rPr>
          <w:rFonts w:ascii="Times New Roman" w:hAnsi="Times New Roman" w:cs="Times New Roman"/>
          <w:sz w:val="24"/>
          <w:szCs w:val="24"/>
        </w:rPr>
        <w:t xml:space="preserve">During the follow-up period, </w:t>
      </w:r>
      <w:r w:rsidRPr="001E35A2">
        <w:rPr>
          <w:rFonts w:ascii="Times New Roman" w:hAnsi="Times New Roman" w:cs="Times New Roman"/>
          <w:sz w:val="24"/>
          <w:szCs w:val="24"/>
        </w:rPr>
        <w:t xml:space="preserve">unionized </w:t>
      </w:r>
      <w:r w:rsidR="005302AD" w:rsidRPr="001E35A2">
        <w:rPr>
          <w:rFonts w:ascii="Times New Roman" w:hAnsi="Times New Roman" w:cs="Times New Roman"/>
          <w:sz w:val="24"/>
          <w:szCs w:val="24"/>
        </w:rPr>
        <w:t xml:space="preserve">jobs at GM </w:t>
      </w:r>
      <w:r w:rsidRPr="001E35A2">
        <w:rPr>
          <w:rFonts w:ascii="Times New Roman" w:hAnsi="Times New Roman" w:cs="Times New Roman"/>
          <w:sz w:val="24"/>
          <w:szCs w:val="24"/>
        </w:rPr>
        <w:t xml:space="preserve">offered </w:t>
      </w:r>
      <w:r w:rsidR="005302AD" w:rsidRPr="001E35A2">
        <w:rPr>
          <w:rFonts w:ascii="Times New Roman" w:hAnsi="Times New Roman" w:cs="Times New Roman"/>
          <w:sz w:val="24"/>
          <w:szCs w:val="24"/>
        </w:rPr>
        <w:t xml:space="preserve">generous benefits and wages. </w:t>
      </w:r>
      <w:r w:rsidR="000E1C98" w:rsidRPr="001E35A2">
        <w:rPr>
          <w:rFonts w:ascii="Times New Roman" w:hAnsi="Times New Roman" w:cs="Times New Roman"/>
          <w:sz w:val="24"/>
          <w:szCs w:val="24"/>
        </w:rPr>
        <w:t>R</w:t>
      </w:r>
      <w:r w:rsidR="005F2CE2" w:rsidRPr="001E35A2">
        <w:rPr>
          <w:rFonts w:ascii="Times New Roman" w:hAnsi="Times New Roman" w:cs="Times New Roman"/>
          <w:sz w:val="24"/>
          <w:szCs w:val="24"/>
        </w:rPr>
        <w:t xml:space="preserve">etirement </w:t>
      </w:r>
      <w:r w:rsidR="00AF6E48" w:rsidRPr="001E35A2">
        <w:rPr>
          <w:rFonts w:ascii="Times New Roman" w:hAnsi="Times New Roman" w:cs="Times New Roman"/>
          <w:sz w:val="24"/>
          <w:szCs w:val="24"/>
        </w:rPr>
        <w:t xml:space="preserve">benefits </w:t>
      </w:r>
      <w:r w:rsidR="000E1C98" w:rsidRPr="001E35A2">
        <w:rPr>
          <w:rFonts w:ascii="Times New Roman" w:hAnsi="Times New Roman" w:cs="Times New Roman"/>
          <w:sz w:val="24"/>
          <w:szCs w:val="24"/>
        </w:rPr>
        <w:t>depend</w:t>
      </w:r>
      <w:r w:rsidR="005302AD" w:rsidRPr="001E35A2">
        <w:rPr>
          <w:rFonts w:ascii="Times New Roman" w:hAnsi="Times New Roman" w:cs="Times New Roman"/>
          <w:sz w:val="24"/>
          <w:szCs w:val="24"/>
        </w:rPr>
        <w:t>ed</w:t>
      </w:r>
      <w:r w:rsidR="000E1C98" w:rsidRPr="001E35A2">
        <w:rPr>
          <w:rFonts w:ascii="Times New Roman" w:hAnsi="Times New Roman" w:cs="Times New Roman"/>
          <w:sz w:val="24"/>
          <w:szCs w:val="24"/>
        </w:rPr>
        <w:t xml:space="preserve"> on a combination of age </w:t>
      </w:r>
      <w:r w:rsidR="000E1C98" w:rsidRPr="001E35A2">
        <w:rPr>
          <w:rFonts w:ascii="Times New Roman" w:hAnsi="Times New Roman" w:cs="Times New Roman"/>
          <w:sz w:val="24"/>
          <w:szCs w:val="24"/>
        </w:rPr>
        <w:lastRenderedPageBreak/>
        <w:t>and tenure</w:t>
      </w:r>
      <w:r w:rsidR="00425268" w:rsidRPr="001E35A2">
        <w:rPr>
          <w:rFonts w:ascii="Times New Roman" w:hAnsi="Times New Roman" w:cs="Times New Roman"/>
          <w:sz w:val="24"/>
          <w:szCs w:val="24"/>
        </w:rPr>
        <w:t xml:space="preserve"> and </w:t>
      </w:r>
      <w:r w:rsidR="005302AD" w:rsidRPr="001E35A2">
        <w:rPr>
          <w:rFonts w:ascii="Times New Roman" w:hAnsi="Times New Roman" w:cs="Times New Roman"/>
          <w:sz w:val="24"/>
          <w:szCs w:val="24"/>
        </w:rPr>
        <w:t xml:space="preserve">were </w:t>
      </w:r>
      <w:r w:rsidR="00A60861" w:rsidRPr="001E35A2">
        <w:rPr>
          <w:rFonts w:ascii="Times New Roman" w:hAnsi="Times New Roman" w:cs="Times New Roman"/>
          <w:sz w:val="24"/>
          <w:szCs w:val="24"/>
        </w:rPr>
        <w:t xml:space="preserve">specified </w:t>
      </w:r>
      <w:r w:rsidR="000E1C98" w:rsidRPr="001E35A2">
        <w:rPr>
          <w:rFonts w:ascii="Times New Roman" w:hAnsi="Times New Roman" w:cs="Times New Roman"/>
          <w:sz w:val="24"/>
          <w:szCs w:val="24"/>
        </w:rPr>
        <w:t xml:space="preserve">in </w:t>
      </w:r>
      <w:r w:rsidR="005F2CE2" w:rsidRPr="001E35A2">
        <w:rPr>
          <w:rFonts w:ascii="Times New Roman" w:hAnsi="Times New Roman" w:cs="Times New Roman"/>
          <w:sz w:val="24"/>
          <w:szCs w:val="24"/>
        </w:rPr>
        <w:t>contract negotiat</w:t>
      </w:r>
      <w:r w:rsidR="000E1C98" w:rsidRPr="001E35A2">
        <w:rPr>
          <w:rFonts w:ascii="Times New Roman" w:hAnsi="Times New Roman" w:cs="Times New Roman"/>
          <w:sz w:val="24"/>
          <w:szCs w:val="24"/>
        </w:rPr>
        <w:t>ions</w:t>
      </w:r>
      <w:r w:rsidR="005F2CE2" w:rsidRPr="001E35A2">
        <w:rPr>
          <w:rFonts w:ascii="Times New Roman" w:hAnsi="Times New Roman" w:cs="Times New Roman"/>
          <w:sz w:val="24"/>
          <w:szCs w:val="24"/>
        </w:rPr>
        <w:t xml:space="preserve"> between </w:t>
      </w:r>
      <w:r w:rsidR="000E1C98" w:rsidRPr="001E35A2">
        <w:rPr>
          <w:rFonts w:ascii="Times New Roman" w:hAnsi="Times New Roman" w:cs="Times New Roman"/>
          <w:sz w:val="24"/>
          <w:szCs w:val="24"/>
        </w:rPr>
        <w:t xml:space="preserve">GM </w:t>
      </w:r>
      <w:r w:rsidR="005F2CE2" w:rsidRPr="001E35A2">
        <w:rPr>
          <w:rFonts w:ascii="Times New Roman" w:hAnsi="Times New Roman" w:cs="Times New Roman"/>
          <w:sz w:val="24"/>
          <w:szCs w:val="24"/>
        </w:rPr>
        <w:t xml:space="preserve">and </w:t>
      </w:r>
      <w:r w:rsidR="000E1C98" w:rsidRPr="001E35A2">
        <w:rPr>
          <w:rFonts w:ascii="Times New Roman" w:hAnsi="Times New Roman" w:cs="Times New Roman"/>
          <w:sz w:val="24"/>
          <w:szCs w:val="24"/>
        </w:rPr>
        <w:t>the UAW.</w:t>
      </w:r>
      <w:r w:rsidR="002F4C35" w:rsidRPr="001E35A2">
        <w:rPr>
          <w:rFonts w:ascii="Times New Roman" w:hAnsi="Times New Roman" w:cs="Times New Roman"/>
          <w:sz w:val="24"/>
          <w:szCs w:val="24"/>
        </w:rPr>
        <w:t xml:space="preserve"> </w:t>
      </w:r>
      <w:r w:rsidR="005F2CE2" w:rsidRPr="001E35A2">
        <w:rPr>
          <w:rFonts w:ascii="Times New Roman" w:hAnsi="Times New Roman" w:cs="Times New Roman"/>
          <w:sz w:val="24"/>
          <w:szCs w:val="24"/>
        </w:rPr>
        <w:t>In 1950</w:t>
      </w:r>
      <w:r w:rsidR="005302AD" w:rsidRPr="001E35A2">
        <w:rPr>
          <w:rFonts w:ascii="Times New Roman" w:hAnsi="Times New Roman" w:cs="Times New Roman"/>
          <w:sz w:val="24"/>
          <w:szCs w:val="24"/>
        </w:rPr>
        <w:t>,</w:t>
      </w:r>
      <w:r w:rsidR="005F2CE2" w:rsidRPr="001E35A2">
        <w:rPr>
          <w:rFonts w:ascii="Times New Roman" w:hAnsi="Times New Roman" w:cs="Times New Roman"/>
          <w:sz w:val="24"/>
          <w:szCs w:val="24"/>
        </w:rPr>
        <w:t xml:space="preserve"> a worker could retire with full benefits after 10 years of employment</w:t>
      </w:r>
      <w:r w:rsidR="001E180E" w:rsidRPr="001E35A2">
        <w:rPr>
          <w:rFonts w:ascii="Times New Roman" w:hAnsi="Times New Roman" w:cs="Times New Roman"/>
          <w:sz w:val="24"/>
          <w:szCs w:val="24"/>
        </w:rPr>
        <w:t xml:space="preserve"> at</w:t>
      </w:r>
      <w:r w:rsidR="00CC57D3" w:rsidRPr="001E35A2">
        <w:rPr>
          <w:rFonts w:ascii="Times New Roman" w:hAnsi="Times New Roman" w:cs="Times New Roman"/>
          <w:sz w:val="24"/>
          <w:szCs w:val="24"/>
        </w:rPr>
        <w:t xml:space="preserve"> age</w:t>
      </w:r>
      <w:r w:rsidR="001E180E" w:rsidRPr="001E35A2">
        <w:rPr>
          <w:rFonts w:ascii="Times New Roman" w:hAnsi="Times New Roman" w:cs="Times New Roman"/>
          <w:sz w:val="24"/>
          <w:szCs w:val="24"/>
        </w:rPr>
        <w:t xml:space="preserve"> 65</w:t>
      </w:r>
      <w:r w:rsidR="00E42297" w:rsidRPr="001E35A2">
        <w:rPr>
          <w:rFonts w:ascii="Times New Roman" w:hAnsi="Times New Roman" w:cs="Times New Roman"/>
          <w:sz w:val="24"/>
          <w:szCs w:val="24"/>
        </w:rPr>
        <w:t xml:space="preserve">. </w:t>
      </w:r>
      <w:r w:rsidR="005F2CE2" w:rsidRPr="001E35A2">
        <w:rPr>
          <w:rFonts w:ascii="Times New Roman" w:hAnsi="Times New Roman" w:cs="Times New Roman"/>
          <w:sz w:val="24"/>
          <w:szCs w:val="24"/>
        </w:rPr>
        <w:t xml:space="preserve">In 1964, </w:t>
      </w:r>
      <w:r w:rsidR="005302AD" w:rsidRPr="001E35A2">
        <w:rPr>
          <w:rFonts w:ascii="Times New Roman" w:hAnsi="Times New Roman" w:cs="Times New Roman"/>
          <w:sz w:val="24"/>
          <w:szCs w:val="24"/>
        </w:rPr>
        <w:t xml:space="preserve">the age of </w:t>
      </w:r>
      <w:r w:rsidR="005F2CE2" w:rsidRPr="001E35A2">
        <w:rPr>
          <w:rFonts w:ascii="Times New Roman" w:hAnsi="Times New Roman" w:cs="Times New Roman"/>
          <w:sz w:val="24"/>
          <w:szCs w:val="24"/>
        </w:rPr>
        <w:t xml:space="preserve">eligibility for early retirement </w:t>
      </w:r>
      <w:r w:rsidR="00A60861" w:rsidRPr="001E35A2">
        <w:rPr>
          <w:rFonts w:ascii="Times New Roman" w:hAnsi="Times New Roman" w:cs="Times New Roman"/>
          <w:sz w:val="24"/>
          <w:szCs w:val="24"/>
        </w:rPr>
        <w:t xml:space="preserve">with partial benefits </w:t>
      </w:r>
      <w:r w:rsidR="005F2CE2" w:rsidRPr="001E35A2">
        <w:rPr>
          <w:rFonts w:ascii="Times New Roman" w:hAnsi="Times New Roman" w:cs="Times New Roman"/>
          <w:sz w:val="24"/>
          <w:szCs w:val="24"/>
        </w:rPr>
        <w:t xml:space="preserve">decreased </w:t>
      </w:r>
      <w:r w:rsidR="000E1C98" w:rsidRPr="001E35A2">
        <w:rPr>
          <w:rFonts w:ascii="Times New Roman" w:hAnsi="Times New Roman" w:cs="Times New Roman"/>
          <w:sz w:val="24"/>
          <w:szCs w:val="24"/>
        </w:rPr>
        <w:t xml:space="preserve">from 62 </w:t>
      </w:r>
      <w:r w:rsidR="005F2CE2" w:rsidRPr="001E35A2">
        <w:rPr>
          <w:rFonts w:ascii="Times New Roman" w:hAnsi="Times New Roman" w:cs="Times New Roman"/>
          <w:sz w:val="24"/>
          <w:szCs w:val="24"/>
        </w:rPr>
        <w:t>to 55.</w:t>
      </w:r>
      <w:r w:rsidR="005F2CE2" w:rsidRPr="001E35A2">
        <w:rPr>
          <w:rFonts w:ascii="Times New Roman" w:hAnsi="Times New Roman" w:cs="Times New Roman"/>
          <w:sz w:val="24"/>
          <w:szCs w:val="24"/>
        </w:rPr>
        <w:fldChar w:fldCharType="begin" w:fldLock="1"/>
      </w:r>
      <w:r w:rsidR="00D5534F" w:rsidRPr="001E35A2">
        <w:rPr>
          <w:rFonts w:ascii="Times New Roman" w:hAnsi="Times New Roman" w:cs="Times New Roman"/>
          <w:sz w:val="24"/>
          <w:szCs w:val="24"/>
        </w:rPr>
        <w:instrText>ADDIN CSL_CITATION {"citationItems":[{"id":"ITEM-1","itemData":{"author":[{"dropping-particle":"","family":"US dept of Labor","given":"","non-dropping-particle":"","parse-names":false,"suffix":""}],"id":"ITEM-1","issued":{"date-parts":[["1966"]]},"number-of-pages":"1-50","publisher-place":"Washington, DC","title":"Wage Chronology; General Motors., 1939-66","type":"report"},"uris":["http://www.mendeley.com/documents/?uuid=91ba05a2-77a2-4ca0-8073-dffb6b287580"]}],"mendeley":{"formattedCitation":"&lt;sup&gt;20&lt;/sup&gt;","plainTextFormattedCitation":"20","previouslyFormattedCitation":"&lt;sup&gt;20&lt;/sup&gt;"},"properties":{"noteIndex":0},"schema":"https://github.com/citation-style-language/schema/raw/master/csl-citation.json"}</w:instrText>
      </w:r>
      <w:r w:rsidR="005F2CE2" w:rsidRPr="001E35A2">
        <w:rPr>
          <w:rFonts w:ascii="Times New Roman" w:hAnsi="Times New Roman" w:cs="Times New Roman"/>
          <w:sz w:val="24"/>
          <w:szCs w:val="24"/>
        </w:rPr>
        <w:fldChar w:fldCharType="separate"/>
      </w:r>
      <w:r w:rsidR="005B305D" w:rsidRPr="001E35A2">
        <w:rPr>
          <w:rFonts w:ascii="Times New Roman" w:hAnsi="Times New Roman" w:cs="Times New Roman"/>
          <w:noProof/>
          <w:sz w:val="24"/>
          <w:szCs w:val="24"/>
          <w:vertAlign w:val="superscript"/>
        </w:rPr>
        <w:t>20</w:t>
      </w:r>
      <w:r w:rsidR="005F2CE2" w:rsidRPr="001E35A2">
        <w:rPr>
          <w:rFonts w:ascii="Times New Roman" w:hAnsi="Times New Roman" w:cs="Times New Roman"/>
          <w:sz w:val="24"/>
          <w:szCs w:val="24"/>
        </w:rPr>
        <w:fldChar w:fldCharType="end"/>
      </w:r>
    </w:p>
    <w:p w14:paraId="333D8294" w14:textId="29CA111A" w:rsidR="00A41B55" w:rsidRPr="001E35A2" w:rsidRDefault="005302AD" w:rsidP="00D8533C">
      <w:pPr>
        <w:spacing w:line="480" w:lineRule="auto"/>
        <w:ind w:firstLine="720"/>
        <w:rPr>
          <w:rFonts w:ascii="Times New Roman" w:hAnsi="Times New Roman" w:cs="Times New Roman"/>
          <w:sz w:val="24"/>
          <w:szCs w:val="24"/>
        </w:rPr>
      </w:pPr>
      <w:r w:rsidRPr="001E35A2">
        <w:rPr>
          <w:rFonts w:ascii="Times New Roman" w:hAnsi="Times New Roman" w:cs="Times New Roman"/>
          <w:sz w:val="24"/>
          <w:szCs w:val="24"/>
        </w:rPr>
        <w:t xml:space="preserve">All of this informed our decision to </w:t>
      </w:r>
      <w:r w:rsidR="00F214A2" w:rsidRPr="001E35A2">
        <w:rPr>
          <w:rFonts w:ascii="Times New Roman" w:hAnsi="Times New Roman" w:cs="Times New Roman"/>
          <w:sz w:val="24"/>
          <w:szCs w:val="24"/>
        </w:rPr>
        <w:t xml:space="preserve">categorize age at </w:t>
      </w:r>
      <w:r w:rsidR="00A60861" w:rsidRPr="001E35A2">
        <w:rPr>
          <w:rFonts w:ascii="Times New Roman" w:hAnsi="Times New Roman" w:cs="Times New Roman"/>
          <w:sz w:val="24"/>
          <w:szCs w:val="24"/>
        </w:rPr>
        <w:t>worker exit</w:t>
      </w:r>
      <w:r w:rsidR="00F214A2" w:rsidRPr="001E35A2">
        <w:rPr>
          <w:rFonts w:ascii="Times New Roman" w:hAnsi="Times New Roman" w:cs="Times New Roman"/>
          <w:sz w:val="24"/>
          <w:szCs w:val="24"/>
        </w:rPr>
        <w:t xml:space="preserve">, with the reference group defined as </w:t>
      </w:r>
      <w:r w:rsidR="005F2CE2" w:rsidRPr="001E35A2">
        <w:rPr>
          <w:rFonts w:ascii="Times New Roman" w:hAnsi="Times New Roman" w:cs="Times New Roman"/>
          <w:sz w:val="24"/>
          <w:szCs w:val="24"/>
        </w:rPr>
        <w:t>l</w:t>
      </w:r>
      <w:r w:rsidR="009A6043" w:rsidRPr="001E35A2">
        <w:rPr>
          <w:rFonts w:ascii="Times New Roman" w:hAnsi="Times New Roman" w:cs="Times New Roman"/>
          <w:sz w:val="24"/>
          <w:szCs w:val="24"/>
        </w:rPr>
        <w:t>eaving work a</w:t>
      </w:r>
      <w:r w:rsidR="005F2CE2" w:rsidRPr="001E35A2">
        <w:rPr>
          <w:rFonts w:ascii="Times New Roman" w:hAnsi="Times New Roman" w:cs="Times New Roman"/>
          <w:sz w:val="24"/>
          <w:szCs w:val="24"/>
        </w:rPr>
        <w:t>t</w:t>
      </w:r>
      <w:r w:rsidR="009A6043" w:rsidRPr="001E35A2">
        <w:rPr>
          <w:rFonts w:ascii="Times New Roman" w:hAnsi="Times New Roman" w:cs="Times New Roman"/>
          <w:sz w:val="24"/>
          <w:szCs w:val="24"/>
        </w:rPr>
        <w:t xml:space="preserve"> </w:t>
      </w:r>
      <w:r w:rsidR="00A41B55" w:rsidRPr="001E35A2">
        <w:rPr>
          <w:rFonts w:ascii="Times New Roman" w:hAnsi="Times New Roman" w:cs="Times New Roman"/>
          <w:sz w:val="24"/>
          <w:szCs w:val="24"/>
        </w:rPr>
        <w:t>age 55</w:t>
      </w:r>
      <w:r w:rsidR="00495E27" w:rsidRPr="001E35A2">
        <w:rPr>
          <w:rFonts w:ascii="Times New Roman" w:hAnsi="Times New Roman" w:cs="Times New Roman"/>
          <w:sz w:val="24"/>
          <w:szCs w:val="24"/>
        </w:rPr>
        <w:t xml:space="preserve"> or older</w:t>
      </w:r>
      <w:r w:rsidR="00F214A2" w:rsidRPr="001E35A2">
        <w:rPr>
          <w:rFonts w:ascii="Times New Roman" w:hAnsi="Times New Roman" w:cs="Times New Roman"/>
          <w:sz w:val="24"/>
          <w:szCs w:val="24"/>
        </w:rPr>
        <w:t>,</w:t>
      </w:r>
      <w:r w:rsidR="00A41B55" w:rsidRPr="001E35A2">
        <w:rPr>
          <w:rFonts w:ascii="Times New Roman" w:hAnsi="Times New Roman" w:cs="Times New Roman"/>
          <w:sz w:val="24"/>
          <w:szCs w:val="24"/>
        </w:rPr>
        <w:t xml:space="preserve"> </w:t>
      </w:r>
      <w:r w:rsidR="004D2E5C" w:rsidRPr="001E35A2">
        <w:rPr>
          <w:rFonts w:ascii="Times New Roman" w:hAnsi="Times New Roman" w:cs="Times New Roman"/>
          <w:sz w:val="24"/>
          <w:szCs w:val="24"/>
        </w:rPr>
        <w:t xml:space="preserve">when </w:t>
      </w:r>
      <w:r w:rsidR="009B4AA7" w:rsidRPr="001E35A2">
        <w:rPr>
          <w:rFonts w:ascii="Times New Roman" w:hAnsi="Times New Roman" w:cs="Times New Roman"/>
          <w:sz w:val="24"/>
          <w:szCs w:val="24"/>
        </w:rPr>
        <w:t xml:space="preserve">the decision </w:t>
      </w:r>
      <w:r w:rsidR="00425268" w:rsidRPr="001E35A2">
        <w:rPr>
          <w:rFonts w:ascii="Times New Roman" w:hAnsi="Times New Roman" w:cs="Times New Roman"/>
          <w:sz w:val="24"/>
          <w:szCs w:val="24"/>
        </w:rPr>
        <w:t xml:space="preserve">to retire </w:t>
      </w:r>
      <w:r w:rsidR="009B4AA7" w:rsidRPr="001E35A2">
        <w:rPr>
          <w:rFonts w:ascii="Times New Roman" w:hAnsi="Times New Roman" w:cs="Times New Roman"/>
          <w:sz w:val="24"/>
          <w:szCs w:val="24"/>
        </w:rPr>
        <w:t>w</w:t>
      </w:r>
      <w:r w:rsidR="005F2CE2" w:rsidRPr="001E35A2">
        <w:rPr>
          <w:rFonts w:ascii="Times New Roman" w:hAnsi="Times New Roman" w:cs="Times New Roman"/>
          <w:sz w:val="24"/>
          <w:szCs w:val="24"/>
        </w:rPr>
        <w:t xml:space="preserve">as </w:t>
      </w:r>
      <w:r w:rsidR="00800375" w:rsidRPr="001E35A2">
        <w:rPr>
          <w:rFonts w:ascii="Times New Roman" w:hAnsi="Times New Roman" w:cs="Times New Roman"/>
          <w:sz w:val="24"/>
          <w:szCs w:val="24"/>
        </w:rPr>
        <w:t xml:space="preserve">likely to be </w:t>
      </w:r>
      <w:r w:rsidR="00FC5011" w:rsidRPr="001E35A2">
        <w:rPr>
          <w:rFonts w:ascii="Times New Roman" w:hAnsi="Times New Roman" w:cs="Times New Roman"/>
          <w:sz w:val="24"/>
          <w:szCs w:val="24"/>
        </w:rPr>
        <w:t>voluntary</w:t>
      </w:r>
      <w:r w:rsidR="005F2CE2" w:rsidRPr="001E35A2">
        <w:rPr>
          <w:rFonts w:ascii="Times New Roman" w:hAnsi="Times New Roman" w:cs="Times New Roman"/>
          <w:sz w:val="24"/>
          <w:szCs w:val="24"/>
        </w:rPr>
        <w:t>.</w:t>
      </w:r>
      <w:r w:rsidR="0002665D" w:rsidRPr="001E35A2">
        <w:rPr>
          <w:rFonts w:ascii="Times New Roman" w:hAnsi="Times New Roman" w:cs="Times New Roman"/>
          <w:sz w:val="24"/>
          <w:szCs w:val="24"/>
        </w:rPr>
        <w:t xml:space="preserve"> W</w:t>
      </w:r>
      <w:r w:rsidRPr="001E35A2">
        <w:rPr>
          <w:rFonts w:ascii="Times New Roman" w:hAnsi="Times New Roman" w:cs="Times New Roman"/>
          <w:sz w:val="24"/>
          <w:szCs w:val="24"/>
        </w:rPr>
        <w:t>e assume that w</w:t>
      </w:r>
      <w:r w:rsidR="00AF6E48" w:rsidRPr="001E35A2">
        <w:rPr>
          <w:rFonts w:ascii="Times New Roman" w:hAnsi="Times New Roman" w:cs="Times New Roman"/>
          <w:sz w:val="24"/>
          <w:szCs w:val="24"/>
        </w:rPr>
        <w:t xml:space="preserve">orkers who left </w:t>
      </w:r>
      <w:r w:rsidRPr="001E35A2">
        <w:rPr>
          <w:rFonts w:ascii="Times New Roman" w:hAnsi="Times New Roman" w:cs="Times New Roman"/>
          <w:sz w:val="24"/>
          <w:szCs w:val="24"/>
        </w:rPr>
        <w:t xml:space="preserve">GM </w:t>
      </w:r>
      <w:r w:rsidR="00C9542F" w:rsidRPr="001E35A2">
        <w:rPr>
          <w:rFonts w:ascii="Times New Roman" w:hAnsi="Times New Roman" w:cs="Times New Roman"/>
          <w:sz w:val="24"/>
          <w:szCs w:val="24"/>
        </w:rPr>
        <w:t xml:space="preserve">earlier, </w:t>
      </w:r>
      <w:r w:rsidRPr="001E35A2">
        <w:rPr>
          <w:rFonts w:ascii="Times New Roman" w:hAnsi="Times New Roman" w:cs="Times New Roman"/>
          <w:sz w:val="24"/>
          <w:szCs w:val="24"/>
        </w:rPr>
        <w:t xml:space="preserve">when they were </w:t>
      </w:r>
      <w:r w:rsidR="00AF6E48" w:rsidRPr="001E35A2">
        <w:rPr>
          <w:rFonts w:ascii="Times New Roman" w:hAnsi="Times New Roman" w:cs="Times New Roman"/>
          <w:sz w:val="24"/>
          <w:szCs w:val="24"/>
        </w:rPr>
        <w:t xml:space="preserve">younger </w:t>
      </w:r>
      <w:r w:rsidR="002F4C35" w:rsidRPr="001E35A2">
        <w:rPr>
          <w:rFonts w:ascii="Times New Roman" w:hAnsi="Times New Roman" w:cs="Times New Roman"/>
          <w:sz w:val="24"/>
          <w:szCs w:val="24"/>
        </w:rPr>
        <w:t xml:space="preserve">than </w:t>
      </w:r>
      <w:r w:rsidR="00AF6E48" w:rsidRPr="001E35A2">
        <w:rPr>
          <w:rFonts w:ascii="Times New Roman" w:hAnsi="Times New Roman" w:cs="Times New Roman"/>
          <w:sz w:val="24"/>
          <w:szCs w:val="24"/>
        </w:rPr>
        <w:t>55</w:t>
      </w:r>
      <w:r w:rsidR="00C9542F" w:rsidRPr="001E35A2">
        <w:rPr>
          <w:rFonts w:ascii="Times New Roman" w:hAnsi="Times New Roman" w:cs="Times New Roman"/>
          <w:sz w:val="24"/>
          <w:szCs w:val="24"/>
        </w:rPr>
        <w:t xml:space="preserve"> and ineligible for benefits,</w:t>
      </w:r>
      <w:r w:rsidR="00AF6E48" w:rsidRPr="001E35A2">
        <w:rPr>
          <w:rFonts w:ascii="Times New Roman" w:hAnsi="Times New Roman" w:cs="Times New Roman"/>
          <w:sz w:val="24"/>
          <w:szCs w:val="24"/>
        </w:rPr>
        <w:t xml:space="preserve"> were </w:t>
      </w:r>
      <w:r w:rsidR="0002665D" w:rsidRPr="001E35A2">
        <w:rPr>
          <w:rFonts w:ascii="Times New Roman" w:hAnsi="Times New Roman" w:cs="Times New Roman"/>
          <w:sz w:val="24"/>
          <w:szCs w:val="24"/>
        </w:rPr>
        <w:t xml:space="preserve">less </w:t>
      </w:r>
      <w:r w:rsidR="00AF6E48" w:rsidRPr="001E35A2">
        <w:rPr>
          <w:rFonts w:ascii="Times New Roman" w:hAnsi="Times New Roman" w:cs="Times New Roman"/>
          <w:sz w:val="24"/>
          <w:szCs w:val="24"/>
        </w:rPr>
        <w:t>likely to have left voluntarily.</w:t>
      </w:r>
      <w:r w:rsidR="00D5461C" w:rsidRPr="001E35A2">
        <w:rPr>
          <w:rFonts w:ascii="Times New Roman" w:hAnsi="Times New Roman" w:cs="Times New Roman"/>
          <w:sz w:val="24"/>
          <w:szCs w:val="24"/>
        </w:rPr>
        <w:fldChar w:fldCharType="begin" w:fldLock="1"/>
      </w:r>
      <w:r w:rsidR="00D5534F" w:rsidRPr="001E35A2">
        <w:rPr>
          <w:rFonts w:ascii="Times New Roman" w:hAnsi="Times New Roman" w:cs="Times New Roman"/>
          <w:sz w:val="24"/>
          <w:szCs w:val="24"/>
        </w:rPr>
        <w:instrText>ADDIN CSL_CITATION {"citationItems":[{"id":"ITEM-1","itemData":{"author":[{"dropping-particle":"","family":"Lea","given":"CS","non-dropping-particle":"","parse-names":false,"suffix":""},{"dropping-particle":"","family":"Hertz-Picciotto","given":"I","non-dropping-particle":"","parse-names":false,"suffix":""},{"dropping-particle":"","family":"Anderson","given":"A","non-dropping-particle":"","parse-names":false,"suffix":""}],"container-title":"Am J Epidemiology","id":"ITEM-1","issued":{"date-parts":[["1999"]]},"page":"1099-1106","title":"Gender differences in healthy worker effect among synthetic vitreous fiber workers","type":"article-journal","volume":"150"},"uris":["http://www.mendeley.com/documents/?uuid=dc2a022f-3b87-48d9-a7d0-3f44668a5c92"]}],"mendeley":{"formattedCitation":"&lt;sup&gt;21&lt;/sup&gt;","plainTextFormattedCitation":"21","previouslyFormattedCitation":"&lt;sup&gt;21&lt;/sup&gt;"},"properties":{"noteIndex":0},"schema":"https://github.com/citation-style-language/schema/raw/master/csl-citation.json"}</w:instrText>
      </w:r>
      <w:r w:rsidR="00D5461C" w:rsidRPr="001E35A2">
        <w:rPr>
          <w:rFonts w:ascii="Times New Roman" w:hAnsi="Times New Roman" w:cs="Times New Roman"/>
          <w:sz w:val="24"/>
          <w:szCs w:val="24"/>
        </w:rPr>
        <w:fldChar w:fldCharType="separate"/>
      </w:r>
      <w:r w:rsidR="005B305D" w:rsidRPr="001E35A2">
        <w:rPr>
          <w:rFonts w:ascii="Times New Roman" w:hAnsi="Times New Roman" w:cs="Times New Roman"/>
          <w:noProof/>
          <w:sz w:val="24"/>
          <w:szCs w:val="24"/>
          <w:vertAlign w:val="superscript"/>
        </w:rPr>
        <w:t>21</w:t>
      </w:r>
      <w:r w:rsidR="00D5461C" w:rsidRPr="001E35A2">
        <w:rPr>
          <w:rFonts w:ascii="Times New Roman" w:hAnsi="Times New Roman" w:cs="Times New Roman"/>
          <w:sz w:val="24"/>
          <w:szCs w:val="24"/>
        </w:rPr>
        <w:fldChar w:fldCharType="end"/>
      </w:r>
    </w:p>
    <w:p w14:paraId="47654B52" w14:textId="2F20BD65" w:rsidR="00F200BF" w:rsidRPr="001E35A2" w:rsidRDefault="00A41B55" w:rsidP="00D8533C">
      <w:pPr>
        <w:spacing w:line="480" w:lineRule="auto"/>
        <w:ind w:firstLine="720"/>
        <w:rPr>
          <w:rFonts w:ascii="Times New Roman" w:hAnsi="Times New Roman" w:cs="Times New Roman"/>
          <w:sz w:val="24"/>
          <w:szCs w:val="24"/>
        </w:rPr>
      </w:pPr>
      <w:r w:rsidRPr="001E35A2">
        <w:rPr>
          <w:rFonts w:ascii="Times New Roman" w:hAnsi="Times New Roman" w:cs="Times New Roman"/>
          <w:b/>
          <w:sz w:val="24"/>
          <w:szCs w:val="24"/>
        </w:rPr>
        <w:t>Outcome</w:t>
      </w:r>
      <w:r w:rsidRPr="001E35A2">
        <w:rPr>
          <w:rFonts w:ascii="Times New Roman" w:hAnsi="Times New Roman" w:cs="Times New Roman"/>
          <w:sz w:val="24"/>
          <w:szCs w:val="24"/>
        </w:rPr>
        <w:t xml:space="preserve">: </w:t>
      </w:r>
      <w:bookmarkStart w:id="5" w:name="_Hlk30679946"/>
      <w:r w:rsidRPr="001E35A2">
        <w:rPr>
          <w:rFonts w:ascii="Times New Roman" w:hAnsi="Times New Roman" w:cs="Times New Roman"/>
          <w:sz w:val="24"/>
          <w:szCs w:val="24"/>
        </w:rPr>
        <w:t>Data on vital status and cause of death were obtained through the Social Security Administration, the National Death Index, company records, death certificates, and state mortality files.</w:t>
      </w:r>
      <w:r w:rsidR="00A60861" w:rsidRPr="001E35A2">
        <w:rPr>
          <w:rFonts w:ascii="Times New Roman" w:hAnsi="Times New Roman" w:cs="Times New Roman"/>
          <w:sz w:val="24"/>
          <w:szCs w:val="24"/>
        </w:rPr>
        <w:fldChar w:fldCharType="begin" w:fldLock="1"/>
      </w:r>
      <w:r w:rsidR="00D5534F" w:rsidRPr="001E35A2">
        <w:rPr>
          <w:rFonts w:ascii="Times New Roman" w:hAnsi="Times New Roman" w:cs="Times New Roman"/>
          <w:sz w:val="24"/>
          <w:szCs w:val="24"/>
        </w:rPr>
        <w:instrText>ADDIN CSL_CITATION {"citationItems":[{"id":"ITEM-1","itemData":{"author":[{"dropping-particle":"","family":"Eisen EA  Hallock MF, Monson RR, Smith TJ, Woskie SR","given":"Tolbert P E","non-dropping-particle":"","parse-names":false,"suffix":""}],"container-title":"Am J Indus Medicine","id":"ITEM-1","issued":{"date-parts":[["1994"]]},"page":"185-202","title":"Mortality Studies of Machining Fluid Exposure in the Automobile Industry III: A case-control study of larynx cancer","type":"article-journal","volume":"26"},"uris":["http://www.mendeley.com/documents/?uuid=a2fa561e-46a8-4cd9-a408-ed315162c025"]}],"mendeley":{"formattedCitation":"&lt;sup&gt;22&lt;/sup&gt;","plainTextFormattedCitation":"22","previouslyFormattedCitation":"&lt;sup&gt;22&lt;/sup&gt;"},"properties":{"noteIndex":0},"schema":"https://github.com/citation-style-language/schema/raw/master/csl-citation.json"}</w:instrText>
      </w:r>
      <w:r w:rsidR="00A60861" w:rsidRPr="001E35A2">
        <w:rPr>
          <w:rFonts w:ascii="Times New Roman" w:hAnsi="Times New Roman" w:cs="Times New Roman"/>
          <w:sz w:val="24"/>
          <w:szCs w:val="24"/>
        </w:rPr>
        <w:fldChar w:fldCharType="separate"/>
      </w:r>
      <w:r w:rsidR="005B305D" w:rsidRPr="001E35A2">
        <w:rPr>
          <w:rFonts w:ascii="Times New Roman" w:hAnsi="Times New Roman" w:cs="Times New Roman"/>
          <w:noProof/>
          <w:sz w:val="24"/>
          <w:szCs w:val="24"/>
          <w:vertAlign w:val="superscript"/>
        </w:rPr>
        <w:t>22</w:t>
      </w:r>
      <w:r w:rsidR="00A60861" w:rsidRPr="001E35A2">
        <w:rPr>
          <w:rFonts w:ascii="Times New Roman" w:hAnsi="Times New Roman" w:cs="Times New Roman"/>
          <w:sz w:val="24"/>
          <w:szCs w:val="24"/>
        </w:rPr>
        <w:fldChar w:fldCharType="end"/>
      </w:r>
      <w:r w:rsidRPr="001E35A2">
        <w:rPr>
          <w:rFonts w:ascii="Times New Roman" w:hAnsi="Times New Roman" w:cs="Times New Roman"/>
          <w:sz w:val="24"/>
          <w:szCs w:val="24"/>
        </w:rPr>
        <w:t xml:space="preserve"> </w:t>
      </w:r>
      <w:r w:rsidR="00AC33AE" w:rsidRPr="001E35A2">
        <w:rPr>
          <w:rFonts w:ascii="Times New Roman" w:hAnsi="Times New Roman" w:cs="Times New Roman"/>
          <w:sz w:val="24"/>
          <w:szCs w:val="24"/>
        </w:rPr>
        <w:t>We used diagnostic codes</w:t>
      </w:r>
      <w:r w:rsidRPr="001E35A2">
        <w:rPr>
          <w:rFonts w:ascii="Times New Roman" w:hAnsi="Times New Roman" w:cs="Times New Roman"/>
          <w:sz w:val="24"/>
          <w:szCs w:val="24"/>
        </w:rPr>
        <w:t xml:space="preserve"> for suicide</w:t>
      </w:r>
      <w:r w:rsidR="00AC33AE" w:rsidRPr="001E35A2">
        <w:rPr>
          <w:rFonts w:ascii="Times New Roman" w:hAnsi="Times New Roman" w:cs="Times New Roman"/>
          <w:sz w:val="24"/>
          <w:szCs w:val="24"/>
        </w:rPr>
        <w:t xml:space="preserve"> from the International Classification of Diseases (ICD) 9</w:t>
      </w:r>
      <w:r w:rsidR="00AC33AE" w:rsidRPr="001E35A2">
        <w:rPr>
          <w:rFonts w:ascii="Times New Roman" w:hAnsi="Times New Roman" w:cs="Times New Roman"/>
          <w:sz w:val="24"/>
          <w:szCs w:val="24"/>
          <w:vertAlign w:val="superscript"/>
        </w:rPr>
        <w:t>th</w:t>
      </w:r>
      <w:r w:rsidR="00AC33AE" w:rsidRPr="001E35A2">
        <w:rPr>
          <w:rFonts w:ascii="Times New Roman" w:hAnsi="Times New Roman" w:cs="Times New Roman"/>
          <w:sz w:val="24"/>
          <w:szCs w:val="24"/>
        </w:rPr>
        <w:t xml:space="preserve"> and 10</w:t>
      </w:r>
      <w:r w:rsidR="00AC33AE" w:rsidRPr="001E35A2">
        <w:rPr>
          <w:rFonts w:ascii="Times New Roman" w:hAnsi="Times New Roman" w:cs="Times New Roman"/>
          <w:sz w:val="24"/>
          <w:szCs w:val="24"/>
          <w:vertAlign w:val="superscript"/>
        </w:rPr>
        <w:t>th</w:t>
      </w:r>
      <w:r w:rsidR="00AC33AE" w:rsidRPr="001E35A2">
        <w:rPr>
          <w:rFonts w:ascii="Times New Roman" w:hAnsi="Times New Roman" w:cs="Times New Roman"/>
          <w:sz w:val="24"/>
          <w:szCs w:val="24"/>
        </w:rPr>
        <w:t xml:space="preserve"> revisions. </w:t>
      </w:r>
      <w:r w:rsidR="00EA5665" w:rsidRPr="001E35A2">
        <w:rPr>
          <w:rFonts w:ascii="Times New Roman" w:hAnsi="Times New Roman" w:cs="Times New Roman"/>
          <w:sz w:val="24"/>
          <w:szCs w:val="24"/>
        </w:rPr>
        <w:t>In</w:t>
      </w:r>
      <w:r w:rsidR="00AC33AE" w:rsidRPr="001E35A2">
        <w:rPr>
          <w:rFonts w:ascii="Times New Roman" w:hAnsi="Times New Roman" w:cs="Times New Roman"/>
          <w:sz w:val="24"/>
          <w:szCs w:val="24"/>
        </w:rPr>
        <w:t xml:space="preserve"> the present study</w:t>
      </w:r>
      <w:r w:rsidR="00EA5665" w:rsidRPr="001E35A2">
        <w:rPr>
          <w:rFonts w:ascii="Times New Roman" w:hAnsi="Times New Roman" w:cs="Times New Roman"/>
          <w:sz w:val="24"/>
          <w:szCs w:val="24"/>
        </w:rPr>
        <w:t>, the</w:t>
      </w:r>
      <w:r w:rsidR="005B03C4" w:rsidRPr="001E35A2">
        <w:rPr>
          <w:rFonts w:ascii="Times New Roman" w:hAnsi="Times New Roman" w:cs="Times New Roman"/>
          <w:sz w:val="24"/>
          <w:szCs w:val="24"/>
        </w:rPr>
        <w:t xml:space="preserve"> ICD </w:t>
      </w:r>
      <w:r w:rsidR="00EA5665" w:rsidRPr="001E35A2">
        <w:rPr>
          <w:rFonts w:ascii="Times New Roman" w:hAnsi="Times New Roman" w:cs="Times New Roman"/>
          <w:sz w:val="24"/>
          <w:szCs w:val="24"/>
        </w:rPr>
        <w:t>codes for suicide are</w:t>
      </w:r>
      <w:r w:rsidR="005B03C4" w:rsidRPr="001E35A2">
        <w:rPr>
          <w:rFonts w:ascii="Times New Roman" w:hAnsi="Times New Roman" w:cs="Times New Roman"/>
          <w:sz w:val="24"/>
          <w:szCs w:val="24"/>
        </w:rPr>
        <w:t>:</w:t>
      </w:r>
      <w:r w:rsidRPr="001E35A2">
        <w:rPr>
          <w:rFonts w:ascii="Times New Roman" w:hAnsi="Times New Roman" w:cs="Times New Roman"/>
          <w:sz w:val="24"/>
          <w:szCs w:val="24"/>
        </w:rPr>
        <w:t xml:space="preserve"> </w:t>
      </w:r>
      <w:r w:rsidR="007A3929" w:rsidRPr="001E35A2">
        <w:rPr>
          <w:rFonts w:ascii="Times New Roman" w:hAnsi="Times New Roman" w:cs="Times New Roman"/>
          <w:sz w:val="24"/>
          <w:szCs w:val="24"/>
        </w:rPr>
        <w:t>E950</w:t>
      </w:r>
      <w:r w:rsidR="00CE0FD2" w:rsidRPr="001E35A2">
        <w:rPr>
          <w:rFonts w:ascii="Times New Roman" w:hAnsi="Times New Roman" w:cs="Times New Roman"/>
          <w:sz w:val="24"/>
          <w:szCs w:val="24"/>
        </w:rPr>
        <w:t>-</w:t>
      </w:r>
      <w:r w:rsidR="007A3929" w:rsidRPr="001E35A2">
        <w:rPr>
          <w:rFonts w:ascii="Times New Roman" w:hAnsi="Times New Roman" w:cs="Times New Roman"/>
          <w:sz w:val="24"/>
          <w:szCs w:val="24"/>
        </w:rPr>
        <w:t>E959</w:t>
      </w:r>
      <w:r w:rsidR="00AC6105" w:rsidRPr="001E35A2">
        <w:rPr>
          <w:rFonts w:ascii="Times New Roman" w:hAnsi="Times New Roman" w:cs="Times New Roman"/>
          <w:sz w:val="24"/>
          <w:szCs w:val="24"/>
        </w:rPr>
        <w:t xml:space="preserve"> </w:t>
      </w:r>
      <w:r w:rsidR="00CE0FD2" w:rsidRPr="001E35A2">
        <w:rPr>
          <w:rFonts w:ascii="Times New Roman" w:hAnsi="Times New Roman" w:cs="Times New Roman"/>
          <w:sz w:val="24"/>
          <w:szCs w:val="24"/>
        </w:rPr>
        <w:t xml:space="preserve">(ICD-9) </w:t>
      </w:r>
      <w:r w:rsidR="007A3929" w:rsidRPr="001E35A2">
        <w:rPr>
          <w:rFonts w:ascii="Times New Roman" w:hAnsi="Times New Roman" w:cs="Times New Roman"/>
          <w:sz w:val="24"/>
          <w:szCs w:val="24"/>
        </w:rPr>
        <w:t xml:space="preserve">and </w:t>
      </w:r>
      <w:r w:rsidR="00434A30" w:rsidRPr="001E35A2">
        <w:rPr>
          <w:rFonts w:ascii="Times New Roman" w:hAnsi="Times New Roman" w:cs="Times New Roman"/>
          <w:sz w:val="24"/>
          <w:szCs w:val="24"/>
        </w:rPr>
        <w:t xml:space="preserve">U03, </w:t>
      </w:r>
      <w:r w:rsidR="007A3929" w:rsidRPr="001E35A2">
        <w:rPr>
          <w:rFonts w:ascii="Times New Roman" w:hAnsi="Times New Roman" w:cs="Times New Roman"/>
          <w:sz w:val="24"/>
          <w:szCs w:val="24"/>
        </w:rPr>
        <w:t>X60</w:t>
      </w:r>
      <w:r w:rsidR="00CE0FD2" w:rsidRPr="001E35A2">
        <w:rPr>
          <w:rFonts w:ascii="Times New Roman" w:hAnsi="Times New Roman" w:cs="Times New Roman"/>
          <w:sz w:val="24"/>
          <w:szCs w:val="24"/>
        </w:rPr>
        <w:t>-</w:t>
      </w:r>
      <w:r w:rsidR="007A3929" w:rsidRPr="001E35A2">
        <w:rPr>
          <w:rFonts w:ascii="Times New Roman" w:hAnsi="Times New Roman" w:cs="Times New Roman"/>
          <w:sz w:val="24"/>
          <w:szCs w:val="24"/>
        </w:rPr>
        <w:t>X84</w:t>
      </w:r>
      <w:r w:rsidR="00434A30" w:rsidRPr="001E35A2">
        <w:rPr>
          <w:rFonts w:ascii="Times New Roman" w:hAnsi="Times New Roman" w:cs="Times New Roman"/>
          <w:sz w:val="24"/>
          <w:szCs w:val="24"/>
        </w:rPr>
        <w:t>, and</w:t>
      </w:r>
      <w:r w:rsidR="007A3929" w:rsidRPr="001E35A2">
        <w:rPr>
          <w:rFonts w:ascii="Times New Roman" w:hAnsi="Times New Roman" w:cs="Times New Roman"/>
          <w:sz w:val="24"/>
          <w:szCs w:val="24"/>
        </w:rPr>
        <w:t xml:space="preserve"> Y87</w:t>
      </w:r>
      <w:r w:rsidR="00CE0FD2" w:rsidRPr="001E35A2">
        <w:rPr>
          <w:rFonts w:ascii="Times New Roman" w:hAnsi="Times New Roman" w:cs="Times New Roman"/>
          <w:sz w:val="24"/>
          <w:szCs w:val="24"/>
        </w:rPr>
        <w:t xml:space="preserve"> (ICD-10).</w:t>
      </w:r>
      <w:r w:rsidRPr="001E35A2">
        <w:rPr>
          <w:rFonts w:ascii="Times New Roman" w:hAnsi="Times New Roman" w:cs="Times New Roman"/>
          <w:sz w:val="24"/>
          <w:szCs w:val="24"/>
        </w:rPr>
        <w:t xml:space="preserve"> Th</w:t>
      </w:r>
      <w:r w:rsidR="005B03C4" w:rsidRPr="001E35A2">
        <w:rPr>
          <w:rFonts w:ascii="Times New Roman" w:hAnsi="Times New Roman" w:cs="Times New Roman"/>
          <w:sz w:val="24"/>
          <w:szCs w:val="24"/>
        </w:rPr>
        <w:t>ose</w:t>
      </w:r>
      <w:r w:rsidRPr="001E35A2">
        <w:rPr>
          <w:rFonts w:ascii="Times New Roman" w:hAnsi="Times New Roman" w:cs="Times New Roman"/>
          <w:sz w:val="24"/>
          <w:szCs w:val="24"/>
        </w:rPr>
        <w:t xml:space="preserve"> for </w:t>
      </w:r>
      <w:r w:rsidR="000F553A" w:rsidRPr="001E35A2">
        <w:rPr>
          <w:rFonts w:ascii="Times New Roman" w:hAnsi="Times New Roman" w:cs="Times New Roman"/>
          <w:sz w:val="24"/>
          <w:szCs w:val="24"/>
        </w:rPr>
        <w:t xml:space="preserve">unintentional </w:t>
      </w:r>
      <w:r w:rsidRPr="001E35A2">
        <w:rPr>
          <w:rFonts w:ascii="Times New Roman" w:hAnsi="Times New Roman" w:cs="Times New Roman"/>
          <w:sz w:val="24"/>
          <w:szCs w:val="24"/>
        </w:rPr>
        <w:t xml:space="preserve">overdose </w:t>
      </w:r>
      <w:bookmarkEnd w:id="5"/>
      <w:r w:rsidRPr="001E35A2">
        <w:rPr>
          <w:rFonts w:ascii="Times New Roman" w:hAnsi="Times New Roman" w:cs="Times New Roman"/>
          <w:sz w:val="24"/>
          <w:szCs w:val="24"/>
        </w:rPr>
        <w:t>are</w:t>
      </w:r>
      <w:r w:rsidR="005B03C4" w:rsidRPr="001E35A2">
        <w:rPr>
          <w:rFonts w:ascii="Times New Roman" w:hAnsi="Times New Roman" w:cs="Times New Roman"/>
          <w:sz w:val="24"/>
          <w:szCs w:val="24"/>
        </w:rPr>
        <w:t>:</w:t>
      </w:r>
      <w:r w:rsidR="007A3929" w:rsidRPr="001E35A2">
        <w:rPr>
          <w:rFonts w:ascii="Times New Roman" w:hAnsi="Times New Roman" w:cs="Times New Roman"/>
          <w:sz w:val="24"/>
          <w:szCs w:val="24"/>
        </w:rPr>
        <w:t xml:space="preserve"> E850</w:t>
      </w:r>
      <w:r w:rsidR="00CE0FD2" w:rsidRPr="001E35A2">
        <w:rPr>
          <w:rFonts w:ascii="Times New Roman" w:hAnsi="Times New Roman" w:cs="Times New Roman"/>
          <w:sz w:val="24"/>
          <w:szCs w:val="24"/>
        </w:rPr>
        <w:t>-</w:t>
      </w:r>
      <w:r w:rsidR="007A3929" w:rsidRPr="001E35A2">
        <w:rPr>
          <w:rFonts w:ascii="Times New Roman" w:hAnsi="Times New Roman" w:cs="Times New Roman"/>
          <w:sz w:val="24"/>
          <w:szCs w:val="24"/>
        </w:rPr>
        <w:t>E858 and E980</w:t>
      </w:r>
      <w:r w:rsidR="00CE0FD2" w:rsidRPr="001E35A2">
        <w:rPr>
          <w:rFonts w:ascii="Times New Roman" w:hAnsi="Times New Roman" w:cs="Times New Roman"/>
          <w:sz w:val="24"/>
          <w:szCs w:val="24"/>
        </w:rPr>
        <w:t xml:space="preserve"> (ICD-9) </w:t>
      </w:r>
      <w:r w:rsidR="00AC6105" w:rsidRPr="001E35A2">
        <w:rPr>
          <w:rFonts w:ascii="Times New Roman" w:hAnsi="Times New Roman" w:cs="Times New Roman"/>
          <w:sz w:val="24"/>
          <w:szCs w:val="24"/>
        </w:rPr>
        <w:t>and</w:t>
      </w:r>
      <w:r w:rsidR="007A3929" w:rsidRPr="001E35A2">
        <w:rPr>
          <w:rFonts w:ascii="Times New Roman" w:hAnsi="Times New Roman" w:cs="Times New Roman"/>
          <w:sz w:val="24"/>
          <w:szCs w:val="24"/>
        </w:rPr>
        <w:t xml:space="preserve"> X40</w:t>
      </w:r>
      <w:r w:rsidR="00CE0FD2" w:rsidRPr="001E35A2">
        <w:rPr>
          <w:rFonts w:ascii="Times New Roman" w:hAnsi="Times New Roman" w:cs="Times New Roman"/>
          <w:sz w:val="24"/>
          <w:szCs w:val="24"/>
        </w:rPr>
        <w:t>-</w:t>
      </w:r>
      <w:r w:rsidR="007A3929" w:rsidRPr="001E35A2">
        <w:rPr>
          <w:rFonts w:ascii="Times New Roman" w:hAnsi="Times New Roman" w:cs="Times New Roman"/>
          <w:sz w:val="24"/>
          <w:szCs w:val="24"/>
        </w:rPr>
        <w:t>X44 and Y10</w:t>
      </w:r>
      <w:r w:rsidR="00CE0FD2" w:rsidRPr="001E35A2">
        <w:rPr>
          <w:rFonts w:ascii="Times New Roman" w:hAnsi="Times New Roman" w:cs="Times New Roman"/>
          <w:sz w:val="24"/>
          <w:szCs w:val="24"/>
        </w:rPr>
        <w:t>-</w:t>
      </w:r>
      <w:r w:rsidR="007A3929" w:rsidRPr="001E35A2">
        <w:rPr>
          <w:rFonts w:ascii="Times New Roman" w:hAnsi="Times New Roman" w:cs="Times New Roman"/>
          <w:sz w:val="24"/>
          <w:szCs w:val="24"/>
        </w:rPr>
        <w:t>Y14</w:t>
      </w:r>
      <w:r w:rsidR="00CE0FD2" w:rsidRPr="001E35A2">
        <w:rPr>
          <w:rFonts w:ascii="Times New Roman" w:hAnsi="Times New Roman" w:cs="Times New Roman"/>
          <w:sz w:val="24"/>
          <w:szCs w:val="24"/>
        </w:rPr>
        <w:t xml:space="preserve"> (ICD-10</w:t>
      </w:r>
      <w:r w:rsidR="007A3929" w:rsidRPr="001E35A2">
        <w:rPr>
          <w:rFonts w:ascii="Times New Roman" w:hAnsi="Times New Roman" w:cs="Times New Roman"/>
          <w:sz w:val="24"/>
          <w:szCs w:val="24"/>
        </w:rPr>
        <w:t>)</w:t>
      </w:r>
      <w:r w:rsidR="00F200BF" w:rsidRPr="001E35A2">
        <w:rPr>
          <w:rFonts w:ascii="Times New Roman" w:hAnsi="Times New Roman" w:cs="Times New Roman"/>
          <w:sz w:val="24"/>
          <w:szCs w:val="24"/>
        </w:rPr>
        <w:t>.</w:t>
      </w:r>
    </w:p>
    <w:p w14:paraId="13E4CACE" w14:textId="5E41A071" w:rsidR="00F200BF" w:rsidRPr="001E35A2" w:rsidRDefault="00F200BF" w:rsidP="00D8533C">
      <w:pPr>
        <w:spacing w:line="480" w:lineRule="auto"/>
        <w:ind w:firstLine="720"/>
        <w:rPr>
          <w:rFonts w:ascii="Times New Roman" w:hAnsi="Times New Roman" w:cs="Times New Roman"/>
          <w:sz w:val="24"/>
          <w:szCs w:val="24"/>
        </w:rPr>
      </w:pPr>
      <w:r w:rsidRPr="001E35A2">
        <w:rPr>
          <w:rFonts w:ascii="Times New Roman" w:hAnsi="Times New Roman" w:cs="Times New Roman"/>
          <w:b/>
          <w:sz w:val="24"/>
          <w:szCs w:val="24"/>
        </w:rPr>
        <w:t>Covariates</w:t>
      </w:r>
      <w:r w:rsidRPr="001E35A2">
        <w:rPr>
          <w:rFonts w:ascii="Times New Roman" w:hAnsi="Times New Roman" w:cs="Times New Roman"/>
          <w:sz w:val="24"/>
          <w:szCs w:val="24"/>
        </w:rPr>
        <w:t xml:space="preserve">: </w:t>
      </w:r>
      <w:r w:rsidR="00C10777" w:rsidRPr="001E35A2">
        <w:rPr>
          <w:rFonts w:ascii="Times New Roman" w:hAnsi="Times New Roman" w:cs="Times New Roman"/>
          <w:sz w:val="24"/>
          <w:szCs w:val="24"/>
        </w:rPr>
        <w:t xml:space="preserve">Individual </w:t>
      </w:r>
      <w:r w:rsidRPr="001E35A2">
        <w:rPr>
          <w:rFonts w:ascii="Times New Roman" w:hAnsi="Times New Roman" w:cs="Times New Roman"/>
          <w:sz w:val="24"/>
          <w:szCs w:val="24"/>
        </w:rPr>
        <w:t xml:space="preserve">characteristics, including year of birth, sex (male or female), race (White, Black, or unknown), and work-site (Plant 1, 2, or 3) were obtained from company records. </w:t>
      </w:r>
      <w:r w:rsidR="00C10777" w:rsidRPr="001E35A2">
        <w:rPr>
          <w:rFonts w:ascii="Times New Roman" w:hAnsi="Times New Roman" w:cs="Times New Roman"/>
          <w:sz w:val="24"/>
          <w:szCs w:val="24"/>
        </w:rPr>
        <w:t>Prior to 1970, race was not systematically recorded on GM employment records</w:t>
      </w:r>
      <w:r w:rsidR="006B704B" w:rsidRPr="001E35A2">
        <w:rPr>
          <w:rFonts w:ascii="Times New Roman" w:hAnsi="Times New Roman" w:cs="Times New Roman"/>
          <w:sz w:val="24"/>
          <w:szCs w:val="24"/>
        </w:rPr>
        <w:t xml:space="preserve"> at hire</w:t>
      </w:r>
      <w:r w:rsidR="00C10777" w:rsidRPr="001E35A2">
        <w:rPr>
          <w:rFonts w:ascii="Times New Roman" w:hAnsi="Times New Roman" w:cs="Times New Roman"/>
          <w:sz w:val="24"/>
          <w:szCs w:val="24"/>
        </w:rPr>
        <w:t xml:space="preserve">. </w:t>
      </w:r>
      <w:r w:rsidRPr="001E35A2">
        <w:rPr>
          <w:rFonts w:ascii="Times New Roman" w:hAnsi="Times New Roman" w:cs="Times New Roman"/>
          <w:sz w:val="24"/>
          <w:szCs w:val="24"/>
        </w:rPr>
        <w:t xml:space="preserve">Subjects with unknown race </w:t>
      </w:r>
      <w:r w:rsidR="007A6E44" w:rsidRPr="001E35A2">
        <w:rPr>
          <w:rFonts w:ascii="Times New Roman" w:hAnsi="Times New Roman" w:cs="Times New Roman"/>
          <w:sz w:val="24"/>
          <w:szCs w:val="24"/>
        </w:rPr>
        <w:t xml:space="preserve">(7.7%) </w:t>
      </w:r>
      <w:r w:rsidRPr="001E35A2">
        <w:rPr>
          <w:rFonts w:ascii="Times New Roman" w:hAnsi="Times New Roman" w:cs="Times New Roman"/>
          <w:sz w:val="24"/>
          <w:szCs w:val="24"/>
        </w:rPr>
        <w:t xml:space="preserve">were assumed to be White in this analysis </w:t>
      </w:r>
      <w:r w:rsidR="00A60861" w:rsidRPr="001E35A2">
        <w:rPr>
          <w:rFonts w:ascii="Times New Roman" w:hAnsi="Times New Roman" w:cs="Times New Roman"/>
          <w:sz w:val="24"/>
          <w:szCs w:val="24"/>
        </w:rPr>
        <w:t xml:space="preserve">based on </w:t>
      </w:r>
      <w:r w:rsidRPr="001E35A2">
        <w:rPr>
          <w:rFonts w:ascii="Times New Roman" w:hAnsi="Times New Roman" w:cs="Times New Roman"/>
          <w:sz w:val="24"/>
          <w:szCs w:val="24"/>
        </w:rPr>
        <w:t xml:space="preserve">the observed racial composition by plant </w:t>
      </w:r>
      <w:r w:rsidR="00A60861" w:rsidRPr="001E35A2">
        <w:rPr>
          <w:rFonts w:ascii="Times New Roman" w:hAnsi="Times New Roman" w:cs="Times New Roman"/>
          <w:sz w:val="24"/>
          <w:szCs w:val="24"/>
        </w:rPr>
        <w:t xml:space="preserve">over </w:t>
      </w:r>
      <w:r w:rsidRPr="001E35A2">
        <w:rPr>
          <w:rFonts w:ascii="Times New Roman" w:hAnsi="Times New Roman" w:cs="Times New Roman"/>
          <w:sz w:val="24"/>
          <w:szCs w:val="24"/>
        </w:rPr>
        <w:t>calendar time.</w:t>
      </w:r>
      <w:r w:rsidRPr="001E35A2">
        <w:rPr>
          <w:rFonts w:ascii="Times New Roman" w:hAnsi="Times New Roman" w:cs="Times New Roman"/>
          <w:sz w:val="24"/>
          <w:szCs w:val="24"/>
        </w:rPr>
        <w:fldChar w:fldCharType="begin" w:fldLock="1"/>
      </w:r>
      <w:r w:rsidR="00D5534F" w:rsidRPr="001E35A2">
        <w:rPr>
          <w:rFonts w:ascii="Times New Roman" w:hAnsi="Times New Roman" w:cs="Times New Roman"/>
          <w:sz w:val="24"/>
          <w:szCs w:val="24"/>
        </w:rPr>
        <w:instrText>ADDIN CSL_CITATION {"citationItems":[{"id":"ITEM-1","itemData":{"DOI":"10.1002/ajim.4700220604","ISSN":"10970274","abstract":"Machining fluids are widely used in a variety of common industrial metalworking operations to lubricate and cool both the tool and the working surfaces. Previous studies have suggested elevated respiratory, digestive, and skin cancers in exposed populations. This cohort study was initiated to assess whether long‐term exposure to machining fluids in the course of machining, grinding, and other cutting operations is associated with excess cancer mortality. The cohort includes more than 45,000 automobile production workers from 3 plants, almost 1 million years of follow‐up, over 10,000 deaths, and an extensive exposure assessment component. Standardized mortality ratios (SMRs) have been estimated for each of the 3 plants, using both U.S. as well as local populations as reference. Relative risks of 1.2–3. 1 have been observed for several specific respiratory and digestive cancers of a priori interest, including cancer of the stomach, large intestine, pancreas, lung, and larynx. In addition, elevated risks for leukemia and asthma were noted. Future exposure‐response analyses will provide the opportunity to identify relatively modest excesses in cause‐specific mortality risk associated with exposure to specific types (straight, soluble, or synthetic), additives, or components of machining fluids. Copyright © 1992 Wiley Periodicals, Inc., A Wiley Company","author":[{"dropping-particle":"","family":"Eisen","given":"E.A.","non-dropping-particle":"","parse-names":false,"suffix":""},{"dropping-particle":"","family":"Tolbert","given":"P.E.","non-dropping-particle":"","parse-names":false,"suffix":""},{"dropping-particle":"","family":"Monson","given":"R.R.","non-dropping-particle":"","parse-names":false,"suffix":""},{"dropping-particle":"","family":"Smith","given":"T.J.","non-dropping-particle":"","parse-names":false,"suffix":""}],"container-title":"American Journal of Industrial Medicine","id":"ITEM-1","issue":"6","issued":{"date-parts":[["1992"]]},"title":"Mortality studies of machining fluid exposure in the automobile industry I: A standardized mortality ratio analysis","type":"article-journal","volume":"22"},"uris":["http://www.mendeley.com/documents/?uuid=439269c9-e819-37b8-b370-c3edf71caf7d"]}],"mendeley":{"formattedCitation":"&lt;sup&gt;23&lt;/sup&gt;","plainTextFormattedCitation":"23","previouslyFormattedCitation":"&lt;sup&gt;23&lt;/sup&gt;"},"properties":{"noteIndex":0},"schema":"https://github.com/citation-style-language/schema/raw/master/csl-citation.json"}</w:instrText>
      </w:r>
      <w:r w:rsidRPr="001E35A2">
        <w:rPr>
          <w:rFonts w:ascii="Times New Roman" w:hAnsi="Times New Roman" w:cs="Times New Roman"/>
          <w:sz w:val="24"/>
          <w:szCs w:val="24"/>
        </w:rPr>
        <w:fldChar w:fldCharType="separate"/>
      </w:r>
      <w:r w:rsidR="005B305D" w:rsidRPr="001E35A2">
        <w:rPr>
          <w:rFonts w:ascii="Times New Roman" w:hAnsi="Times New Roman" w:cs="Times New Roman"/>
          <w:noProof/>
          <w:sz w:val="24"/>
          <w:szCs w:val="24"/>
          <w:vertAlign w:val="superscript"/>
        </w:rPr>
        <w:t>23</w:t>
      </w:r>
      <w:r w:rsidRPr="001E35A2">
        <w:rPr>
          <w:rFonts w:ascii="Times New Roman" w:hAnsi="Times New Roman" w:cs="Times New Roman"/>
          <w:sz w:val="24"/>
          <w:szCs w:val="24"/>
        </w:rPr>
        <w:fldChar w:fldCharType="end"/>
      </w:r>
      <w:r w:rsidR="006E3F01" w:rsidRPr="001E35A2">
        <w:rPr>
          <w:rFonts w:ascii="Times New Roman" w:hAnsi="Times New Roman" w:cs="Times New Roman"/>
          <w:sz w:val="24"/>
          <w:szCs w:val="24"/>
        </w:rPr>
        <w:t xml:space="preserve"> The analyses were restricted to me</w:t>
      </w:r>
      <w:r w:rsidR="00C10777" w:rsidRPr="001E35A2">
        <w:rPr>
          <w:rFonts w:ascii="Times New Roman" w:hAnsi="Times New Roman" w:cs="Times New Roman"/>
          <w:sz w:val="24"/>
          <w:szCs w:val="24"/>
        </w:rPr>
        <w:t>n</w:t>
      </w:r>
      <w:r w:rsidR="006E3F01" w:rsidRPr="001E35A2">
        <w:rPr>
          <w:rFonts w:ascii="Times New Roman" w:hAnsi="Times New Roman" w:cs="Times New Roman"/>
          <w:sz w:val="24"/>
          <w:szCs w:val="24"/>
        </w:rPr>
        <w:t xml:space="preserve"> because </w:t>
      </w:r>
      <w:r w:rsidR="00AC33AE" w:rsidRPr="001E35A2">
        <w:rPr>
          <w:rFonts w:ascii="Times New Roman" w:hAnsi="Times New Roman" w:cs="Times New Roman"/>
          <w:sz w:val="24"/>
          <w:szCs w:val="24"/>
        </w:rPr>
        <w:t>the outcome was too infrequent</w:t>
      </w:r>
      <w:r w:rsidR="006E3F01" w:rsidRPr="001E35A2">
        <w:rPr>
          <w:rFonts w:ascii="Times New Roman" w:hAnsi="Times New Roman" w:cs="Times New Roman"/>
          <w:sz w:val="24"/>
          <w:szCs w:val="24"/>
        </w:rPr>
        <w:t xml:space="preserve"> among women</w:t>
      </w:r>
      <w:r w:rsidR="00AC33AE" w:rsidRPr="001E35A2">
        <w:rPr>
          <w:rFonts w:ascii="Times New Roman" w:hAnsi="Times New Roman" w:cs="Times New Roman"/>
          <w:sz w:val="24"/>
          <w:szCs w:val="24"/>
        </w:rPr>
        <w:t xml:space="preserve"> workers</w:t>
      </w:r>
      <w:r w:rsidR="00C10777" w:rsidRPr="001E35A2">
        <w:rPr>
          <w:rFonts w:ascii="Times New Roman" w:hAnsi="Times New Roman" w:cs="Times New Roman"/>
          <w:sz w:val="24"/>
          <w:szCs w:val="24"/>
        </w:rPr>
        <w:t xml:space="preserve"> </w:t>
      </w:r>
      <w:r w:rsidR="007A6E44" w:rsidRPr="001E35A2">
        <w:rPr>
          <w:rFonts w:ascii="Times New Roman" w:hAnsi="Times New Roman" w:cs="Times New Roman"/>
          <w:sz w:val="24"/>
          <w:szCs w:val="24"/>
        </w:rPr>
        <w:t>(</w:t>
      </w:r>
      <w:r w:rsidR="00BD4FD5" w:rsidRPr="001E35A2">
        <w:rPr>
          <w:rFonts w:ascii="Times New Roman" w:hAnsi="Times New Roman" w:cs="Times New Roman"/>
          <w:sz w:val="24"/>
          <w:szCs w:val="24"/>
        </w:rPr>
        <w:t xml:space="preserve">10 </w:t>
      </w:r>
      <w:r w:rsidR="007A6E44" w:rsidRPr="001E35A2">
        <w:rPr>
          <w:rFonts w:ascii="Times New Roman" w:hAnsi="Times New Roman" w:cs="Times New Roman"/>
          <w:sz w:val="24"/>
          <w:szCs w:val="24"/>
        </w:rPr>
        <w:t xml:space="preserve">suicides and </w:t>
      </w:r>
      <w:r w:rsidR="00BD4FD5" w:rsidRPr="001E35A2">
        <w:rPr>
          <w:rFonts w:ascii="Times New Roman" w:hAnsi="Times New Roman" w:cs="Times New Roman"/>
          <w:sz w:val="24"/>
          <w:szCs w:val="24"/>
        </w:rPr>
        <w:t>3</w:t>
      </w:r>
      <w:r w:rsidR="007A6E44" w:rsidRPr="001E35A2">
        <w:rPr>
          <w:rFonts w:ascii="Times New Roman" w:hAnsi="Times New Roman" w:cs="Times New Roman"/>
          <w:sz w:val="24"/>
          <w:szCs w:val="24"/>
        </w:rPr>
        <w:t xml:space="preserve"> </w:t>
      </w:r>
      <w:r w:rsidR="001B3833" w:rsidRPr="001E35A2">
        <w:rPr>
          <w:rFonts w:ascii="Times New Roman" w:hAnsi="Times New Roman" w:cs="Times New Roman"/>
          <w:sz w:val="24"/>
          <w:szCs w:val="24"/>
        </w:rPr>
        <w:t xml:space="preserve">fatal </w:t>
      </w:r>
      <w:r w:rsidR="007A6E44" w:rsidRPr="001E35A2">
        <w:rPr>
          <w:rFonts w:ascii="Times New Roman" w:hAnsi="Times New Roman" w:cs="Times New Roman"/>
          <w:sz w:val="24"/>
          <w:szCs w:val="24"/>
        </w:rPr>
        <w:t>overdose</w:t>
      </w:r>
      <w:r w:rsidR="001B3833" w:rsidRPr="001E35A2">
        <w:rPr>
          <w:rFonts w:ascii="Times New Roman" w:hAnsi="Times New Roman" w:cs="Times New Roman"/>
          <w:sz w:val="24"/>
          <w:szCs w:val="24"/>
        </w:rPr>
        <w:t>s</w:t>
      </w:r>
      <w:r w:rsidR="00C10777" w:rsidRPr="001E35A2">
        <w:rPr>
          <w:rFonts w:ascii="Times New Roman" w:hAnsi="Times New Roman" w:cs="Times New Roman"/>
          <w:sz w:val="24"/>
          <w:szCs w:val="24"/>
        </w:rPr>
        <w:t>).</w:t>
      </w:r>
    </w:p>
    <w:p w14:paraId="5F2D2197" w14:textId="7B0BFB87" w:rsidR="00B9151F" w:rsidRPr="001E35A2" w:rsidRDefault="00A41B55" w:rsidP="00D8533C">
      <w:pPr>
        <w:spacing w:line="480" w:lineRule="auto"/>
        <w:ind w:firstLine="720"/>
        <w:rPr>
          <w:rFonts w:ascii="Times New Roman" w:hAnsi="Times New Roman" w:cs="Times New Roman"/>
          <w:sz w:val="24"/>
          <w:szCs w:val="24"/>
        </w:rPr>
      </w:pPr>
      <w:r w:rsidRPr="001E35A2">
        <w:rPr>
          <w:rFonts w:ascii="Times New Roman" w:hAnsi="Times New Roman" w:cs="Times New Roman"/>
          <w:b/>
          <w:sz w:val="24"/>
          <w:szCs w:val="24"/>
        </w:rPr>
        <w:t>Analytic Method</w:t>
      </w:r>
      <w:r w:rsidRPr="001E35A2">
        <w:rPr>
          <w:rFonts w:ascii="Times New Roman" w:hAnsi="Times New Roman" w:cs="Times New Roman"/>
          <w:sz w:val="24"/>
          <w:szCs w:val="24"/>
        </w:rPr>
        <w:t>:</w:t>
      </w:r>
      <w:r w:rsidR="00F200BF" w:rsidRPr="001E35A2">
        <w:rPr>
          <w:rFonts w:ascii="Times New Roman" w:hAnsi="Times New Roman" w:cs="Times New Roman"/>
          <w:sz w:val="24"/>
          <w:szCs w:val="24"/>
        </w:rPr>
        <w:t xml:space="preserve"> </w:t>
      </w:r>
      <w:r w:rsidR="00C10777" w:rsidRPr="001E35A2">
        <w:rPr>
          <w:rFonts w:ascii="Times New Roman" w:hAnsi="Times New Roman" w:cs="Times New Roman"/>
          <w:sz w:val="24"/>
          <w:szCs w:val="24"/>
        </w:rPr>
        <w:t>A directed acyclic graph illustrates the</w:t>
      </w:r>
      <w:r w:rsidR="00AC33AE" w:rsidRPr="001E35A2">
        <w:rPr>
          <w:rFonts w:ascii="Times New Roman" w:hAnsi="Times New Roman" w:cs="Times New Roman"/>
          <w:sz w:val="24"/>
          <w:szCs w:val="24"/>
        </w:rPr>
        <w:t xml:space="preserve"> anticipated</w:t>
      </w:r>
      <w:r w:rsidR="00C10777" w:rsidRPr="001E35A2">
        <w:rPr>
          <w:rFonts w:ascii="Times New Roman" w:hAnsi="Times New Roman" w:cs="Times New Roman"/>
          <w:sz w:val="24"/>
          <w:szCs w:val="24"/>
        </w:rPr>
        <w:t xml:space="preserve"> relationships between the exposure, outcome, and hypothesized confounding variables (eFigure 1 in the online </w:t>
      </w:r>
      <w:r w:rsidR="00C10777" w:rsidRPr="001E35A2">
        <w:rPr>
          <w:rFonts w:ascii="Times New Roman" w:hAnsi="Times New Roman" w:cs="Times New Roman"/>
          <w:sz w:val="24"/>
          <w:szCs w:val="24"/>
        </w:rPr>
        <w:lastRenderedPageBreak/>
        <w:t xml:space="preserve">supplement). We used Cox proportional hazards </w:t>
      </w:r>
      <w:r w:rsidR="00AC33AE" w:rsidRPr="001E35A2">
        <w:rPr>
          <w:rFonts w:ascii="Times New Roman" w:hAnsi="Times New Roman" w:cs="Times New Roman"/>
          <w:sz w:val="24"/>
          <w:szCs w:val="24"/>
        </w:rPr>
        <w:t xml:space="preserve">regression to estimate </w:t>
      </w:r>
      <w:r w:rsidR="00C10777" w:rsidRPr="001E35A2">
        <w:rPr>
          <w:rFonts w:ascii="Times New Roman" w:hAnsi="Times New Roman" w:cs="Times New Roman"/>
          <w:sz w:val="24"/>
          <w:szCs w:val="24"/>
        </w:rPr>
        <w:t xml:space="preserve">the </w:t>
      </w:r>
      <w:r w:rsidR="00AC33AE" w:rsidRPr="001E35A2">
        <w:rPr>
          <w:rFonts w:ascii="Times New Roman" w:hAnsi="Times New Roman" w:cs="Times New Roman"/>
          <w:sz w:val="24"/>
          <w:szCs w:val="24"/>
        </w:rPr>
        <w:t>association</w:t>
      </w:r>
      <w:r w:rsidR="000F553A" w:rsidRPr="001E35A2">
        <w:rPr>
          <w:rFonts w:ascii="Times New Roman" w:hAnsi="Times New Roman" w:cs="Times New Roman"/>
          <w:sz w:val="24"/>
          <w:szCs w:val="24"/>
        </w:rPr>
        <w:t>s</w:t>
      </w:r>
      <w:r w:rsidR="00AC33AE" w:rsidRPr="001E35A2">
        <w:rPr>
          <w:rFonts w:ascii="Times New Roman" w:hAnsi="Times New Roman" w:cs="Times New Roman"/>
          <w:sz w:val="24"/>
          <w:szCs w:val="24"/>
        </w:rPr>
        <w:t xml:space="preserve"> </w:t>
      </w:r>
      <w:r w:rsidR="0093378C" w:rsidRPr="001E35A2">
        <w:rPr>
          <w:rFonts w:ascii="Times New Roman" w:hAnsi="Times New Roman" w:cs="Times New Roman"/>
          <w:sz w:val="24"/>
          <w:szCs w:val="24"/>
        </w:rPr>
        <w:t xml:space="preserve">linking </w:t>
      </w:r>
      <w:r w:rsidR="00AC33AE" w:rsidRPr="001E35A2">
        <w:rPr>
          <w:rFonts w:ascii="Times New Roman" w:hAnsi="Times New Roman" w:cs="Times New Roman"/>
          <w:sz w:val="24"/>
          <w:szCs w:val="24"/>
        </w:rPr>
        <w:t xml:space="preserve">job loss </w:t>
      </w:r>
      <w:r w:rsidR="0093378C" w:rsidRPr="001E35A2">
        <w:rPr>
          <w:rFonts w:ascii="Times New Roman" w:hAnsi="Times New Roman" w:cs="Times New Roman"/>
          <w:sz w:val="24"/>
          <w:szCs w:val="24"/>
        </w:rPr>
        <w:t xml:space="preserve">with </w:t>
      </w:r>
      <w:r w:rsidR="00AC33AE" w:rsidRPr="001E35A2">
        <w:rPr>
          <w:rFonts w:ascii="Times New Roman" w:hAnsi="Times New Roman" w:cs="Times New Roman"/>
          <w:sz w:val="24"/>
          <w:szCs w:val="24"/>
        </w:rPr>
        <w:t>s</w:t>
      </w:r>
      <w:r w:rsidR="00C10777" w:rsidRPr="001E35A2">
        <w:rPr>
          <w:rFonts w:ascii="Times New Roman" w:hAnsi="Times New Roman" w:cs="Times New Roman"/>
          <w:sz w:val="24"/>
          <w:szCs w:val="24"/>
        </w:rPr>
        <w:t>uicide</w:t>
      </w:r>
      <w:r w:rsidR="0093378C" w:rsidRPr="001E35A2">
        <w:rPr>
          <w:rFonts w:ascii="Times New Roman" w:hAnsi="Times New Roman" w:cs="Times New Roman"/>
          <w:sz w:val="24"/>
          <w:szCs w:val="24"/>
        </w:rPr>
        <w:t xml:space="preserve"> alone</w:t>
      </w:r>
      <w:r w:rsidR="00C10777" w:rsidRPr="001E35A2">
        <w:rPr>
          <w:rFonts w:ascii="Times New Roman" w:hAnsi="Times New Roman" w:cs="Times New Roman"/>
          <w:sz w:val="24"/>
          <w:szCs w:val="24"/>
        </w:rPr>
        <w:t xml:space="preserve"> and </w:t>
      </w:r>
      <w:r w:rsidR="0093378C" w:rsidRPr="001E35A2">
        <w:rPr>
          <w:rFonts w:ascii="Times New Roman" w:hAnsi="Times New Roman" w:cs="Times New Roman"/>
          <w:sz w:val="24"/>
          <w:szCs w:val="24"/>
        </w:rPr>
        <w:t xml:space="preserve">with suicide combined with </w:t>
      </w:r>
      <w:r w:rsidR="00C10777" w:rsidRPr="001E35A2">
        <w:rPr>
          <w:rFonts w:ascii="Times New Roman" w:hAnsi="Times New Roman" w:cs="Times New Roman"/>
          <w:sz w:val="24"/>
          <w:szCs w:val="24"/>
        </w:rPr>
        <w:t>overdose</w:t>
      </w:r>
      <w:r w:rsidR="0093378C" w:rsidRPr="001E35A2">
        <w:rPr>
          <w:rFonts w:ascii="Times New Roman" w:hAnsi="Times New Roman" w:cs="Times New Roman"/>
          <w:sz w:val="24"/>
          <w:szCs w:val="24"/>
        </w:rPr>
        <w:t>.</w:t>
      </w:r>
      <w:r w:rsidR="00AC33AE" w:rsidRPr="001E35A2">
        <w:rPr>
          <w:rFonts w:ascii="Times New Roman" w:hAnsi="Times New Roman" w:cs="Times New Roman"/>
          <w:sz w:val="24"/>
          <w:szCs w:val="24"/>
        </w:rPr>
        <w:t xml:space="preserve"> We </w:t>
      </w:r>
      <w:r w:rsidR="00C10777" w:rsidRPr="001E35A2">
        <w:rPr>
          <w:rFonts w:ascii="Times New Roman" w:hAnsi="Times New Roman" w:cs="Times New Roman"/>
          <w:sz w:val="24"/>
          <w:szCs w:val="24"/>
        </w:rPr>
        <w:t xml:space="preserve">controlled for </w:t>
      </w:r>
      <w:r w:rsidR="00AC33AE" w:rsidRPr="001E35A2">
        <w:rPr>
          <w:rFonts w:ascii="Times New Roman" w:hAnsi="Times New Roman" w:cs="Times New Roman"/>
          <w:i/>
          <w:iCs/>
          <w:sz w:val="24"/>
          <w:szCs w:val="24"/>
        </w:rPr>
        <w:t xml:space="preserve">a priori </w:t>
      </w:r>
      <w:r w:rsidR="00AC33AE" w:rsidRPr="001E35A2">
        <w:rPr>
          <w:rFonts w:ascii="Times New Roman" w:hAnsi="Times New Roman" w:cs="Times New Roman"/>
          <w:sz w:val="24"/>
          <w:szCs w:val="24"/>
        </w:rPr>
        <w:t xml:space="preserve">specified </w:t>
      </w:r>
      <w:r w:rsidR="00C10777" w:rsidRPr="001E35A2">
        <w:rPr>
          <w:rFonts w:ascii="Times New Roman" w:hAnsi="Times New Roman" w:cs="Times New Roman"/>
          <w:sz w:val="24"/>
          <w:szCs w:val="24"/>
        </w:rPr>
        <w:t>confounders including</w:t>
      </w:r>
      <w:r w:rsidR="00800375" w:rsidRPr="001E35A2">
        <w:rPr>
          <w:rFonts w:ascii="Times New Roman" w:hAnsi="Times New Roman" w:cs="Times New Roman"/>
          <w:sz w:val="24"/>
          <w:szCs w:val="24"/>
        </w:rPr>
        <w:t xml:space="preserve"> </w:t>
      </w:r>
      <w:r w:rsidR="006C739B" w:rsidRPr="001E35A2">
        <w:rPr>
          <w:rFonts w:ascii="Times New Roman" w:hAnsi="Times New Roman" w:cs="Times New Roman"/>
          <w:sz w:val="24"/>
          <w:szCs w:val="24"/>
        </w:rPr>
        <w:t xml:space="preserve">age, </w:t>
      </w:r>
      <w:r w:rsidR="00B6088F" w:rsidRPr="001E35A2">
        <w:rPr>
          <w:rFonts w:ascii="Times New Roman" w:hAnsi="Times New Roman" w:cs="Times New Roman"/>
          <w:sz w:val="24"/>
          <w:szCs w:val="24"/>
        </w:rPr>
        <w:t>race, plant</w:t>
      </w:r>
      <w:r w:rsidR="00C10777" w:rsidRPr="001E35A2">
        <w:rPr>
          <w:rFonts w:ascii="Times New Roman" w:hAnsi="Times New Roman" w:cs="Times New Roman"/>
          <w:sz w:val="24"/>
          <w:szCs w:val="24"/>
        </w:rPr>
        <w:t>,</w:t>
      </w:r>
      <w:r w:rsidR="00B6088F" w:rsidRPr="001E35A2">
        <w:rPr>
          <w:rFonts w:ascii="Times New Roman" w:hAnsi="Times New Roman" w:cs="Times New Roman"/>
          <w:sz w:val="24"/>
          <w:szCs w:val="24"/>
        </w:rPr>
        <w:t xml:space="preserve"> </w:t>
      </w:r>
      <w:r w:rsidR="006C739B" w:rsidRPr="001E35A2">
        <w:rPr>
          <w:rFonts w:ascii="Times New Roman" w:hAnsi="Times New Roman" w:cs="Times New Roman"/>
          <w:sz w:val="24"/>
          <w:szCs w:val="24"/>
        </w:rPr>
        <w:t xml:space="preserve">year </w:t>
      </w:r>
      <w:r w:rsidR="00A60861" w:rsidRPr="001E35A2">
        <w:rPr>
          <w:rFonts w:ascii="Times New Roman" w:hAnsi="Times New Roman" w:cs="Times New Roman"/>
          <w:sz w:val="24"/>
          <w:szCs w:val="24"/>
        </w:rPr>
        <w:t>of hire</w:t>
      </w:r>
      <w:r w:rsidR="006613D9" w:rsidRPr="001E35A2">
        <w:rPr>
          <w:rFonts w:ascii="Times New Roman" w:hAnsi="Times New Roman" w:cs="Times New Roman"/>
          <w:sz w:val="24"/>
          <w:szCs w:val="24"/>
        </w:rPr>
        <w:t xml:space="preserve">, </w:t>
      </w:r>
      <w:r w:rsidR="006C739B" w:rsidRPr="001E35A2">
        <w:rPr>
          <w:rFonts w:ascii="Times New Roman" w:hAnsi="Times New Roman" w:cs="Times New Roman"/>
          <w:sz w:val="24"/>
          <w:szCs w:val="24"/>
        </w:rPr>
        <w:t xml:space="preserve">and </w:t>
      </w:r>
      <w:r w:rsidR="006613D9" w:rsidRPr="001E35A2">
        <w:rPr>
          <w:rFonts w:ascii="Times New Roman" w:hAnsi="Times New Roman" w:cs="Times New Roman"/>
          <w:sz w:val="24"/>
          <w:szCs w:val="24"/>
        </w:rPr>
        <w:t>calendar year</w:t>
      </w:r>
      <w:r w:rsidR="006C739B" w:rsidRPr="001E35A2">
        <w:rPr>
          <w:rFonts w:ascii="Times New Roman" w:hAnsi="Times New Roman" w:cs="Times New Roman"/>
          <w:sz w:val="24"/>
          <w:szCs w:val="24"/>
        </w:rPr>
        <w:t xml:space="preserve"> of follow-up</w:t>
      </w:r>
      <w:r w:rsidR="00B6088F" w:rsidRPr="001E35A2">
        <w:rPr>
          <w:rFonts w:ascii="Times New Roman" w:hAnsi="Times New Roman" w:cs="Times New Roman"/>
          <w:sz w:val="24"/>
          <w:szCs w:val="24"/>
        </w:rPr>
        <w:t>. Depression, depicted as a time-varying confounder affected by prior exposure, was not measured</w:t>
      </w:r>
      <w:r w:rsidR="00D5012B" w:rsidRPr="001E35A2">
        <w:rPr>
          <w:rFonts w:ascii="Times New Roman" w:hAnsi="Times New Roman" w:cs="Times New Roman"/>
          <w:sz w:val="24"/>
          <w:szCs w:val="24"/>
        </w:rPr>
        <w:t>, limiting interpretation of our results</w:t>
      </w:r>
      <w:r w:rsidR="00B6088F" w:rsidRPr="001E35A2">
        <w:rPr>
          <w:rFonts w:ascii="Times New Roman" w:hAnsi="Times New Roman" w:cs="Times New Roman"/>
          <w:sz w:val="24"/>
          <w:szCs w:val="24"/>
        </w:rPr>
        <w:t>.</w:t>
      </w:r>
    </w:p>
    <w:p w14:paraId="686DA0BE" w14:textId="36E85B16" w:rsidR="00B9151F" w:rsidRPr="001E35A2" w:rsidRDefault="006C739B" w:rsidP="00D8533C">
      <w:pPr>
        <w:spacing w:line="480" w:lineRule="auto"/>
        <w:ind w:firstLine="720"/>
        <w:rPr>
          <w:rFonts w:ascii="Times New Roman" w:hAnsi="Times New Roman" w:cs="Times New Roman"/>
          <w:sz w:val="24"/>
          <w:szCs w:val="24"/>
        </w:rPr>
      </w:pPr>
      <w:r w:rsidRPr="001E35A2">
        <w:rPr>
          <w:rFonts w:ascii="Times New Roman" w:hAnsi="Times New Roman" w:cs="Times New Roman"/>
          <w:sz w:val="24"/>
          <w:szCs w:val="24"/>
        </w:rPr>
        <w:t xml:space="preserve">The primary model </w:t>
      </w:r>
      <w:r w:rsidR="0013329F" w:rsidRPr="001E35A2">
        <w:rPr>
          <w:rFonts w:ascii="Times New Roman" w:hAnsi="Times New Roman" w:cs="Times New Roman"/>
          <w:sz w:val="24"/>
          <w:szCs w:val="24"/>
        </w:rPr>
        <w:t>estimate</w:t>
      </w:r>
      <w:r w:rsidRPr="001E35A2">
        <w:rPr>
          <w:rFonts w:ascii="Times New Roman" w:hAnsi="Times New Roman" w:cs="Times New Roman"/>
          <w:sz w:val="24"/>
          <w:szCs w:val="24"/>
        </w:rPr>
        <w:t>s</w:t>
      </w:r>
      <w:r w:rsidR="0013329F" w:rsidRPr="001E35A2">
        <w:rPr>
          <w:rFonts w:ascii="Times New Roman" w:hAnsi="Times New Roman" w:cs="Times New Roman"/>
          <w:sz w:val="24"/>
          <w:szCs w:val="24"/>
        </w:rPr>
        <w:t xml:space="preserve"> adjusted hazard ratios for suicide and overdose in relation to </w:t>
      </w:r>
      <w:r w:rsidRPr="001E35A2">
        <w:rPr>
          <w:rFonts w:ascii="Times New Roman" w:hAnsi="Times New Roman" w:cs="Times New Roman"/>
          <w:sz w:val="24"/>
          <w:szCs w:val="24"/>
        </w:rPr>
        <w:t xml:space="preserve">worker exit </w:t>
      </w:r>
      <w:r w:rsidR="0013329F" w:rsidRPr="001E35A2">
        <w:rPr>
          <w:rFonts w:ascii="Times New Roman" w:hAnsi="Times New Roman" w:cs="Times New Roman"/>
          <w:sz w:val="24"/>
          <w:szCs w:val="24"/>
        </w:rPr>
        <w:t xml:space="preserve">in a </w:t>
      </w:r>
      <w:r w:rsidR="00B9151F" w:rsidRPr="001E35A2">
        <w:rPr>
          <w:rFonts w:ascii="Times New Roman" w:hAnsi="Times New Roman" w:cs="Times New Roman"/>
          <w:sz w:val="24"/>
          <w:szCs w:val="24"/>
        </w:rPr>
        <w:t xml:space="preserve">Cox </w:t>
      </w:r>
      <w:r w:rsidR="00644778" w:rsidRPr="001E35A2">
        <w:rPr>
          <w:rFonts w:ascii="Times New Roman" w:hAnsi="Times New Roman" w:cs="Times New Roman"/>
          <w:sz w:val="24"/>
          <w:szCs w:val="24"/>
        </w:rPr>
        <w:t xml:space="preserve">proportional hazards </w:t>
      </w:r>
      <w:r w:rsidR="00B9151F" w:rsidRPr="001E35A2">
        <w:rPr>
          <w:rFonts w:ascii="Times New Roman" w:hAnsi="Times New Roman" w:cs="Times New Roman"/>
          <w:sz w:val="24"/>
          <w:szCs w:val="24"/>
        </w:rPr>
        <w:t>model</w:t>
      </w:r>
      <w:r w:rsidR="0013329F" w:rsidRPr="001E35A2">
        <w:rPr>
          <w:rFonts w:ascii="Times New Roman" w:hAnsi="Times New Roman" w:cs="Times New Roman"/>
          <w:sz w:val="24"/>
          <w:szCs w:val="24"/>
        </w:rPr>
        <w:t>.</w:t>
      </w:r>
      <w:r w:rsidR="00B9151F" w:rsidRPr="001E35A2">
        <w:rPr>
          <w:rFonts w:ascii="Times New Roman" w:hAnsi="Times New Roman" w:cs="Times New Roman"/>
          <w:sz w:val="24"/>
          <w:szCs w:val="24"/>
        </w:rPr>
        <w:t xml:space="preserve"> </w:t>
      </w:r>
      <w:r w:rsidR="00EF19CF" w:rsidRPr="001E35A2">
        <w:rPr>
          <w:rFonts w:ascii="Times New Roman" w:hAnsi="Times New Roman" w:cs="Times New Roman"/>
          <w:sz w:val="24"/>
          <w:szCs w:val="24"/>
        </w:rPr>
        <w:t xml:space="preserve">Although mortality follow up extends to 2015, employment records end on </w:t>
      </w:r>
      <w:r w:rsidR="006A75B5" w:rsidRPr="001E35A2">
        <w:rPr>
          <w:rFonts w:ascii="Times New Roman" w:hAnsi="Times New Roman" w:cs="Times New Roman"/>
          <w:sz w:val="24"/>
          <w:szCs w:val="24"/>
        </w:rPr>
        <w:t>December 31,</w:t>
      </w:r>
      <w:r w:rsidR="00CA24F0" w:rsidRPr="001E35A2">
        <w:rPr>
          <w:rFonts w:ascii="Times New Roman" w:hAnsi="Times New Roman" w:cs="Times New Roman"/>
          <w:sz w:val="24"/>
          <w:szCs w:val="24"/>
        </w:rPr>
        <w:t xml:space="preserve"> </w:t>
      </w:r>
      <w:r w:rsidR="00B9151F" w:rsidRPr="001E35A2">
        <w:rPr>
          <w:rFonts w:ascii="Times New Roman" w:hAnsi="Times New Roman" w:cs="Times New Roman"/>
          <w:sz w:val="24"/>
          <w:szCs w:val="24"/>
        </w:rPr>
        <w:t>1994</w:t>
      </w:r>
      <w:r w:rsidR="00EF19CF" w:rsidRPr="001E35A2">
        <w:rPr>
          <w:rFonts w:ascii="Times New Roman" w:hAnsi="Times New Roman" w:cs="Times New Roman"/>
          <w:sz w:val="24"/>
          <w:szCs w:val="24"/>
        </w:rPr>
        <w:t>,</w:t>
      </w:r>
      <w:r w:rsidR="00B9151F" w:rsidRPr="001E35A2">
        <w:rPr>
          <w:rFonts w:ascii="Times New Roman" w:hAnsi="Times New Roman" w:cs="Times New Roman"/>
          <w:sz w:val="24"/>
          <w:szCs w:val="24"/>
        </w:rPr>
        <w:t xml:space="preserve"> </w:t>
      </w:r>
      <w:r w:rsidR="00EF19CF" w:rsidRPr="001E35A2">
        <w:rPr>
          <w:rFonts w:ascii="Times New Roman" w:hAnsi="Times New Roman" w:cs="Times New Roman"/>
          <w:sz w:val="24"/>
          <w:szCs w:val="24"/>
        </w:rPr>
        <w:t xml:space="preserve">and </w:t>
      </w:r>
      <w:r w:rsidR="009E405C" w:rsidRPr="001E35A2">
        <w:rPr>
          <w:rFonts w:ascii="Times New Roman" w:hAnsi="Times New Roman" w:cs="Times New Roman"/>
          <w:sz w:val="24"/>
          <w:szCs w:val="24"/>
        </w:rPr>
        <w:t xml:space="preserve">we censor </w:t>
      </w:r>
      <w:r w:rsidR="00EF19CF" w:rsidRPr="001E35A2">
        <w:rPr>
          <w:rFonts w:ascii="Times New Roman" w:hAnsi="Times New Roman" w:cs="Times New Roman"/>
          <w:sz w:val="24"/>
          <w:szCs w:val="24"/>
        </w:rPr>
        <w:t xml:space="preserve">subjects still employed </w:t>
      </w:r>
      <w:r w:rsidR="007C544C" w:rsidRPr="001E35A2">
        <w:rPr>
          <w:rFonts w:ascii="Times New Roman" w:hAnsi="Times New Roman" w:cs="Times New Roman"/>
          <w:sz w:val="24"/>
          <w:szCs w:val="24"/>
        </w:rPr>
        <w:t>a</w:t>
      </w:r>
      <w:r w:rsidR="00644778" w:rsidRPr="001E35A2">
        <w:rPr>
          <w:rFonts w:ascii="Times New Roman" w:hAnsi="Times New Roman" w:cs="Times New Roman"/>
          <w:sz w:val="24"/>
          <w:szCs w:val="24"/>
        </w:rPr>
        <w:t>t that time</w:t>
      </w:r>
      <w:r w:rsidR="00EF19CF" w:rsidRPr="001E35A2">
        <w:rPr>
          <w:rFonts w:ascii="Times New Roman" w:hAnsi="Times New Roman" w:cs="Times New Roman"/>
          <w:sz w:val="24"/>
          <w:szCs w:val="24"/>
        </w:rPr>
        <w:t>.</w:t>
      </w:r>
      <w:r w:rsidR="00B9151F" w:rsidRPr="001E35A2">
        <w:rPr>
          <w:rFonts w:ascii="Times New Roman" w:hAnsi="Times New Roman" w:cs="Times New Roman"/>
          <w:sz w:val="24"/>
          <w:szCs w:val="24"/>
        </w:rPr>
        <w:t xml:space="preserve"> The time metric for the</w:t>
      </w:r>
      <w:r w:rsidR="006613D9" w:rsidRPr="001E35A2">
        <w:rPr>
          <w:rFonts w:ascii="Times New Roman" w:hAnsi="Times New Roman" w:cs="Times New Roman"/>
          <w:sz w:val="24"/>
          <w:szCs w:val="24"/>
        </w:rPr>
        <w:t>se</w:t>
      </w:r>
      <w:r w:rsidR="00B9151F" w:rsidRPr="001E35A2">
        <w:rPr>
          <w:rFonts w:ascii="Times New Roman" w:hAnsi="Times New Roman" w:cs="Times New Roman"/>
          <w:sz w:val="24"/>
          <w:szCs w:val="24"/>
        </w:rPr>
        <w:t xml:space="preserve"> Cox model</w:t>
      </w:r>
      <w:r w:rsidR="006613D9" w:rsidRPr="001E35A2">
        <w:rPr>
          <w:rFonts w:ascii="Times New Roman" w:hAnsi="Times New Roman" w:cs="Times New Roman"/>
          <w:sz w:val="24"/>
          <w:szCs w:val="24"/>
        </w:rPr>
        <w:t>s</w:t>
      </w:r>
      <w:r w:rsidR="00B9151F" w:rsidRPr="001E35A2">
        <w:rPr>
          <w:rFonts w:ascii="Times New Roman" w:hAnsi="Times New Roman" w:cs="Times New Roman"/>
          <w:sz w:val="24"/>
          <w:szCs w:val="24"/>
        </w:rPr>
        <w:t xml:space="preserve"> was age, and the model includes race</w:t>
      </w:r>
      <w:r w:rsidR="00644778" w:rsidRPr="001E35A2">
        <w:rPr>
          <w:rFonts w:ascii="Times New Roman" w:hAnsi="Times New Roman" w:cs="Times New Roman"/>
          <w:sz w:val="24"/>
          <w:szCs w:val="24"/>
        </w:rPr>
        <w:t>,</w:t>
      </w:r>
      <w:r w:rsidR="00B9151F" w:rsidRPr="001E35A2">
        <w:rPr>
          <w:rFonts w:ascii="Times New Roman" w:hAnsi="Times New Roman" w:cs="Times New Roman"/>
          <w:sz w:val="24"/>
          <w:szCs w:val="24"/>
        </w:rPr>
        <w:t xml:space="preserve"> plant, </w:t>
      </w:r>
      <w:r w:rsidR="00644778" w:rsidRPr="001E35A2">
        <w:rPr>
          <w:rFonts w:ascii="Times New Roman" w:hAnsi="Times New Roman" w:cs="Times New Roman"/>
          <w:sz w:val="24"/>
          <w:szCs w:val="24"/>
        </w:rPr>
        <w:t xml:space="preserve">and </w:t>
      </w:r>
      <w:r w:rsidRPr="001E35A2">
        <w:rPr>
          <w:rFonts w:ascii="Times New Roman" w:hAnsi="Times New Roman" w:cs="Times New Roman"/>
          <w:sz w:val="24"/>
          <w:szCs w:val="24"/>
        </w:rPr>
        <w:t xml:space="preserve">year </w:t>
      </w:r>
      <w:r w:rsidR="00644778" w:rsidRPr="001E35A2">
        <w:rPr>
          <w:rFonts w:ascii="Times New Roman" w:hAnsi="Times New Roman" w:cs="Times New Roman"/>
          <w:sz w:val="24"/>
          <w:szCs w:val="24"/>
        </w:rPr>
        <w:t xml:space="preserve">of hire, </w:t>
      </w:r>
      <w:r w:rsidR="00B9151F" w:rsidRPr="001E35A2">
        <w:rPr>
          <w:rFonts w:ascii="Times New Roman" w:hAnsi="Times New Roman" w:cs="Times New Roman"/>
          <w:sz w:val="24"/>
          <w:szCs w:val="24"/>
        </w:rPr>
        <w:t>as well as a</w:t>
      </w:r>
      <w:r w:rsidR="00D95162" w:rsidRPr="001E35A2">
        <w:rPr>
          <w:rFonts w:ascii="Times New Roman" w:hAnsi="Times New Roman" w:cs="Times New Roman"/>
          <w:sz w:val="24"/>
          <w:szCs w:val="24"/>
        </w:rPr>
        <w:t xml:space="preserve"> time-</w:t>
      </w:r>
      <w:r w:rsidR="00BE2C41" w:rsidRPr="001E35A2">
        <w:rPr>
          <w:rFonts w:ascii="Times New Roman" w:hAnsi="Times New Roman" w:cs="Times New Roman"/>
          <w:sz w:val="24"/>
          <w:szCs w:val="24"/>
        </w:rPr>
        <w:t>dependent</w:t>
      </w:r>
      <w:r w:rsidR="00B9151F" w:rsidRPr="001E35A2">
        <w:rPr>
          <w:rFonts w:ascii="Times New Roman" w:hAnsi="Times New Roman" w:cs="Times New Roman"/>
          <w:sz w:val="24"/>
          <w:szCs w:val="24"/>
        </w:rPr>
        <w:t xml:space="preserve"> penalized spline </w:t>
      </w:r>
      <w:r w:rsidR="00D95162" w:rsidRPr="001E35A2">
        <w:rPr>
          <w:rFonts w:ascii="Times New Roman" w:hAnsi="Times New Roman" w:cs="Times New Roman"/>
          <w:sz w:val="24"/>
          <w:szCs w:val="24"/>
        </w:rPr>
        <w:t>function of</w:t>
      </w:r>
      <w:r w:rsidR="00B9151F" w:rsidRPr="001E35A2">
        <w:rPr>
          <w:rFonts w:ascii="Times New Roman" w:hAnsi="Times New Roman" w:cs="Times New Roman"/>
          <w:sz w:val="24"/>
          <w:szCs w:val="24"/>
        </w:rPr>
        <w:t xml:space="preserve"> calendar year</w:t>
      </w:r>
      <w:r w:rsidR="006613D9" w:rsidRPr="001E35A2">
        <w:rPr>
          <w:rFonts w:ascii="Times New Roman" w:hAnsi="Times New Roman" w:cs="Times New Roman"/>
          <w:sz w:val="24"/>
          <w:szCs w:val="24"/>
        </w:rPr>
        <w:t xml:space="preserve"> of follow-up</w:t>
      </w:r>
      <w:r w:rsidR="00B9151F" w:rsidRPr="001E35A2">
        <w:rPr>
          <w:rFonts w:ascii="Times New Roman" w:hAnsi="Times New Roman" w:cs="Times New Roman"/>
          <w:sz w:val="24"/>
          <w:szCs w:val="24"/>
        </w:rPr>
        <w:t>.</w:t>
      </w:r>
    </w:p>
    <w:p w14:paraId="1A4A7F6E" w14:textId="6B2F32CF" w:rsidR="00A41B55" w:rsidRPr="001E35A2" w:rsidRDefault="006C739B" w:rsidP="00D8533C">
      <w:pPr>
        <w:spacing w:line="480" w:lineRule="auto"/>
        <w:ind w:firstLine="720"/>
        <w:rPr>
          <w:rFonts w:ascii="Times New Roman" w:hAnsi="Times New Roman" w:cs="Times New Roman"/>
          <w:sz w:val="24"/>
          <w:szCs w:val="24"/>
        </w:rPr>
      </w:pPr>
      <w:r w:rsidRPr="001E35A2">
        <w:rPr>
          <w:rFonts w:ascii="Times New Roman" w:hAnsi="Times New Roman" w:cs="Times New Roman"/>
          <w:sz w:val="24"/>
          <w:szCs w:val="24"/>
        </w:rPr>
        <w:t xml:space="preserve">The secondary model uses </w:t>
      </w:r>
      <w:r w:rsidR="006B704B" w:rsidRPr="001E35A2">
        <w:rPr>
          <w:rFonts w:ascii="Times New Roman" w:hAnsi="Times New Roman" w:cs="Times New Roman"/>
          <w:sz w:val="24"/>
          <w:szCs w:val="24"/>
        </w:rPr>
        <w:t xml:space="preserve">decade of </w:t>
      </w:r>
      <w:r w:rsidR="00B9151F" w:rsidRPr="001E35A2">
        <w:rPr>
          <w:rFonts w:ascii="Times New Roman" w:hAnsi="Times New Roman" w:cs="Times New Roman"/>
          <w:sz w:val="24"/>
          <w:szCs w:val="24"/>
        </w:rPr>
        <w:t xml:space="preserve">age at </w:t>
      </w:r>
      <w:r w:rsidR="00485D51" w:rsidRPr="001E35A2">
        <w:rPr>
          <w:rFonts w:ascii="Times New Roman" w:hAnsi="Times New Roman" w:cs="Times New Roman"/>
          <w:sz w:val="24"/>
          <w:szCs w:val="24"/>
        </w:rPr>
        <w:t>worker exit</w:t>
      </w:r>
      <w:r w:rsidR="00B9151F" w:rsidRPr="001E35A2">
        <w:rPr>
          <w:rFonts w:ascii="Times New Roman" w:hAnsi="Times New Roman" w:cs="Times New Roman"/>
          <w:sz w:val="24"/>
          <w:szCs w:val="24"/>
        </w:rPr>
        <w:t xml:space="preserve"> as the exposure of interest</w:t>
      </w:r>
      <w:r w:rsidRPr="001E35A2">
        <w:rPr>
          <w:rFonts w:ascii="Times New Roman" w:hAnsi="Times New Roman" w:cs="Times New Roman"/>
          <w:sz w:val="24"/>
          <w:szCs w:val="24"/>
        </w:rPr>
        <w:t>, to contrast workers retiring at retirement age (</w:t>
      </w:r>
      <w:r w:rsidR="00767EC4">
        <w:rPr>
          <w:rFonts w:ascii="Times New Roman" w:hAnsi="Times New Roman" w:cs="Times New Roman"/>
          <w:sz w:val="24"/>
          <w:szCs w:val="24"/>
        </w:rPr>
        <w:t>≥</w:t>
      </w:r>
      <w:r w:rsidR="00BA0A7F">
        <w:rPr>
          <w:rFonts w:ascii="Times New Roman" w:hAnsi="Times New Roman" w:cs="Times New Roman"/>
          <w:sz w:val="24"/>
          <w:szCs w:val="24"/>
        </w:rPr>
        <w:t> </w:t>
      </w:r>
      <w:r w:rsidRPr="001E35A2">
        <w:rPr>
          <w:rFonts w:ascii="Times New Roman" w:hAnsi="Times New Roman" w:cs="Times New Roman"/>
          <w:sz w:val="24"/>
          <w:szCs w:val="24"/>
        </w:rPr>
        <w:t xml:space="preserve">55) versus workers exiting </w:t>
      </w:r>
      <w:r w:rsidR="00F4513B" w:rsidRPr="001E35A2">
        <w:rPr>
          <w:rFonts w:ascii="Times New Roman" w:hAnsi="Times New Roman" w:cs="Times New Roman"/>
          <w:sz w:val="24"/>
          <w:szCs w:val="24"/>
        </w:rPr>
        <w:t>before retirement age.</w:t>
      </w:r>
      <w:r w:rsidR="00591688">
        <w:rPr>
          <w:rFonts w:ascii="Times New Roman" w:hAnsi="Times New Roman" w:cs="Times New Roman"/>
          <w:sz w:val="24"/>
          <w:szCs w:val="24"/>
        </w:rPr>
        <w:t xml:space="preserve"> </w:t>
      </w:r>
      <w:r w:rsidR="006613D9" w:rsidRPr="001E35A2">
        <w:rPr>
          <w:rFonts w:ascii="Times New Roman" w:hAnsi="Times New Roman" w:cs="Times New Roman"/>
          <w:sz w:val="24"/>
          <w:szCs w:val="24"/>
        </w:rPr>
        <w:t xml:space="preserve">The </w:t>
      </w:r>
      <w:r w:rsidR="00EF19CF" w:rsidRPr="001E35A2">
        <w:rPr>
          <w:rFonts w:ascii="Times New Roman" w:hAnsi="Times New Roman" w:cs="Times New Roman"/>
          <w:sz w:val="24"/>
          <w:szCs w:val="24"/>
        </w:rPr>
        <w:t xml:space="preserve">time </w:t>
      </w:r>
      <w:r w:rsidR="006613D9" w:rsidRPr="001E35A2">
        <w:rPr>
          <w:rFonts w:ascii="Times New Roman" w:hAnsi="Times New Roman" w:cs="Times New Roman"/>
          <w:sz w:val="24"/>
          <w:szCs w:val="24"/>
        </w:rPr>
        <w:t xml:space="preserve">metric </w:t>
      </w:r>
      <w:r w:rsidR="00644778" w:rsidRPr="001E35A2">
        <w:rPr>
          <w:rFonts w:ascii="Times New Roman" w:hAnsi="Times New Roman" w:cs="Times New Roman"/>
          <w:sz w:val="24"/>
          <w:szCs w:val="24"/>
        </w:rPr>
        <w:t xml:space="preserve">in these models </w:t>
      </w:r>
      <w:r w:rsidR="006613D9" w:rsidRPr="001E35A2">
        <w:rPr>
          <w:rFonts w:ascii="Times New Roman" w:hAnsi="Times New Roman" w:cs="Times New Roman"/>
          <w:sz w:val="24"/>
          <w:szCs w:val="24"/>
        </w:rPr>
        <w:t>wa</w:t>
      </w:r>
      <w:r w:rsidR="00EF19CF" w:rsidRPr="001E35A2">
        <w:rPr>
          <w:rFonts w:ascii="Times New Roman" w:hAnsi="Times New Roman" w:cs="Times New Roman"/>
          <w:sz w:val="24"/>
          <w:szCs w:val="24"/>
        </w:rPr>
        <w:t>s</w:t>
      </w:r>
      <w:r w:rsidR="00F200BF" w:rsidRPr="001E35A2">
        <w:rPr>
          <w:rFonts w:ascii="Times New Roman" w:hAnsi="Times New Roman" w:cs="Times New Roman"/>
          <w:sz w:val="24"/>
          <w:szCs w:val="24"/>
        </w:rPr>
        <w:t xml:space="preserve"> </w:t>
      </w:r>
      <w:r w:rsidR="00EA0A17" w:rsidRPr="001E35A2">
        <w:rPr>
          <w:rFonts w:ascii="Times New Roman" w:hAnsi="Times New Roman" w:cs="Times New Roman"/>
          <w:sz w:val="24"/>
          <w:szCs w:val="24"/>
        </w:rPr>
        <w:t xml:space="preserve">years </w:t>
      </w:r>
      <w:r w:rsidR="00F200BF" w:rsidRPr="001E35A2">
        <w:rPr>
          <w:rFonts w:ascii="Times New Roman" w:hAnsi="Times New Roman" w:cs="Times New Roman"/>
          <w:sz w:val="24"/>
          <w:szCs w:val="24"/>
        </w:rPr>
        <w:t xml:space="preserve">since </w:t>
      </w:r>
      <w:r w:rsidR="00644778" w:rsidRPr="001E35A2">
        <w:rPr>
          <w:rFonts w:ascii="Times New Roman" w:hAnsi="Times New Roman" w:cs="Times New Roman"/>
          <w:sz w:val="24"/>
          <w:szCs w:val="24"/>
        </w:rPr>
        <w:t>worker exit</w:t>
      </w:r>
      <w:r w:rsidR="006613D9" w:rsidRPr="001E35A2">
        <w:rPr>
          <w:rFonts w:ascii="Times New Roman" w:hAnsi="Times New Roman" w:cs="Times New Roman"/>
          <w:sz w:val="24"/>
          <w:szCs w:val="24"/>
        </w:rPr>
        <w:t>;</w:t>
      </w:r>
      <w:r w:rsidR="00644778" w:rsidRPr="001E35A2">
        <w:rPr>
          <w:rFonts w:ascii="Times New Roman" w:hAnsi="Times New Roman" w:cs="Times New Roman"/>
          <w:sz w:val="24"/>
          <w:szCs w:val="24"/>
        </w:rPr>
        <w:t xml:space="preserve"> </w:t>
      </w:r>
      <w:r w:rsidR="00F4513B" w:rsidRPr="001E35A2">
        <w:rPr>
          <w:rFonts w:ascii="Times New Roman" w:hAnsi="Times New Roman" w:cs="Times New Roman"/>
          <w:sz w:val="24"/>
          <w:szCs w:val="24"/>
        </w:rPr>
        <w:t xml:space="preserve">mortality </w:t>
      </w:r>
      <w:r w:rsidR="007857E0" w:rsidRPr="001E35A2">
        <w:rPr>
          <w:rFonts w:ascii="Times New Roman" w:hAnsi="Times New Roman" w:cs="Times New Roman"/>
          <w:sz w:val="24"/>
          <w:szCs w:val="24"/>
        </w:rPr>
        <w:t xml:space="preserve">follow-up starts at </w:t>
      </w:r>
      <w:r w:rsidR="00644778" w:rsidRPr="001E35A2">
        <w:rPr>
          <w:rFonts w:ascii="Times New Roman" w:hAnsi="Times New Roman" w:cs="Times New Roman"/>
          <w:sz w:val="24"/>
          <w:szCs w:val="24"/>
        </w:rPr>
        <w:t>the date of exit</w:t>
      </w:r>
      <w:r w:rsidR="007857E0" w:rsidRPr="001E35A2">
        <w:rPr>
          <w:rFonts w:ascii="Times New Roman" w:hAnsi="Times New Roman" w:cs="Times New Roman"/>
          <w:sz w:val="24"/>
          <w:szCs w:val="24"/>
        </w:rPr>
        <w:t xml:space="preserve">. </w:t>
      </w:r>
      <w:r w:rsidR="00F4513B" w:rsidRPr="001E35A2">
        <w:rPr>
          <w:rFonts w:ascii="Times New Roman" w:hAnsi="Times New Roman" w:cs="Times New Roman"/>
          <w:sz w:val="24"/>
          <w:szCs w:val="24"/>
        </w:rPr>
        <w:t xml:space="preserve">Individuals </w:t>
      </w:r>
      <w:r w:rsidR="007857E0" w:rsidRPr="001E35A2">
        <w:rPr>
          <w:rFonts w:ascii="Times New Roman" w:hAnsi="Times New Roman" w:cs="Times New Roman"/>
          <w:sz w:val="24"/>
          <w:szCs w:val="24"/>
        </w:rPr>
        <w:t xml:space="preserve">still </w:t>
      </w:r>
      <w:r w:rsidR="006613D9" w:rsidRPr="001E35A2">
        <w:rPr>
          <w:rFonts w:ascii="Times New Roman" w:hAnsi="Times New Roman" w:cs="Times New Roman"/>
          <w:sz w:val="24"/>
          <w:szCs w:val="24"/>
        </w:rPr>
        <w:t xml:space="preserve">employed when work records end on December 31, 1994 </w:t>
      </w:r>
      <w:r w:rsidR="007857E0" w:rsidRPr="001E35A2">
        <w:rPr>
          <w:rFonts w:ascii="Times New Roman" w:hAnsi="Times New Roman" w:cs="Times New Roman"/>
          <w:sz w:val="24"/>
          <w:szCs w:val="24"/>
        </w:rPr>
        <w:t xml:space="preserve">were </w:t>
      </w:r>
      <w:r w:rsidR="00CA24F0" w:rsidRPr="001E35A2">
        <w:rPr>
          <w:rFonts w:ascii="Times New Roman" w:hAnsi="Times New Roman" w:cs="Times New Roman"/>
          <w:sz w:val="24"/>
          <w:szCs w:val="24"/>
        </w:rPr>
        <w:t>necessarily excluded from th</w:t>
      </w:r>
      <w:r w:rsidR="00337373" w:rsidRPr="001E35A2">
        <w:rPr>
          <w:rFonts w:ascii="Times New Roman" w:hAnsi="Times New Roman" w:cs="Times New Roman"/>
          <w:sz w:val="24"/>
          <w:szCs w:val="24"/>
        </w:rPr>
        <w:t>e</w:t>
      </w:r>
      <w:r w:rsidR="00CA24F0" w:rsidRPr="001E35A2">
        <w:rPr>
          <w:rFonts w:ascii="Times New Roman" w:hAnsi="Times New Roman" w:cs="Times New Roman"/>
          <w:sz w:val="24"/>
          <w:szCs w:val="24"/>
        </w:rPr>
        <w:t>s</w:t>
      </w:r>
      <w:r w:rsidR="00337373" w:rsidRPr="001E35A2">
        <w:rPr>
          <w:rFonts w:ascii="Times New Roman" w:hAnsi="Times New Roman" w:cs="Times New Roman"/>
          <w:sz w:val="24"/>
          <w:szCs w:val="24"/>
        </w:rPr>
        <w:t xml:space="preserve">e models </w:t>
      </w:r>
      <w:r w:rsidR="00CA24F0" w:rsidRPr="001E35A2">
        <w:rPr>
          <w:rFonts w:ascii="Times New Roman" w:hAnsi="Times New Roman" w:cs="Times New Roman"/>
          <w:sz w:val="24"/>
          <w:szCs w:val="24"/>
        </w:rPr>
        <w:t>because date of exit (and thus start of follow-up) was unknown</w:t>
      </w:r>
      <w:r w:rsidR="00F4513B" w:rsidRPr="001E35A2">
        <w:rPr>
          <w:rFonts w:ascii="Times New Roman" w:hAnsi="Times New Roman" w:cs="Times New Roman"/>
          <w:sz w:val="24"/>
          <w:szCs w:val="24"/>
        </w:rPr>
        <w:t xml:space="preserve">. </w:t>
      </w:r>
    </w:p>
    <w:p w14:paraId="0C6BF987" w14:textId="0AFB1AE9" w:rsidR="00900166" w:rsidRPr="001E35A2" w:rsidRDefault="00900166" w:rsidP="00D8533C">
      <w:pPr>
        <w:spacing w:line="480" w:lineRule="auto"/>
        <w:ind w:firstLine="720"/>
        <w:rPr>
          <w:rFonts w:ascii="Times New Roman" w:hAnsi="Times New Roman" w:cs="Times New Roman"/>
          <w:sz w:val="24"/>
          <w:szCs w:val="24"/>
        </w:rPr>
      </w:pPr>
      <w:r w:rsidRPr="001E35A2">
        <w:rPr>
          <w:rFonts w:ascii="Times New Roman" w:hAnsi="Times New Roman" w:cs="Times New Roman"/>
          <w:sz w:val="24"/>
          <w:szCs w:val="24"/>
        </w:rPr>
        <w:t xml:space="preserve">We also analyzed </w:t>
      </w:r>
      <w:r w:rsidR="00D214A3" w:rsidRPr="001E35A2">
        <w:rPr>
          <w:rFonts w:ascii="Times New Roman" w:hAnsi="Times New Roman" w:cs="Times New Roman"/>
          <w:sz w:val="24"/>
          <w:szCs w:val="24"/>
        </w:rPr>
        <w:t>the</w:t>
      </w:r>
      <w:r w:rsidRPr="001E35A2">
        <w:rPr>
          <w:rFonts w:ascii="Times New Roman" w:hAnsi="Times New Roman" w:cs="Times New Roman"/>
          <w:sz w:val="24"/>
          <w:szCs w:val="24"/>
        </w:rPr>
        <w:t xml:space="preserve"> combined outcome</w:t>
      </w:r>
      <w:r w:rsidR="00D214A3" w:rsidRPr="001E35A2">
        <w:rPr>
          <w:rFonts w:ascii="Times New Roman" w:hAnsi="Times New Roman" w:cs="Times New Roman"/>
          <w:sz w:val="24"/>
          <w:szCs w:val="24"/>
        </w:rPr>
        <w:t xml:space="preserve">, including both fatal </w:t>
      </w:r>
      <w:r w:rsidRPr="001E35A2">
        <w:rPr>
          <w:rFonts w:ascii="Times New Roman" w:hAnsi="Times New Roman" w:cs="Times New Roman"/>
          <w:sz w:val="24"/>
          <w:szCs w:val="24"/>
        </w:rPr>
        <w:t>overdose and suicide</w:t>
      </w:r>
      <w:r w:rsidR="00D214A3" w:rsidRPr="001E35A2">
        <w:rPr>
          <w:rFonts w:ascii="Times New Roman" w:hAnsi="Times New Roman" w:cs="Times New Roman"/>
          <w:sz w:val="24"/>
          <w:szCs w:val="24"/>
        </w:rPr>
        <w:t>,</w:t>
      </w:r>
      <w:r w:rsidRPr="001E35A2">
        <w:rPr>
          <w:rFonts w:ascii="Times New Roman" w:hAnsi="Times New Roman" w:cs="Times New Roman"/>
          <w:sz w:val="24"/>
          <w:szCs w:val="24"/>
        </w:rPr>
        <w:t xml:space="preserve"> to account for outcome misclassification. Suicides using opioids and other drugs are substantially under-reported by medical examiners and coroners.</w:t>
      </w:r>
      <w:r w:rsidRPr="001E35A2">
        <w:rPr>
          <w:rFonts w:ascii="Times New Roman" w:hAnsi="Times New Roman" w:cs="Times New Roman"/>
          <w:sz w:val="24"/>
          <w:szCs w:val="24"/>
        </w:rPr>
        <w:fldChar w:fldCharType="begin" w:fldLock="1"/>
      </w:r>
      <w:r w:rsidR="00D5534F" w:rsidRPr="001E35A2">
        <w:rPr>
          <w:rFonts w:ascii="Times New Roman" w:hAnsi="Times New Roman" w:cs="Times New Roman"/>
          <w:sz w:val="24"/>
          <w:szCs w:val="24"/>
        </w:rPr>
        <w:instrText>ADDIN CSL_CITATION {"citationItems":[{"id":"ITEM-1","itemData":{"DOI":"10.2105/AJPH.2017.303863","ISSN":"15410048","PMID":"28640689","abstract":"Manner of death (MOD) classification (i.e., natural, accident, suicide, homicide, or undetermined cause) affects mortality surveillance and public health research, policy, and practice. Determination of MOD in deaths caused by drug intoxication is challenging, with marked variability across states. The Centers for Disease Control and Prevention hosted a multidisciplinary meeting to discuss drug intoxication deaths as they relate to suicide and other MOD. The meeting objectives were to identify individual-level, system-level, and place-based factors affecting MOD classification and identify potential solutions to classification barriers. Suggested strategies included improved standardization in death scene investigation, toxicology, and autopsy practice; greater accountability; and creation of job aids for investigators. Continued collaboration and coordination of activities are needed among stakeholders to affect prevention efforts.","author":[{"dropping-particle":"","family":"Stone","given":"Deborah M.","non-dropping-particle":"","parse-names":false,"suffix":""},{"dropping-particle":"","family":"Holland","given":"Kristin M.","non-dropping-particle":"","parse-names":false,"suffix":""},{"dropping-particle":"","family":"Bartholow","given":"Brad","non-dropping-particle":"","parse-names":false,"suffix":""},{"dropping-particle":"","family":"Logan","given":"Joseph E.","non-dropping-particle":"","parse-names":false,"suffix":""},{"dropping-particle":"","family":"LiKamWa McIntosh","given":"Wendy","non-dropping-particle":"","parse-names":false,"suffix":""},{"dropping-particle":"","family":"Trudeau","given":"Aimee","non-dropping-particle":"","parse-names":false,"suffix":""},{"dropping-particle":"","family":"Rockett","given":"Ian R.H.","non-dropping-particle":"","parse-names":false,"suffix":""}],"container-title":"American Journal of Public Health","id":"ITEM-1","issue":"8","issued":{"date-parts":[["2017"]]},"page":"1233-1239","title":"Deciphering suicide and other manners of death associated with drug intoxication: A centers for disease control and prevention consultation meeting summary","type":"article-journal","volume":"107"},"uris":["http://www.mendeley.com/documents/?uuid=082a14d9-f5a5-4af4-99b6-53652c727979"]}],"mendeley":{"formattedCitation":"&lt;sup&gt;24&lt;/sup&gt;","plainTextFormattedCitation":"24","previouslyFormattedCitation":"&lt;sup&gt;24&lt;/sup&gt;"},"properties":{"noteIndex":0},"schema":"https://github.com/citation-style-language/schema/raw/master/csl-citation.json"}</w:instrText>
      </w:r>
      <w:r w:rsidRPr="001E35A2">
        <w:rPr>
          <w:rFonts w:ascii="Times New Roman" w:hAnsi="Times New Roman" w:cs="Times New Roman"/>
          <w:sz w:val="24"/>
          <w:szCs w:val="24"/>
        </w:rPr>
        <w:fldChar w:fldCharType="separate"/>
      </w:r>
      <w:r w:rsidR="005B305D" w:rsidRPr="001E35A2">
        <w:rPr>
          <w:rFonts w:ascii="Times New Roman" w:hAnsi="Times New Roman" w:cs="Times New Roman"/>
          <w:noProof/>
          <w:sz w:val="24"/>
          <w:szCs w:val="24"/>
          <w:vertAlign w:val="superscript"/>
        </w:rPr>
        <w:t>24</w:t>
      </w:r>
      <w:r w:rsidRPr="001E35A2">
        <w:rPr>
          <w:rFonts w:ascii="Times New Roman" w:hAnsi="Times New Roman" w:cs="Times New Roman"/>
          <w:sz w:val="24"/>
          <w:szCs w:val="24"/>
        </w:rPr>
        <w:fldChar w:fldCharType="end"/>
      </w:r>
    </w:p>
    <w:p w14:paraId="548BFB60" w14:textId="5E440DCC" w:rsidR="00F25E4B" w:rsidRPr="001E35A2" w:rsidRDefault="00900166" w:rsidP="00D8533C">
      <w:pPr>
        <w:spacing w:line="480" w:lineRule="auto"/>
        <w:ind w:firstLine="720"/>
        <w:rPr>
          <w:rFonts w:ascii="Times New Roman" w:hAnsi="Times New Roman" w:cs="Times New Roman"/>
          <w:sz w:val="24"/>
          <w:szCs w:val="24"/>
        </w:rPr>
      </w:pPr>
      <w:r w:rsidRPr="001E35A2">
        <w:rPr>
          <w:rFonts w:ascii="Times New Roman" w:hAnsi="Times New Roman" w:cs="Times New Roman"/>
          <w:b/>
          <w:bCs/>
          <w:sz w:val="24"/>
          <w:szCs w:val="24"/>
        </w:rPr>
        <w:t>Sensitivity Analyses</w:t>
      </w:r>
      <w:r w:rsidRPr="001E35A2">
        <w:rPr>
          <w:rFonts w:ascii="Times New Roman" w:hAnsi="Times New Roman" w:cs="Times New Roman"/>
          <w:sz w:val="24"/>
          <w:szCs w:val="24"/>
        </w:rPr>
        <w:t xml:space="preserve">: The sensitivity analyses we conducted are described in the </w:t>
      </w:r>
      <w:r w:rsidR="00B44D68" w:rsidRPr="001E35A2">
        <w:rPr>
          <w:rFonts w:ascii="Times New Roman" w:hAnsi="Times New Roman" w:cs="Times New Roman"/>
          <w:sz w:val="24"/>
          <w:szCs w:val="24"/>
        </w:rPr>
        <w:t>online supplement</w:t>
      </w:r>
      <w:r w:rsidRPr="001E35A2">
        <w:rPr>
          <w:rFonts w:ascii="Times New Roman" w:hAnsi="Times New Roman" w:cs="Times New Roman"/>
          <w:sz w:val="24"/>
          <w:szCs w:val="24"/>
        </w:rPr>
        <w:t>. To account for the possibility that the recorded work termination dates might be artificially back-dated when an employee dies suddenly, we reclassif</w:t>
      </w:r>
      <w:r w:rsidR="00603656" w:rsidRPr="001E35A2">
        <w:rPr>
          <w:rFonts w:ascii="Times New Roman" w:hAnsi="Times New Roman" w:cs="Times New Roman"/>
          <w:sz w:val="24"/>
          <w:szCs w:val="24"/>
        </w:rPr>
        <w:t>ied</w:t>
      </w:r>
      <w:r w:rsidRPr="001E35A2">
        <w:rPr>
          <w:rFonts w:ascii="Times New Roman" w:hAnsi="Times New Roman" w:cs="Times New Roman"/>
          <w:sz w:val="24"/>
          <w:szCs w:val="24"/>
        </w:rPr>
        <w:t xml:space="preserve"> cases that occurred </w:t>
      </w:r>
      <w:r w:rsidRPr="001E35A2">
        <w:rPr>
          <w:rFonts w:ascii="Times New Roman" w:hAnsi="Times New Roman" w:cs="Times New Roman"/>
          <w:sz w:val="24"/>
          <w:szCs w:val="24"/>
        </w:rPr>
        <w:lastRenderedPageBreak/>
        <w:t xml:space="preserve">within a week of leaving work as having occurred while still employed. </w:t>
      </w:r>
      <w:r w:rsidR="007C544C" w:rsidRPr="001E35A2">
        <w:rPr>
          <w:rFonts w:ascii="Times New Roman" w:hAnsi="Times New Roman" w:cs="Times New Roman"/>
          <w:sz w:val="24"/>
          <w:szCs w:val="24"/>
        </w:rPr>
        <w:t>To limit the analysis to the most proximal outcomes (those hypothesized to be most likely related to job exit), we restricted follow-up to five years after leaving work.</w:t>
      </w:r>
    </w:p>
    <w:p w14:paraId="2B1B7EE2" w14:textId="73D22AF1" w:rsidR="00337373" w:rsidRPr="001E35A2" w:rsidRDefault="00BB65A0" w:rsidP="00D8533C">
      <w:pPr>
        <w:spacing w:line="480" w:lineRule="auto"/>
        <w:ind w:firstLine="720"/>
        <w:rPr>
          <w:rFonts w:ascii="Times New Roman" w:hAnsi="Times New Roman" w:cs="Times New Roman"/>
          <w:sz w:val="24"/>
          <w:szCs w:val="24"/>
        </w:rPr>
      </w:pPr>
      <w:r w:rsidRPr="001E35A2">
        <w:rPr>
          <w:rFonts w:ascii="Times New Roman" w:hAnsi="Times New Roman" w:cs="Times New Roman"/>
          <w:sz w:val="24"/>
          <w:szCs w:val="24"/>
        </w:rPr>
        <w:t xml:space="preserve">The study was approved by the Office for the Protection of Human Subjects at University of California, Berkeley. </w:t>
      </w:r>
      <w:r w:rsidR="00280E30" w:rsidRPr="001E35A2">
        <w:rPr>
          <w:rFonts w:ascii="Times New Roman" w:hAnsi="Times New Roman" w:cs="Times New Roman"/>
          <w:sz w:val="24"/>
          <w:szCs w:val="24"/>
        </w:rPr>
        <w:t xml:space="preserve">Analyses were performed in R version </w:t>
      </w:r>
      <w:r w:rsidR="00BB0938" w:rsidRPr="001E35A2">
        <w:rPr>
          <w:rFonts w:ascii="Times New Roman" w:hAnsi="Times New Roman" w:cs="Times New Roman"/>
          <w:sz w:val="24"/>
          <w:szCs w:val="24"/>
        </w:rPr>
        <w:t>3</w:t>
      </w:r>
      <w:r w:rsidR="00280E30" w:rsidRPr="001E35A2">
        <w:rPr>
          <w:rFonts w:ascii="Times New Roman" w:hAnsi="Times New Roman" w:cs="Times New Roman"/>
          <w:sz w:val="24"/>
          <w:szCs w:val="24"/>
        </w:rPr>
        <w:t>.</w:t>
      </w:r>
      <w:r w:rsidR="00BB0938" w:rsidRPr="001E35A2">
        <w:rPr>
          <w:rFonts w:ascii="Times New Roman" w:hAnsi="Times New Roman" w:cs="Times New Roman"/>
          <w:sz w:val="24"/>
          <w:szCs w:val="24"/>
        </w:rPr>
        <w:t>6</w:t>
      </w:r>
      <w:r w:rsidR="00280E30" w:rsidRPr="001E35A2">
        <w:rPr>
          <w:rFonts w:ascii="Times New Roman" w:hAnsi="Times New Roman" w:cs="Times New Roman"/>
          <w:sz w:val="24"/>
          <w:szCs w:val="24"/>
        </w:rPr>
        <w:t>.</w:t>
      </w:r>
      <w:r w:rsidR="00BB0938" w:rsidRPr="001E35A2">
        <w:rPr>
          <w:rFonts w:ascii="Times New Roman" w:hAnsi="Times New Roman" w:cs="Times New Roman"/>
          <w:sz w:val="24"/>
          <w:szCs w:val="24"/>
        </w:rPr>
        <w:t>1</w:t>
      </w:r>
      <w:r w:rsidR="00280E30" w:rsidRPr="001E35A2">
        <w:rPr>
          <w:rFonts w:ascii="Times New Roman" w:hAnsi="Times New Roman" w:cs="Times New Roman"/>
          <w:sz w:val="24"/>
          <w:szCs w:val="24"/>
        </w:rPr>
        <w:t>. Cox proportional hazards models were estimated using the “survival” package.</w:t>
      </w:r>
      <w:r w:rsidR="001D0F43" w:rsidRPr="001E35A2">
        <w:rPr>
          <w:rFonts w:ascii="Times New Roman" w:hAnsi="Times New Roman" w:cs="Times New Roman"/>
          <w:sz w:val="24"/>
          <w:szCs w:val="24"/>
        </w:rPr>
        <w:fldChar w:fldCharType="begin" w:fldLock="1"/>
      </w:r>
      <w:r w:rsidR="000F3DEA" w:rsidRPr="001E35A2">
        <w:rPr>
          <w:rFonts w:ascii="Times New Roman" w:hAnsi="Times New Roman" w:cs="Times New Roman"/>
          <w:sz w:val="24"/>
          <w:szCs w:val="24"/>
        </w:rPr>
        <w:instrText>ADDIN CSL_CITATION {"citationItems":[{"id":"ITEM-1","itemData":{"ISBN":"0-387-98784-3.","author":[{"dropping-particle":"","family":"Therneau","given":"TM","non-dropping-particle":"","parse-names":false,"suffix":""},{"dropping-particle":"","family":"Grambsch","given":"PM","non-dropping-particle":"","parse-names":false,"suffix":""}],"id":"ITEM-1","issued":{"date-parts":[["2000"]]},"publisher":"Springer","publisher-place":"New York","title":"Modeling Survival Data: Extending the Cox Model","type":"book"},"uris":["http://www.mendeley.com/documents/?uuid=54267d68-df78-49df-848a-66b413aeb7ec"]},{"id":"ITEM-2","itemData":{"author":[{"dropping-particle":"","family":"Therneau","given":"TM","non-dropping-particle":"","parse-names":false,"suffix":""}],"id":"ITEM-2","issued":{"date-parts":[["2015"]]},"title":"A Package for Survival Analysis in S_. version 2.38","type":"article"},"uris":["http://www.mendeley.com/documents/?uuid=ac3512bd-f78d-401c-8b35-bebed9e84c21"]}],"mendeley":{"formattedCitation":"&lt;sup&gt;25,26&lt;/sup&gt;","plainTextFormattedCitation":"25,26","previouslyFormattedCitation":"&lt;sup&gt;25,26&lt;/sup&gt;"},"properties":{"noteIndex":0},"schema":"https://github.com/citation-style-language/schema/raw/master/csl-citation.json"}</w:instrText>
      </w:r>
      <w:r w:rsidR="001D0F43" w:rsidRPr="001E35A2">
        <w:rPr>
          <w:rFonts w:ascii="Times New Roman" w:hAnsi="Times New Roman" w:cs="Times New Roman"/>
          <w:sz w:val="24"/>
          <w:szCs w:val="24"/>
        </w:rPr>
        <w:fldChar w:fldCharType="separate"/>
      </w:r>
      <w:r w:rsidR="00F95A3D" w:rsidRPr="001E35A2">
        <w:rPr>
          <w:rFonts w:ascii="Times New Roman" w:hAnsi="Times New Roman" w:cs="Times New Roman"/>
          <w:noProof/>
          <w:sz w:val="24"/>
          <w:szCs w:val="24"/>
          <w:vertAlign w:val="superscript"/>
        </w:rPr>
        <w:t>25,26</w:t>
      </w:r>
      <w:r w:rsidR="001D0F43" w:rsidRPr="001E35A2">
        <w:rPr>
          <w:rFonts w:ascii="Times New Roman" w:hAnsi="Times New Roman" w:cs="Times New Roman"/>
          <w:sz w:val="24"/>
          <w:szCs w:val="24"/>
        </w:rPr>
        <w:fldChar w:fldCharType="end"/>
      </w:r>
    </w:p>
    <w:p w14:paraId="4B71AF8A" w14:textId="4176728F" w:rsidR="00F200BF" w:rsidRPr="001E35A2" w:rsidRDefault="00F200BF" w:rsidP="00D8533C">
      <w:pPr>
        <w:spacing w:line="480" w:lineRule="auto"/>
        <w:rPr>
          <w:rFonts w:ascii="Times New Roman" w:hAnsi="Times New Roman" w:cs="Times New Roman"/>
          <w:sz w:val="24"/>
          <w:szCs w:val="24"/>
        </w:rPr>
      </w:pPr>
      <w:r w:rsidRPr="001E35A2">
        <w:rPr>
          <w:rFonts w:ascii="Times New Roman" w:hAnsi="Times New Roman" w:cs="Times New Roman"/>
          <w:b/>
          <w:sz w:val="24"/>
          <w:szCs w:val="24"/>
        </w:rPr>
        <w:t>Results</w:t>
      </w:r>
    </w:p>
    <w:p w14:paraId="330A66EF" w14:textId="7D242AF3" w:rsidR="005C0DE2" w:rsidRPr="001E35A2" w:rsidRDefault="00A74B8D" w:rsidP="00D8533C">
      <w:pPr>
        <w:spacing w:line="480" w:lineRule="auto"/>
        <w:ind w:firstLine="720"/>
        <w:rPr>
          <w:rFonts w:ascii="Times New Roman" w:hAnsi="Times New Roman" w:cs="Times New Roman"/>
          <w:sz w:val="24"/>
          <w:szCs w:val="24"/>
        </w:rPr>
      </w:pPr>
      <w:r w:rsidRPr="001E35A2">
        <w:rPr>
          <w:rFonts w:ascii="Times New Roman" w:hAnsi="Times New Roman" w:cs="Times New Roman"/>
          <w:sz w:val="24"/>
          <w:szCs w:val="24"/>
        </w:rPr>
        <w:t>T</w:t>
      </w:r>
      <w:r w:rsidR="00F6150F" w:rsidRPr="001E35A2">
        <w:rPr>
          <w:rFonts w:ascii="Times New Roman" w:hAnsi="Times New Roman" w:cs="Times New Roman"/>
          <w:sz w:val="24"/>
          <w:szCs w:val="24"/>
        </w:rPr>
        <w:t xml:space="preserve">able 1 </w:t>
      </w:r>
      <w:proofErr w:type="gramStart"/>
      <w:r w:rsidR="00F6150F" w:rsidRPr="001E35A2">
        <w:rPr>
          <w:rFonts w:ascii="Times New Roman" w:hAnsi="Times New Roman" w:cs="Times New Roman"/>
          <w:sz w:val="24"/>
          <w:szCs w:val="24"/>
        </w:rPr>
        <w:t>presents</w:t>
      </w:r>
      <w:proofErr w:type="gramEnd"/>
      <w:r w:rsidR="00F6150F" w:rsidRPr="001E35A2">
        <w:rPr>
          <w:rFonts w:ascii="Times New Roman" w:hAnsi="Times New Roman" w:cs="Times New Roman"/>
          <w:sz w:val="24"/>
          <w:szCs w:val="24"/>
        </w:rPr>
        <w:t xml:space="preserve"> summary statistics for t</w:t>
      </w:r>
      <w:r w:rsidRPr="001E35A2">
        <w:rPr>
          <w:rFonts w:ascii="Times New Roman" w:hAnsi="Times New Roman" w:cs="Times New Roman"/>
          <w:sz w:val="24"/>
          <w:szCs w:val="24"/>
        </w:rPr>
        <w:t xml:space="preserve">he </w:t>
      </w:r>
      <w:r w:rsidR="00335161" w:rsidRPr="001E35A2">
        <w:rPr>
          <w:rFonts w:ascii="Times New Roman" w:hAnsi="Times New Roman" w:cs="Times New Roman"/>
          <w:sz w:val="24"/>
          <w:szCs w:val="24"/>
        </w:rPr>
        <w:t xml:space="preserve">study population </w:t>
      </w:r>
      <w:r w:rsidR="006B0751" w:rsidRPr="001E35A2">
        <w:rPr>
          <w:rFonts w:ascii="Times New Roman" w:hAnsi="Times New Roman" w:cs="Times New Roman"/>
          <w:sz w:val="24"/>
          <w:szCs w:val="24"/>
        </w:rPr>
        <w:t xml:space="preserve">of </w:t>
      </w:r>
      <w:r w:rsidR="00C4140A" w:rsidRPr="001E35A2">
        <w:rPr>
          <w:rFonts w:ascii="Times New Roman" w:hAnsi="Times New Roman" w:cs="Times New Roman"/>
          <w:sz w:val="24"/>
          <w:szCs w:val="24"/>
        </w:rPr>
        <w:t xml:space="preserve">all </w:t>
      </w:r>
      <w:r w:rsidR="006B0751" w:rsidRPr="001E35A2">
        <w:rPr>
          <w:rFonts w:ascii="Times New Roman" w:hAnsi="Times New Roman" w:cs="Times New Roman"/>
          <w:sz w:val="24"/>
          <w:szCs w:val="24"/>
        </w:rPr>
        <w:t xml:space="preserve">male </w:t>
      </w:r>
      <w:r w:rsidR="00C7180C" w:rsidRPr="001E35A2">
        <w:rPr>
          <w:rFonts w:ascii="Times New Roman" w:hAnsi="Times New Roman" w:cs="Times New Roman"/>
          <w:sz w:val="24"/>
          <w:szCs w:val="24"/>
        </w:rPr>
        <w:t xml:space="preserve">workers employed </w:t>
      </w:r>
      <w:r w:rsidR="0091373E" w:rsidRPr="001E35A2">
        <w:rPr>
          <w:rFonts w:ascii="Times New Roman" w:hAnsi="Times New Roman" w:cs="Times New Roman"/>
          <w:sz w:val="24"/>
          <w:szCs w:val="24"/>
        </w:rPr>
        <w:t xml:space="preserve">in or </w:t>
      </w:r>
      <w:r w:rsidR="00335161" w:rsidRPr="001E35A2">
        <w:rPr>
          <w:rFonts w:ascii="Times New Roman" w:hAnsi="Times New Roman" w:cs="Times New Roman"/>
          <w:sz w:val="24"/>
          <w:szCs w:val="24"/>
        </w:rPr>
        <w:t>after 1970</w:t>
      </w:r>
      <w:r w:rsidR="00C4140A" w:rsidRPr="001E35A2">
        <w:rPr>
          <w:rFonts w:ascii="Times New Roman" w:hAnsi="Times New Roman" w:cs="Times New Roman"/>
          <w:sz w:val="24"/>
          <w:szCs w:val="24"/>
        </w:rPr>
        <w:t xml:space="preserve"> </w:t>
      </w:r>
      <w:r w:rsidR="00F6150F" w:rsidRPr="001E35A2">
        <w:rPr>
          <w:rFonts w:ascii="Times New Roman" w:hAnsi="Times New Roman" w:cs="Times New Roman"/>
          <w:sz w:val="24"/>
          <w:szCs w:val="24"/>
        </w:rPr>
        <w:t xml:space="preserve">and for </w:t>
      </w:r>
      <w:r w:rsidR="00C4140A" w:rsidRPr="001E35A2">
        <w:rPr>
          <w:rFonts w:ascii="Times New Roman" w:hAnsi="Times New Roman" w:cs="Times New Roman"/>
          <w:sz w:val="24"/>
          <w:szCs w:val="24"/>
        </w:rPr>
        <w:t xml:space="preserve">the subset </w:t>
      </w:r>
      <w:r w:rsidR="00F6150F" w:rsidRPr="001E35A2">
        <w:rPr>
          <w:rFonts w:ascii="Times New Roman" w:hAnsi="Times New Roman" w:cs="Times New Roman"/>
          <w:sz w:val="24"/>
          <w:szCs w:val="24"/>
        </w:rPr>
        <w:t xml:space="preserve">with complete </w:t>
      </w:r>
      <w:r w:rsidR="00C4140A" w:rsidRPr="001E35A2">
        <w:rPr>
          <w:rFonts w:ascii="Times New Roman" w:hAnsi="Times New Roman" w:cs="Times New Roman"/>
          <w:sz w:val="24"/>
          <w:szCs w:val="24"/>
        </w:rPr>
        <w:t xml:space="preserve">work records </w:t>
      </w:r>
      <w:r w:rsidR="00F6150F" w:rsidRPr="001E35A2">
        <w:rPr>
          <w:rFonts w:ascii="Times New Roman" w:hAnsi="Times New Roman" w:cs="Times New Roman"/>
          <w:sz w:val="24"/>
          <w:szCs w:val="24"/>
        </w:rPr>
        <w:t>who</w:t>
      </w:r>
      <w:r w:rsidR="00C4140A" w:rsidRPr="001E35A2">
        <w:rPr>
          <w:rFonts w:ascii="Times New Roman" w:hAnsi="Times New Roman" w:cs="Times New Roman"/>
          <w:sz w:val="24"/>
          <w:szCs w:val="24"/>
        </w:rPr>
        <w:t xml:space="preserve"> </w:t>
      </w:r>
      <w:r w:rsidR="00F6150F" w:rsidRPr="001E35A2">
        <w:rPr>
          <w:rFonts w:ascii="Times New Roman" w:hAnsi="Times New Roman" w:cs="Times New Roman"/>
          <w:sz w:val="24"/>
          <w:szCs w:val="24"/>
        </w:rPr>
        <w:t xml:space="preserve">had </w:t>
      </w:r>
      <w:r w:rsidR="00C4140A" w:rsidRPr="001E35A2">
        <w:rPr>
          <w:rFonts w:ascii="Times New Roman" w:hAnsi="Times New Roman" w:cs="Times New Roman"/>
          <w:sz w:val="24"/>
          <w:szCs w:val="24"/>
        </w:rPr>
        <w:t>left work by December 31,</w:t>
      </w:r>
      <w:r w:rsidR="000E6ED0">
        <w:rPr>
          <w:rFonts w:ascii="Times New Roman" w:hAnsi="Times New Roman" w:cs="Times New Roman"/>
          <w:sz w:val="24"/>
          <w:szCs w:val="24"/>
        </w:rPr>
        <w:t xml:space="preserve"> </w:t>
      </w:r>
      <w:r w:rsidR="00C4140A" w:rsidRPr="001E35A2">
        <w:rPr>
          <w:rFonts w:ascii="Times New Roman" w:hAnsi="Times New Roman" w:cs="Times New Roman"/>
          <w:sz w:val="24"/>
          <w:szCs w:val="24"/>
        </w:rPr>
        <w:t xml:space="preserve">1994 when </w:t>
      </w:r>
      <w:r w:rsidR="00495E27" w:rsidRPr="001E35A2">
        <w:rPr>
          <w:rFonts w:ascii="Times New Roman" w:hAnsi="Times New Roman" w:cs="Times New Roman"/>
          <w:sz w:val="24"/>
          <w:szCs w:val="24"/>
        </w:rPr>
        <w:t xml:space="preserve">employment records were truncated. </w:t>
      </w:r>
      <w:r w:rsidR="00C4140A" w:rsidRPr="001E35A2">
        <w:rPr>
          <w:rFonts w:ascii="Times New Roman" w:hAnsi="Times New Roman" w:cs="Times New Roman"/>
          <w:sz w:val="24"/>
          <w:szCs w:val="24"/>
        </w:rPr>
        <w:t xml:space="preserve">In the entire cohort of </w:t>
      </w:r>
      <w:r w:rsidR="00982F7A" w:rsidRPr="001E35A2">
        <w:rPr>
          <w:rFonts w:ascii="Times New Roman" w:hAnsi="Times New Roman" w:cs="Times New Roman"/>
          <w:sz w:val="24"/>
          <w:szCs w:val="24"/>
        </w:rPr>
        <w:t>26,890</w:t>
      </w:r>
      <w:r w:rsidR="00C30635" w:rsidRPr="001E35A2">
        <w:rPr>
          <w:rFonts w:ascii="Times New Roman" w:hAnsi="Times New Roman" w:cs="Times New Roman"/>
          <w:sz w:val="24"/>
          <w:szCs w:val="24"/>
        </w:rPr>
        <w:t xml:space="preserve"> </w:t>
      </w:r>
      <w:r w:rsidR="0002099C" w:rsidRPr="001E35A2">
        <w:rPr>
          <w:rFonts w:ascii="Times New Roman" w:hAnsi="Times New Roman" w:cs="Times New Roman"/>
          <w:sz w:val="24"/>
          <w:szCs w:val="24"/>
        </w:rPr>
        <w:t>me</w:t>
      </w:r>
      <w:r w:rsidR="00335161" w:rsidRPr="001E35A2">
        <w:rPr>
          <w:rFonts w:ascii="Times New Roman" w:hAnsi="Times New Roman" w:cs="Times New Roman"/>
          <w:sz w:val="24"/>
          <w:szCs w:val="24"/>
        </w:rPr>
        <w:t>n</w:t>
      </w:r>
      <w:r w:rsidR="00C30635" w:rsidRPr="001E35A2">
        <w:rPr>
          <w:rFonts w:ascii="Times New Roman" w:hAnsi="Times New Roman" w:cs="Times New Roman"/>
          <w:sz w:val="24"/>
          <w:szCs w:val="24"/>
        </w:rPr>
        <w:t>, there were 2</w:t>
      </w:r>
      <w:r w:rsidR="00A11090" w:rsidRPr="001E35A2">
        <w:rPr>
          <w:rFonts w:ascii="Times New Roman" w:hAnsi="Times New Roman" w:cs="Times New Roman"/>
          <w:sz w:val="24"/>
          <w:szCs w:val="24"/>
        </w:rPr>
        <w:t>58</w:t>
      </w:r>
      <w:r w:rsidR="00C30635" w:rsidRPr="001E35A2">
        <w:rPr>
          <w:rFonts w:ascii="Times New Roman" w:hAnsi="Times New Roman" w:cs="Times New Roman"/>
          <w:sz w:val="24"/>
          <w:szCs w:val="24"/>
        </w:rPr>
        <w:t xml:space="preserve"> deaths due to suicide (n</w:t>
      </w:r>
      <w:r w:rsidR="00FB243F">
        <w:rPr>
          <w:rFonts w:ascii="Times New Roman" w:hAnsi="Times New Roman" w:cs="Times New Roman"/>
          <w:sz w:val="24"/>
          <w:szCs w:val="24"/>
        </w:rPr>
        <w:t> </w:t>
      </w:r>
      <w:r w:rsidR="00C30635" w:rsidRPr="001E35A2">
        <w:rPr>
          <w:rFonts w:ascii="Times New Roman" w:hAnsi="Times New Roman" w:cs="Times New Roman"/>
          <w:sz w:val="24"/>
          <w:szCs w:val="24"/>
        </w:rPr>
        <w:t>=</w:t>
      </w:r>
      <w:r w:rsidR="00FB243F">
        <w:rPr>
          <w:rFonts w:ascii="Times New Roman" w:hAnsi="Times New Roman" w:cs="Times New Roman"/>
          <w:sz w:val="24"/>
          <w:szCs w:val="24"/>
        </w:rPr>
        <w:t> </w:t>
      </w:r>
      <w:r w:rsidR="00A11090" w:rsidRPr="001E35A2">
        <w:rPr>
          <w:rFonts w:ascii="Times New Roman" w:hAnsi="Times New Roman" w:cs="Times New Roman"/>
          <w:sz w:val="24"/>
          <w:szCs w:val="24"/>
        </w:rPr>
        <w:t>203</w:t>
      </w:r>
      <w:r w:rsidR="00C30635" w:rsidRPr="001E35A2">
        <w:rPr>
          <w:rFonts w:ascii="Times New Roman" w:hAnsi="Times New Roman" w:cs="Times New Roman"/>
          <w:sz w:val="24"/>
          <w:szCs w:val="24"/>
        </w:rPr>
        <w:t xml:space="preserve">) </w:t>
      </w:r>
      <w:r w:rsidR="004E6074" w:rsidRPr="001E35A2">
        <w:rPr>
          <w:rFonts w:ascii="Times New Roman" w:hAnsi="Times New Roman" w:cs="Times New Roman"/>
          <w:sz w:val="24"/>
          <w:szCs w:val="24"/>
        </w:rPr>
        <w:t xml:space="preserve">or </w:t>
      </w:r>
      <w:r w:rsidR="00C30635" w:rsidRPr="001E35A2">
        <w:rPr>
          <w:rFonts w:ascii="Times New Roman" w:hAnsi="Times New Roman" w:cs="Times New Roman"/>
          <w:sz w:val="24"/>
          <w:szCs w:val="24"/>
        </w:rPr>
        <w:t>overdose (n</w:t>
      </w:r>
      <w:r w:rsidR="00FB243F">
        <w:rPr>
          <w:rFonts w:ascii="Times New Roman" w:hAnsi="Times New Roman" w:cs="Times New Roman"/>
          <w:sz w:val="24"/>
          <w:szCs w:val="24"/>
        </w:rPr>
        <w:t> </w:t>
      </w:r>
      <w:r w:rsidR="00C30635" w:rsidRPr="001E35A2">
        <w:rPr>
          <w:rFonts w:ascii="Times New Roman" w:hAnsi="Times New Roman" w:cs="Times New Roman"/>
          <w:sz w:val="24"/>
          <w:szCs w:val="24"/>
        </w:rPr>
        <w:t>=</w:t>
      </w:r>
      <w:r w:rsidR="00FB243F">
        <w:rPr>
          <w:rFonts w:ascii="Times New Roman" w:hAnsi="Times New Roman" w:cs="Times New Roman"/>
          <w:sz w:val="24"/>
          <w:szCs w:val="24"/>
        </w:rPr>
        <w:t> </w:t>
      </w:r>
      <w:r w:rsidR="00A11090" w:rsidRPr="001E35A2">
        <w:rPr>
          <w:rFonts w:ascii="Times New Roman" w:hAnsi="Times New Roman" w:cs="Times New Roman"/>
          <w:sz w:val="24"/>
          <w:szCs w:val="24"/>
        </w:rPr>
        <w:t>55)</w:t>
      </w:r>
      <w:r w:rsidR="00C30635" w:rsidRPr="001E35A2">
        <w:rPr>
          <w:rFonts w:ascii="Times New Roman" w:hAnsi="Times New Roman" w:cs="Times New Roman"/>
          <w:sz w:val="24"/>
          <w:szCs w:val="24"/>
        </w:rPr>
        <w:t>.</w:t>
      </w:r>
      <w:r w:rsidR="007C544C" w:rsidRPr="001E35A2">
        <w:rPr>
          <w:rFonts w:ascii="Times New Roman" w:hAnsi="Times New Roman" w:cs="Times New Roman"/>
          <w:sz w:val="24"/>
          <w:szCs w:val="24"/>
        </w:rPr>
        <w:t xml:space="preserve"> </w:t>
      </w:r>
      <w:r w:rsidR="005C0DE2" w:rsidRPr="001E35A2">
        <w:rPr>
          <w:rFonts w:ascii="Times New Roman" w:hAnsi="Times New Roman" w:cs="Times New Roman"/>
          <w:sz w:val="24"/>
          <w:szCs w:val="24"/>
        </w:rPr>
        <w:t xml:space="preserve">Plant 2 accounted for </w:t>
      </w:r>
      <w:r w:rsidR="00982F7A" w:rsidRPr="001E35A2">
        <w:rPr>
          <w:rFonts w:ascii="Times New Roman" w:hAnsi="Times New Roman" w:cs="Times New Roman"/>
          <w:sz w:val="24"/>
          <w:szCs w:val="24"/>
        </w:rPr>
        <w:t>38</w:t>
      </w:r>
      <w:r w:rsidR="005C0DE2" w:rsidRPr="001E35A2">
        <w:rPr>
          <w:rFonts w:ascii="Times New Roman" w:hAnsi="Times New Roman" w:cs="Times New Roman"/>
          <w:sz w:val="24"/>
          <w:szCs w:val="24"/>
        </w:rPr>
        <w:t xml:space="preserve">% of the </w:t>
      </w:r>
      <w:r w:rsidR="00934208" w:rsidRPr="001E35A2">
        <w:rPr>
          <w:rFonts w:ascii="Times New Roman" w:hAnsi="Times New Roman" w:cs="Times New Roman"/>
          <w:sz w:val="24"/>
          <w:szCs w:val="24"/>
        </w:rPr>
        <w:t>workers</w:t>
      </w:r>
      <w:r w:rsidR="00A11090" w:rsidRPr="001E35A2">
        <w:rPr>
          <w:rFonts w:ascii="Times New Roman" w:hAnsi="Times New Roman" w:cs="Times New Roman"/>
          <w:sz w:val="24"/>
          <w:szCs w:val="24"/>
        </w:rPr>
        <w:t>,</w:t>
      </w:r>
      <w:r w:rsidR="005C0DE2" w:rsidRPr="001E35A2">
        <w:rPr>
          <w:rFonts w:ascii="Times New Roman" w:hAnsi="Times New Roman" w:cs="Times New Roman"/>
          <w:sz w:val="24"/>
          <w:szCs w:val="24"/>
        </w:rPr>
        <w:t xml:space="preserve"> </w:t>
      </w:r>
      <w:r w:rsidR="00A11090" w:rsidRPr="001E35A2">
        <w:rPr>
          <w:rFonts w:ascii="Times New Roman" w:hAnsi="Times New Roman" w:cs="Times New Roman"/>
          <w:sz w:val="24"/>
          <w:szCs w:val="24"/>
        </w:rPr>
        <w:t>46</w:t>
      </w:r>
      <w:r w:rsidR="00934208" w:rsidRPr="001E35A2">
        <w:rPr>
          <w:rFonts w:ascii="Times New Roman" w:hAnsi="Times New Roman" w:cs="Times New Roman"/>
          <w:sz w:val="24"/>
          <w:szCs w:val="24"/>
        </w:rPr>
        <w:t>%</w:t>
      </w:r>
      <w:r w:rsidR="00782E17" w:rsidRPr="001E35A2">
        <w:rPr>
          <w:rFonts w:ascii="Times New Roman" w:hAnsi="Times New Roman" w:cs="Times New Roman"/>
          <w:sz w:val="24"/>
          <w:szCs w:val="24"/>
        </w:rPr>
        <w:t xml:space="preserve"> of</w:t>
      </w:r>
      <w:r w:rsidR="00934208" w:rsidRPr="001E35A2">
        <w:rPr>
          <w:rFonts w:ascii="Times New Roman" w:hAnsi="Times New Roman" w:cs="Times New Roman"/>
          <w:sz w:val="24"/>
          <w:szCs w:val="24"/>
        </w:rPr>
        <w:t xml:space="preserve"> </w:t>
      </w:r>
      <w:r w:rsidR="005C0DE2" w:rsidRPr="001E35A2">
        <w:rPr>
          <w:rFonts w:ascii="Times New Roman" w:hAnsi="Times New Roman" w:cs="Times New Roman"/>
          <w:sz w:val="24"/>
          <w:szCs w:val="24"/>
        </w:rPr>
        <w:t xml:space="preserve">the </w:t>
      </w:r>
      <w:r w:rsidR="004F4F57" w:rsidRPr="001E35A2">
        <w:rPr>
          <w:rFonts w:ascii="Times New Roman" w:hAnsi="Times New Roman" w:cs="Times New Roman"/>
          <w:sz w:val="24"/>
          <w:szCs w:val="24"/>
        </w:rPr>
        <w:t>suicide</w:t>
      </w:r>
      <w:r w:rsidR="00CF4595" w:rsidRPr="001E35A2">
        <w:rPr>
          <w:rFonts w:ascii="Times New Roman" w:hAnsi="Times New Roman" w:cs="Times New Roman"/>
          <w:sz w:val="24"/>
          <w:szCs w:val="24"/>
        </w:rPr>
        <w:t>s</w:t>
      </w:r>
      <w:r w:rsidR="00B462F2" w:rsidRPr="001E35A2">
        <w:rPr>
          <w:rFonts w:ascii="Times New Roman" w:hAnsi="Times New Roman" w:cs="Times New Roman"/>
          <w:sz w:val="24"/>
          <w:szCs w:val="24"/>
        </w:rPr>
        <w:t>,</w:t>
      </w:r>
      <w:r w:rsidR="004F4F57" w:rsidRPr="001E35A2">
        <w:rPr>
          <w:rFonts w:ascii="Times New Roman" w:hAnsi="Times New Roman" w:cs="Times New Roman"/>
          <w:sz w:val="24"/>
          <w:szCs w:val="24"/>
        </w:rPr>
        <w:t xml:space="preserve"> and </w:t>
      </w:r>
      <w:r w:rsidR="00A11090" w:rsidRPr="001E35A2">
        <w:rPr>
          <w:rFonts w:ascii="Times New Roman" w:hAnsi="Times New Roman" w:cs="Times New Roman"/>
          <w:sz w:val="24"/>
          <w:szCs w:val="24"/>
        </w:rPr>
        <w:t>62%</w:t>
      </w:r>
      <w:r w:rsidR="00934208" w:rsidRPr="001E35A2">
        <w:rPr>
          <w:rFonts w:ascii="Times New Roman" w:hAnsi="Times New Roman" w:cs="Times New Roman"/>
          <w:sz w:val="24"/>
          <w:szCs w:val="24"/>
        </w:rPr>
        <w:t xml:space="preserve"> of t</w:t>
      </w:r>
      <w:r w:rsidR="004F4F57" w:rsidRPr="001E35A2">
        <w:rPr>
          <w:rFonts w:ascii="Times New Roman" w:hAnsi="Times New Roman" w:cs="Times New Roman"/>
          <w:sz w:val="24"/>
          <w:szCs w:val="24"/>
        </w:rPr>
        <w:t>he overdose fatalities</w:t>
      </w:r>
      <w:r w:rsidR="005C0DE2" w:rsidRPr="001E35A2">
        <w:rPr>
          <w:rFonts w:ascii="Times New Roman" w:hAnsi="Times New Roman" w:cs="Times New Roman"/>
          <w:sz w:val="24"/>
          <w:szCs w:val="24"/>
        </w:rPr>
        <w:t xml:space="preserve">. </w:t>
      </w:r>
      <w:r w:rsidR="00B76367" w:rsidRPr="001E35A2">
        <w:rPr>
          <w:rFonts w:ascii="Times New Roman" w:hAnsi="Times New Roman" w:cs="Times New Roman"/>
          <w:sz w:val="24"/>
          <w:szCs w:val="24"/>
        </w:rPr>
        <w:t xml:space="preserve">Histograms for the age at death by suicide or overdose (eFigure </w:t>
      </w:r>
      <w:r w:rsidR="0064304F" w:rsidRPr="001E35A2">
        <w:rPr>
          <w:rFonts w:ascii="Times New Roman" w:hAnsi="Times New Roman" w:cs="Times New Roman"/>
          <w:sz w:val="24"/>
          <w:szCs w:val="24"/>
        </w:rPr>
        <w:t>2</w:t>
      </w:r>
      <w:r w:rsidR="00B76367" w:rsidRPr="001E35A2">
        <w:rPr>
          <w:rFonts w:ascii="Times New Roman" w:hAnsi="Times New Roman" w:cs="Times New Roman"/>
          <w:sz w:val="24"/>
          <w:szCs w:val="24"/>
        </w:rPr>
        <w:t>) are presented in the on-line Supplement.</w:t>
      </w:r>
    </w:p>
    <w:p w14:paraId="74C85107" w14:textId="7537CC30" w:rsidR="004410E3" w:rsidRPr="001E35A2" w:rsidRDefault="004410E3" w:rsidP="00D8533C">
      <w:pPr>
        <w:spacing w:line="480" w:lineRule="auto"/>
        <w:ind w:firstLine="720"/>
        <w:rPr>
          <w:rFonts w:ascii="Times New Roman" w:hAnsi="Times New Roman" w:cs="Times New Roman"/>
          <w:sz w:val="24"/>
          <w:szCs w:val="24"/>
        </w:rPr>
      </w:pPr>
      <w:r w:rsidRPr="001E35A2">
        <w:rPr>
          <w:rFonts w:ascii="Times New Roman" w:hAnsi="Times New Roman" w:cs="Times New Roman"/>
          <w:sz w:val="24"/>
          <w:szCs w:val="24"/>
        </w:rPr>
        <w:t xml:space="preserve">Figure </w:t>
      </w:r>
      <w:r w:rsidR="004F4F57" w:rsidRPr="001E35A2">
        <w:rPr>
          <w:rFonts w:ascii="Times New Roman" w:hAnsi="Times New Roman" w:cs="Times New Roman"/>
          <w:sz w:val="24"/>
          <w:szCs w:val="24"/>
        </w:rPr>
        <w:t>1</w:t>
      </w:r>
      <w:r w:rsidR="00934208" w:rsidRPr="001E35A2">
        <w:rPr>
          <w:rFonts w:ascii="Times New Roman" w:hAnsi="Times New Roman" w:cs="Times New Roman"/>
          <w:sz w:val="24"/>
          <w:szCs w:val="24"/>
        </w:rPr>
        <w:t xml:space="preserve"> </w:t>
      </w:r>
      <w:r w:rsidRPr="001E35A2">
        <w:rPr>
          <w:rFonts w:ascii="Times New Roman" w:hAnsi="Times New Roman" w:cs="Times New Roman"/>
          <w:sz w:val="24"/>
          <w:szCs w:val="24"/>
        </w:rPr>
        <w:t>present</w:t>
      </w:r>
      <w:r w:rsidR="00934208" w:rsidRPr="001E35A2">
        <w:rPr>
          <w:rFonts w:ascii="Times New Roman" w:hAnsi="Times New Roman" w:cs="Times New Roman"/>
          <w:sz w:val="24"/>
          <w:szCs w:val="24"/>
        </w:rPr>
        <w:t>s</w:t>
      </w:r>
      <w:r w:rsidRPr="001E35A2">
        <w:rPr>
          <w:rFonts w:ascii="Times New Roman" w:hAnsi="Times New Roman" w:cs="Times New Roman"/>
          <w:sz w:val="24"/>
          <w:szCs w:val="24"/>
        </w:rPr>
        <w:t xml:space="preserve"> </w:t>
      </w:r>
      <w:r w:rsidR="00934208" w:rsidRPr="001E35A2">
        <w:rPr>
          <w:rFonts w:ascii="Times New Roman" w:hAnsi="Times New Roman" w:cs="Times New Roman"/>
          <w:sz w:val="24"/>
          <w:szCs w:val="24"/>
        </w:rPr>
        <w:t xml:space="preserve">time trends for </w:t>
      </w:r>
      <w:r w:rsidR="007C544C" w:rsidRPr="001E35A2">
        <w:rPr>
          <w:rFonts w:ascii="Times New Roman" w:hAnsi="Times New Roman" w:cs="Times New Roman"/>
          <w:sz w:val="24"/>
          <w:szCs w:val="24"/>
        </w:rPr>
        <w:t xml:space="preserve">suicide </w:t>
      </w:r>
      <w:r w:rsidRPr="001E35A2">
        <w:rPr>
          <w:rFonts w:ascii="Times New Roman" w:hAnsi="Times New Roman" w:cs="Times New Roman"/>
          <w:sz w:val="24"/>
          <w:szCs w:val="24"/>
        </w:rPr>
        <w:t>r</w:t>
      </w:r>
      <w:r w:rsidR="00934208" w:rsidRPr="001E35A2">
        <w:rPr>
          <w:rFonts w:ascii="Times New Roman" w:hAnsi="Times New Roman" w:cs="Times New Roman"/>
          <w:sz w:val="24"/>
          <w:szCs w:val="24"/>
        </w:rPr>
        <w:t>ates f</w:t>
      </w:r>
      <w:r w:rsidR="00C30635" w:rsidRPr="001E35A2">
        <w:rPr>
          <w:rFonts w:ascii="Times New Roman" w:hAnsi="Times New Roman" w:cs="Times New Roman"/>
          <w:sz w:val="24"/>
          <w:szCs w:val="24"/>
        </w:rPr>
        <w:t>rom 1970 to 2015</w:t>
      </w:r>
      <w:r w:rsidR="007C544C" w:rsidRPr="001E35A2">
        <w:rPr>
          <w:rFonts w:ascii="Times New Roman" w:hAnsi="Times New Roman" w:cs="Times New Roman"/>
          <w:sz w:val="24"/>
          <w:szCs w:val="24"/>
        </w:rPr>
        <w:t xml:space="preserve"> for the </w:t>
      </w:r>
      <w:r w:rsidR="00811F8A" w:rsidRPr="001E35A2">
        <w:rPr>
          <w:rFonts w:ascii="Times New Roman" w:hAnsi="Times New Roman" w:cs="Times New Roman"/>
          <w:sz w:val="24"/>
          <w:szCs w:val="24"/>
        </w:rPr>
        <w:t xml:space="preserve">subset of </w:t>
      </w:r>
      <w:r w:rsidR="00982F7A" w:rsidRPr="001E35A2">
        <w:rPr>
          <w:rFonts w:ascii="Times New Roman" w:hAnsi="Times New Roman" w:cs="Times New Roman"/>
          <w:sz w:val="24"/>
          <w:szCs w:val="24"/>
        </w:rPr>
        <w:t>19,6</w:t>
      </w:r>
      <w:r w:rsidR="0064304F" w:rsidRPr="001E35A2">
        <w:rPr>
          <w:rFonts w:ascii="Times New Roman" w:hAnsi="Times New Roman" w:cs="Times New Roman"/>
          <w:sz w:val="24"/>
          <w:szCs w:val="24"/>
        </w:rPr>
        <w:t>63</w:t>
      </w:r>
      <w:r w:rsidR="00982F7A" w:rsidRPr="001E35A2">
        <w:rPr>
          <w:rFonts w:ascii="Times New Roman" w:hAnsi="Times New Roman" w:cs="Times New Roman"/>
          <w:sz w:val="24"/>
          <w:szCs w:val="24"/>
        </w:rPr>
        <w:t xml:space="preserve"> </w:t>
      </w:r>
      <w:r w:rsidR="007C544C" w:rsidRPr="001E35A2">
        <w:rPr>
          <w:rFonts w:ascii="Times New Roman" w:hAnsi="Times New Roman" w:cs="Times New Roman"/>
          <w:sz w:val="24"/>
          <w:szCs w:val="24"/>
        </w:rPr>
        <w:t xml:space="preserve">with complete work records </w:t>
      </w:r>
      <w:r w:rsidR="00811F8A" w:rsidRPr="001E35A2">
        <w:rPr>
          <w:rFonts w:ascii="Times New Roman" w:hAnsi="Times New Roman" w:cs="Times New Roman"/>
          <w:sz w:val="24"/>
          <w:szCs w:val="24"/>
        </w:rPr>
        <w:t xml:space="preserve">(Figure 1a) </w:t>
      </w:r>
      <w:r w:rsidR="007C544C" w:rsidRPr="001E35A2">
        <w:rPr>
          <w:rFonts w:ascii="Times New Roman" w:hAnsi="Times New Roman" w:cs="Times New Roman"/>
          <w:sz w:val="24"/>
          <w:szCs w:val="24"/>
        </w:rPr>
        <w:t>and for the entire cohort</w:t>
      </w:r>
      <w:r w:rsidR="00811F8A" w:rsidRPr="001E35A2">
        <w:rPr>
          <w:rFonts w:ascii="Times New Roman" w:hAnsi="Times New Roman" w:cs="Times New Roman"/>
          <w:sz w:val="24"/>
          <w:szCs w:val="24"/>
        </w:rPr>
        <w:t xml:space="preserve"> (Figure 1b)</w:t>
      </w:r>
      <w:r w:rsidR="007C544C" w:rsidRPr="001E35A2">
        <w:rPr>
          <w:rFonts w:ascii="Times New Roman" w:hAnsi="Times New Roman" w:cs="Times New Roman"/>
          <w:sz w:val="24"/>
          <w:szCs w:val="24"/>
        </w:rPr>
        <w:t>.</w:t>
      </w:r>
      <w:r w:rsidRPr="001E35A2">
        <w:rPr>
          <w:rFonts w:ascii="Times New Roman" w:hAnsi="Times New Roman" w:cs="Times New Roman"/>
          <w:sz w:val="24"/>
          <w:szCs w:val="24"/>
        </w:rPr>
        <w:t xml:space="preserve"> </w:t>
      </w:r>
      <w:bookmarkStart w:id="6" w:name="_Hlk33448439"/>
      <w:r w:rsidR="0064304F" w:rsidRPr="001E35A2">
        <w:rPr>
          <w:rFonts w:ascii="Times New Roman" w:hAnsi="Times New Roman" w:cs="Times New Roman"/>
          <w:sz w:val="24"/>
          <w:szCs w:val="24"/>
        </w:rPr>
        <w:t>For those who had left work by 1995 (complete work records),</w:t>
      </w:r>
      <w:r w:rsidR="007C544C" w:rsidRPr="001E35A2">
        <w:rPr>
          <w:rFonts w:ascii="Times New Roman" w:hAnsi="Times New Roman" w:cs="Times New Roman"/>
          <w:sz w:val="24"/>
          <w:szCs w:val="24"/>
        </w:rPr>
        <w:t xml:space="preserve"> </w:t>
      </w:r>
      <w:r w:rsidR="00811F8A" w:rsidRPr="001E35A2">
        <w:rPr>
          <w:rFonts w:ascii="Times New Roman" w:hAnsi="Times New Roman" w:cs="Times New Roman"/>
          <w:sz w:val="24"/>
          <w:szCs w:val="24"/>
        </w:rPr>
        <w:t>the suicide rate decline</w:t>
      </w:r>
      <w:r w:rsidR="0091373E" w:rsidRPr="001E35A2">
        <w:rPr>
          <w:rFonts w:ascii="Times New Roman" w:hAnsi="Times New Roman" w:cs="Times New Roman"/>
          <w:sz w:val="24"/>
          <w:szCs w:val="24"/>
        </w:rPr>
        <w:t>d</w:t>
      </w:r>
      <w:r w:rsidR="00811F8A" w:rsidRPr="001E35A2">
        <w:rPr>
          <w:rFonts w:ascii="Times New Roman" w:hAnsi="Times New Roman" w:cs="Times New Roman"/>
          <w:sz w:val="24"/>
          <w:szCs w:val="24"/>
        </w:rPr>
        <w:t xml:space="preserve"> after 1995. </w:t>
      </w:r>
      <w:r w:rsidR="00141318" w:rsidRPr="001E35A2">
        <w:rPr>
          <w:rFonts w:ascii="Times New Roman" w:hAnsi="Times New Roman" w:cs="Times New Roman"/>
          <w:sz w:val="24"/>
          <w:szCs w:val="24"/>
        </w:rPr>
        <w:t xml:space="preserve">When </w:t>
      </w:r>
      <w:r w:rsidR="0064304F" w:rsidRPr="001E35A2">
        <w:rPr>
          <w:rFonts w:ascii="Times New Roman" w:hAnsi="Times New Roman" w:cs="Times New Roman"/>
          <w:sz w:val="24"/>
          <w:szCs w:val="24"/>
        </w:rPr>
        <w:t xml:space="preserve">workers still active in 1994 </w:t>
      </w:r>
      <w:r w:rsidR="0091373E" w:rsidRPr="001E35A2">
        <w:rPr>
          <w:rFonts w:ascii="Times New Roman" w:hAnsi="Times New Roman" w:cs="Times New Roman"/>
          <w:sz w:val="24"/>
          <w:szCs w:val="24"/>
        </w:rPr>
        <w:t>were</w:t>
      </w:r>
      <w:r w:rsidR="00141318" w:rsidRPr="001E35A2">
        <w:rPr>
          <w:rFonts w:ascii="Times New Roman" w:hAnsi="Times New Roman" w:cs="Times New Roman"/>
          <w:sz w:val="24"/>
          <w:szCs w:val="24"/>
        </w:rPr>
        <w:t xml:space="preserve"> included in outcome follow-up, the r</w:t>
      </w:r>
      <w:r w:rsidR="0091373E" w:rsidRPr="001E35A2">
        <w:rPr>
          <w:rFonts w:ascii="Times New Roman" w:hAnsi="Times New Roman" w:cs="Times New Roman"/>
          <w:sz w:val="24"/>
          <w:szCs w:val="24"/>
        </w:rPr>
        <w:t xml:space="preserve">ate </w:t>
      </w:r>
      <w:r w:rsidR="00141318" w:rsidRPr="001E35A2">
        <w:rPr>
          <w:rFonts w:ascii="Times New Roman" w:hAnsi="Times New Roman" w:cs="Times New Roman"/>
          <w:sz w:val="24"/>
          <w:szCs w:val="24"/>
        </w:rPr>
        <w:t xml:space="preserve">of suicide </w:t>
      </w:r>
      <w:r w:rsidR="0064304F" w:rsidRPr="001E35A2">
        <w:rPr>
          <w:rFonts w:ascii="Times New Roman" w:hAnsi="Times New Roman" w:cs="Times New Roman"/>
          <w:sz w:val="24"/>
          <w:szCs w:val="24"/>
        </w:rPr>
        <w:t>d</w:t>
      </w:r>
      <w:r w:rsidR="0091373E" w:rsidRPr="001E35A2">
        <w:rPr>
          <w:rFonts w:ascii="Times New Roman" w:hAnsi="Times New Roman" w:cs="Times New Roman"/>
          <w:sz w:val="24"/>
          <w:szCs w:val="24"/>
        </w:rPr>
        <w:t>id</w:t>
      </w:r>
      <w:r w:rsidR="0064304F" w:rsidRPr="001E35A2">
        <w:rPr>
          <w:rFonts w:ascii="Times New Roman" w:hAnsi="Times New Roman" w:cs="Times New Roman"/>
          <w:sz w:val="24"/>
          <w:szCs w:val="24"/>
        </w:rPr>
        <w:t xml:space="preserve"> not decline.</w:t>
      </w:r>
      <w:r w:rsidR="000C72CF" w:rsidRPr="001E35A2">
        <w:rPr>
          <w:rFonts w:ascii="Times New Roman" w:hAnsi="Times New Roman" w:cs="Times New Roman"/>
          <w:sz w:val="24"/>
          <w:szCs w:val="24"/>
        </w:rPr>
        <w:t xml:space="preserve"> </w:t>
      </w:r>
      <w:bookmarkEnd w:id="6"/>
      <w:r w:rsidR="00782E17" w:rsidRPr="001E35A2">
        <w:rPr>
          <w:rFonts w:ascii="Times New Roman" w:hAnsi="Times New Roman" w:cs="Times New Roman"/>
          <w:sz w:val="24"/>
          <w:szCs w:val="24"/>
        </w:rPr>
        <w:t>Some of t</w:t>
      </w:r>
      <w:r w:rsidR="0064304F" w:rsidRPr="001E35A2">
        <w:rPr>
          <w:rFonts w:ascii="Times New Roman" w:hAnsi="Times New Roman" w:cs="Times New Roman"/>
          <w:sz w:val="24"/>
          <w:szCs w:val="24"/>
        </w:rPr>
        <w:t xml:space="preserve">hese workers </w:t>
      </w:r>
      <w:r w:rsidR="000C72CF" w:rsidRPr="001E35A2">
        <w:rPr>
          <w:rFonts w:ascii="Times New Roman" w:hAnsi="Times New Roman" w:cs="Times New Roman"/>
          <w:sz w:val="24"/>
          <w:szCs w:val="24"/>
        </w:rPr>
        <w:t xml:space="preserve">may </w:t>
      </w:r>
      <w:r w:rsidR="00782E17" w:rsidRPr="001E35A2">
        <w:rPr>
          <w:rFonts w:ascii="Times New Roman" w:hAnsi="Times New Roman" w:cs="Times New Roman"/>
          <w:sz w:val="24"/>
          <w:szCs w:val="24"/>
        </w:rPr>
        <w:t xml:space="preserve">have </w:t>
      </w:r>
      <w:r w:rsidR="0064304F" w:rsidRPr="001E35A2">
        <w:rPr>
          <w:rFonts w:ascii="Times New Roman" w:hAnsi="Times New Roman" w:cs="Times New Roman"/>
          <w:sz w:val="24"/>
          <w:szCs w:val="24"/>
        </w:rPr>
        <w:t>still</w:t>
      </w:r>
      <w:r w:rsidR="000C72CF" w:rsidRPr="001E35A2">
        <w:rPr>
          <w:rFonts w:ascii="Times New Roman" w:hAnsi="Times New Roman" w:cs="Times New Roman"/>
          <w:sz w:val="24"/>
          <w:szCs w:val="24"/>
        </w:rPr>
        <w:t xml:space="preserve"> be</w:t>
      </w:r>
      <w:r w:rsidR="00782E17" w:rsidRPr="001E35A2">
        <w:rPr>
          <w:rFonts w:ascii="Times New Roman" w:hAnsi="Times New Roman" w:cs="Times New Roman"/>
          <w:sz w:val="24"/>
          <w:szCs w:val="24"/>
        </w:rPr>
        <w:t>en</w:t>
      </w:r>
      <w:r w:rsidR="0064304F" w:rsidRPr="001E35A2">
        <w:rPr>
          <w:rFonts w:ascii="Times New Roman" w:hAnsi="Times New Roman" w:cs="Times New Roman"/>
          <w:sz w:val="24"/>
          <w:szCs w:val="24"/>
        </w:rPr>
        <w:t xml:space="preserve"> employed </w:t>
      </w:r>
      <w:r w:rsidR="000C72CF" w:rsidRPr="001E35A2">
        <w:rPr>
          <w:rFonts w:ascii="Times New Roman" w:hAnsi="Times New Roman" w:cs="Times New Roman"/>
          <w:sz w:val="24"/>
          <w:szCs w:val="24"/>
        </w:rPr>
        <w:t>in the early 2000s w</w:t>
      </w:r>
      <w:r w:rsidR="0064304F" w:rsidRPr="001E35A2">
        <w:rPr>
          <w:rFonts w:ascii="Times New Roman" w:hAnsi="Times New Roman" w:cs="Times New Roman"/>
          <w:sz w:val="24"/>
          <w:szCs w:val="24"/>
        </w:rPr>
        <w:t xml:space="preserve">hen the plants were </w:t>
      </w:r>
      <w:r w:rsidR="000C72CF" w:rsidRPr="001E35A2">
        <w:rPr>
          <w:rFonts w:ascii="Times New Roman" w:hAnsi="Times New Roman" w:cs="Times New Roman"/>
          <w:sz w:val="24"/>
          <w:szCs w:val="24"/>
        </w:rPr>
        <w:t xml:space="preserve">downsizing prior to closing </w:t>
      </w:r>
      <w:r w:rsidR="0064304F" w:rsidRPr="001E35A2">
        <w:rPr>
          <w:rFonts w:ascii="Times New Roman" w:hAnsi="Times New Roman" w:cs="Times New Roman"/>
          <w:sz w:val="24"/>
          <w:szCs w:val="24"/>
        </w:rPr>
        <w:t>down; Plant 1 closed in 2012, Plant 2 in 2010 and Plant 3 in 2014.</w:t>
      </w:r>
    </w:p>
    <w:p w14:paraId="191EFE37" w14:textId="0A725F64" w:rsidR="00F25E4B" w:rsidRPr="001E35A2" w:rsidRDefault="00982F7A" w:rsidP="00D8533C">
      <w:pPr>
        <w:spacing w:line="480" w:lineRule="auto"/>
        <w:ind w:firstLine="720"/>
        <w:rPr>
          <w:rFonts w:ascii="Times New Roman" w:hAnsi="Times New Roman" w:cs="Times New Roman"/>
          <w:sz w:val="24"/>
          <w:szCs w:val="24"/>
        </w:rPr>
      </w:pPr>
      <w:r w:rsidRPr="001E35A2">
        <w:rPr>
          <w:rFonts w:ascii="Times New Roman" w:hAnsi="Times New Roman" w:cs="Times New Roman"/>
          <w:sz w:val="24"/>
          <w:szCs w:val="24"/>
        </w:rPr>
        <w:t xml:space="preserve">Among </w:t>
      </w:r>
      <w:r w:rsidR="004E6074" w:rsidRPr="001E35A2">
        <w:rPr>
          <w:rFonts w:ascii="Times New Roman" w:hAnsi="Times New Roman" w:cs="Times New Roman"/>
          <w:sz w:val="24"/>
          <w:szCs w:val="24"/>
        </w:rPr>
        <w:t xml:space="preserve">the </w:t>
      </w:r>
      <w:r w:rsidR="001D0F43" w:rsidRPr="001E35A2">
        <w:rPr>
          <w:rFonts w:ascii="Times New Roman" w:hAnsi="Times New Roman" w:cs="Times New Roman"/>
          <w:sz w:val="24"/>
          <w:szCs w:val="24"/>
        </w:rPr>
        <w:t xml:space="preserve">179 </w:t>
      </w:r>
      <w:r w:rsidR="004E6074" w:rsidRPr="001E35A2">
        <w:rPr>
          <w:rFonts w:ascii="Times New Roman" w:hAnsi="Times New Roman" w:cs="Times New Roman"/>
          <w:sz w:val="24"/>
          <w:szCs w:val="24"/>
        </w:rPr>
        <w:t>suicides</w:t>
      </w:r>
      <w:r w:rsidR="001D0F43" w:rsidRPr="001E35A2">
        <w:rPr>
          <w:rFonts w:ascii="Times New Roman" w:hAnsi="Times New Roman" w:cs="Times New Roman"/>
          <w:sz w:val="24"/>
          <w:szCs w:val="24"/>
        </w:rPr>
        <w:t xml:space="preserve"> with complete work records</w:t>
      </w:r>
      <w:r w:rsidRPr="001E35A2">
        <w:rPr>
          <w:rFonts w:ascii="Times New Roman" w:hAnsi="Times New Roman" w:cs="Times New Roman"/>
          <w:sz w:val="24"/>
          <w:szCs w:val="24"/>
        </w:rPr>
        <w:t>,</w:t>
      </w:r>
      <w:r w:rsidR="00B462F2" w:rsidRPr="001E35A2">
        <w:rPr>
          <w:rFonts w:ascii="Times New Roman" w:hAnsi="Times New Roman" w:cs="Times New Roman"/>
          <w:sz w:val="24"/>
          <w:szCs w:val="24"/>
        </w:rPr>
        <w:t xml:space="preserve"> </w:t>
      </w:r>
      <w:r w:rsidR="00E67CFF" w:rsidRPr="001E35A2">
        <w:rPr>
          <w:rFonts w:ascii="Times New Roman" w:hAnsi="Times New Roman" w:cs="Times New Roman"/>
          <w:sz w:val="24"/>
          <w:szCs w:val="24"/>
        </w:rPr>
        <w:t xml:space="preserve">all but </w:t>
      </w:r>
      <w:r w:rsidR="00D31043" w:rsidRPr="001E35A2">
        <w:rPr>
          <w:rFonts w:ascii="Times New Roman" w:hAnsi="Times New Roman" w:cs="Times New Roman"/>
          <w:sz w:val="24"/>
          <w:szCs w:val="24"/>
        </w:rPr>
        <w:t>2</w:t>
      </w:r>
      <w:r w:rsidR="004E6074" w:rsidRPr="001E35A2">
        <w:rPr>
          <w:rFonts w:ascii="Times New Roman" w:hAnsi="Times New Roman" w:cs="Times New Roman"/>
          <w:sz w:val="24"/>
          <w:szCs w:val="24"/>
        </w:rPr>
        <w:t>1 occur</w:t>
      </w:r>
      <w:r w:rsidR="003E1D5B" w:rsidRPr="001E35A2">
        <w:rPr>
          <w:rFonts w:ascii="Times New Roman" w:hAnsi="Times New Roman" w:cs="Times New Roman"/>
          <w:sz w:val="24"/>
          <w:szCs w:val="24"/>
        </w:rPr>
        <w:t>red</w:t>
      </w:r>
      <w:r w:rsidR="00E67CFF" w:rsidRPr="001E35A2">
        <w:rPr>
          <w:rFonts w:ascii="Times New Roman" w:hAnsi="Times New Roman" w:cs="Times New Roman"/>
          <w:sz w:val="24"/>
          <w:szCs w:val="24"/>
        </w:rPr>
        <w:t xml:space="preserve"> after </w:t>
      </w:r>
      <w:r w:rsidR="00B462F2" w:rsidRPr="001E35A2">
        <w:rPr>
          <w:rFonts w:ascii="Times New Roman" w:hAnsi="Times New Roman" w:cs="Times New Roman"/>
          <w:sz w:val="24"/>
          <w:szCs w:val="24"/>
        </w:rPr>
        <w:t>worker exit</w:t>
      </w:r>
      <w:r w:rsidR="00141318" w:rsidRPr="001E35A2">
        <w:rPr>
          <w:rFonts w:ascii="Times New Roman" w:hAnsi="Times New Roman" w:cs="Times New Roman"/>
          <w:sz w:val="24"/>
          <w:szCs w:val="24"/>
        </w:rPr>
        <w:t xml:space="preserve">. </w:t>
      </w:r>
      <w:r w:rsidR="007E3F45" w:rsidRPr="001E35A2">
        <w:rPr>
          <w:rFonts w:ascii="Times New Roman" w:hAnsi="Times New Roman" w:cs="Times New Roman"/>
          <w:sz w:val="24"/>
          <w:szCs w:val="24"/>
        </w:rPr>
        <w:t xml:space="preserve">The adjusted HR was dramatically elevated for those who had left work (Table 2). </w:t>
      </w:r>
      <w:r w:rsidR="001D0F43" w:rsidRPr="001E35A2">
        <w:rPr>
          <w:rFonts w:ascii="Times New Roman" w:hAnsi="Times New Roman" w:cs="Times New Roman"/>
          <w:sz w:val="24"/>
          <w:szCs w:val="24"/>
        </w:rPr>
        <w:t xml:space="preserve">There was a spike in suicides in the year just after exit, and most of the remaining cases occurred </w:t>
      </w:r>
      <w:r w:rsidR="001D0F43" w:rsidRPr="001E35A2">
        <w:rPr>
          <w:rFonts w:ascii="Times New Roman" w:hAnsi="Times New Roman" w:cs="Times New Roman"/>
          <w:sz w:val="24"/>
          <w:szCs w:val="24"/>
        </w:rPr>
        <w:lastRenderedPageBreak/>
        <w:t xml:space="preserve">within five years of leaving work (eFigure 3). </w:t>
      </w:r>
      <w:r w:rsidR="003E1D5B" w:rsidRPr="001E35A2">
        <w:rPr>
          <w:rFonts w:ascii="Times New Roman" w:hAnsi="Times New Roman" w:cs="Times New Roman"/>
          <w:sz w:val="24"/>
          <w:szCs w:val="24"/>
        </w:rPr>
        <w:t>W</w:t>
      </w:r>
      <w:r w:rsidR="00EA69AD" w:rsidRPr="001E35A2">
        <w:rPr>
          <w:rFonts w:ascii="Times New Roman" w:hAnsi="Times New Roman" w:cs="Times New Roman"/>
          <w:sz w:val="24"/>
          <w:szCs w:val="24"/>
        </w:rPr>
        <w:t xml:space="preserve">hen </w:t>
      </w:r>
      <w:r w:rsidR="00FD2D92" w:rsidRPr="001E35A2">
        <w:rPr>
          <w:rFonts w:ascii="Times New Roman" w:hAnsi="Times New Roman" w:cs="Times New Roman"/>
          <w:sz w:val="24"/>
          <w:szCs w:val="24"/>
        </w:rPr>
        <w:t xml:space="preserve">cases that occurred within a week of leaving work </w:t>
      </w:r>
      <w:r w:rsidR="007E3F45" w:rsidRPr="001E35A2">
        <w:rPr>
          <w:rFonts w:ascii="Times New Roman" w:hAnsi="Times New Roman" w:cs="Times New Roman"/>
          <w:sz w:val="24"/>
          <w:szCs w:val="24"/>
        </w:rPr>
        <w:t xml:space="preserve">were reclassified </w:t>
      </w:r>
      <w:r w:rsidR="00FD2D92" w:rsidRPr="001E35A2">
        <w:rPr>
          <w:rFonts w:ascii="Times New Roman" w:hAnsi="Times New Roman" w:cs="Times New Roman"/>
          <w:sz w:val="24"/>
          <w:szCs w:val="24"/>
        </w:rPr>
        <w:t xml:space="preserve">as having occurred while </w:t>
      </w:r>
      <w:r w:rsidR="003E1D5B" w:rsidRPr="001E35A2">
        <w:rPr>
          <w:rFonts w:ascii="Times New Roman" w:hAnsi="Times New Roman" w:cs="Times New Roman"/>
          <w:sz w:val="24"/>
          <w:szCs w:val="24"/>
        </w:rPr>
        <w:t>still employed, the HR d</w:t>
      </w:r>
      <w:r w:rsidR="00934208" w:rsidRPr="001E35A2">
        <w:rPr>
          <w:rFonts w:ascii="Times New Roman" w:hAnsi="Times New Roman" w:cs="Times New Roman"/>
          <w:sz w:val="24"/>
          <w:szCs w:val="24"/>
        </w:rPr>
        <w:t xml:space="preserve">ecreased </w:t>
      </w:r>
      <w:r w:rsidR="00B462F2" w:rsidRPr="001E35A2">
        <w:rPr>
          <w:rFonts w:ascii="Times New Roman" w:hAnsi="Times New Roman" w:cs="Times New Roman"/>
          <w:sz w:val="24"/>
          <w:szCs w:val="24"/>
        </w:rPr>
        <w:t>from 17</w:t>
      </w:r>
      <w:r w:rsidRPr="001E35A2">
        <w:rPr>
          <w:rFonts w:ascii="Times New Roman" w:hAnsi="Times New Roman" w:cs="Times New Roman"/>
          <w:sz w:val="24"/>
          <w:szCs w:val="24"/>
        </w:rPr>
        <w:t>.7</w:t>
      </w:r>
      <w:r w:rsidR="00B462F2" w:rsidRPr="001E35A2">
        <w:rPr>
          <w:rFonts w:ascii="Times New Roman" w:hAnsi="Times New Roman" w:cs="Times New Roman"/>
          <w:sz w:val="24"/>
          <w:szCs w:val="24"/>
        </w:rPr>
        <w:t xml:space="preserve"> </w:t>
      </w:r>
      <w:r w:rsidR="00934208" w:rsidRPr="001E35A2">
        <w:rPr>
          <w:rFonts w:ascii="Times New Roman" w:hAnsi="Times New Roman" w:cs="Times New Roman"/>
          <w:sz w:val="24"/>
          <w:szCs w:val="24"/>
        </w:rPr>
        <w:t>t</w:t>
      </w:r>
      <w:r w:rsidR="003E1D5B" w:rsidRPr="001E35A2">
        <w:rPr>
          <w:rFonts w:ascii="Times New Roman" w:hAnsi="Times New Roman" w:cs="Times New Roman"/>
          <w:sz w:val="24"/>
          <w:szCs w:val="24"/>
        </w:rPr>
        <w:t xml:space="preserve">o </w:t>
      </w:r>
      <w:r w:rsidR="00B462F2" w:rsidRPr="001E35A2">
        <w:rPr>
          <w:rFonts w:ascii="Times New Roman" w:hAnsi="Times New Roman" w:cs="Times New Roman"/>
          <w:sz w:val="24"/>
          <w:szCs w:val="24"/>
        </w:rPr>
        <w:t>12.5</w:t>
      </w:r>
      <w:r w:rsidR="000C72CF" w:rsidRPr="001E35A2">
        <w:rPr>
          <w:rFonts w:ascii="Times New Roman" w:hAnsi="Times New Roman" w:cs="Times New Roman"/>
          <w:sz w:val="24"/>
          <w:szCs w:val="24"/>
        </w:rPr>
        <w:t xml:space="preserve"> </w:t>
      </w:r>
      <w:r w:rsidR="00EA69AD" w:rsidRPr="001E35A2">
        <w:rPr>
          <w:rFonts w:ascii="Times New Roman" w:hAnsi="Times New Roman" w:cs="Times New Roman"/>
          <w:sz w:val="24"/>
          <w:szCs w:val="24"/>
        </w:rPr>
        <w:t xml:space="preserve">(Table </w:t>
      </w:r>
      <w:r w:rsidR="001D0F43" w:rsidRPr="001E35A2">
        <w:rPr>
          <w:rFonts w:ascii="Times New Roman" w:hAnsi="Times New Roman" w:cs="Times New Roman"/>
          <w:sz w:val="24"/>
          <w:szCs w:val="24"/>
        </w:rPr>
        <w:t>2</w:t>
      </w:r>
      <w:r w:rsidR="00EA69AD" w:rsidRPr="001E35A2">
        <w:rPr>
          <w:rFonts w:ascii="Times New Roman" w:hAnsi="Times New Roman" w:cs="Times New Roman"/>
          <w:sz w:val="24"/>
          <w:szCs w:val="24"/>
        </w:rPr>
        <w:t>)</w:t>
      </w:r>
      <w:r w:rsidR="00FD2D92" w:rsidRPr="001E35A2">
        <w:rPr>
          <w:rFonts w:ascii="Times New Roman" w:hAnsi="Times New Roman" w:cs="Times New Roman"/>
          <w:sz w:val="24"/>
          <w:szCs w:val="24"/>
        </w:rPr>
        <w:t>.</w:t>
      </w:r>
    </w:p>
    <w:p w14:paraId="7F1DC88A" w14:textId="68AAEFC6" w:rsidR="00C70007" w:rsidRPr="001E35A2" w:rsidRDefault="005C0DE2" w:rsidP="00D8533C">
      <w:pPr>
        <w:spacing w:line="480" w:lineRule="auto"/>
        <w:ind w:firstLine="720"/>
        <w:rPr>
          <w:rFonts w:ascii="Times New Roman" w:hAnsi="Times New Roman" w:cs="Times New Roman"/>
          <w:sz w:val="24"/>
          <w:szCs w:val="24"/>
        </w:rPr>
      </w:pPr>
      <w:r w:rsidRPr="001E35A2">
        <w:rPr>
          <w:rFonts w:ascii="Times New Roman" w:hAnsi="Times New Roman" w:cs="Times New Roman"/>
          <w:sz w:val="24"/>
          <w:szCs w:val="24"/>
        </w:rPr>
        <w:t>Table 3</w:t>
      </w:r>
      <w:r w:rsidR="003A374A" w:rsidRPr="001E35A2">
        <w:rPr>
          <w:rFonts w:ascii="Times New Roman" w:hAnsi="Times New Roman" w:cs="Times New Roman"/>
          <w:sz w:val="24"/>
          <w:szCs w:val="24"/>
        </w:rPr>
        <w:t xml:space="preserve"> </w:t>
      </w:r>
      <w:r w:rsidRPr="001E35A2">
        <w:rPr>
          <w:rFonts w:ascii="Times New Roman" w:hAnsi="Times New Roman" w:cs="Times New Roman"/>
          <w:sz w:val="24"/>
          <w:szCs w:val="24"/>
        </w:rPr>
        <w:t>present</w:t>
      </w:r>
      <w:r w:rsidR="003A374A" w:rsidRPr="001E35A2">
        <w:rPr>
          <w:rFonts w:ascii="Times New Roman" w:hAnsi="Times New Roman" w:cs="Times New Roman"/>
          <w:sz w:val="24"/>
          <w:szCs w:val="24"/>
        </w:rPr>
        <w:t>s</w:t>
      </w:r>
      <w:r w:rsidRPr="001E35A2">
        <w:rPr>
          <w:rFonts w:ascii="Times New Roman" w:hAnsi="Times New Roman" w:cs="Times New Roman"/>
          <w:sz w:val="24"/>
          <w:szCs w:val="24"/>
        </w:rPr>
        <w:t xml:space="preserve"> </w:t>
      </w:r>
      <w:r w:rsidR="005F4628" w:rsidRPr="001E35A2">
        <w:rPr>
          <w:rFonts w:ascii="Times New Roman" w:hAnsi="Times New Roman" w:cs="Times New Roman"/>
          <w:sz w:val="24"/>
          <w:szCs w:val="24"/>
        </w:rPr>
        <w:t>results from the secondary model that contrasted individuals who left work at retirement v</w:t>
      </w:r>
      <w:r w:rsidR="0091373E" w:rsidRPr="001E35A2">
        <w:rPr>
          <w:rFonts w:ascii="Times New Roman" w:hAnsi="Times New Roman" w:cs="Times New Roman"/>
          <w:sz w:val="24"/>
          <w:szCs w:val="24"/>
        </w:rPr>
        <w:t>ersus</w:t>
      </w:r>
      <w:r w:rsidR="005F4628" w:rsidRPr="001E35A2">
        <w:rPr>
          <w:rFonts w:ascii="Times New Roman" w:hAnsi="Times New Roman" w:cs="Times New Roman"/>
          <w:sz w:val="24"/>
          <w:szCs w:val="24"/>
        </w:rPr>
        <w:t xml:space="preserve"> earlier ages. </w:t>
      </w:r>
      <w:r w:rsidR="00EA69AD" w:rsidRPr="001E35A2">
        <w:rPr>
          <w:rFonts w:ascii="Times New Roman" w:hAnsi="Times New Roman" w:cs="Times New Roman"/>
          <w:sz w:val="24"/>
          <w:szCs w:val="24"/>
        </w:rPr>
        <w:t xml:space="preserve">Hazard ratios were elevated </w:t>
      </w:r>
      <w:r w:rsidR="005F4628" w:rsidRPr="001E35A2">
        <w:rPr>
          <w:rFonts w:ascii="Times New Roman" w:hAnsi="Times New Roman" w:cs="Times New Roman"/>
          <w:sz w:val="24"/>
          <w:szCs w:val="24"/>
        </w:rPr>
        <w:t xml:space="preserve">by 40-70% </w:t>
      </w:r>
      <w:r w:rsidR="00EA69AD" w:rsidRPr="001E35A2">
        <w:rPr>
          <w:rFonts w:ascii="Times New Roman" w:hAnsi="Times New Roman" w:cs="Times New Roman"/>
          <w:sz w:val="24"/>
          <w:szCs w:val="24"/>
        </w:rPr>
        <w:t xml:space="preserve">for </w:t>
      </w:r>
      <w:r w:rsidR="00417E81" w:rsidRPr="001E35A2">
        <w:rPr>
          <w:rFonts w:ascii="Times New Roman" w:hAnsi="Times New Roman" w:cs="Times New Roman"/>
          <w:sz w:val="24"/>
          <w:szCs w:val="24"/>
        </w:rPr>
        <w:t xml:space="preserve">groups who exited </w:t>
      </w:r>
      <w:r w:rsidR="00751701" w:rsidRPr="001E35A2">
        <w:rPr>
          <w:rFonts w:ascii="Times New Roman" w:hAnsi="Times New Roman" w:cs="Times New Roman"/>
          <w:sz w:val="24"/>
          <w:szCs w:val="24"/>
        </w:rPr>
        <w:t>before age 40</w:t>
      </w:r>
      <w:r w:rsidR="00417E81" w:rsidRPr="001E35A2">
        <w:rPr>
          <w:rFonts w:ascii="Times New Roman" w:hAnsi="Times New Roman" w:cs="Times New Roman"/>
          <w:sz w:val="24"/>
          <w:szCs w:val="24"/>
        </w:rPr>
        <w:t xml:space="preserve">. </w:t>
      </w:r>
      <w:bookmarkStart w:id="7" w:name="_Hlk31124884"/>
      <w:r w:rsidR="00EA69AD" w:rsidRPr="001E35A2">
        <w:rPr>
          <w:rFonts w:ascii="Times New Roman" w:hAnsi="Times New Roman" w:cs="Times New Roman"/>
          <w:sz w:val="24"/>
          <w:szCs w:val="24"/>
        </w:rPr>
        <w:t>Th</w:t>
      </w:r>
      <w:r w:rsidR="00417E81" w:rsidRPr="001E35A2">
        <w:rPr>
          <w:rFonts w:ascii="Times New Roman" w:hAnsi="Times New Roman" w:cs="Times New Roman"/>
          <w:sz w:val="24"/>
          <w:szCs w:val="24"/>
        </w:rPr>
        <w:t>ose who were 30-39 at worker exit had the highest risk of suicide</w:t>
      </w:r>
      <w:r w:rsidR="005F4628" w:rsidRPr="001E35A2">
        <w:rPr>
          <w:rFonts w:ascii="Times New Roman" w:hAnsi="Times New Roman" w:cs="Times New Roman"/>
          <w:sz w:val="24"/>
          <w:szCs w:val="24"/>
        </w:rPr>
        <w:t xml:space="preserve"> (HR</w:t>
      </w:r>
      <w:r w:rsidR="00D63A4C">
        <w:rPr>
          <w:rFonts w:ascii="Times New Roman" w:hAnsi="Times New Roman" w:cs="Times New Roman"/>
          <w:sz w:val="24"/>
          <w:szCs w:val="24"/>
        </w:rPr>
        <w:t> </w:t>
      </w:r>
      <w:r w:rsidR="005F4628" w:rsidRPr="001E35A2">
        <w:rPr>
          <w:rFonts w:ascii="Times New Roman" w:hAnsi="Times New Roman" w:cs="Times New Roman"/>
          <w:sz w:val="24"/>
          <w:szCs w:val="24"/>
        </w:rPr>
        <w:t>=</w:t>
      </w:r>
      <w:r w:rsidR="00D63A4C">
        <w:rPr>
          <w:rFonts w:ascii="Times New Roman" w:hAnsi="Times New Roman" w:cs="Times New Roman"/>
          <w:sz w:val="24"/>
          <w:szCs w:val="24"/>
        </w:rPr>
        <w:t> </w:t>
      </w:r>
      <w:r w:rsidR="005F4628" w:rsidRPr="001E35A2">
        <w:rPr>
          <w:rFonts w:ascii="Times New Roman" w:hAnsi="Times New Roman" w:cs="Times New Roman"/>
          <w:sz w:val="24"/>
          <w:szCs w:val="24"/>
        </w:rPr>
        <w:t>1.7, 95% CI:</w:t>
      </w:r>
      <w:r w:rsidR="00421AEF">
        <w:rPr>
          <w:rFonts w:ascii="Times New Roman" w:hAnsi="Times New Roman" w:cs="Times New Roman"/>
          <w:sz w:val="24"/>
          <w:szCs w:val="24"/>
        </w:rPr>
        <w:t xml:space="preserve"> </w:t>
      </w:r>
      <w:r w:rsidR="005F4628" w:rsidRPr="001E35A2">
        <w:rPr>
          <w:rFonts w:ascii="Times New Roman" w:hAnsi="Times New Roman" w:cs="Times New Roman"/>
          <w:sz w:val="24"/>
          <w:szCs w:val="24"/>
        </w:rPr>
        <w:t>1.1</w:t>
      </w:r>
      <w:r w:rsidR="0001713C">
        <w:rPr>
          <w:rFonts w:ascii="Times New Roman" w:hAnsi="Times New Roman" w:cs="Times New Roman"/>
          <w:sz w:val="24"/>
          <w:szCs w:val="24"/>
        </w:rPr>
        <w:noBreakHyphen/>
      </w:r>
      <w:r w:rsidR="005F4628" w:rsidRPr="001E35A2">
        <w:rPr>
          <w:rFonts w:ascii="Times New Roman" w:hAnsi="Times New Roman" w:cs="Times New Roman"/>
          <w:sz w:val="24"/>
          <w:szCs w:val="24"/>
        </w:rPr>
        <w:t>2.6).</w:t>
      </w:r>
      <w:r w:rsidR="00417E81" w:rsidRPr="001E35A2">
        <w:rPr>
          <w:rFonts w:ascii="Times New Roman" w:hAnsi="Times New Roman" w:cs="Times New Roman"/>
          <w:sz w:val="24"/>
          <w:szCs w:val="24"/>
        </w:rPr>
        <w:t xml:space="preserve"> When overdose was </w:t>
      </w:r>
      <w:r w:rsidR="00751701" w:rsidRPr="001E35A2">
        <w:rPr>
          <w:rFonts w:ascii="Times New Roman" w:hAnsi="Times New Roman" w:cs="Times New Roman"/>
          <w:sz w:val="24"/>
          <w:szCs w:val="24"/>
        </w:rPr>
        <w:t>included in</w:t>
      </w:r>
      <w:r w:rsidR="00417E81" w:rsidRPr="001E35A2">
        <w:rPr>
          <w:rFonts w:ascii="Times New Roman" w:hAnsi="Times New Roman" w:cs="Times New Roman"/>
          <w:sz w:val="24"/>
          <w:szCs w:val="24"/>
        </w:rPr>
        <w:t xml:space="preserve"> the outcome, the </w:t>
      </w:r>
      <w:r w:rsidR="00953306" w:rsidRPr="001E35A2">
        <w:rPr>
          <w:rFonts w:ascii="Times New Roman" w:hAnsi="Times New Roman" w:cs="Times New Roman"/>
          <w:sz w:val="24"/>
          <w:szCs w:val="24"/>
        </w:rPr>
        <w:t xml:space="preserve">HR </w:t>
      </w:r>
      <w:r w:rsidR="00EB3114" w:rsidRPr="001E35A2">
        <w:rPr>
          <w:rFonts w:ascii="Times New Roman" w:hAnsi="Times New Roman" w:cs="Times New Roman"/>
          <w:sz w:val="24"/>
          <w:szCs w:val="24"/>
        </w:rPr>
        <w:t>for that group increased to 2.</w:t>
      </w:r>
      <w:r w:rsidR="008A5507" w:rsidRPr="001E35A2">
        <w:rPr>
          <w:rFonts w:ascii="Times New Roman" w:hAnsi="Times New Roman" w:cs="Times New Roman"/>
          <w:sz w:val="24"/>
          <w:szCs w:val="24"/>
        </w:rPr>
        <w:t>1</w:t>
      </w:r>
      <w:r w:rsidR="0091373E" w:rsidRPr="001E35A2">
        <w:rPr>
          <w:rFonts w:ascii="Times New Roman" w:hAnsi="Times New Roman" w:cs="Times New Roman"/>
          <w:sz w:val="24"/>
          <w:szCs w:val="24"/>
        </w:rPr>
        <w:t>,</w:t>
      </w:r>
      <w:r w:rsidR="00EB3114" w:rsidRPr="001E35A2">
        <w:rPr>
          <w:rFonts w:ascii="Times New Roman" w:hAnsi="Times New Roman" w:cs="Times New Roman"/>
          <w:sz w:val="24"/>
          <w:szCs w:val="24"/>
        </w:rPr>
        <w:t xml:space="preserve"> and the HR for </w:t>
      </w:r>
      <w:r w:rsidR="00953306" w:rsidRPr="001E35A2">
        <w:rPr>
          <w:rFonts w:ascii="Times New Roman" w:hAnsi="Times New Roman" w:cs="Times New Roman"/>
          <w:sz w:val="24"/>
          <w:szCs w:val="24"/>
        </w:rPr>
        <w:t xml:space="preserve">the </w:t>
      </w:r>
      <w:r w:rsidR="00417E81" w:rsidRPr="001E35A2">
        <w:rPr>
          <w:rFonts w:ascii="Times New Roman" w:hAnsi="Times New Roman" w:cs="Times New Roman"/>
          <w:sz w:val="24"/>
          <w:szCs w:val="24"/>
        </w:rPr>
        <w:t>youngest group</w:t>
      </w:r>
      <w:r w:rsidR="00EB3114" w:rsidRPr="001E35A2">
        <w:rPr>
          <w:rFonts w:ascii="Times New Roman" w:hAnsi="Times New Roman" w:cs="Times New Roman"/>
          <w:sz w:val="24"/>
          <w:szCs w:val="24"/>
        </w:rPr>
        <w:t xml:space="preserve"> increased </w:t>
      </w:r>
      <w:r w:rsidR="005F4628" w:rsidRPr="001E35A2">
        <w:rPr>
          <w:rFonts w:ascii="Times New Roman" w:hAnsi="Times New Roman" w:cs="Times New Roman"/>
          <w:sz w:val="24"/>
          <w:szCs w:val="24"/>
        </w:rPr>
        <w:t>from 1.4 (0.8</w:t>
      </w:r>
      <w:r w:rsidR="0001713C">
        <w:rPr>
          <w:rFonts w:ascii="Times New Roman" w:hAnsi="Times New Roman" w:cs="Times New Roman"/>
          <w:sz w:val="24"/>
          <w:szCs w:val="24"/>
        </w:rPr>
        <w:noBreakHyphen/>
      </w:r>
      <w:r w:rsidR="005F4628" w:rsidRPr="001E35A2">
        <w:rPr>
          <w:rFonts w:ascii="Times New Roman" w:hAnsi="Times New Roman" w:cs="Times New Roman"/>
          <w:sz w:val="24"/>
          <w:szCs w:val="24"/>
        </w:rPr>
        <w:t>2.3) to 2.0 (1.2</w:t>
      </w:r>
      <w:r w:rsidR="0001713C">
        <w:rPr>
          <w:rFonts w:ascii="Times New Roman" w:hAnsi="Times New Roman" w:cs="Times New Roman"/>
          <w:sz w:val="24"/>
          <w:szCs w:val="24"/>
        </w:rPr>
        <w:noBreakHyphen/>
      </w:r>
      <w:r w:rsidR="005F4628" w:rsidRPr="001E35A2">
        <w:rPr>
          <w:rFonts w:ascii="Times New Roman" w:hAnsi="Times New Roman" w:cs="Times New Roman"/>
          <w:sz w:val="24"/>
          <w:szCs w:val="24"/>
        </w:rPr>
        <w:t>3.1)</w:t>
      </w:r>
      <w:r w:rsidR="00EB3114" w:rsidRPr="001E35A2">
        <w:rPr>
          <w:rFonts w:ascii="Times New Roman" w:hAnsi="Times New Roman" w:cs="Times New Roman"/>
          <w:sz w:val="24"/>
          <w:szCs w:val="24"/>
        </w:rPr>
        <w:t>.</w:t>
      </w:r>
      <w:r w:rsidR="00417E81" w:rsidRPr="001E35A2">
        <w:rPr>
          <w:rFonts w:ascii="Times New Roman" w:hAnsi="Times New Roman" w:cs="Times New Roman"/>
          <w:sz w:val="24"/>
          <w:szCs w:val="24"/>
        </w:rPr>
        <w:t xml:space="preserve"> </w:t>
      </w:r>
      <w:r w:rsidR="0028726B" w:rsidRPr="001E35A2">
        <w:rPr>
          <w:rFonts w:ascii="Times New Roman" w:hAnsi="Times New Roman" w:cs="Times New Roman"/>
          <w:sz w:val="24"/>
          <w:szCs w:val="24"/>
        </w:rPr>
        <w:t>R</w:t>
      </w:r>
      <w:r w:rsidR="00E03101" w:rsidRPr="001E35A2">
        <w:rPr>
          <w:rFonts w:ascii="Times New Roman" w:hAnsi="Times New Roman" w:cs="Times New Roman"/>
          <w:sz w:val="24"/>
          <w:szCs w:val="24"/>
        </w:rPr>
        <w:t>estrict</w:t>
      </w:r>
      <w:r w:rsidR="0028726B" w:rsidRPr="001E35A2">
        <w:rPr>
          <w:rFonts w:ascii="Times New Roman" w:hAnsi="Times New Roman" w:cs="Times New Roman"/>
          <w:sz w:val="24"/>
          <w:szCs w:val="24"/>
        </w:rPr>
        <w:t xml:space="preserve">ing follow-up </w:t>
      </w:r>
      <w:r w:rsidR="00E03101" w:rsidRPr="001E35A2">
        <w:rPr>
          <w:rFonts w:ascii="Times New Roman" w:hAnsi="Times New Roman" w:cs="Times New Roman"/>
          <w:sz w:val="24"/>
          <w:szCs w:val="24"/>
        </w:rPr>
        <w:t xml:space="preserve">to </w:t>
      </w:r>
      <w:r w:rsidR="0028726B" w:rsidRPr="001E35A2">
        <w:rPr>
          <w:rFonts w:ascii="Times New Roman" w:hAnsi="Times New Roman" w:cs="Times New Roman"/>
          <w:sz w:val="24"/>
          <w:szCs w:val="24"/>
        </w:rPr>
        <w:t xml:space="preserve">the </w:t>
      </w:r>
      <w:r w:rsidR="00E03101" w:rsidRPr="001E35A2">
        <w:rPr>
          <w:rFonts w:ascii="Times New Roman" w:hAnsi="Times New Roman" w:cs="Times New Roman"/>
          <w:sz w:val="24"/>
          <w:szCs w:val="24"/>
        </w:rPr>
        <w:t xml:space="preserve">five years after worker exit, </w:t>
      </w:r>
      <w:r w:rsidR="00A658E7" w:rsidRPr="001E35A2">
        <w:rPr>
          <w:rFonts w:ascii="Times New Roman" w:hAnsi="Times New Roman" w:cs="Times New Roman"/>
          <w:sz w:val="24"/>
          <w:szCs w:val="24"/>
        </w:rPr>
        <w:t>HR</w:t>
      </w:r>
      <w:r w:rsidR="00E03101" w:rsidRPr="001E35A2">
        <w:rPr>
          <w:rFonts w:ascii="Times New Roman" w:hAnsi="Times New Roman" w:cs="Times New Roman"/>
          <w:sz w:val="24"/>
          <w:szCs w:val="24"/>
        </w:rPr>
        <w:t>s</w:t>
      </w:r>
      <w:r w:rsidR="00A658E7" w:rsidRPr="001E35A2">
        <w:rPr>
          <w:rFonts w:ascii="Times New Roman" w:hAnsi="Times New Roman" w:cs="Times New Roman"/>
          <w:sz w:val="24"/>
          <w:szCs w:val="24"/>
        </w:rPr>
        <w:t xml:space="preserve"> </w:t>
      </w:r>
      <w:r w:rsidR="00180B84" w:rsidRPr="001E35A2">
        <w:rPr>
          <w:rFonts w:ascii="Times New Roman" w:hAnsi="Times New Roman" w:cs="Times New Roman"/>
          <w:sz w:val="24"/>
          <w:szCs w:val="24"/>
        </w:rPr>
        <w:t xml:space="preserve">for the combined outcome remained elevated: </w:t>
      </w:r>
      <w:r w:rsidR="00A658E7" w:rsidRPr="001E35A2">
        <w:rPr>
          <w:rFonts w:ascii="Times New Roman" w:hAnsi="Times New Roman" w:cs="Times New Roman"/>
          <w:sz w:val="24"/>
          <w:szCs w:val="24"/>
        </w:rPr>
        <w:t>2.</w:t>
      </w:r>
      <w:r w:rsidR="008A5507" w:rsidRPr="001E35A2">
        <w:rPr>
          <w:rFonts w:ascii="Times New Roman" w:hAnsi="Times New Roman" w:cs="Times New Roman"/>
          <w:sz w:val="24"/>
          <w:szCs w:val="24"/>
        </w:rPr>
        <w:t>0</w:t>
      </w:r>
      <w:r w:rsidR="00A658E7" w:rsidRPr="001E35A2">
        <w:rPr>
          <w:rFonts w:ascii="Times New Roman" w:hAnsi="Times New Roman" w:cs="Times New Roman"/>
          <w:sz w:val="24"/>
          <w:szCs w:val="24"/>
        </w:rPr>
        <w:t xml:space="preserve"> (95%</w:t>
      </w:r>
      <w:r w:rsidR="00826474">
        <w:rPr>
          <w:rFonts w:ascii="Times New Roman" w:hAnsi="Times New Roman" w:cs="Times New Roman"/>
          <w:sz w:val="24"/>
          <w:szCs w:val="24"/>
        </w:rPr>
        <w:t xml:space="preserve"> </w:t>
      </w:r>
      <w:r w:rsidR="00A658E7" w:rsidRPr="001E35A2">
        <w:rPr>
          <w:rFonts w:ascii="Times New Roman" w:hAnsi="Times New Roman" w:cs="Times New Roman"/>
          <w:sz w:val="24"/>
          <w:szCs w:val="24"/>
        </w:rPr>
        <w:t>CI: 1.</w:t>
      </w:r>
      <w:r w:rsidR="008A5507" w:rsidRPr="001E35A2">
        <w:rPr>
          <w:rFonts w:ascii="Times New Roman" w:hAnsi="Times New Roman" w:cs="Times New Roman"/>
          <w:sz w:val="24"/>
          <w:szCs w:val="24"/>
        </w:rPr>
        <w:t>2</w:t>
      </w:r>
      <w:r w:rsidR="0001713C">
        <w:rPr>
          <w:rFonts w:ascii="Times New Roman" w:hAnsi="Times New Roman" w:cs="Times New Roman"/>
          <w:sz w:val="24"/>
          <w:szCs w:val="24"/>
        </w:rPr>
        <w:noBreakHyphen/>
      </w:r>
      <w:r w:rsidR="00A658E7" w:rsidRPr="001E35A2">
        <w:rPr>
          <w:rFonts w:ascii="Times New Roman" w:hAnsi="Times New Roman" w:cs="Times New Roman"/>
          <w:sz w:val="24"/>
          <w:szCs w:val="24"/>
        </w:rPr>
        <w:t>3.</w:t>
      </w:r>
      <w:r w:rsidR="008A5507" w:rsidRPr="001E35A2">
        <w:rPr>
          <w:rFonts w:ascii="Times New Roman" w:hAnsi="Times New Roman" w:cs="Times New Roman"/>
          <w:sz w:val="24"/>
          <w:szCs w:val="24"/>
        </w:rPr>
        <w:t>4</w:t>
      </w:r>
      <w:r w:rsidR="00A658E7" w:rsidRPr="001E35A2">
        <w:rPr>
          <w:rFonts w:ascii="Times New Roman" w:hAnsi="Times New Roman" w:cs="Times New Roman"/>
          <w:sz w:val="24"/>
          <w:szCs w:val="24"/>
        </w:rPr>
        <w:t xml:space="preserve">) </w:t>
      </w:r>
      <w:r w:rsidR="00E03101" w:rsidRPr="001E35A2">
        <w:rPr>
          <w:rFonts w:ascii="Times New Roman" w:hAnsi="Times New Roman" w:cs="Times New Roman"/>
          <w:sz w:val="24"/>
          <w:szCs w:val="24"/>
        </w:rPr>
        <w:t>and 1.</w:t>
      </w:r>
      <w:r w:rsidR="008A5507" w:rsidRPr="001E35A2">
        <w:rPr>
          <w:rFonts w:ascii="Times New Roman" w:hAnsi="Times New Roman" w:cs="Times New Roman"/>
          <w:sz w:val="24"/>
          <w:szCs w:val="24"/>
        </w:rPr>
        <w:t>7</w:t>
      </w:r>
      <w:r w:rsidR="00E03101" w:rsidRPr="001E35A2">
        <w:rPr>
          <w:rFonts w:ascii="Times New Roman" w:hAnsi="Times New Roman" w:cs="Times New Roman"/>
          <w:sz w:val="24"/>
          <w:szCs w:val="24"/>
        </w:rPr>
        <w:t xml:space="preserve"> (95%</w:t>
      </w:r>
      <w:r w:rsidR="00826474">
        <w:rPr>
          <w:rFonts w:ascii="Times New Roman" w:hAnsi="Times New Roman" w:cs="Times New Roman"/>
          <w:sz w:val="24"/>
          <w:szCs w:val="24"/>
        </w:rPr>
        <w:t xml:space="preserve"> </w:t>
      </w:r>
      <w:r w:rsidR="00E03101" w:rsidRPr="001E35A2">
        <w:rPr>
          <w:rFonts w:ascii="Times New Roman" w:hAnsi="Times New Roman" w:cs="Times New Roman"/>
          <w:sz w:val="24"/>
          <w:szCs w:val="24"/>
        </w:rPr>
        <w:t>CI: 0</w:t>
      </w:r>
      <w:r w:rsidR="008A5507" w:rsidRPr="001E35A2">
        <w:rPr>
          <w:rFonts w:ascii="Times New Roman" w:hAnsi="Times New Roman" w:cs="Times New Roman"/>
          <w:sz w:val="24"/>
          <w:szCs w:val="24"/>
        </w:rPr>
        <w:t>.80</w:t>
      </w:r>
      <w:r w:rsidR="0001713C">
        <w:rPr>
          <w:rFonts w:ascii="Times New Roman" w:hAnsi="Times New Roman" w:cs="Times New Roman"/>
          <w:sz w:val="24"/>
          <w:szCs w:val="24"/>
        </w:rPr>
        <w:noBreakHyphen/>
      </w:r>
      <w:r w:rsidR="00E03101" w:rsidRPr="001E35A2">
        <w:rPr>
          <w:rFonts w:ascii="Times New Roman" w:hAnsi="Times New Roman" w:cs="Times New Roman"/>
          <w:sz w:val="24"/>
          <w:szCs w:val="24"/>
        </w:rPr>
        <w:t>3.</w:t>
      </w:r>
      <w:r w:rsidR="008A5507" w:rsidRPr="001E35A2">
        <w:rPr>
          <w:rFonts w:ascii="Times New Roman" w:hAnsi="Times New Roman" w:cs="Times New Roman"/>
          <w:sz w:val="24"/>
          <w:szCs w:val="24"/>
        </w:rPr>
        <w:t>4</w:t>
      </w:r>
      <w:r w:rsidR="00E03101" w:rsidRPr="001E35A2">
        <w:rPr>
          <w:rFonts w:ascii="Times New Roman" w:hAnsi="Times New Roman" w:cs="Times New Roman"/>
          <w:sz w:val="24"/>
          <w:szCs w:val="24"/>
        </w:rPr>
        <w:t>) for those who</w:t>
      </w:r>
      <w:r w:rsidR="00953306" w:rsidRPr="001E35A2">
        <w:rPr>
          <w:rFonts w:ascii="Times New Roman" w:hAnsi="Times New Roman" w:cs="Times New Roman"/>
          <w:sz w:val="24"/>
          <w:szCs w:val="24"/>
        </w:rPr>
        <w:t xml:space="preserve"> </w:t>
      </w:r>
      <w:r w:rsidR="00E03101" w:rsidRPr="001E35A2">
        <w:rPr>
          <w:rFonts w:ascii="Times New Roman" w:hAnsi="Times New Roman" w:cs="Times New Roman"/>
          <w:sz w:val="24"/>
          <w:szCs w:val="24"/>
        </w:rPr>
        <w:t>left work in their 30s and 20s, respectively</w:t>
      </w:r>
      <w:r w:rsidR="00417E81" w:rsidRPr="001E35A2">
        <w:rPr>
          <w:rFonts w:ascii="Times New Roman" w:hAnsi="Times New Roman" w:cs="Times New Roman"/>
          <w:sz w:val="24"/>
          <w:szCs w:val="24"/>
        </w:rPr>
        <w:t xml:space="preserve"> (eTable</w:t>
      </w:r>
      <w:r w:rsidR="005F4628" w:rsidRPr="001E35A2">
        <w:rPr>
          <w:rFonts w:ascii="Times New Roman" w:hAnsi="Times New Roman" w:cs="Times New Roman"/>
          <w:sz w:val="24"/>
          <w:szCs w:val="24"/>
        </w:rPr>
        <w:t>1</w:t>
      </w:r>
      <w:r w:rsidR="00417E81" w:rsidRPr="001E35A2">
        <w:rPr>
          <w:rFonts w:ascii="Times New Roman" w:hAnsi="Times New Roman" w:cs="Times New Roman"/>
          <w:sz w:val="24"/>
          <w:szCs w:val="24"/>
        </w:rPr>
        <w:t>)</w:t>
      </w:r>
      <w:r w:rsidR="0028726B" w:rsidRPr="001E35A2">
        <w:rPr>
          <w:rFonts w:ascii="Times New Roman" w:hAnsi="Times New Roman" w:cs="Times New Roman"/>
          <w:sz w:val="24"/>
          <w:szCs w:val="24"/>
        </w:rPr>
        <w:t>.</w:t>
      </w:r>
      <w:bookmarkEnd w:id="7"/>
    </w:p>
    <w:p w14:paraId="3781B3FC" w14:textId="135ACF13" w:rsidR="00B32DBF" w:rsidRPr="001E35A2" w:rsidRDefault="00B32DBF" w:rsidP="00D8533C">
      <w:pPr>
        <w:spacing w:line="480" w:lineRule="auto"/>
        <w:ind w:firstLine="720"/>
        <w:rPr>
          <w:rFonts w:ascii="Times New Roman" w:hAnsi="Times New Roman" w:cs="Times New Roman"/>
          <w:sz w:val="24"/>
          <w:szCs w:val="24"/>
        </w:rPr>
      </w:pPr>
      <w:r w:rsidRPr="001E35A2">
        <w:rPr>
          <w:rFonts w:ascii="Times New Roman" w:hAnsi="Times New Roman" w:cs="Times New Roman"/>
          <w:sz w:val="24"/>
          <w:szCs w:val="24"/>
        </w:rPr>
        <w:t>When a penalized spline function of age at worker exit was substituted for the categorical variable</w:t>
      </w:r>
      <w:r w:rsidR="00180B84" w:rsidRPr="001E35A2">
        <w:rPr>
          <w:rFonts w:ascii="Times New Roman" w:hAnsi="Times New Roman" w:cs="Times New Roman"/>
          <w:sz w:val="24"/>
          <w:szCs w:val="24"/>
        </w:rPr>
        <w:t xml:space="preserve"> in the Cox models</w:t>
      </w:r>
      <w:r w:rsidRPr="001E35A2">
        <w:rPr>
          <w:rFonts w:ascii="Times New Roman" w:hAnsi="Times New Roman" w:cs="Times New Roman"/>
          <w:sz w:val="24"/>
          <w:szCs w:val="24"/>
        </w:rPr>
        <w:t>, the HR</w:t>
      </w:r>
      <w:r w:rsidR="00B76367" w:rsidRPr="001E35A2">
        <w:rPr>
          <w:rFonts w:ascii="Times New Roman" w:hAnsi="Times New Roman" w:cs="Times New Roman"/>
          <w:sz w:val="24"/>
          <w:szCs w:val="24"/>
        </w:rPr>
        <w:t>s</w:t>
      </w:r>
      <w:r w:rsidRPr="001E35A2">
        <w:rPr>
          <w:rFonts w:ascii="Times New Roman" w:hAnsi="Times New Roman" w:cs="Times New Roman"/>
          <w:sz w:val="24"/>
          <w:szCs w:val="24"/>
        </w:rPr>
        <w:t xml:space="preserve"> for both suicide and the combined outcome </w:t>
      </w:r>
      <w:r w:rsidR="00180B84" w:rsidRPr="001E35A2">
        <w:rPr>
          <w:rFonts w:ascii="Times New Roman" w:hAnsi="Times New Roman" w:cs="Times New Roman"/>
          <w:sz w:val="24"/>
          <w:szCs w:val="24"/>
        </w:rPr>
        <w:t>were highest for those who left work in their mid-30s (eFig</w:t>
      </w:r>
      <w:r w:rsidR="0091373E" w:rsidRPr="001E35A2">
        <w:rPr>
          <w:rFonts w:ascii="Times New Roman" w:hAnsi="Times New Roman" w:cs="Times New Roman"/>
          <w:sz w:val="24"/>
          <w:szCs w:val="24"/>
        </w:rPr>
        <w:t>ure</w:t>
      </w:r>
      <w:r w:rsidR="00180B84" w:rsidRPr="001E35A2">
        <w:rPr>
          <w:rFonts w:ascii="Times New Roman" w:hAnsi="Times New Roman" w:cs="Times New Roman"/>
          <w:sz w:val="24"/>
          <w:szCs w:val="24"/>
        </w:rPr>
        <w:t xml:space="preserve"> </w:t>
      </w:r>
      <w:r w:rsidR="005F4628" w:rsidRPr="001E35A2">
        <w:rPr>
          <w:rFonts w:ascii="Times New Roman" w:hAnsi="Times New Roman" w:cs="Times New Roman"/>
          <w:sz w:val="24"/>
          <w:szCs w:val="24"/>
        </w:rPr>
        <w:t>4</w:t>
      </w:r>
      <w:r w:rsidR="00180B84" w:rsidRPr="001E35A2">
        <w:rPr>
          <w:rFonts w:ascii="Times New Roman" w:hAnsi="Times New Roman" w:cs="Times New Roman"/>
          <w:sz w:val="24"/>
          <w:szCs w:val="24"/>
        </w:rPr>
        <w:t xml:space="preserve">). The maximum HR was almost 2-fold for suicide and </w:t>
      </w:r>
      <w:r w:rsidR="00E7308A" w:rsidRPr="001E35A2">
        <w:rPr>
          <w:rFonts w:ascii="Times New Roman" w:hAnsi="Times New Roman" w:cs="Times New Roman"/>
          <w:sz w:val="24"/>
          <w:szCs w:val="24"/>
        </w:rPr>
        <w:t>2.5-</w:t>
      </w:r>
      <w:r w:rsidR="00180B84" w:rsidRPr="001E35A2">
        <w:rPr>
          <w:rFonts w:ascii="Times New Roman" w:hAnsi="Times New Roman" w:cs="Times New Roman"/>
          <w:sz w:val="24"/>
          <w:szCs w:val="24"/>
        </w:rPr>
        <w:t xml:space="preserve">fold for overdose combined with suicide, relative to those who left work after age 55. </w:t>
      </w:r>
      <w:r w:rsidR="00B76367" w:rsidRPr="001E35A2">
        <w:rPr>
          <w:rFonts w:ascii="Times New Roman" w:hAnsi="Times New Roman" w:cs="Times New Roman"/>
          <w:sz w:val="24"/>
          <w:szCs w:val="24"/>
        </w:rPr>
        <w:t>The</w:t>
      </w:r>
      <w:r w:rsidR="00180B84" w:rsidRPr="001E35A2">
        <w:rPr>
          <w:rFonts w:ascii="Times New Roman" w:hAnsi="Times New Roman" w:cs="Times New Roman"/>
          <w:sz w:val="24"/>
          <w:szCs w:val="24"/>
        </w:rPr>
        <w:t xml:space="preserve"> HRs</w:t>
      </w:r>
      <w:r w:rsidRPr="001E35A2">
        <w:rPr>
          <w:rFonts w:ascii="Times New Roman" w:hAnsi="Times New Roman" w:cs="Times New Roman"/>
          <w:sz w:val="24"/>
          <w:szCs w:val="24"/>
        </w:rPr>
        <w:t xml:space="preserve"> </w:t>
      </w:r>
      <w:r w:rsidR="00180B84" w:rsidRPr="001E35A2">
        <w:rPr>
          <w:rFonts w:ascii="Times New Roman" w:hAnsi="Times New Roman" w:cs="Times New Roman"/>
          <w:sz w:val="24"/>
          <w:szCs w:val="24"/>
        </w:rPr>
        <w:t xml:space="preserve">decline </w:t>
      </w:r>
      <w:r w:rsidR="00751701" w:rsidRPr="001E35A2">
        <w:rPr>
          <w:rFonts w:ascii="Times New Roman" w:hAnsi="Times New Roman" w:cs="Times New Roman"/>
          <w:sz w:val="24"/>
          <w:szCs w:val="24"/>
        </w:rPr>
        <w:t>as age at</w:t>
      </w:r>
      <w:r w:rsidR="00180B84" w:rsidRPr="001E35A2">
        <w:rPr>
          <w:rFonts w:ascii="Times New Roman" w:hAnsi="Times New Roman" w:cs="Times New Roman"/>
          <w:sz w:val="24"/>
          <w:szCs w:val="24"/>
        </w:rPr>
        <w:t xml:space="preserve"> worker exit</w:t>
      </w:r>
      <w:r w:rsidR="00751701" w:rsidRPr="001E35A2">
        <w:rPr>
          <w:rFonts w:ascii="Times New Roman" w:hAnsi="Times New Roman" w:cs="Times New Roman"/>
          <w:sz w:val="24"/>
          <w:szCs w:val="24"/>
        </w:rPr>
        <w:t xml:space="preserve"> increases from mid-30s to 55</w:t>
      </w:r>
      <w:r w:rsidR="00180B84" w:rsidRPr="001E35A2">
        <w:rPr>
          <w:rFonts w:ascii="Times New Roman" w:hAnsi="Times New Roman" w:cs="Times New Roman"/>
          <w:sz w:val="24"/>
          <w:szCs w:val="24"/>
        </w:rPr>
        <w:t xml:space="preserve"> but </w:t>
      </w:r>
      <w:r w:rsidRPr="001E35A2">
        <w:rPr>
          <w:rFonts w:ascii="Times New Roman" w:hAnsi="Times New Roman" w:cs="Times New Roman"/>
          <w:sz w:val="24"/>
          <w:szCs w:val="24"/>
        </w:rPr>
        <w:t xml:space="preserve">remain </w:t>
      </w:r>
      <w:r w:rsidR="00E7308A" w:rsidRPr="001E35A2">
        <w:rPr>
          <w:rFonts w:ascii="Times New Roman" w:hAnsi="Times New Roman" w:cs="Times New Roman"/>
          <w:sz w:val="24"/>
          <w:szCs w:val="24"/>
        </w:rPr>
        <w:t xml:space="preserve">slightly </w:t>
      </w:r>
      <w:r w:rsidRPr="001E35A2">
        <w:rPr>
          <w:rFonts w:ascii="Times New Roman" w:hAnsi="Times New Roman" w:cs="Times New Roman"/>
          <w:sz w:val="24"/>
          <w:szCs w:val="24"/>
        </w:rPr>
        <w:t>elevated relative to the risk at retirement age.</w:t>
      </w:r>
    </w:p>
    <w:p w14:paraId="6F06EC2A" w14:textId="52111D21" w:rsidR="00907F96" w:rsidRPr="001E35A2" w:rsidRDefault="00E7308A" w:rsidP="00D8533C">
      <w:pPr>
        <w:spacing w:line="480" w:lineRule="auto"/>
        <w:ind w:firstLine="720"/>
        <w:rPr>
          <w:rFonts w:ascii="Times New Roman" w:hAnsi="Times New Roman" w:cs="Times New Roman"/>
          <w:sz w:val="24"/>
          <w:szCs w:val="24"/>
        </w:rPr>
      </w:pPr>
      <w:r w:rsidRPr="001E35A2">
        <w:rPr>
          <w:rFonts w:ascii="Times New Roman" w:hAnsi="Times New Roman" w:cs="Times New Roman"/>
          <w:sz w:val="24"/>
          <w:szCs w:val="24"/>
        </w:rPr>
        <w:t xml:space="preserve">Figure 2 presents </w:t>
      </w:r>
      <w:r w:rsidR="008A5507" w:rsidRPr="001E35A2">
        <w:rPr>
          <w:rFonts w:ascii="Times New Roman" w:hAnsi="Times New Roman" w:cs="Times New Roman"/>
          <w:sz w:val="24"/>
          <w:szCs w:val="24"/>
        </w:rPr>
        <w:t xml:space="preserve">cause-specific </w:t>
      </w:r>
      <w:r w:rsidR="00180B84" w:rsidRPr="001E35A2">
        <w:rPr>
          <w:rFonts w:ascii="Times New Roman" w:hAnsi="Times New Roman" w:cs="Times New Roman"/>
          <w:sz w:val="24"/>
          <w:szCs w:val="24"/>
        </w:rPr>
        <w:t xml:space="preserve">mortality rates </w:t>
      </w:r>
      <w:r w:rsidRPr="001E35A2">
        <w:rPr>
          <w:rFonts w:ascii="Times New Roman" w:hAnsi="Times New Roman" w:cs="Times New Roman"/>
          <w:sz w:val="24"/>
          <w:szCs w:val="24"/>
        </w:rPr>
        <w:t>for suicide and overdose combined, for the subset with complete work records and for the entire cohort. For those who had left work by 1995 (complete work records), the rate decline</w:t>
      </w:r>
      <w:r w:rsidR="005458EB" w:rsidRPr="001E35A2">
        <w:rPr>
          <w:rFonts w:ascii="Times New Roman" w:hAnsi="Times New Roman" w:cs="Times New Roman"/>
          <w:sz w:val="24"/>
          <w:szCs w:val="24"/>
        </w:rPr>
        <w:t>d</w:t>
      </w:r>
      <w:r w:rsidRPr="001E35A2">
        <w:rPr>
          <w:rFonts w:ascii="Times New Roman" w:hAnsi="Times New Roman" w:cs="Times New Roman"/>
          <w:sz w:val="24"/>
          <w:szCs w:val="24"/>
        </w:rPr>
        <w:t xml:space="preserve"> after </w:t>
      </w:r>
      <w:r w:rsidR="005F4628" w:rsidRPr="001E35A2">
        <w:rPr>
          <w:rFonts w:ascii="Times New Roman" w:hAnsi="Times New Roman" w:cs="Times New Roman"/>
          <w:sz w:val="24"/>
          <w:szCs w:val="24"/>
        </w:rPr>
        <w:t>2000</w:t>
      </w:r>
      <w:r w:rsidRPr="001E35A2">
        <w:rPr>
          <w:rFonts w:ascii="Times New Roman" w:hAnsi="Times New Roman" w:cs="Times New Roman"/>
          <w:sz w:val="24"/>
          <w:szCs w:val="24"/>
        </w:rPr>
        <w:t xml:space="preserve">. When workers still active in 1994 </w:t>
      </w:r>
      <w:r w:rsidR="005458EB" w:rsidRPr="001E35A2">
        <w:rPr>
          <w:rFonts w:ascii="Times New Roman" w:hAnsi="Times New Roman" w:cs="Times New Roman"/>
          <w:sz w:val="24"/>
          <w:szCs w:val="24"/>
        </w:rPr>
        <w:t>were</w:t>
      </w:r>
      <w:r w:rsidRPr="001E35A2">
        <w:rPr>
          <w:rFonts w:ascii="Times New Roman" w:hAnsi="Times New Roman" w:cs="Times New Roman"/>
          <w:sz w:val="24"/>
          <w:szCs w:val="24"/>
        </w:rPr>
        <w:t xml:space="preserve"> included, the </w:t>
      </w:r>
      <w:r w:rsidR="006250DE">
        <w:rPr>
          <w:rFonts w:ascii="Times New Roman" w:hAnsi="Times New Roman" w:cs="Times New Roman"/>
          <w:sz w:val="24"/>
          <w:szCs w:val="24"/>
        </w:rPr>
        <w:t>rate</w:t>
      </w:r>
      <w:r w:rsidRPr="001E35A2">
        <w:rPr>
          <w:rFonts w:ascii="Times New Roman" w:hAnsi="Times New Roman" w:cs="Times New Roman"/>
          <w:sz w:val="24"/>
          <w:szCs w:val="24"/>
        </w:rPr>
        <w:t xml:space="preserve"> of the combined outcome increase</w:t>
      </w:r>
      <w:r w:rsidR="005458EB" w:rsidRPr="001E35A2">
        <w:rPr>
          <w:rFonts w:ascii="Times New Roman" w:hAnsi="Times New Roman" w:cs="Times New Roman"/>
          <w:sz w:val="24"/>
          <w:szCs w:val="24"/>
        </w:rPr>
        <w:t>d</w:t>
      </w:r>
      <w:r w:rsidRPr="001E35A2">
        <w:rPr>
          <w:rFonts w:ascii="Times New Roman" w:hAnsi="Times New Roman" w:cs="Times New Roman"/>
          <w:sz w:val="24"/>
          <w:szCs w:val="24"/>
        </w:rPr>
        <w:t xml:space="preserve"> </w:t>
      </w:r>
      <w:r w:rsidR="00180B84" w:rsidRPr="001E35A2">
        <w:rPr>
          <w:rFonts w:ascii="Times New Roman" w:hAnsi="Times New Roman" w:cs="Times New Roman"/>
          <w:sz w:val="24"/>
          <w:szCs w:val="24"/>
        </w:rPr>
        <w:t xml:space="preserve">to </w:t>
      </w:r>
      <w:r w:rsidRPr="001E35A2">
        <w:rPr>
          <w:rFonts w:ascii="Times New Roman" w:hAnsi="Times New Roman" w:cs="Times New Roman"/>
          <w:sz w:val="24"/>
          <w:szCs w:val="24"/>
        </w:rPr>
        <w:t xml:space="preserve">a maximum of </w:t>
      </w:r>
      <w:r w:rsidR="00180B84" w:rsidRPr="001E35A2">
        <w:rPr>
          <w:rFonts w:ascii="Times New Roman" w:hAnsi="Times New Roman" w:cs="Times New Roman"/>
          <w:sz w:val="24"/>
          <w:szCs w:val="24"/>
        </w:rPr>
        <w:t>more than 3 per 10,000 (Figure 2b)</w:t>
      </w:r>
      <w:r w:rsidR="00417E81" w:rsidRPr="001E35A2">
        <w:rPr>
          <w:rFonts w:ascii="Times New Roman" w:hAnsi="Times New Roman" w:cs="Times New Roman"/>
          <w:sz w:val="24"/>
          <w:szCs w:val="24"/>
        </w:rPr>
        <w:t xml:space="preserve">. </w:t>
      </w:r>
      <w:r w:rsidR="00F54772" w:rsidRPr="001E35A2">
        <w:rPr>
          <w:rFonts w:ascii="Times New Roman" w:hAnsi="Times New Roman" w:cs="Times New Roman"/>
          <w:sz w:val="24"/>
          <w:szCs w:val="24"/>
        </w:rPr>
        <w:t>Among the 7</w:t>
      </w:r>
      <w:r w:rsidR="00C7781F">
        <w:rPr>
          <w:rFonts w:ascii="Times New Roman" w:hAnsi="Times New Roman" w:cs="Times New Roman"/>
          <w:sz w:val="24"/>
          <w:szCs w:val="24"/>
        </w:rPr>
        <w:t>,</w:t>
      </w:r>
      <w:r w:rsidR="00F54772" w:rsidRPr="001E35A2">
        <w:rPr>
          <w:rFonts w:ascii="Times New Roman" w:hAnsi="Times New Roman" w:cs="Times New Roman"/>
          <w:sz w:val="24"/>
          <w:szCs w:val="24"/>
        </w:rPr>
        <w:t xml:space="preserve">227 men still at work on December 31 1994, there were 45 </w:t>
      </w:r>
      <w:r w:rsidR="00F54772" w:rsidRPr="001E35A2">
        <w:rPr>
          <w:rFonts w:ascii="Times New Roman" w:hAnsi="Times New Roman" w:cs="Times New Roman"/>
          <w:sz w:val="24"/>
          <w:szCs w:val="24"/>
        </w:rPr>
        <w:lastRenderedPageBreak/>
        <w:t>additional cases, 24 suicides and 21 fatal overdoses</w:t>
      </w:r>
      <w:r w:rsidR="000E6637" w:rsidRPr="001E35A2">
        <w:rPr>
          <w:rFonts w:ascii="Times New Roman" w:hAnsi="Times New Roman" w:cs="Times New Roman"/>
          <w:sz w:val="24"/>
          <w:szCs w:val="24"/>
        </w:rPr>
        <w:t>.</w:t>
      </w:r>
      <w:r w:rsidR="00F54772" w:rsidRPr="001E35A2">
        <w:rPr>
          <w:rFonts w:ascii="Times New Roman" w:hAnsi="Times New Roman" w:cs="Times New Roman"/>
          <w:sz w:val="24"/>
          <w:szCs w:val="24"/>
        </w:rPr>
        <w:t xml:space="preserve"> </w:t>
      </w:r>
      <w:r w:rsidR="00282C03" w:rsidRPr="001E35A2">
        <w:rPr>
          <w:rFonts w:ascii="Times New Roman" w:hAnsi="Times New Roman" w:cs="Times New Roman"/>
          <w:sz w:val="24"/>
          <w:szCs w:val="24"/>
        </w:rPr>
        <w:t>T</w:t>
      </w:r>
      <w:r w:rsidR="00F54772" w:rsidRPr="001E35A2">
        <w:rPr>
          <w:rFonts w:ascii="Times New Roman" w:hAnsi="Times New Roman" w:cs="Times New Roman"/>
          <w:sz w:val="24"/>
          <w:szCs w:val="24"/>
        </w:rPr>
        <w:t xml:space="preserve">he distribution of </w:t>
      </w:r>
      <w:r w:rsidR="00282C03" w:rsidRPr="001E35A2">
        <w:rPr>
          <w:rFonts w:ascii="Times New Roman" w:hAnsi="Times New Roman" w:cs="Times New Roman"/>
          <w:sz w:val="24"/>
          <w:szCs w:val="24"/>
        </w:rPr>
        <w:t xml:space="preserve">the date of death </w:t>
      </w:r>
      <w:r w:rsidR="00F54772" w:rsidRPr="001E35A2">
        <w:rPr>
          <w:rFonts w:ascii="Times New Roman" w:hAnsi="Times New Roman" w:cs="Times New Roman"/>
          <w:sz w:val="24"/>
          <w:szCs w:val="24"/>
        </w:rPr>
        <w:t>relative to date of worker exit</w:t>
      </w:r>
      <w:r w:rsidR="000E6637" w:rsidRPr="001E35A2">
        <w:rPr>
          <w:rFonts w:ascii="Times New Roman" w:hAnsi="Times New Roman" w:cs="Times New Roman"/>
          <w:sz w:val="24"/>
          <w:szCs w:val="24"/>
        </w:rPr>
        <w:t xml:space="preserve"> (eFigure</w:t>
      </w:r>
      <w:r w:rsidR="005F4628" w:rsidRPr="001E35A2">
        <w:rPr>
          <w:rFonts w:ascii="Times New Roman" w:hAnsi="Times New Roman" w:cs="Times New Roman"/>
          <w:sz w:val="24"/>
          <w:szCs w:val="24"/>
        </w:rPr>
        <w:t xml:space="preserve"> 3</w:t>
      </w:r>
      <w:r w:rsidR="000E6637" w:rsidRPr="001E35A2">
        <w:rPr>
          <w:rFonts w:ascii="Times New Roman" w:hAnsi="Times New Roman" w:cs="Times New Roman"/>
          <w:sz w:val="24"/>
          <w:szCs w:val="24"/>
        </w:rPr>
        <w:t>)</w:t>
      </w:r>
      <w:r w:rsidR="00F54772" w:rsidRPr="001E35A2">
        <w:rPr>
          <w:rFonts w:ascii="Times New Roman" w:hAnsi="Times New Roman" w:cs="Times New Roman"/>
          <w:sz w:val="24"/>
          <w:szCs w:val="24"/>
        </w:rPr>
        <w:t xml:space="preserve"> </w:t>
      </w:r>
      <w:r w:rsidR="00282C03" w:rsidRPr="001E35A2">
        <w:rPr>
          <w:rFonts w:ascii="Times New Roman" w:hAnsi="Times New Roman" w:cs="Times New Roman"/>
          <w:sz w:val="24"/>
          <w:szCs w:val="24"/>
        </w:rPr>
        <w:t xml:space="preserve">indicates that </w:t>
      </w:r>
      <w:r w:rsidR="000E6637" w:rsidRPr="001E35A2">
        <w:rPr>
          <w:rFonts w:ascii="Times New Roman" w:hAnsi="Times New Roman" w:cs="Times New Roman"/>
          <w:sz w:val="24"/>
          <w:szCs w:val="24"/>
        </w:rPr>
        <w:t xml:space="preserve">most </w:t>
      </w:r>
      <w:r w:rsidR="00F54772" w:rsidRPr="001E35A2">
        <w:rPr>
          <w:rFonts w:ascii="Times New Roman" w:hAnsi="Times New Roman" w:cs="Times New Roman"/>
          <w:sz w:val="24"/>
          <w:szCs w:val="24"/>
        </w:rPr>
        <w:t xml:space="preserve">cases occurred </w:t>
      </w:r>
      <w:r w:rsidR="00180B84" w:rsidRPr="001E35A2">
        <w:rPr>
          <w:rFonts w:ascii="Times New Roman" w:hAnsi="Times New Roman" w:cs="Times New Roman"/>
          <w:sz w:val="24"/>
          <w:szCs w:val="24"/>
        </w:rPr>
        <w:t xml:space="preserve">within a few years after </w:t>
      </w:r>
      <w:r w:rsidR="00F54772" w:rsidRPr="001E35A2">
        <w:rPr>
          <w:rFonts w:ascii="Times New Roman" w:hAnsi="Times New Roman" w:cs="Times New Roman"/>
          <w:sz w:val="24"/>
          <w:szCs w:val="24"/>
        </w:rPr>
        <w:t>work</w:t>
      </w:r>
      <w:r w:rsidR="000E6637" w:rsidRPr="001E35A2">
        <w:rPr>
          <w:rFonts w:ascii="Times New Roman" w:hAnsi="Times New Roman" w:cs="Times New Roman"/>
          <w:sz w:val="24"/>
          <w:szCs w:val="24"/>
        </w:rPr>
        <w:t>er</w:t>
      </w:r>
      <w:r w:rsidR="00F54772" w:rsidRPr="001E35A2">
        <w:rPr>
          <w:rFonts w:ascii="Times New Roman" w:hAnsi="Times New Roman" w:cs="Times New Roman"/>
          <w:sz w:val="24"/>
          <w:szCs w:val="24"/>
        </w:rPr>
        <w:t xml:space="preserve"> exit. </w:t>
      </w:r>
      <w:r w:rsidR="00494D0A" w:rsidRPr="001E35A2">
        <w:rPr>
          <w:rFonts w:ascii="Times New Roman" w:hAnsi="Times New Roman" w:cs="Times New Roman"/>
          <w:sz w:val="24"/>
          <w:szCs w:val="24"/>
        </w:rPr>
        <w:t>Although we do not know when the additional cases left work</w:t>
      </w:r>
      <w:r w:rsidR="00382587" w:rsidRPr="001E35A2">
        <w:rPr>
          <w:rFonts w:ascii="Times New Roman" w:hAnsi="Times New Roman" w:cs="Times New Roman"/>
          <w:sz w:val="24"/>
          <w:szCs w:val="24"/>
        </w:rPr>
        <w:t xml:space="preserve"> after 1995</w:t>
      </w:r>
      <w:r w:rsidR="00494D0A" w:rsidRPr="001E35A2">
        <w:rPr>
          <w:rFonts w:ascii="Times New Roman" w:hAnsi="Times New Roman" w:cs="Times New Roman"/>
          <w:sz w:val="24"/>
          <w:szCs w:val="24"/>
        </w:rPr>
        <w:t xml:space="preserve">, </w:t>
      </w:r>
      <w:r w:rsidR="00F54772" w:rsidRPr="001E35A2">
        <w:rPr>
          <w:rFonts w:ascii="Times New Roman" w:hAnsi="Times New Roman" w:cs="Times New Roman"/>
          <w:sz w:val="24"/>
          <w:szCs w:val="24"/>
        </w:rPr>
        <w:t xml:space="preserve">almost all the overdoses </w:t>
      </w:r>
      <w:r w:rsidR="00417E81" w:rsidRPr="001E35A2">
        <w:rPr>
          <w:rFonts w:ascii="Times New Roman" w:hAnsi="Times New Roman" w:cs="Times New Roman"/>
          <w:sz w:val="24"/>
          <w:szCs w:val="24"/>
        </w:rPr>
        <w:t xml:space="preserve">occurred </w:t>
      </w:r>
      <w:r w:rsidR="009E405C" w:rsidRPr="001E35A2">
        <w:rPr>
          <w:rFonts w:ascii="Times New Roman" w:hAnsi="Times New Roman" w:cs="Times New Roman"/>
          <w:sz w:val="24"/>
          <w:szCs w:val="24"/>
        </w:rPr>
        <w:t xml:space="preserve">in </w:t>
      </w:r>
      <w:r w:rsidR="00F54772" w:rsidRPr="001E35A2">
        <w:rPr>
          <w:rFonts w:ascii="Times New Roman" w:hAnsi="Times New Roman" w:cs="Times New Roman"/>
          <w:sz w:val="24"/>
          <w:szCs w:val="24"/>
        </w:rPr>
        <w:t xml:space="preserve">Plant 2 during </w:t>
      </w:r>
      <w:r w:rsidR="009E405C" w:rsidRPr="001E35A2">
        <w:rPr>
          <w:rFonts w:ascii="Times New Roman" w:hAnsi="Times New Roman" w:cs="Times New Roman"/>
          <w:sz w:val="24"/>
          <w:szCs w:val="24"/>
        </w:rPr>
        <w:t xml:space="preserve">the years leading up to the closing of </w:t>
      </w:r>
      <w:r w:rsidR="00F54772" w:rsidRPr="001E35A2">
        <w:rPr>
          <w:rFonts w:ascii="Times New Roman" w:hAnsi="Times New Roman" w:cs="Times New Roman"/>
          <w:sz w:val="24"/>
          <w:szCs w:val="24"/>
        </w:rPr>
        <w:t xml:space="preserve">that plant </w:t>
      </w:r>
      <w:r w:rsidR="009E405C" w:rsidRPr="001E35A2">
        <w:rPr>
          <w:rFonts w:ascii="Times New Roman" w:hAnsi="Times New Roman" w:cs="Times New Roman"/>
          <w:sz w:val="24"/>
          <w:szCs w:val="24"/>
        </w:rPr>
        <w:t>in 2010.</w:t>
      </w:r>
    </w:p>
    <w:p w14:paraId="6E01DDE2" w14:textId="7EFC3334" w:rsidR="00F25E4B" w:rsidRPr="001E35A2" w:rsidRDefault="00F25E4B" w:rsidP="00D8533C">
      <w:pPr>
        <w:spacing w:line="480" w:lineRule="auto"/>
        <w:rPr>
          <w:rFonts w:ascii="Times New Roman" w:hAnsi="Times New Roman" w:cs="Times New Roman"/>
          <w:sz w:val="24"/>
          <w:szCs w:val="24"/>
        </w:rPr>
      </w:pPr>
      <w:r w:rsidRPr="001E35A2">
        <w:rPr>
          <w:rFonts w:ascii="Times New Roman" w:hAnsi="Times New Roman" w:cs="Times New Roman"/>
          <w:b/>
          <w:sz w:val="24"/>
          <w:szCs w:val="24"/>
        </w:rPr>
        <w:t>Discussion</w:t>
      </w:r>
    </w:p>
    <w:p w14:paraId="54C83BC5" w14:textId="26CC73F2" w:rsidR="00010C9B" w:rsidRPr="001E35A2" w:rsidRDefault="005F4628" w:rsidP="00D8533C">
      <w:pPr>
        <w:adjustRightInd w:val="0"/>
        <w:spacing w:line="480" w:lineRule="auto"/>
        <w:ind w:firstLine="720"/>
        <w:rPr>
          <w:rFonts w:ascii="Times New Roman" w:hAnsi="Times New Roman" w:cs="Times New Roman"/>
          <w:sz w:val="24"/>
          <w:szCs w:val="24"/>
        </w:rPr>
      </w:pPr>
      <w:bookmarkStart w:id="8" w:name="_Hlk32483832"/>
      <w:r w:rsidRPr="001E35A2">
        <w:rPr>
          <w:rFonts w:ascii="Times New Roman" w:hAnsi="Times New Roman" w:cs="Times New Roman"/>
          <w:sz w:val="24"/>
          <w:szCs w:val="24"/>
        </w:rPr>
        <w:t xml:space="preserve">This study </w:t>
      </w:r>
      <w:r w:rsidR="00C7180C" w:rsidRPr="001E35A2">
        <w:rPr>
          <w:rFonts w:ascii="Times New Roman" w:hAnsi="Times New Roman" w:cs="Times New Roman"/>
          <w:sz w:val="24"/>
          <w:szCs w:val="24"/>
        </w:rPr>
        <w:t xml:space="preserve">used </w:t>
      </w:r>
      <w:r w:rsidR="00FF2AE5" w:rsidRPr="001E35A2">
        <w:rPr>
          <w:rFonts w:ascii="Times New Roman" w:hAnsi="Times New Roman" w:cs="Times New Roman"/>
          <w:sz w:val="24"/>
          <w:szCs w:val="24"/>
        </w:rPr>
        <w:t>data from</w:t>
      </w:r>
      <w:r w:rsidR="009B4AA7" w:rsidRPr="001E35A2">
        <w:rPr>
          <w:rFonts w:ascii="Times New Roman" w:hAnsi="Times New Roman" w:cs="Times New Roman"/>
          <w:sz w:val="24"/>
          <w:szCs w:val="24"/>
        </w:rPr>
        <w:t xml:space="preserve"> </w:t>
      </w:r>
      <w:r w:rsidR="00EB19EA" w:rsidRPr="001E35A2">
        <w:rPr>
          <w:rFonts w:ascii="Times New Roman" w:hAnsi="Times New Roman" w:cs="Times New Roman"/>
          <w:sz w:val="24"/>
          <w:szCs w:val="24"/>
        </w:rPr>
        <w:t xml:space="preserve">an </w:t>
      </w:r>
      <w:r w:rsidR="009B4AA7" w:rsidRPr="001E35A2">
        <w:rPr>
          <w:rFonts w:ascii="Times New Roman" w:hAnsi="Times New Roman" w:cs="Times New Roman"/>
          <w:sz w:val="24"/>
          <w:szCs w:val="24"/>
        </w:rPr>
        <w:t xml:space="preserve">existing cohort study </w:t>
      </w:r>
      <w:r w:rsidR="00FF2AE5" w:rsidRPr="001E35A2">
        <w:rPr>
          <w:rFonts w:ascii="Times New Roman" w:hAnsi="Times New Roman" w:cs="Times New Roman"/>
          <w:sz w:val="24"/>
          <w:szCs w:val="24"/>
        </w:rPr>
        <w:t xml:space="preserve">initially designed </w:t>
      </w:r>
      <w:r w:rsidR="00EB19EA" w:rsidRPr="001E35A2">
        <w:rPr>
          <w:rFonts w:ascii="Times New Roman" w:hAnsi="Times New Roman" w:cs="Times New Roman"/>
          <w:sz w:val="24"/>
          <w:szCs w:val="24"/>
        </w:rPr>
        <w:t xml:space="preserve">to </w:t>
      </w:r>
      <w:r w:rsidR="00FF2AE5" w:rsidRPr="001E35A2">
        <w:rPr>
          <w:rFonts w:ascii="Times New Roman" w:hAnsi="Times New Roman" w:cs="Times New Roman"/>
          <w:sz w:val="24"/>
          <w:szCs w:val="24"/>
        </w:rPr>
        <w:t>assess</w:t>
      </w:r>
      <w:r w:rsidR="008B431A" w:rsidRPr="001E35A2">
        <w:rPr>
          <w:rFonts w:ascii="Times New Roman" w:hAnsi="Times New Roman" w:cs="Times New Roman"/>
          <w:sz w:val="24"/>
          <w:szCs w:val="24"/>
        </w:rPr>
        <w:t xml:space="preserve"> </w:t>
      </w:r>
      <w:r w:rsidR="009B4AA7" w:rsidRPr="001E35A2">
        <w:rPr>
          <w:rFonts w:ascii="Times New Roman" w:hAnsi="Times New Roman" w:cs="Times New Roman"/>
          <w:sz w:val="24"/>
          <w:szCs w:val="24"/>
        </w:rPr>
        <w:t>the health effects of occupational exposures</w:t>
      </w:r>
      <w:bookmarkEnd w:id="8"/>
      <w:r w:rsidR="00C7180C" w:rsidRPr="001E35A2">
        <w:rPr>
          <w:rFonts w:ascii="Times New Roman" w:hAnsi="Times New Roman" w:cs="Times New Roman"/>
          <w:sz w:val="24"/>
          <w:szCs w:val="24"/>
        </w:rPr>
        <w:t xml:space="preserve"> to examine the implications of leaving work for risk of death by</w:t>
      </w:r>
      <w:r w:rsidR="00EB19EA" w:rsidRPr="001E35A2">
        <w:rPr>
          <w:rFonts w:ascii="Times New Roman" w:hAnsi="Times New Roman" w:cs="Times New Roman"/>
          <w:sz w:val="24"/>
          <w:szCs w:val="24"/>
        </w:rPr>
        <w:t xml:space="preserve"> suicide and overdose</w:t>
      </w:r>
      <w:r w:rsidR="007F4D50" w:rsidRPr="001E35A2">
        <w:rPr>
          <w:rFonts w:ascii="Times New Roman" w:hAnsi="Times New Roman" w:cs="Times New Roman"/>
          <w:sz w:val="24"/>
          <w:szCs w:val="24"/>
        </w:rPr>
        <w:t xml:space="preserve">. </w:t>
      </w:r>
      <w:r w:rsidR="00315A23" w:rsidRPr="001E35A2">
        <w:rPr>
          <w:rFonts w:ascii="Times New Roman" w:hAnsi="Times New Roman" w:cs="Times New Roman"/>
          <w:sz w:val="24"/>
          <w:szCs w:val="24"/>
        </w:rPr>
        <w:t xml:space="preserve">Our results suggest that </w:t>
      </w:r>
      <w:r w:rsidR="0028726B" w:rsidRPr="001E35A2">
        <w:rPr>
          <w:rFonts w:ascii="Times New Roman" w:hAnsi="Times New Roman" w:cs="Times New Roman"/>
          <w:sz w:val="24"/>
          <w:szCs w:val="24"/>
        </w:rPr>
        <w:t xml:space="preserve">leaving </w:t>
      </w:r>
      <w:r w:rsidR="000F553A" w:rsidRPr="001E35A2">
        <w:rPr>
          <w:rFonts w:ascii="Times New Roman" w:hAnsi="Times New Roman" w:cs="Times New Roman"/>
          <w:sz w:val="24"/>
          <w:szCs w:val="24"/>
        </w:rPr>
        <w:t xml:space="preserve">work </w:t>
      </w:r>
      <w:r w:rsidR="000903DC" w:rsidRPr="001E35A2">
        <w:rPr>
          <w:rFonts w:ascii="Times New Roman" w:hAnsi="Times New Roman" w:cs="Times New Roman"/>
          <w:sz w:val="24"/>
          <w:szCs w:val="24"/>
        </w:rPr>
        <w:t xml:space="preserve">prior to retirement </w:t>
      </w:r>
      <w:r w:rsidR="000F553A" w:rsidRPr="001E35A2">
        <w:rPr>
          <w:rFonts w:ascii="Times New Roman" w:hAnsi="Times New Roman" w:cs="Times New Roman"/>
          <w:sz w:val="24"/>
          <w:szCs w:val="24"/>
        </w:rPr>
        <w:t xml:space="preserve">age </w:t>
      </w:r>
      <w:r w:rsidR="00315A23" w:rsidRPr="001E35A2">
        <w:rPr>
          <w:rFonts w:ascii="Times New Roman" w:hAnsi="Times New Roman" w:cs="Times New Roman"/>
          <w:sz w:val="24"/>
          <w:szCs w:val="24"/>
        </w:rPr>
        <w:t xml:space="preserve">was associated with increased risk </w:t>
      </w:r>
      <w:r w:rsidR="008B2D63" w:rsidRPr="001E35A2">
        <w:rPr>
          <w:rFonts w:ascii="Times New Roman" w:hAnsi="Times New Roman" w:cs="Times New Roman"/>
          <w:sz w:val="24"/>
          <w:szCs w:val="24"/>
        </w:rPr>
        <w:t xml:space="preserve">even when follow-up was restricted to </w:t>
      </w:r>
      <w:r w:rsidR="00315A23" w:rsidRPr="001E35A2">
        <w:rPr>
          <w:rFonts w:ascii="Times New Roman" w:hAnsi="Times New Roman" w:cs="Times New Roman"/>
          <w:sz w:val="24"/>
          <w:szCs w:val="24"/>
        </w:rPr>
        <w:t xml:space="preserve">five years </w:t>
      </w:r>
      <w:r w:rsidR="008B2D63" w:rsidRPr="001E35A2">
        <w:rPr>
          <w:rFonts w:ascii="Times New Roman" w:hAnsi="Times New Roman" w:cs="Times New Roman"/>
          <w:sz w:val="24"/>
          <w:szCs w:val="24"/>
        </w:rPr>
        <w:t xml:space="preserve">after </w:t>
      </w:r>
      <w:r w:rsidR="00315A23" w:rsidRPr="001E35A2">
        <w:rPr>
          <w:rFonts w:ascii="Times New Roman" w:hAnsi="Times New Roman" w:cs="Times New Roman"/>
          <w:sz w:val="24"/>
          <w:szCs w:val="24"/>
        </w:rPr>
        <w:t>work</w:t>
      </w:r>
      <w:r w:rsidR="0028726B" w:rsidRPr="001E35A2">
        <w:rPr>
          <w:rFonts w:ascii="Times New Roman" w:hAnsi="Times New Roman" w:cs="Times New Roman"/>
          <w:sz w:val="24"/>
          <w:szCs w:val="24"/>
        </w:rPr>
        <w:t>er exit</w:t>
      </w:r>
      <w:r w:rsidR="00315A23" w:rsidRPr="001E35A2">
        <w:rPr>
          <w:rFonts w:ascii="Times New Roman" w:hAnsi="Times New Roman" w:cs="Times New Roman"/>
          <w:sz w:val="24"/>
          <w:szCs w:val="24"/>
        </w:rPr>
        <w:t xml:space="preserve">. Few </w:t>
      </w:r>
      <w:r w:rsidR="00C7180C" w:rsidRPr="001E35A2">
        <w:rPr>
          <w:rFonts w:ascii="Times New Roman" w:hAnsi="Times New Roman" w:cs="Times New Roman"/>
          <w:sz w:val="24"/>
          <w:szCs w:val="24"/>
        </w:rPr>
        <w:t xml:space="preserve">deaths by suicide or overdose </w:t>
      </w:r>
      <w:r w:rsidR="00315A23" w:rsidRPr="001E35A2">
        <w:rPr>
          <w:rFonts w:ascii="Times New Roman" w:hAnsi="Times New Roman" w:cs="Times New Roman"/>
          <w:sz w:val="24"/>
          <w:szCs w:val="24"/>
        </w:rPr>
        <w:t xml:space="preserve">occurred </w:t>
      </w:r>
      <w:r w:rsidR="00C7180C" w:rsidRPr="001E35A2">
        <w:rPr>
          <w:rFonts w:ascii="Times New Roman" w:hAnsi="Times New Roman" w:cs="Times New Roman"/>
          <w:sz w:val="24"/>
          <w:szCs w:val="24"/>
        </w:rPr>
        <w:t>while workers were still employed,</w:t>
      </w:r>
      <w:r w:rsidR="00315A23" w:rsidRPr="001E35A2">
        <w:rPr>
          <w:rFonts w:ascii="Times New Roman" w:hAnsi="Times New Roman" w:cs="Times New Roman"/>
          <w:sz w:val="24"/>
          <w:szCs w:val="24"/>
        </w:rPr>
        <w:t xml:space="preserve"> and most occurred among those who left </w:t>
      </w:r>
      <w:r w:rsidR="00C7180C" w:rsidRPr="001E35A2">
        <w:rPr>
          <w:rFonts w:ascii="Times New Roman" w:hAnsi="Times New Roman" w:cs="Times New Roman"/>
          <w:sz w:val="24"/>
          <w:szCs w:val="24"/>
        </w:rPr>
        <w:t xml:space="preserve">work </w:t>
      </w:r>
      <w:r w:rsidR="00315A23" w:rsidRPr="001E35A2">
        <w:rPr>
          <w:rFonts w:ascii="Times New Roman" w:hAnsi="Times New Roman" w:cs="Times New Roman"/>
          <w:sz w:val="24"/>
          <w:szCs w:val="24"/>
        </w:rPr>
        <w:t xml:space="preserve">before age 55. </w:t>
      </w:r>
      <w:bookmarkStart w:id="9" w:name="_Hlk30682628"/>
      <w:r w:rsidR="00315A23" w:rsidRPr="001E35A2">
        <w:rPr>
          <w:rFonts w:ascii="Times New Roman" w:hAnsi="Times New Roman" w:cs="Times New Roman"/>
          <w:sz w:val="24"/>
          <w:szCs w:val="24"/>
        </w:rPr>
        <w:t>The</w:t>
      </w:r>
      <w:r w:rsidR="003363A7" w:rsidRPr="001E35A2">
        <w:rPr>
          <w:rFonts w:ascii="Times New Roman" w:hAnsi="Times New Roman" w:cs="Times New Roman"/>
          <w:sz w:val="24"/>
          <w:szCs w:val="24"/>
        </w:rPr>
        <w:t>se</w:t>
      </w:r>
      <w:r w:rsidR="00315A23" w:rsidRPr="001E35A2">
        <w:rPr>
          <w:rFonts w:ascii="Times New Roman" w:hAnsi="Times New Roman" w:cs="Times New Roman"/>
          <w:sz w:val="24"/>
          <w:szCs w:val="24"/>
        </w:rPr>
        <w:t xml:space="preserve"> </w:t>
      </w:r>
      <w:r w:rsidR="003363A7" w:rsidRPr="001E35A2">
        <w:rPr>
          <w:rFonts w:ascii="Times New Roman" w:hAnsi="Times New Roman" w:cs="Times New Roman"/>
          <w:sz w:val="24"/>
          <w:szCs w:val="24"/>
        </w:rPr>
        <w:t>results are</w:t>
      </w:r>
      <w:r w:rsidR="00315A23" w:rsidRPr="001E35A2">
        <w:rPr>
          <w:rFonts w:ascii="Times New Roman" w:hAnsi="Times New Roman" w:cs="Times New Roman"/>
          <w:sz w:val="24"/>
          <w:szCs w:val="24"/>
        </w:rPr>
        <w:t xml:space="preserve"> consistent with </w:t>
      </w:r>
      <w:r w:rsidR="00D87E86" w:rsidRPr="001E35A2">
        <w:rPr>
          <w:rFonts w:ascii="Times New Roman" w:hAnsi="Times New Roman" w:cs="Times New Roman"/>
          <w:sz w:val="24"/>
          <w:szCs w:val="24"/>
        </w:rPr>
        <w:t xml:space="preserve">sociological </w:t>
      </w:r>
      <w:r w:rsidR="00315A23" w:rsidRPr="001E35A2">
        <w:rPr>
          <w:rFonts w:ascii="Times New Roman" w:hAnsi="Times New Roman" w:cs="Times New Roman"/>
          <w:sz w:val="24"/>
          <w:szCs w:val="24"/>
        </w:rPr>
        <w:t xml:space="preserve">studies of the health consequences of </w:t>
      </w:r>
      <w:r w:rsidR="00485D51" w:rsidRPr="001E35A2">
        <w:rPr>
          <w:rFonts w:ascii="Times New Roman" w:hAnsi="Times New Roman" w:cs="Times New Roman"/>
          <w:sz w:val="24"/>
          <w:szCs w:val="24"/>
        </w:rPr>
        <w:t>worker exi</w:t>
      </w:r>
      <w:r w:rsidR="000903DC" w:rsidRPr="001E35A2">
        <w:rPr>
          <w:rFonts w:ascii="Times New Roman" w:hAnsi="Times New Roman" w:cs="Times New Roman"/>
          <w:sz w:val="24"/>
          <w:szCs w:val="24"/>
        </w:rPr>
        <w:t>t.</w:t>
      </w:r>
      <w:r w:rsidR="000F3DEA" w:rsidRPr="001E35A2">
        <w:rPr>
          <w:rFonts w:ascii="Times New Roman" w:hAnsi="Times New Roman" w:cs="Times New Roman"/>
          <w:sz w:val="24"/>
          <w:szCs w:val="24"/>
        </w:rPr>
        <w:fldChar w:fldCharType="begin" w:fldLock="1"/>
      </w:r>
      <w:r w:rsidR="005458EB" w:rsidRPr="001E35A2">
        <w:rPr>
          <w:rFonts w:ascii="Times New Roman" w:hAnsi="Times New Roman" w:cs="Times New Roman"/>
          <w:sz w:val="24"/>
          <w:szCs w:val="24"/>
        </w:rPr>
        <w:instrText>ADDIN CSL_CITATION {"citationItems":[{"id":"ITEM-1","itemData":{"author":[{"dropping-particle":"","family":"Burgard","given":"SA","non-dropping-particle":"","parse-names":false,"suffix":""},{"dropping-particle":"","family":"Brand","given":"JE","non-dropping-particle":"","parse-names":false,"suffix":""},{"dropping-particle":"","family":"House","given":"JS","non-dropping-particle":"","parse-names":false,"suffix":""}],"container-title":"J Health and Social Behavior","id":"ITEM-1","issued":{"date-parts":[["2007"]]},"page":"369-84.","title":"Toward a better estimation of the effect of job loss on health","type":"article-journal","volume":"48"},"uris":["http://www.mendeley.com/documents/?uuid=bbd1d618-310b-4785-a36e-69be8baab1f0"]},{"id":"ITEM-2","itemData":{"DOI":"10.1146/annurev-soc-071913-043237","ISBN":"0000000000000","ISSN":"0360-0572","PMID":"26336327","abstract":"Job loss is an involuntary disruptive life event with a far-reaching impact on workers' life trajectories. Its incidence among growing segments of the workforce, alongside the recent era of severe economic upheaval, has increased attention to the effects of job loss and unemployment. As a relatively exogenous labor market shock, the study of displacement enables robust estimates of associations between socioeconomic circumstances and life outcomes. Research suggests that displacement is associated with subsequent unemployment, long-term earnings losses, and lower job quality; declines in psychological and physical well-being; loss of psychosocial assets; social withdrawal; family disruption; and lower levels of children's attainment and well-being. Although reemployment mitigates some of the negative effects of job loss, it does not eliminate them. Contexts of widespread unemployment, although associated with larger economic losses, lessen the social-psychological impact of job loss. Future research should attend more fully to how the economic and social-psychological effects of displacement intersect and extend beyond displaced workers themselves.","author":[{"dropping-particle":"","family":"Brand","given":"Jennie","non-dropping-particle":"","parse-names":false,"suffix":""}],"container-title":"Annual Review of Sociology","id":"ITEM-2","issued":{"date-parts":[["2015"]]},"page":"359-75","title":"The Far-Reaching Impact of Job Loss and Unemployment","type":"article-journal","volume":"41"},"uris":["http://www.mendeley.com/documents/?uuid=b3df42dc-bdc6-4aab-9da4-af523e1a9710"]},{"id":"ITEM-3","itemData":{"author":[{"dropping-particle":"","family":"Classen","given":"TJ","non-dropping-particle":"","parse-names":false,"suffix":""},{"dropping-particle":"","family":"Dunn","given":"RA","non-dropping-particle":"","parse-names":false,"suffix":""}],"container-title":"Health Economics","id":"ITEM-3","issued":{"date-parts":[["2012"]]},"page":"338-350","title":"The Effect of Job Loss and Unemployment Duration on Suicide Risk in the US: A new look using mass-layoffs and unemployment duration","type":"article-journal","volume":"21"},"uris":["http://www.mendeley.com/documents/?uuid=cf6ca803-b880-46a2-81a6-5651d103bcde"]}],"mendeley":{"formattedCitation":"&lt;sup&gt;27–29&lt;/sup&gt;","plainTextFormattedCitation":"27–29","previouslyFormattedCitation":"&lt;sup&gt;27–29&lt;/sup&gt;"},"properties":{"noteIndex":0},"schema":"https://github.com/citation-style-language/schema/raw/master/csl-citation.json"}</w:instrText>
      </w:r>
      <w:r w:rsidR="000F3DEA" w:rsidRPr="001E35A2">
        <w:rPr>
          <w:rFonts w:ascii="Times New Roman" w:hAnsi="Times New Roman" w:cs="Times New Roman"/>
          <w:sz w:val="24"/>
          <w:szCs w:val="24"/>
        </w:rPr>
        <w:fldChar w:fldCharType="separate"/>
      </w:r>
      <w:r w:rsidR="000F3DEA" w:rsidRPr="001E35A2">
        <w:rPr>
          <w:rFonts w:ascii="Times New Roman" w:hAnsi="Times New Roman" w:cs="Times New Roman"/>
          <w:noProof/>
          <w:sz w:val="24"/>
          <w:szCs w:val="24"/>
          <w:vertAlign w:val="superscript"/>
        </w:rPr>
        <w:t>27–29</w:t>
      </w:r>
      <w:r w:rsidR="000F3DEA" w:rsidRPr="001E35A2">
        <w:rPr>
          <w:rFonts w:ascii="Times New Roman" w:hAnsi="Times New Roman" w:cs="Times New Roman"/>
          <w:sz w:val="24"/>
          <w:szCs w:val="24"/>
        </w:rPr>
        <w:fldChar w:fldCharType="end"/>
      </w:r>
      <w:r w:rsidR="00315A23" w:rsidRPr="001E35A2">
        <w:rPr>
          <w:rFonts w:ascii="Times New Roman" w:hAnsi="Times New Roman" w:cs="Times New Roman"/>
          <w:sz w:val="24"/>
          <w:szCs w:val="24"/>
        </w:rPr>
        <w:t xml:space="preserve"> </w:t>
      </w:r>
      <w:r w:rsidR="00D82372" w:rsidRPr="001E35A2">
        <w:rPr>
          <w:rFonts w:ascii="Times New Roman" w:hAnsi="Times New Roman" w:cs="Times New Roman"/>
          <w:sz w:val="24"/>
          <w:szCs w:val="24"/>
        </w:rPr>
        <w:t>Although we have no data on subsequent employment</w:t>
      </w:r>
      <w:r w:rsidR="000B533B" w:rsidRPr="001E35A2">
        <w:rPr>
          <w:rFonts w:ascii="Times New Roman" w:hAnsi="Times New Roman" w:cs="Times New Roman"/>
          <w:sz w:val="24"/>
          <w:szCs w:val="24"/>
        </w:rPr>
        <w:t>,</w:t>
      </w:r>
      <w:r w:rsidR="00315A23" w:rsidRPr="001E35A2">
        <w:rPr>
          <w:rFonts w:ascii="Times New Roman" w:hAnsi="Times New Roman" w:cs="Times New Roman"/>
          <w:sz w:val="24"/>
          <w:szCs w:val="24"/>
        </w:rPr>
        <w:t xml:space="preserve"> </w:t>
      </w:r>
      <w:r w:rsidR="0028726B" w:rsidRPr="001E35A2">
        <w:rPr>
          <w:rFonts w:ascii="Times New Roman" w:hAnsi="Times New Roman" w:cs="Times New Roman"/>
          <w:sz w:val="24"/>
          <w:szCs w:val="24"/>
        </w:rPr>
        <w:t xml:space="preserve">the </w:t>
      </w:r>
      <w:r w:rsidR="00315A23" w:rsidRPr="001E35A2">
        <w:rPr>
          <w:rFonts w:ascii="Times New Roman" w:hAnsi="Times New Roman" w:cs="Times New Roman"/>
          <w:sz w:val="24"/>
          <w:szCs w:val="24"/>
        </w:rPr>
        <w:t xml:space="preserve">literature suggests that rehire may mitigate the adverse impacts, </w:t>
      </w:r>
      <w:r w:rsidR="008B2D63" w:rsidRPr="001E35A2">
        <w:rPr>
          <w:rFonts w:ascii="Times New Roman" w:hAnsi="Times New Roman" w:cs="Times New Roman"/>
          <w:sz w:val="24"/>
          <w:szCs w:val="24"/>
        </w:rPr>
        <w:t xml:space="preserve">but </w:t>
      </w:r>
      <w:r w:rsidR="00315A23" w:rsidRPr="001E35A2">
        <w:rPr>
          <w:rFonts w:ascii="Times New Roman" w:hAnsi="Times New Roman" w:cs="Times New Roman"/>
          <w:sz w:val="24"/>
          <w:szCs w:val="24"/>
        </w:rPr>
        <w:t>does not eliminate the distress.</w:t>
      </w:r>
      <w:r w:rsidR="004067D0" w:rsidRPr="001E35A2">
        <w:rPr>
          <w:rFonts w:ascii="Times New Roman" w:hAnsi="Times New Roman" w:cs="Times New Roman"/>
          <w:sz w:val="24"/>
          <w:szCs w:val="24"/>
        </w:rPr>
        <w:fldChar w:fldCharType="begin" w:fldLock="1"/>
      </w:r>
      <w:r w:rsidR="000F3DEA" w:rsidRPr="001E35A2">
        <w:rPr>
          <w:rFonts w:ascii="Times New Roman" w:hAnsi="Times New Roman" w:cs="Times New Roman"/>
          <w:sz w:val="24"/>
          <w:szCs w:val="24"/>
        </w:rPr>
        <w:instrText>ADDIN CSL_CITATION {"citationItems":[{"id":"ITEM-1","itemData":{"DOI":"10.1146/annurev-soc-071913-043237","ISBN":"0000000000000","ISSN":"0360-0572","PMID":"26336327","abstract":"Job loss is an involuntary disruptive life event with a far-reaching impact on workers' life trajectories. Its incidence among growing segments of the workforce, alongside the recent era of severe economic upheaval, has increased attention to the effects of job loss and unemployment. As a relatively exogenous labor market shock, the study of displacement enables robust estimates of associations between socioeconomic circumstances and life outcomes. Research suggests that displacement is associated with subsequent unemployment, long-term earnings losses, and lower job quality; declines in psychological and physical well-being; loss of psychosocial assets; social withdrawal; family disruption; and lower levels of children's attainment and well-being. Although reemployment mitigates some of the negative effects of job loss, it does not eliminate them. Contexts of widespread unemployment, although associated with larger economic losses, lessen the social-psychological impact of job loss. Future research should attend more fully to how the economic and social-psychological effects of displacement intersect and extend beyond displaced workers themselves.","author":[{"dropping-particle":"","family":"Brand","given":"Jennie","non-dropping-particle":"","parse-names":false,"suffix":""}],"container-title":"Annual Review of Sociology","id":"ITEM-1","issued":{"date-parts":[["2015"]]},"page":"359-75","title":"The Far-Reaching Impact of Job Loss and Unemployment","type":"article-journal","volume":"41"},"uris":["http://www.mendeley.com/documents/?uuid=b3df42dc-bdc6-4aab-9da4-af523e1a9710"]}],"mendeley":{"formattedCitation":"&lt;sup&gt;28&lt;/sup&gt;","plainTextFormattedCitation":"28","previouslyFormattedCitation":"&lt;sup&gt;28&lt;/sup&gt;"},"properties":{"noteIndex":0},"schema":"https://github.com/citation-style-language/schema/raw/master/csl-citation.json"}</w:instrText>
      </w:r>
      <w:r w:rsidR="004067D0" w:rsidRPr="001E35A2">
        <w:rPr>
          <w:rFonts w:ascii="Times New Roman" w:hAnsi="Times New Roman" w:cs="Times New Roman"/>
          <w:sz w:val="24"/>
          <w:szCs w:val="24"/>
        </w:rPr>
        <w:fldChar w:fldCharType="separate"/>
      </w:r>
      <w:r w:rsidR="00F95A3D" w:rsidRPr="001E35A2">
        <w:rPr>
          <w:rFonts w:ascii="Times New Roman" w:hAnsi="Times New Roman" w:cs="Times New Roman"/>
          <w:noProof/>
          <w:sz w:val="24"/>
          <w:szCs w:val="24"/>
          <w:vertAlign w:val="superscript"/>
        </w:rPr>
        <w:t>28</w:t>
      </w:r>
      <w:r w:rsidR="004067D0" w:rsidRPr="001E35A2">
        <w:rPr>
          <w:rFonts w:ascii="Times New Roman" w:hAnsi="Times New Roman" w:cs="Times New Roman"/>
          <w:sz w:val="24"/>
          <w:szCs w:val="24"/>
        </w:rPr>
        <w:fldChar w:fldCharType="end"/>
      </w:r>
    </w:p>
    <w:p w14:paraId="28AB37EE" w14:textId="0C88DD90" w:rsidR="003363A7" w:rsidRPr="001E35A2" w:rsidRDefault="003363A7" w:rsidP="00D8533C">
      <w:pPr>
        <w:adjustRightInd w:val="0"/>
        <w:spacing w:line="480" w:lineRule="auto"/>
        <w:ind w:firstLine="720"/>
        <w:rPr>
          <w:rFonts w:ascii="Times New Roman" w:hAnsi="Times New Roman" w:cs="Times New Roman"/>
          <w:sz w:val="24"/>
          <w:szCs w:val="24"/>
        </w:rPr>
      </w:pPr>
      <w:r w:rsidRPr="001E35A2">
        <w:rPr>
          <w:rFonts w:ascii="Times New Roman" w:hAnsi="Times New Roman" w:cs="Times New Roman"/>
          <w:sz w:val="24"/>
          <w:szCs w:val="24"/>
        </w:rPr>
        <w:t xml:space="preserve">These findings are </w:t>
      </w:r>
      <w:r w:rsidR="00C16C2D" w:rsidRPr="001E35A2">
        <w:rPr>
          <w:rFonts w:ascii="Times New Roman" w:hAnsi="Times New Roman" w:cs="Times New Roman"/>
          <w:sz w:val="24"/>
          <w:szCs w:val="24"/>
        </w:rPr>
        <w:t>also consistent</w:t>
      </w:r>
      <w:r w:rsidRPr="001E35A2">
        <w:rPr>
          <w:rFonts w:ascii="Times New Roman" w:hAnsi="Times New Roman" w:cs="Times New Roman"/>
          <w:sz w:val="24"/>
          <w:szCs w:val="24"/>
        </w:rPr>
        <w:t xml:space="preserve"> with</w:t>
      </w:r>
      <w:r w:rsidR="00C16C2D" w:rsidRPr="001E35A2">
        <w:rPr>
          <w:rFonts w:ascii="Times New Roman" w:hAnsi="Times New Roman" w:cs="Times New Roman"/>
          <w:sz w:val="24"/>
          <w:szCs w:val="24"/>
        </w:rPr>
        <w:t xml:space="preserve"> findings from</w:t>
      </w:r>
      <w:r w:rsidRPr="001E35A2">
        <w:rPr>
          <w:rFonts w:ascii="Times New Roman" w:hAnsi="Times New Roman" w:cs="Times New Roman"/>
          <w:sz w:val="24"/>
          <w:szCs w:val="24"/>
        </w:rPr>
        <w:t xml:space="preserve"> recent studies</w:t>
      </w:r>
      <w:r w:rsidR="00AC5891" w:rsidRPr="001E35A2">
        <w:rPr>
          <w:rFonts w:ascii="Times New Roman" w:hAnsi="Times New Roman" w:cs="Times New Roman"/>
          <w:sz w:val="24"/>
          <w:szCs w:val="24"/>
        </w:rPr>
        <w:t xml:space="preserve"> linking conditions of employment with </w:t>
      </w:r>
      <w:r w:rsidR="00384EFE" w:rsidRPr="001E35A2">
        <w:rPr>
          <w:rFonts w:ascii="Times New Roman" w:hAnsi="Times New Roman" w:cs="Times New Roman"/>
          <w:sz w:val="24"/>
          <w:szCs w:val="24"/>
        </w:rPr>
        <w:t xml:space="preserve">mental health, </w:t>
      </w:r>
      <w:r w:rsidR="00AC5891" w:rsidRPr="001E35A2">
        <w:rPr>
          <w:rFonts w:ascii="Times New Roman" w:hAnsi="Times New Roman" w:cs="Times New Roman"/>
          <w:sz w:val="24"/>
          <w:szCs w:val="24"/>
        </w:rPr>
        <w:t>suicide</w:t>
      </w:r>
      <w:r w:rsidR="00384EFE" w:rsidRPr="001E35A2">
        <w:rPr>
          <w:rFonts w:ascii="Times New Roman" w:hAnsi="Times New Roman" w:cs="Times New Roman"/>
          <w:sz w:val="24"/>
          <w:szCs w:val="24"/>
        </w:rPr>
        <w:t>,</w:t>
      </w:r>
      <w:r w:rsidR="00AC5891" w:rsidRPr="001E35A2">
        <w:rPr>
          <w:rFonts w:ascii="Times New Roman" w:hAnsi="Times New Roman" w:cs="Times New Roman"/>
          <w:sz w:val="24"/>
          <w:szCs w:val="24"/>
        </w:rPr>
        <w:t xml:space="preserve"> </w:t>
      </w:r>
      <w:r w:rsidR="005F4628" w:rsidRPr="001E35A2">
        <w:rPr>
          <w:rFonts w:ascii="Times New Roman" w:hAnsi="Times New Roman" w:cs="Times New Roman"/>
          <w:sz w:val="24"/>
          <w:szCs w:val="24"/>
        </w:rPr>
        <w:t xml:space="preserve">and </w:t>
      </w:r>
      <w:r w:rsidR="00AC5891" w:rsidRPr="001E35A2">
        <w:rPr>
          <w:rFonts w:ascii="Times New Roman" w:hAnsi="Times New Roman" w:cs="Times New Roman"/>
          <w:sz w:val="24"/>
          <w:szCs w:val="24"/>
        </w:rPr>
        <w:t>overdose mortality</w:t>
      </w:r>
      <w:r w:rsidR="00EB19EA" w:rsidRPr="001E35A2">
        <w:rPr>
          <w:rFonts w:ascii="Times New Roman" w:hAnsi="Times New Roman" w:cs="Times New Roman"/>
          <w:sz w:val="24"/>
          <w:szCs w:val="24"/>
        </w:rPr>
        <w:t>.</w:t>
      </w:r>
      <w:r w:rsidRPr="001E35A2">
        <w:rPr>
          <w:rFonts w:ascii="Times New Roman" w:hAnsi="Times New Roman" w:cs="Times New Roman"/>
          <w:sz w:val="24"/>
          <w:szCs w:val="24"/>
        </w:rPr>
        <w:t xml:space="preserve"> </w:t>
      </w:r>
      <w:r w:rsidR="00384EFE" w:rsidRPr="001E35A2">
        <w:rPr>
          <w:rFonts w:ascii="Times New Roman" w:hAnsi="Times New Roman" w:cs="Times New Roman"/>
          <w:sz w:val="24"/>
          <w:szCs w:val="24"/>
        </w:rPr>
        <w:t>We reported effects of layoffs on mental healthcare utilization and injury risk among workers at 30 US plants using a difference-in-differences approach.</w:t>
      </w:r>
      <w:r w:rsidR="00384EFE" w:rsidRPr="001E35A2">
        <w:rPr>
          <w:rFonts w:ascii="Times New Roman" w:hAnsi="Times New Roman" w:cs="Times New Roman"/>
          <w:sz w:val="24"/>
          <w:szCs w:val="24"/>
        </w:rPr>
        <w:fldChar w:fldCharType="begin" w:fldLock="1"/>
      </w:r>
      <w:r w:rsidR="000F3DEA" w:rsidRPr="001E35A2">
        <w:rPr>
          <w:rFonts w:ascii="Times New Roman" w:hAnsi="Times New Roman" w:cs="Times New Roman"/>
          <w:sz w:val="24"/>
          <w:szCs w:val="24"/>
        </w:rPr>
        <w:instrText>ADDIN CSL_CITATION {"citationItems":[{"id":"ITEM-1","itemData":{"DOI":"10.1136/jech-2018-211774","ISSN":"14702738","abstract":"Background Relatively few studies have examined the effects of layoffs on remaining workers, although the effects of layoffs and downsizing events may extend beyond those employees who lose their jobs. Methods We examined the effects of layoffs on mental healthcare utilisation and injury risk among workers at 30 US plants between 2003 and 2013. We defined layoffs as reductions in the hourly workforce of 20% or more at each plant. Using a difference-in-differences approach, we compared the change in outcomes during layoffs versus the same 3-month period 1 year previously, accounting for secular trends with control plants. Results Our study population included 15 502 workers and 7 layoff events between 2003 and 2013. Layoffs were associated with only minor decreases in injuries (-0.006, 95% CI -0.013 to 0.001). The probability of outpatient visits related to mental health increased by 1% during layoffs (0.010, 95% CI 0.003 to 0.017), and the probability of mental health-related prescriptions increased by 1.4% (0.014, 95% CI -0.0006 to 0.027). Among women, the increase in outpatient visits was more pronounced (0.017, 95% CI 0.003 to 0.031). Increased prescription utilisation appeared attributable primarily to opioid use (0.016, 95% CI 0.005 to 0.027). Conclusion Our results indicate an association between layoffs and remaining workers' mental health and safety, although changes mental healthcare utilisation may reflect both changes in underlying mental health and changes in care-seeking. Future research on concordance of service utilisation and underlying health may yield valuable insight into the experiences employed workers in the wake of layoffs.","author":[{"dropping-particle":"","family":"Elser","given":"Holly","non-dropping-particle":"","parse-names":false,"suffix":""},{"dropping-particle":"","family":"Ben-Michael","given":"Eli","non-dropping-particle":"","parse-names":false,"suffix":""},{"dropping-particle":"","family":"Rehkopf","given":"David","non-dropping-particle":"","parse-names":false,"suffix":""},{"dropping-particle":"","family":"Modrek","given":"Sepideh","non-dropping-particle":"","parse-names":false,"suffix":""},{"dropping-particle":"","family":"Eisen","given":"Ellen A.","non-dropping-particle":"","parse-names":false,"suffix":""},{"dropping-particle":"","family":"Cullen","given":"Mark R.","non-dropping-particle":"","parse-names":false,"suffix":""}],"container-title":"Journal of Epidemiology and Community Health","id":"ITEM-1","issue":"12","issued":{"date-parts":[["2019"]]},"page":"1094-1100","title":"Layoffs and the mental health and safety of remaining workers: A difference-in-differences analysis of the US aluminium industry","type":"article-journal","volume":"73"},"uris":["http://www.mendeley.com/documents/?uuid=838ad4cb-3082-4f13-9dc7-a54da8c7ce3b"]}],"mendeley":{"formattedCitation":"&lt;sup&gt;30&lt;/sup&gt;","plainTextFormattedCitation":"30","previouslyFormattedCitation":"&lt;sup&gt;30&lt;/sup&gt;"},"properties":{"noteIndex":0},"schema":"https://github.com/citation-style-language/schema/raw/master/csl-citation.json"}</w:instrText>
      </w:r>
      <w:r w:rsidR="00384EFE" w:rsidRPr="001E35A2">
        <w:rPr>
          <w:rFonts w:ascii="Times New Roman" w:hAnsi="Times New Roman" w:cs="Times New Roman"/>
          <w:sz w:val="24"/>
          <w:szCs w:val="24"/>
        </w:rPr>
        <w:fldChar w:fldCharType="separate"/>
      </w:r>
      <w:r w:rsidR="00F95A3D" w:rsidRPr="001E35A2">
        <w:rPr>
          <w:rFonts w:ascii="Times New Roman" w:hAnsi="Times New Roman" w:cs="Times New Roman"/>
          <w:noProof/>
          <w:sz w:val="24"/>
          <w:szCs w:val="24"/>
          <w:vertAlign w:val="superscript"/>
        </w:rPr>
        <w:t>30</w:t>
      </w:r>
      <w:r w:rsidR="00384EFE" w:rsidRPr="001E35A2">
        <w:rPr>
          <w:rFonts w:ascii="Times New Roman" w:hAnsi="Times New Roman" w:cs="Times New Roman"/>
          <w:sz w:val="24"/>
          <w:szCs w:val="24"/>
        </w:rPr>
        <w:fldChar w:fldCharType="end"/>
      </w:r>
      <w:r w:rsidR="00384EFE" w:rsidRPr="001E35A2">
        <w:rPr>
          <w:rFonts w:ascii="Times New Roman" w:hAnsi="Times New Roman" w:cs="Times New Roman"/>
          <w:sz w:val="24"/>
          <w:szCs w:val="24"/>
        </w:rPr>
        <w:t xml:space="preserve"> </w:t>
      </w:r>
      <w:r w:rsidR="00DA169B" w:rsidRPr="001E35A2">
        <w:rPr>
          <w:rFonts w:ascii="Times New Roman" w:hAnsi="Times New Roman" w:cs="Times New Roman"/>
          <w:sz w:val="24"/>
          <w:szCs w:val="24"/>
        </w:rPr>
        <w:t>In that study, t</w:t>
      </w:r>
      <w:r w:rsidR="00384EFE" w:rsidRPr="001E35A2">
        <w:rPr>
          <w:rFonts w:ascii="Times New Roman" w:hAnsi="Times New Roman" w:cs="Times New Roman"/>
          <w:sz w:val="24"/>
          <w:szCs w:val="24"/>
        </w:rPr>
        <w:t xml:space="preserve">he </w:t>
      </w:r>
      <w:r w:rsidR="00DA169B" w:rsidRPr="001E35A2">
        <w:rPr>
          <w:rFonts w:ascii="Times New Roman" w:hAnsi="Times New Roman" w:cs="Times New Roman"/>
          <w:sz w:val="24"/>
          <w:szCs w:val="24"/>
        </w:rPr>
        <w:t xml:space="preserve">increase in the </w:t>
      </w:r>
      <w:r w:rsidR="00384EFE" w:rsidRPr="001E35A2">
        <w:rPr>
          <w:rFonts w:ascii="Times New Roman" w:hAnsi="Times New Roman" w:cs="Times New Roman"/>
          <w:sz w:val="24"/>
          <w:szCs w:val="24"/>
        </w:rPr>
        <w:t>probability of mental health-related prescriptions appeared attributable primarily to opioid use</w:t>
      </w:r>
      <w:r w:rsidR="00DA169B" w:rsidRPr="001E35A2">
        <w:rPr>
          <w:rFonts w:ascii="Times New Roman" w:hAnsi="Times New Roman" w:cs="Times New Roman"/>
          <w:sz w:val="24"/>
          <w:szCs w:val="24"/>
        </w:rPr>
        <w:t>. In an ecologic study l</w:t>
      </w:r>
      <w:r w:rsidRPr="001E35A2">
        <w:rPr>
          <w:rFonts w:ascii="Times New Roman" w:hAnsi="Times New Roman" w:cs="Times New Roman"/>
          <w:sz w:val="24"/>
          <w:szCs w:val="24"/>
        </w:rPr>
        <w:t xml:space="preserve">everaging variation in state economic policies over time, a quasi-experimental design </w:t>
      </w:r>
      <w:r w:rsidR="00EB19EA" w:rsidRPr="001E35A2">
        <w:rPr>
          <w:rFonts w:ascii="Times New Roman" w:hAnsi="Times New Roman" w:cs="Times New Roman"/>
          <w:sz w:val="24"/>
          <w:szCs w:val="24"/>
        </w:rPr>
        <w:t xml:space="preserve">was used </w:t>
      </w:r>
      <w:r w:rsidRPr="001E35A2">
        <w:rPr>
          <w:rFonts w:ascii="Times New Roman" w:hAnsi="Times New Roman" w:cs="Times New Roman"/>
          <w:sz w:val="24"/>
          <w:szCs w:val="24"/>
        </w:rPr>
        <w:t xml:space="preserve">to examine the impact of minimum wage and earned income tax credit policies on deaths of despair. Causal models suggest that increasing both by 10% would have prevented 1230 suicides </w:t>
      </w:r>
      <w:r w:rsidRPr="001E35A2">
        <w:rPr>
          <w:rFonts w:ascii="Times New Roman" w:hAnsi="Times New Roman" w:cs="Times New Roman"/>
          <w:sz w:val="24"/>
          <w:szCs w:val="24"/>
        </w:rPr>
        <w:lastRenderedPageBreak/>
        <w:t>annually, but had no impact on drug overdoses.</w:t>
      </w:r>
      <w:r w:rsidRPr="001E35A2">
        <w:rPr>
          <w:rFonts w:ascii="Times New Roman" w:hAnsi="Times New Roman" w:cs="Times New Roman"/>
          <w:sz w:val="24"/>
          <w:szCs w:val="24"/>
        </w:rPr>
        <w:fldChar w:fldCharType="begin" w:fldLock="1"/>
      </w:r>
      <w:r w:rsidR="000F3DEA" w:rsidRPr="001E35A2">
        <w:rPr>
          <w:rFonts w:ascii="Times New Roman" w:hAnsi="Times New Roman" w:cs="Times New Roman"/>
          <w:sz w:val="24"/>
          <w:szCs w:val="24"/>
        </w:rPr>
        <w:instrText>ADDIN CSL_CITATION {"citationItems":[{"id":"ITEM-1","itemData":{"abstract":"Midlife mortality has risen steadily in the U.S. since the 1990s for non-Hispanic whites without a bachelor's degree, and since 2013 for Hispanics and African-Americans who lack a bachelor's degree. These increases largely reflect increased mortality from alcohol poisoning, drug overdose and suicide. We investigate whether these \"deaths of despair\" trends have been mitigated by two key policies aimed at raising incomes for low wage workers: the minimum wage and the earned income tax credit (EITC). To do so, we leverage state variation in policies over time to estimate difference-indifferences models of drug overdose deaths and suicides, using data on cause-specific mortality rates from 1999-2015. Our causal models find no significant effects of the minimum wage and EITC on drug-related mortality. However, higher minimum wages and EITCs significantly reduce non-drug suicides. A 10 percent increase in the minimum wage reduces non-drug suicides among adults with high school or less by 3.6 percent; a 10 percent increase in the EITC reduces suicides among this group by 5.5 percent. Our estimated models do not find significant effects for a college-educated placebo sample. Event-study models confirm parallel pre-trends, further supporting the validity of our causal research design. Our estimates suggest that increasing both the minimum wage and the EITC by 10 percent would likely prevent a combined total of around 1230 suicides each year.","author":[{"dropping-particle":"","family":"Dow","given":"William H","non-dropping-particle":"","parse-names":false,"suffix":""},{"dropping-particle":"","family":"Godøy","given":"Anna","non-dropping-particle":"","parse-names":false,"suffix":""},{"dropping-particle":"","family":"Lowenstein","given":"Christopher A","non-dropping-particle":"","parse-names":false,"suffix":""},{"dropping-particle":"","family":"Reich","given":"Michael","non-dropping-particle":"","parse-names":false,"suffix":""},{"dropping-particle":"","family":"Way","given":"Channing","non-dropping-particle":"","parse-names":false,"suffix":""}],"id":"ITEM-1","issued":{"date-parts":[["2019"]]},"title":"NBER WORKING PAPER SERIES CAN ECONOMIC POLICIES REDUCE DEATHS OF DESPAIR? Can Economic Policies Reduce Deaths of Despair?","type":"article-journal"},"uris":["http://www.mendeley.com/documents/?uuid=6b3816ce-3b9c-4ffd-8478-c6797c385372"]}],"mendeley":{"formattedCitation":"&lt;sup&gt;31&lt;/sup&gt;","plainTextFormattedCitation":"31","previouslyFormattedCitation":"&lt;sup&gt;31&lt;/sup&gt;"},"properties":{"noteIndex":0},"schema":"https://github.com/citation-style-language/schema/raw/master/csl-citation.json"}</w:instrText>
      </w:r>
      <w:r w:rsidRPr="001E35A2">
        <w:rPr>
          <w:rFonts w:ascii="Times New Roman" w:hAnsi="Times New Roman" w:cs="Times New Roman"/>
          <w:sz w:val="24"/>
          <w:szCs w:val="24"/>
        </w:rPr>
        <w:fldChar w:fldCharType="separate"/>
      </w:r>
      <w:r w:rsidR="00F95A3D" w:rsidRPr="001E35A2">
        <w:rPr>
          <w:rFonts w:ascii="Times New Roman" w:hAnsi="Times New Roman" w:cs="Times New Roman"/>
          <w:noProof/>
          <w:sz w:val="24"/>
          <w:szCs w:val="24"/>
          <w:vertAlign w:val="superscript"/>
        </w:rPr>
        <w:t>31</w:t>
      </w:r>
      <w:r w:rsidRPr="001E35A2">
        <w:rPr>
          <w:rFonts w:ascii="Times New Roman" w:hAnsi="Times New Roman" w:cs="Times New Roman"/>
          <w:sz w:val="24"/>
          <w:szCs w:val="24"/>
        </w:rPr>
        <w:fldChar w:fldCharType="end"/>
      </w:r>
      <w:r w:rsidRPr="001E35A2">
        <w:rPr>
          <w:rFonts w:ascii="Times New Roman" w:hAnsi="Times New Roman" w:cs="Times New Roman"/>
          <w:sz w:val="24"/>
          <w:szCs w:val="24"/>
        </w:rPr>
        <w:t xml:space="preserve"> Another study found that higher state-wide union density was associated with lower mortality rates for suicide and overdose.</w:t>
      </w:r>
      <w:r w:rsidR="005458EB" w:rsidRPr="001E35A2">
        <w:rPr>
          <w:rFonts w:ascii="Times New Roman" w:hAnsi="Times New Roman" w:cs="Times New Roman"/>
          <w:sz w:val="24"/>
          <w:szCs w:val="24"/>
        </w:rPr>
        <w:fldChar w:fldCharType="begin" w:fldLock="1"/>
      </w:r>
      <w:r w:rsidR="005458EB" w:rsidRPr="001E35A2">
        <w:rPr>
          <w:rFonts w:ascii="Times New Roman" w:hAnsi="Times New Roman" w:cs="Times New Roman"/>
          <w:sz w:val="24"/>
          <w:szCs w:val="24"/>
        </w:rPr>
        <w:instrText>ADDIN CSL_CITATION {"citationItems":[{"id":"ITEM-1","itemData":{"DOI":"10.1002/ajim.23081","author":[{"dropping-particle":"","family":"Eisenberg-Guyot","given":"Jerzy","non-dropping-particle":"","parse-names":false,"suffix":""},{"dropping-particle":"","family":"Mooney","given":"Stephen J","non-dropping-particle":"","parse-names":false,"suffix":""},{"dropping-particle":"","family":"Hagopian","given":"Amy","non-dropping-particle":"","parse-names":false,"suffix":""},{"dropping-particle":"","family":"Barrington","given":"Wendy E","non-dropping-particle":"","parse-names":false,"suffix":""},{"dropping-particle":"","family":"Hajat","given":"Anjum","non-dropping-particle":"","parse-names":false,"suffix":""}],"container-title":"American Journal of Industrial Medicine","id":"ITEM-1","issue":"December 2019","issued":{"date-parts":[["2019"]]},"page":"1-14","title":"Solidarity and disparity: declining labor union density and changing racial and educational mortality inequities","type":"article-journal"},"uris":["http://www.mendeley.com/documents/?uuid=63b6e1f9-7f83-4394-8e0c-bb6d225ae223"]}],"mendeley":{"formattedCitation":"&lt;sup&gt;32&lt;/sup&gt;","plainTextFormattedCitation":"32","previouslyFormattedCitation":"&lt;sup&gt;32&lt;/sup&gt;"},"properties":{"noteIndex":0},"schema":"https://github.com/citation-style-language/schema/raw/master/csl-citation.json"}</w:instrText>
      </w:r>
      <w:r w:rsidR="005458EB" w:rsidRPr="001E35A2">
        <w:rPr>
          <w:rFonts w:ascii="Times New Roman" w:hAnsi="Times New Roman" w:cs="Times New Roman"/>
          <w:sz w:val="24"/>
          <w:szCs w:val="24"/>
        </w:rPr>
        <w:fldChar w:fldCharType="separate"/>
      </w:r>
      <w:r w:rsidR="005458EB" w:rsidRPr="001E35A2">
        <w:rPr>
          <w:rFonts w:ascii="Times New Roman" w:hAnsi="Times New Roman" w:cs="Times New Roman"/>
          <w:noProof/>
          <w:sz w:val="24"/>
          <w:szCs w:val="24"/>
          <w:vertAlign w:val="superscript"/>
        </w:rPr>
        <w:t>32</w:t>
      </w:r>
      <w:r w:rsidR="005458EB" w:rsidRPr="001E35A2">
        <w:rPr>
          <w:rFonts w:ascii="Times New Roman" w:hAnsi="Times New Roman" w:cs="Times New Roman"/>
          <w:sz w:val="24"/>
          <w:szCs w:val="24"/>
        </w:rPr>
        <w:fldChar w:fldCharType="end"/>
      </w:r>
      <w:r w:rsidRPr="001E35A2">
        <w:rPr>
          <w:rFonts w:ascii="Times New Roman" w:hAnsi="Times New Roman" w:cs="Times New Roman"/>
          <w:sz w:val="24"/>
          <w:szCs w:val="24"/>
        </w:rPr>
        <w:t xml:space="preserve"> </w:t>
      </w:r>
      <w:r w:rsidR="00AC5891" w:rsidRPr="001E35A2">
        <w:rPr>
          <w:rFonts w:ascii="Times New Roman" w:hAnsi="Times New Roman" w:cs="Times New Roman"/>
          <w:sz w:val="24"/>
          <w:szCs w:val="24"/>
        </w:rPr>
        <w:t xml:space="preserve">In a study </w:t>
      </w:r>
      <w:r w:rsidR="00384EFE" w:rsidRPr="001E35A2">
        <w:rPr>
          <w:rFonts w:ascii="Times New Roman" w:hAnsi="Times New Roman" w:cs="Times New Roman"/>
          <w:sz w:val="24"/>
          <w:szCs w:val="24"/>
        </w:rPr>
        <w:t xml:space="preserve">directly </w:t>
      </w:r>
      <w:r w:rsidR="00AC5891" w:rsidRPr="001E35A2">
        <w:rPr>
          <w:rFonts w:ascii="Times New Roman" w:hAnsi="Times New Roman" w:cs="Times New Roman"/>
          <w:sz w:val="24"/>
          <w:szCs w:val="24"/>
        </w:rPr>
        <w:t xml:space="preserve">relevant to this one, </w:t>
      </w:r>
      <w:r w:rsidRPr="001E35A2">
        <w:rPr>
          <w:rFonts w:ascii="Times New Roman" w:hAnsi="Times New Roman" w:cs="Times New Roman"/>
          <w:sz w:val="24"/>
          <w:szCs w:val="24"/>
        </w:rPr>
        <w:t xml:space="preserve">a difference-in-differences approach </w:t>
      </w:r>
      <w:r w:rsidR="00AC5891" w:rsidRPr="001E35A2">
        <w:rPr>
          <w:rFonts w:ascii="Times New Roman" w:hAnsi="Times New Roman" w:cs="Times New Roman"/>
          <w:sz w:val="24"/>
          <w:szCs w:val="24"/>
        </w:rPr>
        <w:t>resulted in</w:t>
      </w:r>
      <w:r w:rsidRPr="001E35A2">
        <w:rPr>
          <w:rFonts w:ascii="Times New Roman" w:hAnsi="Times New Roman" w:cs="Times New Roman"/>
          <w:sz w:val="24"/>
          <w:szCs w:val="24"/>
        </w:rPr>
        <w:t xml:space="preserve"> an association between county-level automobile assembly closures, 1999 to 2016, and opioid mortality.</w:t>
      </w:r>
      <w:r w:rsidR="005458EB" w:rsidRPr="001E35A2">
        <w:rPr>
          <w:rFonts w:ascii="Times New Roman" w:hAnsi="Times New Roman" w:cs="Times New Roman"/>
          <w:sz w:val="24"/>
          <w:szCs w:val="24"/>
        </w:rPr>
        <w:fldChar w:fldCharType="begin" w:fldLock="1"/>
      </w:r>
      <w:r w:rsidR="005458EB" w:rsidRPr="001E35A2">
        <w:rPr>
          <w:rFonts w:ascii="Times New Roman" w:hAnsi="Times New Roman" w:cs="Times New Roman"/>
          <w:sz w:val="24"/>
          <w:szCs w:val="24"/>
        </w:rPr>
        <w:instrText>ADDIN CSL_CITATION {"citationItems":[{"id":"ITEM-1","itemData":{"DOI":"10.1001/jamainternmed.2019.5686","ISSN":"2168-6114","PMID":"31886844","abstract":"Importance Fading economic opportunity has been hypothesized to be an important factor associated with the US opioid overdose crisis. Automotive assembly plant closures are culturally significant events that substantially erode local economic opportunities. Objective To estimate the extent to which automotive assembly plant closures were associated with increasing opioid overdose mortality rates among working-age adults. Design, Setting, and Participants A county-level difference-in-differences study was conducted among adults aged 18 to 65 years in 112 manufacturing counties located in 30 commuting zones (primarily in the US South and Midwest) with at least 1 operational automotive assembly plant as of 1999. The study analyzed county-level changes from January 1, 1999, to December 31, 2016, in age-adjusted, county-level opioid overdose mortality rates before vs after automotive assembly plant closures in manufacturing counties affected by plant closures compared with changes in manufacturing counties unaffected by plant closures. Data analyses were performed between April 1, 2018, and July 20, 2019. Exposure Closure of automotive assembly plants in the commuting zone of residence. Main Outcomes and Measures The primary outcome was the county-level age-adjusted opioid overdose mortality rate. Secondary outcomes included the overall drug overdose mortality rate and prescription vs illicit drug overdose mortality rates. Results During the study period, 29 manufacturing counties in 10 commuting zones were exposed to an automotive assembly plant closure, while 83 manufacturing counties in 20 commuting zones remained unexposed. Mean (SD) baseline opioid overdose rates per 100 000 were similar in exposed (0.9 [1.4]) and unexposed (1.0 [2.1]) counties. Automotive assembly plant closures were associated with statistically significant increases in opioid overdose mortality. Five years after a plant closure, mortality rates had increased by 8.6 opioid overdose deaths per 100 000 individuals (95% CI, 2.6-14.6; P = .006) in exposed counties compared with unexposed counties, an 85% increase relative to the mortality rate of 12 deaths per 100 000 observed in unexposed counties at the same time point. In analyses stratified by age, sex, and race/ethnicity, the largest increases in opioid overdose mortality were observed among non-Hispanic white men aged 18 to 34 years (20.1 deaths per 100 000; 95% CI, 8.8-31.3; P = .001) and aged 35 to 65 years (12.8 deaths per 100 00…","author":[{"dropping-particle":"","family":"Venkataramani","given":"Atheendar S","non-dropping-particle":"","parse-names":false,"suffix":""},{"dropping-particle":"","family":"Bair","given":"Elizabeth F","non-dropping-particle":"","parse-names":false,"suffix":""},{"dropping-particle":"","family":"O'Brien","given":"Rourke L","non-dropping-particle":"","parse-names":false,"suffix":""},{"dropping-particle":"","family":"Tsai","given":"Alexander C","non-dropping-particle":"","parse-names":false,"suffix":""}],"container-title":"JAMA internal medicine","id":"ITEM-1","issued":{"date-parts":[["2019"]]},"page":"1-9","title":"Association Between Automotive Assembly Plant Closures and Opioid Overdose Mortality in the United States: A Difference-in-Differences Analysis.","type":"article-journal","volume":"19104"},"uris":["http://www.mendeley.com/documents/?uuid=d57a1044-fab2-467c-a232-35a984c9cf80"]}],"mendeley":{"formattedCitation":"&lt;sup&gt;33&lt;/sup&gt;","plainTextFormattedCitation":"33","previouslyFormattedCitation":"&lt;sup&gt;33&lt;/sup&gt;"},"properties":{"noteIndex":0},"schema":"https://github.com/citation-style-language/schema/raw/master/csl-citation.json"}</w:instrText>
      </w:r>
      <w:r w:rsidR="005458EB" w:rsidRPr="001E35A2">
        <w:rPr>
          <w:rFonts w:ascii="Times New Roman" w:hAnsi="Times New Roman" w:cs="Times New Roman"/>
          <w:sz w:val="24"/>
          <w:szCs w:val="24"/>
        </w:rPr>
        <w:fldChar w:fldCharType="separate"/>
      </w:r>
      <w:r w:rsidR="005458EB" w:rsidRPr="001E35A2">
        <w:rPr>
          <w:rFonts w:ascii="Times New Roman" w:hAnsi="Times New Roman" w:cs="Times New Roman"/>
          <w:noProof/>
          <w:sz w:val="24"/>
          <w:szCs w:val="24"/>
          <w:vertAlign w:val="superscript"/>
        </w:rPr>
        <w:t>33</w:t>
      </w:r>
      <w:r w:rsidR="005458EB" w:rsidRPr="001E35A2">
        <w:rPr>
          <w:rFonts w:ascii="Times New Roman" w:hAnsi="Times New Roman" w:cs="Times New Roman"/>
          <w:sz w:val="24"/>
          <w:szCs w:val="24"/>
        </w:rPr>
        <w:fldChar w:fldCharType="end"/>
      </w:r>
      <w:r w:rsidR="00384EFE" w:rsidRPr="001E35A2">
        <w:rPr>
          <w:rFonts w:ascii="Times New Roman" w:hAnsi="Times New Roman" w:cs="Times New Roman"/>
          <w:sz w:val="24"/>
          <w:szCs w:val="24"/>
        </w:rPr>
        <w:t xml:space="preserve"> </w:t>
      </w:r>
    </w:p>
    <w:bookmarkEnd w:id="9"/>
    <w:p w14:paraId="32138C6A" w14:textId="1A4D2D27" w:rsidR="00ED3CC3" w:rsidRPr="001E35A2" w:rsidRDefault="00ED3CC3" w:rsidP="00D8533C">
      <w:pPr>
        <w:adjustRightInd w:val="0"/>
        <w:spacing w:line="480" w:lineRule="auto"/>
        <w:ind w:firstLine="720"/>
        <w:rPr>
          <w:rFonts w:ascii="Times New Roman" w:hAnsi="Times New Roman" w:cs="Times New Roman"/>
          <w:sz w:val="24"/>
          <w:szCs w:val="24"/>
        </w:rPr>
      </w:pPr>
      <w:r w:rsidRPr="001E35A2">
        <w:rPr>
          <w:rFonts w:ascii="Times New Roman" w:hAnsi="Times New Roman" w:cs="Times New Roman"/>
          <w:sz w:val="24"/>
          <w:szCs w:val="24"/>
        </w:rPr>
        <w:t>Of the three study plants, Plant 2 had the highest incidence rate of suicide in this study. This plant was located at the site of Willow Run, a factory in southeastern Michigan renowned for the mass production of fighter planes during WWII.</w:t>
      </w:r>
      <w:r w:rsidR="00DA169B" w:rsidRPr="001E35A2">
        <w:rPr>
          <w:rFonts w:ascii="Times New Roman" w:hAnsi="Times New Roman" w:cs="Times New Roman"/>
          <w:sz w:val="24"/>
          <w:szCs w:val="24"/>
        </w:rPr>
        <w:fldChar w:fldCharType="begin" w:fldLock="1"/>
      </w:r>
      <w:r w:rsidR="00D5534F" w:rsidRPr="001E35A2">
        <w:rPr>
          <w:rFonts w:ascii="Times New Roman" w:hAnsi="Times New Roman" w:cs="Times New Roman"/>
          <w:sz w:val="24"/>
          <w:szCs w:val="24"/>
        </w:rPr>
        <w:instrText>ADDIN CSL_CITATION {"citationItems":[{"id":"ITEM-1","itemData":{"author":[{"dropping-particle":"","family":"Baime","given":"AJ","non-dropping-particle":"","parse-names":false,"suffix":""}],"id":"ITEM-1","issued":{"date-parts":[["2014"]]},"publisher":"Houghton Mifflin Harcourt","title":"The arsenal of democracy: FDR, Detroit, and an epic quest to arm an America at war","type":"book"},"uris":["http://www.mendeley.com/documents/?uuid=3d4ec0ef-157c-4357-b2ab-d0194fdeb43a"]}],"mendeley":{"formattedCitation":"&lt;sup&gt;19&lt;/sup&gt;","plainTextFormattedCitation":"19","previouslyFormattedCitation":"&lt;sup&gt;19&lt;/sup&gt;"},"properties":{"noteIndex":0},"schema":"https://github.com/citation-style-language/schema/raw/master/csl-citation.json"}</w:instrText>
      </w:r>
      <w:r w:rsidR="00DA169B" w:rsidRPr="001E35A2">
        <w:rPr>
          <w:rFonts w:ascii="Times New Roman" w:hAnsi="Times New Roman" w:cs="Times New Roman"/>
          <w:sz w:val="24"/>
          <w:szCs w:val="24"/>
        </w:rPr>
        <w:fldChar w:fldCharType="separate"/>
      </w:r>
      <w:r w:rsidR="005B305D" w:rsidRPr="001E35A2">
        <w:rPr>
          <w:rFonts w:ascii="Times New Roman" w:hAnsi="Times New Roman" w:cs="Times New Roman"/>
          <w:noProof/>
          <w:sz w:val="24"/>
          <w:szCs w:val="24"/>
          <w:vertAlign w:val="superscript"/>
        </w:rPr>
        <w:t>19</w:t>
      </w:r>
      <w:r w:rsidR="00DA169B" w:rsidRPr="001E35A2">
        <w:rPr>
          <w:rFonts w:ascii="Times New Roman" w:hAnsi="Times New Roman" w:cs="Times New Roman"/>
          <w:sz w:val="24"/>
          <w:szCs w:val="24"/>
        </w:rPr>
        <w:fldChar w:fldCharType="end"/>
      </w:r>
      <w:r w:rsidRPr="001E35A2">
        <w:rPr>
          <w:rFonts w:ascii="Times New Roman" w:hAnsi="Times New Roman" w:cs="Times New Roman"/>
          <w:sz w:val="24"/>
          <w:szCs w:val="24"/>
        </w:rPr>
        <w:t xml:space="preserve"> </w:t>
      </w:r>
      <w:r w:rsidR="005458EB" w:rsidRPr="001E35A2">
        <w:rPr>
          <w:rFonts w:ascii="Times New Roman" w:hAnsi="Times New Roman" w:cs="Times New Roman"/>
          <w:sz w:val="24"/>
          <w:szCs w:val="24"/>
        </w:rPr>
        <w:t xml:space="preserve">Constructed by Ford Motor Company in 1941 </w:t>
      </w:r>
      <w:r w:rsidRPr="001E35A2">
        <w:rPr>
          <w:rFonts w:ascii="Times New Roman" w:hAnsi="Times New Roman" w:cs="Times New Roman"/>
          <w:sz w:val="24"/>
          <w:szCs w:val="24"/>
        </w:rPr>
        <w:t>to produce the B-24 Liberator heavy bomber</w:t>
      </w:r>
      <w:r w:rsidR="005458EB" w:rsidRPr="001E35A2">
        <w:rPr>
          <w:rFonts w:ascii="Times New Roman" w:hAnsi="Times New Roman" w:cs="Times New Roman"/>
          <w:sz w:val="24"/>
          <w:szCs w:val="24"/>
        </w:rPr>
        <w:t>, the plant was the largest in the world at the time, employing more than 100,000 workers</w:t>
      </w:r>
      <w:r w:rsidRPr="001E35A2">
        <w:rPr>
          <w:rFonts w:ascii="Times New Roman" w:hAnsi="Times New Roman" w:cs="Times New Roman"/>
          <w:sz w:val="24"/>
          <w:szCs w:val="24"/>
        </w:rPr>
        <w:t>. Willow Run was sold to GM after a fire in 1953</w:t>
      </w:r>
      <w:r w:rsidR="005458EB" w:rsidRPr="001E35A2">
        <w:rPr>
          <w:rFonts w:ascii="Times New Roman" w:hAnsi="Times New Roman" w:cs="Times New Roman"/>
          <w:sz w:val="24"/>
          <w:szCs w:val="24"/>
        </w:rPr>
        <w:t>. B</w:t>
      </w:r>
      <w:r w:rsidRPr="001E35A2">
        <w:rPr>
          <w:rFonts w:ascii="Times New Roman" w:hAnsi="Times New Roman" w:cs="Times New Roman"/>
          <w:sz w:val="24"/>
          <w:szCs w:val="24"/>
        </w:rPr>
        <w:t>y 1970</w:t>
      </w:r>
      <w:r w:rsidR="005458EB" w:rsidRPr="001E35A2">
        <w:rPr>
          <w:rFonts w:ascii="Times New Roman" w:hAnsi="Times New Roman" w:cs="Times New Roman"/>
          <w:sz w:val="24"/>
          <w:szCs w:val="24"/>
        </w:rPr>
        <w:t>,</w:t>
      </w:r>
      <w:r w:rsidRPr="001E35A2">
        <w:rPr>
          <w:rFonts w:ascii="Times New Roman" w:hAnsi="Times New Roman" w:cs="Times New Roman"/>
          <w:sz w:val="24"/>
          <w:szCs w:val="24"/>
        </w:rPr>
        <w:t xml:space="preserve"> </w:t>
      </w:r>
      <w:r w:rsidR="005458EB" w:rsidRPr="001E35A2">
        <w:rPr>
          <w:rFonts w:ascii="Times New Roman" w:hAnsi="Times New Roman" w:cs="Times New Roman"/>
          <w:sz w:val="24"/>
          <w:szCs w:val="24"/>
        </w:rPr>
        <w:t xml:space="preserve">it </w:t>
      </w:r>
      <w:r w:rsidRPr="001E35A2">
        <w:rPr>
          <w:rFonts w:ascii="Times New Roman" w:hAnsi="Times New Roman" w:cs="Times New Roman"/>
          <w:sz w:val="24"/>
          <w:szCs w:val="24"/>
        </w:rPr>
        <w:t>employed 10,000 workers making automatic transmissions. Plant 2 closed in 2010 as part of GM’s bankruptcy proceedings. In 1970, the population of the surrounding township was 30,000; today it is 20,000. This scenario dramatizes the challenges smaller towns face in coping with the decline in manufacturing.</w:t>
      </w:r>
    </w:p>
    <w:p w14:paraId="610C6F4F" w14:textId="6438929B" w:rsidR="00ED3CC3" w:rsidRPr="006B427A" w:rsidRDefault="00ED3CC3" w:rsidP="00D8533C">
      <w:pPr>
        <w:spacing w:line="480" w:lineRule="auto"/>
        <w:rPr>
          <w:rFonts w:ascii="Times New Roman" w:hAnsi="Times New Roman" w:cs="Times New Roman"/>
          <w:b/>
          <w:i/>
          <w:sz w:val="24"/>
          <w:szCs w:val="24"/>
        </w:rPr>
      </w:pPr>
      <w:r w:rsidRPr="006B427A">
        <w:rPr>
          <w:rFonts w:ascii="Times New Roman" w:hAnsi="Times New Roman" w:cs="Times New Roman"/>
          <w:b/>
          <w:i/>
          <w:sz w:val="24"/>
          <w:szCs w:val="24"/>
        </w:rPr>
        <w:t>Limitations</w:t>
      </w:r>
    </w:p>
    <w:p w14:paraId="06EBD2CA" w14:textId="0AD25104" w:rsidR="00C05FA0" w:rsidRPr="001E35A2" w:rsidRDefault="00106236" w:rsidP="00D8533C">
      <w:pPr>
        <w:spacing w:line="480" w:lineRule="auto"/>
        <w:ind w:firstLine="720"/>
        <w:rPr>
          <w:rFonts w:ascii="Times New Roman" w:hAnsi="Times New Roman" w:cs="Times New Roman"/>
          <w:sz w:val="24"/>
          <w:szCs w:val="24"/>
        </w:rPr>
      </w:pPr>
      <w:r w:rsidRPr="001E35A2">
        <w:rPr>
          <w:rFonts w:ascii="Times New Roman" w:hAnsi="Times New Roman" w:cs="Times New Roman"/>
          <w:sz w:val="24"/>
          <w:szCs w:val="24"/>
        </w:rPr>
        <w:t xml:space="preserve">Interpretation of our results is constrained by lack of information on </w:t>
      </w:r>
      <w:r w:rsidR="000E2199" w:rsidRPr="001E35A2">
        <w:rPr>
          <w:rFonts w:ascii="Times New Roman" w:hAnsi="Times New Roman" w:cs="Times New Roman"/>
          <w:sz w:val="24"/>
          <w:szCs w:val="24"/>
        </w:rPr>
        <w:t xml:space="preserve">diagnosis or treatment for </w:t>
      </w:r>
      <w:r w:rsidRPr="001E35A2">
        <w:rPr>
          <w:rFonts w:ascii="Times New Roman" w:hAnsi="Times New Roman" w:cs="Times New Roman"/>
          <w:sz w:val="24"/>
          <w:szCs w:val="24"/>
        </w:rPr>
        <w:t>d</w:t>
      </w:r>
      <w:r w:rsidR="00941F40" w:rsidRPr="001E35A2">
        <w:rPr>
          <w:rFonts w:ascii="Times New Roman" w:hAnsi="Times New Roman" w:cs="Times New Roman"/>
          <w:sz w:val="24"/>
          <w:szCs w:val="24"/>
        </w:rPr>
        <w:t>epression</w:t>
      </w:r>
      <w:r w:rsidRPr="001E35A2">
        <w:rPr>
          <w:rFonts w:ascii="Times New Roman" w:hAnsi="Times New Roman" w:cs="Times New Roman"/>
          <w:sz w:val="24"/>
          <w:szCs w:val="24"/>
        </w:rPr>
        <w:t xml:space="preserve">. As illustrated in the </w:t>
      </w:r>
      <w:r w:rsidR="00BA7C71" w:rsidRPr="001E35A2">
        <w:rPr>
          <w:rFonts w:ascii="Times New Roman" w:hAnsi="Times New Roman" w:cs="Times New Roman"/>
          <w:sz w:val="24"/>
          <w:szCs w:val="24"/>
        </w:rPr>
        <w:t xml:space="preserve">causal diagram </w:t>
      </w:r>
      <w:r w:rsidRPr="001E35A2">
        <w:rPr>
          <w:rFonts w:ascii="Times New Roman" w:hAnsi="Times New Roman" w:cs="Times New Roman"/>
          <w:sz w:val="24"/>
          <w:szCs w:val="24"/>
        </w:rPr>
        <w:t>(</w:t>
      </w:r>
      <w:r w:rsidR="000C7F75" w:rsidRPr="001E35A2">
        <w:rPr>
          <w:rFonts w:ascii="Times New Roman" w:hAnsi="Times New Roman" w:cs="Times New Roman"/>
          <w:sz w:val="24"/>
          <w:szCs w:val="24"/>
        </w:rPr>
        <w:t xml:space="preserve">e </w:t>
      </w:r>
      <w:r w:rsidRPr="001E35A2">
        <w:rPr>
          <w:rFonts w:ascii="Times New Roman" w:hAnsi="Times New Roman" w:cs="Times New Roman"/>
          <w:sz w:val="24"/>
          <w:szCs w:val="24"/>
        </w:rPr>
        <w:t xml:space="preserve">Figure 1), it is plausible that </w:t>
      </w:r>
      <w:r w:rsidR="000903DC" w:rsidRPr="001E35A2">
        <w:rPr>
          <w:rFonts w:ascii="Times New Roman" w:hAnsi="Times New Roman" w:cs="Times New Roman"/>
          <w:sz w:val="24"/>
          <w:szCs w:val="24"/>
        </w:rPr>
        <w:t xml:space="preserve">depression </w:t>
      </w:r>
      <w:r w:rsidRPr="001E35A2">
        <w:rPr>
          <w:rFonts w:ascii="Times New Roman" w:hAnsi="Times New Roman" w:cs="Times New Roman"/>
          <w:sz w:val="24"/>
          <w:szCs w:val="24"/>
        </w:rPr>
        <w:t xml:space="preserve">contributes to the risk of both </w:t>
      </w:r>
      <w:r w:rsidR="00485D51" w:rsidRPr="001E35A2">
        <w:rPr>
          <w:rFonts w:ascii="Times New Roman" w:hAnsi="Times New Roman" w:cs="Times New Roman"/>
          <w:sz w:val="24"/>
          <w:szCs w:val="24"/>
        </w:rPr>
        <w:t xml:space="preserve">worker exit </w:t>
      </w:r>
      <w:r w:rsidRPr="001E35A2">
        <w:rPr>
          <w:rFonts w:ascii="Times New Roman" w:hAnsi="Times New Roman" w:cs="Times New Roman"/>
          <w:sz w:val="24"/>
          <w:szCs w:val="24"/>
        </w:rPr>
        <w:t>and suicide</w:t>
      </w:r>
      <w:r w:rsidR="00D27EE1" w:rsidRPr="001E35A2">
        <w:rPr>
          <w:rFonts w:ascii="Times New Roman" w:hAnsi="Times New Roman" w:cs="Times New Roman"/>
          <w:sz w:val="24"/>
          <w:szCs w:val="24"/>
        </w:rPr>
        <w:t>,</w:t>
      </w:r>
      <w:r w:rsidRPr="001E35A2">
        <w:rPr>
          <w:rFonts w:ascii="Times New Roman" w:hAnsi="Times New Roman" w:cs="Times New Roman"/>
          <w:sz w:val="24"/>
          <w:szCs w:val="24"/>
        </w:rPr>
        <w:t xml:space="preserve"> and is therefore a time-varying confounder. </w:t>
      </w:r>
      <w:r w:rsidR="000E2199" w:rsidRPr="001E35A2">
        <w:rPr>
          <w:rFonts w:ascii="Times New Roman" w:hAnsi="Times New Roman" w:cs="Times New Roman"/>
          <w:sz w:val="24"/>
          <w:szCs w:val="24"/>
        </w:rPr>
        <w:t xml:space="preserve">Without information on mental health status over time, we cannot adjust for confounding or parse out the direct effect of </w:t>
      </w:r>
      <w:r w:rsidR="00485D51" w:rsidRPr="001E35A2">
        <w:rPr>
          <w:rFonts w:ascii="Times New Roman" w:hAnsi="Times New Roman" w:cs="Times New Roman"/>
          <w:sz w:val="24"/>
          <w:szCs w:val="24"/>
        </w:rPr>
        <w:t xml:space="preserve">worker exit </w:t>
      </w:r>
      <w:r w:rsidR="000E2199" w:rsidRPr="001E35A2">
        <w:rPr>
          <w:rFonts w:ascii="Times New Roman" w:hAnsi="Times New Roman" w:cs="Times New Roman"/>
          <w:sz w:val="24"/>
          <w:szCs w:val="24"/>
        </w:rPr>
        <w:t>from a pathway through ongoing depression.</w:t>
      </w:r>
    </w:p>
    <w:p w14:paraId="5D69478C" w14:textId="1FFEBE2C" w:rsidR="00D902B7" w:rsidRPr="001E35A2" w:rsidRDefault="00D902B7" w:rsidP="00D8533C">
      <w:pPr>
        <w:spacing w:line="480" w:lineRule="auto"/>
        <w:ind w:firstLine="720"/>
        <w:rPr>
          <w:rFonts w:ascii="Times New Roman" w:hAnsi="Times New Roman" w:cs="Times New Roman"/>
          <w:sz w:val="24"/>
          <w:szCs w:val="24"/>
        </w:rPr>
      </w:pPr>
      <w:r w:rsidRPr="001E35A2">
        <w:rPr>
          <w:rFonts w:ascii="Times New Roman" w:hAnsi="Times New Roman" w:cs="Times New Roman"/>
          <w:sz w:val="24"/>
          <w:szCs w:val="24"/>
        </w:rPr>
        <w:t xml:space="preserve">Suicide rates in the U.S. are higher for men than for women and have increased substantially in middle age for both sexes since 1999. Suicide risk among 45 to 64 year old men </w:t>
      </w:r>
      <w:r w:rsidRPr="001E35A2">
        <w:rPr>
          <w:rFonts w:ascii="Times New Roman" w:hAnsi="Times New Roman" w:cs="Times New Roman"/>
          <w:sz w:val="24"/>
          <w:szCs w:val="24"/>
        </w:rPr>
        <w:lastRenderedPageBreak/>
        <w:t>was higher than for those aged 25 to 44, with rates of 29.7 and 24.3 per 100,000, respectively, in 2014.</w:t>
      </w:r>
      <w:r w:rsidRPr="001E35A2">
        <w:rPr>
          <w:rFonts w:ascii="Times New Roman" w:hAnsi="Times New Roman" w:cs="Times New Roman"/>
          <w:sz w:val="24"/>
          <w:szCs w:val="24"/>
        </w:rPr>
        <w:fldChar w:fldCharType="begin" w:fldLock="1"/>
      </w:r>
      <w:r w:rsidRPr="001E35A2">
        <w:rPr>
          <w:rFonts w:ascii="Times New Roman" w:hAnsi="Times New Roman" w:cs="Times New Roman"/>
          <w:sz w:val="24"/>
          <w:szCs w:val="24"/>
        </w:rPr>
        <w:instrText>ADDIN CSL_CITATION {"citationItems":[{"id":"ITEM-1","itemData":{"author":[{"dropping-particle":"","family":"Curtin","given":"SC","non-dropping-particle":"","parse-names":false,"suffix":""},{"dropping-particle":"","family":"Warner","given":"M","non-dropping-particle":"","parse-names":false,"suffix":""},{"dropping-particle":"","family":"Hedegaard","given":"H","non-dropping-particle":"","parse-names":false,"suffix":""}],"id":"ITEM-1","issued":{"date-parts":[["2016"]]},"title":"Increase in suicide in the United States, 1999-2014. NCHS data brief","type":"report"},"uris":["http://www.mendeley.com/documents/?uuid=1d852f93-00b7-4364-b505-73d5fe0471c4"]}],"mendeley":{"formattedCitation":"&lt;sup&gt;7&lt;/sup&gt;","plainTextFormattedCitation":"7","previouslyFormattedCitation":"&lt;sup&gt;7&lt;/sup&gt;"},"properties":{"noteIndex":0},"schema":"https://github.com/citation-style-language/schema/raw/master/csl-citation.json"}</w:instrText>
      </w:r>
      <w:r w:rsidRPr="001E35A2">
        <w:rPr>
          <w:rFonts w:ascii="Times New Roman" w:hAnsi="Times New Roman" w:cs="Times New Roman"/>
          <w:sz w:val="24"/>
          <w:szCs w:val="24"/>
        </w:rPr>
        <w:fldChar w:fldCharType="separate"/>
      </w:r>
      <w:r w:rsidRPr="001E35A2">
        <w:rPr>
          <w:rFonts w:ascii="Times New Roman" w:hAnsi="Times New Roman" w:cs="Times New Roman"/>
          <w:noProof/>
          <w:sz w:val="24"/>
          <w:szCs w:val="24"/>
          <w:vertAlign w:val="superscript"/>
        </w:rPr>
        <w:t>7</w:t>
      </w:r>
      <w:r w:rsidRPr="001E35A2">
        <w:rPr>
          <w:rFonts w:ascii="Times New Roman" w:hAnsi="Times New Roman" w:cs="Times New Roman"/>
          <w:sz w:val="24"/>
          <w:szCs w:val="24"/>
        </w:rPr>
        <w:fldChar w:fldCharType="end"/>
      </w:r>
      <w:r w:rsidRPr="001E35A2">
        <w:rPr>
          <w:rFonts w:ascii="Times New Roman" w:hAnsi="Times New Roman" w:cs="Times New Roman"/>
          <w:sz w:val="24"/>
          <w:szCs w:val="24"/>
        </w:rPr>
        <w:t xml:space="preserve"> To the extent that suicide risk increases for older age groups, there will be less potential for confounding by age when follow-up is restricted to five years after exit. The bias, however, would be toward the null, since retirees are the reference in this study.</w:t>
      </w:r>
    </w:p>
    <w:p w14:paraId="431C0B33" w14:textId="54C9EFE8" w:rsidR="00D902B7" w:rsidRPr="001E35A2" w:rsidRDefault="00C72A7A" w:rsidP="00D8533C">
      <w:pPr>
        <w:spacing w:line="480" w:lineRule="auto"/>
        <w:ind w:firstLine="720"/>
        <w:rPr>
          <w:rFonts w:ascii="Times New Roman" w:hAnsi="Times New Roman" w:cs="Times New Roman"/>
          <w:sz w:val="24"/>
          <w:szCs w:val="24"/>
        </w:rPr>
      </w:pPr>
      <w:r w:rsidRPr="001E35A2">
        <w:rPr>
          <w:rFonts w:ascii="Times New Roman" w:hAnsi="Times New Roman" w:cs="Times New Roman"/>
          <w:sz w:val="24"/>
          <w:szCs w:val="24"/>
        </w:rPr>
        <w:t xml:space="preserve">Although suicide rates are slightly higher for older ages, </w:t>
      </w:r>
      <w:r w:rsidR="00D902B7" w:rsidRPr="001E35A2">
        <w:rPr>
          <w:rFonts w:ascii="Times New Roman" w:hAnsi="Times New Roman" w:cs="Times New Roman"/>
          <w:sz w:val="24"/>
          <w:szCs w:val="24"/>
        </w:rPr>
        <w:t>competing risks from other causes of death</w:t>
      </w:r>
      <w:r w:rsidRPr="001E35A2">
        <w:rPr>
          <w:rFonts w:ascii="Times New Roman" w:hAnsi="Times New Roman" w:cs="Times New Roman"/>
          <w:sz w:val="24"/>
          <w:szCs w:val="24"/>
        </w:rPr>
        <w:t>,</w:t>
      </w:r>
      <w:r w:rsidR="00D902B7" w:rsidRPr="001E35A2">
        <w:rPr>
          <w:rFonts w:ascii="Times New Roman" w:hAnsi="Times New Roman" w:cs="Times New Roman"/>
          <w:sz w:val="24"/>
          <w:szCs w:val="24"/>
        </w:rPr>
        <w:t xml:space="preserve"> e.g., cardiovascular disease and cancer</w:t>
      </w:r>
      <w:r w:rsidRPr="001E35A2">
        <w:rPr>
          <w:rFonts w:ascii="Times New Roman" w:hAnsi="Times New Roman" w:cs="Times New Roman"/>
          <w:sz w:val="24"/>
          <w:szCs w:val="24"/>
        </w:rPr>
        <w:t>,</w:t>
      </w:r>
      <w:r w:rsidR="00D902B7" w:rsidRPr="001E35A2">
        <w:rPr>
          <w:rFonts w:ascii="Times New Roman" w:hAnsi="Times New Roman" w:cs="Times New Roman"/>
          <w:sz w:val="24"/>
          <w:szCs w:val="24"/>
        </w:rPr>
        <w:t xml:space="preserve"> are </w:t>
      </w:r>
      <w:r w:rsidRPr="001E35A2">
        <w:rPr>
          <w:rFonts w:ascii="Times New Roman" w:hAnsi="Times New Roman" w:cs="Times New Roman"/>
          <w:sz w:val="24"/>
          <w:szCs w:val="24"/>
        </w:rPr>
        <w:t xml:space="preserve">far </w:t>
      </w:r>
      <w:r w:rsidR="00D902B7" w:rsidRPr="001E35A2">
        <w:rPr>
          <w:rFonts w:ascii="Times New Roman" w:hAnsi="Times New Roman" w:cs="Times New Roman"/>
          <w:sz w:val="24"/>
          <w:szCs w:val="24"/>
        </w:rPr>
        <w:t xml:space="preserve">more likely for workers who are oldest at </w:t>
      </w:r>
      <w:r w:rsidR="00D03697" w:rsidRPr="001E35A2">
        <w:rPr>
          <w:rFonts w:ascii="Times New Roman" w:hAnsi="Times New Roman" w:cs="Times New Roman"/>
          <w:sz w:val="24"/>
          <w:szCs w:val="24"/>
        </w:rPr>
        <w:t xml:space="preserve">the </w:t>
      </w:r>
      <w:r w:rsidR="00D902B7" w:rsidRPr="001E35A2">
        <w:rPr>
          <w:rFonts w:ascii="Times New Roman" w:hAnsi="Times New Roman" w:cs="Times New Roman"/>
          <w:sz w:val="24"/>
          <w:szCs w:val="24"/>
        </w:rPr>
        <w:t xml:space="preserve">time of leaving work. The </w:t>
      </w:r>
      <w:r w:rsidR="00187EC6" w:rsidRPr="001E35A2">
        <w:rPr>
          <w:rFonts w:ascii="Times New Roman" w:hAnsi="Times New Roman" w:cs="Times New Roman"/>
          <w:sz w:val="24"/>
          <w:szCs w:val="24"/>
        </w:rPr>
        <w:t>direction of this bias depends on the relative risk of suicide among the observed and unobserved older workers; arguments could be made to support either direction.</w:t>
      </w:r>
      <w:r w:rsidR="00D902B7" w:rsidRPr="001E35A2">
        <w:rPr>
          <w:rFonts w:ascii="Times New Roman" w:hAnsi="Times New Roman" w:cs="Times New Roman"/>
          <w:sz w:val="24"/>
          <w:szCs w:val="24"/>
        </w:rPr>
        <w:t xml:space="preserve"> </w:t>
      </w:r>
    </w:p>
    <w:p w14:paraId="5B3172C0" w14:textId="72037A27" w:rsidR="004410E3" w:rsidRPr="001E35A2" w:rsidRDefault="004410E3" w:rsidP="00D8533C">
      <w:pPr>
        <w:spacing w:line="480" w:lineRule="auto"/>
        <w:ind w:firstLine="720"/>
        <w:rPr>
          <w:rFonts w:ascii="Times New Roman" w:hAnsi="Times New Roman" w:cs="Times New Roman"/>
          <w:sz w:val="24"/>
          <w:szCs w:val="24"/>
        </w:rPr>
      </w:pPr>
      <w:r w:rsidRPr="001E35A2">
        <w:rPr>
          <w:rFonts w:ascii="Times New Roman" w:hAnsi="Times New Roman" w:cs="Times New Roman"/>
          <w:sz w:val="24"/>
          <w:szCs w:val="24"/>
        </w:rPr>
        <w:t xml:space="preserve">Our findings are most </w:t>
      </w:r>
      <w:r w:rsidR="00D902B7" w:rsidRPr="001E35A2">
        <w:rPr>
          <w:rFonts w:ascii="Times New Roman" w:hAnsi="Times New Roman" w:cs="Times New Roman"/>
          <w:sz w:val="24"/>
          <w:szCs w:val="24"/>
        </w:rPr>
        <w:t xml:space="preserve">precise </w:t>
      </w:r>
      <w:r w:rsidRPr="001E35A2">
        <w:rPr>
          <w:rFonts w:ascii="Times New Roman" w:hAnsi="Times New Roman" w:cs="Times New Roman"/>
          <w:sz w:val="24"/>
          <w:szCs w:val="24"/>
        </w:rPr>
        <w:t xml:space="preserve">for suicide. Mortality follow-up ends in 2015, and we observed a rise in the number of overdose fatalities in the last 5-10 years of follow-up. </w:t>
      </w:r>
      <w:r w:rsidR="000B4E98" w:rsidRPr="001E35A2">
        <w:rPr>
          <w:rFonts w:ascii="Times New Roman" w:hAnsi="Times New Roman" w:cs="Times New Roman"/>
          <w:sz w:val="24"/>
          <w:szCs w:val="24"/>
        </w:rPr>
        <w:t xml:space="preserve">Together the trends suggest that since the 1990s, suicide rates have fallen as the rate of drug overdose has increased, consistent with the steeply rising rate of opioid mortality in the U.S. since 1999. </w:t>
      </w:r>
      <w:r w:rsidRPr="001E35A2">
        <w:rPr>
          <w:rFonts w:ascii="Times New Roman" w:hAnsi="Times New Roman" w:cs="Times New Roman"/>
          <w:sz w:val="24"/>
          <w:szCs w:val="24"/>
        </w:rPr>
        <w:t xml:space="preserve">In total, however, there were too few overdose cases to examine separately. </w:t>
      </w:r>
    </w:p>
    <w:p w14:paraId="61FACBAF" w14:textId="77777777" w:rsidR="004E664F" w:rsidRPr="006B427A" w:rsidRDefault="00ED3CC3" w:rsidP="00D8533C">
      <w:pPr>
        <w:spacing w:line="480" w:lineRule="auto"/>
        <w:rPr>
          <w:rFonts w:ascii="Times New Roman" w:hAnsi="Times New Roman" w:cs="Times New Roman"/>
          <w:b/>
          <w:i/>
          <w:sz w:val="24"/>
          <w:szCs w:val="24"/>
        </w:rPr>
      </w:pPr>
      <w:r w:rsidRPr="006B427A">
        <w:rPr>
          <w:rFonts w:ascii="Times New Roman" w:hAnsi="Times New Roman" w:cs="Times New Roman"/>
          <w:b/>
          <w:i/>
          <w:sz w:val="24"/>
          <w:szCs w:val="24"/>
        </w:rPr>
        <w:t>Conclusion</w:t>
      </w:r>
      <w:r w:rsidR="00311E8A" w:rsidRPr="006B427A">
        <w:rPr>
          <w:rFonts w:ascii="Times New Roman" w:hAnsi="Times New Roman" w:cs="Times New Roman"/>
          <w:b/>
          <w:i/>
          <w:sz w:val="24"/>
          <w:szCs w:val="24"/>
        </w:rPr>
        <w:t>s</w:t>
      </w:r>
    </w:p>
    <w:p w14:paraId="6FE65647" w14:textId="77777777" w:rsidR="00382C11" w:rsidRDefault="00ED3CC3" w:rsidP="00D8533C">
      <w:pPr>
        <w:spacing w:line="480" w:lineRule="auto"/>
        <w:ind w:firstLine="720"/>
        <w:rPr>
          <w:rFonts w:ascii="Times New Roman" w:hAnsi="Times New Roman" w:cs="Times New Roman"/>
          <w:sz w:val="24"/>
          <w:szCs w:val="24"/>
        </w:rPr>
      </w:pPr>
      <w:r w:rsidRPr="001E35A2">
        <w:rPr>
          <w:rFonts w:ascii="Times New Roman" w:hAnsi="Times New Roman" w:cs="Times New Roman"/>
          <w:sz w:val="24"/>
          <w:szCs w:val="24"/>
        </w:rPr>
        <w:t xml:space="preserve">Michigan autoworkers who left work </w:t>
      </w:r>
      <w:r w:rsidR="00BA7C71" w:rsidRPr="001E35A2">
        <w:rPr>
          <w:rFonts w:ascii="Times New Roman" w:hAnsi="Times New Roman" w:cs="Times New Roman"/>
          <w:sz w:val="24"/>
          <w:szCs w:val="24"/>
        </w:rPr>
        <w:t xml:space="preserve">after </w:t>
      </w:r>
      <w:r w:rsidRPr="001E35A2">
        <w:rPr>
          <w:rFonts w:ascii="Times New Roman" w:hAnsi="Times New Roman" w:cs="Times New Roman"/>
          <w:sz w:val="24"/>
          <w:szCs w:val="24"/>
        </w:rPr>
        <w:t>1970 had a higher risk of death</w:t>
      </w:r>
      <w:r w:rsidR="004E664F" w:rsidRPr="001E35A2">
        <w:rPr>
          <w:rFonts w:ascii="Times New Roman" w:hAnsi="Times New Roman" w:cs="Times New Roman"/>
          <w:sz w:val="24"/>
          <w:szCs w:val="24"/>
        </w:rPr>
        <w:t xml:space="preserve"> </w:t>
      </w:r>
      <w:r w:rsidRPr="001E35A2">
        <w:rPr>
          <w:rFonts w:ascii="Times New Roman" w:hAnsi="Times New Roman" w:cs="Times New Roman"/>
          <w:sz w:val="24"/>
          <w:szCs w:val="24"/>
        </w:rPr>
        <w:t xml:space="preserve">from suicide or overdose than </w:t>
      </w:r>
      <w:r w:rsidR="00D27EE1" w:rsidRPr="001E35A2">
        <w:rPr>
          <w:rFonts w:ascii="Times New Roman" w:hAnsi="Times New Roman" w:cs="Times New Roman"/>
          <w:sz w:val="24"/>
          <w:szCs w:val="24"/>
        </w:rPr>
        <w:t xml:space="preserve">those who remained </w:t>
      </w:r>
      <w:r w:rsidRPr="001E35A2">
        <w:rPr>
          <w:rFonts w:ascii="Times New Roman" w:hAnsi="Times New Roman" w:cs="Times New Roman"/>
          <w:sz w:val="24"/>
          <w:szCs w:val="24"/>
        </w:rPr>
        <w:t>active</w:t>
      </w:r>
      <w:r w:rsidR="00D27EE1" w:rsidRPr="001E35A2">
        <w:rPr>
          <w:rFonts w:ascii="Times New Roman" w:hAnsi="Times New Roman" w:cs="Times New Roman"/>
          <w:sz w:val="24"/>
          <w:szCs w:val="24"/>
        </w:rPr>
        <w:t>ly</w:t>
      </w:r>
      <w:r w:rsidRPr="001E35A2">
        <w:rPr>
          <w:rFonts w:ascii="Times New Roman" w:hAnsi="Times New Roman" w:cs="Times New Roman"/>
          <w:sz w:val="24"/>
          <w:szCs w:val="24"/>
        </w:rPr>
        <w:t xml:space="preserve"> employe</w:t>
      </w:r>
      <w:r w:rsidR="00D27EE1" w:rsidRPr="001E35A2">
        <w:rPr>
          <w:rFonts w:ascii="Times New Roman" w:hAnsi="Times New Roman" w:cs="Times New Roman"/>
          <w:sz w:val="24"/>
          <w:szCs w:val="24"/>
        </w:rPr>
        <w:t>d</w:t>
      </w:r>
      <w:r w:rsidRPr="001E35A2">
        <w:rPr>
          <w:rFonts w:ascii="Times New Roman" w:hAnsi="Times New Roman" w:cs="Times New Roman"/>
          <w:sz w:val="24"/>
          <w:szCs w:val="24"/>
        </w:rPr>
        <w:t xml:space="preserve">. </w:t>
      </w:r>
      <w:r w:rsidR="00BA7C71" w:rsidRPr="001E35A2">
        <w:rPr>
          <w:rFonts w:ascii="Times New Roman" w:hAnsi="Times New Roman" w:cs="Times New Roman"/>
          <w:sz w:val="24"/>
          <w:szCs w:val="24"/>
        </w:rPr>
        <w:t>Most events occurred within five years of leaving work among those who left before retirement age, suggesting that leaving work early may increase the risk</w:t>
      </w:r>
      <w:r w:rsidR="00A740B5" w:rsidRPr="001E35A2">
        <w:rPr>
          <w:rFonts w:ascii="Times New Roman" w:hAnsi="Times New Roman" w:cs="Times New Roman"/>
          <w:sz w:val="24"/>
          <w:szCs w:val="24"/>
        </w:rPr>
        <w:t>.</w:t>
      </w:r>
    </w:p>
    <w:p w14:paraId="3D964BD1" w14:textId="6E29AEB6" w:rsidR="00DB7954" w:rsidRPr="00DB7954" w:rsidRDefault="00CD7CC6" w:rsidP="00D8533C">
      <w:pPr>
        <w:spacing w:line="480" w:lineRule="auto"/>
        <w:rPr>
          <w:rFonts w:ascii="Times New Roman" w:hAnsi="Times New Roman" w:cs="Times New Roman"/>
          <w:b/>
          <w:sz w:val="24"/>
          <w:szCs w:val="24"/>
        </w:rPr>
      </w:pPr>
      <w:r w:rsidRPr="001E35A2">
        <w:rPr>
          <w:rFonts w:ascii="Times New Roman" w:hAnsi="Times New Roman" w:cs="Times New Roman"/>
          <w:sz w:val="24"/>
          <w:szCs w:val="24"/>
        </w:rPr>
        <w:br w:type="page"/>
      </w:r>
      <w:r w:rsidR="00DB7954">
        <w:rPr>
          <w:rFonts w:ascii="Times New Roman" w:hAnsi="Times New Roman" w:cs="Times New Roman"/>
          <w:b/>
          <w:sz w:val="24"/>
          <w:szCs w:val="24"/>
        </w:rPr>
        <w:lastRenderedPageBreak/>
        <w:t>References</w:t>
      </w:r>
    </w:p>
    <w:p w14:paraId="09B1116B" w14:textId="5C3939B8" w:rsidR="005458EB" w:rsidRPr="001E35A2" w:rsidRDefault="00CC087C" w:rsidP="00702863">
      <w:pPr>
        <w:spacing w:line="240" w:lineRule="auto"/>
        <w:rPr>
          <w:rFonts w:ascii="Times New Roman" w:hAnsi="Times New Roman" w:cs="Times New Roman"/>
          <w:noProof/>
          <w:sz w:val="24"/>
          <w:szCs w:val="24"/>
        </w:rPr>
      </w:pPr>
      <w:r w:rsidRPr="001E35A2">
        <w:rPr>
          <w:rFonts w:ascii="Times New Roman" w:hAnsi="Times New Roman" w:cs="Times New Roman"/>
          <w:sz w:val="24"/>
          <w:szCs w:val="24"/>
        </w:rPr>
        <w:fldChar w:fldCharType="begin" w:fldLock="1"/>
      </w:r>
      <w:r w:rsidRPr="001E35A2">
        <w:rPr>
          <w:rFonts w:ascii="Times New Roman" w:hAnsi="Times New Roman" w:cs="Times New Roman"/>
          <w:sz w:val="24"/>
          <w:szCs w:val="24"/>
        </w:rPr>
        <w:instrText xml:space="preserve">ADDIN Mendeley Bibliography CSL_BIBLIOGRAPHY </w:instrText>
      </w:r>
      <w:r w:rsidRPr="001E35A2">
        <w:rPr>
          <w:rFonts w:ascii="Times New Roman" w:hAnsi="Times New Roman" w:cs="Times New Roman"/>
          <w:sz w:val="24"/>
          <w:szCs w:val="24"/>
        </w:rPr>
        <w:fldChar w:fldCharType="separate"/>
      </w:r>
      <w:r w:rsidR="005458EB" w:rsidRPr="001E35A2">
        <w:rPr>
          <w:rFonts w:ascii="Times New Roman" w:hAnsi="Times New Roman" w:cs="Times New Roman"/>
          <w:noProof/>
          <w:sz w:val="24"/>
          <w:szCs w:val="24"/>
        </w:rPr>
        <w:t>1.</w:t>
      </w:r>
      <w:r w:rsidR="005458EB" w:rsidRPr="001E35A2">
        <w:rPr>
          <w:rFonts w:ascii="Times New Roman" w:hAnsi="Times New Roman" w:cs="Times New Roman"/>
          <w:noProof/>
          <w:sz w:val="24"/>
          <w:szCs w:val="24"/>
        </w:rPr>
        <w:tab/>
        <w:t xml:space="preserve">Hedegaard, H., Warner, M. &amp; Miniño, A. M. Drug Overdose Deaths in the United States, 1999-2016. </w:t>
      </w:r>
      <w:r w:rsidR="005458EB" w:rsidRPr="001E35A2">
        <w:rPr>
          <w:rFonts w:ascii="Times New Roman" w:hAnsi="Times New Roman" w:cs="Times New Roman"/>
          <w:i/>
          <w:iCs/>
          <w:noProof/>
          <w:sz w:val="24"/>
          <w:szCs w:val="24"/>
        </w:rPr>
        <w:t>NCHS data brief, no 294</w:t>
      </w:r>
      <w:r w:rsidR="005458EB" w:rsidRPr="001E35A2">
        <w:rPr>
          <w:rFonts w:ascii="Times New Roman" w:hAnsi="Times New Roman" w:cs="Times New Roman"/>
          <w:noProof/>
          <w:sz w:val="24"/>
          <w:szCs w:val="24"/>
        </w:rPr>
        <w:t xml:space="preserve"> (2017).</w:t>
      </w:r>
    </w:p>
    <w:p w14:paraId="68F5DB1C" w14:textId="77777777" w:rsidR="005458EB" w:rsidRPr="001E35A2" w:rsidRDefault="005458EB" w:rsidP="00702863">
      <w:pPr>
        <w:widowControl w:val="0"/>
        <w:autoSpaceDE w:val="0"/>
        <w:autoSpaceDN w:val="0"/>
        <w:adjustRightInd w:val="0"/>
        <w:spacing w:line="240" w:lineRule="auto"/>
        <w:ind w:left="640" w:hanging="640"/>
        <w:rPr>
          <w:rFonts w:ascii="Times New Roman" w:hAnsi="Times New Roman" w:cs="Times New Roman"/>
          <w:noProof/>
          <w:sz w:val="24"/>
          <w:szCs w:val="24"/>
        </w:rPr>
      </w:pPr>
      <w:r w:rsidRPr="001E35A2">
        <w:rPr>
          <w:rFonts w:ascii="Times New Roman" w:hAnsi="Times New Roman" w:cs="Times New Roman"/>
          <w:noProof/>
          <w:sz w:val="24"/>
          <w:szCs w:val="24"/>
        </w:rPr>
        <w:t>2.</w:t>
      </w:r>
      <w:r w:rsidRPr="001E35A2">
        <w:rPr>
          <w:rFonts w:ascii="Times New Roman" w:hAnsi="Times New Roman" w:cs="Times New Roman"/>
          <w:noProof/>
          <w:sz w:val="24"/>
          <w:szCs w:val="24"/>
        </w:rPr>
        <w:tab/>
        <w:t xml:space="preserve">CDC. Underlying Cause of Death 1999-2017. (2014). Available at: https://wonder.cdc.gov/wonder/help/ucd.html. </w:t>
      </w:r>
    </w:p>
    <w:p w14:paraId="3AE3A594" w14:textId="77777777" w:rsidR="005458EB" w:rsidRPr="001E35A2" w:rsidRDefault="005458EB" w:rsidP="00702863">
      <w:pPr>
        <w:widowControl w:val="0"/>
        <w:autoSpaceDE w:val="0"/>
        <w:autoSpaceDN w:val="0"/>
        <w:adjustRightInd w:val="0"/>
        <w:spacing w:line="240" w:lineRule="auto"/>
        <w:ind w:left="640" w:hanging="640"/>
        <w:rPr>
          <w:rFonts w:ascii="Times New Roman" w:hAnsi="Times New Roman" w:cs="Times New Roman"/>
          <w:noProof/>
          <w:sz w:val="24"/>
          <w:szCs w:val="24"/>
        </w:rPr>
      </w:pPr>
      <w:r w:rsidRPr="001E35A2">
        <w:rPr>
          <w:rFonts w:ascii="Times New Roman" w:hAnsi="Times New Roman" w:cs="Times New Roman"/>
          <w:noProof/>
          <w:sz w:val="24"/>
          <w:szCs w:val="24"/>
        </w:rPr>
        <w:t>3.</w:t>
      </w:r>
      <w:r w:rsidRPr="001E35A2">
        <w:rPr>
          <w:rFonts w:ascii="Times New Roman" w:hAnsi="Times New Roman" w:cs="Times New Roman"/>
          <w:noProof/>
          <w:sz w:val="24"/>
          <w:szCs w:val="24"/>
        </w:rPr>
        <w:tab/>
        <w:t xml:space="preserve">Case, A. &amp; Deaton, A. Rising morbidity and mortality in midlife among white non-Hispanic Americans in the 21st century. </w:t>
      </w:r>
      <w:r w:rsidRPr="001E35A2">
        <w:rPr>
          <w:rFonts w:ascii="Times New Roman" w:hAnsi="Times New Roman" w:cs="Times New Roman"/>
          <w:i/>
          <w:iCs/>
          <w:noProof/>
          <w:sz w:val="24"/>
          <w:szCs w:val="24"/>
        </w:rPr>
        <w:t>Proc. Natl. Acad. Sci.</w:t>
      </w:r>
      <w:r w:rsidRPr="001E35A2">
        <w:rPr>
          <w:rFonts w:ascii="Times New Roman" w:hAnsi="Times New Roman" w:cs="Times New Roman"/>
          <w:noProof/>
          <w:sz w:val="24"/>
          <w:szCs w:val="24"/>
        </w:rPr>
        <w:t xml:space="preserve"> </w:t>
      </w:r>
      <w:r w:rsidRPr="001E35A2">
        <w:rPr>
          <w:rFonts w:ascii="Times New Roman" w:hAnsi="Times New Roman" w:cs="Times New Roman"/>
          <w:b/>
          <w:bCs/>
          <w:noProof/>
          <w:sz w:val="24"/>
          <w:szCs w:val="24"/>
        </w:rPr>
        <w:t>112</w:t>
      </w:r>
      <w:r w:rsidRPr="001E35A2">
        <w:rPr>
          <w:rFonts w:ascii="Times New Roman" w:hAnsi="Times New Roman" w:cs="Times New Roman"/>
          <w:noProof/>
          <w:sz w:val="24"/>
          <w:szCs w:val="24"/>
        </w:rPr>
        <w:t>, 15078–15083 (2015).</w:t>
      </w:r>
    </w:p>
    <w:p w14:paraId="4A53E187" w14:textId="77777777" w:rsidR="005458EB" w:rsidRPr="001E35A2" w:rsidRDefault="005458EB" w:rsidP="00702863">
      <w:pPr>
        <w:widowControl w:val="0"/>
        <w:autoSpaceDE w:val="0"/>
        <w:autoSpaceDN w:val="0"/>
        <w:adjustRightInd w:val="0"/>
        <w:spacing w:line="240" w:lineRule="auto"/>
        <w:ind w:left="640" w:hanging="640"/>
        <w:rPr>
          <w:rFonts w:ascii="Times New Roman" w:hAnsi="Times New Roman" w:cs="Times New Roman"/>
          <w:noProof/>
          <w:sz w:val="24"/>
          <w:szCs w:val="24"/>
        </w:rPr>
      </w:pPr>
      <w:r w:rsidRPr="001E35A2">
        <w:rPr>
          <w:rFonts w:ascii="Times New Roman" w:hAnsi="Times New Roman" w:cs="Times New Roman"/>
          <w:noProof/>
          <w:sz w:val="24"/>
          <w:szCs w:val="24"/>
        </w:rPr>
        <w:t>4.</w:t>
      </w:r>
      <w:r w:rsidRPr="001E35A2">
        <w:rPr>
          <w:rFonts w:ascii="Times New Roman" w:hAnsi="Times New Roman" w:cs="Times New Roman"/>
          <w:noProof/>
          <w:sz w:val="24"/>
          <w:szCs w:val="24"/>
        </w:rPr>
        <w:tab/>
        <w:t xml:space="preserve">Case, A. &amp; Deaton, A. Mortality and morbidity in the 21(st) century. </w:t>
      </w:r>
      <w:r w:rsidRPr="001E35A2">
        <w:rPr>
          <w:rFonts w:ascii="Times New Roman" w:hAnsi="Times New Roman" w:cs="Times New Roman"/>
          <w:i/>
          <w:iCs/>
          <w:noProof/>
          <w:sz w:val="24"/>
          <w:szCs w:val="24"/>
        </w:rPr>
        <w:t>Brookings Pap. Econ. Act.</w:t>
      </w:r>
      <w:r w:rsidRPr="001E35A2">
        <w:rPr>
          <w:rFonts w:ascii="Times New Roman" w:hAnsi="Times New Roman" w:cs="Times New Roman"/>
          <w:noProof/>
          <w:sz w:val="24"/>
          <w:szCs w:val="24"/>
        </w:rPr>
        <w:t xml:space="preserve"> </w:t>
      </w:r>
      <w:r w:rsidRPr="001E35A2">
        <w:rPr>
          <w:rFonts w:ascii="Times New Roman" w:hAnsi="Times New Roman" w:cs="Times New Roman"/>
          <w:b/>
          <w:bCs/>
          <w:noProof/>
          <w:sz w:val="24"/>
          <w:szCs w:val="24"/>
        </w:rPr>
        <w:t>2017</w:t>
      </w:r>
      <w:r w:rsidRPr="001E35A2">
        <w:rPr>
          <w:rFonts w:ascii="Times New Roman" w:hAnsi="Times New Roman" w:cs="Times New Roman"/>
          <w:noProof/>
          <w:sz w:val="24"/>
          <w:szCs w:val="24"/>
        </w:rPr>
        <w:t>, 397–476 (2017).</w:t>
      </w:r>
    </w:p>
    <w:p w14:paraId="0EFFCBD1" w14:textId="77777777" w:rsidR="005458EB" w:rsidRPr="001E35A2" w:rsidRDefault="005458EB" w:rsidP="00702863">
      <w:pPr>
        <w:widowControl w:val="0"/>
        <w:autoSpaceDE w:val="0"/>
        <w:autoSpaceDN w:val="0"/>
        <w:adjustRightInd w:val="0"/>
        <w:spacing w:line="240" w:lineRule="auto"/>
        <w:ind w:left="640" w:hanging="640"/>
        <w:rPr>
          <w:rFonts w:ascii="Times New Roman" w:hAnsi="Times New Roman" w:cs="Times New Roman"/>
          <w:noProof/>
          <w:sz w:val="24"/>
          <w:szCs w:val="24"/>
        </w:rPr>
      </w:pPr>
      <w:r w:rsidRPr="001E35A2">
        <w:rPr>
          <w:rFonts w:ascii="Times New Roman" w:hAnsi="Times New Roman" w:cs="Times New Roman"/>
          <w:noProof/>
          <w:sz w:val="24"/>
          <w:szCs w:val="24"/>
        </w:rPr>
        <w:t>5.</w:t>
      </w:r>
      <w:r w:rsidRPr="001E35A2">
        <w:rPr>
          <w:rFonts w:ascii="Times New Roman" w:hAnsi="Times New Roman" w:cs="Times New Roman"/>
          <w:noProof/>
          <w:sz w:val="24"/>
          <w:szCs w:val="24"/>
        </w:rPr>
        <w:tab/>
        <w:t xml:space="preserve">Galea, S. </w:t>
      </w:r>
      <w:r w:rsidRPr="001E35A2">
        <w:rPr>
          <w:rFonts w:ascii="Times New Roman" w:hAnsi="Times New Roman" w:cs="Times New Roman"/>
          <w:i/>
          <w:iCs/>
          <w:noProof/>
          <w:sz w:val="24"/>
          <w:szCs w:val="24"/>
        </w:rPr>
        <w:t>et al.</w:t>
      </w:r>
      <w:r w:rsidRPr="001E35A2">
        <w:rPr>
          <w:rFonts w:ascii="Times New Roman" w:hAnsi="Times New Roman" w:cs="Times New Roman"/>
          <w:noProof/>
          <w:sz w:val="24"/>
          <w:szCs w:val="24"/>
        </w:rPr>
        <w:t xml:space="preserve"> Racial/Ethnic Disparities in Overdose Mortality Trends in New York City, 1990-1998. </w:t>
      </w:r>
      <w:r w:rsidRPr="001E35A2">
        <w:rPr>
          <w:rFonts w:ascii="Times New Roman" w:hAnsi="Times New Roman" w:cs="Times New Roman"/>
          <w:i/>
          <w:iCs/>
          <w:noProof/>
          <w:sz w:val="24"/>
          <w:szCs w:val="24"/>
        </w:rPr>
        <w:t>J. Urban Heal.</w:t>
      </w:r>
      <w:r w:rsidRPr="001E35A2">
        <w:rPr>
          <w:rFonts w:ascii="Times New Roman" w:hAnsi="Times New Roman" w:cs="Times New Roman"/>
          <w:noProof/>
          <w:sz w:val="24"/>
          <w:szCs w:val="24"/>
        </w:rPr>
        <w:t xml:space="preserve"> </w:t>
      </w:r>
      <w:r w:rsidRPr="001E35A2">
        <w:rPr>
          <w:rFonts w:ascii="Times New Roman" w:hAnsi="Times New Roman" w:cs="Times New Roman"/>
          <w:b/>
          <w:bCs/>
          <w:noProof/>
          <w:sz w:val="24"/>
          <w:szCs w:val="24"/>
        </w:rPr>
        <w:t>80</w:t>
      </w:r>
      <w:r w:rsidRPr="001E35A2">
        <w:rPr>
          <w:rFonts w:ascii="Times New Roman" w:hAnsi="Times New Roman" w:cs="Times New Roman"/>
          <w:noProof/>
          <w:sz w:val="24"/>
          <w:szCs w:val="24"/>
        </w:rPr>
        <w:t>, 201–211 (2003).</w:t>
      </w:r>
    </w:p>
    <w:p w14:paraId="063AC741" w14:textId="77777777" w:rsidR="005458EB" w:rsidRPr="001E35A2" w:rsidRDefault="005458EB" w:rsidP="00702863">
      <w:pPr>
        <w:widowControl w:val="0"/>
        <w:autoSpaceDE w:val="0"/>
        <w:autoSpaceDN w:val="0"/>
        <w:adjustRightInd w:val="0"/>
        <w:spacing w:line="240" w:lineRule="auto"/>
        <w:ind w:left="640" w:hanging="640"/>
        <w:rPr>
          <w:rFonts w:ascii="Times New Roman" w:hAnsi="Times New Roman" w:cs="Times New Roman"/>
          <w:noProof/>
          <w:sz w:val="24"/>
          <w:szCs w:val="24"/>
        </w:rPr>
      </w:pPr>
      <w:r w:rsidRPr="001E35A2">
        <w:rPr>
          <w:rFonts w:ascii="Times New Roman" w:hAnsi="Times New Roman" w:cs="Times New Roman"/>
          <w:noProof/>
          <w:sz w:val="24"/>
          <w:szCs w:val="24"/>
        </w:rPr>
        <w:t>6.</w:t>
      </w:r>
      <w:r w:rsidRPr="001E35A2">
        <w:rPr>
          <w:rFonts w:ascii="Times New Roman" w:hAnsi="Times New Roman" w:cs="Times New Roman"/>
          <w:noProof/>
          <w:sz w:val="24"/>
          <w:szCs w:val="24"/>
        </w:rPr>
        <w:tab/>
        <w:t xml:space="preserve">Keyes, K. M., Cerdá, M., Brady, J. E., Havens, J. R. &amp; Galea, S. Understanding the rural-urban differences in nonmedical prescription opioid use and abuse in the United States. </w:t>
      </w:r>
      <w:r w:rsidRPr="001E35A2">
        <w:rPr>
          <w:rFonts w:ascii="Times New Roman" w:hAnsi="Times New Roman" w:cs="Times New Roman"/>
          <w:i/>
          <w:iCs/>
          <w:noProof/>
          <w:sz w:val="24"/>
          <w:szCs w:val="24"/>
        </w:rPr>
        <w:t>Am. J. Public Health</w:t>
      </w:r>
      <w:r w:rsidRPr="001E35A2">
        <w:rPr>
          <w:rFonts w:ascii="Times New Roman" w:hAnsi="Times New Roman" w:cs="Times New Roman"/>
          <w:noProof/>
          <w:sz w:val="24"/>
          <w:szCs w:val="24"/>
        </w:rPr>
        <w:t xml:space="preserve"> </w:t>
      </w:r>
      <w:r w:rsidRPr="001E35A2">
        <w:rPr>
          <w:rFonts w:ascii="Times New Roman" w:hAnsi="Times New Roman" w:cs="Times New Roman"/>
          <w:b/>
          <w:bCs/>
          <w:noProof/>
          <w:sz w:val="24"/>
          <w:szCs w:val="24"/>
        </w:rPr>
        <w:t>104</w:t>
      </w:r>
      <w:r w:rsidRPr="001E35A2">
        <w:rPr>
          <w:rFonts w:ascii="Times New Roman" w:hAnsi="Times New Roman" w:cs="Times New Roman"/>
          <w:noProof/>
          <w:sz w:val="24"/>
          <w:szCs w:val="24"/>
        </w:rPr>
        <w:t>, 52–59 (2014).</w:t>
      </w:r>
    </w:p>
    <w:p w14:paraId="17FAB02E" w14:textId="77777777" w:rsidR="005458EB" w:rsidRPr="001E35A2" w:rsidRDefault="005458EB" w:rsidP="00702863">
      <w:pPr>
        <w:widowControl w:val="0"/>
        <w:autoSpaceDE w:val="0"/>
        <w:autoSpaceDN w:val="0"/>
        <w:adjustRightInd w:val="0"/>
        <w:spacing w:line="240" w:lineRule="auto"/>
        <w:ind w:left="640" w:hanging="640"/>
        <w:rPr>
          <w:rFonts w:ascii="Times New Roman" w:hAnsi="Times New Roman" w:cs="Times New Roman"/>
          <w:noProof/>
          <w:sz w:val="24"/>
          <w:szCs w:val="24"/>
        </w:rPr>
      </w:pPr>
      <w:r w:rsidRPr="001E35A2">
        <w:rPr>
          <w:rFonts w:ascii="Times New Roman" w:hAnsi="Times New Roman" w:cs="Times New Roman"/>
          <w:noProof/>
          <w:sz w:val="24"/>
          <w:szCs w:val="24"/>
        </w:rPr>
        <w:t>7.</w:t>
      </w:r>
      <w:r w:rsidRPr="001E35A2">
        <w:rPr>
          <w:rFonts w:ascii="Times New Roman" w:hAnsi="Times New Roman" w:cs="Times New Roman"/>
          <w:noProof/>
          <w:sz w:val="24"/>
          <w:szCs w:val="24"/>
        </w:rPr>
        <w:tab/>
        <w:t xml:space="preserve">Curtin, S., Warner, M. &amp; Hedegaard, H. </w:t>
      </w:r>
      <w:r w:rsidRPr="001E35A2">
        <w:rPr>
          <w:rFonts w:ascii="Times New Roman" w:hAnsi="Times New Roman" w:cs="Times New Roman"/>
          <w:i/>
          <w:iCs/>
          <w:noProof/>
          <w:sz w:val="24"/>
          <w:szCs w:val="24"/>
        </w:rPr>
        <w:t>Increase in suicide in the United States, 1999-2014. NCHS data brief</w:t>
      </w:r>
      <w:r w:rsidRPr="001E35A2">
        <w:rPr>
          <w:rFonts w:ascii="Times New Roman" w:hAnsi="Times New Roman" w:cs="Times New Roman"/>
          <w:noProof/>
          <w:sz w:val="24"/>
          <w:szCs w:val="24"/>
        </w:rPr>
        <w:t>. (2016).</w:t>
      </w:r>
    </w:p>
    <w:p w14:paraId="07458498" w14:textId="77777777" w:rsidR="005458EB" w:rsidRPr="001E35A2" w:rsidRDefault="005458EB" w:rsidP="00702863">
      <w:pPr>
        <w:widowControl w:val="0"/>
        <w:autoSpaceDE w:val="0"/>
        <w:autoSpaceDN w:val="0"/>
        <w:adjustRightInd w:val="0"/>
        <w:spacing w:line="240" w:lineRule="auto"/>
        <w:ind w:left="640" w:hanging="640"/>
        <w:rPr>
          <w:rFonts w:ascii="Times New Roman" w:hAnsi="Times New Roman" w:cs="Times New Roman"/>
          <w:noProof/>
          <w:sz w:val="24"/>
          <w:szCs w:val="24"/>
        </w:rPr>
      </w:pPr>
      <w:r w:rsidRPr="001E35A2">
        <w:rPr>
          <w:rFonts w:ascii="Times New Roman" w:hAnsi="Times New Roman" w:cs="Times New Roman"/>
          <w:noProof/>
          <w:sz w:val="24"/>
          <w:szCs w:val="24"/>
        </w:rPr>
        <w:t>8.</w:t>
      </w:r>
      <w:r w:rsidRPr="001E35A2">
        <w:rPr>
          <w:rFonts w:ascii="Times New Roman" w:hAnsi="Times New Roman" w:cs="Times New Roman"/>
          <w:noProof/>
          <w:sz w:val="24"/>
          <w:szCs w:val="24"/>
        </w:rPr>
        <w:tab/>
        <w:t>Hedegaard, H., Curtin, S. C. &amp; Warner, M. NCHS Data Brief, Number330, November 2018. 1999–2017 (2018).</w:t>
      </w:r>
    </w:p>
    <w:p w14:paraId="10FC7152" w14:textId="77777777" w:rsidR="005458EB" w:rsidRPr="001E35A2" w:rsidRDefault="005458EB" w:rsidP="00702863">
      <w:pPr>
        <w:widowControl w:val="0"/>
        <w:autoSpaceDE w:val="0"/>
        <w:autoSpaceDN w:val="0"/>
        <w:adjustRightInd w:val="0"/>
        <w:spacing w:line="240" w:lineRule="auto"/>
        <w:ind w:left="640" w:hanging="640"/>
        <w:rPr>
          <w:rFonts w:ascii="Times New Roman" w:hAnsi="Times New Roman" w:cs="Times New Roman"/>
          <w:noProof/>
          <w:sz w:val="24"/>
          <w:szCs w:val="24"/>
        </w:rPr>
      </w:pPr>
      <w:r w:rsidRPr="001E35A2">
        <w:rPr>
          <w:rFonts w:ascii="Times New Roman" w:hAnsi="Times New Roman" w:cs="Times New Roman"/>
          <w:noProof/>
          <w:sz w:val="24"/>
          <w:szCs w:val="24"/>
        </w:rPr>
        <w:t>9.</w:t>
      </w:r>
      <w:r w:rsidRPr="001E35A2">
        <w:rPr>
          <w:rFonts w:ascii="Times New Roman" w:hAnsi="Times New Roman" w:cs="Times New Roman"/>
          <w:noProof/>
          <w:sz w:val="24"/>
          <w:szCs w:val="24"/>
        </w:rPr>
        <w:tab/>
        <w:t>CDCNewsroom. Americans in rural areas more likely to die by suicide. (2017).</w:t>
      </w:r>
    </w:p>
    <w:p w14:paraId="3F940FCF" w14:textId="77777777" w:rsidR="005458EB" w:rsidRPr="001E35A2" w:rsidRDefault="005458EB" w:rsidP="00702863">
      <w:pPr>
        <w:widowControl w:val="0"/>
        <w:autoSpaceDE w:val="0"/>
        <w:autoSpaceDN w:val="0"/>
        <w:adjustRightInd w:val="0"/>
        <w:spacing w:line="240" w:lineRule="auto"/>
        <w:ind w:left="640" w:hanging="640"/>
        <w:rPr>
          <w:rFonts w:ascii="Times New Roman" w:hAnsi="Times New Roman" w:cs="Times New Roman"/>
          <w:noProof/>
          <w:sz w:val="24"/>
          <w:szCs w:val="24"/>
        </w:rPr>
      </w:pPr>
      <w:r w:rsidRPr="001E35A2">
        <w:rPr>
          <w:rFonts w:ascii="Times New Roman" w:hAnsi="Times New Roman" w:cs="Times New Roman"/>
          <w:noProof/>
          <w:sz w:val="24"/>
          <w:szCs w:val="24"/>
        </w:rPr>
        <w:t>10.</w:t>
      </w:r>
      <w:r w:rsidRPr="001E35A2">
        <w:rPr>
          <w:rFonts w:ascii="Times New Roman" w:hAnsi="Times New Roman" w:cs="Times New Roman"/>
          <w:noProof/>
          <w:sz w:val="24"/>
          <w:szCs w:val="24"/>
        </w:rPr>
        <w:tab/>
        <w:t xml:space="preserve">Rose, S. J. Is Foreign Trade the Cause of Manufacturing Job Losses? </w:t>
      </w:r>
      <w:r w:rsidRPr="001E35A2">
        <w:rPr>
          <w:rFonts w:ascii="Times New Roman" w:hAnsi="Times New Roman" w:cs="Times New Roman"/>
          <w:i/>
          <w:iCs/>
          <w:noProof/>
          <w:sz w:val="24"/>
          <w:szCs w:val="24"/>
        </w:rPr>
        <w:t>Washington, DC Urban Inst.</w:t>
      </w:r>
      <w:r w:rsidRPr="001E35A2">
        <w:rPr>
          <w:rFonts w:ascii="Times New Roman" w:hAnsi="Times New Roman" w:cs="Times New Roman"/>
          <w:noProof/>
          <w:sz w:val="24"/>
          <w:szCs w:val="24"/>
        </w:rPr>
        <w:t xml:space="preserve"> 1–15 (2018).</w:t>
      </w:r>
    </w:p>
    <w:p w14:paraId="2E2F5ACE" w14:textId="77777777" w:rsidR="005458EB" w:rsidRPr="001E35A2" w:rsidRDefault="005458EB" w:rsidP="00702863">
      <w:pPr>
        <w:widowControl w:val="0"/>
        <w:autoSpaceDE w:val="0"/>
        <w:autoSpaceDN w:val="0"/>
        <w:adjustRightInd w:val="0"/>
        <w:spacing w:line="240" w:lineRule="auto"/>
        <w:ind w:left="640" w:hanging="640"/>
        <w:rPr>
          <w:rFonts w:ascii="Times New Roman" w:hAnsi="Times New Roman" w:cs="Times New Roman"/>
          <w:noProof/>
          <w:sz w:val="24"/>
          <w:szCs w:val="24"/>
        </w:rPr>
      </w:pPr>
      <w:r w:rsidRPr="001E35A2">
        <w:rPr>
          <w:rFonts w:ascii="Times New Roman" w:hAnsi="Times New Roman" w:cs="Times New Roman"/>
          <w:noProof/>
          <w:sz w:val="24"/>
          <w:szCs w:val="24"/>
        </w:rPr>
        <w:t>11.</w:t>
      </w:r>
      <w:r w:rsidRPr="001E35A2">
        <w:rPr>
          <w:rFonts w:ascii="Times New Roman" w:hAnsi="Times New Roman" w:cs="Times New Roman"/>
          <w:noProof/>
          <w:sz w:val="24"/>
          <w:szCs w:val="24"/>
        </w:rPr>
        <w:tab/>
        <w:t xml:space="preserve">Charles, K. K., Hurst, E. &amp; Schwartz, M. </w:t>
      </w:r>
      <w:r w:rsidRPr="001E35A2">
        <w:rPr>
          <w:rFonts w:ascii="Times New Roman" w:hAnsi="Times New Roman" w:cs="Times New Roman"/>
          <w:i/>
          <w:iCs/>
          <w:noProof/>
          <w:sz w:val="24"/>
          <w:szCs w:val="24"/>
        </w:rPr>
        <w:t>The Transformation of Manufacturing and the Decline in U.S. Employment</w:t>
      </w:r>
      <w:r w:rsidRPr="001E35A2">
        <w:rPr>
          <w:rFonts w:ascii="Times New Roman" w:hAnsi="Times New Roman" w:cs="Times New Roman"/>
          <w:noProof/>
          <w:sz w:val="24"/>
          <w:szCs w:val="24"/>
        </w:rPr>
        <w:t xml:space="preserve">. </w:t>
      </w:r>
      <w:r w:rsidRPr="001E35A2">
        <w:rPr>
          <w:rFonts w:ascii="Times New Roman" w:hAnsi="Times New Roman" w:cs="Times New Roman"/>
          <w:i/>
          <w:iCs/>
          <w:noProof/>
          <w:sz w:val="24"/>
          <w:szCs w:val="24"/>
        </w:rPr>
        <w:t>Ssrn</w:t>
      </w:r>
      <w:r w:rsidRPr="001E35A2">
        <w:rPr>
          <w:rFonts w:ascii="Times New Roman" w:hAnsi="Times New Roman" w:cs="Times New Roman"/>
          <w:noProof/>
          <w:sz w:val="24"/>
          <w:szCs w:val="24"/>
        </w:rPr>
        <w:t xml:space="preserve"> (2018). doi:10.2139/ssrn.3154376</w:t>
      </w:r>
    </w:p>
    <w:p w14:paraId="69BB6C2C" w14:textId="77777777" w:rsidR="005458EB" w:rsidRPr="001E35A2" w:rsidRDefault="005458EB" w:rsidP="00702863">
      <w:pPr>
        <w:widowControl w:val="0"/>
        <w:autoSpaceDE w:val="0"/>
        <w:autoSpaceDN w:val="0"/>
        <w:adjustRightInd w:val="0"/>
        <w:spacing w:line="240" w:lineRule="auto"/>
        <w:ind w:left="640" w:hanging="640"/>
        <w:rPr>
          <w:rFonts w:ascii="Times New Roman" w:hAnsi="Times New Roman" w:cs="Times New Roman"/>
          <w:noProof/>
          <w:sz w:val="24"/>
          <w:szCs w:val="24"/>
        </w:rPr>
      </w:pPr>
      <w:r w:rsidRPr="001E35A2">
        <w:rPr>
          <w:rFonts w:ascii="Times New Roman" w:hAnsi="Times New Roman" w:cs="Times New Roman"/>
          <w:noProof/>
          <w:sz w:val="24"/>
          <w:szCs w:val="24"/>
        </w:rPr>
        <w:t>12.</w:t>
      </w:r>
      <w:r w:rsidRPr="001E35A2">
        <w:rPr>
          <w:rFonts w:ascii="Times New Roman" w:hAnsi="Times New Roman" w:cs="Times New Roman"/>
          <w:noProof/>
          <w:sz w:val="24"/>
          <w:szCs w:val="24"/>
        </w:rPr>
        <w:tab/>
        <w:t xml:space="preserve">Kalleberg, A. L. Precarious work, insecure workers: Employment relations in transition. </w:t>
      </w:r>
      <w:r w:rsidRPr="001E35A2">
        <w:rPr>
          <w:rFonts w:ascii="Times New Roman" w:hAnsi="Times New Roman" w:cs="Times New Roman"/>
          <w:i/>
          <w:iCs/>
          <w:noProof/>
          <w:sz w:val="24"/>
          <w:szCs w:val="24"/>
        </w:rPr>
        <w:t>Am. Sociol. Rev.</w:t>
      </w:r>
      <w:r w:rsidRPr="001E35A2">
        <w:rPr>
          <w:rFonts w:ascii="Times New Roman" w:hAnsi="Times New Roman" w:cs="Times New Roman"/>
          <w:noProof/>
          <w:sz w:val="24"/>
          <w:szCs w:val="24"/>
        </w:rPr>
        <w:t xml:space="preserve"> </w:t>
      </w:r>
      <w:r w:rsidRPr="001E35A2">
        <w:rPr>
          <w:rFonts w:ascii="Times New Roman" w:hAnsi="Times New Roman" w:cs="Times New Roman"/>
          <w:b/>
          <w:bCs/>
          <w:noProof/>
          <w:sz w:val="24"/>
          <w:szCs w:val="24"/>
        </w:rPr>
        <w:t>74</w:t>
      </w:r>
      <w:r w:rsidRPr="001E35A2">
        <w:rPr>
          <w:rFonts w:ascii="Times New Roman" w:hAnsi="Times New Roman" w:cs="Times New Roman"/>
          <w:noProof/>
          <w:sz w:val="24"/>
          <w:szCs w:val="24"/>
        </w:rPr>
        <w:t>, 1–22 (2009).</w:t>
      </w:r>
    </w:p>
    <w:p w14:paraId="5631BDEF" w14:textId="77777777" w:rsidR="005458EB" w:rsidRPr="001E35A2" w:rsidRDefault="005458EB" w:rsidP="00702863">
      <w:pPr>
        <w:widowControl w:val="0"/>
        <w:autoSpaceDE w:val="0"/>
        <w:autoSpaceDN w:val="0"/>
        <w:adjustRightInd w:val="0"/>
        <w:spacing w:line="240" w:lineRule="auto"/>
        <w:ind w:left="640" w:hanging="640"/>
        <w:rPr>
          <w:rFonts w:ascii="Times New Roman" w:hAnsi="Times New Roman" w:cs="Times New Roman"/>
          <w:noProof/>
          <w:sz w:val="24"/>
          <w:szCs w:val="24"/>
        </w:rPr>
      </w:pPr>
      <w:r w:rsidRPr="001E35A2">
        <w:rPr>
          <w:rFonts w:ascii="Times New Roman" w:hAnsi="Times New Roman" w:cs="Times New Roman"/>
          <w:noProof/>
          <w:sz w:val="24"/>
          <w:szCs w:val="24"/>
        </w:rPr>
        <w:t>13.</w:t>
      </w:r>
      <w:r w:rsidRPr="001E35A2">
        <w:rPr>
          <w:rFonts w:ascii="Times New Roman" w:hAnsi="Times New Roman" w:cs="Times New Roman"/>
          <w:noProof/>
          <w:sz w:val="24"/>
          <w:szCs w:val="24"/>
        </w:rPr>
        <w:tab/>
        <w:t xml:space="preserve">Fort, T., Pierce, J. &amp; Schott, P. New perspectoves on the decline of US manufactuirng employment. </w:t>
      </w:r>
      <w:r w:rsidRPr="001E35A2">
        <w:rPr>
          <w:rFonts w:ascii="Times New Roman" w:hAnsi="Times New Roman" w:cs="Times New Roman"/>
          <w:i/>
          <w:iCs/>
          <w:noProof/>
          <w:sz w:val="24"/>
          <w:szCs w:val="24"/>
        </w:rPr>
        <w:t>J. Econ. Perspect.</w:t>
      </w:r>
      <w:r w:rsidRPr="001E35A2">
        <w:rPr>
          <w:rFonts w:ascii="Times New Roman" w:hAnsi="Times New Roman" w:cs="Times New Roman"/>
          <w:noProof/>
          <w:sz w:val="24"/>
          <w:szCs w:val="24"/>
        </w:rPr>
        <w:t xml:space="preserve"> </w:t>
      </w:r>
      <w:r w:rsidRPr="001E35A2">
        <w:rPr>
          <w:rFonts w:ascii="Times New Roman" w:hAnsi="Times New Roman" w:cs="Times New Roman"/>
          <w:b/>
          <w:bCs/>
          <w:noProof/>
          <w:sz w:val="24"/>
          <w:szCs w:val="24"/>
        </w:rPr>
        <w:t>32</w:t>
      </w:r>
      <w:r w:rsidRPr="001E35A2">
        <w:rPr>
          <w:rFonts w:ascii="Times New Roman" w:hAnsi="Times New Roman" w:cs="Times New Roman"/>
          <w:noProof/>
          <w:sz w:val="24"/>
          <w:szCs w:val="24"/>
        </w:rPr>
        <w:t>, 47–72 (2018).</w:t>
      </w:r>
    </w:p>
    <w:p w14:paraId="4D504D85" w14:textId="77777777" w:rsidR="005458EB" w:rsidRPr="001E35A2" w:rsidRDefault="005458EB" w:rsidP="00702863">
      <w:pPr>
        <w:widowControl w:val="0"/>
        <w:autoSpaceDE w:val="0"/>
        <w:autoSpaceDN w:val="0"/>
        <w:adjustRightInd w:val="0"/>
        <w:spacing w:line="240" w:lineRule="auto"/>
        <w:ind w:left="640" w:hanging="640"/>
        <w:rPr>
          <w:rFonts w:ascii="Times New Roman" w:hAnsi="Times New Roman" w:cs="Times New Roman"/>
          <w:noProof/>
          <w:sz w:val="24"/>
          <w:szCs w:val="24"/>
        </w:rPr>
      </w:pPr>
      <w:r w:rsidRPr="001E35A2">
        <w:rPr>
          <w:rFonts w:ascii="Times New Roman" w:hAnsi="Times New Roman" w:cs="Times New Roman"/>
          <w:noProof/>
          <w:sz w:val="24"/>
          <w:szCs w:val="24"/>
        </w:rPr>
        <w:t>14.</w:t>
      </w:r>
      <w:r w:rsidRPr="001E35A2">
        <w:rPr>
          <w:rFonts w:ascii="Times New Roman" w:hAnsi="Times New Roman" w:cs="Times New Roman"/>
          <w:noProof/>
          <w:sz w:val="24"/>
          <w:szCs w:val="24"/>
        </w:rPr>
        <w:tab/>
        <w:t xml:space="preserve">Autor, D. H., Dorn, D. &amp; Hanson, G. H. The China Shock: Learning from Labor-Market Adjustment to Large Changes in Trade. </w:t>
      </w:r>
      <w:r w:rsidRPr="001E35A2">
        <w:rPr>
          <w:rFonts w:ascii="Times New Roman" w:hAnsi="Times New Roman" w:cs="Times New Roman"/>
          <w:i/>
          <w:iCs/>
          <w:noProof/>
          <w:sz w:val="24"/>
          <w:szCs w:val="24"/>
        </w:rPr>
        <w:t>Ssrn</w:t>
      </w:r>
      <w:r w:rsidRPr="001E35A2">
        <w:rPr>
          <w:rFonts w:ascii="Times New Roman" w:hAnsi="Times New Roman" w:cs="Times New Roman"/>
          <w:noProof/>
          <w:sz w:val="24"/>
          <w:szCs w:val="24"/>
        </w:rPr>
        <w:t xml:space="preserve"> (2016). doi:10.1146/annurev-economics-080315-015041</w:t>
      </w:r>
    </w:p>
    <w:p w14:paraId="1CBABD09" w14:textId="77777777" w:rsidR="005458EB" w:rsidRPr="001E35A2" w:rsidRDefault="005458EB" w:rsidP="00702863">
      <w:pPr>
        <w:widowControl w:val="0"/>
        <w:autoSpaceDE w:val="0"/>
        <w:autoSpaceDN w:val="0"/>
        <w:adjustRightInd w:val="0"/>
        <w:spacing w:line="240" w:lineRule="auto"/>
        <w:ind w:left="640" w:hanging="640"/>
        <w:rPr>
          <w:rFonts w:ascii="Times New Roman" w:hAnsi="Times New Roman" w:cs="Times New Roman"/>
          <w:noProof/>
          <w:sz w:val="24"/>
          <w:szCs w:val="24"/>
        </w:rPr>
      </w:pPr>
      <w:r w:rsidRPr="001E35A2">
        <w:rPr>
          <w:rFonts w:ascii="Times New Roman" w:hAnsi="Times New Roman" w:cs="Times New Roman"/>
          <w:noProof/>
          <w:sz w:val="24"/>
          <w:szCs w:val="24"/>
        </w:rPr>
        <w:t>15.</w:t>
      </w:r>
      <w:r w:rsidRPr="001E35A2">
        <w:rPr>
          <w:rFonts w:ascii="Times New Roman" w:hAnsi="Times New Roman" w:cs="Times New Roman"/>
          <w:noProof/>
          <w:sz w:val="24"/>
          <w:szCs w:val="24"/>
        </w:rPr>
        <w:tab/>
        <w:t xml:space="preserve">Klier, T. From tail fins to hybrids: How Detroit lost its dominance of the U.S. auto market. </w:t>
      </w:r>
      <w:r w:rsidRPr="001E35A2">
        <w:rPr>
          <w:rFonts w:ascii="Times New Roman" w:hAnsi="Times New Roman" w:cs="Times New Roman"/>
          <w:i/>
          <w:iCs/>
          <w:noProof/>
          <w:sz w:val="24"/>
          <w:szCs w:val="24"/>
        </w:rPr>
        <w:t>Econ. Perspect.</w:t>
      </w:r>
      <w:r w:rsidRPr="001E35A2">
        <w:rPr>
          <w:rFonts w:ascii="Times New Roman" w:hAnsi="Times New Roman" w:cs="Times New Roman"/>
          <w:noProof/>
          <w:sz w:val="24"/>
          <w:szCs w:val="24"/>
        </w:rPr>
        <w:t xml:space="preserve"> </w:t>
      </w:r>
      <w:r w:rsidRPr="001E35A2">
        <w:rPr>
          <w:rFonts w:ascii="Times New Roman" w:hAnsi="Times New Roman" w:cs="Times New Roman"/>
          <w:b/>
          <w:bCs/>
          <w:noProof/>
          <w:sz w:val="24"/>
          <w:szCs w:val="24"/>
        </w:rPr>
        <w:t>33</w:t>
      </w:r>
      <w:r w:rsidRPr="001E35A2">
        <w:rPr>
          <w:rFonts w:ascii="Times New Roman" w:hAnsi="Times New Roman" w:cs="Times New Roman"/>
          <w:noProof/>
          <w:sz w:val="24"/>
          <w:szCs w:val="24"/>
        </w:rPr>
        <w:t>, (2009).</w:t>
      </w:r>
    </w:p>
    <w:p w14:paraId="42F2D451" w14:textId="77777777" w:rsidR="005458EB" w:rsidRPr="001E35A2" w:rsidRDefault="005458EB" w:rsidP="00702863">
      <w:pPr>
        <w:widowControl w:val="0"/>
        <w:autoSpaceDE w:val="0"/>
        <w:autoSpaceDN w:val="0"/>
        <w:adjustRightInd w:val="0"/>
        <w:spacing w:line="240" w:lineRule="auto"/>
        <w:ind w:left="640" w:hanging="640"/>
        <w:rPr>
          <w:rFonts w:ascii="Times New Roman" w:hAnsi="Times New Roman" w:cs="Times New Roman"/>
          <w:noProof/>
          <w:sz w:val="24"/>
          <w:szCs w:val="24"/>
        </w:rPr>
      </w:pPr>
      <w:r w:rsidRPr="001E35A2">
        <w:rPr>
          <w:rFonts w:ascii="Times New Roman" w:hAnsi="Times New Roman" w:cs="Times New Roman"/>
          <w:noProof/>
          <w:sz w:val="24"/>
          <w:szCs w:val="24"/>
        </w:rPr>
        <w:t>16.</w:t>
      </w:r>
      <w:r w:rsidRPr="001E35A2">
        <w:rPr>
          <w:rFonts w:ascii="Times New Roman" w:hAnsi="Times New Roman" w:cs="Times New Roman"/>
          <w:noProof/>
          <w:sz w:val="24"/>
          <w:szCs w:val="24"/>
        </w:rPr>
        <w:tab/>
        <w:t xml:space="preserve">Burgard, S. A., Brand, J. E. &amp; House, J. S. Toward a better estimation of the effect of job loss on health. </w:t>
      </w:r>
      <w:r w:rsidRPr="001E35A2">
        <w:rPr>
          <w:rFonts w:ascii="Times New Roman" w:hAnsi="Times New Roman" w:cs="Times New Roman"/>
          <w:i/>
          <w:iCs/>
          <w:noProof/>
          <w:sz w:val="24"/>
          <w:szCs w:val="24"/>
        </w:rPr>
        <w:t>J. Health Soc. Behav.</w:t>
      </w:r>
      <w:r w:rsidRPr="001E35A2">
        <w:rPr>
          <w:rFonts w:ascii="Times New Roman" w:hAnsi="Times New Roman" w:cs="Times New Roman"/>
          <w:noProof/>
          <w:sz w:val="24"/>
          <w:szCs w:val="24"/>
        </w:rPr>
        <w:t xml:space="preserve"> </w:t>
      </w:r>
      <w:r w:rsidRPr="001E35A2">
        <w:rPr>
          <w:rFonts w:ascii="Times New Roman" w:hAnsi="Times New Roman" w:cs="Times New Roman"/>
          <w:b/>
          <w:bCs/>
          <w:noProof/>
          <w:sz w:val="24"/>
          <w:szCs w:val="24"/>
        </w:rPr>
        <w:t>48</w:t>
      </w:r>
      <w:r w:rsidRPr="001E35A2">
        <w:rPr>
          <w:rFonts w:ascii="Times New Roman" w:hAnsi="Times New Roman" w:cs="Times New Roman"/>
          <w:noProof/>
          <w:sz w:val="24"/>
          <w:szCs w:val="24"/>
        </w:rPr>
        <w:t>, 369–384 (2007).</w:t>
      </w:r>
    </w:p>
    <w:p w14:paraId="78C7FD4A" w14:textId="77777777" w:rsidR="005458EB" w:rsidRPr="001E35A2" w:rsidRDefault="005458EB" w:rsidP="00702863">
      <w:pPr>
        <w:widowControl w:val="0"/>
        <w:autoSpaceDE w:val="0"/>
        <w:autoSpaceDN w:val="0"/>
        <w:adjustRightInd w:val="0"/>
        <w:spacing w:line="240" w:lineRule="auto"/>
        <w:ind w:left="640" w:hanging="640"/>
        <w:rPr>
          <w:rFonts w:ascii="Times New Roman" w:hAnsi="Times New Roman" w:cs="Times New Roman"/>
          <w:noProof/>
          <w:sz w:val="24"/>
          <w:szCs w:val="24"/>
        </w:rPr>
      </w:pPr>
      <w:r w:rsidRPr="001E35A2">
        <w:rPr>
          <w:rFonts w:ascii="Times New Roman" w:hAnsi="Times New Roman" w:cs="Times New Roman"/>
          <w:noProof/>
          <w:sz w:val="24"/>
          <w:szCs w:val="24"/>
        </w:rPr>
        <w:lastRenderedPageBreak/>
        <w:t>17.</w:t>
      </w:r>
      <w:r w:rsidRPr="001E35A2">
        <w:rPr>
          <w:rFonts w:ascii="Times New Roman" w:hAnsi="Times New Roman" w:cs="Times New Roman"/>
          <w:noProof/>
          <w:sz w:val="24"/>
          <w:szCs w:val="24"/>
        </w:rPr>
        <w:tab/>
        <w:t xml:space="preserve">Eisen, E. A., Tolbert, P. E., Monson, R. R. &amp; Smith, T. J. Mortality studies of machining fluid exposure in the automobile industry I: A standardized mortality ratio analysis. </w:t>
      </w:r>
      <w:r w:rsidRPr="001E35A2">
        <w:rPr>
          <w:rFonts w:ascii="Times New Roman" w:hAnsi="Times New Roman" w:cs="Times New Roman"/>
          <w:i/>
          <w:iCs/>
          <w:noProof/>
          <w:sz w:val="24"/>
          <w:szCs w:val="24"/>
        </w:rPr>
        <w:t>Am J Ind Med</w:t>
      </w:r>
      <w:r w:rsidRPr="001E35A2">
        <w:rPr>
          <w:rFonts w:ascii="Times New Roman" w:hAnsi="Times New Roman" w:cs="Times New Roman"/>
          <w:noProof/>
          <w:sz w:val="24"/>
          <w:szCs w:val="24"/>
        </w:rPr>
        <w:t xml:space="preserve"> </w:t>
      </w:r>
      <w:r w:rsidRPr="001E35A2">
        <w:rPr>
          <w:rFonts w:ascii="Times New Roman" w:hAnsi="Times New Roman" w:cs="Times New Roman"/>
          <w:b/>
          <w:bCs/>
          <w:noProof/>
          <w:sz w:val="24"/>
          <w:szCs w:val="24"/>
        </w:rPr>
        <w:t>22</w:t>
      </w:r>
      <w:r w:rsidRPr="001E35A2">
        <w:rPr>
          <w:rFonts w:ascii="Times New Roman" w:hAnsi="Times New Roman" w:cs="Times New Roman"/>
          <w:noProof/>
          <w:sz w:val="24"/>
          <w:szCs w:val="24"/>
        </w:rPr>
        <w:t>, 809–824 (1992).</w:t>
      </w:r>
    </w:p>
    <w:p w14:paraId="2B4D063B" w14:textId="77777777" w:rsidR="005458EB" w:rsidRPr="001E35A2" w:rsidRDefault="005458EB" w:rsidP="00702863">
      <w:pPr>
        <w:widowControl w:val="0"/>
        <w:autoSpaceDE w:val="0"/>
        <w:autoSpaceDN w:val="0"/>
        <w:adjustRightInd w:val="0"/>
        <w:spacing w:line="240" w:lineRule="auto"/>
        <w:ind w:left="640" w:hanging="640"/>
        <w:rPr>
          <w:rFonts w:ascii="Times New Roman" w:hAnsi="Times New Roman" w:cs="Times New Roman"/>
          <w:noProof/>
          <w:sz w:val="24"/>
          <w:szCs w:val="24"/>
        </w:rPr>
      </w:pPr>
      <w:r w:rsidRPr="001E35A2">
        <w:rPr>
          <w:rFonts w:ascii="Times New Roman" w:hAnsi="Times New Roman" w:cs="Times New Roman"/>
          <w:noProof/>
          <w:sz w:val="24"/>
          <w:szCs w:val="24"/>
        </w:rPr>
        <w:t>18.</w:t>
      </w:r>
      <w:r w:rsidRPr="001E35A2">
        <w:rPr>
          <w:rFonts w:ascii="Times New Roman" w:hAnsi="Times New Roman" w:cs="Times New Roman"/>
          <w:noProof/>
          <w:sz w:val="24"/>
          <w:szCs w:val="24"/>
        </w:rPr>
        <w:tab/>
        <w:t xml:space="preserve">Eisen, E. A. </w:t>
      </w:r>
      <w:r w:rsidRPr="001E35A2">
        <w:rPr>
          <w:rFonts w:ascii="Times New Roman" w:hAnsi="Times New Roman" w:cs="Times New Roman"/>
          <w:i/>
          <w:iCs/>
          <w:noProof/>
          <w:sz w:val="24"/>
          <w:szCs w:val="24"/>
        </w:rPr>
        <w:t>et al.</w:t>
      </w:r>
      <w:r w:rsidRPr="001E35A2">
        <w:rPr>
          <w:rFonts w:ascii="Times New Roman" w:hAnsi="Times New Roman" w:cs="Times New Roman"/>
          <w:noProof/>
          <w:sz w:val="24"/>
          <w:szCs w:val="24"/>
        </w:rPr>
        <w:t xml:space="preserve"> Exposure-response models based on extended follow-up of a cohort mortality study in the automobile industry. </w:t>
      </w:r>
      <w:r w:rsidRPr="001E35A2">
        <w:rPr>
          <w:rFonts w:ascii="Times New Roman" w:hAnsi="Times New Roman" w:cs="Times New Roman"/>
          <w:i/>
          <w:iCs/>
          <w:noProof/>
          <w:sz w:val="24"/>
          <w:szCs w:val="24"/>
        </w:rPr>
        <w:t>Scand J Work Env. Heal.</w:t>
      </w:r>
      <w:r w:rsidRPr="001E35A2">
        <w:rPr>
          <w:rFonts w:ascii="Times New Roman" w:hAnsi="Times New Roman" w:cs="Times New Roman"/>
          <w:noProof/>
          <w:sz w:val="24"/>
          <w:szCs w:val="24"/>
        </w:rPr>
        <w:t xml:space="preserve"> </w:t>
      </w:r>
      <w:r w:rsidRPr="001E35A2">
        <w:rPr>
          <w:rFonts w:ascii="Times New Roman" w:hAnsi="Times New Roman" w:cs="Times New Roman"/>
          <w:b/>
          <w:bCs/>
          <w:noProof/>
          <w:sz w:val="24"/>
          <w:szCs w:val="24"/>
        </w:rPr>
        <w:t>27</w:t>
      </w:r>
      <w:r w:rsidRPr="001E35A2">
        <w:rPr>
          <w:rFonts w:ascii="Times New Roman" w:hAnsi="Times New Roman" w:cs="Times New Roman"/>
          <w:noProof/>
          <w:sz w:val="24"/>
          <w:szCs w:val="24"/>
        </w:rPr>
        <w:t>, 240–249 (2001).</w:t>
      </w:r>
    </w:p>
    <w:p w14:paraId="44F4D322" w14:textId="77777777" w:rsidR="005458EB" w:rsidRPr="001E35A2" w:rsidRDefault="005458EB" w:rsidP="00702863">
      <w:pPr>
        <w:widowControl w:val="0"/>
        <w:autoSpaceDE w:val="0"/>
        <w:autoSpaceDN w:val="0"/>
        <w:adjustRightInd w:val="0"/>
        <w:spacing w:line="240" w:lineRule="auto"/>
        <w:ind w:left="640" w:hanging="640"/>
        <w:rPr>
          <w:rFonts w:ascii="Times New Roman" w:hAnsi="Times New Roman" w:cs="Times New Roman"/>
          <w:noProof/>
          <w:sz w:val="24"/>
          <w:szCs w:val="24"/>
        </w:rPr>
      </w:pPr>
      <w:r w:rsidRPr="001E35A2">
        <w:rPr>
          <w:rFonts w:ascii="Times New Roman" w:hAnsi="Times New Roman" w:cs="Times New Roman"/>
          <w:noProof/>
          <w:sz w:val="24"/>
          <w:szCs w:val="24"/>
        </w:rPr>
        <w:t>19.</w:t>
      </w:r>
      <w:r w:rsidRPr="001E35A2">
        <w:rPr>
          <w:rFonts w:ascii="Times New Roman" w:hAnsi="Times New Roman" w:cs="Times New Roman"/>
          <w:noProof/>
          <w:sz w:val="24"/>
          <w:szCs w:val="24"/>
        </w:rPr>
        <w:tab/>
        <w:t xml:space="preserve">Baime, A. </w:t>
      </w:r>
      <w:r w:rsidRPr="001E35A2">
        <w:rPr>
          <w:rFonts w:ascii="Times New Roman" w:hAnsi="Times New Roman" w:cs="Times New Roman"/>
          <w:i/>
          <w:iCs/>
          <w:noProof/>
          <w:sz w:val="24"/>
          <w:szCs w:val="24"/>
        </w:rPr>
        <w:t>The arsenal of democracy: FDR, Detroit, and an epic quest to arm an America at war</w:t>
      </w:r>
      <w:r w:rsidRPr="001E35A2">
        <w:rPr>
          <w:rFonts w:ascii="Times New Roman" w:hAnsi="Times New Roman" w:cs="Times New Roman"/>
          <w:noProof/>
          <w:sz w:val="24"/>
          <w:szCs w:val="24"/>
        </w:rPr>
        <w:t>. (Houghton Mifflin Harcourt, 2014).</w:t>
      </w:r>
    </w:p>
    <w:p w14:paraId="7F54A70C" w14:textId="77777777" w:rsidR="005458EB" w:rsidRPr="001E35A2" w:rsidRDefault="005458EB" w:rsidP="00702863">
      <w:pPr>
        <w:widowControl w:val="0"/>
        <w:autoSpaceDE w:val="0"/>
        <w:autoSpaceDN w:val="0"/>
        <w:adjustRightInd w:val="0"/>
        <w:spacing w:line="240" w:lineRule="auto"/>
        <w:ind w:left="640" w:hanging="640"/>
        <w:rPr>
          <w:rFonts w:ascii="Times New Roman" w:hAnsi="Times New Roman" w:cs="Times New Roman"/>
          <w:noProof/>
          <w:sz w:val="24"/>
          <w:szCs w:val="24"/>
        </w:rPr>
      </w:pPr>
      <w:r w:rsidRPr="001E35A2">
        <w:rPr>
          <w:rFonts w:ascii="Times New Roman" w:hAnsi="Times New Roman" w:cs="Times New Roman"/>
          <w:noProof/>
          <w:sz w:val="24"/>
          <w:szCs w:val="24"/>
        </w:rPr>
        <w:t>20.</w:t>
      </w:r>
      <w:r w:rsidRPr="001E35A2">
        <w:rPr>
          <w:rFonts w:ascii="Times New Roman" w:hAnsi="Times New Roman" w:cs="Times New Roman"/>
          <w:noProof/>
          <w:sz w:val="24"/>
          <w:szCs w:val="24"/>
        </w:rPr>
        <w:tab/>
        <w:t xml:space="preserve">US dept of Labor. </w:t>
      </w:r>
      <w:r w:rsidRPr="001E35A2">
        <w:rPr>
          <w:rFonts w:ascii="Times New Roman" w:hAnsi="Times New Roman" w:cs="Times New Roman"/>
          <w:i/>
          <w:iCs/>
          <w:noProof/>
          <w:sz w:val="24"/>
          <w:szCs w:val="24"/>
        </w:rPr>
        <w:t>Wage Chronology; General Motors., 1939-66</w:t>
      </w:r>
      <w:r w:rsidRPr="001E35A2">
        <w:rPr>
          <w:rFonts w:ascii="Times New Roman" w:hAnsi="Times New Roman" w:cs="Times New Roman"/>
          <w:noProof/>
          <w:sz w:val="24"/>
          <w:szCs w:val="24"/>
        </w:rPr>
        <w:t>. (1966).</w:t>
      </w:r>
    </w:p>
    <w:p w14:paraId="6D99868B" w14:textId="77777777" w:rsidR="005458EB" w:rsidRPr="001E35A2" w:rsidRDefault="005458EB" w:rsidP="00702863">
      <w:pPr>
        <w:widowControl w:val="0"/>
        <w:autoSpaceDE w:val="0"/>
        <w:autoSpaceDN w:val="0"/>
        <w:adjustRightInd w:val="0"/>
        <w:spacing w:line="240" w:lineRule="auto"/>
        <w:ind w:left="640" w:hanging="640"/>
        <w:rPr>
          <w:rFonts w:ascii="Times New Roman" w:hAnsi="Times New Roman" w:cs="Times New Roman"/>
          <w:noProof/>
          <w:sz w:val="24"/>
          <w:szCs w:val="24"/>
        </w:rPr>
      </w:pPr>
      <w:r w:rsidRPr="001E35A2">
        <w:rPr>
          <w:rFonts w:ascii="Times New Roman" w:hAnsi="Times New Roman" w:cs="Times New Roman"/>
          <w:noProof/>
          <w:sz w:val="24"/>
          <w:szCs w:val="24"/>
        </w:rPr>
        <w:t>21.</w:t>
      </w:r>
      <w:r w:rsidRPr="001E35A2">
        <w:rPr>
          <w:rFonts w:ascii="Times New Roman" w:hAnsi="Times New Roman" w:cs="Times New Roman"/>
          <w:noProof/>
          <w:sz w:val="24"/>
          <w:szCs w:val="24"/>
        </w:rPr>
        <w:tab/>
        <w:t xml:space="preserve">Lea, C., Hertz-Picciotto, I. &amp; Anderson, A. Gender differences in healthy worker effect among synthetic vitreous fiber workers. </w:t>
      </w:r>
      <w:r w:rsidRPr="001E35A2">
        <w:rPr>
          <w:rFonts w:ascii="Times New Roman" w:hAnsi="Times New Roman" w:cs="Times New Roman"/>
          <w:i/>
          <w:iCs/>
          <w:noProof/>
          <w:sz w:val="24"/>
          <w:szCs w:val="24"/>
        </w:rPr>
        <w:t>Am J Epidemiol.</w:t>
      </w:r>
      <w:r w:rsidRPr="001E35A2">
        <w:rPr>
          <w:rFonts w:ascii="Times New Roman" w:hAnsi="Times New Roman" w:cs="Times New Roman"/>
          <w:noProof/>
          <w:sz w:val="24"/>
          <w:szCs w:val="24"/>
        </w:rPr>
        <w:t xml:space="preserve"> </w:t>
      </w:r>
      <w:r w:rsidRPr="001E35A2">
        <w:rPr>
          <w:rFonts w:ascii="Times New Roman" w:hAnsi="Times New Roman" w:cs="Times New Roman"/>
          <w:b/>
          <w:bCs/>
          <w:noProof/>
          <w:sz w:val="24"/>
          <w:szCs w:val="24"/>
        </w:rPr>
        <w:t>150</w:t>
      </w:r>
      <w:r w:rsidRPr="001E35A2">
        <w:rPr>
          <w:rFonts w:ascii="Times New Roman" w:hAnsi="Times New Roman" w:cs="Times New Roman"/>
          <w:noProof/>
          <w:sz w:val="24"/>
          <w:szCs w:val="24"/>
        </w:rPr>
        <w:t>, 1099–1106 (1999).</w:t>
      </w:r>
    </w:p>
    <w:p w14:paraId="35CB8732" w14:textId="47EA52B2" w:rsidR="005458EB" w:rsidRPr="001E35A2" w:rsidRDefault="005458EB" w:rsidP="00702863">
      <w:pPr>
        <w:widowControl w:val="0"/>
        <w:autoSpaceDE w:val="0"/>
        <w:autoSpaceDN w:val="0"/>
        <w:adjustRightInd w:val="0"/>
        <w:spacing w:line="240" w:lineRule="auto"/>
        <w:ind w:left="640" w:hanging="640"/>
        <w:rPr>
          <w:rFonts w:ascii="Times New Roman" w:hAnsi="Times New Roman" w:cs="Times New Roman"/>
          <w:noProof/>
          <w:sz w:val="24"/>
          <w:szCs w:val="24"/>
        </w:rPr>
      </w:pPr>
      <w:r w:rsidRPr="001E35A2">
        <w:rPr>
          <w:rFonts w:ascii="Times New Roman" w:hAnsi="Times New Roman" w:cs="Times New Roman"/>
          <w:noProof/>
          <w:sz w:val="24"/>
          <w:szCs w:val="24"/>
        </w:rPr>
        <w:t>22.</w:t>
      </w:r>
      <w:r w:rsidRPr="001E35A2">
        <w:rPr>
          <w:rFonts w:ascii="Times New Roman" w:hAnsi="Times New Roman" w:cs="Times New Roman"/>
          <w:noProof/>
          <w:sz w:val="24"/>
          <w:szCs w:val="24"/>
        </w:rPr>
        <w:tab/>
        <w:t>Eisen EA</w:t>
      </w:r>
      <w:r w:rsidR="00591688">
        <w:rPr>
          <w:rFonts w:ascii="Times New Roman" w:hAnsi="Times New Roman" w:cs="Times New Roman"/>
          <w:noProof/>
          <w:sz w:val="24"/>
          <w:szCs w:val="24"/>
        </w:rPr>
        <w:t xml:space="preserve"> </w:t>
      </w:r>
      <w:r w:rsidRPr="001E35A2">
        <w:rPr>
          <w:rFonts w:ascii="Times New Roman" w:hAnsi="Times New Roman" w:cs="Times New Roman"/>
          <w:noProof/>
          <w:sz w:val="24"/>
          <w:szCs w:val="24"/>
        </w:rPr>
        <w:t xml:space="preserve">Hallock MF, Monson RR, Smith TJ, Woskie SR, T. P. E. Mortality Studies of Machining Fluid Exposure in the Automobile Industry III: A case-control study of larynx cancer. </w:t>
      </w:r>
      <w:r w:rsidRPr="001E35A2">
        <w:rPr>
          <w:rFonts w:ascii="Times New Roman" w:hAnsi="Times New Roman" w:cs="Times New Roman"/>
          <w:i/>
          <w:iCs/>
          <w:noProof/>
          <w:sz w:val="24"/>
          <w:szCs w:val="24"/>
        </w:rPr>
        <w:t>Am J Indus Med.</w:t>
      </w:r>
      <w:r w:rsidRPr="001E35A2">
        <w:rPr>
          <w:rFonts w:ascii="Times New Roman" w:hAnsi="Times New Roman" w:cs="Times New Roman"/>
          <w:noProof/>
          <w:sz w:val="24"/>
          <w:szCs w:val="24"/>
        </w:rPr>
        <w:t xml:space="preserve"> </w:t>
      </w:r>
      <w:r w:rsidRPr="001E35A2">
        <w:rPr>
          <w:rFonts w:ascii="Times New Roman" w:hAnsi="Times New Roman" w:cs="Times New Roman"/>
          <w:b/>
          <w:bCs/>
          <w:noProof/>
          <w:sz w:val="24"/>
          <w:szCs w:val="24"/>
        </w:rPr>
        <w:t>26</w:t>
      </w:r>
      <w:r w:rsidRPr="001E35A2">
        <w:rPr>
          <w:rFonts w:ascii="Times New Roman" w:hAnsi="Times New Roman" w:cs="Times New Roman"/>
          <w:noProof/>
          <w:sz w:val="24"/>
          <w:szCs w:val="24"/>
        </w:rPr>
        <w:t>, 185–202 (1994).</w:t>
      </w:r>
    </w:p>
    <w:p w14:paraId="5C0E5703" w14:textId="77777777" w:rsidR="005458EB" w:rsidRPr="001E35A2" w:rsidRDefault="005458EB" w:rsidP="00702863">
      <w:pPr>
        <w:widowControl w:val="0"/>
        <w:autoSpaceDE w:val="0"/>
        <w:autoSpaceDN w:val="0"/>
        <w:adjustRightInd w:val="0"/>
        <w:spacing w:line="240" w:lineRule="auto"/>
        <w:ind w:left="640" w:hanging="640"/>
        <w:rPr>
          <w:rFonts w:ascii="Times New Roman" w:hAnsi="Times New Roman" w:cs="Times New Roman"/>
          <w:noProof/>
          <w:sz w:val="24"/>
          <w:szCs w:val="24"/>
        </w:rPr>
      </w:pPr>
      <w:r w:rsidRPr="001E35A2">
        <w:rPr>
          <w:rFonts w:ascii="Times New Roman" w:hAnsi="Times New Roman" w:cs="Times New Roman"/>
          <w:noProof/>
          <w:sz w:val="24"/>
          <w:szCs w:val="24"/>
        </w:rPr>
        <w:t>23.</w:t>
      </w:r>
      <w:r w:rsidRPr="001E35A2">
        <w:rPr>
          <w:rFonts w:ascii="Times New Roman" w:hAnsi="Times New Roman" w:cs="Times New Roman"/>
          <w:noProof/>
          <w:sz w:val="24"/>
          <w:szCs w:val="24"/>
        </w:rPr>
        <w:tab/>
        <w:t xml:space="preserve">Eisen, E. A., Tolbert, P. E., Monson, R. R. &amp; Smith, T. J. Mortality studies of machining fluid exposure in the automobile industry I: A standardized mortality ratio analysis. </w:t>
      </w:r>
      <w:r w:rsidRPr="001E35A2">
        <w:rPr>
          <w:rFonts w:ascii="Times New Roman" w:hAnsi="Times New Roman" w:cs="Times New Roman"/>
          <w:i/>
          <w:iCs/>
          <w:noProof/>
          <w:sz w:val="24"/>
          <w:szCs w:val="24"/>
        </w:rPr>
        <w:t>Am. J. Ind. Med.</w:t>
      </w:r>
      <w:r w:rsidRPr="001E35A2">
        <w:rPr>
          <w:rFonts w:ascii="Times New Roman" w:hAnsi="Times New Roman" w:cs="Times New Roman"/>
          <w:noProof/>
          <w:sz w:val="24"/>
          <w:szCs w:val="24"/>
        </w:rPr>
        <w:t xml:space="preserve"> </w:t>
      </w:r>
      <w:r w:rsidRPr="001E35A2">
        <w:rPr>
          <w:rFonts w:ascii="Times New Roman" w:hAnsi="Times New Roman" w:cs="Times New Roman"/>
          <w:b/>
          <w:bCs/>
          <w:noProof/>
          <w:sz w:val="24"/>
          <w:szCs w:val="24"/>
        </w:rPr>
        <w:t>22</w:t>
      </w:r>
      <w:r w:rsidRPr="001E35A2">
        <w:rPr>
          <w:rFonts w:ascii="Times New Roman" w:hAnsi="Times New Roman" w:cs="Times New Roman"/>
          <w:noProof/>
          <w:sz w:val="24"/>
          <w:szCs w:val="24"/>
        </w:rPr>
        <w:t>, (1992).</w:t>
      </w:r>
    </w:p>
    <w:p w14:paraId="2D2D03BB" w14:textId="77777777" w:rsidR="005458EB" w:rsidRPr="001E35A2" w:rsidRDefault="005458EB" w:rsidP="00702863">
      <w:pPr>
        <w:widowControl w:val="0"/>
        <w:autoSpaceDE w:val="0"/>
        <w:autoSpaceDN w:val="0"/>
        <w:adjustRightInd w:val="0"/>
        <w:spacing w:line="240" w:lineRule="auto"/>
        <w:ind w:left="640" w:hanging="640"/>
        <w:rPr>
          <w:rFonts w:ascii="Times New Roman" w:hAnsi="Times New Roman" w:cs="Times New Roman"/>
          <w:noProof/>
          <w:sz w:val="24"/>
          <w:szCs w:val="24"/>
        </w:rPr>
      </w:pPr>
      <w:r w:rsidRPr="001E35A2">
        <w:rPr>
          <w:rFonts w:ascii="Times New Roman" w:hAnsi="Times New Roman" w:cs="Times New Roman"/>
          <w:noProof/>
          <w:sz w:val="24"/>
          <w:szCs w:val="24"/>
        </w:rPr>
        <w:t>24.</w:t>
      </w:r>
      <w:r w:rsidRPr="001E35A2">
        <w:rPr>
          <w:rFonts w:ascii="Times New Roman" w:hAnsi="Times New Roman" w:cs="Times New Roman"/>
          <w:noProof/>
          <w:sz w:val="24"/>
          <w:szCs w:val="24"/>
        </w:rPr>
        <w:tab/>
        <w:t xml:space="preserve">Stone, D. M. </w:t>
      </w:r>
      <w:r w:rsidRPr="001E35A2">
        <w:rPr>
          <w:rFonts w:ascii="Times New Roman" w:hAnsi="Times New Roman" w:cs="Times New Roman"/>
          <w:i/>
          <w:iCs/>
          <w:noProof/>
          <w:sz w:val="24"/>
          <w:szCs w:val="24"/>
        </w:rPr>
        <w:t>et al.</w:t>
      </w:r>
      <w:r w:rsidRPr="001E35A2">
        <w:rPr>
          <w:rFonts w:ascii="Times New Roman" w:hAnsi="Times New Roman" w:cs="Times New Roman"/>
          <w:noProof/>
          <w:sz w:val="24"/>
          <w:szCs w:val="24"/>
        </w:rPr>
        <w:t xml:space="preserve"> Deciphering suicide and other manners of death associated with drug intoxication: A centers for disease control and prevention consultation meeting summary. </w:t>
      </w:r>
      <w:r w:rsidRPr="001E35A2">
        <w:rPr>
          <w:rFonts w:ascii="Times New Roman" w:hAnsi="Times New Roman" w:cs="Times New Roman"/>
          <w:i/>
          <w:iCs/>
          <w:noProof/>
          <w:sz w:val="24"/>
          <w:szCs w:val="24"/>
        </w:rPr>
        <w:t>Am. J. Public Health</w:t>
      </w:r>
      <w:r w:rsidRPr="001E35A2">
        <w:rPr>
          <w:rFonts w:ascii="Times New Roman" w:hAnsi="Times New Roman" w:cs="Times New Roman"/>
          <w:noProof/>
          <w:sz w:val="24"/>
          <w:szCs w:val="24"/>
        </w:rPr>
        <w:t xml:space="preserve"> </w:t>
      </w:r>
      <w:r w:rsidRPr="001E35A2">
        <w:rPr>
          <w:rFonts w:ascii="Times New Roman" w:hAnsi="Times New Roman" w:cs="Times New Roman"/>
          <w:b/>
          <w:bCs/>
          <w:noProof/>
          <w:sz w:val="24"/>
          <w:szCs w:val="24"/>
        </w:rPr>
        <w:t>107</w:t>
      </w:r>
      <w:r w:rsidRPr="001E35A2">
        <w:rPr>
          <w:rFonts w:ascii="Times New Roman" w:hAnsi="Times New Roman" w:cs="Times New Roman"/>
          <w:noProof/>
          <w:sz w:val="24"/>
          <w:szCs w:val="24"/>
        </w:rPr>
        <w:t>, 1233–1239 (2017).</w:t>
      </w:r>
    </w:p>
    <w:p w14:paraId="32F4D727" w14:textId="77777777" w:rsidR="005458EB" w:rsidRPr="001E35A2" w:rsidRDefault="005458EB" w:rsidP="00702863">
      <w:pPr>
        <w:widowControl w:val="0"/>
        <w:autoSpaceDE w:val="0"/>
        <w:autoSpaceDN w:val="0"/>
        <w:adjustRightInd w:val="0"/>
        <w:spacing w:line="240" w:lineRule="auto"/>
        <w:ind w:left="640" w:hanging="640"/>
        <w:rPr>
          <w:rFonts w:ascii="Times New Roman" w:hAnsi="Times New Roman" w:cs="Times New Roman"/>
          <w:noProof/>
          <w:sz w:val="24"/>
          <w:szCs w:val="24"/>
        </w:rPr>
      </w:pPr>
      <w:r w:rsidRPr="001E35A2">
        <w:rPr>
          <w:rFonts w:ascii="Times New Roman" w:hAnsi="Times New Roman" w:cs="Times New Roman"/>
          <w:noProof/>
          <w:sz w:val="24"/>
          <w:szCs w:val="24"/>
        </w:rPr>
        <w:t>25.</w:t>
      </w:r>
      <w:r w:rsidRPr="001E35A2">
        <w:rPr>
          <w:rFonts w:ascii="Times New Roman" w:hAnsi="Times New Roman" w:cs="Times New Roman"/>
          <w:noProof/>
          <w:sz w:val="24"/>
          <w:szCs w:val="24"/>
        </w:rPr>
        <w:tab/>
        <w:t xml:space="preserve">Therneau, T. &amp; Grambsch, P. </w:t>
      </w:r>
      <w:r w:rsidRPr="001E35A2">
        <w:rPr>
          <w:rFonts w:ascii="Times New Roman" w:hAnsi="Times New Roman" w:cs="Times New Roman"/>
          <w:i/>
          <w:iCs/>
          <w:noProof/>
          <w:sz w:val="24"/>
          <w:szCs w:val="24"/>
        </w:rPr>
        <w:t>Modeling Survival Data: Extending the Cox Model</w:t>
      </w:r>
      <w:r w:rsidRPr="001E35A2">
        <w:rPr>
          <w:rFonts w:ascii="Times New Roman" w:hAnsi="Times New Roman" w:cs="Times New Roman"/>
          <w:noProof/>
          <w:sz w:val="24"/>
          <w:szCs w:val="24"/>
        </w:rPr>
        <w:t>. (Springer, 2000).</w:t>
      </w:r>
    </w:p>
    <w:p w14:paraId="75EED22D" w14:textId="77777777" w:rsidR="005458EB" w:rsidRPr="001E35A2" w:rsidRDefault="005458EB" w:rsidP="00702863">
      <w:pPr>
        <w:widowControl w:val="0"/>
        <w:autoSpaceDE w:val="0"/>
        <w:autoSpaceDN w:val="0"/>
        <w:adjustRightInd w:val="0"/>
        <w:spacing w:line="240" w:lineRule="auto"/>
        <w:ind w:left="640" w:hanging="640"/>
        <w:rPr>
          <w:rFonts w:ascii="Times New Roman" w:hAnsi="Times New Roman" w:cs="Times New Roman"/>
          <w:noProof/>
          <w:sz w:val="24"/>
          <w:szCs w:val="24"/>
        </w:rPr>
      </w:pPr>
      <w:r w:rsidRPr="001E35A2">
        <w:rPr>
          <w:rFonts w:ascii="Times New Roman" w:hAnsi="Times New Roman" w:cs="Times New Roman"/>
          <w:noProof/>
          <w:sz w:val="24"/>
          <w:szCs w:val="24"/>
        </w:rPr>
        <w:t>26.</w:t>
      </w:r>
      <w:r w:rsidRPr="001E35A2">
        <w:rPr>
          <w:rFonts w:ascii="Times New Roman" w:hAnsi="Times New Roman" w:cs="Times New Roman"/>
          <w:noProof/>
          <w:sz w:val="24"/>
          <w:szCs w:val="24"/>
        </w:rPr>
        <w:tab/>
        <w:t>Therneau, T. A Package for Survival Analysis in S_. version 2.38. (2015).</w:t>
      </w:r>
    </w:p>
    <w:p w14:paraId="6601EE79" w14:textId="77777777" w:rsidR="005458EB" w:rsidRPr="001E35A2" w:rsidRDefault="005458EB" w:rsidP="00702863">
      <w:pPr>
        <w:widowControl w:val="0"/>
        <w:autoSpaceDE w:val="0"/>
        <w:autoSpaceDN w:val="0"/>
        <w:adjustRightInd w:val="0"/>
        <w:spacing w:line="240" w:lineRule="auto"/>
        <w:ind w:left="640" w:hanging="640"/>
        <w:rPr>
          <w:rFonts w:ascii="Times New Roman" w:hAnsi="Times New Roman" w:cs="Times New Roman"/>
          <w:noProof/>
          <w:sz w:val="24"/>
          <w:szCs w:val="24"/>
        </w:rPr>
      </w:pPr>
      <w:r w:rsidRPr="001E35A2">
        <w:rPr>
          <w:rFonts w:ascii="Times New Roman" w:hAnsi="Times New Roman" w:cs="Times New Roman"/>
          <w:noProof/>
          <w:sz w:val="24"/>
          <w:szCs w:val="24"/>
        </w:rPr>
        <w:t>27.</w:t>
      </w:r>
      <w:r w:rsidRPr="001E35A2">
        <w:rPr>
          <w:rFonts w:ascii="Times New Roman" w:hAnsi="Times New Roman" w:cs="Times New Roman"/>
          <w:noProof/>
          <w:sz w:val="24"/>
          <w:szCs w:val="24"/>
        </w:rPr>
        <w:tab/>
        <w:t xml:space="preserve">Burgard, S., Brand, J. &amp; House, J. Toward a better estimation of the effect of job loss on health. </w:t>
      </w:r>
      <w:r w:rsidRPr="001E35A2">
        <w:rPr>
          <w:rFonts w:ascii="Times New Roman" w:hAnsi="Times New Roman" w:cs="Times New Roman"/>
          <w:i/>
          <w:iCs/>
          <w:noProof/>
          <w:sz w:val="24"/>
          <w:szCs w:val="24"/>
        </w:rPr>
        <w:t>J Heal. Soc. Behav.</w:t>
      </w:r>
      <w:r w:rsidRPr="001E35A2">
        <w:rPr>
          <w:rFonts w:ascii="Times New Roman" w:hAnsi="Times New Roman" w:cs="Times New Roman"/>
          <w:noProof/>
          <w:sz w:val="24"/>
          <w:szCs w:val="24"/>
        </w:rPr>
        <w:t xml:space="preserve"> </w:t>
      </w:r>
      <w:r w:rsidRPr="001E35A2">
        <w:rPr>
          <w:rFonts w:ascii="Times New Roman" w:hAnsi="Times New Roman" w:cs="Times New Roman"/>
          <w:b/>
          <w:bCs/>
          <w:noProof/>
          <w:sz w:val="24"/>
          <w:szCs w:val="24"/>
        </w:rPr>
        <w:t>48</w:t>
      </w:r>
      <w:r w:rsidRPr="001E35A2">
        <w:rPr>
          <w:rFonts w:ascii="Times New Roman" w:hAnsi="Times New Roman" w:cs="Times New Roman"/>
          <w:noProof/>
          <w:sz w:val="24"/>
          <w:szCs w:val="24"/>
        </w:rPr>
        <w:t>, 369–84. (2007).</w:t>
      </w:r>
    </w:p>
    <w:p w14:paraId="732687F9" w14:textId="77777777" w:rsidR="005458EB" w:rsidRPr="001E35A2" w:rsidRDefault="005458EB" w:rsidP="00702863">
      <w:pPr>
        <w:widowControl w:val="0"/>
        <w:autoSpaceDE w:val="0"/>
        <w:autoSpaceDN w:val="0"/>
        <w:adjustRightInd w:val="0"/>
        <w:spacing w:line="240" w:lineRule="auto"/>
        <w:ind w:left="640" w:hanging="640"/>
        <w:rPr>
          <w:rFonts w:ascii="Times New Roman" w:hAnsi="Times New Roman" w:cs="Times New Roman"/>
          <w:noProof/>
          <w:sz w:val="24"/>
          <w:szCs w:val="24"/>
        </w:rPr>
      </w:pPr>
      <w:r w:rsidRPr="001E35A2">
        <w:rPr>
          <w:rFonts w:ascii="Times New Roman" w:hAnsi="Times New Roman" w:cs="Times New Roman"/>
          <w:noProof/>
          <w:sz w:val="24"/>
          <w:szCs w:val="24"/>
        </w:rPr>
        <w:t>28.</w:t>
      </w:r>
      <w:r w:rsidRPr="001E35A2">
        <w:rPr>
          <w:rFonts w:ascii="Times New Roman" w:hAnsi="Times New Roman" w:cs="Times New Roman"/>
          <w:noProof/>
          <w:sz w:val="24"/>
          <w:szCs w:val="24"/>
        </w:rPr>
        <w:tab/>
        <w:t xml:space="preserve">Brand, J. The Far-Reaching Impact of Job Loss and Unemployment. </w:t>
      </w:r>
      <w:r w:rsidRPr="001E35A2">
        <w:rPr>
          <w:rFonts w:ascii="Times New Roman" w:hAnsi="Times New Roman" w:cs="Times New Roman"/>
          <w:i/>
          <w:iCs/>
          <w:noProof/>
          <w:sz w:val="24"/>
          <w:szCs w:val="24"/>
        </w:rPr>
        <w:t>Annu. Rev. Sociol.</w:t>
      </w:r>
      <w:r w:rsidRPr="001E35A2">
        <w:rPr>
          <w:rFonts w:ascii="Times New Roman" w:hAnsi="Times New Roman" w:cs="Times New Roman"/>
          <w:noProof/>
          <w:sz w:val="24"/>
          <w:szCs w:val="24"/>
        </w:rPr>
        <w:t xml:space="preserve"> </w:t>
      </w:r>
      <w:r w:rsidRPr="001E35A2">
        <w:rPr>
          <w:rFonts w:ascii="Times New Roman" w:hAnsi="Times New Roman" w:cs="Times New Roman"/>
          <w:b/>
          <w:bCs/>
          <w:noProof/>
          <w:sz w:val="24"/>
          <w:szCs w:val="24"/>
        </w:rPr>
        <w:t>41</w:t>
      </w:r>
      <w:r w:rsidRPr="001E35A2">
        <w:rPr>
          <w:rFonts w:ascii="Times New Roman" w:hAnsi="Times New Roman" w:cs="Times New Roman"/>
          <w:noProof/>
          <w:sz w:val="24"/>
          <w:szCs w:val="24"/>
        </w:rPr>
        <w:t>, 359–75 (2015).</w:t>
      </w:r>
    </w:p>
    <w:p w14:paraId="283B4A81" w14:textId="77777777" w:rsidR="005458EB" w:rsidRPr="001E35A2" w:rsidRDefault="005458EB" w:rsidP="00702863">
      <w:pPr>
        <w:widowControl w:val="0"/>
        <w:autoSpaceDE w:val="0"/>
        <w:autoSpaceDN w:val="0"/>
        <w:adjustRightInd w:val="0"/>
        <w:spacing w:line="240" w:lineRule="auto"/>
        <w:ind w:left="640" w:hanging="640"/>
        <w:rPr>
          <w:rFonts w:ascii="Times New Roman" w:hAnsi="Times New Roman" w:cs="Times New Roman"/>
          <w:noProof/>
          <w:sz w:val="24"/>
          <w:szCs w:val="24"/>
        </w:rPr>
      </w:pPr>
      <w:r w:rsidRPr="001E35A2">
        <w:rPr>
          <w:rFonts w:ascii="Times New Roman" w:hAnsi="Times New Roman" w:cs="Times New Roman"/>
          <w:noProof/>
          <w:sz w:val="24"/>
          <w:szCs w:val="24"/>
        </w:rPr>
        <w:t>29.</w:t>
      </w:r>
      <w:r w:rsidRPr="001E35A2">
        <w:rPr>
          <w:rFonts w:ascii="Times New Roman" w:hAnsi="Times New Roman" w:cs="Times New Roman"/>
          <w:noProof/>
          <w:sz w:val="24"/>
          <w:szCs w:val="24"/>
        </w:rPr>
        <w:tab/>
        <w:t xml:space="preserve">Classen, T. &amp; Dunn, R. The Effect of Job Loss and Unemployment Duration on Suicide Risk in the US: A new look using mass-layoffs and unemployment duration. </w:t>
      </w:r>
      <w:r w:rsidRPr="001E35A2">
        <w:rPr>
          <w:rFonts w:ascii="Times New Roman" w:hAnsi="Times New Roman" w:cs="Times New Roman"/>
          <w:i/>
          <w:iCs/>
          <w:noProof/>
          <w:sz w:val="24"/>
          <w:szCs w:val="24"/>
        </w:rPr>
        <w:t>Health Econ.</w:t>
      </w:r>
      <w:r w:rsidRPr="001E35A2">
        <w:rPr>
          <w:rFonts w:ascii="Times New Roman" w:hAnsi="Times New Roman" w:cs="Times New Roman"/>
          <w:noProof/>
          <w:sz w:val="24"/>
          <w:szCs w:val="24"/>
        </w:rPr>
        <w:t xml:space="preserve"> </w:t>
      </w:r>
      <w:r w:rsidRPr="001E35A2">
        <w:rPr>
          <w:rFonts w:ascii="Times New Roman" w:hAnsi="Times New Roman" w:cs="Times New Roman"/>
          <w:b/>
          <w:bCs/>
          <w:noProof/>
          <w:sz w:val="24"/>
          <w:szCs w:val="24"/>
        </w:rPr>
        <w:t>21</w:t>
      </w:r>
      <w:r w:rsidRPr="001E35A2">
        <w:rPr>
          <w:rFonts w:ascii="Times New Roman" w:hAnsi="Times New Roman" w:cs="Times New Roman"/>
          <w:noProof/>
          <w:sz w:val="24"/>
          <w:szCs w:val="24"/>
        </w:rPr>
        <w:t>, 338–350 (2012).</w:t>
      </w:r>
    </w:p>
    <w:p w14:paraId="05A5F1D6" w14:textId="77777777" w:rsidR="005458EB" w:rsidRPr="001E35A2" w:rsidRDefault="005458EB" w:rsidP="00702863">
      <w:pPr>
        <w:widowControl w:val="0"/>
        <w:autoSpaceDE w:val="0"/>
        <w:autoSpaceDN w:val="0"/>
        <w:adjustRightInd w:val="0"/>
        <w:spacing w:line="240" w:lineRule="auto"/>
        <w:ind w:left="640" w:hanging="640"/>
        <w:rPr>
          <w:rFonts w:ascii="Times New Roman" w:hAnsi="Times New Roman" w:cs="Times New Roman"/>
          <w:noProof/>
          <w:sz w:val="24"/>
          <w:szCs w:val="24"/>
        </w:rPr>
      </w:pPr>
      <w:r w:rsidRPr="001E35A2">
        <w:rPr>
          <w:rFonts w:ascii="Times New Roman" w:hAnsi="Times New Roman" w:cs="Times New Roman"/>
          <w:noProof/>
          <w:sz w:val="24"/>
          <w:szCs w:val="24"/>
        </w:rPr>
        <w:t>30.</w:t>
      </w:r>
      <w:r w:rsidRPr="001E35A2">
        <w:rPr>
          <w:rFonts w:ascii="Times New Roman" w:hAnsi="Times New Roman" w:cs="Times New Roman"/>
          <w:noProof/>
          <w:sz w:val="24"/>
          <w:szCs w:val="24"/>
        </w:rPr>
        <w:tab/>
        <w:t xml:space="preserve">Elser, H. </w:t>
      </w:r>
      <w:r w:rsidRPr="001E35A2">
        <w:rPr>
          <w:rFonts w:ascii="Times New Roman" w:hAnsi="Times New Roman" w:cs="Times New Roman"/>
          <w:i/>
          <w:iCs/>
          <w:noProof/>
          <w:sz w:val="24"/>
          <w:szCs w:val="24"/>
        </w:rPr>
        <w:t>et al.</w:t>
      </w:r>
      <w:r w:rsidRPr="001E35A2">
        <w:rPr>
          <w:rFonts w:ascii="Times New Roman" w:hAnsi="Times New Roman" w:cs="Times New Roman"/>
          <w:noProof/>
          <w:sz w:val="24"/>
          <w:szCs w:val="24"/>
        </w:rPr>
        <w:t xml:space="preserve"> Layoffs and the mental health and safety of remaining workers: A difference-in-differences analysis of the US aluminium industry. </w:t>
      </w:r>
      <w:r w:rsidRPr="001E35A2">
        <w:rPr>
          <w:rFonts w:ascii="Times New Roman" w:hAnsi="Times New Roman" w:cs="Times New Roman"/>
          <w:i/>
          <w:iCs/>
          <w:noProof/>
          <w:sz w:val="24"/>
          <w:szCs w:val="24"/>
        </w:rPr>
        <w:t>J. Epidemiol. Community Health</w:t>
      </w:r>
      <w:r w:rsidRPr="001E35A2">
        <w:rPr>
          <w:rFonts w:ascii="Times New Roman" w:hAnsi="Times New Roman" w:cs="Times New Roman"/>
          <w:noProof/>
          <w:sz w:val="24"/>
          <w:szCs w:val="24"/>
        </w:rPr>
        <w:t xml:space="preserve"> </w:t>
      </w:r>
      <w:r w:rsidRPr="001E35A2">
        <w:rPr>
          <w:rFonts w:ascii="Times New Roman" w:hAnsi="Times New Roman" w:cs="Times New Roman"/>
          <w:b/>
          <w:bCs/>
          <w:noProof/>
          <w:sz w:val="24"/>
          <w:szCs w:val="24"/>
        </w:rPr>
        <w:t>73</w:t>
      </w:r>
      <w:r w:rsidRPr="001E35A2">
        <w:rPr>
          <w:rFonts w:ascii="Times New Roman" w:hAnsi="Times New Roman" w:cs="Times New Roman"/>
          <w:noProof/>
          <w:sz w:val="24"/>
          <w:szCs w:val="24"/>
        </w:rPr>
        <w:t>, 1094–1100 (2019).</w:t>
      </w:r>
    </w:p>
    <w:p w14:paraId="4A3B5058" w14:textId="77777777" w:rsidR="005458EB" w:rsidRPr="001E35A2" w:rsidRDefault="005458EB" w:rsidP="00702863">
      <w:pPr>
        <w:widowControl w:val="0"/>
        <w:autoSpaceDE w:val="0"/>
        <w:autoSpaceDN w:val="0"/>
        <w:adjustRightInd w:val="0"/>
        <w:spacing w:line="240" w:lineRule="auto"/>
        <w:ind w:left="640" w:hanging="640"/>
        <w:rPr>
          <w:rFonts w:ascii="Times New Roman" w:hAnsi="Times New Roman" w:cs="Times New Roman"/>
          <w:noProof/>
          <w:sz w:val="24"/>
          <w:szCs w:val="24"/>
        </w:rPr>
      </w:pPr>
      <w:r w:rsidRPr="001E35A2">
        <w:rPr>
          <w:rFonts w:ascii="Times New Roman" w:hAnsi="Times New Roman" w:cs="Times New Roman"/>
          <w:noProof/>
          <w:sz w:val="24"/>
          <w:szCs w:val="24"/>
        </w:rPr>
        <w:t>31.</w:t>
      </w:r>
      <w:r w:rsidRPr="001E35A2">
        <w:rPr>
          <w:rFonts w:ascii="Times New Roman" w:hAnsi="Times New Roman" w:cs="Times New Roman"/>
          <w:noProof/>
          <w:sz w:val="24"/>
          <w:szCs w:val="24"/>
        </w:rPr>
        <w:tab/>
        <w:t>Dow, W. H., Godøy, A., Lowenstein, C. A., Reich, M. &amp; Way, C. NBER WORKING PAPER SERIES CAN ECONOMIC POLICIES REDUCE DEATHS OF DESPAIR? Can Economic Policies Reduce Deaths of Despair? (2019).</w:t>
      </w:r>
    </w:p>
    <w:p w14:paraId="6086233F" w14:textId="77777777" w:rsidR="005458EB" w:rsidRPr="001E35A2" w:rsidRDefault="005458EB" w:rsidP="00702863">
      <w:pPr>
        <w:widowControl w:val="0"/>
        <w:autoSpaceDE w:val="0"/>
        <w:autoSpaceDN w:val="0"/>
        <w:adjustRightInd w:val="0"/>
        <w:spacing w:line="240" w:lineRule="auto"/>
        <w:ind w:left="640" w:hanging="640"/>
        <w:rPr>
          <w:rFonts w:ascii="Times New Roman" w:hAnsi="Times New Roman" w:cs="Times New Roman"/>
          <w:noProof/>
          <w:sz w:val="24"/>
          <w:szCs w:val="24"/>
        </w:rPr>
      </w:pPr>
      <w:r w:rsidRPr="001E35A2">
        <w:rPr>
          <w:rFonts w:ascii="Times New Roman" w:hAnsi="Times New Roman" w:cs="Times New Roman"/>
          <w:noProof/>
          <w:sz w:val="24"/>
          <w:szCs w:val="24"/>
        </w:rPr>
        <w:t>32.</w:t>
      </w:r>
      <w:r w:rsidRPr="001E35A2">
        <w:rPr>
          <w:rFonts w:ascii="Times New Roman" w:hAnsi="Times New Roman" w:cs="Times New Roman"/>
          <w:noProof/>
          <w:sz w:val="24"/>
          <w:szCs w:val="24"/>
        </w:rPr>
        <w:tab/>
        <w:t xml:space="preserve">Eisenberg-Guyot, J., Mooney, S. J., Hagopian, A., Barrington, W. E. &amp; Hajat, A. </w:t>
      </w:r>
      <w:r w:rsidRPr="001E35A2">
        <w:rPr>
          <w:rFonts w:ascii="Times New Roman" w:hAnsi="Times New Roman" w:cs="Times New Roman"/>
          <w:noProof/>
          <w:sz w:val="24"/>
          <w:szCs w:val="24"/>
        </w:rPr>
        <w:lastRenderedPageBreak/>
        <w:t xml:space="preserve">Solidarity and disparity: declining labor union density and changing racial and educational mortality inequities. </w:t>
      </w:r>
      <w:r w:rsidRPr="001E35A2">
        <w:rPr>
          <w:rFonts w:ascii="Times New Roman" w:hAnsi="Times New Roman" w:cs="Times New Roman"/>
          <w:i/>
          <w:iCs/>
          <w:noProof/>
          <w:sz w:val="24"/>
          <w:szCs w:val="24"/>
        </w:rPr>
        <w:t>Am. J. Ind. Med.</w:t>
      </w:r>
      <w:r w:rsidRPr="001E35A2">
        <w:rPr>
          <w:rFonts w:ascii="Times New Roman" w:hAnsi="Times New Roman" w:cs="Times New Roman"/>
          <w:noProof/>
          <w:sz w:val="24"/>
          <w:szCs w:val="24"/>
        </w:rPr>
        <w:t xml:space="preserve"> 1–14 (2019). doi:10.1002/ajim.23081</w:t>
      </w:r>
    </w:p>
    <w:p w14:paraId="15031B94" w14:textId="77777777" w:rsidR="005458EB" w:rsidRPr="001E35A2" w:rsidRDefault="005458EB" w:rsidP="00702863">
      <w:pPr>
        <w:widowControl w:val="0"/>
        <w:autoSpaceDE w:val="0"/>
        <w:autoSpaceDN w:val="0"/>
        <w:adjustRightInd w:val="0"/>
        <w:spacing w:line="240" w:lineRule="auto"/>
        <w:ind w:left="640" w:hanging="640"/>
        <w:rPr>
          <w:rFonts w:ascii="Times New Roman" w:hAnsi="Times New Roman" w:cs="Times New Roman"/>
          <w:noProof/>
          <w:sz w:val="24"/>
          <w:szCs w:val="24"/>
        </w:rPr>
      </w:pPr>
      <w:r w:rsidRPr="001E35A2">
        <w:rPr>
          <w:rFonts w:ascii="Times New Roman" w:hAnsi="Times New Roman" w:cs="Times New Roman"/>
          <w:noProof/>
          <w:sz w:val="24"/>
          <w:szCs w:val="24"/>
        </w:rPr>
        <w:t>33.</w:t>
      </w:r>
      <w:r w:rsidRPr="001E35A2">
        <w:rPr>
          <w:rFonts w:ascii="Times New Roman" w:hAnsi="Times New Roman" w:cs="Times New Roman"/>
          <w:noProof/>
          <w:sz w:val="24"/>
          <w:szCs w:val="24"/>
        </w:rPr>
        <w:tab/>
        <w:t xml:space="preserve">Venkataramani, A. S., Bair, E. F., O’Brien, R. L. &amp; Tsai, A. C. Association Between Automotive Assembly Plant Closures and Opioid Overdose Mortality in the United States: A Difference-in-Differences Analysis. </w:t>
      </w:r>
      <w:r w:rsidRPr="001E35A2">
        <w:rPr>
          <w:rFonts w:ascii="Times New Roman" w:hAnsi="Times New Roman" w:cs="Times New Roman"/>
          <w:i/>
          <w:iCs/>
          <w:noProof/>
          <w:sz w:val="24"/>
          <w:szCs w:val="24"/>
        </w:rPr>
        <w:t>JAMA Intern. Med.</w:t>
      </w:r>
      <w:r w:rsidRPr="001E35A2">
        <w:rPr>
          <w:rFonts w:ascii="Times New Roman" w:hAnsi="Times New Roman" w:cs="Times New Roman"/>
          <w:noProof/>
          <w:sz w:val="24"/>
          <w:szCs w:val="24"/>
        </w:rPr>
        <w:t xml:space="preserve"> </w:t>
      </w:r>
      <w:r w:rsidRPr="001E35A2">
        <w:rPr>
          <w:rFonts w:ascii="Times New Roman" w:hAnsi="Times New Roman" w:cs="Times New Roman"/>
          <w:b/>
          <w:bCs/>
          <w:noProof/>
          <w:sz w:val="24"/>
          <w:szCs w:val="24"/>
        </w:rPr>
        <w:t>19104</w:t>
      </w:r>
      <w:r w:rsidRPr="001E35A2">
        <w:rPr>
          <w:rFonts w:ascii="Times New Roman" w:hAnsi="Times New Roman" w:cs="Times New Roman"/>
          <w:noProof/>
          <w:sz w:val="24"/>
          <w:szCs w:val="24"/>
        </w:rPr>
        <w:t>, 1–9 (2019).</w:t>
      </w:r>
    </w:p>
    <w:p w14:paraId="74A9EF73" w14:textId="11ACB871" w:rsidR="00621CBA" w:rsidRDefault="00CC087C" w:rsidP="00702863">
      <w:pPr>
        <w:spacing w:line="480" w:lineRule="auto"/>
        <w:rPr>
          <w:rFonts w:ascii="Times New Roman" w:hAnsi="Times New Roman" w:cs="Times New Roman"/>
          <w:b/>
          <w:sz w:val="24"/>
          <w:szCs w:val="24"/>
        </w:rPr>
      </w:pPr>
      <w:r w:rsidRPr="001E35A2">
        <w:rPr>
          <w:rFonts w:ascii="Times New Roman" w:hAnsi="Times New Roman" w:cs="Times New Roman"/>
          <w:sz w:val="24"/>
          <w:szCs w:val="24"/>
        </w:rPr>
        <w:fldChar w:fldCharType="end"/>
      </w:r>
      <w:r w:rsidR="00282E49">
        <w:rPr>
          <w:rFonts w:ascii="Times New Roman" w:hAnsi="Times New Roman" w:cs="Times New Roman"/>
          <w:sz w:val="24"/>
          <w:szCs w:val="24"/>
        </w:rPr>
        <w:br w:type="page"/>
      </w:r>
      <w:r w:rsidR="00282E49" w:rsidRPr="00282E49">
        <w:rPr>
          <w:rFonts w:ascii="Times New Roman" w:hAnsi="Times New Roman" w:cs="Times New Roman"/>
          <w:b/>
          <w:sz w:val="24"/>
          <w:szCs w:val="24"/>
        </w:rPr>
        <w:lastRenderedPageBreak/>
        <w:t>Tables</w:t>
      </w:r>
    </w:p>
    <w:p w14:paraId="03EF5F44" w14:textId="77777777" w:rsidR="00251808" w:rsidRPr="0090465C" w:rsidRDefault="00251808" w:rsidP="00EA7DE1">
      <w:pPr>
        <w:pStyle w:val="TableCaption"/>
        <w:rPr>
          <w:rFonts w:cs="Times New Roman"/>
        </w:rPr>
      </w:pPr>
      <w:r w:rsidRPr="0090465C">
        <w:rPr>
          <w:rFonts w:cs="Times New Roman"/>
          <w:b/>
        </w:rPr>
        <w:t>Table 1.</w:t>
      </w:r>
      <w:r w:rsidRPr="0090465C">
        <w:rPr>
          <w:rFonts w:cs="Times New Roman"/>
        </w:rPr>
        <w:t xml:space="preserve"> Summary of the </w:t>
      </w:r>
      <w:r w:rsidRPr="0090465C">
        <w:rPr>
          <w:rFonts w:cs="Times New Roman"/>
          <w:b/>
        </w:rPr>
        <w:t>UAW-GM Cohort</w:t>
      </w:r>
      <w:r w:rsidRPr="0090465C">
        <w:rPr>
          <w:rFonts w:cs="Times New Roman"/>
        </w:rPr>
        <w:t xml:space="preserve"> restricted to men employed in or after 1970.</w:t>
      </w:r>
    </w:p>
    <w:tbl>
      <w:tblPr>
        <w:tblStyle w:val="Table"/>
        <w:tblW w:w="4129" w:type="pct"/>
        <w:jc w:val="center"/>
        <w:tblLayout w:type="fixed"/>
        <w:tblCellMar>
          <w:left w:w="115" w:type="dxa"/>
          <w:right w:w="115" w:type="dxa"/>
        </w:tblCellMar>
        <w:tblLook w:val="07E0" w:firstRow="1" w:lastRow="1" w:firstColumn="1" w:lastColumn="1" w:noHBand="1" w:noVBand="1"/>
      </w:tblPr>
      <w:tblGrid>
        <w:gridCol w:w="2800"/>
        <w:gridCol w:w="986"/>
        <w:gridCol w:w="1343"/>
        <w:gridCol w:w="250"/>
        <w:gridCol w:w="986"/>
        <w:gridCol w:w="1343"/>
        <w:gridCol w:w="21"/>
      </w:tblGrid>
      <w:tr w:rsidR="00251808" w:rsidRPr="0090465C" w14:paraId="0A097BAD" w14:textId="77777777" w:rsidTr="006C2326">
        <w:trPr>
          <w:gridAfter w:val="1"/>
          <w:wAfter w:w="22" w:type="dxa"/>
          <w:jc w:val="center"/>
        </w:trPr>
        <w:tc>
          <w:tcPr>
            <w:tcW w:w="2879" w:type="dxa"/>
            <w:tcBorders>
              <w:top w:val="single" w:sz="4" w:space="0" w:color="auto"/>
            </w:tcBorders>
            <w:noWrap/>
            <w:tcMar>
              <w:left w:w="115" w:type="dxa"/>
              <w:right w:w="115" w:type="dxa"/>
            </w:tcMar>
            <w:vAlign w:val="center"/>
          </w:tcPr>
          <w:p w14:paraId="112674AB" w14:textId="77777777" w:rsidR="00251808" w:rsidRPr="0090465C" w:rsidRDefault="00251808" w:rsidP="00EA7DE1">
            <w:pPr>
              <w:spacing w:after="0"/>
              <w:jc w:val="center"/>
              <w:rPr>
                <w:rFonts w:cs="Times New Roman"/>
              </w:rPr>
            </w:pPr>
          </w:p>
        </w:tc>
        <w:tc>
          <w:tcPr>
            <w:tcW w:w="2384" w:type="dxa"/>
            <w:gridSpan w:val="2"/>
            <w:tcBorders>
              <w:top w:val="single" w:sz="4" w:space="0" w:color="auto"/>
              <w:bottom w:val="single" w:sz="4" w:space="0" w:color="auto"/>
            </w:tcBorders>
            <w:noWrap/>
            <w:tcMar>
              <w:left w:w="115" w:type="dxa"/>
              <w:right w:w="115" w:type="dxa"/>
            </w:tcMar>
            <w:vAlign w:val="center"/>
          </w:tcPr>
          <w:p w14:paraId="0B568A1C" w14:textId="77777777" w:rsidR="00251808" w:rsidRPr="0090465C" w:rsidRDefault="00251808" w:rsidP="00EA7DE1">
            <w:pPr>
              <w:spacing w:after="0"/>
              <w:jc w:val="center"/>
              <w:rPr>
                <w:rFonts w:cs="Times New Roman"/>
              </w:rPr>
            </w:pPr>
            <w:r w:rsidRPr="0090465C">
              <w:rPr>
                <w:rFonts w:cs="Times New Roman"/>
              </w:rPr>
              <w:t>Full cohort</w:t>
            </w:r>
          </w:p>
        </w:tc>
        <w:tc>
          <w:tcPr>
            <w:tcW w:w="250" w:type="dxa"/>
            <w:tcBorders>
              <w:top w:val="single" w:sz="4" w:space="0" w:color="auto"/>
            </w:tcBorders>
            <w:noWrap/>
            <w:tcMar>
              <w:left w:w="115" w:type="dxa"/>
              <w:right w:w="115" w:type="dxa"/>
            </w:tcMar>
            <w:vAlign w:val="center"/>
          </w:tcPr>
          <w:p w14:paraId="11FCFA50" w14:textId="77777777" w:rsidR="00251808" w:rsidRPr="0090465C" w:rsidRDefault="00251808" w:rsidP="00EA7DE1">
            <w:pPr>
              <w:spacing w:after="0"/>
              <w:jc w:val="center"/>
              <w:rPr>
                <w:rFonts w:cs="Times New Roman"/>
              </w:rPr>
            </w:pPr>
          </w:p>
        </w:tc>
        <w:tc>
          <w:tcPr>
            <w:tcW w:w="2384" w:type="dxa"/>
            <w:gridSpan w:val="2"/>
            <w:tcBorders>
              <w:top w:val="single" w:sz="4" w:space="0" w:color="auto"/>
              <w:bottom w:val="single" w:sz="4" w:space="0" w:color="auto"/>
            </w:tcBorders>
            <w:noWrap/>
            <w:tcMar>
              <w:left w:w="115" w:type="dxa"/>
              <w:right w:w="115" w:type="dxa"/>
            </w:tcMar>
            <w:vAlign w:val="center"/>
          </w:tcPr>
          <w:p w14:paraId="311B93FF" w14:textId="77777777" w:rsidR="00251808" w:rsidRPr="0090465C" w:rsidRDefault="00251808" w:rsidP="00EA7DE1">
            <w:pPr>
              <w:spacing w:after="0"/>
              <w:jc w:val="center"/>
              <w:rPr>
                <w:rFonts w:cs="Times New Roman"/>
              </w:rPr>
            </w:pPr>
            <w:r w:rsidRPr="0090465C">
              <w:rPr>
                <w:rFonts w:cs="Times New Roman"/>
              </w:rPr>
              <w:t>Subset with complete records</w:t>
            </w:r>
            <m:oMath>
              <m:sSup>
                <m:sSupPr>
                  <m:ctrlPr>
                    <w:rPr>
                      <w:rFonts w:ascii="Cambria Math" w:hAnsi="Cambria Math" w:cs="Times New Roman"/>
                    </w:rPr>
                  </m:ctrlPr>
                </m:sSupPr>
                <m:e>
                  <m:r>
                    <w:rPr>
                      <w:rFonts w:ascii="Cambria Math" w:hAnsi="Cambria Math" w:cs="Times New Roman"/>
                    </w:rPr>
                    <m:t xml:space="preserve">​ </m:t>
                  </m:r>
                </m:e>
                <m:sup>
                  <m:r>
                    <w:rPr>
                      <w:rFonts w:ascii="Cambria Math" w:hAnsi="Cambria Math" w:cs="Times New Roman"/>
                    </w:rPr>
                    <m:t>b</m:t>
                  </m:r>
                </m:sup>
              </m:sSup>
            </m:oMath>
          </w:p>
        </w:tc>
      </w:tr>
      <w:tr w:rsidR="00251808" w:rsidRPr="0090465C" w14:paraId="4B03741B" w14:textId="77777777" w:rsidTr="006C2326">
        <w:trPr>
          <w:gridAfter w:val="1"/>
          <w:wAfter w:w="22" w:type="dxa"/>
          <w:jc w:val="center"/>
        </w:trPr>
        <w:tc>
          <w:tcPr>
            <w:tcW w:w="2879" w:type="dxa"/>
            <w:noWrap/>
            <w:tcMar>
              <w:left w:w="115" w:type="dxa"/>
              <w:right w:w="115" w:type="dxa"/>
            </w:tcMar>
          </w:tcPr>
          <w:p w14:paraId="28DA4DC0" w14:textId="77777777" w:rsidR="00251808" w:rsidRPr="0090465C" w:rsidRDefault="00251808" w:rsidP="00EA7DE1">
            <w:pPr>
              <w:pStyle w:val="Compact"/>
              <w:rPr>
                <w:rFonts w:cs="Times New Roman"/>
              </w:rPr>
            </w:pPr>
            <m:oMath>
              <m:r>
                <w:rPr>
                  <w:rFonts w:ascii="Cambria Math" w:hAnsi="Cambria Math" w:cs="Times New Roman"/>
                </w:rPr>
                <m:t>N</m:t>
              </m:r>
            </m:oMath>
            <w:r w:rsidRPr="0090465C">
              <w:rPr>
                <w:rFonts w:cs="Times New Roman"/>
              </w:rPr>
              <w:t xml:space="preserve"> (person-years)</w:t>
            </w:r>
          </w:p>
        </w:tc>
        <w:tc>
          <w:tcPr>
            <w:tcW w:w="1008" w:type="dxa"/>
            <w:tcBorders>
              <w:top w:val="single" w:sz="4" w:space="0" w:color="auto"/>
            </w:tcBorders>
            <w:noWrap/>
            <w:tcMar>
              <w:left w:w="115" w:type="dxa"/>
              <w:right w:w="115" w:type="dxa"/>
            </w:tcMar>
          </w:tcPr>
          <w:p w14:paraId="59E5978A" w14:textId="77777777" w:rsidR="00251808" w:rsidRPr="0090465C" w:rsidRDefault="00251808" w:rsidP="00EA7DE1">
            <w:pPr>
              <w:pStyle w:val="Compact"/>
              <w:jc w:val="right"/>
              <w:rPr>
                <w:rFonts w:cs="Times New Roman"/>
              </w:rPr>
            </w:pPr>
            <m:oMathPara>
              <m:oMath>
                <m:r>
                  <w:rPr>
                    <w:rFonts w:ascii="Cambria Math" w:hAnsi="Cambria Math" w:cs="Times New Roman"/>
                  </w:rPr>
                  <m:t>26 890</m:t>
                </m:r>
              </m:oMath>
            </m:oMathPara>
          </w:p>
        </w:tc>
        <w:tc>
          <w:tcPr>
            <w:tcW w:w="1376" w:type="dxa"/>
            <w:tcBorders>
              <w:top w:val="single" w:sz="4" w:space="0" w:color="auto"/>
            </w:tcBorders>
            <w:noWrap/>
            <w:tcMar>
              <w:left w:w="115" w:type="dxa"/>
              <w:right w:w="115" w:type="dxa"/>
            </w:tcMar>
          </w:tcPr>
          <w:p w14:paraId="57F36C56" w14:textId="77777777" w:rsidR="00251808" w:rsidRPr="0090465C" w:rsidRDefault="00251808" w:rsidP="00EA7DE1">
            <w:pPr>
              <w:pStyle w:val="Compact"/>
              <w:rPr>
                <w:rFonts w:cs="Times New Roman"/>
              </w:rPr>
            </w:pPr>
            <m:oMathPara>
              <m:oMath>
                <m:r>
                  <w:rPr>
                    <w:rFonts w:ascii="Cambria Math" w:hAnsi="Cambria Math" w:cs="Times New Roman"/>
                  </w:rPr>
                  <m:t>(933 187)</m:t>
                </m:r>
              </m:oMath>
            </m:oMathPara>
          </w:p>
        </w:tc>
        <w:tc>
          <w:tcPr>
            <w:tcW w:w="250" w:type="dxa"/>
            <w:noWrap/>
            <w:tcMar>
              <w:left w:w="115" w:type="dxa"/>
              <w:right w:w="115" w:type="dxa"/>
            </w:tcMar>
          </w:tcPr>
          <w:p w14:paraId="30900BF7" w14:textId="77777777" w:rsidR="00251808" w:rsidRPr="0090465C" w:rsidRDefault="00251808" w:rsidP="00EA7DE1">
            <w:pPr>
              <w:spacing w:after="0"/>
              <w:rPr>
                <w:rFonts w:cs="Times New Roman"/>
              </w:rPr>
            </w:pPr>
          </w:p>
        </w:tc>
        <w:tc>
          <w:tcPr>
            <w:tcW w:w="1008" w:type="dxa"/>
            <w:tcBorders>
              <w:top w:val="single" w:sz="4" w:space="0" w:color="auto"/>
            </w:tcBorders>
            <w:noWrap/>
            <w:tcMar>
              <w:left w:w="115" w:type="dxa"/>
              <w:right w:w="115" w:type="dxa"/>
            </w:tcMar>
          </w:tcPr>
          <w:p w14:paraId="2127CBB6" w14:textId="77777777" w:rsidR="00251808" w:rsidRPr="0090465C" w:rsidRDefault="00251808" w:rsidP="00EA7DE1">
            <w:pPr>
              <w:pStyle w:val="Compact"/>
              <w:jc w:val="right"/>
              <w:rPr>
                <w:rFonts w:cs="Times New Roman"/>
              </w:rPr>
            </w:pPr>
            <m:oMathPara>
              <m:oMath>
                <m:r>
                  <w:rPr>
                    <w:rFonts w:ascii="Cambria Math" w:hAnsi="Cambria Math" w:cs="Times New Roman"/>
                  </w:rPr>
                  <m:t>19 663</m:t>
                </m:r>
              </m:oMath>
            </m:oMathPara>
          </w:p>
        </w:tc>
        <w:tc>
          <w:tcPr>
            <w:tcW w:w="1376" w:type="dxa"/>
            <w:tcBorders>
              <w:top w:val="single" w:sz="4" w:space="0" w:color="auto"/>
            </w:tcBorders>
            <w:noWrap/>
            <w:tcMar>
              <w:left w:w="115" w:type="dxa"/>
              <w:right w:w="115" w:type="dxa"/>
            </w:tcMar>
          </w:tcPr>
          <w:p w14:paraId="0EBEDBD0" w14:textId="77777777" w:rsidR="00251808" w:rsidRPr="0090465C" w:rsidRDefault="00251808" w:rsidP="00EA7DE1">
            <w:pPr>
              <w:pStyle w:val="Compact"/>
              <w:rPr>
                <w:rFonts w:cs="Times New Roman"/>
              </w:rPr>
            </w:pPr>
            <m:oMathPara>
              <m:oMath>
                <m:r>
                  <w:rPr>
                    <w:rFonts w:ascii="Cambria Math" w:hAnsi="Cambria Math" w:cs="Times New Roman"/>
                  </w:rPr>
                  <m:t>(650 685)</m:t>
                </m:r>
              </m:oMath>
            </m:oMathPara>
          </w:p>
        </w:tc>
      </w:tr>
      <w:tr w:rsidR="00251808" w:rsidRPr="0090465C" w14:paraId="726F5133" w14:textId="77777777" w:rsidTr="006C2326">
        <w:trPr>
          <w:gridAfter w:val="1"/>
          <w:wAfter w:w="22" w:type="dxa"/>
          <w:jc w:val="center"/>
        </w:trPr>
        <w:tc>
          <w:tcPr>
            <w:tcW w:w="2879" w:type="dxa"/>
            <w:noWrap/>
            <w:tcMar>
              <w:left w:w="115" w:type="dxa"/>
              <w:right w:w="115" w:type="dxa"/>
            </w:tcMar>
          </w:tcPr>
          <w:p w14:paraId="5E8A1CD4" w14:textId="77777777" w:rsidR="00251808" w:rsidRPr="0090465C" w:rsidRDefault="00251808" w:rsidP="00EA7DE1">
            <w:pPr>
              <w:pStyle w:val="Compact"/>
              <w:rPr>
                <w:rFonts w:cs="Times New Roman"/>
              </w:rPr>
            </w:pPr>
            <w:r w:rsidRPr="0090465C">
              <w:rPr>
                <w:rFonts w:cs="Times New Roman"/>
                <w:b/>
              </w:rPr>
              <w:t>Race</w:t>
            </w:r>
            <w:r w:rsidRPr="0090465C">
              <w:rPr>
                <w:rFonts w:cs="Times New Roman"/>
              </w:rPr>
              <w:t xml:space="preserve">, </w:t>
            </w:r>
            <m:oMath>
              <m:r>
                <w:rPr>
                  <w:rFonts w:ascii="Cambria Math" w:hAnsi="Cambria Math" w:cs="Times New Roman"/>
                </w:rPr>
                <m:t>n</m:t>
              </m:r>
            </m:oMath>
            <w:r w:rsidRPr="0090465C">
              <w:rPr>
                <w:rFonts w:cs="Times New Roman"/>
              </w:rPr>
              <w:t xml:space="preserve"> (%)</w:t>
            </w:r>
          </w:p>
        </w:tc>
        <w:tc>
          <w:tcPr>
            <w:tcW w:w="1008" w:type="dxa"/>
            <w:noWrap/>
            <w:tcMar>
              <w:left w:w="115" w:type="dxa"/>
              <w:right w:w="115" w:type="dxa"/>
            </w:tcMar>
          </w:tcPr>
          <w:p w14:paraId="7380D5DE" w14:textId="77777777" w:rsidR="00251808" w:rsidRPr="0090465C" w:rsidRDefault="00251808" w:rsidP="00EA7DE1">
            <w:pPr>
              <w:spacing w:after="0"/>
              <w:jc w:val="right"/>
              <w:rPr>
                <w:rFonts w:cs="Times New Roman"/>
              </w:rPr>
            </w:pPr>
          </w:p>
        </w:tc>
        <w:tc>
          <w:tcPr>
            <w:tcW w:w="1376" w:type="dxa"/>
            <w:noWrap/>
            <w:tcMar>
              <w:left w:w="115" w:type="dxa"/>
              <w:right w:w="115" w:type="dxa"/>
            </w:tcMar>
          </w:tcPr>
          <w:p w14:paraId="30999239" w14:textId="77777777" w:rsidR="00251808" w:rsidRPr="0090465C" w:rsidRDefault="00251808" w:rsidP="00EA7DE1">
            <w:pPr>
              <w:spacing w:after="0"/>
              <w:rPr>
                <w:rFonts w:cs="Times New Roman"/>
              </w:rPr>
            </w:pPr>
          </w:p>
        </w:tc>
        <w:tc>
          <w:tcPr>
            <w:tcW w:w="250" w:type="dxa"/>
            <w:noWrap/>
            <w:tcMar>
              <w:left w:w="115" w:type="dxa"/>
              <w:right w:w="115" w:type="dxa"/>
            </w:tcMar>
          </w:tcPr>
          <w:p w14:paraId="0E8B4FD4" w14:textId="77777777" w:rsidR="00251808" w:rsidRPr="0090465C" w:rsidRDefault="00251808" w:rsidP="00EA7DE1">
            <w:pPr>
              <w:spacing w:after="0"/>
              <w:rPr>
                <w:rFonts w:cs="Times New Roman"/>
              </w:rPr>
            </w:pPr>
          </w:p>
        </w:tc>
        <w:tc>
          <w:tcPr>
            <w:tcW w:w="1008" w:type="dxa"/>
            <w:noWrap/>
            <w:tcMar>
              <w:left w:w="115" w:type="dxa"/>
              <w:right w:w="115" w:type="dxa"/>
            </w:tcMar>
          </w:tcPr>
          <w:p w14:paraId="1182378F" w14:textId="77777777" w:rsidR="00251808" w:rsidRPr="0090465C" w:rsidRDefault="00251808" w:rsidP="00EA7DE1">
            <w:pPr>
              <w:spacing w:after="0"/>
              <w:jc w:val="right"/>
              <w:rPr>
                <w:rFonts w:cs="Times New Roman"/>
              </w:rPr>
            </w:pPr>
          </w:p>
        </w:tc>
        <w:tc>
          <w:tcPr>
            <w:tcW w:w="1376" w:type="dxa"/>
            <w:noWrap/>
            <w:tcMar>
              <w:left w:w="115" w:type="dxa"/>
              <w:right w:w="115" w:type="dxa"/>
            </w:tcMar>
          </w:tcPr>
          <w:p w14:paraId="4B9A1DA0" w14:textId="77777777" w:rsidR="00251808" w:rsidRPr="0090465C" w:rsidRDefault="00251808" w:rsidP="00EA7DE1">
            <w:pPr>
              <w:spacing w:after="0"/>
              <w:rPr>
                <w:rFonts w:cs="Times New Roman"/>
              </w:rPr>
            </w:pPr>
          </w:p>
        </w:tc>
      </w:tr>
      <w:tr w:rsidR="00251808" w:rsidRPr="0090465C" w14:paraId="6511FC63" w14:textId="77777777" w:rsidTr="006C2326">
        <w:trPr>
          <w:gridAfter w:val="1"/>
          <w:wAfter w:w="22" w:type="dxa"/>
          <w:jc w:val="center"/>
        </w:trPr>
        <w:tc>
          <w:tcPr>
            <w:tcW w:w="2879" w:type="dxa"/>
            <w:noWrap/>
            <w:tcMar>
              <w:left w:w="115" w:type="dxa"/>
              <w:right w:w="115" w:type="dxa"/>
            </w:tcMar>
          </w:tcPr>
          <w:p w14:paraId="338AF5B5" w14:textId="77777777" w:rsidR="00251808" w:rsidRPr="0090465C" w:rsidRDefault="00251808" w:rsidP="00EA7DE1">
            <w:pPr>
              <w:pStyle w:val="Compact"/>
              <w:rPr>
                <w:rFonts w:cs="Times New Roman"/>
              </w:rPr>
            </w:pPr>
            <w:r w:rsidRPr="0090465C">
              <w:rPr>
                <w:rFonts w:cs="Times New Roman"/>
              </w:rPr>
              <w:tab/>
              <w:t>White</w:t>
            </w:r>
          </w:p>
        </w:tc>
        <w:tc>
          <w:tcPr>
            <w:tcW w:w="1008" w:type="dxa"/>
            <w:noWrap/>
            <w:tcMar>
              <w:left w:w="115" w:type="dxa"/>
              <w:right w:w="115" w:type="dxa"/>
            </w:tcMar>
          </w:tcPr>
          <w:p w14:paraId="7500F50C" w14:textId="77777777" w:rsidR="00251808" w:rsidRPr="0090465C" w:rsidRDefault="00251808" w:rsidP="00EA7DE1">
            <w:pPr>
              <w:pStyle w:val="Compact"/>
              <w:jc w:val="right"/>
              <w:rPr>
                <w:rFonts w:cs="Times New Roman"/>
              </w:rPr>
            </w:pPr>
            <m:oMathPara>
              <m:oMath>
                <m:r>
                  <w:rPr>
                    <w:rFonts w:ascii="Cambria Math" w:hAnsi="Cambria Math" w:cs="Times New Roman"/>
                  </w:rPr>
                  <m:t>19 388</m:t>
                </m:r>
              </m:oMath>
            </m:oMathPara>
          </w:p>
        </w:tc>
        <w:tc>
          <w:tcPr>
            <w:tcW w:w="1376" w:type="dxa"/>
            <w:noWrap/>
            <w:tcMar>
              <w:left w:w="115" w:type="dxa"/>
              <w:right w:w="115" w:type="dxa"/>
            </w:tcMar>
          </w:tcPr>
          <w:p w14:paraId="40C5B476" w14:textId="77777777" w:rsidR="00251808" w:rsidRPr="0090465C" w:rsidRDefault="00251808" w:rsidP="00EA7DE1">
            <w:pPr>
              <w:pStyle w:val="Compact"/>
              <w:rPr>
                <w:rFonts w:cs="Times New Roman"/>
              </w:rPr>
            </w:pPr>
            <m:oMathPara>
              <m:oMath>
                <m:r>
                  <w:rPr>
                    <w:rFonts w:ascii="Cambria Math" w:hAnsi="Cambria Math" w:cs="Times New Roman"/>
                  </w:rPr>
                  <m:t>(72%)</m:t>
                </m:r>
              </m:oMath>
            </m:oMathPara>
          </w:p>
        </w:tc>
        <w:tc>
          <w:tcPr>
            <w:tcW w:w="250" w:type="dxa"/>
            <w:noWrap/>
            <w:tcMar>
              <w:left w:w="115" w:type="dxa"/>
              <w:right w:w="115" w:type="dxa"/>
            </w:tcMar>
          </w:tcPr>
          <w:p w14:paraId="7BA8EA4E" w14:textId="77777777" w:rsidR="00251808" w:rsidRPr="0090465C" w:rsidRDefault="00251808" w:rsidP="00EA7DE1">
            <w:pPr>
              <w:spacing w:after="0"/>
              <w:rPr>
                <w:rFonts w:cs="Times New Roman"/>
              </w:rPr>
            </w:pPr>
          </w:p>
        </w:tc>
        <w:tc>
          <w:tcPr>
            <w:tcW w:w="1008" w:type="dxa"/>
            <w:noWrap/>
            <w:tcMar>
              <w:left w:w="115" w:type="dxa"/>
              <w:right w:w="115" w:type="dxa"/>
            </w:tcMar>
          </w:tcPr>
          <w:p w14:paraId="1A31B191" w14:textId="77777777" w:rsidR="00251808" w:rsidRPr="0090465C" w:rsidRDefault="00251808" w:rsidP="00EA7DE1">
            <w:pPr>
              <w:pStyle w:val="Compact"/>
              <w:jc w:val="right"/>
              <w:rPr>
                <w:rFonts w:cs="Times New Roman"/>
              </w:rPr>
            </w:pPr>
            <m:oMathPara>
              <m:oMath>
                <m:r>
                  <w:rPr>
                    <w:rFonts w:ascii="Cambria Math" w:hAnsi="Cambria Math" w:cs="Times New Roman"/>
                  </w:rPr>
                  <m:t>13 293</m:t>
                </m:r>
              </m:oMath>
            </m:oMathPara>
          </w:p>
        </w:tc>
        <w:tc>
          <w:tcPr>
            <w:tcW w:w="1376" w:type="dxa"/>
            <w:noWrap/>
            <w:tcMar>
              <w:left w:w="115" w:type="dxa"/>
              <w:right w:w="115" w:type="dxa"/>
            </w:tcMar>
          </w:tcPr>
          <w:p w14:paraId="7F75CBA2" w14:textId="77777777" w:rsidR="00251808" w:rsidRPr="0090465C" w:rsidRDefault="00251808" w:rsidP="00EA7DE1">
            <w:pPr>
              <w:pStyle w:val="Compact"/>
              <w:rPr>
                <w:rFonts w:cs="Times New Roman"/>
              </w:rPr>
            </w:pPr>
            <m:oMathPara>
              <m:oMath>
                <m:r>
                  <w:rPr>
                    <w:rFonts w:ascii="Cambria Math" w:hAnsi="Cambria Math" w:cs="Times New Roman"/>
                  </w:rPr>
                  <m:t>(68%)</m:t>
                </m:r>
              </m:oMath>
            </m:oMathPara>
          </w:p>
        </w:tc>
      </w:tr>
      <w:tr w:rsidR="00251808" w:rsidRPr="0090465C" w14:paraId="29CE0A86" w14:textId="77777777" w:rsidTr="006C2326">
        <w:trPr>
          <w:gridAfter w:val="1"/>
          <w:wAfter w:w="22" w:type="dxa"/>
          <w:jc w:val="center"/>
        </w:trPr>
        <w:tc>
          <w:tcPr>
            <w:tcW w:w="2879" w:type="dxa"/>
            <w:noWrap/>
            <w:tcMar>
              <w:left w:w="115" w:type="dxa"/>
              <w:right w:w="115" w:type="dxa"/>
            </w:tcMar>
          </w:tcPr>
          <w:p w14:paraId="7E0C4996" w14:textId="77777777" w:rsidR="00251808" w:rsidRPr="0090465C" w:rsidRDefault="00251808" w:rsidP="00EA7DE1">
            <w:pPr>
              <w:pStyle w:val="Compact"/>
              <w:rPr>
                <w:rFonts w:cs="Times New Roman"/>
              </w:rPr>
            </w:pPr>
            <w:r w:rsidRPr="0090465C">
              <w:rPr>
                <w:rFonts w:cs="Times New Roman"/>
              </w:rPr>
              <w:tab/>
              <w:t>Black</w:t>
            </w:r>
          </w:p>
        </w:tc>
        <w:tc>
          <w:tcPr>
            <w:tcW w:w="1008" w:type="dxa"/>
            <w:noWrap/>
            <w:tcMar>
              <w:left w:w="115" w:type="dxa"/>
              <w:right w:w="115" w:type="dxa"/>
            </w:tcMar>
          </w:tcPr>
          <w:p w14:paraId="387007B6" w14:textId="77777777" w:rsidR="00251808" w:rsidRPr="0090465C" w:rsidRDefault="00251808" w:rsidP="00EA7DE1">
            <w:pPr>
              <w:pStyle w:val="Compact"/>
              <w:jc w:val="right"/>
              <w:rPr>
                <w:rFonts w:cs="Times New Roman"/>
              </w:rPr>
            </w:pPr>
            <m:oMathPara>
              <m:oMath>
                <m:r>
                  <w:rPr>
                    <w:rFonts w:ascii="Cambria Math" w:hAnsi="Cambria Math" w:cs="Times New Roman"/>
                  </w:rPr>
                  <m:t>5 262</m:t>
                </m:r>
              </m:oMath>
            </m:oMathPara>
          </w:p>
        </w:tc>
        <w:tc>
          <w:tcPr>
            <w:tcW w:w="1376" w:type="dxa"/>
            <w:noWrap/>
            <w:tcMar>
              <w:left w:w="115" w:type="dxa"/>
              <w:right w:w="115" w:type="dxa"/>
            </w:tcMar>
          </w:tcPr>
          <w:p w14:paraId="3CE4B3A6" w14:textId="77777777" w:rsidR="00251808" w:rsidRPr="0090465C" w:rsidRDefault="00251808" w:rsidP="00EA7DE1">
            <w:pPr>
              <w:pStyle w:val="Compact"/>
              <w:rPr>
                <w:rFonts w:cs="Times New Roman"/>
              </w:rPr>
            </w:pPr>
            <m:oMathPara>
              <m:oMath>
                <m:r>
                  <w:rPr>
                    <w:rFonts w:ascii="Cambria Math" w:hAnsi="Cambria Math" w:cs="Times New Roman"/>
                  </w:rPr>
                  <m:t>(20%)</m:t>
                </m:r>
              </m:oMath>
            </m:oMathPara>
          </w:p>
        </w:tc>
        <w:tc>
          <w:tcPr>
            <w:tcW w:w="250" w:type="dxa"/>
            <w:noWrap/>
            <w:tcMar>
              <w:left w:w="115" w:type="dxa"/>
              <w:right w:w="115" w:type="dxa"/>
            </w:tcMar>
          </w:tcPr>
          <w:p w14:paraId="2CCCBBAD" w14:textId="77777777" w:rsidR="00251808" w:rsidRPr="0090465C" w:rsidRDefault="00251808" w:rsidP="00EA7DE1">
            <w:pPr>
              <w:spacing w:after="0"/>
              <w:rPr>
                <w:rFonts w:cs="Times New Roman"/>
              </w:rPr>
            </w:pPr>
          </w:p>
        </w:tc>
        <w:tc>
          <w:tcPr>
            <w:tcW w:w="1008" w:type="dxa"/>
            <w:noWrap/>
            <w:tcMar>
              <w:left w:w="115" w:type="dxa"/>
              <w:right w:w="115" w:type="dxa"/>
            </w:tcMar>
          </w:tcPr>
          <w:p w14:paraId="4548A38E" w14:textId="77777777" w:rsidR="00251808" w:rsidRPr="0090465C" w:rsidRDefault="00251808" w:rsidP="00EA7DE1">
            <w:pPr>
              <w:pStyle w:val="Compact"/>
              <w:jc w:val="right"/>
              <w:rPr>
                <w:rFonts w:cs="Times New Roman"/>
              </w:rPr>
            </w:pPr>
            <m:oMathPara>
              <m:oMath>
                <m:r>
                  <w:rPr>
                    <w:rFonts w:ascii="Cambria Math" w:hAnsi="Cambria Math" w:cs="Times New Roman"/>
                  </w:rPr>
                  <m:t>4 142</m:t>
                </m:r>
              </m:oMath>
            </m:oMathPara>
          </w:p>
        </w:tc>
        <w:tc>
          <w:tcPr>
            <w:tcW w:w="1376" w:type="dxa"/>
            <w:noWrap/>
            <w:tcMar>
              <w:left w:w="115" w:type="dxa"/>
              <w:right w:w="115" w:type="dxa"/>
            </w:tcMar>
          </w:tcPr>
          <w:p w14:paraId="0EB751E9" w14:textId="77777777" w:rsidR="00251808" w:rsidRPr="0090465C" w:rsidRDefault="00251808" w:rsidP="00EA7DE1">
            <w:pPr>
              <w:pStyle w:val="Compact"/>
              <w:rPr>
                <w:rFonts w:cs="Times New Roman"/>
              </w:rPr>
            </w:pPr>
            <m:oMathPara>
              <m:oMath>
                <m:r>
                  <w:rPr>
                    <w:rFonts w:ascii="Cambria Math" w:hAnsi="Cambria Math" w:cs="Times New Roman"/>
                  </w:rPr>
                  <m:t>(21%)</m:t>
                </m:r>
              </m:oMath>
            </m:oMathPara>
          </w:p>
        </w:tc>
      </w:tr>
      <w:tr w:rsidR="00251808" w:rsidRPr="0090465C" w14:paraId="0B484091" w14:textId="77777777" w:rsidTr="006C2326">
        <w:trPr>
          <w:gridAfter w:val="1"/>
          <w:wAfter w:w="22" w:type="dxa"/>
          <w:jc w:val="center"/>
        </w:trPr>
        <w:tc>
          <w:tcPr>
            <w:tcW w:w="2879" w:type="dxa"/>
            <w:noWrap/>
            <w:tcMar>
              <w:left w:w="115" w:type="dxa"/>
              <w:right w:w="115" w:type="dxa"/>
            </w:tcMar>
          </w:tcPr>
          <w:p w14:paraId="607676F7" w14:textId="77777777" w:rsidR="00251808" w:rsidRPr="0090465C" w:rsidRDefault="00251808" w:rsidP="00EA7DE1">
            <w:pPr>
              <w:pStyle w:val="Compact"/>
              <w:rPr>
                <w:rFonts w:cs="Times New Roman"/>
              </w:rPr>
            </w:pPr>
            <w:r w:rsidRPr="0090465C">
              <w:rPr>
                <w:rFonts w:cs="Times New Roman"/>
              </w:rPr>
              <w:tab/>
              <w:t>Unknown</w:t>
            </w:r>
          </w:p>
        </w:tc>
        <w:tc>
          <w:tcPr>
            <w:tcW w:w="1008" w:type="dxa"/>
            <w:noWrap/>
            <w:tcMar>
              <w:left w:w="115" w:type="dxa"/>
              <w:right w:w="115" w:type="dxa"/>
            </w:tcMar>
          </w:tcPr>
          <w:p w14:paraId="3BBEDC17" w14:textId="77777777" w:rsidR="00251808" w:rsidRPr="0090465C" w:rsidRDefault="00251808" w:rsidP="00EA7DE1">
            <w:pPr>
              <w:pStyle w:val="Compact"/>
              <w:jc w:val="right"/>
              <w:rPr>
                <w:rFonts w:cs="Times New Roman"/>
              </w:rPr>
            </w:pPr>
            <m:oMathPara>
              <m:oMath>
                <m:r>
                  <w:rPr>
                    <w:rFonts w:ascii="Cambria Math" w:hAnsi="Cambria Math" w:cs="Times New Roman"/>
                  </w:rPr>
                  <m:t>2 240</m:t>
                </m:r>
              </m:oMath>
            </m:oMathPara>
          </w:p>
        </w:tc>
        <w:tc>
          <w:tcPr>
            <w:tcW w:w="1376" w:type="dxa"/>
            <w:noWrap/>
            <w:tcMar>
              <w:left w:w="115" w:type="dxa"/>
              <w:right w:w="115" w:type="dxa"/>
            </w:tcMar>
          </w:tcPr>
          <w:p w14:paraId="240E2996" w14:textId="77777777" w:rsidR="00251808" w:rsidRPr="0090465C" w:rsidRDefault="00251808" w:rsidP="00EA7DE1">
            <w:pPr>
              <w:pStyle w:val="Compact"/>
              <w:rPr>
                <w:rFonts w:cs="Times New Roman"/>
              </w:rPr>
            </w:pPr>
            <m:oMathPara>
              <m:oMath>
                <m:r>
                  <w:rPr>
                    <w:rFonts w:ascii="Cambria Math" w:hAnsi="Cambria Math" w:cs="Times New Roman"/>
                  </w:rPr>
                  <m:t>(8%)</m:t>
                </m:r>
              </m:oMath>
            </m:oMathPara>
          </w:p>
        </w:tc>
        <w:tc>
          <w:tcPr>
            <w:tcW w:w="250" w:type="dxa"/>
            <w:noWrap/>
            <w:tcMar>
              <w:left w:w="115" w:type="dxa"/>
              <w:right w:w="115" w:type="dxa"/>
            </w:tcMar>
          </w:tcPr>
          <w:p w14:paraId="4E5E210E" w14:textId="77777777" w:rsidR="00251808" w:rsidRPr="0090465C" w:rsidRDefault="00251808" w:rsidP="00EA7DE1">
            <w:pPr>
              <w:spacing w:after="0"/>
              <w:rPr>
                <w:rFonts w:cs="Times New Roman"/>
              </w:rPr>
            </w:pPr>
          </w:p>
        </w:tc>
        <w:tc>
          <w:tcPr>
            <w:tcW w:w="1008" w:type="dxa"/>
            <w:noWrap/>
            <w:tcMar>
              <w:left w:w="115" w:type="dxa"/>
              <w:right w:w="115" w:type="dxa"/>
            </w:tcMar>
          </w:tcPr>
          <w:p w14:paraId="0C26ED75" w14:textId="77777777" w:rsidR="00251808" w:rsidRPr="0090465C" w:rsidRDefault="00251808" w:rsidP="00EA7DE1">
            <w:pPr>
              <w:pStyle w:val="Compact"/>
              <w:jc w:val="right"/>
              <w:rPr>
                <w:rFonts w:cs="Times New Roman"/>
              </w:rPr>
            </w:pPr>
            <m:oMathPara>
              <m:oMath>
                <m:r>
                  <w:rPr>
                    <w:rFonts w:ascii="Cambria Math" w:hAnsi="Cambria Math" w:cs="Times New Roman"/>
                  </w:rPr>
                  <m:t>2 228</m:t>
                </m:r>
              </m:oMath>
            </m:oMathPara>
          </w:p>
        </w:tc>
        <w:tc>
          <w:tcPr>
            <w:tcW w:w="1376" w:type="dxa"/>
            <w:noWrap/>
            <w:tcMar>
              <w:left w:w="115" w:type="dxa"/>
              <w:right w:w="115" w:type="dxa"/>
            </w:tcMar>
          </w:tcPr>
          <w:p w14:paraId="4C704D09" w14:textId="77777777" w:rsidR="00251808" w:rsidRPr="0090465C" w:rsidRDefault="00251808" w:rsidP="00EA7DE1">
            <w:pPr>
              <w:pStyle w:val="Compact"/>
              <w:rPr>
                <w:rFonts w:cs="Times New Roman"/>
              </w:rPr>
            </w:pPr>
            <m:oMathPara>
              <m:oMath>
                <m:r>
                  <w:rPr>
                    <w:rFonts w:ascii="Cambria Math" w:hAnsi="Cambria Math" w:cs="Times New Roman"/>
                  </w:rPr>
                  <m:t>(11%)</m:t>
                </m:r>
              </m:oMath>
            </m:oMathPara>
          </w:p>
        </w:tc>
      </w:tr>
      <w:tr w:rsidR="00251808" w:rsidRPr="0090465C" w14:paraId="2F718673" w14:textId="77777777" w:rsidTr="006C2326">
        <w:trPr>
          <w:gridAfter w:val="1"/>
          <w:wAfter w:w="22" w:type="dxa"/>
          <w:jc w:val="center"/>
        </w:trPr>
        <w:tc>
          <w:tcPr>
            <w:tcW w:w="2879" w:type="dxa"/>
            <w:noWrap/>
            <w:tcMar>
              <w:left w:w="115" w:type="dxa"/>
              <w:right w:w="115" w:type="dxa"/>
            </w:tcMar>
          </w:tcPr>
          <w:p w14:paraId="6DE1BC89" w14:textId="77777777" w:rsidR="00251808" w:rsidRPr="0090465C" w:rsidRDefault="00251808" w:rsidP="00EA7DE1">
            <w:pPr>
              <w:pStyle w:val="Compact"/>
              <w:rPr>
                <w:rFonts w:cs="Times New Roman"/>
              </w:rPr>
            </w:pPr>
            <w:r w:rsidRPr="0090465C">
              <w:rPr>
                <w:rFonts w:cs="Times New Roman"/>
                <w:b/>
              </w:rPr>
              <w:t>Plant</w:t>
            </w:r>
            <m:oMath>
              <m:sSup>
                <m:sSupPr>
                  <m:ctrlPr>
                    <w:rPr>
                      <w:rFonts w:ascii="Cambria Math" w:hAnsi="Cambria Math" w:cs="Times New Roman"/>
                    </w:rPr>
                  </m:ctrlPr>
                </m:sSupPr>
                <m:e>
                  <m:r>
                    <w:rPr>
                      <w:rFonts w:ascii="Cambria Math" w:hAnsi="Cambria Math" w:cs="Times New Roman"/>
                    </w:rPr>
                    <m:t xml:space="preserve">​ </m:t>
                  </m:r>
                </m:e>
                <m:sup>
                  <m:r>
                    <w:rPr>
                      <w:rFonts w:ascii="Cambria Math" w:hAnsi="Cambria Math" w:cs="Times New Roman"/>
                    </w:rPr>
                    <m:t>a</m:t>
                  </m:r>
                </m:sup>
              </m:sSup>
            </m:oMath>
            <w:r w:rsidRPr="0090465C">
              <w:rPr>
                <w:rFonts w:cs="Times New Roman"/>
              </w:rPr>
              <w:t xml:space="preserve">, </w:t>
            </w:r>
            <m:oMath>
              <m:r>
                <w:rPr>
                  <w:rFonts w:ascii="Cambria Math" w:hAnsi="Cambria Math" w:cs="Times New Roman"/>
                </w:rPr>
                <m:t>n</m:t>
              </m:r>
            </m:oMath>
            <w:r w:rsidRPr="0090465C">
              <w:rPr>
                <w:rFonts w:cs="Times New Roman"/>
              </w:rPr>
              <w:t xml:space="preserve"> (%)</w:t>
            </w:r>
          </w:p>
        </w:tc>
        <w:tc>
          <w:tcPr>
            <w:tcW w:w="1008" w:type="dxa"/>
            <w:noWrap/>
            <w:tcMar>
              <w:left w:w="115" w:type="dxa"/>
              <w:right w:w="115" w:type="dxa"/>
            </w:tcMar>
          </w:tcPr>
          <w:p w14:paraId="080AC703" w14:textId="77777777" w:rsidR="00251808" w:rsidRPr="0090465C" w:rsidRDefault="00251808" w:rsidP="00EA7DE1">
            <w:pPr>
              <w:spacing w:after="0"/>
              <w:jc w:val="right"/>
              <w:rPr>
                <w:rFonts w:cs="Times New Roman"/>
              </w:rPr>
            </w:pPr>
          </w:p>
        </w:tc>
        <w:tc>
          <w:tcPr>
            <w:tcW w:w="1376" w:type="dxa"/>
            <w:noWrap/>
            <w:tcMar>
              <w:left w:w="115" w:type="dxa"/>
              <w:right w:w="115" w:type="dxa"/>
            </w:tcMar>
          </w:tcPr>
          <w:p w14:paraId="20817FA8" w14:textId="77777777" w:rsidR="00251808" w:rsidRPr="0090465C" w:rsidRDefault="00251808" w:rsidP="00EA7DE1">
            <w:pPr>
              <w:spacing w:after="0"/>
              <w:rPr>
                <w:rFonts w:cs="Times New Roman"/>
              </w:rPr>
            </w:pPr>
          </w:p>
        </w:tc>
        <w:tc>
          <w:tcPr>
            <w:tcW w:w="250" w:type="dxa"/>
            <w:noWrap/>
            <w:tcMar>
              <w:left w:w="115" w:type="dxa"/>
              <w:right w:w="115" w:type="dxa"/>
            </w:tcMar>
          </w:tcPr>
          <w:p w14:paraId="230B0109" w14:textId="77777777" w:rsidR="00251808" w:rsidRPr="0090465C" w:rsidRDefault="00251808" w:rsidP="00EA7DE1">
            <w:pPr>
              <w:spacing w:after="0"/>
              <w:rPr>
                <w:rFonts w:cs="Times New Roman"/>
              </w:rPr>
            </w:pPr>
          </w:p>
        </w:tc>
        <w:tc>
          <w:tcPr>
            <w:tcW w:w="1008" w:type="dxa"/>
            <w:noWrap/>
            <w:tcMar>
              <w:left w:w="115" w:type="dxa"/>
              <w:right w:w="115" w:type="dxa"/>
            </w:tcMar>
          </w:tcPr>
          <w:p w14:paraId="7833882A" w14:textId="77777777" w:rsidR="00251808" w:rsidRPr="0090465C" w:rsidRDefault="00251808" w:rsidP="00EA7DE1">
            <w:pPr>
              <w:spacing w:after="0"/>
              <w:jc w:val="right"/>
              <w:rPr>
                <w:rFonts w:cs="Times New Roman"/>
              </w:rPr>
            </w:pPr>
          </w:p>
        </w:tc>
        <w:tc>
          <w:tcPr>
            <w:tcW w:w="1376" w:type="dxa"/>
            <w:noWrap/>
            <w:tcMar>
              <w:left w:w="115" w:type="dxa"/>
              <w:right w:w="115" w:type="dxa"/>
            </w:tcMar>
          </w:tcPr>
          <w:p w14:paraId="6BFBA18D" w14:textId="77777777" w:rsidR="00251808" w:rsidRPr="0090465C" w:rsidRDefault="00251808" w:rsidP="00EA7DE1">
            <w:pPr>
              <w:spacing w:after="0"/>
              <w:rPr>
                <w:rFonts w:cs="Times New Roman"/>
              </w:rPr>
            </w:pPr>
          </w:p>
        </w:tc>
      </w:tr>
      <w:tr w:rsidR="00251808" w:rsidRPr="0090465C" w14:paraId="246EB850" w14:textId="77777777" w:rsidTr="006C2326">
        <w:trPr>
          <w:gridAfter w:val="1"/>
          <w:wAfter w:w="22" w:type="dxa"/>
          <w:jc w:val="center"/>
        </w:trPr>
        <w:tc>
          <w:tcPr>
            <w:tcW w:w="2879" w:type="dxa"/>
            <w:noWrap/>
            <w:tcMar>
              <w:left w:w="115" w:type="dxa"/>
              <w:right w:w="115" w:type="dxa"/>
            </w:tcMar>
          </w:tcPr>
          <w:p w14:paraId="313FB6BB" w14:textId="77777777" w:rsidR="00251808" w:rsidRPr="0090465C" w:rsidRDefault="00251808" w:rsidP="00EA7DE1">
            <w:pPr>
              <w:pStyle w:val="Compact"/>
              <w:rPr>
                <w:rFonts w:cs="Times New Roman"/>
              </w:rPr>
            </w:pPr>
            <w:r w:rsidRPr="0090465C">
              <w:rPr>
                <w:rFonts w:cs="Times New Roman"/>
              </w:rPr>
              <w:tab/>
              <w:t>Plant 1</w:t>
            </w:r>
          </w:p>
        </w:tc>
        <w:tc>
          <w:tcPr>
            <w:tcW w:w="1008" w:type="dxa"/>
            <w:noWrap/>
            <w:tcMar>
              <w:left w:w="115" w:type="dxa"/>
              <w:right w:w="115" w:type="dxa"/>
            </w:tcMar>
          </w:tcPr>
          <w:p w14:paraId="7451EC50" w14:textId="77777777" w:rsidR="00251808" w:rsidRPr="0090465C" w:rsidRDefault="00251808" w:rsidP="00EA7DE1">
            <w:pPr>
              <w:pStyle w:val="Compact"/>
              <w:jc w:val="right"/>
              <w:rPr>
                <w:rFonts w:cs="Times New Roman"/>
              </w:rPr>
            </w:pPr>
            <m:oMathPara>
              <m:oMath>
                <m:r>
                  <w:rPr>
                    <w:rFonts w:ascii="Cambria Math" w:hAnsi="Cambria Math" w:cs="Times New Roman"/>
                  </w:rPr>
                  <m:t>6 935</m:t>
                </m:r>
              </m:oMath>
            </m:oMathPara>
          </w:p>
        </w:tc>
        <w:tc>
          <w:tcPr>
            <w:tcW w:w="1376" w:type="dxa"/>
            <w:noWrap/>
            <w:tcMar>
              <w:left w:w="115" w:type="dxa"/>
              <w:right w:w="115" w:type="dxa"/>
            </w:tcMar>
          </w:tcPr>
          <w:p w14:paraId="05E3A4BD" w14:textId="77777777" w:rsidR="00251808" w:rsidRPr="0090465C" w:rsidRDefault="00251808" w:rsidP="00EA7DE1">
            <w:pPr>
              <w:pStyle w:val="Compact"/>
              <w:rPr>
                <w:rFonts w:cs="Times New Roman"/>
              </w:rPr>
            </w:pPr>
            <m:oMathPara>
              <m:oMath>
                <m:r>
                  <w:rPr>
                    <w:rFonts w:ascii="Cambria Math" w:hAnsi="Cambria Math" w:cs="Times New Roman"/>
                  </w:rPr>
                  <m:t>(26%)</m:t>
                </m:r>
              </m:oMath>
            </m:oMathPara>
          </w:p>
        </w:tc>
        <w:tc>
          <w:tcPr>
            <w:tcW w:w="250" w:type="dxa"/>
            <w:noWrap/>
            <w:tcMar>
              <w:left w:w="115" w:type="dxa"/>
              <w:right w:w="115" w:type="dxa"/>
            </w:tcMar>
          </w:tcPr>
          <w:p w14:paraId="09339AE4" w14:textId="77777777" w:rsidR="00251808" w:rsidRPr="0090465C" w:rsidRDefault="00251808" w:rsidP="00EA7DE1">
            <w:pPr>
              <w:spacing w:after="0"/>
              <w:rPr>
                <w:rFonts w:cs="Times New Roman"/>
              </w:rPr>
            </w:pPr>
          </w:p>
        </w:tc>
        <w:tc>
          <w:tcPr>
            <w:tcW w:w="1008" w:type="dxa"/>
            <w:noWrap/>
            <w:tcMar>
              <w:left w:w="115" w:type="dxa"/>
              <w:right w:w="115" w:type="dxa"/>
            </w:tcMar>
          </w:tcPr>
          <w:p w14:paraId="1BC9C119" w14:textId="77777777" w:rsidR="00251808" w:rsidRPr="0090465C" w:rsidRDefault="00251808" w:rsidP="00EA7DE1">
            <w:pPr>
              <w:pStyle w:val="Compact"/>
              <w:jc w:val="right"/>
              <w:rPr>
                <w:rFonts w:cs="Times New Roman"/>
              </w:rPr>
            </w:pPr>
            <m:oMathPara>
              <m:oMath>
                <m:r>
                  <w:rPr>
                    <w:rFonts w:ascii="Cambria Math" w:hAnsi="Cambria Math" w:cs="Times New Roman"/>
                  </w:rPr>
                  <m:t>6 627</m:t>
                </m:r>
              </m:oMath>
            </m:oMathPara>
          </w:p>
        </w:tc>
        <w:tc>
          <w:tcPr>
            <w:tcW w:w="1376" w:type="dxa"/>
            <w:noWrap/>
            <w:tcMar>
              <w:left w:w="115" w:type="dxa"/>
              <w:right w:w="115" w:type="dxa"/>
            </w:tcMar>
          </w:tcPr>
          <w:p w14:paraId="26018C43" w14:textId="77777777" w:rsidR="00251808" w:rsidRPr="0090465C" w:rsidRDefault="00251808" w:rsidP="00EA7DE1">
            <w:pPr>
              <w:pStyle w:val="Compact"/>
              <w:rPr>
                <w:rFonts w:cs="Times New Roman"/>
              </w:rPr>
            </w:pPr>
            <m:oMathPara>
              <m:oMath>
                <m:r>
                  <w:rPr>
                    <w:rFonts w:ascii="Cambria Math" w:hAnsi="Cambria Math" w:cs="Times New Roman"/>
                  </w:rPr>
                  <m:t>(34%)</m:t>
                </m:r>
              </m:oMath>
            </m:oMathPara>
          </w:p>
        </w:tc>
      </w:tr>
      <w:tr w:rsidR="00251808" w:rsidRPr="0090465C" w14:paraId="2FE63641" w14:textId="77777777" w:rsidTr="006C2326">
        <w:trPr>
          <w:gridAfter w:val="1"/>
          <w:wAfter w:w="22" w:type="dxa"/>
          <w:jc w:val="center"/>
        </w:trPr>
        <w:tc>
          <w:tcPr>
            <w:tcW w:w="2879" w:type="dxa"/>
            <w:noWrap/>
            <w:tcMar>
              <w:left w:w="115" w:type="dxa"/>
              <w:right w:w="115" w:type="dxa"/>
            </w:tcMar>
          </w:tcPr>
          <w:p w14:paraId="46A1A3F6" w14:textId="77777777" w:rsidR="00251808" w:rsidRPr="0090465C" w:rsidRDefault="00251808" w:rsidP="00EA7DE1">
            <w:pPr>
              <w:pStyle w:val="Compact"/>
              <w:rPr>
                <w:rFonts w:cs="Times New Roman"/>
              </w:rPr>
            </w:pPr>
            <w:r w:rsidRPr="0090465C">
              <w:rPr>
                <w:rFonts w:cs="Times New Roman"/>
              </w:rPr>
              <w:tab/>
              <w:t>Plant 2</w:t>
            </w:r>
          </w:p>
        </w:tc>
        <w:tc>
          <w:tcPr>
            <w:tcW w:w="1008" w:type="dxa"/>
            <w:noWrap/>
            <w:tcMar>
              <w:left w:w="115" w:type="dxa"/>
              <w:right w:w="115" w:type="dxa"/>
            </w:tcMar>
          </w:tcPr>
          <w:p w14:paraId="421BF879" w14:textId="77777777" w:rsidR="00251808" w:rsidRPr="0090465C" w:rsidRDefault="00251808" w:rsidP="00EA7DE1">
            <w:pPr>
              <w:pStyle w:val="Compact"/>
              <w:jc w:val="right"/>
              <w:rPr>
                <w:rFonts w:cs="Times New Roman"/>
              </w:rPr>
            </w:pPr>
            <m:oMathPara>
              <m:oMath>
                <m:r>
                  <w:rPr>
                    <w:rFonts w:ascii="Cambria Math" w:hAnsi="Cambria Math" w:cs="Times New Roman"/>
                  </w:rPr>
                  <m:t>10 351</m:t>
                </m:r>
              </m:oMath>
            </m:oMathPara>
          </w:p>
        </w:tc>
        <w:tc>
          <w:tcPr>
            <w:tcW w:w="1376" w:type="dxa"/>
            <w:noWrap/>
            <w:tcMar>
              <w:left w:w="115" w:type="dxa"/>
              <w:right w:w="115" w:type="dxa"/>
            </w:tcMar>
          </w:tcPr>
          <w:p w14:paraId="46180735" w14:textId="77777777" w:rsidR="00251808" w:rsidRPr="0090465C" w:rsidRDefault="00251808" w:rsidP="00EA7DE1">
            <w:pPr>
              <w:pStyle w:val="Compact"/>
              <w:rPr>
                <w:rFonts w:cs="Times New Roman"/>
              </w:rPr>
            </w:pPr>
            <m:oMathPara>
              <m:oMath>
                <m:r>
                  <w:rPr>
                    <w:rFonts w:ascii="Cambria Math" w:hAnsi="Cambria Math" w:cs="Times New Roman"/>
                  </w:rPr>
                  <m:t>(38%)</m:t>
                </m:r>
              </m:oMath>
            </m:oMathPara>
          </w:p>
        </w:tc>
        <w:tc>
          <w:tcPr>
            <w:tcW w:w="250" w:type="dxa"/>
            <w:noWrap/>
            <w:tcMar>
              <w:left w:w="115" w:type="dxa"/>
              <w:right w:w="115" w:type="dxa"/>
            </w:tcMar>
          </w:tcPr>
          <w:p w14:paraId="22D96083" w14:textId="77777777" w:rsidR="00251808" w:rsidRPr="0090465C" w:rsidRDefault="00251808" w:rsidP="00EA7DE1">
            <w:pPr>
              <w:spacing w:after="0"/>
              <w:rPr>
                <w:rFonts w:cs="Times New Roman"/>
              </w:rPr>
            </w:pPr>
          </w:p>
        </w:tc>
        <w:tc>
          <w:tcPr>
            <w:tcW w:w="1008" w:type="dxa"/>
            <w:noWrap/>
            <w:tcMar>
              <w:left w:w="115" w:type="dxa"/>
              <w:right w:w="115" w:type="dxa"/>
            </w:tcMar>
          </w:tcPr>
          <w:p w14:paraId="0858366B" w14:textId="77777777" w:rsidR="00251808" w:rsidRPr="0090465C" w:rsidRDefault="00251808" w:rsidP="00EA7DE1">
            <w:pPr>
              <w:pStyle w:val="Compact"/>
              <w:jc w:val="right"/>
              <w:rPr>
                <w:rFonts w:cs="Times New Roman"/>
              </w:rPr>
            </w:pPr>
            <m:oMathPara>
              <m:oMath>
                <m:r>
                  <w:rPr>
                    <w:rFonts w:ascii="Cambria Math" w:hAnsi="Cambria Math" w:cs="Times New Roman"/>
                  </w:rPr>
                  <m:t>6 412</m:t>
                </m:r>
              </m:oMath>
            </m:oMathPara>
          </w:p>
        </w:tc>
        <w:tc>
          <w:tcPr>
            <w:tcW w:w="1376" w:type="dxa"/>
            <w:noWrap/>
            <w:tcMar>
              <w:left w:w="115" w:type="dxa"/>
              <w:right w:w="115" w:type="dxa"/>
            </w:tcMar>
          </w:tcPr>
          <w:p w14:paraId="3B2C5C85" w14:textId="77777777" w:rsidR="00251808" w:rsidRPr="0090465C" w:rsidRDefault="00251808" w:rsidP="00EA7DE1">
            <w:pPr>
              <w:pStyle w:val="Compact"/>
              <w:rPr>
                <w:rFonts w:cs="Times New Roman"/>
              </w:rPr>
            </w:pPr>
            <m:oMathPara>
              <m:oMath>
                <m:r>
                  <w:rPr>
                    <w:rFonts w:ascii="Cambria Math" w:hAnsi="Cambria Math" w:cs="Times New Roman"/>
                  </w:rPr>
                  <m:t>(33%)</m:t>
                </m:r>
              </m:oMath>
            </m:oMathPara>
          </w:p>
        </w:tc>
      </w:tr>
      <w:tr w:rsidR="00251808" w:rsidRPr="0090465C" w14:paraId="03A77648" w14:textId="77777777" w:rsidTr="006C2326">
        <w:trPr>
          <w:gridAfter w:val="1"/>
          <w:wAfter w:w="22" w:type="dxa"/>
          <w:jc w:val="center"/>
        </w:trPr>
        <w:tc>
          <w:tcPr>
            <w:tcW w:w="2879" w:type="dxa"/>
            <w:noWrap/>
            <w:tcMar>
              <w:left w:w="115" w:type="dxa"/>
              <w:right w:w="115" w:type="dxa"/>
            </w:tcMar>
          </w:tcPr>
          <w:p w14:paraId="2DBC3095" w14:textId="77777777" w:rsidR="00251808" w:rsidRPr="0090465C" w:rsidRDefault="00251808" w:rsidP="00EA7DE1">
            <w:pPr>
              <w:pStyle w:val="Compact"/>
              <w:rPr>
                <w:rFonts w:cs="Times New Roman"/>
              </w:rPr>
            </w:pPr>
            <w:r w:rsidRPr="0090465C">
              <w:rPr>
                <w:rFonts w:cs="Times New Roman"/>
              </w:rPr>
              <w:tab/>
              <w:t>Plant 3</w:t>
            </w:r>
          </w:p>
        </w:tc>
        <w:tc>
          <w:tcPr>
            <w:tcW w:w="1008" w:type="dxa"/>
            <w:noWrap/>
            <w:tcMar>
              <w:left w:w="115" w:type="dxa"/>
              <w:right w:w="115" w:type="dxa"/>
            </w:tcMar>
          </w:tcPr>
          <w:p w14:paraId="27A09D38" w14:textId="77777777" w:rsidR="00251808" w:rsidRPr="0090465C" w:rsidRDefault="00251808" w:rsidP="00EA7DE1">
            <w:pPr>
              <w:pStyle w:val="Compact"/>
              <w:jc w:val="right"/>
              <w:rPr>
                <w:rFonts w:cs="Times New Roman"/>
              </w:rPr>
            </w:pPr>
            <m:oMathPara>
              <m:oMath>
                <m:r>
                  <w:rPr>
                    <w:rFonts w:ascii="Cambria Math" w:hAnsi="Cambria Math" w:cs="Times New Roman"/>
                  </w:rPr>
                  <m:t>9 604</m:t>
                </m:r>
              </m:oMath>
            </m:oMathPara>
          </w:p>
        </w:tc>
        <w:tc>
          <w:tcPr>
            <w:tcW w:w="1376" w:type="dxa"/>
            <w:noWrap/>
            <w:tcMar>
              <w:left w:w="115" w:type="dxa"/>
              <w:right w:w="115" w:type="dxa"/>
            </w:tcMar>
          </w:tcPr>
          <w:p w14:paraId="57BC460F" w14:textId="77777777" w:rsidR="00251808" w:rsidRPr="0090465C" w:rsidRDefault="00251808" w:rsidP="00EA7DE1">
            <w:pPr>
              <w:pStyle w:val="Compact"/>
              <w:rPr>
                <w:rFonts w:cs="Times New Roman"/>
              </w:rPr>
            </w:pPr>
            <m:oMathPara>
              <m:oMath>
                <m:r>
                  <w:rPr>
                    <w:rFonts w:ascii="Cambria Math" w:hAnsi="Cambria Math" w:cs="Times New Roman"/>
                  </w:rPr>
                  <m:t>(36%)</m:t>
                </m:r>
              </m:oMath>
            </m:oMathPara>
          </w:p>
        </w:tc>
        <w:tc>
          <w:tcPr>
            <w:tcW w:w="250" w:type="dxa"/>
            <w:noWrap/>
            <w:tcMar>
              <w:left w:w="115" w:type="dxa"/>
              <w:right w:w="115" w:type="dxa"/>
            </w:tcMar>
          </w:tcPr>
          <w:p w14:paraId="6CD889AF" w14:textId="77777777" w:rsidR="00251808" w:rsidRPr="0090465C" w:rsidRDefault="00251808" w:rsidP="00EA7DE1">
            <w:pPr>
              <w:spacing w:after="0"/>
              <w:rPr>
                <w:rFonts w:cs="Times New Roman"/>
              </w:rPr>
            </w:pPr>
          </w:p>
        </w:tc>
        <w:tc>
          <w:tcPr>
            <w:tcW w:w="1008" w:type="dxa"/>
            <w:noWrap/>
            <w:tcMar>
              <w:left w:w="115" w:type="dxa"/>
              <w:right w:w="115" w:type="dxa"/>
            </w:tcMar>
          </w:tcPr>
          <w:p w14:paraId="4A26EF6A" w14:textId="77777777" w:rsidR="00251808" w:rsidRPr="0090465C" w:rsidRDefault="00251808" w:rsidP="00EA7DE1">
            <w:pPr>
              <w:pStyle w:val="Compact"/>
              <w:jc w:val="right"/>
              <w:rPr>
                <w:rFonts w:cs="Times New Roman"/>
              </w:rPr>
            </w:pPr>
            <m:oMathPara>
              <m:oMath>
                <m:r>
                  <w:rPr>
                    <w:rFonts w:ascii="Cambria Math" w:hAnsi="Cambria Math" w:cs="Times New Roman"/>
                  </w:rPr>
                  <m:t>6 624</m:t>
                </m:r>
              </m:oMath>
            </m:oMathPara>
          </w:p>
        </w:tc>
        <w:tc>
          <w:tcPr>
            <w:tcW w:w="1376" w:type="dxa"/>
            <w:noWrap/>
            <w:tcMar>
              <w:left w:w="115" w:type="dxa"/>
              <w:right w:w="115" w:type="dxa"/>
            </w:tcMar>
          </w:tcPr>
          <w:p w14:paraId="52BBA4A0" w14:textId="77777777" w:rsidR="00251808" w:rsidRPr="0090465C" w:rsidRDefault="00251808" w:rsidP="00EA7DE1">
            <w:pPr>
              <w:pStyle w:val="Compact"/>
              <w:rPr>
                <w:rFonts w:cs="Times New Roman"/>
              </w:rPr>
            </w:pPr>
            <m:oMathPara>
              <m:oMath>
                <m:r>
                  <w:rPr>
                    <w:rFonts w:ascii="Cambria Math" w:hAnsi="Cambria Math" w:cs="Times New Roman"/>
                  </w:rPr>
                  <m:t>(34%)</m:t>
                </m:r>
              </m:oMath>
            </m:oMathPara>
          </w:p>
        </w:tc>
      </w:tr>
      <w:tr w:rsidR="00251808" w:rsidRPr="0090465C" w14:paraId="4C85AC13" w14:textId="77777777" w:rsidTr="006C2326">
        <w:trPr>
          <w:gridAfter w:val="1"/>
          <w:wAfter w:w="22" w:type="dxa"/>
          <w:jc w:val="center"/>
        </w:trPr>
        <w:tc>
          <w:tcPr>
            <w:tcW w:w="2879" w:type="dxa"/>
            <w:noWrap/>
            <w:tcMar>
              <w:left w:w="115" w:type="dxa"/>
              <w:right w:w="115" w:type="dxa"/>
            </w:tcMar>
          </w:tcPr>
          <w:p w14:paraId="4A7147B3" w14:textId="77777777" w:rsidR="00251808" w:rsidRPr="0090465C" w:rsidRDefault="00251808" w:rsidP="00EA7DE1">
            <w:pPr>
              <w:pStyle w:val="Compact"/>
              <w:rPr>
                <w:rFonts w:cs="Times New Roman"/>
              </w:rPr>
            </w:pPr>
            <w:r w:rsidRPr="0090465C">
              <w:rPr>
                <w:rFonts w:cs="Times New Roman"/>
                <w:b/>
              </w:rPr>
              <w:t>Complete work records</w:t>
            </w:r>
          </w:p>
        </w:tc>
        <w:tc>
          <w:tcPr>
            <w:tcW w:w="1008" w:type="dxa"/>
            <w:noWrap/>
            <w:tcMar>
              <w:left w:w="115" w:type="dxa"/>
              <w:right w:w="115" w:type="dxa"/>
            </w:tcMar>
          </w:tcPr>
          <w:p w14:paraId="76D889EC" w14:textId="77777777" w:rsidR="00251808" w:rsidRPr="0090465C" w:rsidRDefault="00251808" w:rsidP="00EA7DE1">
            <w:pPr>
              <w:pStyle w:val="Compact"/>
              <w:jc w:val="right"/>
              <w:rPr>
                <w:rFonts w:cs="Times New Roman"/>
              </w:rPr>
            </w:pPr>
            <m:oMathPara>
              <m:oMath>
                <m:r>
                  <w:rPr>
                    <w:rFonts w:ascii="Cambria Math" w:hAnsi="Cambria Math" w:cs="Times New Roman"/>
                  </w:rPr>
                  <m:t>19 663</m:t>
                </m:r>
              </m:oMath>
            </m:oMathPara>
          </w:p>
        </w:tc>
        <w:tc>
          <w:tcPr>
            <w:tcW w:w="1376" w:type="dxa"/>
            <w:noWrap/>
            <w:tcMar>
              <w:left w:w="115" w:type="dxa"/>
              <w:right w:w="115" w:type="dxa"/>
            </w:tcMar>
          </w:tcPr>
          <w:p w14:paraId="6C301226" w14:textId="77777777" w:rsidR="00251808" w:rsidRPr="0090465C" w:rsidRDefault="00251808" w:rsidP="00EA7DE1">
            <w:pPr>
              <w:pStyle w:val="Compact"/>
              <w:rPr>
                <w:rFonts w:cs="Times New Roman"/>
              </w:rPr>
            </w:pPr>
            <m:oMathPara>
              <m:oMath>
                <m:r>
                  <w:rPr>
                    <w:rFonts w:ascii="Cambria Math" w:hAnsi="Cambria Math" w:cs="Times New Roman"/>
                  </w:rPr>
                  <m:t>(73%)</m:t>
                </m:r>
              </m:oMath>
            </m:oMathPara>
          </w:p>
        </w:tc>
        <w:tc>
          <w:tcPr>
            <w:tcW w:w="250" w:type="dxa"/>
            <w:noWrap/>
            <w:tcMar>
              <w:left w:w="115" w:type="dxa"/>
              <w:right w:w="115" w:type="dxa"/>
            </w:tcMar>
          </w:tcPr>
          <w:p w14:paraId="0B353FE8" w14:textId="77777777" w:rsidR="00251808" w:rsidRPr="0090465C" w:rsidRDefault="00251808" w:rsidP="00EA7DE1">
            <w:pPr>
              <w:spacing w:after="0"/>
              <w:rPr>
                <w:rFonts w:cs="Times New Roman"/>
              </w:rPr>
            </w:pPr>
          </w:p>
        </w:tc>
        <w:tc>
          <w:tcPr>
            <w:tcW w:w="1008" w:type="dxa"/>
            <w:noWrap/>
            <w:tcMar>
              <w:left w:w="115" w:type="dxa"/>
              <w:right w:w="115" w:type="dxa"/>
            </w:tcMar>
          </w:tcPr>
          <w:p w14:paraId="14E163C0" w14:textId="77777777" w:rsidR="00251808" w:rsidRPr="0090465C" w:rsidRDefault="00251808" w:rsidP="00EA7DE1">
            <w:pPr>
              <w:pStyle w:val="Compact"/>
              <w:jc w:val="right"/>
              <w:rPr>
                <w:rFonts w:cs="Times New Roman"/>
              </w:rPr>
            </w:pPr>
            <m:oMathPara>
              <m:oMath>
                <m:r>
                  <w:rPr>
                    <w:rFonts w:ascii="Cambria Math" w:hAnsi="Cambria Math" w:cs="Times New Roman"/>
                  </w:rPr>
                  <m:t>19 663</m:t>
                </m:r>
              </m:oMath>
            </m:oMathPara>
          </w:p>
        </w:tc>
        <w:tc>
          <w:tcPr>
            <w:tcW w:w="1376" w:type="dxa"/>
            <w:noWrap/>
            <w:tcMar>
              <w:left w:w="115" w:type="dxa"/>
              <w:right w:w="115" w:type="dxa"/>
            </w:tcMar>
          </w:tcPr>
          <w:p w14:paraId="25BC86A2" w14:textId="77777777" w:rsidR="00251808" w:rsidRPr="0090465C" w:rsidRDefault="00251808" w:rsidP="00EA7DE1">
            <w:pPr>
              <w:pStyle w:val="Compact"/>
              <w:rPr>
                <w:rFonts w:cs="Times New Roman"/>
              </w:rPr>
            </w:pPr>
            <m:oMathPara>
              <m:oMath>
                <m:r>
                  <w:rPr>
                    <w:rFonts w:ascii="Cambria Math" w:hAnsi="Cambria Math" w:cs="Times New Roman"/>
                  </w:rPr>
                  <m:t>(100%)</m:t>
                </m:r>
              </m:oMath>
            </m:oMathPara>
          </w:p>
        </w:tc>
      </w:tr>
      <w:tr w:rsidR="00251808" w:rsidRPr="0090465C" w14:paraId="26E8AE74" w14:textId="77777777" w:rsidTr="006C2326">
        <w:trPr>
          <w:gridAfter w:val="1"/>
          <w:wAfter w:w="22" w:type="dxa"/>
          <w:jc w:val="center"/>
        </w:trPr>
        <w:tc>
          <w:tcPr>
            <w:tcW w:w="2879" w:type="dxa"/>
            <w:noWrap/>
            <w:tcMar>
              <w:left w:w="115" w:type="dxa"/>
              <w:right w:w="115" w:type="dxa"/>
            </w:tcMar>
          </w:tcPr>
          <w:p w14:paraId="3F2729B9" w14:textId="77777777" w:rsidR="00251808" w:rsidRPr="0090465C" w:rsidRDefault="00251808" w:rsidP="00EA7DE1">
            <w:pPr>
              <w:pStyle w:val="Compact"/>
              <w:rPr>
                <w:rFonts w:cs="Times New Roman"/>
              </w:rPr>
            </w:pPr>
            <w:r w:rsidRPr="0090465C">
              <w:rPr>
                <w:rFonts w:cs="Times New Roman"/>
                <w:b/>
              </w:rPr>
              <w:t>Year of hire</w:t>
            </w:r>
          </w:p>
        </w:tc>
        <w:tc>
          <w:tcPr>
            <w:tcW w:w="1008" w:type="dxa"/>
            <w:noWrap/>
            <w:tcMar>
              <w:left w:w="115" w:type="dxa"/>
              <w:right w:w="115" w:type="dxa"/>
            </w:tcMar>
          </w:tcPr>
          <w:p w14:paraId="5C78695C" w14:textId="77777777" w:rsidR="00251808" w:rsidRPr="0090465C" w:rsidRDefault="00251808" w:rsidP="00EA7DE1">
            <w:pPr>
              <w:pStyle w:val="Compact"/>
              <w:jc w:val="right"/>
              <w:rPr>
                <w:rFonts w:cs="Times New Roman"/>
              </w:rPr>
            </w:pPr>
            <m:oMathPara>
              <m:oMath>
                <m:r>
                  <w:rPr>
                    <w:rFonts w:ascii="Cambria Math" w:hAnsi="Cambria Math" w:cs="Times New Roman"/>
                  </w:rPr>
                  <m:t>1967</m:t>
                </m:r>
              </m:oMath>
            </m:oMathPara>
          </w:p>
        </w:tc>
        <w:tc>
          <w:tcPr>
            <w:tcW w:w="1376" w:type="dxa"/>
            <w:noWrap/>
            <w:tcMar>
              <w:left w:w="115" w:type="dxa"/>
              <w:right w:w="115" w:type="dxa"/>
            </w:tcMar>
          </w:tcPr>
          <w:p w14:paraId="126ECF62" w14:textId="77777777" w:rsidR="00251808" w:rsidRPr="0090465C" w:rsidRDefault="00251808" w:rsidP="00EA7DE1">
            <w:pPr>
              <w:pStyle w:val="Compact"/>
              <w:rPr>
                <w:rFonts w:cs="Times New Roman"/>
              </w:rPr>
            </w:pPr>
            <m:oMathPara>
              <m:oMath>
                <m:r>
                  <w:rPr>
                    <w:rFonts w:ascii="Cambria Math" w:hAnsi="Cambria Math" w:cs="Times New Roman"/>
                  </w:rPr>
                  <m:t>(1956, 1975)</m:t>
                </m:r>
              </m:oMath>
            </m:oMathPara>
          </w:p>
        </w:tc>
        <w:tc>
          <w:tcPr>
            <w:tcW w:w="250" w:type="dxa"/>
            <w:noWrap/>
            <w:tcMar>
              <w:left w:w="115" w:type="dxa"/>
              <w:right w:w="115" w:type="dxa"/>
            </w:tcMar>
          </w:tcPr>
          <w:p w14:paraId="401697BA" w14:textId="77777777" w:rsidR="00251808" w:rsidRPr="0090465C" w:rsidRDefault="00251808" w:rsidP="00EA7DE1">
            <w:pPr>
              <w:spacing w:after="0"/>
              <w:rPr>
                <w:rFonts w:cs="Times New Roman"/>
              </w:rPr>
            </w:pPr>
          </w:p>
        </w:tc>
        <w:tc>
          <w:tcPr>
            <w:tcW w:w="1008" w:type="dxa"/>
            <w:noWrap/>
            <w:tcMar>
              <w:left w:w="115" w:type="dxa"/>
              <w:right w:w="115" w:type="dxa"/>
            </w:tcMar>
          </w:tcPr>
          <w:p w14:paraId="3DC78C18" w14:textId="77777777" w:rsidR="00251808" w:rsidRPr="0090465C" w:rsidRDefault="00251808" w:rsidP="00EA7DE1">
            <w:pPr>
              <w:pStyle w:val="Compact"/>
              <w:jc w:val="right"/>
              <w:rPr>
                <w:rFonts w:cs="Times New Roman"/>
              </w:rPr>
            </w:pPr>
            <m:oMathPara>
              <m:oMath>
                <m:r>
                  <w:rPr>
                    <w:rFonts w:ascii="Cambria Math" w:hAnsi="Cambria Math" w:cs="Times New Roman"/>
                  </w:rPr>
                  <m:t>1965</m:t>
                </m:r>
              </m:oMath>
            </m:oMathPara>
          </w:p>
        </w:tc>
        <w:tc>
          <w:tcPr>
            <w:tcW w:w="1376" w:type="dxa"/>
            <w:noWrap/>
            <w:tcMar>
              <w:left w:w="115" w:type="dxa"/>
              <w:right w:w="115" w:type="dxa"/>
            </w:tcMar>
          </w:tcPr>
          <w:p w14:paraId="2B56402C" w14:textId="77777777" w:rsidR="00251808" w:rsidRPr="0090465C" w:rsidRDefault="00251808" w:rsidP="00EA7DE1">
            <w:pPr>
              <w:pStyle w:val="Compact"/>
              <w:rPr>
                <w:rFonts w:cs="Times New Roman"/>
              </w:rPr>
            </w:pPr>
            <m:oMathPara>
              <m:oMath>
                <m:r>
                  <w:rPr>
                    <w:rFonts w:ascii="Cambria Math" w:hAnsi="Cambria Math" w:cs="Times New Roman"/>
                  </w:rPr>
                  <m:t>(1953, 1971)</m:t>
                </m:r>
              </m:oMath>
            </m:oMathPara>
          </w:p>
        </w:tc>
      </w:tr>
      <w:tr w:rsidR="00251808" w:rsidRPr="0090465C" w14:paraId="5CA57B2C" w14:textId="77777777" w:rsidTr="006C2326">
        <w:trPr>
          <w:gridAfter w:val="1"/>
          <w:wAfter w:w="22" w:type="dxa"/>
          <w:jc w:val="center"/>
        </w:trPr>
        <w:tc>
          <w:tcPr>
            <w:tcW w:w="2879" w:type="dxa"/>
            <w:noWrap/>
            <w:tcMar>
              <w:left w:w="115" w:type="dxa"/>
              <w:right w:w="115" w:type="dxa"/>
            </w:tcMar>
          </w:tcPr>
          <w:p w14:paraId="47796325" w14:textId="77777777" w:rsidR="00251808" w:rsidRPr="0090465C" w:rsidRDefault="00251808" w:rsidP="00EA7DE1">
            <w:pPr>
              <w:pStyle w:val="Compact"/>
              <w:rPr>
                <w:rFonts w:cs="Times New Roman"/>
              </w:rPr>
            </w:pPr>
            <w:r w:rsidRPr="0090465C">
              <w:rPr>
                <w:rFonts w:cs="Times New Roman"/>
                <w:b/>
              </w:rPr>
              <w:t>Age at hire</w:t>
            </w:r>
          </w:p>
        </w:tc>
        <w:tc>
          <w:tcPr>
            <w:tcW w:w="1008" w:type="dxa"/>
            <w:noWrap/>
            <w:tcMar>
              <w:left w:w="115" w:type="dxa"/>
              <w:right w:w="115" w:type="dxa"/>
            </w:tcMar>
          </w:tcPr>
          <w:p w14:paraId="16DD5577" w14:textId="77777777" w:rsidR="00251808" w:rsidRPr="0090465C" w:rsidRDefault="00251808" w:rsidP="00EA7DE1">
            <w:pPr>
              <w:pStyle w:val="Compact"/>
              <w:jc w:val="right"/>
              <w:rPr>
                <w:rFonts w:cs="Times New Roman"/>
              </w:rPr>
            </w:pPr>
            <m:oMathPara>
              <m:oMath>
                <m:r>
                  <w:rPr>
                    <w:rFonts w:ascii="Cambria Math" w:hAnsi="Cambria Math" w:cs="Times New Roman"/>
                  </w:rPr>
                  <m:t>24</m:t>
                </m:r>
              </m:oMath>
            </m:oMathPara>
          </w:p>
        </w:tc>
        <w:tc>
          <w:tcPr>
            <w:tcW w:w="1376" w:type="dxa"/>
            <w:noWrap/>
            <w:tcMar>
              <w:left w:w="115" w:type="dxa"/>
              <w:right w:w="115" w:type="dxa"/>
            </w:tcMar>
          </w:tcPr>
          <w:p w14:paraId="44247399" w14:textId="77777777" w:rsidR="00251808" w:rsidRPr="0090465C" w:rsidRDefault="00251808" w:rsidP="00EA7DE1">
            <w:pPr>
              <w:pStyle w:val="Compact"/>
              <w:rPr>
                <w:rFonts w:cs="Times New Roman"/>
              </w:rPr>
            </w:pPr>
            <m:oMathPara>
              <m:oMath>
                <m:r>
                  <w:rPr>
                    <w:rFonts w:ascii="Cambria Math" w:hAnsi="Cambria Math" w:cs="Times New Roman"/>
                  </w:rPr>
                  <m:t>(20, 31)</m:t>
                </m:r>
              </m:oMath>
            </m:oMathPara>
          </w:p>
        </w:tc>
        <w:tc>
          <w:tcPr>
            <w:tcW w:w="250" w:type="dxa"/>
            <w:noWrap/>
            <w:tcMar>
              <w:left w:w="115" w:type="dxa"/>
              <w:right w:w="115" w:type="dxa"/>
            </w:tcMar>
          </w:tcPr>
          <w:p w14:paraId="4573855B" w14:textId="77777777" w:rsidR="00251808" w:rsidRPr="0090465C" w:rsidRDefault="00251808" w:rsidP="00EA7DE1">
            <w:pPr>
              <w:spacing w:after="0"/>
              <w:rPr>
                <w:rFonts w:cs="Times New Roman"/>
              </w:rPr>
            </w:pPr>
          </w:p>
        </w:tc>
        <w:tc>
          <w:tcPr>
            <w:tcW w:w="1008" w:type="dxa"/>
            <w:noWrap/>
            <w:tcMar>
              <w:left w:w="115" w:type="dxa"/>
              <w:right w:w="115" w:type="dxa"/>
            </w:tcMar>
          </w:tcPr>
          <w:p w14:paraId="7BCFC68D" w14:textId="77777777" w:rsidR="00251808" w:rsidRPr="0090465C" w:rsidRDefault="00251808" w:rsidP="00EA7DE1">
            <w:pPr>
              <w:pStyle w:val="Compact"/>
              <w:jc w:val="right"/>
              <w:rPr>
                <w:rFonts w:cs="Times New Roman"/>
              </w:rPr>
            </w:pPr>
            <m:oMathPara>
              <m:oMath>
                <m:r>
                  <w:rPr>
                    <w:rFonts w:ascii="Cambria Math" w:hAnsi="Cambria Math" w:cs="Times New Roman"/>
                  </w:rPr>
                  <m:t>25</m:t>
                </m:r>
              </m:oMath>
            </m:oMathPara>
          </w:p>
        </w:tc>
        <w:tc>
          <w:tcPr>
            <w:tcW w:w="1376" w:type="dxa"/>
            <w:noWrap/>
            <w:tcMar>
              <w:left w:w="115" w:type="dxa"/>
              <w:right w:w="115" w:type="dxa"/>
            </w:tcMar>
          </w:tcPr>
          <w:p w14:paraId="6D010EE6" w14:textId="77777777" w:rsidR="00251808" w:rsidRPr="0090465C" w:rsidRDefault="00251808" w:rsidP="00EA7DE1">
            <w:pPr>
              <w:pStyle w:val="Compact"/>
              <w:rPr>
                <w:rFonts w:cs="Times New Roman"/>
              </w:rPr>
            </w:pPr>
            <m:oMathPara>
              <m:oMath>
                <m:r>
                  <w:rPr>
                    <w:rFonts w:ascii="Cambria Math" w:hAnsi="Cambria Math" w:cs="Times New Roman"/>
                  </w:rPr>
                  <m:t>(20, 33)</m:t>
                </m:r>
              </m:oMath>
            </m:oMathPara>
          </w:p>
        </w:tc>
      </w:tr>
      <w:tr w:rsidR="00251808" w:rsidRPr="0090465C" w14:paraId="4128E78C" w14:textId="77777777" w:rsidTr="006C2326">
        <w:trPr>
          <w:gridAfter w:val="1"/>
          <w:wAfter w:w="22" w:type="dxa"/>
          <w:jc w:val="center"/>
        </w:trPr>
        <w:tc>
          <w:tcPr>
            <w:tcW w:w="2879" w:type="dxa"/>
            <w:noWrap/>
            <w:tcMar>
              <w:left w:w="115" w:type="dxa"/>
              <w:right w:w="115" w:type="dxa"/>
            </w:tcMar>
          </w:tcPr>
          <w:p w14:paraId="53733D4C" w14:textId="77777777" w:rsidR="00251808" w:rsidRPr="0090465C" w:rsidRDefault="00251808" w:rsidP="00EA7DE1">
            <w:pPr>
              <w:pStyle w:val="Compact"/>
              <w:rPr>
                <w:rFonts w:cs="Times New Roman"/>
              </w:rPr>
            </w:pPr>
            <w:r w:rsidRPr="0090465C">
              <w:rPr>
                <w:rFonts w:cs="Times New Roman"/>
                <w:b/>
              </w:rPr>
              <w:t>Year of birth</w:t>
            </w:r>
          </w:p>
        </w:tc>
        <w:tc>
          <w:tcPr>
            <w:tcW w:w="1008" w:type="dxa"/>
            <w:noWrap/>
            <w:tcMar>
              <w:left w:w="115" w:type="dxa"/>
              <w:right w:w="115" w:type="dxa"/>
            </w:tcMar>
          </w:tcPr>
          <w:p w14:paraId="07035F2F" w14:textId="77777777" w:rsidR="00251808" w:rsidRPr="0090465C" w:rsidRDefault="00251808" w:rsidP="00EA7DE1">
            <w:pPr>
              <w:pStyle w:val="Compact"/>
              <w:jc w:val="right"/>
              <w:rPr>
                <w:rFonts w:cs="Times New Roman"/>
              </w:rPr>
            </w:pPr>
            <m:oMathPara>
              <m:oMath>
                <m:r>
                  <w:rPr>
                    <w:rFonts w:ascii="Cambria Math" w:hAnsi="Cambria Math" w:cs="Times New Roman"/>
                  </w:rPr>
                  <m:t>1942</m:t>
                </m:r>
              </m:oMath>
            </m:oMathPara>
          </w:p>
        </w:tc>
        <w:tc>
          <w:tcPr>
            <w:tcW w:w="1376" w:type="dxa"/>
            <w:noWrap/>
            <w:tcMar>
              <w:left w:w="115" w:type="dxa"/>
              <w:right w:w="115" w:type="dxa"/>
            </w:tcMar>
          </w:tcPr>
          <w:p w14:paraId="276747FF" w14:textId="77777777" w:rsidR="00251808" w:rsidRPr="0090465C" w:rsidRDefault="00251808" w:rsidP="00EA7DE1">
            <w:pPr>
              <w:pStyle w:val="Compact"/>
              <w:rPr>
                <w:rFonts w:cs="Times New Roman"/>
              </w:rPr>
            </w:pPr>
            <m:oMathPara>
              <m:oMath>
                <m:r>
                  <w:rPr>
                    <w:rFonts w:ascii="Cambria Math" w:hAnsi="Cambria Math" w:cs="Times New Roman"/>
                  </w:rPr>
                  <m:t>(1927, 1950)</m:t>
                </m:r>
              </m:oMath>
            </m:oMathPara>
          </w:p>
        </w:tc>
        <w:tc>
          <w:tcPr>
            <w:tcW w:w="250" w:type="dxa"/>
            <w:noWrap/>
            <w:tcMar>
              <w:left w:w="115" w:type="dxa"/>
              <w:right w:w="115" w:type="dxa"/>
            </w:tcMar>
          </w:tcPr>
          <w:p w14:paraId="4041C4C6" w14:textId="77777777" w:rsidR="00251808" w:rsidRPr="0090465C" w:rsidRDefault="00251808" w:rsidP="00EA7DE1">
            <w:pPr>
              <w:spacing w:after="0"/>
              <w:rPr>
                <w:rFonts w:cs="Times New Roman"/>
              </w:rPr>
            </w:pPr>
          </w:p>
        </w:tc>
        <w:tc>
          <w:tcPr>
            <w:tcW w:w="1008" w:type="dxa"/>
            <w:noWrap/>
            <w:tcMar>
              <w:left w:w="115" w:type="dxa"/>
              <w:right w:w="115" w:type="dxa"/>
            </w:tcMar>
          </w:tcPr>
          <w:p w14:paraId="3626B02E" w14:textId="77777777" w:rsidR="00251808" w:rsidRPr="0090465C" w:rsidRDefault="00251808" w:rsidP="00EA7DE1">
            <w:pPr>
              <w:pStyle w:val="Compact"/>
              <w:jc w:val="right"/>
              <w:rPr>
                <w:rFonts w:cs="Times New Roman"/>
              </w:rPr>
            </w:pPr>
            <m:oMathPara>
              <m:oMath>
                <m:r>
                  <w:rPr>
                    <w:rFonts w:ascii="Cambria Math" w:hAnsi="Cambria Math" w:cs="Times New Roman"/>
                  </w:rPr>
                  <m:t>1936</m:t>
                </m:r>
              </m:oMath>
            </m:oMathPara>
          </w:p>
        </w:tc>
        <w:tc>
          <w:tcPr>
            <w:tcW w:w="1376" w:type="dxa"/>
            <w:noWrap/>
            <w:tcMar>
              <w:left w:w="115" w:type="dxa"/>
              <w:right w:w="115" w:type="dxa"/>
            </w:tcMar>
          </w:tcPr>
          <w:p w14:paraId="05419CCC" w14:textId="77777777" w:rsidR="00251808" w:rsidRPr="0090465C" w:rsidRDefault="00251808" w:rsidP="00EA7DE1">
            <w:pPr>
              <w:pStyle w:val="Compact"/>
              <w:rPr>
                <w:rFonts w:cs="Times New Roman"/>
              </w:rPr>
            </w:pPr>
            <m:oMathPara>
              <m:oMath>
                <m:r>
                  <w:rPr>
                    <w:rFonts w:ascii="Cambria Math" w:hAnsi="Cambria Math" w:cs="Times New Roman"/>
                  </w:rPr>
                  <m:t>(1923, 1947)</m:t>
                </m:r>
              </m:oMath>
            </m:oMathPara>
          </w:p>
        </w:tc>
      </w:tr>
      <w:tr w:rsidR="00251808" w:rsidRPr="0090465C" w14:paraId="5BA4C503" w14:textId="77777777" w:rsidTr="006C2326">
        <w:trPr>
          <w:gridAfter w:val="1"/>
          <w:wAfter w:w="22" w:type="dxa"/>
          <w:jc w:val="center"/>
        </w:trPr>
        <w:tc>
          <w:tcPr>
            <w:tcW w:w="2879" w:type="dxa"/>
            <w:noWrap/>
            <w:tcMar>
              <w:left w:w="115" w:type="dxa"/>
              <w:right w:w="115" w:type="dxa"/>
            </w:tcMar>
          </w:tcPr>
          <w:p w14:paraId="5947AA7E" w14:textId="77777777" w:rsidR="00251808" w:rsidRPr="0090465C" w:rsidRDefault="00251808" w:rsidP="00EA7DE1">
            <w:pPr>
              <w:pStyle w:val="Compact"/>
              <w:rPr>
                <w:rFonts w:cs="Times New Roman"/>
              </w:rPr>
            </w:pPr>
            <w:r w:rsidRPr="0090465C">
              <w:rPr>
                <w:rFonts w:cs="Times New Roman"/>
                <w:b/>
              </w:rPr>
              <w:t>Year of worker exit</w:t>
            </w:r>
          </w:p>
        </w:tc>
        <w:tc>
          <w:tcPr>
            <w:tcW w:w="1008" w:type="dxa"/>
            <w:noWrap/>
            <w:tcMar>
              <w:left w:w="115" w:type="dxa"/>
              <w:right w:w="115" w:type="dxa"/>
            </w:tcMar>
          </w:tcPr>
          <w:p w14:paraId="2D648C4D" w14:textId="77777777" w:rsidR="00251808" w:rsidRPr="0090465C" w:rsidRDefault="00251808" w:rsidP="00EA7DE1">
            <w:pPr>
              <w:pStyle w:val="Compact"/>
              <w:jc w:val="right"/>
              <w:rPr>
                <w:rFonts w:cs="Times New Roman"/>
              </w:rPr>
            </w:pPr>
            <m:oMathPara>
              <m:oMath>
                <m:r>
                  <w:rPr>
                    <w:rFonts w:ascii="Cambria Math" w:hAnsi="Cambria Math" w:cs="Times New Roman"/>
                  </w:rPr>
                  <m:t>1991</m:t>
                </m:r>
              </m:oMath>
            </m:oMathPara>
          </w:p>
        </w:tc>
        <w:tc>
          <w:tcPr>
            <w:tcW w:w="1376" w:type="dxa"/>
            <w:noWrap/>
            <w:tcMar>
              <w:left w:w="115" w:type="dxa"/>
              <w:right w:w="115" w:type="dxa"/>
            </w:tcMar>
          </w:tcPr>
          <w:p w14:paraId="0567285D" w14:textId="77777777" w:rsidR="00251808" w:rsidRPr="0090465C" w:rsidRDefault="00251808" w:rsidP="00EA7DE1">
            <w:pPr>
              <w:pStyle w:val="Compact"/>
              <w:rPr>
                <w:rFonts w:cs="Times New Roman"/>
              </w:rPr>
            </w:pPr>
            <m:oMathPara>
              <m:oMath>
                <m:r>
                  <w:rPr>
                    <w:rFonts w:ascii="Cambria Math" w:hAnsi="Cambria Math" w:cs="Times New Roman"/>
                  </w:rPr>
                  <m:t>(1982, 1995)</m:t>
                </m:r>
              </m:oMath>
            </m:oMathPara>
          </w:p>
        </w:tc>
        <w:tc>
          <w:tcPr>
            <w:tcW w:w="250" w:type="dxa"/>
            <w:noWrap/>
            <w:tcMar>
              <w:left w:w="115" w:type="dxa"/>
              <w:right w:w="115" w:type="dxa"/>
            </w:tcMar>
          </w:tcPr>
          <w:p w14:paraId="618428B6" w14:textId="77777777" w:rsidR="00251808" w:rsidRPr="0090465C" w:rsidRDefault="00251808" w:rsidP="00EA7DE1">
            <w:pPr>
              <w:spacing w:after="0"/>
              <w:rPr>
                <w:rFonts w:cs="Times New Roman"/>
              </w:rPr>
            </w:pPr>
          </w:p>
        </w:tc>
        <w:tc>
          <w:tcPr>
            <w:tcW w:w="1008" w:type="dxa"/>
            <w:noWrap/>
            <w:tcMar>
              <w:left w:w="115" w:type="dxa"/>
              <w:right w:w="115" w:type="dxa"/>
            </w:tcMar>
          </w:tcPr>
          <w:p w14:paraId="261ABF69" w14:textId="77777777" w:rsidR="00251808" w:rsidRPr="0090465C" w:rsidRDefault="00251808" w:rsidP="00EA7DE1">
            <w:pPr>
              <w:pStyle w:val="Compact"/>
              <w:jc w:val="right"/>
              <w:rPr>
                <w:rFonts w:cs="Times New Roman"/>
              </w:rPr>
            </w:pPr>
            <m:oMathPara>
              <m:oMath>
                <m:r>
                  <w:rPr>
                    <w:rFonts w:ascii="Cambria Math" w:hAnsi="Cambria Math" w:cs="Times New Roman"/>
                  </w:rPr>
                  <m:t>1987</m:t>
                </m:r>
              </m:oMath>
            </m:oMathPara>
          </w:p>
        </w:tc>
        <w:tc>
          <w:tcPr>
            <w:tcW w:w="1376" w:type="dxa"/>
            <w:noWrap/>
            <w:tcMar>
              <w:left w:w="115" w:type="dxa"/>
              <w:right w:w="115" w:type="dxa"/>
            </w:tcMar>
          </w:tcPr>
          <w:p w14:paraId="6B2DEB32" w14:textId="77777777" w:rsidR="00251808" w:rsidRPr="0090465C" w:rsidRDefault="00251808" w:rsidP="00EA7DE1">
            <w:pPr>
              <w:pStyle w:val="Compact"/>
              <w:rPr>
                <w:rFonts w:cs="Times New Roman"/>
              </w:rPr>
            </w:pPr>
            <m:oMathPara>
              <m:oMath>
                <m:r>
                  <w:rPr>
                    <w:rFonts w:ascii="Cambria Math" w:hAnsi="Cambria Math" w:cs="Times New Roman"/>
                  </w:rPr>
                  <m:t>(1979, 1993)</m:t>
                </m:r>
              </m:oMath>
            </m:oMathPara>
          </w:p>
        </w:tc>
      </w:tr>
      <w:tr w:rsidR="00251808" w:rsidRPr="0090465C" w14:paraId="7D650393" w14:textId="77777777" w:rsidTr="006C2326">
        <w:trPr>
          <w:gridAfter w:val="1"/>
          <w:wAfter w:w="22" w:type="dxa"/>
          <w:jc w:val="center"/>
        </w:trPr>
        <w:tc>
          <w:tcPr>
            <w:tcW w:w="2879" w:type="dxa"/>
            <w:noWrap/>
            <w:tcMar>
              <w:left w:w="115" w:type="dxa"/>
              <w:right w:w="115" w:type="dxa"/>
            </w:tcMar>
          </w:tcPr>
          <w:p w14:paraId="5B26FB00" w14:textId="77777777" w:rsidR="00251808" w:rsidRPr="0090465C" w:rsidRDefault="00251808" w:rsidP="00EA7DE1">
            <w:pPr>
              <w:pStyle w:val="Compact"/>
              <w:rPr>
                <w:rFonts w:cs="Times New Roman"/>
              </w:rPr>
            </w:pPr>
            <w:r w:rsidRPr="0090465C">
              <w:rPr>
                <w:rFonts w:cs="Times New Roman"/>
                <w:b/>
              </w:rPr>
              <w:t>Age at worker exit</w:t>
            </w:r>
          </w:p>
        </w:tc>
        <w:tc>
          <w:tcPr>
            <w:tcW w:w="1008" w:type="dxa"/>
            <w:noWrap/>
            <w:tcMar>
              <w:left w:w="115" w:type="dxa"/>
              <w:right w:w="115" w:type="dxa"/>
            </w:tcMar>
          </w:tcPr>
          <w:p w14:paraId="017812F5" w14:textId="77777777" w:rsidR="00251808" w:rsidRPr="0090465C" w:rsidRDefault="00251808" w:rsidP="00EA7DE1">
            <w:pPr>
              <w:pStyle w:val="Compact"/>
              <w:jc w:val="right"/>
              <w:rPr>
                <w:rFonts w:cs="Times New Roman"/>
              </w:rPr>
            </w:pPr>
            <m:oMathPara>
              <m:oMath>
                <m:r>
                  <w:rPr>
                    <w:rFonts w:ascii="Cambria Math" w:hAnsi="Cambria Math" w:cs="Times New Roman"/>
                  </w:rPr>
                  <m:t>49</m:t>
                </m:r>
              </m:oMath>
            </m:oMathPara>
          </w:p>
        </w:tc>
        <w:tc>
          <w:tcPr>
            <w:tcW w:w="1376" w:type="dxa"/>
            <w:noWrap/>
            <w:tcMar>
              <w:left w:w="115" w:type="dxa"/>
              <w:right w:w="115" w:type="dxa"/>
            </w:tcMar>
          </w:tcPr>
          <w:p w14:paraId="767C0051" w14:textId="77777777" w:rsidR="00251808" w:rsidRPr="0090465C" w:rsidRDefault="00251808" w:rsidP="00EA7DE1">
            <w:pPr>
              <w:pStyle w:val="Compact"/>
              <w:rPr>
                <w:rFonts w:cs="Times New Roman"/>
              </w:rPr>
            </w:pPr>
            <m:oMathPara>
              <m:oMath>
                <m:r>
                  <w:rPr>
                    <w:rFonts w:ascii="Cambria Math" w:hAnsi="Cambria Math" w:cs="Times New Roman"/>
                  </w:rPr>
                  <m:t>(40, 58)</m:t>
                </m:r>
              </m:oMath>
            </m:oMathPara>
          </w:p>
        </w:tc>
        <w:tc>
          <w:tcPr>
            <w:tcW w:w="250" w:type="dxa"/>
            <w:noWrap/>
            <w:tcMar>
              <w:left w:w="115" w:type="dxa"/>
              <w:right w:w="115" w:type="dxa"/>
            </w:tcMar>
          </w:tcPr>
          <w:p w14:paraId="0E250FED" w14:textId="77777777" w:rsidR="00251808" w:rsidRPr="0090465C" w:rsidRDefault="00251808" w:rsidP="00EA7DE1">
            <w:pPr>
              <w:spacing w:after="0"/>
              <w:rPr>
                <w:rFonts w:cs="Times New Roman"/>
              </w:rPr>
            </w:pPr>
          </w:p>
        </w:tc>
        <w:tc>
          <w:tcPr>
            <w:tcW w:w="1008" w:type="dxa"/>
            <w:noWrap/>
            <w:tcMar>
              <w:left w:w="115" w:type="dxa"/>
              <w:right w:w="115" w:type="dxa"/>
            </w:tcMar>
          </w:tcPr>
          <w:p w14:paraId="3EE0B6B6" w14:textId="77777777" w:rsidR="00251808" w:rsidRPr="0090465C" w:rsidRDefault="00251808" w:rsidP="00EA7DE1">
            <w:pPr>
              <w:pStyle w:val="Compact"/>
              <w:jc w:val="right"/>
              <w:rPr>
                <w:rFonts w:cs="Times New Roman"/>
              </w:rPr>
            </w:pPr>
            <m:oMathPara>
              <m:oMath>
                <m:r>
                  <w:rPr>
                    <w:rFonts w:ascii="Cambria Math" w:hAnsi="Cambria Math" w:cs="Times New Roman"/>
                  </w:rPr>
                  <m:t>52</m:t>
                </m:r>
              </m:oMath>
            </m:oMathPara>
          </w:p>
        </w:tc>
        <w:tc>
          <w:tcPr>
            <w:tcW w:w="1376" w:type="dxa"/>
            <w:noWrap/>
            <w:tcMar>
              <w:left w:w="115" w:type="dxa"/>
              <w:right w:w="115" w:type="dxa"/>
            </w:tcMar>
          </w:tcPr>
          <w:p w14:paraId="4DCE461F" w14:textId="77777777" w:rsidR="00251808" w:rsidRPr="0090465C" w:rsidRDefault="00251808" w:rsidP="00EA7DE1">
            <w:pPr>
              <w:pStyle w:val="Compact"/>
              <w:rPr>
                <w:rFonts w:cs="Times New Roman"/>
              </w:rPr>
            </w:pPr>
            <m:oMathPara>
              <m:oMath>
                <m:r>
                  <w:rPr>
                    <w:rFonts w:ascii="Cambria Math" w:hAnsi="Cambria Math" w:cs="Times New Roman"/>
                  </w:rPr>
                  <m:t>(39, 61)</m:t>
                </m:r>
              </m:oMath>
            </m:oMathPara>
          </w:p>
        </w:tc>
      </w:tr>
      <w:tr w:rsidR="00251808" w:rsidRPr="0090465C" w14:paraId="0D2671B1" w14:textId="77777777" w:rsidTr="006C2326">
        <w:trPr>
          <w:gridAfter w:val="1"/>
          <w:wAfter w:w="22" w:type="dxa"/>
          <w:jc w:val="center"/>
        </w:trPr>
        <w:tc>
          <w:tcPr>
            <w:tcW w:w="2879" w:type="dxa"/>
            <w:noWrap/>
            <w:tcMar>
              <w:left w:w="115" w:type="dxa"/>
              <w:right w:w="115" w:type="dxa"/>
            </w:tcMar>
          </w:tcPr>
          <w:p w14:paraId="27472952" w14:textId="77777777" w:rsidR="00251808" w:rsidRPr="0090465C" w:rsidRDefault="00251808" w:rsidP="00EA7DE1">
            <w:pPr>
              <w:pStyle w:val="Compact"/>
              <w:rPr>
                <w:rFonts w:cs="Times New Roman"/>
              </w:rPr>
            </w:pPr>
            <w:r w:rsidRPr="0090465C">
              <w:rPr>
                <w:rFonts w:cs="Times New Roman"/>
                <w:b/>
              </w:rPr>
              <w:t>Age at death among deceased</w:t>
            </w:r>
          </w:p>
        </w:tc>
        <w:tc>
          <w:tcPr>
            <w:tcW w:w="1008" w:type="dxa"/>
            <w:noWrap/>
            <w:tcMar>
              <w:left w:w="115" w:type="dxa"/>
              <w:right w:w="115" w:type="dxa"/>
            </w:tcMar>
          </w:tcPr>
          <w:p w14:paraId="7008FFA2" w14:textId="77777777" w:rsidR="00251808" w:rsidRPr="0090465C" w:rsidRDefault="00251808" w:rsidP="00EA7DE1">
            <w:pPr>
              <w:pStyle w:val="Compact"/>
              <w:jc w:val="right"/>
              <w:rPr>
                <w:rFonts w:cs="Times New Roman"/>
              </w:rPr>
            </w:pPr>
            <m:oMathPara>
              <m:oMath>
                <m:r>
                  <w:rPr>
                    <w:rFonts w:ascii="Cambria Math" w:hAnsi="Cambria Math" w:cs="Times New Roman"/>
                  </w:rPr>
                  <m:t>70</m:t>
                </m:r>
              </m:oMath>
            </m:oMathPara>
          </w:p>
        </w:tc>
        <w:tc>
          <w:tcPr>
            <w:tcW w:w="1376" w:type="dxa"/>
            <w:noWrap/>
            <w:tcMar>
              <w:left w:w="115" w:type="dxa"/>
              <w:right w:w="115" w:type="dxa"/>
            </w:tcMar>
          </w:tcPr>
          <w:p w14:paraId="2443E9AE" w14:textId="77777777" w:rsidR="00251808" w:rsidRPr="0090465C" w:rsidRDefault="00251808" w:rsidP="00EA7DE1">
            <w:pPr>
              <w:pStyle w:val="Compact"/>
              <w:rPr>
                <w:rFonts w:cs="Times New Roman"/>
              </w:rPr>
            </w:pPr>
            <m:oMathPara>
              <m:oMath>
                <m:r>
                  <w:rPr>
                    <w:rFonts w:ascii="Cambria Math" w:hAnsi="Cambria Math" w:cs="Times New Roman"/>
                  </w:rPr>
                  <m:t>(60, 79)</m:t>
                </m:r>
              </m:oMath>
            </m:oMathPara>
          </w:p>
        </w:tc>
        <w:tc>
          <w:tcPr>
            <w:tcW w:w="250" w:type="dxa"/>
            <w:noWrap/>
            <w:tcMar>
              <w:left w:w="115" w:type="dxa"/>
              <w:right w:w="115" w:type="dxa"/>
            </w:tcMar>
          </w:tcPr>
          <w:p w14:paraId="5C688D8E" w14:textId="77777777" w:rsidR="00251808" w:rsidRPr="0090465C" w:rsidRDefault="00251808" w:rsidP="00EA7DE1">
            <w:pPr>
              <w:spacing w:after="0"/>
              <w:rPr>
                <w:rFonts w:cs="Times New Roman"/>
              </w:rPr>
            </w:pPr>
          </w:p>
        </w:tc>
        <w:tc>
          <w:tcPr>
            <w:tcW w:w="1008" w:type="dxa"/>
            <w:noWrap/>
            <w:tcMar>
              <w:left w:w="115" w:type="dxa"/>
              <w:right w:w="115" w:type="dxa"/>
            </w:tcMar>
          </w:tcPr>
          <w:p w14:paraId="320B5628" w14:textId="77777777" w:rsidR="00251808" w:rsidRPr="0090465C" w:rsidRDefault="00251808" w:rsidP="00EA7DE1">
            <w:pPr>
              <w:pStyle w:val="Compact"/>
              <w:jc w:val="right"/>
              <w:rPr>
                <w:rFonts w:cs="Times New Roman"/>
              </w:rPr>
            </w:pPr>
            <m:oMathPara>
              <m:oMath>
                <m:r>
                  <w:rPr>
                    <w:rFonts w:ascii="Cambria Math" w:hAnsi="Cambria Math" w:cs="Times New Roman"/>
                  </w:rPr>
                  <m:t>71</m:t>
                </m:r>
              </m:oMath>
            </m:oMathPara>
          </w:p>
        </w:tc>
        <w:tc>
          <w:tcPr>
            <w:tcW w:w="1376" w:type="dxa"/>
            <w:noWrap/>
            <w:tcMar>
              <w:left w:w="115" w:type="dxa"/>
              <w:right w:w="115" w:type="dxa"/>
            </w:tcMar>
          </w:tcPr>
          <w:p w14:paraId="77F500A3" w14:textId="77777777" w:rsidR="00251808" w:rsidRPr="0090465C" w:rsidRDefault="00251808" w:rsidP="00EA7DE1">
            <w:pPr>
              <w:pStyle w:val="Compact"/>
              <w:rPr>
                <w:rFonts w:cs="Times New Roman"/>
              </w:rPr>
            </w:pPr>
            <m:oMathPara>
              <m:oMath>
                <m:r>
                  <w:rPr>
                    <w:rFonts w:ascii="Cambria Math" w:hAnsi="Cambria Math" w:cs="Times New Roman"/>
                  </w:rPr>
                  <m:t>(61, 80)</m:t>
                </m:r>
              </m:oMath>
            </m:oMathPara>
          </w:p>
        </w:tc>
      </w:tr>
      <w:tr w:rsidR="00251808" w:rsidRPr="0090465C" w14:paraId="58D8ACF3" w14:textId="77777777" w:rsidTr="006C2326">
        <w:trPr>
          <w:gridAfter w:val="1"/>
          <w:wAfter w:w="22" w:type="dxa"/>
          <w:jc w:val="center"/>
        </w:trPr>
        <w:tc>
          <w:tcPr>
            <w:tcW w:w="2879" w:type="dxa"/>
            <w:noWrap/>
            <w:tcMar>
              <w:left w:w="115" w:type="dxa"/>
              <w:right w:w="115" w:type="dxa"/>
            </w:tcMar>
          </w:tcPr>
          <w:p w14:paraId="16E44C2D" w14:textId="77777777" w:rsidR="00251808" w:rsidRPr="0090465C" w:rsidRDefault="00251808" w:rsidP="00EA7DE1">
            <w:pPr>
              <w:pStyle w:val="Compact"/>
              <w:rPr>
                <w:rFonts w:cs="Times New Roman"/>
              </w:rPr>
            </w:pPr>
            <w:r w:rsidRPr="0090465C">
              <w:rPr>
                <w:rFonts w:cs="Times New Roman"/>
                <w:b/>
              </w:rPr>
              <w:t>Year of death among deceased</w:t>
            </w:r>
          </w:p>
        </w:tc>
        <w:tc>
          <w:tcPr>
            <w:tcW w:w="1008" w:type="dxa"/>
            <w:noWrap/>
            <w:tcMar>
              <w:left w:w="115" w:type="dxa"/>
              <w:right w:w="115" w:type="dxa"/>
            </w:tcMar>
          </w:tcPr>
          <w:p w14:paraId="4F4B08A7" w14:textId="77777777" w:rsidR="00251808" w:rsidRPr="0090465C" w:rsidRDefault="00251808" w:rsidP="00EA7DE1">
            <w:pPr>
              <w:pStyle w:val="Compact"/>
              <w:jc w:val="right"/>
              <w:rPr>
                <w:rFonts w:cs="Times New Roman"/>
              </w:rPr>
            </w:pPr>
            <m:oMathPara>
              <m:oMath>
                <m:r>
                  <w:rPr>
                    <w:rFonts w:ascii="Cambria Math" w:hAnsi="Cambria Math" w:cs="Times New Roman"/>
                  </w:rPr>
                  <m:t>1999</m:t>
                </m:r>
              </m:oMath>
            </m:oMathPara>
          </w:p>
        </w:tc>
        <w:tc>
          <w:tcPr>
            <w:tcW w:w="1376" w:type="dxa"/>
            <w:noWrap/>
            <w:tcMar>
              <w:left w:w="115" w:type="dxa"/>
              <w:right w:w="115" w:type="dxa"/>
            </w:tcMar>
          </w:tcPr>
          <w:p w14:paraId="0C97D240" w14:textId="77777777" w:rsidR="00251808" w:rsidRPr="0090465C" w:rsidRDefault="00251808" w:rsidP="00EA7DE1">
            <w:pPr>
              <w:pStyle w:val="Compact"/>
              <w:rPr>
                <w:rFonts w:cs="Times New Roman"/>
              </w:rPr>
            </w:pPr>
            <m:oMathPara>
              <m:oMath>
                <m:r>
                  <w:rPr>
                    <w:rFonts w:ascii="Cambria Math" w:hAnsi="Cambria Math" w:cs="Times New Roman"/>
                  </w:rPr>
                  <m:t>(1989, 2008)</m:t>
                </m:r>
              </m:oMath>
            </m:oMathPara>
          </w:p>
        </w:tc>
        <w:tc>
          <w:tcPr>
            <w:tcW w:w="250" w:type="dxa"/>
            <w:noWrap/>
            <w:tcMar>
              <w:left w:w="115" w:type="dxa"/>
              <w:right w:w="115" w:type="dxa"/>
            </w:tcMar>
          </w:tcPr>
          <w:p w14:paraId="3769A416" w14:textId="77777777" w:rsidR="00251808" w:rsidRPr="0090465C" w:rsidRDefault="00251808" w:rsidP="00EA7DE1">
            <w:pPr>
              <w:spacing w:after="0"/>
              <w:rPr>
                <w:rFonts w:cs="Times New Roman"/>
              </w:rPr>
            </w:pPr>
          </w:p>
        </w:tc>
        <w:tc>
          <w:tcPr>
            <w:tcW w:w="1008" w:type="dxa"/>
            <w:noWrap/>
            <w:tcMar>
              <w:left w:w="115" w:type="dxa"/>
              <w:right w:w="115" w:type="dxa"/>
            </w:tcMar>
          </w:tcPr>
          <w:p w14:paraId="6AC8BABA" w14:textId="77777777" w:rsidR="00251808" w:rsidRPr="0090465C" w:rsidRDefault="00251808" w:rsidP="00EA7DE1">
            <w:pPr>
              <w:pStyle w:val="Compact"/>
              <w:jc w:val="right"/>
              <w:rPr>
                <w:rFonts w:cs="Times New Roman"/>
              </w:rPr>
            </w:pPr>
            <m:oMathPara>
              <m:oMath>
                <m:r>
                  <w:rPr>
                    <w:rFonts w:ascii="Cambria Math" w:hAnsi="Cambria Math" w:cs="Times New Roman"/>
                  </w:rPr>
                  <m:t>1997</m:t>
                </m:r>
              </m:oMath>
            </m:oMathPara>
          </w:p>
        </w:tc>
        <w:tc>
          <w:tcPr>
            <w:tcW w:w="1376" w:type="dxa"/>
            <w:noWrap/>
            <w:tcMar>
              <w:left w:w="115" w:type="dxa"/>
              <w:right w:w="115" w:type="dxa"/>
            </w:tcMar>
          </w:tcPr>
          <w:p w14:paraId="31B07080" w14:textId="77777777" w:rsidR="00251808" w:rsidRPr="0090465C" w:rsidRDefault="00251808" w:rsidP="00EA7DE1">
            <w:pPr>
              <w:pStyle w:val="Compact"/>
              <w:rPr>
                <w:rFonts w:cs="Times New Roman"/>
              </w:rPr>
            </w:pPr>
            <m:oMathPara>
              <m:oMath>
                <m:r>
                  <w:rPr>
                    <w:rFonts w:ascii="Cambria Math" w:hAnsi="Cambria Math" w:cs="Times New Roman"/>
                  </w:rPr>
                  <m:t>(1988, 2007)</m:t>
                </m:r>
              </m:oMath>
            </m:oMathPara>
          </w:p>
        </w:tc>
      </w:tr>
      <w:tr w:rsidR="00251808" w:rsidRPr="0090465C" w14:paraId="7C11E31E" w14:textId="77777777" w:rsidTr="006C2326">
        <w:trPr>
          <w:gridAfter w:val="1"/>
          <w:wAfter w:w="22" w:type="dxa"/>
          <w:jc w:val="center"/>
        </w:trPr>
        <w:tc>
          <w:tcPr>
            <w:tcW w:w="2879" w:type="dxa"/>
            <w:noWrap/>
            <w:tcMar>
              <w:left w:w="115" w:type="dxa"/>
              <w:right w:w="115" w:type="dxa"/>
            </w:tcMar>
          </w:tcPr>
          <w:p w14:paraId="0B6FC6F0" w14:textId="77777777" w:rsidR="00251808" w:rsidRPr="0090465C" w:rsidRDefault="00251808" w:rsidP="00EA7DE1">
            <w:pPr>
              <w:pStyle w:val="Compact"/>
              <w:rPr>
                <w:rFonts w:cs="Times New Roman"/>
              </w:rPr>
            </w:pPr>
            <w:r w:rsidRPr="0090465C">
              <w:rPr>
                <w:rFonts w:cs="Times New Roman"/>
                <w:b/>
              </w:rPr>
              <w:t>Suicide cases</w:t>
            </w:r>
          </w:p>
        </w:tc>
        <w:tc>
          <w:tcPr>
            <w:tcW w:w="1008" w:type="dxa"/>
            <w:noWrap/>
            <w:tcMar>
              <w:left w:w="115" w:type="dxa"/>
              <w:right w:w="115" w:type="dxa"/>
            </w:tcMar>
          </w:tcPr>
          <w:p w14:paraId="5A2FA4CD" w14:textId="77777777" w:rsidR="00251808" w:rsidRPr="0090465C" w:rsidRDefault="00251808" w:rsidP="00EA7DE1">
            <w:pPr>
              <w:pStyle w:val="Compact"/>
              <w:jc w:val="right"/>
              <w:rPr>
                <w:rFonts w:cs="Times New Roman"/>
              </w:rPr>
            </w:pPr>
            <w:r w:rsidRPr="0090465C">
              <w:rPr>
                <w:rFonts w:cs="Times New Roman"/>
              </w:rPr>
              <w:t>203</w:t>
            </w:r>
          </w:p>
        </w:tc>
        <w:tc>
          <w:tcPr>
            <w:tcW w:w="1376" w:type="dxa"/>
            <w:noWrap/>
            <w:tcMar>
              <w:left w:w="115" w:type="dxa"/>
              <w:right w:w="115" w:type="dxa"/>
            </w:tcMar>
          </w:tcPr>
          <w:p w14:paraId="70D22E7A" w14:textId="77777777" w:rsidR="00251808" w:rsidRPr="0090465C" w:rsidRDefault="00251808" w:rsidP="00EA7DE1">
            <w:pPr>
              <w:spacing w:after="0"/>
              <w:rPr>
                <w:rFonts w:cs="Times New Roman"/>
              </w:rPr>
            </w:pPr>
          </w:p>
        </w:tc>
        <w:tc>
          <w:tcPr>
            <w:tcW w:w="250" w:type="dxa"/>
            <w:noWrap/>
            <w:tcMar>
              <w:left w:w="115" w:type="dxa"/>
              <w:right w:w="115" w:type="dxa"/>
            </w:tcMar>
          </w:tcPr>
          <w:p w14:paraId="4A4DEEA3" w14:textId="77777777" w:rsidR="00251808" w:rsidRPr="0090465C" w:rsidRDefault="00251808" w:rsidP="00EA7DE1">
            <w:pPr>
              <w:spacing w:after="0"/>
              <w:rPr>
                <w:rFonts w:cs="Times New Roman"/>
              </w:rPr>
            </w:pPr>
          </w:p>
        </w:tc>
        <w:tc>
          <w:tcPr>
            <w:tcW w:w="1008" w:type="dxa"/>
            <w:noWrap/>
            <w:tcMar>
              <w:left w:w="115" w:type="dxa"/>
              <w:right w:w="115" w:type="dxa"/>
            </w:tcMar>
          </w:tcPr>
          <w:p w14:paraId="2AC8C7D8" w14:textId="77777777" w:rsidR="00251808" w:rsidRPr="0090465C" w:rsidRDefault="00251808" w:rsidP="00EA7DE1">
            <w:pPr>
              <w:pStyle w:val="Compact"/>
              <w:jc w:val="right"/>
              <w:rPr>
                <w:rFonts w:cs="Times New Roman"/>
              </w:rPr>
            </w:pPr>
            <w:r w:rsidRPr="0090465C">
              <w:rPr>
                <w:rFonts w:cs="Times New Roman"/>
              </w:rPr>
              <w:t>179</w:t>
            </w:r>
          </w:p>
        </w:tc>
        <w:tc>
          <w:tcPr>
            <w:tcW w:w="1376" w:type="dxa"/>
            <w:noWrap/>
            <w:tcMar>
              <w:left w:w="115" w:type="dxa"/>
              <w:right w:w="115" w:type="dxa"/>
            </w:tcMar>
          </w:tcPr>
          <w:p w14:paraId="73A78122" w14:textId="77777777" w:rsidR="00251808" w:rsidRPr="0090465C" w:rsidRDefault="00251808" w:rsidP="00EA7DE1">
            <w:pPr>
              <w:spacing w:after="0"/>
              <w:rPr>
                <w:rFonts w:cs="Times New Roman"/>
              </w:rPr>
            </w:pPr>
          </w:p>
        </w:tc>
      </w:tr>
      <w:tr w:rsidR="00251808" w:rsidRPr="0090465C" w14:paraId="399B077F" w14:textId="77777777" w:rsidTr="006C2326">
        <w:trPr>
          <w:gridAfter w:val="1"/>
          <w:wAfter w:w="22" w:type="dxa"/>
          <w:jc w:val="center"/>
        </w:trPr>
        <w:tc>
          <w:tcPr>
            <w:tcW w:w="2879" w:type="dxa"/>
            <w:tcBorders>
              <w:bottom w:val="single" w:sz="4" w:space="0" w:color="auto"/>
            </w:tcBorders>
            <w:noWrap/>
            <w:tcMar>
              <w:left w:w="115" w:type="dxa"/>
              <w:right w:w="115" w:type="dxa"/>
            </w:tcMar>
          </w:tcPr>
          <w:p w14:paraId="5542FA25" w14:textId="77777777" w:rsidR="00251808" w:rsidRPr="0090465C" w:rsidRDefault="00251808" w:rsidP="00EA7DE1">
            <w:pPr>
              <w:pStyle w:val="Compact"/>
              <w:rPr>
                <w:rFonts w:cs="Times New Roman"/>
              </w:rPr>
            </w:pPr>
            <w:r w:rsidRPr="0090465C">
              <w:rPr>
                <w:rFonts w:cs="Times New Roman"/>
                <w:b/>
              </w:rPr>
              <w:t>Fatal overdose cases</w:t>
            </w:r>
          </w:p>
        </w:tc>
        <w:tc>
          <w:tcPr>
            <w:tcW w:w="1008" w:type="dxa"/>
            <w:tcBorders>
              <w:bottom w:val="single" w:sz="4" w:space="0" w:color="auto"/>
            </w:tcBorders>
            <w:noWrap/>
            <w:tcMar>
              <w:left w:w="115" w:type="dxa"/>
              <w:right w:w="115" w:type="dxa"/>
            </w:tcMar>
          </w:tcPr>
          <w:p w14:paraId="05834E36" w14:textId="77777777" w:rsidR="00251808" w:rsidRPr="0090465C" w:rsidRDefault="00251808" w:rsidP="00EA7DE1">
            <w:pPr>
              <w:pStyle w:val="Compact"/>
              <w:jc w:val="right"/>
              <w:rPr>
                <w:rFonts w:cs="Times New Roman"/>
              </w:rPr>
            </w:pPr>
            <w:r w:rsidRPr="0090465C">
              <w:rPr>
                <w:rFonts w:cs="Times New Roman"/>
              </w:rPr>
              <w:t>55</w:t>
            </w:r>
          </w:p>
        </w:tc>
        <w:tc>
          <w:tcPr>
            <w:tcW w:w="1376" w:type="dxa"/>
            <w:tcBorders>
              <w:bottom w:val="single" w:sz="4" w:space="0" w:color="auto"/>
            </w:tcBorders>
            <w:noWrap/>
            <w:tcMar>
              <w:left w:w="115" w:type="dxa"/>
              <w:right w:w="115" w:type="dxa"/>
            </w:tcMar>
          </w:tcPr>
          <w:p w14:paraId="195C2F42" w14:textId="77777777" w:rsidR="00251808" w:rsidRPr="0090465C" w:rsidRDefault="00251808" w:rsidP="00EA7DE1">
            <w:pPr>
              <w:spacing w:after="0"/>
              <w:rPr>
                <w:rFonts w:cs="Times New Roman"/>
              </w:rPr>
            </w:pPr>
          </w:p>
        </w:tc>
        <w:tc>
          <w:tcPr>
            <w:tcW w:w="250" w:type="dxa"/>
            <w:tcBorders>
              <w:bottom w:val="single" w:sz="4" w:space="0" w:color="auto"/>
            </w:tcBorders>
            <w:noWrap/>
            <w:tcMar>
              <w:left w:w="115" w:type="dxa"/>
              <w:right w:w="115" w:type="dxa"/>
            </w:tcMar>
          </w:tcPr>
          <w:p w14:paraId="008DAEF4" w14:textId="77777777" w:rsidR="00251808" w:rsidRPr="0090465C" w:rsidRDefault="00251808" w:rsidP="00EA7DE1">
            <w:pPr>
              <w:spacing w:after="0"/>
              <w:rPr>
                <w:rFonts w:cs="Times New Roman"/>
              </w:rPr>
            </w:pPr>
          </w:p>
        </w:tc>
        <w:tc>
          <w:tcPr>
            <w:tcW w:w="1008" w:type="dxa"/>
            <w:tcBorders>
              <w:bottom w:val="single" w:sz="4" w:space="0" w:color="auto"/>
            </w:tcBorders>
            <w:noWrap/>
            <w:tcMar>
              <w:left w:w="115" w:type="dxa"/>
              <w:right w:w="115" w:type="dxa"/>
            </w:tcMar>
          </w:tcPr>
          <w:p w14:paraId="567D6E0D" w14:textId="77777777" w:rsidR="00251808" w:rsidRPr="0090465C" w:rsidRDefault="00251808" w:rsidP="00EA7DE1">
            <w:pPr>
              <w:pStyle w:val="Compact"/>
              <w:jc w:val="right"/>
              <w:rPr>
                <w:rFonts w:cs="Times New Roman"/>
              </w:rPr>
            </w:pPr>
            <w:r w:rsidRPr="0090465C">
              <w:rPr>
                <w:rFonts w:cs="Times New Roman"/>
              </w:rPr>
              <w:t>34</w:t>
            </w:r>
          </w:p>
        </w:tc>
        <w:tc>
          <w:tcPr>
            <w:tcW w:w="1376" w:type="dxa"/>
            <w:tcBorders>
              <w:bottom w:val="single" w:sz="4" w:space="0" w:color="auto"/>
            </w:tcBorders>
            <w:noWrap/>
            <w:tcMar>
              <w:left w:w="115" w:type="dxa"/>
              <w:right w:w="115" w:type="dxa"/>
            </w:tcMar>
          </w:tcPr>
          <w:p w14:paraId="24F3D765" w14:textId="77777777" w:rsidR="00251808" w:rsidRPr="0090465C" w:rsidRDefault="00251808" w:rsidP="00EA7DE1">
            <w:pPr>
              <w:spacing w:after="0"/>
              <w:rPr>
                <w:rFonts w:cs="Times New Roman"/>
              </w:rPr>
            </w:pPr>
          </w:p>
        </w:tc>
      </w:tr>
      <w:tr w:rsidR="00251808" w:rsidRPr="0090465C" w14:paraId="78F633C3" w14:textId="77777777" w:rsidTr="006C2326">
        <w:trPr>
          <w:jc w:val="center"/>
        </w:trPr>
        <w:tc>
          <w:tcPr>
            <w:tcW w:w="7919" w:type="dxa"/>
            <w:gridSpan w:val="7"/>
            <w:tcBorders>
              <w:top w:val="single" w:sz="4" w:space="0" w:color="auto"/>
              <w:bottom w:val="single" w:sz="4" w:space="0" w:color="auto"/>
            </w:tcBorders>
            <w:noWrap/>
            <w:tcMar>
              <w:left w:w="115" w:type="dxa"/>
              <w:right w:w="115" w:type="dxa"/>
            </w:tcMar>
          </w:tcPr>
          <w:p w14:paraId="0B7B69C2" w14:textId="77777777" w:rsidR="00251808" w:rsidRPr="0090465C" w:rsidRDefault="00251808" w:rsidP="00EA7DE1">
            <w:pPr>
              <w:pStyle w:val="Compact"/>
              <w:rPr>
                <w:rFonts w:cs="Times New Roman"/>
                <w:sz w:val="18"/>
                <w:szCs w:val="18"/>
              </w:rPr>
            </w:pPr>
            <w:r w:rsidRPr="0090465C">
              <w:rPr>
                <w:rFonts w:cs="Times New Roman"/>
                <w:sz w:val="18"/>
                <w:szCs w:val="18"/>
              </w:rPr>
              <w:t>Statistics shown are median (first quartile, third quartile), unless otherwise indicated.</w:t>
            </w:r>
          </w:p>
          <w:p w14:paraId="1894EA0E" w14:textId="77777777" w:rsidR="00251808" w:rsidRPr="0090465C" w:rsidRDefault="00D307AB" w:rsidP="00EA7DE1">
            <w:pPr>
              <w:pStyle w:val="Compact"/>
              <w:rPr>
                <w:rFonts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w:rPr>
                      <w:rFonts w:ascii="Cambria Math" w:hAnsi="Cambria Math" w:cs="Times New Roman"/>
                      <w:sz w:val="18"/>
                      <w:szCs w:val="18"/>
                    </w:rPr>
                    <m:t>a</m:t>
                  </m:r>
                </m:sup>
              </m:sSup>
            </m:oMath>
            <w:r w:rsidR="00251808" w:rsidRPr="0090465C">
              <w:rPr>
                <w:rFonts w:cs="Times New Roman"/>
                <w:sz w:val="18"/>
                <w:szCs w:val="18"/>
              </w:rPr>
              <w:t xml:space="preserve"> Some subjects worked at several sites; plant indicates the site of longest work record time.</w:t>
            </w:r>
          </w:p>
          <w:p w14:paraId="23E3E5DE" w14:textId="77777777" w:rsidR="00251808" w:rsidRPr="0090465C" w:rsidRDefault="00D307AB" w:rsidP="00EA7DE1">
            <w:pPr>
              <w:pStyle w:val="Compact"/>
              <w:rPr>
                <w:rFonts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w:rPr>
                      <w:rFonts w:ascii="Cambria Math" w:hAnsi="Cambria Math" w:cs="Times New Roman"/>
                      <w:sz w:val="18"/>
                      <w:szCs w:val="18"/>
                    </w:rPr>
                    <m:t>b</m:t>
                  </m:r>
                </m:sup>
              </m:sSup>
            </m:oMath>
            <w:r w:rsidR="00251808" w:rsidRPr="0090465C">
              <w:rPr>
                <w:rFonts w:cs="Times New Roman"/>
                <w:sz w:val="18"/>
                <w:szCs w:val="18"/>
              </w:rPr>
              <w:t xml:space="preserve"> Left work by December 31, 1994 when employment records were truncated </w:t>
            </w:r>
          </w:p>
        </w:tc>
      </w:tr>
    </w:tbl>
    <w:p w14:paraId="3CF0FB8F" w14:textId="7A6705AB" w:rsidR="00251808" w:rsidRDefault="00251808" w:rsidP="00EA7DE1">
      <w:pPr>
        <w:spacing w:line="240" w:lineRule="auto"/>
        <w:rPr>
          <w:rFonts w:ascii="Times New Roman" w:hAnsi="Times New Roman" w:cs="Times New Roman"/>
          <w:b/>
          <w:sz w:val="20"/>
          <w:szCs w:val="20"/>
        </w:rPr>
      </w:pPr>
    </w:p>
    <w:p w14:paraId="313C892B" w14:textId="1656076B" w:rsidR="00251808" w:rsidRPr="00251808" w:rsidRDefault="00251808" w:rsidP="00EA7DE1">
      <w:pPr>
        <w:spacing w:line="240" w:lineRule="auto"/>
        <w:rPr>
          <w:rFonts w:ascii="Times New Roman" w:hAnsi="Times New Roman" w:cs="Times New Roman"/>
          <w:b/>
          <w:sz w:val="20"/>
          <w:szCs w:val="20"/>
        </w:rPr>
      </w:pPr>
      <w:r>
        <w:rPr>
          <w:rFonts w:ascii="Times New Roman" w:hAnsi="Times New Roman" w:cs="Times New Roman"/>
          <w:b/>
          <w:sz w:val="20"/>
          <w:szCs w:val="20"/>
        </w:rPr>
        <w:br w:type="page"/>
      </w:r>
    </w:p>
    <w:p w14:paraId="616D9DB2" w14:textId="77777777" w:rsidR="00251808" w:rsidRPr="00251808" w:rsidRDefault="00251808" w:rsidP="00EA7DE1">
      <w:pPr>
        <w:spacing w:line="240" w:lineRule="auto"/>
        <w:rPr>
          <w:rFonts w:ascii="Times New Roman" w:hAnsi="Times New Roman" w:cs="Times New Roman"/>
          <w:sz w:val="20"/>
          <w:szCs w:val="20"/>
        </w:rPr>
      </w:pPr>
      <w:r w:rsidRPr="00251808">
        <w:rPr>
          <w:rFonts w:ascii="Times New Roman" w:hAnsi="Times New Roman" w:cs="Times New Roman"/>
          <w:b/>
          <w:sz w:val="20"/>
          <w:szCs w:val="20"/>
        </w:rPr>
        <w:lastRenderedPageBreak/>
        <w:t>Table 2.</w:t>
      </w:r>
      <w:r w:rsidRPr="00251808">
        <w:rPr>
          <w:rFonts w:ascii="Times New Roman" w:hAnsi="Times New Roman" w:cs="Times New Roman"/>
          <w:sz w:val="20"/>
          <w:szCs w:val="20"/>
        </w:rPr>
        <w:t xml:space="preserve"> Adjusted hazard ratio estimates for </w:t>
      </w:r>
      <w:r w:rsidRPr="00251808">
        <w:rPr>
          <w:rFonts w:ascii="Times New Roman" w:hAnsi="Times New Roman" w:cs="Times New Roman"/>
          <w:b/>
          <w:sz w:val="20"/>
          <w:szCs w:val="20"/>
        </w:rPr>
        <w:t>suicide</w:t>
      </w:r>
      <w:r w:rsidRPr="00251808">
        <w:rPr>
          <w:rFonts w:ascii="Times New Roman" w:hAnsi="Times New Roman" w:cs="Times New Roman"/>
          <w:sz w:val="20"/>
          <w:szCs w:val="20"/>
        </w:rPr>
        <w:t xml:space="preserve"> by employment status in the </w:t>
      </w:r>
      <w:r w:rsidRPr="00251808">
        <w:rPr>
          <w:rFonts w:ascii="Times New Roman" w:hAnsi="Times New Roman" w:cs="Times New Roman"/>
          <w:b/>
          <w:sz w:val="20"/>
          <w:szCs w:val="20"/>
        </w:rPr>
        <w:t>UAW-GM Cohort</w:t>
      </w:r>
      <w:r w:rsidRPr="00251808">
        <w:rPr>
          <w:rFonts w:ascii="Times New Roman" w:hAnsi="Times New Roman" w:cs="Times New Roman"/>
          <w:sz w:val="20"/>
          <w:szCs w:val="20"/>
        </w:rPr>
        <w:t xml:space="preserve"> restricted to men employed in or after 1970.</w:t>
      </w:r>
    </w:p>
    <w:tbl>
      <w:tblPr>
        <w:tblStyle w:val="Table"/>
        <w:tblW w:w="0" w:type="auto"/>
        <w:jc w:val="center"/>
        <w:tblLayout w:type="fixed"/>
        <w:tblCellMar>
          <w:left w:w="115" w:type="dxa"/>
          <w:right w:w="115" w:type="dxa"/>
        </w:tblCellMar>
        <w:tblLook w:val="07E0" w:firstRow="1" w:lastRow="1" w:firstColumn="1" w:lastColumn="1" w:noHBand="1" w:noVBand="1"/>
      </w:tblPr>
      <w:tblGrid>
        <w:gridCol w:w="1726"/>
        <w:gridCol w:w="252"/>
        <w:gridCol w:w="576"/>
        <w:gridCol w:w="576"/>
        <w:gridCol w:w="1296"/>
        <w:gridCol w:w="250"/>
        <w:gridCol w:w="576"/>
        <w:gridCol w:w="576"/>
        <w:gridCol w:w="1286"/>
        <w:gridCol w:w="10"/>
      </w:tblGrid>
      <w:tr w:rsidR="00251808" w:rsidRPr="00251808" w14:paraId="39BE27B2" w14:textId="77777777" w:rsidTr="006C2326">
        <w:trPr>
          <w:jc w:val="center"/>
        </w:trPr>
        <w:tc>
          <w:tcPr>
            <w:tcW w:w="1726" w:type="dxa"/>
            <w:tcBorders>
              <w:top w:val="single" w:sz="4" w:space="0" w:color="auto"/>
            </w:tcBorders>
            <w:vAlign w:val="bottom"/>
          </w:tcPr>
          <w:p w14:paraId="4547A336" w14:textId="77777777" w:rsidR="00251808" w:rsidRPr="00251808" w:rsidRDefault="00251808" w:rsidP="00EA7DE1">
            <w:pPr>
              <w:pStyle w:val="Compact"/>
              <w:rPr>
                <w:rFonts w:cs="Times New Roman"/>
              </w:rPr>
            </w:pPr>
          </w:p>
        </w:tc>
        <w:tc>
          <w:tcPr>
            <w:tcW w:w="252" w:type="dxa"/>
            <w:tcBorders>
              <w:top w:val="single" w:sz="4" w:space="0" w:color="auto"/>
            </w:tcBorders>
            <w:vAlign w:val="bottom"/>
          </w:tcPr>
          <w:p w14:paraId="684D1785" w14:textId="77777777" w:rsidR="00251808" w:rsidRPr="00251808" w:rsidRDefault="00251808" w:rsidP="00EA7DE1">
            <w:pPr>
              <w:spacing w:after="0"/>
              <w:rPr>
                <w:rFonts w:cs="Times New Roman"/>
              </w:rPr>
            </w:pPr>
          </w:p>
        </w:tc>
        <w:tc>
          <w:tcPr>
            <w:tcW w:w="2448" w:type="dxa"/>
            <w:gridSpan w:val="3"/>
            <w:tcBorders>
              <w:top w:val="single" w:sz="4" w:space="0" w:color="auto"/>
              <w:bottom w:val="single" w:sz="4" w:space="0" w:color="auto"/>
            </w:tcBorders>
            <w:vAlign w:val="bottom"/>
          </w:tcPr>
          <w:p w14:paraId="708C3F67" w14:textId="77777777" w:rsidR="00251808" w:rsidRPr="00251808" w:rsidRDefault="00251808" w:rsidP="00EA7DE1">
            <w:pPr>
              <w:pStyle w:val="Compact"/>
              <w:rPr>
                <w:rFonts w:cs="Times New Roman"/>
              </w:rPr>
            </w:pPr>
            <w:r w:rsidRPr="00251808">
              <w:rPr>
                <w:rFonts w:cs="Times New Roman"/>
              </w:rPr>
              <w:t>Recorded worker exit date</w:t>
            </w:r>
          </w:p>
        </w:tc>
        <w:tc>
          <w:tcPr>
            <w:tcW w:w="250" w:type="dxa"/>
            <w:tcBorders>
              <w:top w:val="single" w:sz="4" w:space="0" w:color="auto"/>
            </w:tcBorders>
            <w:vAlign w:val="bottom"/>
          </w:tcPr>
          <w:p w14:paraId="4F693672" w14:textId="77777777" w:rsidR="00251808" w:rsidRPr="00251808" w:rsidRDefault="00251808" w:rsidP="00EA7DE1">
            <w:pPr>
              <w:spacing w:after="0"/>
              <w:rPr>
                <w:rFonts w:cs="Times New Roman"/>
              </w:rPr>
            </w:pPr>
          </w:p>
        </w:tc>
        <w:tc>
          <w:tcPr>
            <w:tcW w:w="2448" w:type="dxa"/>
            <w:gridSpan w:val="4"/>
            <w:tcBorders>
              <w:top w:val="single" w:sz="4" w:space="0" w:color="auto"/>
              <w:bottom w:val="single" w:sz="4" w:space="0" w:color="auto"/>
            </w:tcBorders>
            <w:vAlign w:val="bottom"/>
          </w:tcPr>
          <w:p w14:paraId="125AA023" w14:textId="77777777" w:rsidR="00251808" w:rsidRPr="00251808" w:rsidRDefault="00251808" w:rsidP="00EA7DE1">
            <w:pPr>
              <w:pStyle w:val="Compact"/>
              <w:rPr>
                <w:rFonts w:cs="Times New Roman"/>
              </w:rPr>
            </w:pPr>
            <w:r w:rsidRPr="00251808">
              <w:rPr>
                <w:rFonts w:cs="Times New Roman"/>
              </w:rPr>
              <w:t>Fuzzy worker exit date</w:t>
            </w:r>
            <m:oMath>
              <m:sSup>
                <m:sSupPr>
                  <m:ctrlPr>
                    <w:rPr>
                      <w:rFonts w:ascii="Cambria Math" w:hAnsi="Cambria Math" w:cs="Times New Roman"/>
                    </w:rPr>
                  </m:ctrlPr>
                </m:sSupPr>
                <m:e>
                  <m:r>
                    <w:rPr>
                      <w:rFonts w:ascii="Cambria Math" w:hAnsi="Cambria Math" w:cs="Times New Roman"/>
                    </w:rPr>
                    <m:t xml:space="preserve">​ </m:t>
                  </m:r>
                </m:e>
                <m:sup>
                  <m:r>
                    <w:rPr>
                      <w:rFonts w:ascii="Cambria Math" w:hAnsi="Cambria Math" w:cs="Times New Roman"/>
                    </w:rPr>
                    <m:t>a</m:t>
                  </m:r>
                </m:sup>
              </m:sSup>
            </m:oMath>
          </w:p>
        </w:tc>
      </w:tr>
      <w:tr w:rsidR="00251808" w:rsidRPr="00251808" w14:paraId="4E529282" w14:textId="77777777" w:rsidTr="006C2326">
        <w:trPr>
          <w:jc w:val="center"/>
        </w:trPr>
        <w:tc>
          <w:tcPr>
            <w:tcW w:w="1726" w:type="dxa"/>
            <w:tcBorders>
              <w:bottom w:val="single" w:sz="2" w:space="0" w:color="auto"/>
            </w:tcBorders>
            <w:vAlign w:val="bottom"/>
          </w:tcPr>
          <w:p w14:paraId="4F05AE5B" w14:textId="77777777" w:rsidR="00251808" w:rsidRPr="00251808" w:rsidRDefault="00251808" w:rsidP="00EA7DE1">
            <w:pPr>
              <w:pStyle w:val="Compact"/>
              <w:rPr>
                <w:rFonts w:cs="Times New Roman"/>
              </w:rPr>
            </w:pPr>
            <w:r w:rsidRPr="00251808">
              <w:rPr>
                <w:rFonts w:cs="Times New Roman"/>
              </w:rPr>
              <w:t>Job exit status</w:t>
            </w:r>
          </w:p>
        </w:tc>
        <w:tc>
          <w:tcPr>
            <w:tcW w:w="252" w:type="dxa"/>
            <w:tcBorders>
              <w:bottom w:val="single" w:sz="2" w:space="0" w:color="auto"/>
            </w:tcBorders>
            <w:vAlign w:val="bottom"/>
          </w:tcPr>
          <w:p w14:paraId="27FEB8F8" w14:textId="77777777" w:rsidR="00251808" w:rsidRPr="00251808" w:rsidRDefault="00251808" w:rsidP="00EA7DE1">
            <w:pPr>
              <w:spacing w:after="0"/>
              <w:rPr>
                <w:rFonts w:cs="Times New Roman"/>
              </w:rPr>
            </w:pPr>
          </w:p>
        </w:tc>
        <w:tc>
          <w:tcPr>
            <w:tcW w:w="576" w:type="dxa"/>
            <w:tcBorders>
              <w:top w:val="single" w:sz="4" w:space="0" w:color="auto"/>
              <w:bottom w:val="single" w:sz="2" w:space="0" w:color="auto"/>
            </w:tcBorders>
            <w:vAlign w:val="bottom"/>
          </w:tcPr>
          <w:p w14:paraId="720AC8C0" w14:textId="77777777" w:rsidR="00251808" w:rsidRPr="00251808" w:rsidRDefault="00251808" w:rsidP="00EA7DE1">
            <w:pPr>
              <w:pStyle w:val="Compact"/>
              <w:jc w:val="center"/>
              <w:rPr>
                <w:rFonts w:cs="Times New Roman"/>
              </w:rPr>
            </w:pPr>
            <m:oMathPara>
              <m:oMath>
                <m:r>
                  <w:rPr>
                    <w:rFonts w:ascii="Cambria Math" w:hAnsi="Cambria Math" w:cs="Times New Roman"/>
                  </w:rPr>
                  <m:t>n</m:t>
                </m:r>
              </m:oMath>
            </m:oMathPara>
          </w:p>
        </w:tc>
        <w:tc>
          <w:tcPr>
            <w:tcW w:w="576" w:type="dxa"/>
            <w:tcBorders>
              <w:top w:val="single" w:sz="4" w:space="0" w:color="auto"/>
              <w:bottom w:val="single" w:sz="2" w:space="0" w:color="auto"/>
            </w:tcBorders>
            <w:vAlign w:val="bottom"/>
          </w:tcPr>
          <w:p w14:paraId="22C4529B" w14:textId="77777777" w:rsidR="00251808" w:rsidRPr="00251808" w:rsidRDefault="00251808" w:rsidP="00EA7DE1">
            <w:pPr>
              <w:pStyle w:val="Compact"/>
              <w:jc w:val="center"/>
              <w:rPr>
                <w:rFonts w:cs="Times New Roman"/>
              </w:rPr>
            </w:pPr>
            <w:r w:rsidRPr="00251808">
              <w:rPr>
                <w:rFonts w:cs="Times New Roman"/>
              </w:rPr>
              <w:t>HR</w:t>
            </w:r>
          </w:p>
        </w:tc>
        <w:tc>
          <w:tcPr>
            <w:tcW w:w="1296" w:type="dxa"/>
            <w:tcBorders>
              <w:top w:val="single" w:sz="4" w:space="0" w:color="auto"/>
              <w:bottom w:val="single" w:sz="2" w:space="0" w:color="auto"/>
            </w:tcBorders>
            <w:vAlign w:val="bottom"/>
          </w:tcPr>
          <w:p w14:paraId="60A1CAAA" w14:textId="77777777" w:rsidR="00251808" w:rsidRPr="00251808" w:rsidRDefault="00251808" w:rsidP="00EA7DE1">
            <w:pPr>
              <w:pStyle w:val="Compact"/>
              <w:jc w:val="center"/>
              <w:rPr>
                <w:rFonts w:cs="Times New Roman"/>
              </w:rPr>
            </w:pPr>
            <w:r w:rsidRPr="00251808">
              <w:rPr>
                <w:rFonts w:cs="Times New Roman"/>
              </w:rPr>
              <w:t>(95% CI)</w:t>
            </w:r>
          </w:p>
        </w:tc>
        <w:tc>
          <w:tcPr>
            <w:tcW w:w="250" w:type="dxa"/>
            <w:tcBorders>
              <w:bottom w:val="single" w:sz="2" w:space="0" w:color="auto"/>
            </w:tcBorders>
            <w:vAlign w:val="bottom"/>
          </w:tcPr>
          <w:p w14:paraId="39E8CB1A" w14:textId="77777777" w:rsidR="00251808" w:rsidRPr="00251808" w:rsidRDefault="00251808" w:rsidP="00EA7DE1">
            <w:pPr>
              <w:spacing w:after="0"/>
              <w:jc w:val="center"/>
              <w:rPr>
                <w:rFonts w:cs="Times New Roman"/>
              </w:rPr>
            </w:pPr>
          </w:p>
        </w:tc>
        <w:tc>
          <w:tcPr>
            <w:tcW w:w="576" w:type="dxa"/>
            <w:tcBorders>
              <w:top w:val="single" w:sz="4" w:space="0" w:color="auto"/>
              <w:bottom w:val="single" w:sz="2" w:space="0" w:color="auto"/>
            </w:tcBorders>
            <w:vAlign w:val="bottom"/>
          </w:tcPr>
          <w:p w14:paraId="32C47B23" w14:textId="77777777" w:rsidR="00251808" w:rsidRPr="00251808" w:rsidRDefault="00251808" w:rsidP="00EA7DE1">
            <w:pPr>
              <w:pStyle w:val="Compact"/>
              <w:jc w:val="center"/>
              <w:rPr>
                <w:rFonts w:cs="Times New Roman"/>
              </w:rPr>
            </w:pPr>
            <m:oMathPara>
              <m:oMath>
                <m:r>
                  <w:rPr>
                    <w:rFonts w:ascii="Cambria Math" w:hAnsi="Cambria Math" w:cs="Times New Roman"/>
                  </w:rPr>
                  <m:t>n</m:t>
                </m:r>
              </m:oMath>
            </m:oMathPara>
          </w:p>
        </w:tc>
        <w:tc>
          <w:tcPr>
            <w:tcW w:w="576" w:type="dxa"/>
            <w:tcBorders>
              <w:top w:val="single" w:sz="4" w:space="0" w:color="auto"/>
              <w:bottom w:val="single" w:sz="2" w:space="0" w:color="auto"/>
            </w:tcBorders>
            <w:vAlign w:val="bottom"/>
          </w:tcPr>
          <w:p w14:paraId="36B4CDA0" w14:textId="77777777" w:rsidR="00251808" w:rsidRPr="00251808" w:rsidRDefault="00251808" w:rsidP="00EA7DE1">
            <w:pPr>
              <w:pStyle w:val="Compact"/>
              <w:jc w:val="center"/>
              <w:rPr>
                <w:rFonts w:cs="Times New Roman"/>
              </w:rPr>
            </w:pPr>
            <w:r w:rsidRPr="00251808">
              <w:rPr>
                <w:rFonts w:cs="Times New Roman"/>
              </w:rPr>
              <w:t>HR</w:t>
            </w:r>
          </w:p>
        </w:tc>
        <w:tc>
          <w:tcPr>
            <w:tcW w:w="1296" w:type="dxa"/>
            <w:gridSpan w:val="2"/>
            <w:tcBorders>
              <w:top w:val="single" w:sz="4" w:space="0" w:color="auto"/>
              <w:bottom w:val="single" w:sz="2" w:space="0" w:color="auto"/>
            </w:tcBorders>
            <w:vAlign w:val="bottom"/>
          </w:tcPr>
          <w:p w14:paraId="514139C8" w14:textId="77777777" w:rsidR="00251808" w:rsidRPr="00251808" w:rsidRDefault="00251808" w:rsidP="00EA7DE1">
            <w:pPr>
              <w:pStyle w:val="Compact"/>
              <w:jc w:val="center"/>
              <w:rPr>
                <w:rFonts w:cs="Times New Roman"/>
              </w:rPr>
            </w:pPr>
            <w:r w:rsidRPr="00251808">
              <w:rPr>
                <w:rFonts w:cs="Times New Roman"/>
              </w:rPr>
              <w:t>(95% CI)</w:t>
            </w:r>
          </w:p>
        </w:tc>
      </w:tr>
      <w:tr w:rsidR="00251808" w:rsidRPr="00251808" w14:paraId="12044693" w14:textId="77777777" w:rsidTr="006C2326">
        <w:trPr>
          <w:jc w:val="center"/>
        </w:trPr>
        <w:tc>
          <w:tcPr>
            <w:tcW w:w="1726" w:type="dxa"/>
            <w:tcBorders>
              <w:top w:val="single" w:sz="2" w:space="0" w:color="auto"/>
            </w:tcBorders>
          </w:tcPr>
          <w:p w14:paraId="50CB71CC" w14:textId="77777777" w:rsidR="00251808" w:rsidRPr="00251808" w:rsidRDefault="00251808" w:rsidP="00EA7DE1">
            <w:pPr>
              <w:pStyle w:val="Compact"/>
              <w:rPr>
                <w:rFonts w:cs="Times New Roman"/>
              </w:rPr>
            </w:pPr>
            <w:r w:rsidRPr="00251808">
              <w:rPr>
                <w:rFonts w:cs="Times New Roman"/>
              </w:rPr>
              <w:t>At work</w:t>
            </w:r>
          </w:p>
        </w:tc>
        <w:tc>
          <w:tcPr>
            <w:tcW w:w="252" w:type="dxa"/>
            <w:tcBorders>
              <w:top w:val="single" w:sz="2" w:space="0" w:color="auto"/>
            </w:tcBorders>
          </w:tcPr>
          <w:p w14:paraId="27D98085" w14:textId="77777777" w:rsidR="00251808" w:rsidRPr="00251808" w:rsidRDefault="00251808" w:rsidP="00EA7DE1">
            <w:pPr>
              <w:spacing w:after="0"/>
              <w:rPr>
                <w:rFonts w:cs="Times New Roman"/>
              </w:rPr>
            </w:pPr>
          </w:p>
        </w:tc>
        <w:tc>
          <w:tcPr>
            <w:tcW w:w="576" w:type="dxa"/>
            <w:tcBorders>
              <w:top w:val="single" w:sz="2" w:space="0" w:color="auto"/>
            </w:tcBorders>
          </w:tcPr>
          <w:p w14:paraId="5E2426E3" w14:textId="77777777" w:rsidR="00251808" w:rsidRPr="00251808" w:rsidRDefault="00251808" w:rsidP="00EA7DE1">
            <w:pPr>
              <w:pStyle w:val="Compact"/>
              <w:jc w:val="center"/>
              <w:rPr>
                <w:rFonts w:cs="Times New Roman"/>
              </w:rPr>
            </w:pPr>
            <m:oMathPara>
              <m:oMath>
                <m:r>
                  <w:rPr>
                    <w:rFonts w:ascii="Cambria Math" w:hAnsi="Cambria Math" w:cs="Times New Roman"/>
                  </w:rPr>
                  <m:t>21</m:t>
                </m:r>
              </m:oMath>
            </m:oMathPara>
          </w:p>
        </w:tc>
        <w:tc>
          <w:tcPr>
            <w:tcW w:w="576" w:type="dxa"/>
            <w:tcBorders>
              <w:top w:val="single" w:sz="2" w:space="0" w:color="auto"/>
            </w:tcBorders>
          </w:tcPr>
          <w:p w14:paraId="2BF4B1A0" w14:textId="77777777" w:rsidR="00251808" w:rsidRPr="00251808" w:rsidRDefault="00251808" w:rsidP="00EA7DE1">
            <w:pPr>
              <w:pStyle w:val="Compact"/>
              <w:jc w:val="center"/>
              <w:rPr>
                <w:rFonts w:cs="Times New Roman"/>
              </w:rPr>
            </w:pPr>
            <m:oMathPara>
              <m:oMath>
                <m:r>
                  <w:rPr>
                    <w:rFonts w:ascii="Cambria Math" w:hAnsi="Cambria Math" w:cs="Times New Roman"/>
                  </w:rPr>
                  <m:t>1.0</m:t>
                </m:r>
              </m:oMath>
            </m:oMathPara>
          </w:p>
        </w:tc>
        <w:tc>
          <w:tcPr>
            <w:tcW w:w="1296" w:type="dxa"/>
            <w:tcBorders>
              <w:top w:val="single" w:sz="2" w:space="0" w:color="auto"/>
            </w:tcBorders>
          </w:tcPr>
          <w:p w14:paraId="654F14D3" w14:textId="77777777" w:rsidR="00251808" w:rsidRPr="00251808" w:rsidRDefault="00251808" w:rsidP="00EA7DE1">
            <w:pPr>
              <w:pStyle w:val="Compact"/>
              <w:jc w:val="center"/>
              <w:rPr>
                <w:rFonts w:cs="Times New Roman"/>
              </w:rPr>
            </w:pPr>
            <w:r w:rsidRPr="00251808">
              <w:rPr>
                <w:rFonts w:cs="Times New Roman"/>
              </w:rPr>
              <w:t>–</w:t>
            </w:r>
          </w:p>
        </w:tc>
        <w:tc>
          <w:tcPr>
            <w:tcW w:w="250" w:type="dxa"/>
            <w:tcBorders>
              <w:top w:val="single" w:sz="2" w:space="0" w:color="auto"/>
            </w:tcBorders>
          </w:tcPr>
          <w:p w14:paraId="25DECA5B" w14:textId="77777777" w:rsidR="00251808" w:rsidRPr="00251808" w:rsidRDefault="00251808" w:rsidP="00EA7DE1">
            <w:pPr>
              <w:spacing w:after="0"/>
              <w:jc w:val="center"/>
              <w:rPr>
                <w:rFonts w:cs="Times New Roman"/>
              </w:rPr>
            </w:pPr>
          </w:p>
        </w:tc>
        <w:tc>
          <w:tcPr>
            <w:tcW w:w="576" w:type="dxa"/>
            <w:tcBorders>
              <w:top w:val="single" w:sz="2" w:space="0" w:color="auto"/>
            </w:tcBorders>
          </w:tcPr>
          <w:p w14:paraId="6F05C784" w14:textId="77777777" w:rsidR="00251808" w:rsidRPr="00251808" w:rsidRDefault="00251808" w:rsidP="00EA7DE1">
            <w:pPr>
              <w:pStyle w:val="Compact"/>
              <w:jc w:val="center"/>
              <w:rPr>
                <w:rFonts w:cs="Times New Roman"/>
              </w:rPr>
            </w:pPr>
            <m:oMathPara>
              <m:oMath>
                <m:r>
                  <w:rPr>
                    <w:rFonts w:ascii="Cambria Math" w:hAnsi="Cambria Math" w:cs="Times New Roman"/>
                  </w:rPr>
                  <m:t>27</m:t>
                </m:r>
              </m:oMath>
            </m:oMathPara>
          </w:p>
        </w:tc>
        <w:tc>
          <w:tcPr>
            <w:tcW w:w="576" w:type="dxa"/>
            <w:tcBorders>
              <w:top w:val="single" w:sz="2" w:space="0" w:color="auto"/>
            </w:tcBorders>
          </w:tcPr>
          <w:p w14:paraId="4BC41793" w14:textId="77777777" w:rsidR="00251808" w:rsidRPr="00251808" w:rsidRDefault="00251808" w:rsidP="00EA7DE1">
            <w:pPr>
              <w:pStyle w:val="Compact"/>
              <w:jc w:val="center"/>
              <w:rPr>
                <w:rFonts w:cs="Times New Roman"/>
              </w:rPr>
            </w:pPr>
            <m:oMathPara>
              <m:oMath>
                <m:r>
                  <w:rPr>
                    <w:rFonts w:ascii="Cambria Math" w:hAnsi="Cambria Math" w:cs="Times New Roman"/>
                  </w:rPr>
                  <m:t>1.0</m:t>
                </m:r>
              </m:oMath>
            </m:oMathPara>
          </w:p>
        </w:tc>
        <w:tc>
          <w:tcPr>
            <w:tcW w:w="1296" w:type="dxa"/>
            <w:gridSpan w:val="2"/>
            <w:tcBorders>
              <w:top w:val="single" w:sz="2" w:space="0" w:color="auto"/>
            </w:tcBorders>
          </w:tcPr>
          <w:p w14:paraId="3CC94FB9" w14:textId="77777777" w:rsidR="00251808" w:rsidRPr="00251808" w:rsidRDefault="00251808" w:rsidP="00EA7DE1">
            <w:pPr>
              <w:pStyle w:val="Compact"/>
              <w:jc w:val="center"/>
              <w:rPr>
                <w:rFonts w:cs="Times New Roman"/>
              </w:rPr>
            </w:pPr>
            <w:r w:rsidRPr="00251808">
              <w:rPr>
                <w:rFonts w:cs="Times New Roman"/>
              </w:rPr>
              <w:t>–</w:t>
            </w:r>
          </w:p>
        </w:tc>
      </w:tr>
      <w:tr w:rsidR="00251808" w:rsidRPr="00251808" w14:paraId="0C68D8CE" w14:textId="77777777" w:rsidTr="006C2326">
        <w:trPr>
          <w:jc w:val="center"/>
        </w:trPr>
        <w:tc>
          <w:tcPr>
            <w:tcW w:w="1726" w:type="dxa"/>
          </w:tcPr>
          <w:p w14:paraId="49142B20" w14:textId="77777777" w:rsidR="00251808" w:rsidRPr="00251808" w:rsidRDefault="00251808" w:rsidP="00EA7DE1">
            <w:pPr>
              <w:pStyle w:val="Compact"/>
              <w:rPr>
                <w:rFonts w:cs="Times New Roman"/>
              </w:rPr>
            </w:pPr>
            <w:r w:rsidRPr="00251808">
              <w:rPr>
                <w:rFonts w:cs="Times New Roman"/>
              </w:rPr>
              <w:t>Not at work</w:t>
            </w:r>
          </w:p>
        </w:tc>
        <w:tc>
          <w:tcPr>
            <w:tcW w:w="252" w:type="dxa"/>
          </w:tcPr>
          <w:p w14:paraId="25C74D88" w14:textId="77777777" w:rsidR="00251808" w:rsidRPr="00251808" w:rsidRDefault="00251808" w:rsidP="00EA7DE1">
            <w:pPr>
              <w:spacing w:after="0"/>
              <w:rPr>
                <w:rFonts w:cs="Times New Roman"/>
              </w:rPr>
            </w:pPr>
          </w:p>
        </w:tc>
        <w:tc>
          <w:tcPr>
            <w:tcW w:w="576" w:type="dxa"/>
          </w:tcPr>
          <w:p w14:paraId="69F62B40" w14:textId="77777777" w:rsidR="00251808" w:rsidRPr="00251808" w:rsidRDefault="00251808" w:rsidP="00EA7DE1">
            <w:pPr>
              <w:pStyle w:val="Compact"/>
              <w:jc w:val="center"/>
              <w:rPr>
                <w:rFonts w:cs="Times New Roman"/>
              </w:rPr>
            </w:pPr>
            <m:oMathPara>
              <m:oMath>
                <m:r>
                  <w:rPr>
                    <w:rFonts w:ascii="Cambria Math" w:hAnsi="Cambria Math" w:cs="Times New Roman"/>
                  </w:rPr>
                  <m:t>158</m:t>
                </m:r>
              </m:oMath>
            </m:oMathPara>
          </w:p>
        </w:tc>
        <w:tc>
          <w:tcPr>
            <w:tcW w:w="576" w:type="dxa"/>
          </w:tcPr>
          <w:p w14:paraId="23E63614" w14:textId="77777777" w:rsidR="00251808" w:rsidRPr="00251808" w:rsidRDefault="00251808" w:rsidP="00EA7DE1">
            <w:pPr>
              <w:pStyle w:val="Compact"/>
              <w:jc w:val="center"/>
              <w:rPr>
                <w:rFonts w:cs="Times New Roman"/>
              </w:rPr>
            </w:pPr>
            <m:oMathPara>
              <m:oMath>
                <m:r>
                  <w:rPr>
                    <w:rFonts w:ascii="Cambria Math" w:hAnsi="Cambria Math" w:cs="Times New Roman"/>
                  </w:rPr>
                  <m:t>17.7</m:t>
                </m:r>
              </m:oMath>
            </m:oMathPara>
          </w:p>
        </w:tc>
        <w:tc>
          <w:tcPr>
            <w:tcW w:w="1296" w:type="dxa"/>
          </w:tcPr>
          <w:p w14:paraId="51B57275" w14:textId="77777777" w:rsidR="00251808" w:rsidRPr="00251808" w:rsidRDefault="00D307AB" w:rsidP="00EA7DE1">
            <w:pPr>
              <w:pStyle w:val="Compact"/>
              <w:jc w:val="center"/>
              <w:rPr>
                <w:rFonts w:cs="Times New Roman"/>
              </w:rPr>
            </w:pPr>
            <m:oMathPara>
              <m:oMath>
                <m:d>
                  <m:dPr>
                    <m:ctrlPr>
                      <w:rPr>
                        <w:rFonts w:ascii="Cambria Math" w:hAnsi="Cambria Math" w:cs="Times New Roman"/>
                        <w:i/>
                      </w:rPr>
                    </m:ctrlPr>
                  </m:dPr>
                  <m:e>
                    <m:r>
                      <w:rPr>
                        <w:rFonts w:ascii="Cambria Math" w:hAnsi="Cambria Math" w:cs="Times New Roman"/>
                      </w:rPr>
                      <m:t>10.8, 29.1</m:t>
                    </m:r>
                  </m:e>
                </m:d>
              </m:oMath>
            </m:oMathPara>
          </w:p>
        </w:tc>
        <w:tc>
          <w:tcPr>
            <w:tcW w:w="250" w:type="dxa"/>
          </w:tcPr>
          <w:p w14:paraId="38F4E080" w14:textId="77777777" w:rsidR="00251808" w:rsidRPr="00251808" w:rsidRDefault="00251808" w:rsidP="00EA7DE1">
            <w:pPr>
              <w:spacing w:after="0"/>
              <w:jc w:val="center"/>
              <w:rPr>
                <w:rFonts w:cs="Times New Roman"/>
              </w:rPr>
            </w:pPr>
          </w:p>
        </w:tc>
        <w:tc>
          <w:tcPr>
            <w:tcW w:w="576" w:type="dxa"/>
          </w:tcPr>
          <w:p w14:paraId="25555ADB" w14:textId="77777777" w:rsidR="00251808" w:rsidRPr="00251808" w:rsidRDefault="00251808" w:rsidP="00EA7DE1">
            <w:pPr>
              <w:pStyle w:val="Compact"/>
              <w:jc w:val="center"/>
              <w:rPr>
                <w:rFonts w:cs="Times New Roman"/>
              </w:rPr>
            </w:pPr>
            <m:oMathPara>
              <m:oMath>
                <m:r>
                  <w:rPr>
                    <w:rFonts w:ascii="Cambria Math" w:hAnsi="Cambria Math" w:cs="Times New Roman"/>
                  </w:rPr>
                  <m:t>152</m:t>
                </m:r>
              </m:oMath>
            </m:oMathPara>
          </w:p>
        </w:tc>
        <w:tc>
          <w:tcPr>
            <w:tcW w:w="576" w:type="dxa"/>
          </w:tcPr>
          <w:p w14:paraId="568B3A8E" w14:textId="77777777" w:rsidR="00251808" w:rsidRPr="00251808" w:rsidRDefault="00251808" w:rsidP="00EA7DE1">
            <w:pPr>
              <w:pStyle w:val="Compact"/>
              <w:jc w:val="center"/>
              <w:rPr>
                <w:rFonts w:cs="Times New Roman"/>
              </w:rPr>
            </w:pPr>
            <m:oMathPara>
              <m:oMath>
                <m:r>
                  <w:rPr>
                    <w:rFonts w:ascii="Cambria Math" w:hAnsi="Cambria Math" w:cs="Times New Roman"/>
                  </w:rPr>
                  <m:t>12.5</m:t>
                </m:r>
              </m:oMath>
            </m:oMathPara>
          </w:p>
        </w:tc>
        <w:tc>
          <w:tcPr>
            <w:tcW w:w="1296" w:type="dxa"/>
            <w:gridSpan w:val="2"/>
          </w:tcPr>
          <w:p w14:paraId="36523FDD" w14:textId="77777777" w:rsidR="00251808" w:rsidRPr="00251808" w:rsidRDefault="00251808" w:rsidP="00EA7DE1">
            <w:pPr>
              <w:pStyle w:val="Compact"/>
              <w:jc w:val="center"/>
              <w:rPr>
                <w:rFonts w:cs="Times New Roman"/>
              </w:rPr>
            </w:pPr>
            <m:oMathPara>
              <m:oMath>
                <m:r>
                  <w:rPr>
                    <w:rFonts w:ascii="Cambria Math" w:hAnsi="Cambria Math" w:cs="Times New Roman"/>
                  </w:rPr>
                  <m:t>(7.9, 19.7)</m:t>
                </m:r>
              </m:oMath>
            </m:oMathPara>
          </w:p>
        </w:tc>
      </w:tr>
      <w:tr w:rsidR="00251808" w:rsidRPr="00251808" w14:paraId="348CCCF1" w14:textId="77777777" w:rsidTr="006C2326">
        <w:trPr>
          <w:gridAfter w:val="1"/>
          <w:wAfter w:w="10" w:type="dxa"/>
          <w:jc w:val="center"/>
        </w:trPr>
        <w:tc>
          <w:tcPr>
            <w:tcW w:w="7114" w:type="dxa"/>
            <w:gridSpan w:val="9"/>
            <w:tcBorders>
              <w:top w:val="single" w:sz="4" w:space="0" w:color="auto"/>
              <w:bottom w:val="single" w:sz="4" w:space="0" w:color="auto"/>
            </w:tcBorders>
          </w:tcPr>
          <w:p w14:paraId="2D52104F" w14:textId="77777777" w:rsidR="00251808" w:rsidRPr="00251808" w:rsidRDefault="00251808" w:rsidP="00EA7DE1">
            <w:pPr>
              <w:pStyle w:val="Compact"/>
              <w:rPr>
                <w:rFonts w:cs="Times New Roman"/>
                <w:sz w:val="18"/>
                <w:szCs w:val="18"/>
              </w:rPr>
            </w:pPr>
            <w:r w:rsidRPr="00251808">
              <w:rPr>
                <w:rFonts w:cs="Times New Roman"/>
                <w:sz w:val="18"/>
                <w:szCs w:val="18"/>
              </w:rPr>
              <w:t>Estimates were adjusted for plant, race, year of hire, and calendar year. Risk sets were indexed by age. Women were excluded from this analysis.</w:t>
            </w:r>
          </w:p>
          <w:p w14:paraId="40486663" w14:textId="77777777" w:rsidR="00251808" w:rsidRPr="00251808" w:rsidRDefault="00D307AB" w:rsidP="00EA7DE1">
            <w:pPr>
              <w:pStyle w:val="Compact"/>
              <w:rPr>
                <w:rFonts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w:rPr>
                      <w:rFonts w:ascii="Cambria Math" w:hAnsi="Cambria Math" w:cs="Times New Roman"/>
                      <w:sz w:val="18"/>
                      <w:szCs w:val="18"/>
                    </w:rPr>
                    <m:t>a</m:t>
                  </m:r>
                </m:sup>
              </m:sSup>
            </m:oMath>
            <w:r w:rsidR="00251808" w:rsidRPr="00251808">
              <w:rPr>
                <w:rFonts w:cs="Times New Roman"/>
                <w:sz w:val="18"/>
                <w:szCs w:val="18"/>
              </w:rPr>
              <w:t xml:space="preserve"> Cases that occurred within a week after the recorded worker exit date were assumed to have occurred while still employed.</w:t>
            </w:r>
          </w:p>
        </w:tc>
      </w:tr>
    </w:tbl>
    <w:p w14:paraId="189EFF63" w14:textId="77777777" w:rsidR="00251808" w:rsidRPr="00251808" w:rsidRDefault="00251808" w:rsidP="00EA7DE1">
      <w:pPr>
        <w:spacing w:line="240" w:lineRule="auto"/>
        <w:rPr>
          <w:rFonts w:ascii="Times New Roman" w:hAnsi="Times New Roman" w:cs="Times New Roman"/>
          <w:b/>
          <w:sz w:val="20"/>
          <w:szCs w:val="20"/>
        </w:rPr>
      </w:pPr>
    </w:p>
    <w:p w14:paraId="26B83788" w14:textId="77777777" w:rsidR="00251808" w:rsidRPr="00251808" w:rsidRDefault="00251808" w:rsidP="00EA7DE1">
      <w:pPr>
        <w:spacing w:line="240" w:lineRule="auto"/>
        <w:rPr>
          <w:rFonts w:ascii="Times New Roman" w:hAnsi="Times New Roman" w:cs="Times New Roman"/>
          <w:sz w:val="20"/>
          <w:szCs w:val="20"/>
        </w:rPr>
      </w:pPr>
      <w:r w:rsidRPr="00251808">
        <w:rPr>
          <w:rFonts w:ascii="Times New Roman" w:hAnsi="Times New Roman" w:cs="Times New Roman"/>
          <w:b/>
          <w:sz w:val="20"/>
          <w:szCs w:val="20"/>
        </w:rPr>
        <w:t>Table 3.</w:t>
      </w:r>
      <w:r w:rsidRPr="00251808">
        <w:rPr>
          <w:rFonts w:ascii="Times New Roman" w:hAnsi="Times New Roman" w:cs="Times New Roman"/>
          <w:sz w:val="20"/>
          <w:szCs w:val="20"/>
        </w:rPr>
        <w:t xml:space="preserve"> Adjusted hazard ratio estimates for </w:t>
      </w:r>
      <w:r w:rsidRPr="00251808">
        <w:rPr>
          <w:rFonts w:ascii="Times New Roman" w:hAnsi="Times New Roman" w:cs="Times New Roman"/>
          <w:b/>
          <w:sz w:val="20"/>
          <w:szCs w:val="20"/>
        </w:rPr>
        <w:t>suicide</w:t>
      </w:r>
      <w:r w:rsidRPr="00251808">
        <w:rPr>
          <w:rFonts w:ascii="Times New Roman" w:hAnsi="Times New Roman" w:cs="Times New Roman"/>
          <w:sz w:val="20"/>
          <w:szCs w:val="20"/>
        </w:rPr>
        <w:t xml:space="preserve"> and the combined outcome of </w:t>
      </w:r>
      <w:r w:rsidRPr="00251808">
        <w:rPr>
          <w:rFonts w:ascii="Times New Roman" w:hAnsi="Times New Roman" w:cs="Times New Roman"/>
          <w:b/>
          <w:sz w:val="20"/>
          <w:szCs w:val="20"/>
        </w:rPr>
        <w:t>suicide and fatal overdose</w:t>
      </w:r>
      <w:r w:rsidRPr="00251808">
        <w:rPr>
          <w:rFonts w:ascii="Times New Roman" w:hAnsi="Times New Roman" w:cs="Times New Roman"/>
          <w:sz w:val="20"/>
          <w:szCs w:val="20"/>
        </w:rPr>
        <w:t xml:space="preserve"> in the </w:t>
      </w:r>
      <w:r w:rsidRPr="00251808">
        <w:rPr>
          <w:rFonts w:ascii="Times New Roman" w:hAnsi="Times New Roman" w:cs="Times New Roman"/>
          <w:b/>
          <w:sz w:val="20"/>
          <w:szCs w:val="20"/>
        </w:rPr>
        <w:t>UAW-GM Cohort</w:t>
      </w:r>
      <w:r w:rsidRPr="00251808">
        <w:rPr>
          <w:rFonts w:ascii="Times New Roman" w:hAnsi="Times New Roman" w:cs="Times New Roman"/>
          <w:sz w:val="20"/>
          <w:szCs w:val="20"/>
        </w:rPr>
        <w:t xml:space="preserve"> restricted to men employed in or after 1970.</w:t>
      </w:r>
    </w:p>
    <w:tbl>
      <w:tblPr>
        <w:tblStyle w:val="Table"/>
        <w:tblW w:w="0" w:type="auto"/>
        <w:jc w:val="center"/>
        <w:tblLayout w:type="fixed"/>
        <w:tblCellMar>
          <w:left w:w="115" w:type="dxa"/>
          <w:right w:w="115" w:type="dxa"/>
        </w:tblCellMar>
        <w:tblLook w:val="07E0" w:firstRow="1" w:lastRow="1" w:firstColumn="1" w:lastColumn="1" w:noHBand="1" w:noVBand="1"/>
      </w:tblPr>
      <w:tblGrid>
        <w:gridCol w:w="1728"/>
        <w:gridCol w:w="250"/>
        <w:gridCol w:w="436"/>
        <w:gridCol w:w="576"/>
        <w:gridCol w:w="1296"/>
        <w:gridCol w:w="250"/>
        <w:gridCol w:w="436"/>
        <w:gridCol w:w="576"/>
        <w:gridCol w:w="1440"/>
      </w:tblGrid>
      <w:tr w:rsidR="00251808" w:rsidRPr="00251808" w14:paraId="629F4623" w14:textId="77777777" w:rsidTr="006C2326">
        <w:trPr>
          <w:jc w:val="center"/>
        </w:trPr>
        <w:tc>
          <w:tcPr>
            <w:tcW w:w="1728" w:type="dxa"/>
            <w:tcBorders>
              <w:top w:val="single" w:sz="4" w:space="0" w:color="auto"/>
            </w:tcBorders>
            <w:vAlign w:val="bottom"/>
          </w:tcPr>
          <w:p w14:paraId="04372996" w14:textId="77777777" w:rsidR="00251808" w:rsidRPr="00251808" w:rsidRDefault="00251808" w:rsidP="00EA7DE1">
            <w:pPr>
              <w:pStyle w:val="Compact"/>
              <w:rPr>
                <w:rFonts w:cs="Times New Roman"/>
              </w:rPr>
            </w:pPr>
          </w:p>
        </w:tc>
        <w:tc>
          <w:tcPr>
            <w:tcW w:w="250" w:type="dxa"/>
            <w:tcBorders>
              <w:top w:val="single" w:sz="4" w:space="0" w:color="auto"/>
            </w:tcBorders>
            <w:vAlign w:val="bottom"/>
          </w:tcPr>
          <w:p w14:paraId="5343166A" w14:textId="77777777" w:rsidR="00251808" w:rsidRPr="00251808" w:rsidRDefault="00251808" w:rsidP="00EA7DE1">
            <w:pPr>
              <w:spacing w:after="0"/>
              <w:rPr>
                <w:rFonts w:cs="Times New Roman"/>
              </w:rPr>
            </w:pPr>
          </w:p>
        </w:tc>
        <w:tc>
          <w:tcPr>
            <w:tcW w:w="2308" w:type="dxa"/>
            <w:gridSpan w:val="3"/>
            <w:tcBorders>
              <w:top w:val="single" w:sz="4" w:space="0" w:color="auto"/>
              <w:bottom w:val="single" w:sz="4" w:space="0" w:color="auto"/>
            </w:tcBorders>
            <w:vAlign w:val="bottom"/>
          </w:tcPr>
          <w:p w14:paraId="4FBFBFD1" w14:textId="77777777" w:rsidR="00251808" w:rsidRPr="00251808" w:rsidRDefault="00251808" w:rsidP="00EA7DE1">
            <w:pPr>
              <w:pStyle w:val="Compact"/>
              <w:rPr>
                <w:rFonts w:cs="Times New Roman"/>
              </w:rPr>
            </w:pPr>
            <w:r w:rsidRPr="00251808">
              <w:rPr>
                <w:rFonts w:cs="Times New Roman"/>
              </w:rPr>
              <w:t>Suicide</w:t>
            </w:r>
          </w:p>
        </w:tc>
        <w:tc>
          <w:tcPr>
            <w:tcW w:w="250" w:type="dxa"/>
            <w:tcBorders>
              <w:top w:val="single" w:sz="4" w:space="0" w:color="auto"/>
            </w:tcBorders>
            <w:vAlign w:val="bottom"/>
          </w:tcPr>
          <w:p w14:paraId="0A2E9091" w14:textId="77777777" w:rsidR="00251808" w:rsidRPr="00251808" w:rsidRDefault="00251808" w:rsidP="00EA7DE1">
            <w:pPr>
              <w:spacing w:after="0"/>
              <w:rPr>
                <w:rFonts w:cs="Times New Roman"/>
              </w:rPr>
            </w:pPr>
          </w:p>
        </w:tc>
        <w:tc>
          <w:tcPr>
            <w:tcW w:w="2452" w:type="dxa"/>
            <w:gridSpan w:val="3"/>
            <w:tcBorders>
              <w:top w:val="single" w:sz="4" w:space="0" w:color="auto"/>
              <w:bottom w:val="single" w:sz="4" w:space="0" w:color="auto"/>
            </w:tcBorders>
            <w:vAlign w:val="bottom"/>
          </w:tcPr>
          <w:p w14:paraId="376CC3C6" w14:textId="77777777" w:rsidR="00251808" w:rsidRPr="00251808" w:rsidRDefault="00251808" w:rsidP="00EA7DE1">
            <w:pPr>
              <w:pStyle w:val="Compact"/>
              <w:rPr>
                <w:rFonts w:cs="Times New Roman"/>
              </w:rPr>
            </w:pPr>
            <w:r w:rsidRPr="00251808">
              <w:rPr>
                <w:rFonts w:cs="Times New Roman"/>
              </w:rPr>
              <w:t>Suicide and fatal overdose</w:t>
            </w:r>
          </w:p>
        </w:tc>
      </w:tr>
      <w:tr w:rsidR="00251808" w:rsidRPr="00251808" w14:paraId="3E74623F" w14:textId="77777777" w:rsidTr="006C2326">
        <w:trPr>
          <w:jc w:val="center"/>
        </w:trPr>
        <w:tc>
          <w:tcPr>
            <w:tcW w:w="1728" w:type="dxa"/>
            <w:tcBorders>
              <w:bottom w:val="single" w:sz="2" w:space="0" w:color="auto"/>
            </w:tcBorders>
            <w:vAlign w:val="bottom"/>
          </w:tcPr>
          <w:p w14:paraId="1352AA4C" w14:textId="77777777" w:rsidR="00251808" w:rsidRPr="00251808" w:rsidRDefault="00251808" w:rsidP="00EA7DE1">
            <w:pPr>
              <w:pStyle w:val="Compact"/>
              <w:rPr>
                <w:rFonts w:cs="Times New Roman"/>
              </w:rPr>
            </w:pPr>
            <w:r w:rsidRPr="00251808">
              <w:rPr>
                <w:rFonts w:cs="Times New Roman"/>
              </w:rPr>
              <w:t>Age at worker exit</w:t>
            </w:r>
          </w:p>
        </w:tc>
        <w:tc>
          <w:tcPr>
            <w:tcW w:w="250" w:type="dxa"/>
            <w:tcBorders>
              <w:bottom w:val="single" w:sz="2" w:space="0" w:color="auto"/>
            </w:tcBorders>
            <w:vAlign w:val="bottom"/>
          </w:tcPr>
          <w:p w14:paraId="655BE991" w14:textId="77777777" w:rsidR="00251808" w:rsidRPr="00251808" w:rsidRDefault="00251808" w:rsidP="00EA7DE1">
            <w:pPr>
              <w:spacing w:after="0"/>
              <w:rPr>
                <w:rFonts w:cs="Times New Roman"/>
              </w:rPr>
            </w:pPr>
          </w:p>
        </w:tc>
        <w:tc>
          <w:tcPr>
            <w:tcW w:w="436" w:type="dxa"/>
            <w:tcBorders>
              <w:top w:val="single" w:sz="4" w:space="0" w:color="auto"/>
              <w:bottom w:val="single" w:sz="2" w:space="0" w:color="auto"/>
            </w:tcBorders>
            <w:vAlign w:val="bottom"/>
          </w:tcPr>
          <w:p w14:paraId="121C5637" w14:textId="77777777" w:rsidR="00251808" w:rsidRPr="00251808" w:rsidRDefault="00251808" w:rsidP="00EA7DE1">
            <w:pPr>
              <w:pStyle w:val="Compact"/>
              <w:jc w:val="center"/>
              <w:rPr>
                <w:rFonts w:cs="Times New Roman"/>
              </w:rPr>
            </w:pPr>
            <m:oMathPara>
              <m:oMath>
                <m:r>
                  <w:rPr>
                    <w:rFonts w:ascii="Cambria Math" w:hAnsi="Cambria Math" w:cs="Times New Roman"/>
                  </w:rPr>
                  <m:t>n</m:t>
                </m:r>
              </m:oMath>
            </m:oMathPara>
          </w:p>
        </w:tc>
        <w:tc>
          <w:tcPr>
            <w:tcW w:w="576" w:type="dxa"/>
            <w:tcBorders>
              <w:top w:val="single" w:sz="4" w:space="0" w:color="auto"/>
              <w:bottom w:val="single" w:sz="2" w:space="0" w:color="auto"/>
            </w:tcBorders>
            <w:vAlign w:val="bottom"/>
          </w:tcPr>
          <w:p w14:paraId="64243D17" w14:textId="77777777" w:rsidR="00251808" w:rsidRPr="00251808" w:rsidRDefault="00251808" w:rsidP="00EA7DE1">
            <w:pPr>
              <w:pStyle w:val="Compact"/>
              <w:jc w:val="center"/>
              <w:rPr>
                <w:rFonts w:cs="Times New Roman"/>
              </w:rPr>
            </w:pPr>
            <w:r w:rsidRPr="00251808">
              <w:rPr>
                <w:rFonts w:cs="Times New Roman"/>
              </w:rPr>
              <w:t>HR</w:t>
            </w:r>
          </w:p>
        </w:tc>
        <w:tc>
          <w:tcPr>
            <w:tcW w:w="1296" w:type="dxa"/>
            <w:tcBorders>
              <w:top w:val="single" w:sz="4" w:space="0" w:color="auto"/>
              <w:bottom w:val="single" w:sz="2" w:space="0" w:color="auto"/>
            </w:tcBorders>
            <w:vAlign w:val="bottom"/>
          </w:tcPr>
          <w:p w14:paraId="5D4895A3" w14:textId="77777777" w:rsidR="00251808" w:rsidRPr="00251808" w:rsidRDefault="00251808" w:rsidP="00EA7DE1">
            <w:pPr>
              <w:pStyle w:val="Compact"/>
              <w:jc w:val="center"/>
              <w:rPr>
                <w:rFonts w:cs="Times New Roman"/>
              </w:rPr>
            </w:pPr>
            <w:r w:rsidRPr="00251808">
              <w:rPr>
                <w:rFonts w:cs="Times New Roman"/>
              </w:rPr>
              <w:t>(95% CI)</w:t>
            </w:r>
          </w:p>
        </w:tc>
        <w:tc>
          <w:tcPr>
            <w:tcW w:w="250" w:type="dxa"/>
            <w:tcBorders>
              <w:bottom w:val="single" w:sz="2" w:space="0" w:color="auto"/>
            </w:tcBorders>
            <w:vAlign w:val="bottom"/>
          </w:tcPr>
          <w:p w14:paraId="44A178D6" w14:textId="77777777" w:rsidR="00251808" w:rsidRPr="00251808" w:rsidRDefault="00251808" w:rsidP="00EA7DE1">
            <w:pPr>
              <w:spacing w:after="0"/>
              <w:jc w:val="center"/>
              <w:rPr>
                <w:rFonts w:cs="Times New Roman"/>
              </w:rPr>
            </w:pPr>
          </w:p>
        </w:tc>
        <w:tc>
          <w:tcPr>
            <w:tcW w:w="436" w:type="dxa"/>
            <w:tcBorders>
              <w:top w:val="single" w:sz="4" w:space="0" w:color="auto"/>
              <w:bottom w:val="single" w:sz="2" w:space="0" w:color="auto"/>
            </w:tcBorders>
            <w:vAlign w:val="bottom"/>
          </w:tcPr>
          <w:p w14:paraId="01A595CB" w14:textId="77777777" w:rsidR="00251808" w:rsidRPr="00251808" w:rsidRDefault="00251808" w:rsidP="00EA7DE1">
            <w:pPr>
              <w:pStyle w:val="Compact"/>
              <w:jc w:val="center"/>
              <w:rPr>
                <w:rFonts w:cs="Times New Roman"/>
              </w:rPr>
            </w:pPr>
            <m:oMathPara>
              <m:oMath>
                <m:r>
                  <w:rPr>
                    <w:rFonts w:ascii="Cambria Math" w:hAnsi="Cambria Math" w:cs="Times New Roman"/>
                  </w:rPr>
                  <m:t>n</m:t>
                </m:r>
              </m:oMath>
            </m:oMathPara>
          </w:p>
        </w:tc>
        <w:tc>
          <w:tcPr>
            <w:tcW w:w="576" w:type="dxa"/>
            <w:tcBorders>
              <w:top w:val="single" w:sz="4" w:space="0" w:color="auto"/>
              <w:bottom w:val="single" w:sz="2" w:space="0" w:color="auto"/>
            </w:tcBorders>
            <w:vAlign w:val="bottom"/>
          </w:tcPr>
          <w:p w14:paraId="48703D60" w14:textId="77777777" w:rsidR="00251808" w:rsidRPr="00251808" w:rsidRDefault="00251808" w:rsidP="00EA7DE1">
            <w:pPr>
              <w:pStyle w:val="Compact"/>
              <w:jc w:val="center"/>
              <w:rPr>
                <w:rFonts w:cs="Times New Roman"/>
              </w:rPr>
            </w:pPr>
            <w:r w:rsidRPr="00251808">
              <w:rPr>
                <w:rFonts w:cs="Times New Roman"/>
              </w:rPr>
              <w:t>HR</w:t>
            </w:r>
          </w:p>
        </w:tc>
        <w:tc>
          <w:tcPr>
            <w:tcW w:w="1440" w:type="dxa"/>
            <w:tcBorders>
              <w:top w:val="single" w:sz="4" w:space="0" w:color="auto"/>
              <w:bottom w:val="single" w:sz="2" w:space="0" w:color="auto"/>
            </w:tcBorders>
            <w:vAlign w:val="bottom"/>
          </w:tcPr>
          <w:p w14:paraId="14EF614C" w14:textId="77777777" w:rsidR="00251808" w:rsidRPr="00251808" w:rsidRDefault="00251808" w:rsidP="00EA7DE1">
            <w:pPr>
              <w:pStyle w:val="Compact"/>
              <w:jc w:val="center"/>
              <w:rPr>
                <w:rFonts w:cs="Times New Roman"/>
              </w:rPr>
            </w:pPr>
            <w:r w:rsidRPr="00251808">
              <w:rPr>
                <w:rFonts w:cs="Times New Roman"/>
              </w:rPr>
              <w:t>(95% CI)</w:t>
            </w:r>
          </w:p>
        </w:tc>
      </w:tr>
      <w:tr w:rsidR="00251808" w:rsidRPr="00251808" w14:paraId="04C43765" w14:textId="77777777" w:rsidTr="006C2326">
        <w:trPr>
          <w:jc w:val="center"/>
        </w:trPr>
        <w:tc>
          <w:tcPr>
            <w:tcW w:w="1728" w:type="dxa"/>
            <w:tcBorders>
              <w:top w:val="single" w:sz="2" w:space="0" w:color="auto"/>
            </w:tcBorders>
          </w:tcPr>
          <w:p w14:paraId="11E9E939" w14:textId="77777777" w:rsidR="00251808" w:rsidRPr="00251808" w:rsidRDefault="00251808" w:rsidP="00EA7DE1">
            <w:pPr>
              <w:pStyle w:val="Compact"/>
              <w:rPr>
                <w:rFonts w:cs="Times New Roman"/>
              </w:rPr>
            </w:pPr>
            <m:oMath>
              <m:r>
                <w:rPr>
                  <w:rFonts w:ascii="Cambria Math" w:hAnsi="Cambria Math" w:cs="Times New Roman"/>
                </w:rPr>
                <m:t>55</m:t>
              </m:r>
            </m:oMath>
            <w:r w:rsidRPr="00251808">
              <w:rPr>
                <w:rFonts w:cs="Times New Roman"/>
              </w:rPr>
              <w:t xml:space="preserve"> or older</w:t>
            </w:r>
          </w:p>
        </w:tc>
        <w:tc>
          <w:tcPr>
            <w:tcW w:w="250" w:type="dxa"/>
            <w:tcBorders>
              <w:top w:val="single" w:sz="2" w:space="0" w:color="auto"/>
            </w:tcBorders>
          </w:tcPr>
          <w:p w14:paraId="55A4FD7B" w14:textId="77777777" w:rsidR="00251808" w:rsidRPr="00251808" w:rsidRDefault="00251808" w:rsidP="00EA7DE1">
            <w:pPr>
              <w:spacing w:after="0"/>
              <w:rPr>
                <w:rFonts w:cs="Times New Roman"/>
              </w:rPr>
            </w:pPr>
          </w:p>
        </w:tc>
        <w:tc>
          <w:tcPr>
            <w:tcW w:w="436" w:type="dxa"/>
            <w:tcBorders>
              <w:top w:val="single" w:sz="2" w:space="0" w:color="auto"/>
            </w:tcBorders>
          </w:tcPr>
          <w:p w14:paraId="359D465B" w14:textId="77777777" w:rsidR="00251808" w:rsidRPr="00251808" w:rsidRDefault="00251808" w:rsidP="00EA7DE1">
            <w:pPr>
              <w:pStyle w:val="Compact"/>
              <w:jc w:val="center"/>
              <w:rPr>
                <w:rFonts w:cs="Times New Roman"/>
              </w:rPr>
            </w:pPr>
            <m:oMathPara>
              <m:oMath>
                <m:r>
                  <w:rPr>
                    <w:rFonts w:ascii="Cambria Math" w:hAnsi="Cambria Math" w:cs="Times New Roman"/>
                  </w:rPr>
                  <m:t>42</m:t>
                </m:r>
              </m:oMath>
            </m:oMathPara>
          </w:p>
        </w:tc>
        <w:tc>
          <w:tcPr>
            <w:tcW w:w="576" w:type="dxa"/>
            <w:tcBorders>
              <w:top w:val="single" w:sz="2" w:space="0" w:color="auto"/>
            </w:tcBorders>
          </w:tcPr>
          <w:p w14:paraId="6DA0CF65" w14:textId="77777777" w:rsidR="00251808" w:rsidRPr="00251808" w:rsidRDefault="00251808" w:rsidP="00EA7DE1">
            <w:pPr>
              <w:pStyle w:val="Compact"/>
              <w:jc w:val="center"/>
              <w:rPr>
                <w:rFonts w:cs="Times New Roman"/>
              </w:rPr>
            </w:pPr>
            <m:oMathPara>
              <m:oMath>
                <m:r>
                  <w:rPr>
                    <w:rFonts w:ascii="Cambria Math" w:hAnsi="Cambria Math" w:cs="Times New Roman"/>
                  </w:rPr>
                  <m:t>1.0</m:t>
                </m:r>
              </m:oMath>
            </m:oMathPara>
          </w:p>
        </w:tc>
        <w:tc>
          <w:tcPr>
            <w:tcW w:w="1296" w:type="dxa"/>
            <w:tcBorders>
              <w:top w:val="single" w:sz="2" w:space="0" w:color="auto"/>
            </w:tcBorders>
          </w:tcPr>
          <w:p w14:paraId="4D415AB0" w14:textId="77777777" w:rsidR="00251808" w:rsidRPr="00251808" w:rsidRDefault="00251808" w:rsidP="00EA7DE1">
            <w:pPr>
              <w:pStyle w:val="Compact"/>
              <w:jc w:val="center"/>
              <w:rPr>
                <w:rFonts w:cs="Times New Roman"/>
              </w:rPr>
            </w:pPr>
            <w:r w:rsidRPr="00251808">
              <w:rPr>
                <w:rFonts w:cs="Times New Roman"/>
              </w:rPr>
              <w:t>–</w:t>
            </w:r>
          </w:p>
        </w:tc>
        <w:tc>
          <w:tcPr>
            <w:tcW w:w="250" w:type="dxa"/>
            <w:tcBorders>
              <w:top w:val="single" w:sz="2" w:space="0" w:color="auto"/>
            </w:tcBorders>
          </w:tcPr>
          <w:p w14:paraId="5F40FBA9" w14:textId="77777777" w:rsidR="00251808" w:rsidRPr="00251808" w:rsidRDefault="00251808" w:rsidP="00EA7DE1">
            <w:pPr>
              <w:spacing w:after="0"/>
              <w:jc w:val="center"/>
              <w:rPr>
                <w:rFonts w:cs="Times New Roman"/>
              </w:rPr>
            </w:pPr>
          </w:p>
        </w:tc>
        <w:tc>
          <w:tcPr>
            <w:tcW w:w="436" w:type="dxa"/>
            <w:tcBorders>
              <w:top w:val="single" w:sz="2" w:space="0" w:color="auto"/>
            </w:tcBorders>
          </w:tcPr>
          <w:p w14:paraId="5B03678C" w14:textId="77777777" w:rsidR="00251808" w:rsidRPr="00251808" w:rsidRDefault="00251808" w:rsidP="00EA7DE1">
            <w:pPr>
              <w:pStyle w:val="Compact"/>
              <w:jc w:val="center"/>
              <w:rPr>
                <w:rFonts w:cs="Times New Roman"/>
              </w:rPr>
            </w:pPr>
            <m:oMathPara>
              <m:oMath>
                <m:r>
                  <w:rPr>
                    <w:rFonts w:ascii="Cambria Math" w:hAnsi="Cambria Math" w:cs="Times New Roman"/>
                  </w:rPr>
                  <m:t>45</m:t>
                </m:r>
              </m:oMath>
            </m:oMathPara>
          </w:p>
        </w:tc>
        <w:tc>
          <w:tcPr>
            <w:tcW w:w="576" w:type="dxa"/>
            <w:tcBorders>
              <w:top w:val="single" w:sz="2" w:space="0" w:color="auto"/>
            </w:tcBorders>
          </w:tcPr>
          <w:p w14:paraId="2CA847F1" w14:textId="77777777" w:rsidR="00251808" w:rsidRPr="00251808" w:rsidRDefault="00251808" w:rsidP="00EA7DE1">
            <w:pPr>
              <w:pStyle w:val="Compact"/>
              <w:jc w:val="center"/>
              <w:rPr>
                <w:rFonts w:cs="Times New Roman"/>
              </w:rPr>
            </w:pPr>
            <m:oMathPara>
              <m:oMath>
                <m:r>
                  <w:rPr>
                    <w:rFonts w:ascii="Cambria Math" w:hAnsi="Cambria Math" w:cs="Times New Roman"/>
                  </w:rPr>
                  <m:t>1.0</m:t>
                </m:r>
              </m:oMath>
            </m:oMathPara>
          </w:p>
        </w:tc>
        <w:tc>
          <w:tcPr>
            <w:tcW w:w="1440" w:type="dxa"/>
            <w:tcBorders>
              <w:top w:val="single" w:sz="2" w:space="0" w:color="auto"/>
            </w:tcBorders>
          </w:tcPr>
          <w:p w14:paraId="4EDCB979" w14:textId="77777777" w:rsidR="00251808" w:rsidRPr="00251808" w:rsidRDefault="00251808" w:rsidP="00EA7DE1">
            <w:pPr>
              <w:pStyle w:val="Compact"/>
              <w:jc w:val="center"/>
              <w:rPr>
                <w:rFonts w:cs="Times New Roman"/>
              </w:rPr>
            </w:pPr>
            <w:r w:rsidRPr="00251808">
              <w:rPr>
                <w:rFonts w:cs="Times New Roman"/>
              </w:rPr>
              <w:t>–</w:t>
            </w:r>
          </w:p>
        </w:tc>
      </w:tr>
      <w:tr w:rsidR="00251808" w:rsidRPr="00251808" w14:paraId="1D4337F9" w14:textId="77777777" w:rsidTr="006C2326">
        <w:trPr>
          <w:jc w:val="center"/>
        </w:trPr>
        <w:tc>
          <w:tcPr>
            <w:tcW w:w="1728" w:type="dxa"/>
          </w:tcPr>
          <w:p w14:paraId="768DC866" w14:textId="77777777" w:rsidR="00251808" w:rsidRPr="00251808" w:rsidRDefault="00251808" w:rsidP="00EA7DE1">
            <w:pPr>
              <w:pStyle w:val="Compact"/>
              <w:rPr>
                <w:rFonts w:cs="Times New Roman"/>
              </w:rPr>
            </w:pPr>
            <m:oMath>
              <m:r>
                <w:rPr>
                  <w:rFonts w:ascii="Cambria Math" w:hAnsi="Cambria Math" w:cs="Times New Roman"/>
                </w:rPr>
                <m:t>40</m:t>
              </m:r>
            </m:oMath>
            <w:r w:rsidRPr="00251808">
              <w:rPr>
                <w:rFonts w:cs="Times New Roman"/>
              </w:rPr>
              <w:t xml:space="preserve"> to </w:t>
            </w:r>
            <m:oMath>
              <m:r>
                <w:rPr>
                  <w:rFonts w:ascii="Cambria Math" w:hAnsi="Cambria Math" w:cs="Times New Roman"/>
                </w:rPr>
                <m:t>54</m:t>
              </m:r>
            </m:oMath>
          </w:p>
        </w:tc>
        <w:tc>
          <w:tcPr>
            <w:tcW w:w="250" w:type="dxa"/>
          </w:tcPr>
          <w:p w14:paraId="384DDF6D" w14:textId="77777777" w:rsidR="00251808" w:rsidRPr="00251808" w:rsidRDefault="00251808" w:rsidP="00EA7DE1">
            <w:pPr>
              <w:spacing w:after="0"/>
              <w:rPr>
                <w:rFonts w:cs="Times New Roman"/>
              </w:rPr>
            </w:pPr>
          </w:p>
        </w:tc>
        <w:tc>
          <w:tcPr>
            <w:tcW w:w="436" w:type="dxa"/>
          </w:tcPr>
          <w:p w14:paraId="1E812181" w14:textId="77777777" w:rsidR="00251808" w:rsidRPr="00251808" w:rsidRDefault="00251808" w:rsidP="00EA7DE1">
            <w:pPr>
              <w:pStyle w:val="Compact"/>
              <w:jc w:val="center"/>
              <w:rPr>
                <w:rFonts w:cs="Times New Roman"/>
              </w:rPr>
            </w:pPr>
            <m:oMathPara>
              <m:oMath>
                <m:r>
                  <w:rPr>
                    <w:rFonts w:ascii="Cambria Math" w:hAnsi="Cambria Math" w:cs="Times New Roman"/>
                  </w:rPr>
                  <m:t>48</m:t>
                </m:r>
              </m:oMath>
            </m:oMathPara>
          </w:p>
        </w:tc>
        <w:tc>
          <w:tcPr>
            <w:tcW w:w="576" w:type="dxa"/>
          </w:tcPr>
          <w:p w14:paraId="5AEF2196" w14:textId="77777777" w:rsidR="00251808" w:rsidRPr="00251808" w:rsidRDefault="00251808" w:rsidP="00EA7DE1">
            <w:pPr>
              <w:pStyle w:val="Compact"/>
              <w:jc w:val="center"/>
              <w:rPr>
                <w:rFonts w:cs="Times New Roman"/>
              </w:rPr>
            </w:pPr>
            <m:oMathPara>
              <m:oMath>
                <m:r>
                  <w:rPr>
                    <w:rFonts w:ascii="Cambria Math" w:hAnsi="Cambria Math" w:cs="Times New Roman"/>
                  </w:rPr>
                  <m:t>1.2</m:t>
                </m:r>
              </m:oMath>
            </m:oMathPara>
          </w:p>
        </w:tc>
        <w:tc>
          <w:tcPr>
            <w:tcW w:w="1296" w:type="dxa"/>
          </w:tcPr>
          <w:p w14:paraId="22E85B86" w14:textId="77777777" w:rsidR="00251808" w:rsidRPr="00251808" w:rsidRDefault="00251808" w:rsidP="00EA7DE1">
            <w:pPr>
              <w:pStyle w:val="Compact"/>
              <w:jc w:val="center"/>
              <w:rPr>
                <w:rFonts w:cs="Times New Roman"/>
              </w:rPr>
            </w:pPr>
            <m:oMathPara>
              <m:oMath>
                <m:r>
                  <w:rPr>
                    <w:rFonts w:ascii="Cambria Math" w:hAnsi="Cambria Math" w:cs="Times New Roman"/>
                  </w:rPr>
                  <m:t>(0.8, 1.8)</m:t>
                </m:r>
              </m:oMath>
            </m:oMathPara>
          </w:p>
        </w:tc>
        <w:tc>
          <w:tcPr>
            <w:tcW w:w="250" w:type="dxa"/>
          </w:tcPr>
          <w:p w14:paraId="470BE9F6" w14:textId="77777777" w:rsidR="00251808" w:rsidRPr="00251808" w:rsidRDefault="00251808" w:rsidP="00EA7DE1">
            <w:pPr>
              <w:spacing w:after="0"/>
              <w:jc w:val="center"/>
              <w:rPr>
                <w:rFonts w:cs="Times New Roman"/>
              </w:rPr>
            </w:pPr>
          </w:p>
        </w:tc>
        <w:tc>
          <w:tcPr>
            <w:tcW w:w="436" w:type="dxa"/>
          </w:tcPr>
          <w:p w14:paraId="2F1B6ABE" w14:textId="77777777" w:rsidR="00251808" w:rsidRPr="00251808" w:rsidRDefault="00251808" w:rsidP="00EA7DE1">
            <w:pPr>
              <w:pStyle w:val="Compact"/>
              <w:jc w:val="center"/>
              <w:rPr>
                <w:rFonts w:cs="Times New Roman"/>
              </w:rPr>
            </w:pPr>
            <m:oMathPara>
              <m:oMath>
                <m:r>
                  <w:rPr>
                    <w:rFonts w:ascii="Cambria Math" w:hAnsi="Cambria Math" w:cs="Times New Roman"/>
                  </w:rPr>
                  <m:t>51</m:t>
                </m:r>
              </m:oMath>
            </m:oMathPara>
          </w:p>
        </w:tc>
        <w:tc>
          <w:tcPr>
            <w:tcW w:w="576" w:type="dxa"/>
          </w:tcPr>
          <w:p w14:paraId="49DAD5D6" w14:textId="77777777" w:rsidR="00251808" w:rsidRPr="00251808" w:rsidRDefault="00251808" w:rsidP="00EA7DE1">
            <w:pPr>
              <w:pStyle w:val="Compact"/>
              <w:jc w:val="center"/>
              <w:rPr>
                <w:rFonts w:cs="Times New Roman"/>
              </w:rPr>
            </w:pPr>
            <m:oMathPara>
              <m:oMath>
                <m:r>
                  <w:rPr>
                    <w:rFonts w:ascii="Cambria Math" w:hAnsi="Cambria Math" w:cs="Times New Roman"/>
                  </w:rPr>
                  <m:t>1.2</m:t>
                </m:r>
              </m:oMath>
            </m:oMathPara>
          </w:p>
        </w:tc>
        <w:tc>
          <w:tcPr>
            <w:tcW w:w="1440" w:type="dxa"/>
          </w:tcPr>
          <w:p w14:paraId="6B4A5246" w14:textId="77777777" w:rsidR="00251808" w:rsidRPr="00251808" w:rsidRDefault="00251808" w:rsidP="00EA7DE1">
            <w:pPr>
              <w:pStyle w:val="Compact"/>
              <w:jc w:val="center"/>
              <w:rPr>
                <w:rFonts w:cs="Times New Roman"/>
              </w:rPr>
            </w:pPr>
            <m:oMathPara>
              <m:oMath>
                <m:r>
                  <w:rPr>
                    <w:rFonts w:ascii="Cambria Math" w:hAnsi="Cambria Math" w:cs="Times New Roman"/>
                  </w:rPr>
                  <m:t>(0.8, 1.8)</m:t>
                </m:r>
              </m:oMath>
            </m:oMathPara>
          </w:p>
        </w:tc>
      </w:tr>
      <w:tr w:rsidR="00251808" w:rsidRPr="00251808" w14:paraId="573660F3" w14:textId="77777777" w:rsidTr="006C2326">
        <w:trPr>
          <w:jc w:val="center"/>
        </w:trPr>
        <w:tc>
          <w:tcPr>
            <w:tcW w:w="1728" w:type="dxa"/>
          </w:tcPr>
          <w:p w14:paraId="36C71EB4" w14:textId="77777777" w:rsidR="00251808" w:rsidRPr="00251808" w:rsidRDefault="00251808" w:rsidP="00EA7DE1">
            <w:pPr>
              <w:pStyle w:val="Compact"/>
              <w:rPr>
                <w:rFonts w:cs="Times New Roman"/>
              </w:rPr>
            </w:pPr>
            <m:oMath>
              <m:r>
                <w:rPr>
                  <w:rFonts w:ascii="Cambria Math" w:hAnsi="Cambria Math" w:cs="Times New Roman"/>
                </w:rPr>
                <m:t>30</m:t>
              </m:r>
            </m:oMath>
            <w:r w:rsidRPr="00251808">
              <w:rPr>
                <w:rFonts w:cs="Times New Roman"/>
              </w:rPr>
              <w:t xml:space="preserve"> to </w:t>
            </w:r>
            <m:oMath>
              <m:r>
                <w:rPr>
                  <w:rFonts w:ascii="Cambria Math" w:hAnsi="Cambria Math" w:cs="Times New Roman"/>
                </w:rPr>
                <m:t>39</m:t>
              </m:r>
            </m:oMath>
          </w:p>
        </w:tc>
        <w:tc>
          <w:tcPr>
            <w:tcW w:w="250" w:type="dxa"/>
          </w:tcPr>
          <w:p w14:paraId="0FF1B1AA" w14:textId="77777777" w:rsidR="00251808" w:rsidRPr="00251808" w:rsidRDefault="00251808" w:rsidP="00EA7DE1">
            <w:pPr>
              <w:spacing w:after="0"/>
              <w:rPr>
                <w:rFonts w:cs="Times New Roman"/>
              </w:rPr>
            </w:pPr>
          </w:p>
        </w:tc>
        <w:tc>
          <w:tcPr>
            <w:tcW w:w="436" w:type="dxa"/>
          </w:tcPr>
          <w:p w14:paraId="46398B2B" w14:textId="77777777" w:rsidR="00251808" w:rsidRPr="00251808" w:rsidRDefault="00251808" w:rsidP="00EA7DE1">
            <w:pPr>
              <w:pStyle w:val="Compact"/>
              <w:jc w:val="center"/>
              <w:rPr>
                <w:rFonts w:cs="Times New Roman"/>
              </w:rPr>
            </w:pPr>
            <m:oMathPara>
              <m:oMath>
                <m:r>
                  <w:rPr>
                    <w:rFonts w:ascii="Cambria Math" w:hAnsi="Cambria Math" w:cs="Times New Roman"/>
                  </w:rPr>
                  <m:t>41</m:t>
                </m:r>
              </m:oMath>
            </m:oMathPara>
          </w:p>
        </w:tc>
        <w:tc>
          <w:tcPr>
            <w:tcW w:w="576" w:type="dxa"/>
          </w:tcPr>
          <w:p w14:paraId="289CC43E" w14:textId="77777777" w:rsidR="00251808" w:rsidRPr="00251808" w:rsidRDefault="00251808" w:rsidP="00EA7DE1">
            <w:pPr>
              <w:pStyle w:val="Compact"/>
              <w:jc w:val="center"/>
              <w:rPr>
                <w:rFonts w:cs="Times New Roman"/>
              </w:rPr>
            </w:pPr>
            <m:oMathPara>
              <m:oMath>
                <m:r>
                  <w:rPr>
                    <w:rFonts w:ascii="Cambria Math" w:hAnsi="Cambria Math" w:cs="Times New Roman"/>
                  </w:rPr>
                  <m:t>1.7</m:t>
                </m:r>
              </m:oMath>
            </m:oMathPara>
          </w:p>
        </w:tc>
        <w:tc>
          <w:tcPr>
            <w:tcW w:w="1296" w:type="dxa"/>
          </w:tcPr>
          <w:p w14:paraId="21214D46" w14:textId="77777777" w:rsidR="00251808" w:rsidRPr="00251808" w:rsidRDefault="00251808" w:rsidP="00EA7DE1">
            <w:pPr>
              <w:pStyle w:val="Compact"/>
              <w:jc w:val="center"/>
              <w:rPr>
                <w:rFonts w:cs="Times New Roman"/>
              </w:rPr>
            </w:pPr>
            <m:oMathPara>
              <m:oMath>
                <m:r>
                  <w:rPr>
                    <w:rFonts w:ascii="Cambria Math" w:hAnsi="Cambria Math" w:cs="Times New Roman"/>
                  </w:rPr>
                  <m:t>(1.1, 2.6)</m:t>
                </m:r>
              </m:oMath>
            </m:oMathPara>
          </w:p>
        </w:tc>
        <w:tc>
          <w:tcPr>
            <w:tcW w:w="250" w:type="dxa"/>
          </w:tcPr>
          <w:p w14:paraId="159E4C9A" w14:textId="77777777" w:rsidR="00251808" w:rsidRPr="00251808" w:rsidRDefault="00251808" w:rsidP="00EA7DE1">
            <w:pPr>
              <w:spacing w:after="0"/>
              <w:jc w:val="center"/>
              <w:rPr>
                <w:rFonts w:cs="Times New Roman"/>
              </w:rPr>
            </w:pPr>
          </w:p>
        </w:tc>
        <w:tc>
          <w:tcPr>
            <w:tcW w:w="436" w:type="dxa"/>
          </w:tcPr>
          <w:p w14:paraId="74ED5F13" w14:textId="77777777" w:rsidR="00251808" w:rsidRPr="00251808" w:rsidRDefault="00251808" w:rsidP="00EA7DE1">
            <w:pPr>
              <w:pStyle w:val="Compact"/>
              <w:jc w:val="center"/>
              <w:rPr>
                <w:rFonts w:cs="Times New Roman"/>
              </w:rPr>
            </w:pPr>
            <m:oMathPara>
              <m:oMath>
                <m:r>
                  <w:rPr>
                    <w:rFonts w:ascii="Cambria Math" w:hAnsi="Cambria Math" w:cs="Times New Roman"/>
                  </w:rPr>
                  <m:t>56</m:t>
                </m:r>
              </m:oMath>
            </m:oMathPara>
          </w:p>
        </w:tc>
        <w:tc>
          <w:tcPr>
            <w:tcW w:w="576" w:type="dxa"/>
          </w:tcPr>
          <w:p w14:paraId="51653F68" w14:textId="77777777" w:rsidR="00251808" w:rsidRPr="00251808" w:rsidRDefault="00251808" w:rsidP="00EA7DE1">
            <w:pPr>
              <w:pStyle w:val="Compact"/>
              <w:jc w:val="center"/>
              <w:rPr>
                <w:rFonts w:cs="Times New Roman"/>
              </w:rPr>
            </w:pPr>
            <m:oMathPara>
              <m:oMath>
                <m:r>
                  <w:rPr>
                    <w:rFonts w:ascii="Cambria Math" w:hAnsi="Cambria Math" w:cs="Times New Roman"/>
                  </w:rPr>
                  <m:t>2.1</m:t>
                </m:r>
              </m:oMath>
            </m:oMathPara>
          </w:p>
        </w:tc>
        <w:tc>
          <w:tcPr>
            <w:tcW w:w="1440" w:type="dxa"/>
          </w:tcPr>
          <w:p w14:paraId="343E5B03" w14:textId="77777777" w:rsidR="00251808" w:rsidRPr="00251808" w:rsidRDefault="00251808" w:rsidP="00EA7DE1">
            <w:pPr>
              <w:pStyle w:val="Compact"/>
              <w:jc w:val="center"/>
              <w:rPr>
                <w:rFonts w:cs="Times New Roman"/>
              </w:rPr>
            </w:pPr>
            <m:oMathPara>
              <m:oMath>
                <m:r>
                  <w:rPr>
                    <w:rFonts w:ascii="Cambria Math" w:hAnsi="Cambria Math" w:cs="Times New Roman"/>
                  </w:rPr>
                  <m:t>(1.4, 3.1)</m:t>
                </m:r>
              </m:oMath>
            </m:oMathPara>
          </w:p>
        </w:tc>
      </w:tr>
      <w:tr w:rsidR="00251808" w:rsidRPr="00251808" w14:paraId="2338B5C3" w14:textId="77777777" w:rsidTr="006C2326">
        <w:trPr>
          <w:jc w:val="center"/>
        </w:trPr>
        <w:tc>
          <w:tcPr>
            <w:tcW w:w="1728" w:type="dxa"/>
            <w:tcBorders>
              <w:bottom w:val="single" w:sz="4" w:space="0" w:color="auto"/>
            </w:tcBorders>
          </w:tcPr>
          <w:p w14:paraId="5C322277" w14:textId="77777777" w:rsidR="00251808" w:rsidRPr="00251808" w:rsidRDefault="00251808" w:rsidP="00EA7DE1">
            <w:pPr>
              <w:pStyle w:val="Compact"/>
              <w:rPr>
                <w:rFonts w:cs="Times New Roman"/>
              </w:rPr>
            </w:pPr>
            <m:oMath>
              <m:r>
                <w:rPr>
                  <w:rFonts w:ascii="Cambria Math" w:hAnsi="Cambria Math" w:cs="Times New Roman"/>
                </w:rPr>
                <m:t>19</m:t>
              </m:r>
            </m:oMath>
            <w:r w:rsidRPr="00251808">
              <w:rPr>
                <w:rFonts w:cs="Times New Roman"/>
              </w:rPr>
              <w:t xml:space="preserve"> to </w:t>
            </w:r>
            <m:oMath>
              <m:r>
                <w:rPr>
                  <w:rFonts w:ascii="Cambria Math" w:hAnsi="Cambria Math" w:cs="Times New Roman"/>
                </w:rPr>
                <m:t>29</m:t>
              </m:r>
            </m:oMath>
          </w:p>
        </w:tc>
        <w:tc>
          <w:tcPr>
            <w:tcW w:w="250" w:type="dxa"/>
            <w:tcBorders>
              <w:bottom w:val="single" w:sz="4" w:space="0" w:color="auto"/>
            </w:tcBorders>
          </w:tcPr>
          <w:p w14:paraId="0A61276B" w14:textId="77777777" w:rsidR="00251808" w:rsidRPr="00251808" w:rsidRDefault="00251808" w:rsidP="00EA7DE1">
            <w:pPr>
              <w:spacing w:after="0"/>
              <w:rPr>
                <w:rFonts w:cs="Times New Roman"/>
              </w:rPr>
            </w:pPr>
          </w:p>
        </w:tc>
        <w:tc>
          <w:tcPr>
            <w:tcW w:w="436" w:type="dxa"/>
            <w:tcBorders>
              <w:bottom w:val="single" w:sz="4" w:space="0" w:color="auto"/>
            </w:tcBorders>
          </w:tcPr>
          <w:p w14:paraId="4C31F4D5" w14:textId="77777777" w:rsidR="00251808" w:rsidRPr="00251808" w:rsidRDefault="00251808" w:rsidP="00EA7DE1">
            <w:pPr>
              <w:pStyle w:val="Compact"/>
              <w:jc w:val="center"/>
              <w:rPr>
                <w:rFonts w:cs="Times New Roman"/>
              </w:rPr>
            </w:pPr>
            <m:oMathPara>
              <m:oMath>
                <m:r>
                  <w:rPr>
                    <w:rFonts w:ascii="Cambria Math" w:hAnsi="Cambria Math" w:cs="Times New Roman"/>
                  </w:rPr>
                  <m:t>27</m:t>
                </m:r>
              </m:oMath>
            </m:oMathPara>
          </w:p>
        </w:tc>
        <w:tc>
          <w:tcPr>
            <w:tcW w:w="576" w:type="dxa"/>
            <w:tcBorders>
              <w:bottom w:val="single" w:sz="4" w:space="0" w:color="auto"/>
            </w:tcBorders>
          </w:tcPr>
          <w:p w14:paraId="338A7BBA" w14:textId="77777777" w:rsidR="00251808" w:rsidRPr="00251808" w:rsidRDefault="00251808" w:rsidP="00EA7DE1">
            <w:pPr>
              <w:pStyle w:val="Compact"/>
              <w:jc w:val="center"/>
              <w:rPr>
                <w:rFonts w:cs="Times New Roman"/>
              </w:rPr>
            </w:pPr>
            <m:oMathPara>
              <m:oMath>
                <m:r>
                  <w:rPr>
                    <w:rFonts w:ascii="Cambria Math" w:hAnsi="Cambria Math" w:cs="Times New Roman"/>
                  </w:rPr>
                  <m:t>1.4</m:t>
                </m:r>
              </m:oMath>
            </m:oMathPara>
          </w:p>
        </w:tc>
        <w:tc>
          <w:tcPr>
            <w:tcW w:w="1296" w:type="dxa"/>
            <w:tcBorders>
              <w:bottom w:val="single" w:sz="4" w:space="0" w:color="auto"/>
            </w:tcBorders>
          </w:tcPr>
          <w:p w14:paraId="62B95B12" w14:textId="77777777" w:rsidR="00251808" w:rsidRPr="00251808" w:rsidRDefault="00251808" w:rsidP="00EA7DE1">
            <w:pPr>
              <w:pStyle w:val="Compact"/>
              <w:jc w:val="center"/>
              <w:rPr>
                <w:rFonts w:cs="Times New Roman"/>
              </w:rPr>
            </w:pPr>
            <m:oMathPara>
              <m:oMath>
                <m:r>
                  <w:rPr>
                    <w:rFonts w:ascii="Cambria Math" w:hAnsi="Cambria Math" w:cs="Times New Roman"/>
                  </w:rPr>
                  <m:t>(0.8, 2.3)</m:t>
                </m:r>
              </m:oMath>
            </m:oMathPara>
          </w:p>
        </w:tc>
        <w:tc>
          <w:tcPr>
            <w:tcW w:w="250" w:type="dxa"/>
            <w:tcBorders>
              <w:bottom w:val="single" w:sz="4" w:space="0" w:color="auto"/>
            </w:tcBorders>
          </w:tcPr>
          <w:p w14:paraId="7BE7ACD5" w14:textId="77777777" w:rsidR="00251808" w:rsidRPr="00251808" w:rsidRDefault="00251808" w:rsidP="00EA7DE1">
            <w:pPr>
              <w:spacing w:after="0"/>
              <w:jc w:val="center"/>
              <w:rPr>
                <w:rFonts w:cs="Times New Roman"/>
              </w:rPr>
            </w:pPr>
          </w:p>
        </w:tc>
        <w:tc>
          <w:tcPr>
            <w:tcW w:w="436" w:type="dxa"/>
            <w:tcBorders>
              <w:bottom w:val="single" w:sz="4" w:space="0" w:color="auto"/>
            </w:tcBorders>
          </w:tcPr>
          <w:p w14:paraId="01DE6BC8" w14:textId="77777777" w:rsidR="00251808" w:rsidRPr="00251808" w:rsidRDefault="00251808" w:rsidP="00EA7DE1">
            <w:pPr>
              <w:pStyle w:val="Compact"/>
              <w:jc w:val="center"/>
              <w:rPr>
                <w:rFonts w:cs="Times New Roman"/>
              </w:rPr>
            </w:pPr>
            <m:oMathPara>
              <m:oMath>
                <m:r>
                  <w:rPr>
                    <w:rFonts w:ascii="Cambria Math" w:hAnsi="Cambria Math" w:cs="Times New Roman"/>
                  </w:rPr>
                  <m:t>38</m:t>
                </m:r>
              </m:oMath>
            </m:oMathPara>
          </w:p>
        </w:tc>
        <w:tc>
          <w:tcPr>
            <w:tcW w:w="576" w:type="dxa"/>
            <w:tcBorders>
              <w:bottom w:val="single" w:sz="4" w:space="0" w:color="auto"/>
            </w:tcBorders>
          </w:tcPr>
          <w:p w14:paraId="4CD989A2" w14:textId="77777777" w:rsidR="00251808" w:rsidRPr="00251808" w:rsidRDefault="00251808" w:rsidP="00EA7DE1">
            <w:pPr>
              <w:pStyle w:val="Compact"/>
              <w:jc w:val="center"/>
              <w:rPr>
                <w:rFonts w:cs="Times New Roman"/>
              </w:rPr>
            </w:pPr>
            <m:oMathPara>
              <m:oMath>
                <m:r>
                  <w:rPr>
                    <w:rFonts w:ascii="Cambria Math" w:hAnsi="Cambria Math" w:cs="Times New Roman"/>
                  </w:rPr>
                  <m:t>2.0</m:t>
                </m:r>
              </m:oMath>
            </m:oMathPara>
          </w:p>
        </w:tc>
        <w:tc>
          <w:tcPr>
            <w:tcW w:w="1440" w:type="dxa"/>
            <w:tcBorders>
              <w:bottom w:val="single" w:sz="4" w:space="0" w:color="auto"/>
            </w:tcBorders>
          </w:tcPr>
          <w:p w14:paraId="5081EB9D" w14:textId="77777777" w:rsidR="00251808" w:rsidRPr="00251808" w:rsidRDefault="00251808" w:rsidP="00EA7DE1">
            <w:pPr>
              <w:pStyle w:val="Compact"/>
              <w:jc w:val="center"/>
              <w:rPr>
                <w:rFonts w:cs="Times New Roman"/>
              </w:rPr>
            </w:pPr>
            <m:oMathPara>
              <m:oMath>
                <m:r>
                  <w:rPr>
                    <w:rFonts w:ascii="Cambria Math" w:hAnsi="Cambria Math" w:cs="Times New Roman"/>
                  </w:rPr>
                  <m:t>(1.2, 3.1)</m:t>
                </m:r>
              </m:oMath>
            </m:oMathPara>
          </w:p>
        </w:tc>
      </w:tr>
      <w:tr w:rsidR="00251808" w:rsidRPr="00251808" w14:paraId="4409BC82" w14:textId="77777777" w:rsidTr="006C2326">
        <w:trPr>
          <w:jc w:val="center"/>
        </w:trPr>
        <w:tc>
          <w:tcPr>
            <w:tcW w:w="6988" w:type="dxa"/>
            <w:gridSpan w:val="9"/>
            <w:tcBorders>
              <w:top w:val="single" w:sz="4" w:space="0" w:color="auto"/>
              <w:bottom w:val="single" w:sz="4" w:space="0" w:color="auto"/>
            </w:tcBorders>
          </w:tcPr>
          <w:p w14:paraId="51A1B781" w14:textId="77777777" w:rsidR="00251808" w:rsidRPr="00251808" w:rsidRDefault="00251808" w:rsidP="00EA7DE1">
            <w:pPr>
              <w:spacing w:after="0"/>
              <w:rPr>
                <w:rFonts w:cs="Times New Roman"/>
              </w:rPr>
            </w:pPr>
            <w:r w:rsidRPr="00251808">
              <w:rPr>
                <w:rFonts w:eastAsia="Cambria" w:cs="Times New Roman"/>
              </w:rPr>
              <w:t>Estimates were adjusted for race, plant, and calendar year of worker exit. Risk sets were indexed by time since worker exit. Women and those with unknown date of worker exit were excluded from this analysis.</w:t>
            </w:r>
          </w:p>
        </w:tc>
      </w:tr>
    </w:tbl>
    <w:p w14:paraId="211C9ADC" w14:textId="6C810317" w:rsidR="008B0A02" w:rsidRDefault="008B0A02" w:rsidP="00EA7DE1">
      <w:pPr>
        <w:spacing w:line="240" w:lineRule="auto"/>
        <w:rPr>
          <w:rFonts w:ascii="Times New Roman" w:hAnsi="Times New Roman" w:cs="Times New Roman"/>
          <w:b/>
          <w:sz w:val="24"/>
          <w:szCs w:val="24"/>
        </w:rPr>
      </w:pPr>
    </w:p>
    <w:p w14:paraId="2C607015" w14:textId="77777777" w:rsidR="008B0A02" w:rsidRDefault="008B0A02" w:rsidP="00EA7DE1">
      <w:pPr>
        <w:spacing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0AB8B0AC" w14:textId="5E376905" w:rsidR="008B0A02" w:rsidRDefault="008B0A02" w:rsidP="00EA7DE1">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Figure</w:t>
      </w:r>
      <w:r w:rsidRPr="00282E49">
        <w:rPr>
          <w:rFonts w:ascii="Times New Roman" w:hAnsi="Times New Roman" w:cs="Times New Roman"/>
          <w:b/>
          <w:sz w:val="24"/>
          <w:szCs w:val="24"/>
        </w:rPr>
        <w:t>s</w:t>
      </w:r>
    </w:p>
    <w:p w14:paraId="3787E718" w14:textId="77777777" w:rsidR="008B0A02" w:rsidRPr="0090465C" w:rsidRDefault="008B0A02" w:rsidP="00EA7DE1">
      <w:pPr>
        <w:pStyle w:val="ImageCaption"/>
        <w:rPr>
          <w:rFonts w:cs="Times New Roman"/>
        </w:rPr>
      </w:pPr>
      <w:r w:rsidRPr="0090465C">
        <w:rPr>
          <w:rFonts w:cs="Times New Roman"/>
          <w:b/>
        </w:rPr>
        <w:t>Figure 1.</w:t>
      </w:r>
      <w:r w:rsidRPr="0090465C">
        <w:rPr>
          <w:rFonts w:cs="Times New Roman"/>
        </w:rPr>
        <w:t xml:space="preserve"> Crude rate (per 10,000 person-years) of suicide by calendar year in the </w:t>
      </w:r>
      <w:r w:rsidRPr="0090465C">
        <w:rPr>
          <w:rFonts w:cs="Times New Roman"/>
          <w:b/>
        </w:rPr>
        <w:t>UAW-GM Cohort</w:t>
      </w:r>
      <w:r w:rsidRPr="0090465C">
        <w:rPr>
          <w:rFonts w:cs="Times New Roman"/>
        </w:rPr>
        <w:t xml:space="preserve"> restricted to men employed in or after 1970.</w:t>
      </w:r>
    </w:p>
    <w:p w14:paraId="73B96247" w14:textId="77777777" w:rsidR="008B0A02" w:rsidRPr="0090465C" w:rsidRDefault="008B0A02" w:rsidP="00EA7DE1">
      <w:pPr>
        <w:pStyle w:val="CaptionedFigure"/>
        <w:jc w:val="left"/>
        <w:rPr>
          <w:rFonts w:cs="Times New Roman"/>
        </w:rPr>
      </w:pPr>
      <w:r w:rsidRPr="0090465C">
        <w:rPr>
          <w:rFonts w:cs="Times New Roman"/>
          <w:noProof/>
          <w:lang w:eastAsia="zh-CN"/>
        </w:rPr>
        <w:drawing>
          <wp:inline distT="0" distB="0" distL="0" distR="0" wp14:anchorId="29FC207A" wp14:editId="4876A456">
            <wp:extent cx="5942272" cy="2523744"/>
            <wp:effectExtent l="0" t="0" r="0" b="0"/>
            <wp:docPr id="1" name="Picture" descr="Figure 1. Crude rate (per 10,000 person-years) of suicide by calendar year in the UAW-GM Cohort restricted to men employed in or after 1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kevchen/GM/reports/despair%20and%20job%20loss%20(Cox)/resources/images/crude_rate_suicide_by_calyear_by_status95_recent.png"/>
                    <pic:cNvPicPr>
                      <a:picLocks noChangeAspect="1" noChangeArrowheads="1"/>
                    </pic:cNvPicPr>
                  </pic:nvPicPr>
                  <pic:blipFill>
                    <a:blip r:embed="rId9"/>
                    <a:stretch>
                      <a:fillRect/>
                    </a:stretch>
                  </pic:blipFill>
                  <pic:spPr bwMode="auto">
                    <a:xfrm>
                      <a:off x="0" y="0"/>
                      <a:ext cx="5942272" cy="2523744"/>
                    </a:xfrm>
                    <a:prstGeom prst="rect">
                      <a:avLst/>
                    </a:prstGeom>
                    <a:noFill/>
                    <a:ln w="9525">
                      <a:noFill/>
                      <a:headEnd/>
                      <a:tailEnd/>
                    </a:ln>
                  </pic:spPr>
                </pic:pic>
              </a:graphicData>
            </a:graphic>
          </wp:inline>
        </w:drawing>
      </w:r>
    </w:p>
    <w:p w14:paraId="6E3790C6" w14:textId="77777777" w:rsidR="008B0A02" w:rsidRPr="0090465C" w:rsidRDefault="008B0A02" w:rsidP="00EA7DE1">
      <w:pPr>
        <w:pStyle w:val="ImageCaption"/>
        <w:rPr>
          <w:rFonts w:cs="Times New Roman"/>
        </w:rPr>
      </w:pPr>
      <w:r w:rsidRPr="0090465C">
        <w:rPr>
          <w:rFonts w:cs="Times New Roman"/>
          <w:b/>
        </w:rPr>
        <w:t>Figure 2.</w:t>
      </w:r>
      <w:r w:rsidRPr="0090465C">
        <w:rPr>
          <w:rFonts w:cs="Times New Roman"/>
        </w:rPr>
        <w:t xml:space="preserve"> Crude rate (per 10,000 person-years) of the combined outcome of suicide and fatal overdose by calendar year in the </w:t>
      </w:r>
      <w:r w:rsidRPr="0090465C">
        <w:rPr>
          <w:rFonts w:cs="Times New Roman"/>
          <w:b/>
        </w:rPr>
        <w:t>UAW-GM Cohort</w:t>
      </w:r>
      <w:r w:rsidRPr="0090465C">
        <w:rPr>
          <w:rFonts w:cs="Times New Roman"/>
        </w:rPr>
        <w:t xml:space="preserve"> restricted to men employed in or after 1970.</w:t>
      </w:r>
    </w:p>
    <w:p w14:paraId="56113091" w14:textId="02A23408" w:rsidR="00251808" w:rsidRPr="001E2D33" w:rsidRDefault="008B0A02" w:rsidP="00EA7DE1">
      <w:pPr>
        <w:pStyle w:val="CaptionedFigure"/>
        <w:rPr>
          <w:rFonts w:cs="Times New Roman"/>
        </w:rPr>
      </w:pPr>
      <w:r w:rsidRPr="0090465C">
        <w:rPr>
          <w:rFonts w:cs="Times New Roman"/>
          <w:noProof/>
          <w:lang w:eastAsia="zh-CN"/>
        </w:rPr>
        <w:drawing>
          <wp:inline distT="0" distB="0" distL="0" distR="0" wp14:anchorId="4B64149E" wp14:editId="5977DF3E">
            <wp:extent cx="5942272" cy="2523744"/>
            <wp:effectExtent l="0" t="0" r="0" b="0"/>
            <wp:docPr id="2" name="Picture" descr="Figure 2. Crude rate (per 10,000 person-years) of the combined outcome of suicide and fatal overdose by calendar year in the UAW-GM Cohort restricted to men employed in or after 1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kevchen/GM/reports/despair%20and%20job%20loss%20(Cox)/resources/images/crude_rate_despair_by_calyear_by_status95_recent.png"/>
                    <pic:cNvPicPr>
                      <a:picLocks noChangeAspect="1" noChangeArrowheads="1"/>
                    </pic:cNvPicPr>
                  </pic:nvPicPr>
                  <pic:blipFill>
                    <a:blip r:embed="rId10"/>
                    <a:stretch>
                      <a:fillRect/>
                    </a:stretch>
                  </pic:blipFill>
                  <pic:spPr bwMode="auto">
                    <a:xfrm>
                      <a:off x="0" y="0"/>
                      <a:ext cx="5942272" cy="2523744"/>
                    </a:xfrm>
                    <a:prstGeom prst="rect">
                      <a:avLst/>
                    </a:prstGeom>
                    <a:noFill/>
                    <a:ln w="9525">
                      <a:noFill/>
                      <a:headEnd/>
                      <a:tailEnd/>
                    </a:ln>
                  </pic:spPr>
                </pic:pic>
              </a:graphicData>
            </a:graphic>
          </wp:inline>
        </w:drawing>
      </w:r>
    </w:p>
    <w:sectPr w:rsidR="00251808" w:rsidRPr="001E2D33" w:rsidSect="00D9198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2BC7F5" w14:textId="77777777" w:rsidR="00D307AB" w:rsidRDefault="00D307AB" w:rsidP="000A6924">
      <w:pPr>
        <w:spacing w:after="0" w:line="240" w:lineRule="auto"/>
      </w:pPr>
      <w:r>
        <w:separator/>
      </w:r>
    </w:p>
  </w:endnote>
  <w:endnote w:type="continuationSeparator" w:id="0">
    <w:p w14:paraId="5A1A8525" w14:textId="77777777" w:rsidR="00D307AB" w:rsidRDefault="00D307AB" w:rsidP="000A6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KaiT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2597D7" w14:textId="77777777" w:rsidR="00D307AB" w:rsidRDefault="00D307AB" w:rsidP="000A6924">
      <w:pPr>
        <w:spacing w:after="0" w:line="240" w:lineRule="auto"/>
      </w:pPr>
      <w:r>
        <w:separator/>
      </w:r>
    </w:p>
  </w:footnote>
  <w:footnote w:type="continuationSeparator" w:id="0">
    <w:p w14:paraId="4E450159" w14:textId="77777777" w:rsidR="00D307AB" w:rsidRDefault="00D307AB" w:rsidP="000A69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40333" w14:textId="7DA3F763" w:rsidR="000A6924" w:rsidRDefault="000A6924" w:rsidP="00B6436D">
    <w:pPr>
      <w:spacing w:before="100" w:beforeAutospacing="1" w:after="100" w:afterAutospacing="1"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31902"/>
    <w:multiLevelType w:val="multilevel"/>
    <w:tmpl w:val="1F869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716750BD"/>
    <w:multiLevelType w:val="hybridMultilevel"/>
    <w:tmpl w:val="474CA510"/>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088"/>
    <w:rsid w:val="0000619D"/>
    <w:rsid w:val="00010C9B"/>
    <w:rsid w:val="00015755"/>
    <w:rsid w:val="0001713C"/>
    <w:rsid w:val="0002099C"/>
    <w:rsid w:val="00021F46"/>
    <w:rsid w:val="000222C9"/>
    <w:rsid w:val="00025414"/>
    <w:rsid w:val="0002665D"/>
    <w:rsid w:val="000329D3"/>
    <w:rsid w:val="00032FAD"/>
    <w:rsid w:val="00041E48"/>
    <w:rsid w:val="00045ACB"/>
    <w:rsid w:val="000462F6"/>
    <w:rsid w:val="00050DC7"/>
    <w:rsid w:val="0006212C"/>
    <w:rsid w:val="00064220"/>
    <w:rsid w:val="00064DF8"/>
    <w:rsid w:val="00070B99"/>
    <w:rsid w:val="00071238"/>
    <w:rsid w:val="00075BFE"/>
    <w:rsid w:val="00076046"/>
    <w:rsid w:val="000762B9"/>
    <w:rsid w:val="000814CC"/>
    <w:rsid w:val="00086504"/>
    <w:rsid w:val="000903DC"/>
    <w:rsid w:val="000A0FD5"/>
    <w:rsid w:val="000A0FDB"/>
    <w:rsid w:val="000A1BA3"/>
    <w:rsid w:val="000A2405"/>
    <w:rsid w:val="000A4EAF"/>
    <w:rsid w:val="000A5649"/>
    <w:rsid w:val="000A6924"/>
    <w:rsid w:val="000A71A0"/>
    <w:rsid w:val="000B18D0"/>
    <w:rsid w:val="000B4A28"/>
    <w:rsid w:val="000B4E98"/>
    <w:rsid w:val="000B533B"/>
    <w:rsid w:val="000C1B21"/>
    <w:rsid w:val="000C58D4"/>
    <w:rsid w:val="000C72CF"/>
    <w:rsid w:val="000C7F75"/>
    <w:rsid w:val="000D6B75"/>
    <w:rsid w:val="000E1C98"/>
    <w:rsid w:val="000E2199"/>
    <w:rsid w:val="000E49E2"/>
    <w:rsid w:val="000E6368"/>
    <w:rsid w:val="000E6637"/>
    <w:rsid w:val="000E6ED0"/>
    <w:rsid w:val="000F3DEA"/>
    <w:rsid w:val="000F4C3F"/>
    <w:rsid w:val="000F553A"/>
    <w:rsid w:val="000F7A9C"/>
    <w:rsid w:val="00101D8B"/>
    <w:rsid w:val="001030AA"/>
    <w:rsid w:val="001032EF"/>
    <w:rsid w:val="00106236"/>
    <w:rsid w:val="00107671"/>
    <w:rsid w:val="0011243E"/>
    <w:rsid w:val="0011524A"/>
    <w:rsid w:val="00120423"/>
    <w:rsid w:val="001257ED"/>
    <w:rsid w:val="00127495"/>
    <w:rsid w:val="0013249B"/>
    <w:rsid w:val="0013329F"/>
    <w:rsid w:val="00134A3F"/>
    <w:rsid w:val="00141318"/>
    <w:rsid w:val="00142462"/>
    <w:rsid w:val="001446AB"/>
    <w:rsid w:val="00147548"/>
    <w:rsid w:val="00152F8C"/>
    <w:rsid w:val="0016524D"/>
    <w:rsid w:val="00167292"/>
    <w:rsid w:val="00176FFF"/>
    <w:rsid w:val="00180B84"/>
    <w:rsid w:val="00182CD7"/>
    <w:rsid w:val="00182E98"/>
    <w:rsid w:val="0018754A"/>
    <w:rsid w:val="00187EC6"/>
    <w:rsid w:val="00190ABA"/>
    <w:rsid w:val="001938DA"/>
    <w:rsid w:val="00194011"/>
    <w:rsid w:val="0019710B"/>
    <w:rsid w:val="001A05A3"/>
    <w:rsid w:val="001A29C2"/>
    <w:rsid w:val="001A7920"/>
    <w:rsid w:val="001B1008"/>
    <w:rsid w:val="001B3833"/>
    <w:rsid w:val="001C327A"/>
    <w:rsid w:val="001D0F43"/>
    <w:rsid w:val="001D36FC"/>
    <w:rsid w:val="001E0765"/>
    <w:rsid w:val="001E180E"/>
    <w:rsid w:val="001E2D33"/>
    <w:rsid w:val="001E35A2"/>
    <w:rsid w:val="001E430F"/>
    <w:rsid w:val="001E52BD"/>
    <w:rsid w:val="001E5CD9"/>
    <w:rsid w:val="001E6E11"/>
    <w:rsid w:val="001E70C8"/>
    <w:rsid w:val="001F307F"/>
    <w:rsid w:val="001F7A5F"/>
    <w:rsid w:val="00207467"/>
    <w:rsid w:val="00211944"/>
    <w:rsid w:val="00215B93"/>
    <w:rsid w:val="00216801"/>
    <w:rsid w:val="00220130"/>
    <w:rsid w:val="00246195"/>
    <w:rsid w:val="00247289"/>
    <w:rsid w:val="00250CEC"/>
    <w:rsid w:val="00251808"/>
    <w:rsid w:val="00253AF0"/>
    <w:rsid w:val="00254AF3"/>
    <w:rsid w:val="00254C65"/>
    <w:rsid w:val="00256DBC"/>
    <w:rsid w:val="00264D38"/>
    <w:rsid w:val="002663D9"/>
    <w:rsid w:val="0027080A"/>
    <w:rsid w:val="00270878"/>
    <w:rsid w:val="00274342"/>
    <w:rsid w:val="00280E30"/>
    <w:rsid w:val="00282C03"/>
    <w:rsid w:val="00282E49"/>
    <w:rsid w:val="0028726B"/>
    <w:rsid w:val="00290642"/>
    <w:rsid w:val="00290B6A"/>
    <w:rsid w:val="00293F74"/>
    <w:rsid w:val="00296076"/>
    <w:rsid w:val="002A349C"/>
    <w:rsid w:val="002A5C23"/>
    <w:rsid w:val="002A74A3"/>
    <w:rsid w:val="002B251A"/>
    <w:rsid w:val="002C4F7E"/>
    <w:rsid w:val="002D1BE5"/>
    <w:rsid w:val="002D59D7"/>
    <w:rsid w:val="002E01FC"/>
    <w:rsid w:val="002E0F37"/>
    <w:rsid w:val="002E7979"/>
    <w:rsid w:val="002F2773"/>
    <w:rsid w:val="002F2F52"/>
    <w:rsid w:val="002F4C35"/>
    <w:rsid w:val="00302CCC"/>
    <w:rsid w:val="00306FE7"/>
    <w:rsid w:val="003118D7"/>
    <w:rsid w:val="00311E8A"/>
    <w:rsid w:val="00314ED3"/>
    <w:rsid w:val="00315A23"/>
    <w:rsid w:val="00316182"/>
    <w:rsid w:val="0032043C"/>
    <w:rsid w:val="00320604"/>
    <w:rsid w:val="003256EF"/>
    <w:rsid w:val="00325F93"/>
    <w:rsid w:val="00335161"/>
    <w:rsid w:val="003363A7"/>
    <w:rsid w:val="00337373"/>
    <w:rsid w:val="00346BC9"/>
    <w:rsid w:val="003473FC"/>
    <w:rsid w:val="003555E8"/>
    <w:rsid w:val="00360BB5"/>
    <w:rsid w:val="0036299A"/>
    <w:rsid w:val="00381340"/>
    <w:rsid w:val="00382587"/>
    <w:rsid w:val="00382C11"/>
    <w:rsid w:val="003834EA"/>
    <w:rsid w:val="00384EFE"/>
    <w:rsid w:val="00385DCC"/>
    <w:rsid w:val="00386931"/>
    <w:rsid w:val="003871DA"/>
    <w:rsid w:val="00390142"/>
    <w:rsid w:val="00394871"/>
    <w:rsid w:val="0039723C"/>
    <w:rsid w:val="003A10D4"/>
    <w:rsid w:val="003A374A"/>
    <w:rsid w:val="003B1E6C"/>
    <w:rsid w:val="003B7883"/>
    <w:rsid w:val="003C00F3"/>
    <w:rsid w:val="003C1356"/>
    <w:rsid w:val="003D0DFC"/>
    <w:rsid w:val="003E1D5B"/>
    <w:rsid w:val="003E3A0B"/>
    <w:rsid w:val="003E501C"/>
    <w:rsid w:val="003E7790"/>
    <w:rsid w:val="003E7A68"/>
    <w:rsid w:val="003F1B56"/>
    <w:rsid w:val="003F68CE"/>
    <w:rsid w:val="004067D0"/>
    <w:rsid w:val="00417702"/>
    <w:rsid w:val="00417E81"/>
    <w:rsid w:val="0042189E"/>
    <w:rsid w:val="00421AEF"/>
    <w:rsid w:val="00425268"/>
    <w:rsid w:val="0043196F"/>
    <w:rsid w:val="004349AC"/>
    <w:rsid w:val="00434A30"/>
    <w:rsid w:val="004410E3"/>
    <w:rsid w:val="00442AE9"/>
    <w:rsid w:val="00442B3C"/>
    <w:rsid w:val="00446359"/>
    <w:rsid w:val="00451E8B"/>
    <w:rsid w:val="004537D4"/>
    <w:rsid w:val="004565B4"/>
    <w:rsid w:val="004600A2"/>
    <w:rsid w:val="00460B6D"/>
    <w:rsid w:val="00462893"/>
    <w:rsid w:val="004642A5"/>
    <w:rsid w:val="00485D51"/>
    <w:rsid w:val="004930DB"/>
    <w:rsid w:val="00494D0A"/>
    <w:rsid w:val="00495E27"/>
    <w:rsid w:val="00496B44"/>
    <w:rsid w:val="004A1BA3"/>
    <w:rsid w:val="004A2435"/>
    <w:rsid w:val="004A60C0"/>
    <w:rsid w:val="004B6FBF"/>
    <w:rsid w:val="004B7868"/>
    <w:rsid w:val="004C3E81"/>
    <w:rsid w:val="004D230F"/>
    <w:rsid w:val="004D2324"/>
    <w:rsid w:val="004D2E5C"/>
    <w:rsid w:val="004D39E4"/>
    <w:rsid w:val="004D7B7E"/>
    <w:rsid w:val="004E0488"/>
    <w:rsid w:val="004E1144"/>
    <w:rsid w:val="004E6074"/>
    <w:rsid w:val="004E664F"/>
    <w:rsid w:val="004F0CED"/>
    <w:rsid w:val="004F4F57"/>
    <w:rsid w:val="00506EA9"/>
    <w:rsid w:val="00513AF7"/>
    <w:rsid w:val="0051562E"/>
    <w:rsid w:val="00516420"/>
    <w:rsid w:val="005216AC"/>
    <w:rsid w:val="00522119"/>
    <w:rsid w:val="00526B34"/>
    <w:rsid w:val="005302AD"/>
    <w:rsid w:val="00534AF2"/>
    <w:rsid w:val="00543E98"/>
    <w:rsid w:val="005458EB"/>
    <w:rsid w:val="00547E54"/>
    <w:rsid w:val="00561533"/>
    <w:rsid w:val="0057067D"/>
    <w:rsid w:val="00571B66"/>
    <w:rsid w:val="00591688"/>
    <w:rsid w:val="0059306B"/>
    <w:rsid w:val="00595574"/>
    <w:rsid w:val="0059690E"/>
    <w:rsid w:val="005A42CA"/>
    <w:rsid w:val="005B03C4"/>
    <w:rsid w:val="005B164F"/>
    <w:rsid w:val="005B305D"/>
    <w:rsid w:val="005B456D"/>
    <w:rsid w:val="005C0DE2"/>
    <w:rsid w:val="005C5677"/>
    <w:rsid w:val="005D3189"/>
    <w:rsid w:val="005D4044"/>
    <w:rsid w:val="005F2CE2"/>
    <w:rsid w:val="005F2DAA"/>
    <w:rsid w:val="005F3835"/>
    <w:rsid w:val="005F4628"/>
    <w:rsid w:val="00600953"/>
    <w:rsid w:val="00603656"/>
    <w:rsid w:val="006119D0"/>
    <w:rsid w:val="00612BE0"/>
    <w:rsid w:val="00614DC5"/>
    <w:rsid w:val="0062040E"/>
    <w:rsid w:val="00621CBA"/>
    <w:rsid w:val="00623637"/>
    <w:rsid w:val="006250DE"/>
    <w:rsid w:val="0062527E"/>
    <w:rsid w:val="006273B1"/>
    <w:rsid w:val="006341D4"/>
    <w:rsid w:val="006401A9"/>
    <w:rsid w:val="006407ED"/>
    <w:rsid w:val="0064304F"/>
    <w:rsid w:val="00644778"/>
    <w:rsid w:val="006460AD"/>
    <w:rsid w:val="00651EC2"/>
    <w:rsid w:val="0065424B"/>
    <w:rsid w:val="006552BC"/>
    <w:rsid w:val="0066053B"/>
    <w:rsid w:val="006613D9"/>
    <w:rsid w:val="00666F17"/>
    <w:rsid w:val="0067565A"/>
    <w:rsid w:val="006815C8"/>
    <w:rsid w:val="006917EB"/>
    <w:rsid w:val="00695ADA"/>
    <w:rsid w:val="00695E44"/>
    <w:rsid w:val="006A288E"/>
    <w:rsid w:val="006A2D8E"/>
    <w:rsid w:val="006A2E51"/>
    <w:rsid w:val="006A3C7A"/>
    <w:rsid w:val="006A75B5"/>
    <w:rsid w:val="006B0751"/>
    <w:rsid w:val="006B403C"/>
    <w:rsid w:val="006B427A"/>
    <w:rsid w:val="006B5272"/>
    <w:rsid w:val="006B5813"/>
    <w:rsid w:val="006B704B"/>
    <w:rsid w:val="006C2841"/>
    <w:rsid w:val="006C324A"/>
    <w:rsid w:val="006C739B"/>
    <w:rsid w:val="006D2237"/>
    <w:rsid w:val="006D2F0F"/>
    <w:rsid w:val="006E3EE3"/>
    <w:rsid w:val="006E3F01"/>
    <w:rsid w:val="006F2226"/>
    <w:rsid w:val="006F42BB"/>
    <w:rsid w:val="00701A94"/>
    <w:rsid w:val="00702863"/>
    <w:rsid w:val="00702D92"/>
    <w:rsid w:val="00704475"/>
    <w:rsid w:val="00705DCA"/>
    <w:rsid w:val="00710AC0"/>
    <w:rsid w:val="00711B09"/>
    <w:rsid w:val="00711C47"/>
    <w:rsid w:val="007132E0"/>
    <w:rsid w:val="00714D5A"/>
    <w:rsid w:val="00724EF7"/>
    <w:rsid w:val="007309D0"/>
    <w:rsid w:val="007342B3"/>
    <w:rsid w:val="00737EC7"/>
    <w:rsid w:val="007449F5"/>
    <w:rsid w:val="00744DDA"/>
    <w:rsid w:val="00746093"/>
    <w:rsid w:val="00746F33"/>
    <w:rsid w:val="00751701"/>
    <w:rsid w:val="007551EB"/>
    <w:rsid w:val="00756738"/>
    <w:rsid w:val="00762BA5"/>
    <w:rsid w:val="00764CCD"/>
    <w:rsid w:val="00766207"/>
    <w:rsid w:val="00767EC4"/>
    <w:rsid w:val="00782E17"/>
    <w:rsid w:val="007857E0"/>
    <w:rsid w:val="00790D2D"/>
    <w:rsid w:val="00793F11"/>
    <w:rsid w:val="0079485E"/>
    <w:rsid w:val="007A3929"/>
    <w:rsid w:val="007A6E44"/>
    <w:rsid w:val="007A79B1"/>
    <w:rsid w:val="007B02C0"/>
    <w:rsid w:val="007B2D8A"/>
    <w:rsid w:val="007B2E74"/>
    <w:rsid w:val="007B6B85"/>
    <w:rsid w:val="007C19CF"/>
    <w:rsid w:val="007C27B2"/>
    <w:rsid w:val="007C2BD6"/>
    <w:rsid w:val="007C305D"/>
    <w:rsid w:val="007C544C"/>
    <w:rsid w:val="007D4C1E"/>
    <w:rsid w:val="007E1541"/>
    <w:rsid w:val="007E23CD"/>
    <w:rsid w:val="007E3F45"/>
    <w:rsid w:val="007E5DF3"/>
    <w:rsid w:val="007E6BEB"/>
    <w:rsid w:val="007F4D50"/>
    <w:rsid w:val="007F4F03"/>
    <w:rsid w:val="00800375"/>
    <w:rsid w:val="00811F8A"/>
    <w:rsid w:val="00817045"/>
    <w:rsid w:val="00820F81"/>
    <w:rsid w:val="00823660"/>
    <w:rsid w:val="00826474"/>
    <w:rsid w:val="0083660D"/>
    <w:rsid w:val="00840AF6"/>
    <w:rsid w:val="0084639F"/>
    <w:rsid w:val="00846452"/>
    <w:rsid w:val="0085219C"/>
    <w:rsid w:val="00852E34"/>
    <w:rsid w:val="00867D50"/>
    <w:rsid w:val="008806B7"/>
    <w:rsid w:val="00884547"/>
    <w:rsid w:val="008854BE"/>
    <w:rsid w:val="00886708"/>
    <w:rsid w:val="008873FF"/>
    <w:rsid w:val="00896419"/>
    <w:rsid w:val="008A17F3"/>
    <w:rsid w:val="008A5507"/>
    <w:rsid w:val="008A5DD2"/>
    <w:rsid w:val="008A74B1"/>
    <w:rsid w:val="008B0A02"/>
    <w:rsid w:val="008B2D63"/>
    <w:rsid w:val="008B431A"/>
    <w:rsid w:val="008B5511"/>
    <w:rsid w:val="008C2534"/>
    <w:rsid w:val="008C2C52"/>
    <w:rsid w:val="008C4F18"/>
    <w:rsid w:val="008D2725"/>
    <w:rsid w:val="008D7671"/>
    <w:rsid w:val="008D7A25"/>
    <w:rsid w:val="008E167C"/>
    <w:rsid w:val="008E3922"/>
    <w:rsid w:val="008E5D41"/>
    <w:rsid w:val="008E5E89"/>
    <w:rsid w:val="008F20BC"/>
    <w:rsid w:val="00900166"/>
    <w:rsid w:val="00907A0D"/>
    <w:rsid w:val="00907F96"/>
    <w:rsid w:val="0091373E"/>
    <w:rsid w:val="009178E3"/>
    <w:rsid w:val="00923590"/>
    <w:rsid w:val="009264F9"/>
    <w:rsid w:val="00927F00"/>
    <w:rsid w:val="00931FEE"/>
    <w:rsid w:val="0093378C"/>
    <w:rsid w:val="00934208"/>
    <w:rsid w:val="009345E3"/>
    <w:rsid w:val="00936F3A"/>
    <w:rsid w:val="00937B97"/>
    <w:rsid w:val="00941F40"/>
    <w:rsid w:val="009515DB"/>
    <w:rsid w:val="00953306"/>
    <w:rsid w:val="00957112"/>
    <w:rsid w:val="00960077"/>
    <w:rsid w:val="00962E1F"/>
    <w:rsid w:val="0096470A"/>
    <w:rsid w:val="00967227"/>
    <w:rsid w:val="00972D75"/>
    <w:rsid w:val="00982F7A"/>
    <w:rsid w:val="0098596C"/>
    <w:rsid w:val="00987A57"/>
    <w:rsid w:val="00991B78"/>
    <w:rsid w:val="009A6043"/>
    <w:rsid w:val="009A6B98"/>
    <w:rsid w:val="009B0492"/>
    <w:rsid w:val="009B3C63"/>
    <w:rsid w:val="009B4AA7"/>
    <w:rsid w:val="009C38C4"/>
    <w:rsid w:val="009C5706"/>
    <w:rsid w:val="009E161F"/>
    <w:rsid w:val="009E405C"/>
    <w:rsid w:val="009E4F48"/>
    <w:rsid w:val="009E630D"/>
    <w:rsid w:val="009F74EE"/>
    <w:rsid w:val="00A02181"/>
    <w:rsid w:val="00A06C0B"/>
    <w:rsid w:val="00A11090"/>
    <w:rsid w:val="00A17A9D"/>
    <w:rsid w:val="00A300C3"/>
    <w:rsid w:val="00A3310C"/>
    <w:rsid w:val="00A35707"/>
    <w:rsid w:val="00A36EDB"/>
    <w:rsid w:val="00A402B9"/>
    <w:rsid w:val="00A404F0"/>
    <w:rsid w:val="00A41B55"/>
    <w:rsid w:val="00A43CED"/>
    <w:rsid w:val="00A57CDE"/>
    <w:rsid w:val="00A60861"/>
    <w:rsid w:val="00A651B0"/>
    <w:rsid w:val="00A658E7"/>
    <w:rsid w:val="00A72FDB"/>
    <w:rsid w:val="00A740B5"/>
    <w:rsid w:val="00A74B8D"/>
    <w:rsid w:val="00A82228"/>
    <w:rsid w:val="00A85114"/>
    <w:rsid w:val="00A85347"/>
    <w:rsid w:val="00A87B61"/>
    <w:rsid w:val="00A91FDA"/>
    <w:rsid w:val="00A92DB3"/>
    <w:rsid w:val="00A95100"/>
    <w:rsid w:val="00AA43A1"/>
    <w:rsid w:val="00AA7A21"/>
    <w:rsid w:val="00AB08AF"/>
    <w:rsid w:val="00AB6C5D"/>
    <w:rsid w:val="00AC33AE"/>
    <w:rsid w:val="00AC5891"/>
    <w:rsid w:val="00AC6105"/>
    <w:rsid w:val="00AC65D1"/>
    <w:rsid w:val="00AE17A6"/>
    <w:rsid w:val="00AE40B1"/>
    <w:rsid w:val="00AF0FFE"/>
    <w:rsid w:val="00AF649F"/>
    <w:rsid w:val="00AF6643"/>
    <w:rsid w:val="00AF6E48"/>
    <w:rsid w:val="00B0147B"/>
    <w:rsid w:val="00B07DBA"/>
    <w:rsid w:val="00B135EE"/>
    <w:rsid w:val="00B13918"/>
    <w:rsid w:val="00B13C77"/>
    <w:rsid w:val="00B208FC"/>
    <w:rsid w:val="00B21EEA"/>
    <w:rsid w:val="00B24B88"/>
    <w:rsid w:val="00B27AE3"/>
    <w:rsid w:val="00B27B4C"/>
    <w:rsid w:val="00B32DBF"/>
    <w:rsid w:val="00B342DD"/>
    <w:rsid w:val="00B34F6F"/>
    <w:rsid w:val="00B37C58"/>
    <w:rsid w:val="00B41380"/>
    <w:rsid w:val="00B4177C"/>
    <w:rsid w:val="00B426C9"/>
    <w:rsid w:val="00B42B76"/>
    <w:rsid w:val="00B44D68"/>
    <w:rsid w:val="00B462F2"/>
    <w:rsid w:val="00B46630"/>
    <w:rsid w:val="00B46D34"/>
    <w:rsid w:val="00B50F64"/>
    <w:rsid w:val="00B5677D"/>
    <w:rsid w:val="00B6088F"/>
    <w:rsid w:val="00B61B55"/>
    <w:rsid w:val="00B63537"/>
    <w:rsid w:val="00B6436D"/>
    <w:rsid w:val="00B70913"/>
    <w:rsid w:val="00B74C4A"/>
    <w:rsid w:val="00B76367"/>
    <w:rsid w:val="00B766FA"/>
    <w:rsid w:val="00B81089"/>
    <w:rsid w:val="00B82D6E"/>
    <w:rsid w:val="00B83466"/>
    <w:rsid w:val="00B9151F"/>
    <w:rsid w:val="00B94C8A"/>
    <w:rsid w:val="00B94CC5"/>
    <w:rsid w:val="00BA0A7F"/>
    <w:rsid w:val="00BA7C71"/>
    <w:rsid w:val="00BB0938"/>
    <w:rsid w:val="00BB1453"/>
    <w:rsid w:val="00BB4D8E"/>
    <w:rsid w:val="00BB65A0"/>
    <w:rsid w:val="00BC2012"/>
    <w:rsid w:val="00BC3C6C"/>
    <w:rsid w:val="00BD23A3"/>
    <w:rsid w:val="00BD4070"/>
    <w:rsid w:val="00BD4FD5"/>
    <w:rsid w:val="00BE2C41"/>
    <w:rsid w:val="00BF3281"/>
    <w:rsid w:val="00BF3633"/>
    <w:rsid w:val="00BF4867"/>
    <w:rsid w:val="00C03D40"/>
    <w:rsid w:val="00C05FA0"/>
    <w:rsid w:val="00C10777"/>
    <w:rsid w:val="00C12B84"/>
    <w:rsid w:val="00C138C0"/>
    <w:rsid w:val="00C148B8"/>
    <w:rsid w:val="00C16C2D"/>
    <w:rsid w:val="00C226A3"/>
    <w:rsid w:val="00C2368F"/>
    <w:rsid w:val="00C30635"/>
    <w:rsid w:val="00C30722"/>
    <w:rsid w:val="00C40B7D"/>
    <w:rsid w:val="00C4140A"/>
    <w:rsid w:val="00C51FE1"/>
    <w:rsid w:val="00C51FFE"/>
    <w:rsid w:val="00C5723E"/>
    <w:rsid w:val="00C60488"/>
    <w:rsid w:val="00C6505A"/>
    <w:rsid w:val="00C67679"/>
    <w:rsid w:val="00C70007"/>
    <w:rsid w:val="00C70EBE"/>
    <w:rsid w:val="00C7180C"/>
    <w:rsid w:val="00C72A7A"/>
    <w:rsid w:val="00C7781F"/>
    <w:rsid w:val="00C77AF2"/>
    <w:rsid w:val="00C81FAC"/>
    <w:rsid w:val="00C82D4D"/>
    <w:rsid w:val="00C85640"/>
    <w:rsid w:val="00C908EE"/>
    <w:rsid w:val="00C9542F"/>
    <w:rsid w:val="00CA0395"/>
    <w:rsid w:val="00CA24F0"/>
    <w:rsid w:val="00CA316D"/>
    <w:rsid w:val="00CB447E"/>
    <w:rsid w:val="00CB7898"/>
    <w:rsid w:val="00CC087C"/>
    <w:rsid w:val="00CC3A81"/>
    <w:rsid w:val="00CC4F8C"/>
    <w:rsid w:val="00CC57D3"/>
    <w:rsid w:val="00CD7CC6"/>
    <w:rsid w:val="00CE0FD2"/>
    <w:rsid w:val="00CE5319"/>
    <w:rsid w:val="00CF126B"/>
    <w:rsid w:val="00CF4595"/>
    <w:rsid w:val="00CF4784"/>
    <w:rsid w:val="00CF4FAE"/>
    <w:rsid w:val="00CF7600"/>
    <w:rsid w:val="00D03697"/>
    <w:rsid w:val="00D07085"/>
    <w:rsid w:val="00D11054"/>
    <w:rsid w:val="00D14B8C"/>
    <w:rsid w:val="00D15282"/>
    <w:rsid w:val="00D20249"/>
    <w:rsid w:val="00D214A3"/>
    <w:rsid w:val="00D21B78"/>
    <w:rsid w:val="00D21F70"/>
    <w:rsid w:val="00D2311A"/>
    <w:rsid w:val="00D23A2B"/>
    <w:rsid w:val="00D27EE1"/>
    <w:rsid w:val="00D30392"/>
    <w:rsid w:val="00D307AB"/>
    <w:rsid w:val="00D31043"/>
    <w:rsid w:val="00D3402E"/>
    <w:rsid w:val="00D4141A"/>
    <w:rsid w:val="00D468BD"/>
    <w:rsid w:val="00D5012B"/>
    <w:rsid w:val="00D50EF9"/>
    <w:rsid w:val="00D5461C"/>
    <w:rsid w:val="00D5534F"/>
    <w:rsid w:val="00D61004"/>
    <w:rsid w:val="00D6254A"/>
    <w:rsid w:val="00D63A4C"/>
    <w:rsid w:val="00D649A3"/>
    <w:rsid w:val="00D82372"/>
    <w:rsid w:val="00D84597"/>
    <w:rsid w:val="00D8533C"/>
    <w:rsid w:val="00D87E86"/>
    <w:rsid w:val="00D902B7"/>
    <w:rsid w:val="00D911C5"/>
    <w:rsid w:val="00D91983"/>
    <w:rsid w:val="00D92509"/>
    <w:rsid w:val="00D95162"/>
    <w:rsid w:val="00D96030"/>
    <w:rsid w:val="00DA169B"/>
    <w:rsid w:val="00DA5B79"/>
    <w:rsid w:val="00DB6454"/>
    <w:rsid w:val="00DB7954"/>
    <w:rsid w:val="00DC2687"/>
    <w:rsid w:val="00DC3033"/>
    <w:rsid w:val="00DD04B0"/>
    <w:rsid w:val="00DE156E"/>
    <w:rsid w:val="00DE37E2"/>
    <w:rsid w:val="00DE4F4B"/>
    <w:rsid w:val="00DF04DB"/>
    <w:rsid w:val="00DF2B9F"/>
    <w:rsid w:val="00DF59C6"/>
    <w:rsid w:val="00E00485"/>
    <w:rsid w:val="00E03101"/>
    <w:rsid w:val="00E03AE4"/>
    <w:rsid w:val="00E04262"/>
    <w:rsid w:val="00E16029"/>
    <w:rsid w:val="00E16B93"/>
    <w:rsid w:val="00E2147A"/>
    <w:rsid w:val="00E24F54"/>
    <w:rsid w:val="00E30C88"/>
    <w:rsid w:val="00E317A2"/>
    <w:rsid w:val="00E31E0B"/>
    <w:rsid w:val="00E31E2E"/>
    <w:rsid w:val="00E35037"/>
    <w:rsid w:val="00E35ACF"/>
    <w:rsid w:val="00E42297"/>
    <w:rsid w:val="00E46C62"/>
    <w:rsid w:val="00E472A0"/>
    <w:rsid w:val="00E47690"/>
    <w:rsid w:val="00E50F9F"/>
    <w:rsid w:val="00E55A65"/>
    <w:rsid w:val="00E6160F"/>
    <w:rsid w:val="00E67CFF"/>
    <w:rsid w:val="00E71F5B"/>
    <w:rsid w:val="00E7308A"/>
    <w:rsid w:val="00E75785"/>
    <w:rsid w:val="00E77C6B"/>
    <w:rsid w:val="00E84BEF"/>
    <w:rsid w:val="00E84D5C"/>
    <w:rsid w:val="00E876BE"/>
    <w:rsid w:val="00E91C15"/>
    <w:rsid w:val="00E97184"/>
    <w:rsid w:val="00EA0A17"/>
    <w:rsid w:val="00EA5239"/>
    <w:rsid w:val="00EA5665"/>
    <w:rsid w:val="00EA69AD"/>
    <w:rsid w:val="00EA7DE1"/>
    <w:rsid w:val="00EB19EA"/>
    <w:rsid w:val="00EB3114"/>
    <w:rsid w:val="00EB63D9"/>
    <w:rsid w:val="00EC508E"/>
    <w:rsid w:val="00ED041E"/>
    <w:rsid w:val="00ED22E7"/>
    <w:rsid w:val="00ED3CC3"/>
    <w:rsid w:val="00ED629D"/>
    <w:rsid w:val="00ED6DBA"/>
    <w:rsid w:val="00EE2088"/>
    <w:rsid w:val="00EE5049"/>
    <w:rsid w:val="00EF19CF"/>
    <w:rsid w:val="00F01FBD"/>
    <w:rsid w:val="00F0311E"/>
    <w:rsid w:val="00F06DB0"/>
    <w:rsid w:val="00F07390"/>
    <w:rsid w:val="00F15074"/>
    <w:rsid w:val="00F16255"/>
    <w:rsid w:val="00F16EA0"/>
    <w:rsid w:val="00F200BF"/>
    <w:rsid w:val="00F21427"/>
    <w:rsid w:val="00F214A2"/>
    <w:rsid w:val="00F22A1E"/>
    <w:rsid w:val="00F2385E"/>
    <w:rsid w:val="00F23A53"/>
    <w:rsid w:val="00F25E4B"/>
    <w:rsid w:val="00F26761"/>
    <w:rsid w:val="00F31F1B"/>
    <w:rsid w:val="00F32933"/>
    <w:rsid w:val="00F3314A"/>
    <w:rsid w:val="00F3531D"/>
    <w:rsid w:val="00F366BA"/>
    <w:rsid w:val="00F37D51"/>
    <w:rsid w:val="00F37ECF"/>
    <w:rsid w:val="00F44EBB"/>
    <w:rsid w:val="00F4513B"/>
    <w:rsid w:val="00F45E32"/>
    <w:rsid w:val="00F467B2"/>
    <w:rsid w:val="00F4689C"/>
    <w:rsid w:val="00F52243"/>
    <w:rsid w:val="00F54772"/>
    <w:rsid w:val="00F54FD5"/>
    <w:rsid w:val="00F56051"/>
    <w:rsid w:val="00F56D5B"/>
    <w:rsid w:val="00F6150F"/>
    <w:rsid w:val="00F61885"/>
    <w:rsid w:val="00F638E4"/>
    <w:rsid w:val="00F748E6"/>
    <w:rsid w:val="00F76BE2"/>
    <w:rsid w:val="00F871D8"/>
    <w:rsid w:val="00F92091"/>
    <w:rsid w:val="00F948B9"/>
    <w:rsid w:val="00F9529F"/>
    <w:rsid w:val="00F95A3D"/>
    <w:rsid w:val="00FA1B4C"/>
    <w:rsid w:val="00FA2ED1"/>
    <w:rsid w:val="00FA416E"/>
    <w:rsid w:val="00FA7184"/>
    <w:rsid w:val="00FB10BA"/>
    <w:rsid w:val="00FB243F"/>
    <w:rsid w:val="00FB6115"/>
    <w:rsid w:val="00FC1983"/>
    <w:rsid w:val="00FC1B21"/>
    <w:rsid w:val="00FC5011"/>
    <w:rsid w:val="00FC5207"/>
    <w:rsid w:val="00FD2D92"/>
    <w:rsid w:val="00FE7232"/>
    <w:rsid w:val="00FF2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468C9"/>
  <w15:chartTrackingRefBased/>
  <w15:docId w15:val="{BEA19290-E85A-42F3-9B71-1E67C697A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6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924"/>
  </w:style>
  <w:style w:type="paragraph" w:styleId="Footer">
    <w:name w:val="footer"/>
    <w:basedOn w:val="Normal"/>
    <w:link w:val="FooterChar"/>
    <w:uiPriority w:val="99"/>
    <w:unhideWhenUsed/>
    <w:rsid w:val="000A6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924"/>
  </w:style>
  <w:style w:type="character" w:styleId="CommentReference">
    <w:name w:val="annotation reference"/>
    <w:basedOn w:val="DefaultParagraphFont"/>
    <w:uiPriority w:val="99"/>
    <w:semiHidden/>
    <w:unhideWhenUsed/>
    <w:rsid w:val="00B342DD"/>
    <w:rPr>
      <w:sz w:val="16"/>
      <w:szCs w:val="16"/>
    </w:rPr>
  </w:style>
  <w:style w:type="paragraph" w:styleId="CommentText">
    <w:name w:val="annotation text"/>
    <w:basedOn w:val="Normal"/>
    <w:link w:val="CommentTextChar"/>
    <w:uiPriority w:val="99"/>
    <w:semiHidden/>
    <w:unhideWhenUsed/>
    <w:rsid w:val="00B342DD"/>
    <w:pPr>
      <w:spacing w:line="240" w:lineRule="auto"/>
    </w:pPr>
    <w:rPr>
      <w:sz w:val="20"/>
      <w:szCs w:val="20"/>
    </w:rPr>
  </w:style>
  <w:style w:type="character" w:customStyle="1" w:styleId="CommentTextChar">
    <w:name w:val="Comment Text Char"/>
    <w:basedOn w:val="DefaultParagraphFont"/>
    <w:link w:val="CommentText"/>
    <w:uiPriority w:val="99"/>
    <w:semiHidden/>
    <w:rsid w:val="00B342DD"/>
    <w:rPr>
      <w:sz w:val="20"/>
      <w:szCs w:val="20"/>
    </w:rPr>
  </w:style>
  <w:style w:type="paragraph" w:styleId="CommentSubject">
    <w:name w:val="annotation subject"/>
    <w:basedOn w:val="CommentText"/>
    <w:next w:val="CommentText"/>
    <w:link w:val="CommentSubjectChar"/>
    <w:uiPriority w:val="99"/>
    <w:semiHidden/>
    <w:unhideWhenUsed/>
    <w:rsid w:val="00B342DD"/>
    <w:rPr>
      <w:b/>
      <w:bCs/>
    </w:rPr>
  </w:style>
  <w:style w:type="character" w:customStyle="1" w:styleId="CommentSubjectChar">
    <w:name w:val="Comment Subject Char"/>
    <w:basedOn w:val="CommentTextChar"/>
    <w:link w:val="CommentSubject"/>
    <w:uiPriority w:val="99"/>
    <w:semiHidden/>
    <w:rsid w:val="00B342DD"/>
    <w:rPr>
      <w:b/>
      <w:bCs/>
      <w:sz w:val="20"/>
      <w:szCs w:val="20"/>
    </w:rPr>
  </w:style>
  <w:style w:type="paragraph" w:styleId="BalloonText">
    <w:name w:val="Balloon Text"/>
    <w:basedOn w:val="Normal"/>
    <w:link w:val="BalloonTextChar"/>
    <w:uiPriority w:val="99"/>
    <w:semiHidden/>
    <w:unhideWhenUsed/>
    <w:rsid w:val="00B342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42DD"/>
    <w:rPr>
      <w:rFonts w:ascii="Segoe UI" w:hAnsi="Segoe UI" w:cs="Segoe UI"/>
      <w:sz w:val="18"/>
      <w:szCs w:val="18"/>
    </w:rPr>
  </w:style>
  <w:style w:type="paragraph" w:styleId="ListParagraph">
    <w:name w:val="List Paragraph"/>
    <w:basedOn w:val="Normal"/>
    <w:uiPriority w:val="34"/>
    <w:qFormat/>
    <w:rsid w:val="00F25E4B"/>
    <w:pPr>
      <w:ind w:left="720"/>
      <w:contextualSpacing/>
    </w:pPr>
  </w:style>
  <w:style w:type="paragraph" w:styleId="FootnoteText">
    <w:name w:val="footnote text"/>
    <w:basedOn w:val="Normal"/>
    <w:link w:val="FootnoteTextChar"/>
    <w:uiPriority w:val="99"/>
    <w:semiHidden/>
    <w:unhideWhenUsed/>
    <w:rsid w:val="000B53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533B"/>
    <w:rPr>
      <w:sz w:val="20"/>
      <w:szCs w:val="20"/>
    </w:rPr>
  </w:style>
  <w:style w:type="character" w:styleId="FootnoteReference">
    <w:name w:val="footnote reference"/>
    <w:basedOn w:val="DefaultParagraphFont"/>
    <w:uiPriority w:val="99"/>
    <w:semiHidden/>
    <w:unhideWhenUsed/>
    <w:rsid w:val="000B533B"/>
    <w:rPr>
      <w:vertAlign w:val="superscript"/>
    </w:rPr>
  </w:style>
  <w:style w:type="character" w:styleId="Hyperlink">
    <w:name w:val="Hyperlink"/>
    <w:basedOn w:val="DefaultParagraphFont"/>
    <w:uiPriority w:val="99"/>
    <w:unhideWhenUsed/>
    <w:rsid w:val="00D21F70"/>
    <w:rPr>
      <w:color w:val="0000FF" w:themeColor="hyperlink"/>
      <w:u w:val="single"/>
    </w:rPr>
  </w:style>
  <w:style w:type="paragraph" w:customStyle="1" w:styleId="Compact">
    <w:name w:val="Compact"/>
    <w:basedOn w:val="BodyText"/>
    <w:qFormat/>
    <w:rsid w:val="00251808"/>
    <w:pPr>
      <w:spacing w:after="0" w:line="240" w:lineRule="auto"/>
    </w:pPr>
    <w:rPr>
      <w:rFonts w:ascii="Times New Roman" w:eastAsia="KaiTi" w:hAnsi="Times New Roman"/>
      <w:sz w:val="20"/>
      <w:szCs w:val="20"/>
    </w:rPr>
  </w:style>
  <w:style w:type="table" w:customStyle="1" w:styleId="Table">
    <w:name w:val="Table"/>
    <w:semiHidden/>
    <w:unhideWhenUsed/>
    <w:qFormat/>
    <w:rsid w:val="00251808"/>
    <w:pPr>
      <w:spacing w:line="240" w:lineRule="auto"/>
    </w:pPr>
    <w:rPr>
      <w:rFonts w:ascii="Times New Roman" w:eastAsia="KaiTi" w:hAnsi="Times New Roman"/>
      <w:sz w:val="20"/>
      <w:szCs w:val="20"/>
    </w:rPr>
    <w:tblPr>
      <w:tblInd w:w="0" w:type="dxa"/>
      <w:tblCellMar>
        <w:top w:w="0" w:type="dxa"/>
        <w:left w:w="108" w:type="dxa"/>
        <w:bottom w:w="0" w:type="dxa"/>
        <w:right w:w="108" w:type="dxa"/>
      </w:tblCellMar>
    </w:tblPr>
  </w:style>
  <w:style w:type="paragraph" w:customStyle="1" w:styleId="TableCaption">
    <w:name w:val="Table Caption"/>
    <w:basedOn w:val="Caption"/>
    <w:rsid w:val="00251808"/>
    <w:pPr>
      <w:keepNext/>
      <w:spacing w:before="100" w:beforeAutospacing="1" w:after="120" w:afterAutospacing="1"/>
    </w:pPr>
    <w:rPr>
      <w:rFonts w:ascii="Times New Roman" w:eastAsia="KaiTi" w:hAnsi="Times New Roman"/>
      <w:i w:val="0"/>
      <w:iCs w:val="0"/>
      <w:color w:val="auto"/>
      <w:sz w:val="20"/>
      <w:szCs w:val="20"/>
    </w:rPr>
  </w:style>
  <w:style w:type="paragraph" w:styleId="BodyText">
    <w:name w:val="Body Text"/>
    <w:basedOn w:val="Normal"/>
    <w:link w:val="BodyTextChar"/>
    <w:uiPriority w:val="99"/>
    <w:semiHidden/>
    <w:unhideWhenUsed/>
    <w:rsid w:val="00251808"/>
    <w:pPr>
      <w:spacing w:after="120"/>
    </w:pPr>
  </w:style>
  <w:style w:type="character" w:customStyle="1" w:styleId="BodyTextChar">
    <w:name w:val="Body Text Char"/>
    <w:basedOn w:val="DefaultParagraphFont"/>
    <w:link w:val="BodyText"/>
    <w:uiPriority w:val="99"/>
    <w:semiHidden/>
    <w:rsid w:val="00251808"/>
  </w:style>
  <w:style w:type="paragraph" w:styleId="Caption">
    <w:name w:val="caption"/>
    <w:basedOn w:val="Normal"/>
    <w:next w:val="Normal"/>
    <w:uiPriority w:val="35"/>
    <w:semiHidden/>
    <w:unhideWhenUsed/>
    <w:qFormat/>
    <w:rsid w:val="00251808"/>
    <w:pPr>
      <w:spacing w:line="240" w:lineRule="auto"/>
    </w:pPr>
    <w:rPr>
      <w:i/>
      <w:iCs/>
      <w:color w:val="1F497D" w:themeColor="text2"/>
      <w:sz w:val="18"/>
      <w:szCs w:val="18"/>
    </w:rPr>
  </w:style>
  <w:style w:type="paragraph" w:customStyle="1" w:styleId="ImageCaption">
    <w:name w:val="Image Caption"/>
    <w:basedOn w:val="Caption"/>
    <w:rsid w:val="008B0A02"/>
    <w:pPr>
      <w:spacing w:before="100" w:beforeAutospacing="1" w:after="120" w:afterAutospacing="1"/>
    </w:pPr>
    <w:rPr>
      <w:rFonts w:ascii="Times New Roman" w:eastAsia="KaiTi" w:hAnsi="Times New Roman"/>
      <w:i w:val="0"/>
      <w:iCs w:val="0"/>
      <w:color w:val="auto"/>
      <w:sz w:val="20"/>
      <w:szCs w:val="20"/>
    </w:rPr>
  </w:style>
  <w:style w:type="paragraph" w:customStyle="1" w:styleId="CaptionedFigure">
    <w:name w:val="Captioned Figure"/>
    <w:basedOn w:val="Normal"/>
    <w:rsid w:val="008B0A02"/>
    <w:pPr>
      <w:spacing w:before="100" w:beforeAutospacing="1" w:after="100" w:afterAutospacing="1" w:line="240" w:lineRule="auto"/>
      <w:jc w:val="center"/>
    </w:pPr>
    <w:rPr>
      <w:rFonts w:ascii="Times New Roman" w:eastAsia="KaiTi"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40689">
      <w:bodyDiv w:val="1"/>
      <w:marLeft w:val="0"/>
      <w:marRight w:val="0"/>
      <w:marTop w:val="0"/>
      <w:marBottom w:val="0"/>
      <w:divBdr>
        <w:top w:val="none" w:sz="0" w:space="0" w:color="auto"/>
        <w:left w:val="none" w:sz="0" w:space="0" w:color="auto"/>
        <w:bottom w:val="none" w:sz="0" w:space="0" w:color="auto"/>
        <w:right w:val="none" w:sz="0" w:space="0" w:color="auto"/>
      </w:divBdr>
      <w:divsChild>
        <w:div w:id="1699967039">
          <w:marLeft w:val="0"/>
          <w:marRight w:val="0"/>
          <w:marTop w:val="0"/>
          <w:marBottom w:val="0"/>
          <w:divBdr>
            <w:top w:val="none" w:sz="0" w:space="0" w:color="auto"/>
            <w:left w:val="none" w:sz="0" w:space="0" w:color="auto"/>
            <w:bottom w:val="none" w:sz="0" w:space="0" w:color="auto"/>
            <w:right w:val="none" w:sz="0" w:space="0" w:color="auto"/>
          </w:divBdr>
        </w:div>
        <w:div w:id="1569416166">
          <w:marLeft w:val="0"/>
          <w:marRight w:val="0"/>
          <w:marTop w:val="0"/>
          <w:marBottom w:val="0"/>
          <w:divBdr>
            <w:top w:val="none" w:sz="0" w:space="0" w:color="auto"/>
            <w:left w:val="none" w:sz="0" w:space="0" w:color="auto"/>
            <w:bottom w:val="none" w:sz="0" w:space="0" w:color="auto"/>
            <w:right w:val="none" w:sz="0" w:space="0" w:color="auto"/>
          </w:divBdr>
        </w:div>
      </w:divsChild>
    </w:div>
    <w:div w:id="1071544934">
      <w:bodyDiv w:val="1"/>
      <w:marLeft w:val="0"/>
      <w:marRight w:val="0"/>
      <w:marTop w:val="0"/>
      <w:marBottom w:val="0"/>
      <w:divBdr>
        <w:top w:val="none" w:sz="0" w:space="0" w:color="auto"/>
        <w:left w:val="none" w:sz="0" w:space="0" w:color="auto"/>
        <w:bottom w:val="none" w:sz="0" w:space="0" w:color="auto"/>
        <w:right w:val="none" w:sz="0" w:space="0" w:color="auto"/>
      </w:divBdr>
    </w:div>
    <w:div w:id="208221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eisen@berkeley.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2883B-3018-476C-AEEF-F945467B6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20</Pages>
  <Words>14668</Words>
  <Characters>83608</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Eisen</dc:creator>
  <cp:keywords/>
  <dc:description/>
  <cp:lastModifiedBy>Kevin Chen</cp:lastModifiedBy>
  <cp:revision>187</cp:revision>
  <cp:lastPrinted>2020-03-02T22:53:00Z</cp:lastPrinted>
  <dcterms:created xsi:type="dcterms:W3CDTF">2020-03-02T21:28:00Z</dcterms:created>
  <dcterms:modified xsi:type="dcterms:W3CDTF">2020-03-11T18:49:00Z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b486c1af-9e13-32ee-a50a-228c540c5663</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