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867608" w14:textId="77777777" w:rsidR="00384E0A" w:rsidRPr="00AF7E22" w:rsidRDefault="008D1009" w:rsidP="006F2223">
      <w:pPr>
        <w:pStyle w:val="Subtitle"/>
        <w:jc w:val="left"/>
        <w:rPr>
          <w:rFonts w:ascii="Times New Roman" w:hAnsi="Times New Roman" w:cs="Times New Roman"/>
          <w:color w:val="auto"/>
          <w:szCs w:val="24"/>
        </w:rPr>
      </w:pPr>
      <w:r w:rsidRPr="00AF7E22">
        <w:rPr>
          <w:rFonts w:ascii="Times New Roman" w:hAnsi="Times New Roman" w:cs="Times New Roman"/>
          <w:color w:val="auto"/>
          <w:szCs w:val="24"/>
        </w:rPr>
        <w:t>Online-only Content</w:t>
      </w:r>
    </w:p>
    <w:p w14:paraId="7D8EA0A2" w14:textId="00AB4397" w:rsidR="00384E0A" w:rsidRPr="00316636" w:rsidRDefault="008D1009" w:rsidP="00703D95">
      <w:pPr>
        <w:pStyle w:val="Heading1"/>
        <w:rPr>
          <w:rFonts w:ascii="Times New Roman" w:hAnsi="Times New Roman" w:cs="Times New Roman"/>
          <w:color w:val="auto"/>
          <w:sz w:val="20"/>
          <w:szCs w:val="20"/>
        </w:rPr>
      </w:pPr>
      <w:bookmarkStart w:id="0" w:name="X59252779479f5e61a4b244edb88b7f1c1e0c098"/>
      <w:r w:rsidRPr="00316636">
        <w:rPr>
          <w:rFonts w:ascii="Times New Roman" w:hAnsi="Times New Roman" w:cs="Times New Roman"/>
          <w:color w:val="auto"/>
          <w:sz w:val="20"/>
          <w:szCs w:val="20"/>
        </w:rPr>
        <w:t>eAppendix</w:t>
      </w:r>
      <w:bookmarkEnd w:id="0"/>
    </w:p>
    <w:p w14:paraId="63B57164" w14:textId="382C8F59" w:rsidR="00384E0A" w:rsidRPr="00316636" w:rsidRDefault="008D1009">
      <w:pPr>
        <w:pStyle w:val="FirstParagraph"/>
        <w:rPr>
          <w:rFonts w:cs="Times New Roman"/>
        </w:rPr>
      </w:pPr>
      <w:r w:rsidRPr="00316636">
        <w:rPr>
          <w:rFonts w:cs="Times New Roman"/>
        </w:rPr>
        <w:t xml:space="preserve">A directed acyclic graph (DAG) showing our working hypothetical causal structure is presented in eFigure </w:t>
      </w:r>
      <w:r w:rsidR="00BA21A0" w:rsidRPr="00316636">
        <w:rPr>
          <w:rFonts w:cs="Times New Roman"/>
        </w:rPr>
        <w:t>1</w:t>
      </w:r>
      <w:r w:rsidRPr="00316636">
        <w:rPr>
          <w:rFonts w:cs="Times New Roman"/>
        </w:rPr>
        <w:t xml:space="preserve">. Under our working assumptions, reducing the risk of </w:t>
      </w:r>
      <w:r w:rsidR="00226219" w:rsidRPr="00316636">
        <w:rPr>
          <w:rFonts w:cs="Times New Roman"/>
        </w:rPr>
        <w:t>worker exit</w:t>
      </w:r>
      <w:r w:rsidRPr="00316636">
        <w:rPr>
          <w:rFonts w:cs="Times New Roman"/>
        </w:rPr>
        <w:t xml:space="preserve"> </w:t>
      </w:r>
      <w:r w:rsidR="00522B89" w:rsidRPr="00316636">
        <w:rPr>
          <w:rFonts w:cs="Times New Roman"/>
        </w:rPr>
        <w:t xml:space="preserve">prior to retirement </w:t>
      </w:r>
      <w:r w:rsidRPr="00316636">
        <w:rPr>
          <w:rFonts w:cs="Times New Roman"/>
        </w:rPr>
        <w:t>would reduce the risk of suicide and fatal overdose. Note that underlying depression w</w:t>
      </w:r>
      <w:r w:rsidR="00522B89" w:rsidRPr="00316636">
        <w:rPr>
          <w:rFonts w:cs="Times New Roman"/>
        </w:rPr>
        <w:t xml:space="preserve">as </w:t>
      </w:r>
      <w:r w:rsidRPr="00316636">
        <w:rPr>
          <w:rFonts w:cs="Times New Roman"/>
        </w:rPr>
        <w:t xml:space="preserve">unmeasured. By conditioning on </w:t>
      </w:r>
      <w:r w:rsidR="00522B89" w:rsidRPr="00316636">
        <w:rPr>
          <w:rFonts w:cs="Times New Roman"/>
        </w:rPr>
        <w:t xml:space="preserve">calendar time and plant, </w:t>
      </w:r>
      <w:r w:rsidRPr="00316636">
        <w:rPr>
          <w:rFonts w:cs="Times New Roman"/>
        </w:rPr>
        <w:t>the causal parents of plant closure, we</w:t>
      </w:r>
      <w:r w:rsidR="00B22906" w:rsidRPr="00316636">
        <w:rPr>
          <w:rFonts w:cs="Times New Roman"/>
        </w:rPr>
        <w:t xml:space="preserve"> partially</w:t>
      </w:r>
      <w:r w:rsidRPr="00316636">
        <w:rPr>
          <w:rFonts w:cs="Times New Roman"/>
        </w:rPr>
        <w:t xml:space="preserve"> reduce</w:t>
      </w:r>
      <w:r w:rsidR="006C3550" w:rsidRPr="00316636">
        <w:rPr>
          <w:rFonts w:cs="Times New Roman"/>
        </w:rPr>
        <w:t>d</w:t>
      </w:r>
      <w:r w:rsidRPr="00316636">
        <w:rPr>
          <w:rFonts w:cs="Times New Roman"/>
        </w:rPr>
        <w:t xml:space="preserve"> the magnitude of confounding bias through that path.</w:t>
      </w:r>
      <w:r w:rsidR="00C42200" w:rsidRPr="00316636">
        <w:rPr>
          <w:rFonts w:cs="Times New Roman"/>
        </w:rPr>
        <w:t xml:space="preserve"> </w:t>
      </w:r>
    </w:p>
    <w:p w14:paraId="2E9620E8" w14:textId="62003BB0" w:rsidR="0039364B" w:rsidRPr="00316636" w:rsidRDefault="00745EBF">
      <w:pPr>
        <w:pStyle w:val="FirstParagraph"/>
        <w:rPr>
          <w:rFonts w:cs="Times New Roman"/>
        </w:rPr>
      </w:pPr>
      <w:r w:rsidRPr="00316636">
        <w:rPr>
          <w:rFonts w:cs="Times New Roman"/>
        </w:rPr>
        <w:t>Histograms of a</w:t>
      </w:r>
      <w:r w:rsidR="001E7383" w:rsidRPr="00316636">
        <w:rPr>
          <w:rFonts w:cs="Times New Roman"/>
        </w:rPr>
        <w:t>ge at death among those who died of</w:t>
      </w:r>
      <w:r w:rsidR="00DB3727" w:rsidRPr="00316636">
        <w:rPr>
          <w:rFonts w:cs="Times New Roman"/>
        </w:rPr>
        <w:t xml:space="preserve"> suicide and fatal overdose</w:t>
      </w:r>
      <w:r w:rsidR="0039364B" w:rsidRPr="00316636">
        <w:rPr>
          <w:rFonts w:cs="Times New Roman"/>
        </w:rPr>
        <w:t xml:space="preserve"> are presented in eFigure 2.</w:t>
      </w:r>
    </w:p>
    <w:p w14:paraId="52A47C40" w14:textId="393E858C" w:rsidR="00384E0A" w:rsidRPr="00316636" w:rsidRDefault="008D1009">
      <w:pPr>
        <w:pStyle w:val="FirstParagraph"/>
        <w:rPr>
          <w:rFonts w:cs="Times New Roman"/>
        </w:rPr>
      </w:pPr>
      <w:r w:rsidRPr="00316636">
        <w:rPr>
          <w:rFonts w:cs="Times New Roman"/>
        </w:rPr>
        <w:t xml:space="preserve">Employment status was determined using </w:t>
      </w:r>
      <w:r w:rsidR="00ED1415" w:rsidRPr="00316636">
        <w:rPr>
          <w:rFonts w:cs="Times New Roman"/>
        </w:rPr>
        <w:t>worker exit</w:t>
      </w:r>
      <w:r w:rsidRPr="00316636">
        <w:rPr>
          <w:rFonts w:cs="Times New Roman"/>
        </w:rPr>
        <w:t xml:space="preserve"> dates from company job records. If a case occurred after </w:t>
      </w:r>
      <w:r w:rsidR="00226219" w:rsidRPr="00316636">
        <w:rPr>
          <w:rFonts w:cs="Times New Roman"/>
        </w:rPr>
        <w:t>worker exit</w:t>
      </w:r>
      <w:r w:rsidRPr="00316636">
        <w:rPr>
          <w:rFonts w:cs="Times New Roman"/>
        </w:rPr>
        <w:t xml:space="preserve">, their </w:t>
      </w:r>
      <w:r w:rsidR="0010719D" w:rsidRPr="00316636">
        <w:rPr>
          <w:rFonts w:cs="Times New Roman"/>
        </w:rPr>
        <w:t>exit</w:t>
      </w:r>
      <w:r w:rsidR="00E10BC6" w:rsidRPr="00316636">
        <w:rPr>
          <w:rFonts w:cs="Times New Roman"/>
        </w:rPr>
        <w:t xml:space="preserve"> date</w:t>
      </w:r>
      <w:r w:rsidRPr="00316636">
        <w:rPr>
          <w:rFonts w:cs="Times New Roman"/>
        </w:rPr>
        <w:t xml:space="preserve"> should precede their date of death. </w:t>
      </w:r>
      <w:r w:rsidR="002762AC" w:rsidRPr="00316636">
        <w:rPr>
          <w:rFonts w:cs="Times New Roman"/>
        </w:rPr>
        <w:t>I</w:t>
      </w:r>
      <w:r w:rsidRPr="00316636">
        <w:rPr>
          <w:rFonts w:cs="Times New Roman"/>
        </w:rPr>
        <w:t>f a case occurred</w:t>
      </w:r>
      <w:r w:rsidR="00E10BC6" w:rsidRPr="00316636">
        <w:rPr>
          <w:rFonts w:cs="Times New Roman"/>
        </w:rPr>
        <w:t xml:space="preserve"> while employed, their exit date </w:t>
      </w:r>
      <w:r w:rsidRPr="00316636">
        <w:rPr>
          <w:rFonts w:cs="Times New Roman"/>
        </w:rPr>
        <w:t>should equal their death</w:t>
      </w:r>
      <w:r w:rsidR="00AD7703" w:rsidRPr="00316636">
        <w:rPr>
          <w:rFonts w:cs="Times New Roman"/>
        </w:rPr>
        <w:t xml:space="preserve"> date</w:t>
      </w:r>
      <w:r w:rsidRPr="00316636">
        <w:rPr>
          <w:rFonts w:cs="Times New Roman"/>
        </w:rPr>
        <w:t xml:space="preserve">. However, we </w:t>
      </w:r>
      <w:r w:rsidR="009B2B8A" w:rsidRPr="00316636">
        <w:rPr>
          <w:rFonts w:cs="Times New Roman"/>
        </w:rPr>
        <w:t>expect</w:t>
      </w:r>
      <w:r w:rsidR="00B87F12" w:rsidRPr="00316636">
        <w:rPr>
          <w:rFonts w:cs="Times New Roman"/>
        </w:rPr>
        <w:t>ed</w:t>
      </w:r>
      <w:r w:rsidRPr="00316636">
        <w:rPr>
          <w:rFonts w:cs="Times New Roman"/>
        </w:rPr>
        <w:t xml:space="preserve"> the </w:t>
      </w:r>
      <w:r w:rsidR="00ED1415" w:rsidRPr="00316636">
        <w:rPr>
          <w:rFonts w:cs="Times New Roman"/>
        </w:rPr>
        <w:t>exit</w:t>
      </w:r>
      <w:r w:rsidRPr="00316636">
        <w:rPr>
          <w:rFonts w:cs="Times New Roman"/>
        </w:rPr>
        <w:t xml:space="preserve"> dates </w:t>
      </w:r>
      <w:r w:rsidR="009B2B8A" w:rsidRPr="00316636">
        <w:rPr>
          <w:rFonts w:cs="Times New Roman"/>
        </w:rPr>
        <w:t xml:space="preserve">to be </w:t>
      </w:r>
      <w:r w:rsidRPr="00316636">
        <w:rPr>
          <w:rFonts w:cs="Times New Roman"/>
        </w:rPr>
        <w:t>imperfectly recorded</w:t>
      </w:r>
      <w:r w:rsidR="006C3550" w:rsidRPr="00316636">
        <w:rPr>
          <w:rFonts w:cs="Times New Roman"/>
        </w:rPr>
        <w:t>,</w:t>
      </w:r>
      <w:r w:rsidR="009B2B8A" w:rsidRPr="00316636">
        <w:rPr>
          <w:rFonts w:cs="Times New Roman"/>
        </w:rPr>
        <w:t xml:space="preserve"> given the administrative nature of the data</w:t>
      </w:r>
      <w:r w:rsidRPr="00316636">
        <w:rPr>
          <w:rFonts w:cs="Times New Roman"/>
        </w:rPr>
        <w:t xml:space="preserve">. We attempted to characterize the </w:t>
      </w:r>
      <w:r w:rsidR="000439E6" w:rsidRPr="00316636">
        <w:rPr>
          <w:rFonts w:cs="Times New Roman"/>
        </w:rPr>
        <w:t xml:space="preserve">extent </w:t>
      </w:r>
      <w:r w:rsidRPr="00316636">
        <w:rPr>
          <w:rFonts w:cs="Times New Roman"/>
        </w:rPr>
        <w:t xml:space="preserve">of </w:t>
      </w:r>
      <w:r w:rsidR="009B2B8A" w:rsidRPr="00316636">
        <w:rPr>
          <w:rFonts w:cs="Times New Roman"/>
        </w:rPr>
        <w:t xml:space="preserve">possible </w:t>
      </w:r>
      <w:r w:rsidRPr="00316636">
        <w:rPr>
          <w:rFonts w:cs="Times New Roman"/>
        </w:rPr>
        <w:t>misclassification by examining the distribution of</w:t>
      </w:r>
      <w:r w:rsidR="00ED6B69" w:rsidRPr="00316636">
        <w:rPr>
          <w:rFonts w:cs="Times New Roman"/>
        </w:rPr>
        <w:t xml:space="preserve"> the</w:t>
      </w:r>
      <w:r w:rsidRPr="00316636">
        <w:rPr>
          <w:rFonts w:cs="Times New Roman"/>
        </w:rPr>
        <w:t xml:space="preserve"> difference between the</w:t>
      </w:r>
      <w:r w:rsidR="006C3550" w:rsidRPr="00316636">
        <w:rPr>
          <w:rFonts w:cs="Times New Roman"/>
        </w:rPr>
        <w:t xml:space="preserve"> dates of</w:t>
      </w:r>
      <w:r w:rsidRPr="00316636">
        <w:rPr>
          <w:rFonts w:cs="Times New Roman"/>
        </w:rPr>
        <w:t xml:space="preserve"> death and </w:t>
      </w:r>
      <w:r w:rsidR="00ED1415" w:rsidRPr="00316636">
        <w:rPr>
          <w:rFonts w:cs="Times New Roman"/>
        </w:rPr>
        <w:t>exit</w:t>
      </w:r>
      <w:r w:rsidRPr="00316636">
        <w:rPr>
          <w:rFonts w:cs="Times New Roman"/>
        </w:rPr>
        <w:t>.</w:t>
      </w:r>
    </w:p>
    <w:p w14:paraId="0B3F8D6D" w14:textId="3FAF0920" w:rsidR="00384E0A" w:rsidRPr="00316636" w:rsidRDefault="003A5400">
      <w:pPr>
        <w:pStyle w:val="BodyText"/>
        <w:rPr>
          <w:rFonts w:cs="Times New Roman"/>
        </w:rPr>
      </w:pPr>
      <w:r w:rsidRPr="00316636">
        <w:rPr>
          <w:rFonts w:cs="Times New Roman"/>
        </w:rPr>
        <w:t>The left</w:t>
      </w:r>
      <w:r w:rsidR="008D1009" w:rsidRPr="00316636">
        <w:rPr>
          <w:rFonts w:cs="Times New Roman"/>
        </w:rPr>
        <w:t xml:space="preserve">-side panel of eFigure </w:t>
      </w:r>
      <w:r w:rsidR="00544F8A" w:rsidRPr="00316636">
        <w:rPr>
          <w:rFonts w:cs="Times New Roman"/>
        </w:rPr>
        <w:t>3</w:t>
      </w:r>
      <w:r w:rsidR="008D1009" w:rsidRPr="00316636">
        <w:rPr>
          <w:rFonts w:cs="Times New Roman"/>
        </w:rPr>
        <w:t xml:space="preserve"> presents a histogram of the difference between death and </w:t>
      </w:r>
      <w:r w:rsidR="00ED1415" w:rsidRPr="00316636">
        <w:rPr>
          <w:rFonts w:cs="Times New Roman"/>
        </w:rPr>
        <w:t>exit</w:t>
      </w:r>
      <w:r w:rsidR="008D1009" w:rsidRPr="00316636">
        <w:rPr>
          <w:rFonts w:cs="Times New Roman"/>
        </w:rPr>
        <w:t xml:space="preserve"> dates for suicide cases. The distribution had a strong right-skew and a striking mode in the third bin</w:t>
      </w:r>
      <w:r w:rsidR="00346850" w:rsidRPr="00316636">
        <w:rPr>
          <w:rFonts w:cs="Times New Roman"/>
        </w:rPr>
        <w:t>,</w:t>
      </w:r>
      <w:r w:rsidR="00261F9C" w:rsidRPr="00316636">
        <w:rPr>
          <w:rFonts w:cs="Times New Roman"/>
        </w:rPr>
        <w:t xml:space="preserve"> representing</w:t>
      </w:r>
      <w:r w:rsidR="008D1009" w:rsidRPr="00316636">
        <w:rPr>
          <w:rFonts w:cs="Times New Roman"/>
        </w:rPr>
        <w:t xml:space="preserve"> cases whose death date was later than their </w:t>
      </w:r>
      <w:r w:rsidR="008D4F22" w:rsidRPr="00316636">
        <w:rPr>
          <w:rFonts w:cs="Times New Roman"/>
        </w:rPr>
        <w:t>exit</w:t>
      </w:r>
      <w:r w:rsidR="008D1009" w:rsidRPr="00316636">
        <w:rPr>
          <w:rFonts w:cs="Times New Roman"/>
        </w:rPr>
        <w:t xml:space="preserve"> date and less than or equal to one year after </w:t>
      </w:r>
      <w:r w:rsidR="002B7A0F" w:rsidRPr="00316636">
        <w:rPr>
          <w:rFonts w:cs="Times New Roman"/>
        </w:rPr>
        <w:t>exit</w:t>
      </w:r>
      <w:r w:rsidR="008D1009" w:rsidRPr="00316636">
        <w:rPr>
          <w:rFonts w:cs="Times New Roman"/>
        </w:rPr>
        <w:t xml:space="preserve">. Among cases that occurred within a year of </w:t>
      </w:r>
      <w:r w:rsidR="0060016F" w:rsidRPr="00316636">
        <w:rPr>
          <w:rFonts w:cs="Times New Roman"/>
        </w:rPr>
        <w:t>job exit,</w:t>
      </w:r>
      <w:r w:rsidR="008D1009" w:rsidRPr="00316636">
        <w:rPr>
          <w:rFonts w:cs="Times New Roman"/>
        </w:rPr>
        <w:t xml:space="preserve"> the distribution still showed a strong right skew, but with two local modes centered approximately around 0 and 33 days. The observed times centered around 0 were roughly bounded by a radius of 14 days</w:t>
      </w:r>
      <w:r w:rsidR="0026363D" w:rsidRPr="00316636">
        <w:rPr>
          <w:rFonts w:cs="Times New Roman"/>
        </w:rPr>
        <w:t xml:space="preserve"> (</w:t>
      </w:r>
      <w:r w:rsidR="00690F68" w:rsidRPr="00316636">
        <w:rPr>
          <w:rFonts w:cs="Times New Roman"/>
        </w:rPr>
        <w:t xml:space="preserve">see </w:t>
      </w:r>
      <w:r w:rsidR="0026363D" w:rsidRPr="00316636">
        <w:rPr>
          <w:rFonts w:cs="Times New Roman"/>
        </w:rPr>
        <w:t>eFigure 3b</w:t>
      </w:r>
      <w:r w:rsidR="00997DA8" w:rsidRPr="00316636">
        <w:rPr>
          <w:rFonts w:cs="Times New Roman"/>
        </w:rPr>
        <w:t>)</w:t>
      </w:r>
      <w:r w:rsidR="008D1009" w:rsidRPr="00316636">
        <w:rPr>
          <w:rFonts w:cs="Times New Roman"/>
        </w:rPr>
        <w:t>.</w:t>
      </w:r>
    </w:p>
    <w:p w14:paraId="594BE400" w14:textId="77777777" w:rsidR="0051203E" w:rsidRPr="00316636" w:rsidRDefault="008D1009">
      <w:pPr>
        <w:pStyle w:val="BodyText"/>
        <w:rPr>
          <w:rFonts w:cs="Times New Roman"/>
        </w:rPr>
      </w:pPr>
      <w:r w:rsidRPr="00316636">
        <w:rPr>
          <w:rFonts w:cs="Times New Roman"/>
        </w:rPr>
        <w:t xml:space="preserve">In the main analysis, we assumed that cases occurred while employed if the death date preceded or equaled the </w:t>
      </w:r>
      <w:r w:rsidR="001E2F4D" w:rsidRPr="00316636">
        <w:rPr>
          <w:rFonts w:cs="Times New Roman"/>
        </w:rPr>
        <w:t xml:space="preserve">recorded </w:t>
      </w:r>
      <w:r w:rsidR="00ED1415" w:rsidRPr="00316636">
        <w:rPr>
          <w:rFonts w:cs="Times New Roman"/>
        </w:rPr>
        <w:t>exit</w:t>
      </w:r>
      <w:r w:rsidRPr="00316636">
        <w:rPr>
          <w:rFonts w:cs="Times New Roman"/>
        </w:rPr>
        <w:t xml:space="preserve"> date. In the sensitivity analysis we assumed that a case occurred while employed if the death date was within a week of the </w:t>
      </w:r>
      <w:r w:rsidR="00ED1415" w:rsidRPr="00316636">
        <w:rPr>
          <w:rFonts w:cs="Times New Roman"/>
        </w:rPr>
        <w:t>exit</w:t>
      </w:r>
      <w:r w:rsidRPr="00316636">
        <w:rPr>
          <w:rFonts w:cs="Times New Roman"/>
        </w:rPr>
        <w:t xml:space="preserve"> date. That is, we as</w:t>
      </w:r>
      <w:r w:rsidR="003D5B35" w:rsidRPr="00316636">
        <w:rPr>
          <w:rFonts w:cs="Times New Roman"/>
        </w:rPr>
        <w:t>sumed that all the cases whose exit</w:t>
      </w:r>
      <w:r w:rsidRPr="00316636">
        <w:rPr>
          <w:rFonts w:cs="Times New Roman"/>
        </w:rPr>
        <w:t xml:space="preserve"> dates preceded their death dates by </w:t>
      </w:r>
      <w:r w:rsidR="00256910" w:rsidRPr="00316636">
        <w:rPr>
          <w:rFonts w:cs="Times New Roman"/>
        </w:rPr>
        <w:t>no more than one</w:t>
      </w:r>
      <w:r w:rsidRPr="00316636">
        <w:rPr>
          <w:rFonts w:cs="Times New Roman"/>
        </w:rPr>
        <w:t xml:space="preserve"> week were misclassified as not employed </w:t>
      </w:r>
      <w:r w:rsidR="00D53B57" w:rsidRPr="00316636">
        <w:rPr>
          <w:rFonts w:cs="Times New Roman"/>
        </w:rPr>
        <w:t>at</w:t>
      </w:r>
      <w:r w:rsidRPr="00316636">
        <w:rPr>
          <w:rFonts w:cs="Times New Roman"/>
        </w:rPr>
        <w:t xml:space="preserve"> death when they were in fact employed</w:t>
      </w:r>
      <w:r w:rsidR="00544F8A" w:rsidRPr="00316636">
        <w:rPr>
          <w:rFonts w:cs="Times New Roman"/>
        </w:rPr>
        <w:t xml:space="preserve"> (see </w:t>
      </w:r>
      <w:r w:rsidR="000A4683" w:rsidRPr="00316636">
        <w:rPr>
          <w:rFonts w:cs="Times New Roman"/>
        </w:rPr>
        <w:t xml:space="preserve">right-side of </w:t>
      </w:r>
      <w:r w:rsidR="00544F8A" w:rsidRPr="00316636">
        <w:rPr>
          <w:rFonts w:cs="Times New Roman"/>
        </w:rPr>
        <w:t xml:space="preserve">Table </w:t>
      </w:r>
      <w:r w:rsidR="000A4683" w:rsidRPr="00316636">
        <w:rPr>
          <w:rFonts w:cs="Times New Roman"/>
        </w:rPr>
        <w:t>2</w:t>
      </w:r>
      <w:r w:rsidR="00544F8A" w:rsidRPr="00316636">
        <w:rPr>
          <w:rFonts w:cs="Times New Roman"/>
        </w:rPr>
        <w:t>)</w:t>
      </w:r>
      <w:r w:rsidRPr="00316636">
        <w:rPr>
          <w:rFonts w:cs="Times New Roman"/>
        </w:rPr>
        <w:t>.</w:t>
      </w:r>
    </w:p>
    <w:p w14:paraId="2A949BCE" w14:textId="0405A008" w:rsidR="0038630C" w:rsidRPr="00316636" w:rsidRDefault="00E35184">
      <w:pPr>
        <w:pStyle w:val="BodyText"/>
        <w:rPr>
          <w:rFonts w:cs="Times New Roman"/>
        </w:rPr>
      </w:pPr>
      <w:r w:rsidRPr="00316636">
        <w:rPr>
          <w:rFonts w:cs="Times New Roman"/>
        </w:rPr>
        <w:t>T</w:t>
      </w:r>
      <w:r w:rsidR="00EC5A66" w:rsidRPr="00316636">
        <w:rPr>
          <w:rFonts w:cs="Times New Roman"/>
        </w:rPr>
        <w:t xml:space="preserve">o estimate the hazard ratio </w:t>
      </w:r>
      <w:r w:rsidR="0038630C" w:rsidRPr="00316636">
        <w:rPr>
          <w:rFonts w:cs="Times New Roman"/>
        </w:rPr>
        <w:t xml:space="preserve">for </w:t>
      </w:r>
      <w:r w:rsidR="00EC5A66" w:rsidRPr="00316636">
        <w:rPr>
          <w:rFonts w:cs="Times New Roman"/>
        </w:rPr>
        <w:t>a more temporally-proximate outcome</w:t>
      </w:r>
      <w:r w:rsidRPr="00316636">
        <w:rPr>
          <w:rFonts w:cs="Times New Roman"/>
        </w:rPr>
        <w:t xml:space="preserve">, we restricted follow-up to </w:t>
      </w:r>
      <w:r w:rsidR="00704CB3" w:rsidRPr="00316636">
        <w:rPr>
          <w:rFonts w:cs="Times New Roman"/>
        </w:rPr>
        <w:t xml:space="preserve">more than </w:t>
      </w:r>
      <w:r w:rsidRPr="00316636">
        <w:rPr>
          <w:rFonts w:cs="Times New Roman"/>
        </w:rPr>
        <w:t>five years after worker exit</w:t>
      </w:r>
      <w:r w:rsidR="00EC5A66" w:rsidRPr="00316636">
        <w:rPr>
          <w:rFonts w:cs="Times New Roman"/>
        </w:rPr>
        <w:t>.</w:t>
      </w:r>
      <w:r w:rsidR="00633154" w:rsidRPr="00316636">
        <w:rPr>
          <w:rFonts w:cs="Times New Roman"/>
        </w:rPr>
        <w:t xml:space="preserve"> eTable 1 presents hazard ratio estimates for suicide </w:t>
      </w:r>
      <w:r w:rsidR="0051203E" w:rsidRPr="00316636">
        <w:rPr>
          <w:rFonts w:cs="Times New Roman"/>
        </w:rPr>
        <w:t xml:space="preserve">and the combined outcome </w:t>
      </w:r>
      <w:r w:rsidR="00633154" w:rsidRPr="00316636">
        <w:rPr>
          <w:rFonts w:cs="Times New Roman"/>
        </w:rPr>
        <w:t xml:space="preserve">within </w:t>
      </w:r>
      <w:r w:rsidR="0038630C" w:rsidRPr="00316636">
        <w:rPr>
          <w:rFonts w:cs="Times New Roman"/>
        </w:rPr>
        <w:t xml:space="preserve">5 years </w:t>
      </w:r>
      <w:r w:rsidR="00633154" w:rsidRPr="00316636">
        <w:rPr>
          <w:rFonts w:cs="Times New Roman"/>
        </w:rPr>
        <w:t>a</w:t>
      </w:r>
      <w:r w:rsidR="00D036E4" w:rsidRPr="00316636">
        <w:rPr>
          <w:rFonts w:cs="Times New Roman"/>
        </w:rPr>
        <w:t>fter worker exit</w:t>
      </w:r>
      <w:r w:rsidR="0038630C" w:rsidRPr="00316636">
        <w:rPr>
          <w:rFonts w:cs="Times New Roman"/>
        </w:rPr>
        <w:t>.</w:t>
      </w:r>
      <w:r w:rsidR="00D43F57" w:rsidRPr="00316636">
        <w:rPr>
          <w:rFonts w:cs="Times New Roman"/>
        </w:rPr>
        <w:t xml:space="preserve"> </w:t>
      </w:r>
    </w:p>
    <w:p w14:paraId="27509D4D" w14:textId="218D5269" w:rsidR="00256B69" w:rsidRPr="00316636" w:rsidRDefault="008D1009" w:rsidP="00131C07">
      <w:pPr>
        <w:pStyle w:val="BodyText"/>
        <w:rPr>
          <w:rFonts w:cs="Times New Roman"/>
          <w:b/>
        </w:rPr>
      </w:pPr>
      <w:r w:rsidRPr="00316636">
        <w:rPr>
          <w:rFonts w:cs="Times New Roman"/>
        </w:rPr>
        <w:t xml:space="preserve">To better understand the shape of the exposure-outcome relationship, we fitted models which included </w:t>
      </w:r>
      <w:r w:rsidR="0087428C" w:rsidRPr="00316636">
        <w:rPr>
          <w:rFonts w:cs="Times New Roman"/>
        </w:rPr>
        <w:t>a restricted penalized spline function (</w:t>
      </w:r>
      <w:r w:rsidR="0087428C" w:rsidRPr="00316636">
        <w:rPr>
          <w:rFonts w:cs="Times New Roman"/>
          <w:i/>
          <w:iCs/>
        </w:rPr>
        <w:t>df</w:t>
      </w:r>
      <w:r w:rsidR="00D44E33" w:rsidRPr="00316636">
        <w:rPr>
          <w:rFonts w:cs="Times New Roman"/>
          <w:i/>
          <w:iCs/>
        </w:rPr>
        <w:t> </w:t>
      </w:r>
      <w:r w:rsidR="0087428C" w:rsidRPr="00316636">
        <w:rPr>
          <w:rFonts w:cs="Times New Roman"/>
        </w:rPr>
        <w:t>=</w:t>
      </w:r>
      <w:r w:rsidR="00D44E33" w:rsidRPr="00316636">
        <w:rPr>
          <w:rFonts w:cs="Times New Roman"/>
        </w:rPr>
        <w:t> </w:t>
      </w:r>
      <w:r w:rsidR="0087428C" w:rsidRPr="00316636">
        <w:rPr>
          <w:rFonts w:cs="Times New Roman"/>
        </w:rPr>
        <w:t xml:space="preserve">4) of </w:t>
      </w:r>
      <w:r w:rsidRPr="00316636">
        <w:rPr>
          <w:rFonts w:cs="Times New Roman"/>
        </w:rPr>
        <w:t xml:space="preserve">continuous age at </w:t>
      </w:r>
      <w:r w:rsidR="00ED1415" w:rsidRPr="00316636">
        <w:rPr>
          <w:rFonts w:cs="Times New Roman"/>
        </w:rPr>
        <w:t>exit</w:t>
      </w:r>
      <w:r w:rsidRPr="00316636">
        <w:rPr>
          <w:rFonts w:cs="Times New Roman"/>
        </w:rPr>
        <w:t>.</w:t>
      </w:r>
      <w:r w:rsidR="00DE669C" w:rsidRPr="00316636">
        <w:rPr>
          <w:rFonts w:cs="Times New Roman"/>
          <w:vertAlign w:val="superscript"/>
        </w:rPr>
        <w:fldChar w:fldCharType="begin" w:fldLock="1"/>
      </w:r>
      <w:r w:rsidR="00DE669C" w:rsidRPr="00316636">
        <w:rPr>
          <w:rFonts w:cs="Times New Roman"/>
          <w:vertAlign w:val="superscript"/>
        </w:rPr>
        <w:instrText>ADDIN CSL_CITATION {"citationItems":[{"id":"ITEM-1","itemData":{"author":[{"dropping-particle":"","family":"Eilers","given":"PH","non-dropping-particle":"","parse-names":false,"suffix":""},{"dropping-particle":"","family":"Marx","given":"BD","non-dropping-particle":"","parse-names":false,"suffix":""}],"container-title":"Statistical science.","id":"ITEM-1","issued":{"date-parts":[["1996"]]},"page":"89-102","title":"Flexible smoothing with B-splines and penalties.","type":"article-journal"},"uris":["http://www.mendeley.com/documents/?uuid=6b9291d3-0eb5-48dc-9fe4-f33940434df8"]}],"mendeley":{"formattedCitation":"&lt;sup&gt;2&lt;/sup&gt;","plainTextFormattedCitation":"2","previouslyFormattedCitation":"&lt;sup&gt;2&lt;/sup&gt;"},"properties":{"noteIndex":0},"schema":"https://github.com/citation-style-language/schema/raw/master/csl-citation.json"}</w:instrText>
      </w:r>
      <w:r w:rsidR="00DE669C" w:rsidRPr="00316636">
        <w:rPr>
          <w:rFonts w:cs="Times New Roman"/>
          <w:vertAlign w:val="superscript"/>
        </w:rPr>
        <w:fldChar w:fldCharType="separate"/>
      </w:r>
      <w:r w:rsidR="00DE669C" w:rsidRPr="00316636">
        <w:rPr>
          <w:rFonts w:cs="Times New Roman"/>
          <w:noProof/>
          <w:vertAlign w:val="superscript"/>
        </w:rPr>
        <w:t>2</w:t>
      </w:r>
      <w:r w:rsidR="00DE669C" w:rsidRPr="00316636">
        <w:rPr>
          <w:rFonts w:cs="Times New Roman"/>
          <w:vertAlign w:val="superscript"/>
        </w:rPr>
        <w:fldChar w:fldCharType="end"/>
      </w:r>
      <w:r w:rsidR="00DE669C" w:rsidRPr="00316636">
        <w:rPr>
          <w:rFonts w:cs="Times New Roman"/>
          <w:vertAlign w:val="superscript"/>
        </w:rPr>
        <w:t xml:space="preserve"> </w:t>
      </w:r>
      <w:r w:rsidRPr="00316636">
        <w:rPr>
          <w:rFonts w:cs="Times New Roman"/>
        </w:rPr>
        <w:t>To fit these splines and compute hazard ratio estimates, we assumed that the hazard associated with age a</w:t>
      </w:r>
      <w:r w:rsidR="00256910" w:rsidRPr="00316636">
        <w:rPr>
          <w:rFonts w:cs="Times New Roman"/>
        </w:rPr>
        <w:t>t</w:t>
      </w:r>
      <w:r w:rsidRPr="00316636">
        <w:rPr>
          <w:rFonts w:cs="Times New Roman"/>
        </w:rPr>
        <w:t xml:space="preserve"> </w:t>
      </w:r>
      <w:r w:rsidR="00ED1415" w:rsidRPr="00316636">
        <w:rPr>
          <w:rFonts w:cs="Times New Roman"/>
        </w:rPr>
        <w:t>exit</w:t>
      </w:r>
      <w:r w:rsidRPr="00316636">
        <w:rPr>
          <w:rFonts w:cs="Times New Roman"/>
        </w:rPr>
        <w:t xml:space="preserve"> was constant for those who left work at 55 or older, conditioning on all other covariates. To complement the analyses for categorical age at </w:t>
      </w:r>
      <w:r w:rsidR="00ED1415" w:rsidRPr="00316636">
        <w:rPr>
          <w:rFonts w:cs="Times New Roman"/>
        </w:rPr>
        <w:t>exit</w:t>
      </w:r>
      <w:r w:rsidRPr="00316636">
        <w:rPr>
          <w:rFonts w:cs="Times New Roman"/>
        </w:rPr>
        <w:t xml:space="preserve"> presented in the main body, we fitted </w:t>
      </w:r>
      <w:r w:rsidR="0087428C" w:rsidRPr="00316636">
        <w:rPr>
          <w:rFonts w:cs="Times New Roman"/>
        </w:rPr>
        <w:t xml:space="preserve">these </w:t>
      </w:r>
      <w:r w:rsidRPr="00316636">
        <w:rPr>
          <w:rFonts w:cs="Times New Roman"/>
        </w:rPr>
        <w:t xml:space="preserve">models for suicide and for the combined outcome (eFigure </w:t>
      </w:r>
      <w:r w:rsidR="00E15BCB" w:rsidRPr="00316636">
        <w:rPr>
          <w:rFonts w:cs="Times New Roman"/>
        </w:rPr>
        <w:t>5</w:t>
      </w:r>
      <w:r w:rsidRPr="00316636">
        <w:rPr>
          <w:rFonts w:cs="Times New Roman"/>
        </w:rPr>
        <w:t>).</w:t>
      </w:r>
      <w:r w:rsidR="00256B69" w:rsidRPr="00316636">
        <w:rPr>
          <w:rFonts w:cs="Times New Roman"/>
        </w:rPr>
        <w:br w:type="page"/>
      </w:r>
    </w:p>
    <w:p w14:paraId="5CF6429F" w14:textId="39EF5742" w:rsidR="006F2223" w:rsidRPr="00316636" w:rsidRDefault="006F2223" w:rsidP="006F2223">
      <w:pPr>
        <w:pStyle w:val="Subtitle"/>
        <w:jc w:val="left"/>
        <w:rPr>
          <w:rFonts w:ascii="Times New Roman" w:hAnsi="Times New Roman" w:cs="Times New Roman"/>
          <w:color w:val="auto"/>
          <w:sz w:val="20"/>
          <w:szCs w:val="20"/>
        </w:rPr>
      </w:pPr>
      <w:r w:rsidRPr="00316636">
        <w:rPr>
          <w:rFonts w:ascii="Times New Roman" w:hAnsi="Times New Roman" w:cs="Times New Roman"/>
          <w:color w:val="auto"/>
          <w:sz w:val="20"/>
          <w:szCs w:val="20"/>
        </w:rPr>
        <w:lastRenderedPageBreak/>
        <w:t>Online-only table</w:t>
      </w:r>
      <w:r w:rsidR="00BF3786" w:rsidRPr="00316636">
        <w:rPr>
          <w:rFonts w:ascii="Times New Roman" w:hAnsi="Times New Roman" w:cs="Times New Roman"/>
          <w:color w:val="auto"/>
          <w:sz w:val="20"/>
          <w:szCs w:val="20"/>
        </w:rPr>
        <w:t>s and figures</w:t>
      </w:r>
    </w:p>
    <w:p w14:paraId="70380B59" w14:textId="77777777" w:rsidR="00CE4059" w:rsidRPr="00CD4AAD" w:rsidRDefault="00CE4059" w:rsidP="00CE4059">
      <w:pPr>
        <w:pStyle w:val="ImageCaption"/>
        <w:rPr>
          <w:rFonts w:ascii="Arial" w:hAnsi="Arial" w:cs="Arial"/>
          <w:b/>
        </w:rPr>
      </w:pPr>
      <w:r w:rsidRPr="00CD4AAD">
        <w:rPr>
          <w:rFonts w:ascii="Arial" w:hAnsi="Arial" w:cs="Arial"/>
          <w:b/>
        </w:rPr>
        <w:t>eFigure 1. Directed acyclic graph representing our working causal assumptions.</w:t>
      </w:r>
    </w:p>
    <w:p w14:paraId="31183B50" w14:textId="77777777" w:rsidR="00CE4059" w:rsidRPr="00417097" w:rsidRDefault="00CE4059" w:rsidP="00CE4059">
      <w:pPr>
        <w:pStyle w:val="CaptionedFigure"/>
        <w:rPr>
          <w:rFonts w:ascii="Arial" w:hAnsi="Arial" w:cs="Arial"/>
          <w:b/>
        </w:rPr>
      </w:pPr>
      <w:r w:rsidRPr="00417097">
        <w:rPr>
          <w:rFonts w:ascii="Arial" w:hAnsi="Arial" w:cs="Arial"/>
          <w:noProof/>
          <w:lang w:eastAsia="zh-CN"/>
        </w:rPr>
        <w:drawing>
          <wp:inline distT="0" distB="0" distL="0" distR="0" wp14:anchorId="04B443DF" wp14:editId="129C7C9C">
            <wp:extent cx="5120640" cy="2377440"/>
            <wp:effectExtent l="0" t="0" r="0" b="0"/>
            <wp:docPr id="3" name="Picture" descr="eFigure 1. Directed acyclic graph representing our working causal assum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kevchen/GM/reports/despair%20and%20job%20loss%20(Cox)/resources/images/dag.png"/>
                    <pic:cNvPicPr>
                      <a:picLocks noChangeAspect="1" noChangeArrowheads="1"/>
                    </pic:cNvPicPr>
                  </pic:nvPicPr>
                  <pic:blipFill>
                    <a:blip r:embed="rId8"/>
                    <a:stretch>
                      <a:fillRect/>
                    </a:stretch>
                  </pic:blipFill>
                  <pic:spPr bwMode="auto">
                    <a:xfrm>
                      <a:off x="0" y="0"/>
                      <a:ext cx="5120640" cy="2377440"/>
                    </a:xfrm>
                    <a:prstGeom prst="rect">
                      <a:avLst/>
                    </a:prstGeom>
                    <a:noFill/>
                    <a:ln w="9525">
                      <a:noFill/>
                      <a:headEnd/>
                      <a:tailEnd/>
                    </a:ln>
                  </pic:spPr>
                </pic:pic>
              </a:graphicData>
            </a:graphic>
          </wp:inline>
        </w:drawing>
      </w:r>
    </w:p>
    <w:p w14:paraId="09A827C9" w14:textId="77777777" w:rsidR="00CE4059" w:rsidRPr="00CD4AAD" w:rsidRDefault="00CE4059" w:rsidP="00CE4059">
      <w:pPr>
        <w:pStyle w:val="ImageCaption"/>
        <w:rPr>
          <w:rFonts w:ascii="Arial" w:hAnsi="Arial" w:cs="Arial"/>
          <w:b/>
        </w:rPr>
      </w:pPr>
      <w:r w:rsidRPr="00CD4AAD">
        <w:rPr>
          <w:rFonts w:ascii="Arial" w:hAnsi="Arial" w:cs="Arial"/>
          <w:b/>
        </w:rPr>
        <w:t>eFigure 2. Histograms of age at death among suicide and fatal overdose cases in the UAW-GM Cohort restricted to men employed in or after 1970.</w:t>
      </w:r>
    </w:p>
    <w:p w14:paraId="130AF495" w14:textId="77777777" w:rsidR="00CE4059" w:rsidRPr="00417097" w:rsidRDefault="00CE4059" w:rsidP="00CE4059">
      <w:pPr>
        <w:pStyle w:val="CaptionedFigure"/>
        <w:rPr>
          <w:rFonts w:ascii="Arial" w:hAnsi="Arial" w:cs="Arial"/>
        </w:rPr>
      </w:pPr>
      <w:r w:rsidRPr="00417097">
        <w:rPr>
          <w:rFonts w:ascii="Arial" w:hAnsi="Arial" w:cs="Arial"/>
          <w:noProof/>
          <w:lang w:eastAsia="zh-CN"/>
        </w:rPr>
        <w:drawing>
          <wp:inline distT="0" distB="0" distL="0" distR="0" wp14:anchorId="186521CC" wp14:editId="7ACE60A1">
            <wp:extent cx="5942272" cy="2523744"/>
            <wp:effectExtent l="0" t="0" r="0" b="0"/>
            <wp:docPr id="4" name="Picture" descr="eFigure 2. Histograms of age at death among suicide and fatal overdose cases in the UAW-GM Cohort restricted to men employed in or after 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kevchen/GM/reports/despair%20and%20job%20loss%20(Cox)/resources/images/hist_age_suicide_despair_recent.png"/>
                    <pic:cNvPicPr>
                      <a:picLocks noChangeAspect="1" noChangeArrowheads="1"/>
                    </pic:cNvPicPr>
                  </pic:nvPicPr>
                  <pic:blipFill>
                    <a:blip r:embed="rId9"/>
                    <a:stretch>
                      <a:fillRect/>
                    </a:stretch>
                  </pic:blipFill>
                  <pic:spPr bwMode="auto">
                    <a:xfrm>
                      <a:off x="0" y="0"/>
                      <a:ext cx="5942272" cy="2523744"/>
                    </a:xfrm>
                    <a:prstGeom prst="rect">
                      <a:avLst/>
                    </a:prstGeom>
                    <a:noFill/>
                    <a:ln w="9525">
                      <a:noFill/>
                      <a:headEnd/>
                      <a:tailEnd/>
                    </a:ln>
                  </pic:spPr>
                </pic:pic>
              </a:graphicData>
            </a:graphic>
          </wp:inline>
        </w:drawing>
      </w:r>
    </w:p>
    <w:p w14:paraId="2655B233" w14:textId="77777777" w:rsidR="00CE4059" w:rsidRPr="00CD4AAD" w:rsidRDefault="00CE4059" w:rsidP="00CE4059">
      <w:pPr>
        <w:spacing w:before="0" w:beforeAutospacing="0" w:after="200" w:afterAutospacing="0"/>
        <w:rPr>
          <w:rFonts w:ascii="Arial" w:hAnsi="Arial" w:cs="Arial"/>
          <w:b/>
        </w:rPr>
      </w:pPr>
      <w:r w:rsidRPr="00417097">
        <w:rPr>
          <w:rFonts w:ascii="Arial" w:hAnsi="Arial" w:cs="Arial"/>
          <w:b/>
        </w:rPr>
        <w:br w:type="page"/>
      </w:r>
      <w:r w:rsidRPr="00CD4AAD">
        <w:rPr>
          <w:rFonts w:ascii="Arial" w:hAnsi="Arial" w:cs="Arial"/>
          <w:b/>
        </w:rPr>
        <w:lastRenderedPageBreak/>
        <w:t>eFigure 3. Histograms of time between worker exit date and date of suicide in the UAW-GM Cohort restricted to men employed in or after 1970. Bins corresponding to cases that occurred while employed are indicated in purple.</w:t>
      </w:r>
    </w:p>
    <w:p w14:paraId="40A21F9A" w14:textId="77777777" w:rsidR="00CE4059" w:rsidRPr="00417097" w:rsidRDefault="00CE4059" w:rsidP="00CE4059">
      <w:pPr>
        <w:pStyle w:val="CaptionedFigure"/>
        <w:rPr>
          <w:rFonts w:ascii="Arial" w:hAnsi="Arial" w:cs="Arial"/>
        </w:rPr>
      </w:pPr>
      <w:r w:rsidRPr="00417097">
        <w:rPr>
          <w:rFonts w:ascii="Arial" w:hAnsi="Arial" w:cs="Arial"/>
          <w:noProof/>
          <w:lang w:eastAsia="zh-CN"/>
        </w:rPr>
        <w:drawing>
          <wp:inline distT="0" distB="0" distL="0" distR="0" wp14:anchorId="5A5DF24E" wp14:editId="612570E0">
            <wp:extent cx="5935289" cy="2798064"/>
            <wp:effectExtent l="0" t="0" r="0" b="0"/>
            <wp:docPr id="5" name="Picture" descr="eFigure 3. Histograms of time between worker exit date and date of suicide in the UAW-GM Cohort restricted to men employed in or after 1970. Bins corresponding to cases that occurred while employed are indicated in 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kevchen/GM/reports/despair%20and%20job%20loss%20(Cox)/resources/images/hist_time_till_suicide_two_views_recent.png"/>
                    <pic:cNvPicPr>
                      <a:picLocks noChangeAspect="1" noChangeArrowheads="1"/>
                    </pic:cNvPicPr>
                  </pic:nvPicPr>
                  <pic:blipFill>
                    <a:blip r:embed="rId10"/>
                    <a:stretch>
                      <a:fillRect/>
                    </a:stretch>
                  </pic:blipFill>
                  <pic:spPr bwMode="auto">
                    <a:xfrm>
                      <a:off x="0" y="0"/>
                      <a:ext cx="5935289" cy="2798064"/>
                    </a:xfrm>
                    <a:prstGeom prst="rect">
                      <a:avLst/>
                    </a:prstGeom>
                    <a:noFill/>
                    <a:ln w="9525">
                      <a:noFill/>
                      <a:headEnd/>
                      <a:tailEnd/>
                    </a:ln>
                  </pic:spPr>
                </pic:pic>
              </a:graphicData>
            </a:graphic>
          </wp:inline>
        </w:drawing>
      </w:r>
    </w:p>
    <w:p w14:paraId="26A31EF4" w14:textId="77777777" w:rsidR="00CE4059" w:rsidRPr="00417097" w:rsidRDefault="00CE4059" w:rsidP="00CE4059">
      <w:pPr>
        <w:spacing w:before="0" w:beforeAutospacing="0" w:after="200" w:afterAutospacing="0"/>
        <w:rPr>
          <w:rFonts w:ascii="Arial" w:hAnsi="Arial" w:cs="Arial"/>
          <w:b/>
        </w:rPr>
      </w:pPr>
    </w:p>
    <w:p w14:paraId="5AE73F78" w14:textId="77777777" w:rsidR="00CE4059" w:rsidRPr="00417097" w:rsidRDefault="00CE4059" w:rsidP="00CE4059">
      <w:pPr>
        <w:spacing w:before="0" w:beforeAutospacing="0" w:after="200" w:afterAutospacing="0"/>
        <w:rPr>
          <w:rFonts w:ascii="Arial" w:hAnsi="Arial" w:cs="Arial"/>
          <w:b/>
        </w:rPr>
      </w:pPr>
    </w:p>
    <w:p w14:paraId="747ACDB6" w14:textId="77777777" w:rsidR="00CE4059" w:rsidRPr="00CD4AAD" w:rsidRDefault="00CE4059" w:rsidP="00CE4059">
      <w:pPr>
        <w:spacing w:before="0" w:beforeAutospacing="0" w:after="200" w:afterAutospacing="0"/>
        <w:rPr>
          <w:rFonts w:ascii="Arial" w:hAnsi="Arial" w:cs="Arial"/>
          <w:b/>
        </w:rPr>
      </w:pPr>
      <w:r w:rsidRPr="00CD4AAD">
        <w:rPr>
          <w:rFonts w:ascii="Arial" w:hAnsi="Arial" w:cs="Arial"/>
          <w:b/>
        </w:rPr>
        <w:t>eTable 1. Adjusted hazard ratio estimates for suicide and the combined outcome of suicide and fatal overdose in the UAW-GM Cohort, within five years of worker exit, restricted to men employed in or after 1970 who left work by December 31, 1994.</w:t>
      </w:r>
      <w:bookmarkStart w:id="1" w:name="_GoBack"/>
      <w:bookmarkEnd w:id="1"/>
    </w:p>
    <w:tbl>
      <w:tblPr>
        <w:tblStyle w:val="Table"/>
        <w:tblW w:w="3722" w:type="pct"/>
        <w:jc w:val="center"/>
        <w:tblLayout w:type="fixed"/>
        <w:tblCellMar>
          <w:left w:w="115" w:type="dxa"/>
          <w:right w:w="115" w:type="dxa"/>
        </w:tblCellMar>
        <w:tblLook w:val="07E0" w:firstRow="1" w:lastRow="1" w:firstColumn="1" w:lastColumn="1" w:noHBand="1" w:noVBand="1"/>
      </w:tblPr>
      <w:tblGrid>
        <w:gridCol w:w="1819"/>
        <w:gridCol w:w="250"/>
        <w:gridCol w:w="431"/>
        <w:gridCol w:w="565"/>
        <w:gridCol w:w="1259"/>
        <w:gridCol w:w="250"/>
        <w:gridCol w:w="431"/>
        <w:gridCol w:w="565"/>
        <w:gridCol w:w="1398"/>
      </w:tblGrid>
      <w:tr w:rsidR="00CE4059" w:rsidRPr="00417097" w14:paraId="21C2FCDC" w14:textId="77777777" w:rsidTr="00CE4059">
        <w:trPr>
          <w:jc w:val="center"/>
        </w:trPr>
        <w:tc>
          <w:tcPr>
            <w:tcW w:w="1875" w:type="dxa"/>
            <w:tcBorders>
              <w:top w:val="single" w:sz="4" w:space="0" w:color="auto"/>
            </w:tcBorders>
            <w:vAlign w:val="bottom"/>
          </w:tcPr>
          <w:p w14:paraId="2632A745" w14:textId="77777777" w:rsidR="00CE4059" w:rsidRPr="00417097" w:rsidRDefault="00CE4059" w:rsidP="002C68C1">
            <w:pPr>
              <w:pStyle w:val="Compact"/>
              <w:rPr>
                <w:rFonts w:ascii="Arial" w:hAnsi="Arial" w:cs="Arial"/>
              </w:rPr>
            </w:pPr>
          </w:p>
        </w:tc>
        <w:tc>
          <w:tcPr>
            <w:tcW w:w="250" w:type="dxa"/>
            <w:tcBorders>
              <w:top w:val="single" w:sz="4" w:space="0" w:color="auto"/>
            </w:tcBorders>
            <w:vAlign w:val="bottom"/>
          </w:tcPr>
          <w:p w14:paraId="0047C821" w14:textId="77777777" w:rsidR="00CE4059" w:rsidRPr="00417097" w:rsidRDefault="00CE4059" w:rsidP="002C68C1">
            <w:pPr>
              <w:rPr>
                <w:rFonts w:ascii="Arial" w:hAnsi="Arial" w:cs="Arial"/>
              </w:rPr>
            </w:pPr>
          </w:p>
        </w:tc>
        <w:tc>
          <w:tcPr>
            <w:tcW w:w="2310" w:type="dxa"/>
            <w:gridSpan w:val="3"/>
            <w:tcBorders>
              <w:top w:val="single" w:sz="4" w:space="0" w:color="auto"/>
              <w:bottom w:val="single" w:sz="4" w:space="0" w:color="auto"/>
            </w:tcBorders>
            <w:vAlign w:val="bottom"/>
          </w:tcPr>
          <w:p w14:paraId="5CD54718" w14:textId="77777777" w:rsidR="00CE4059" w:rsidRPr="00417097" w:rsidRDefault="00CE4059" w:rsidP="002C68C1">
            <w:pPr>
              <w:pStyle w:val="Compact"/>
              <w:rPr>
                <w:rFonts w:ascii="Arial" w:hAnsi="Arial" w:cs="Arial"/>
              </w:rPr>
            </w:pPr>
            <w:r w:rsidRPr="00417097">
              <w:rPr>
                <w:rFonts w:ascii="Arial" w:hAnsi="Arial" w:cs="Arial"/>
              </w:rPr>
              <w:t>Suicide</w:t>
            </w:r>
          </w:p>
        </w:tc>
        <w:tc>
          <w:tcPr>
            <w:tcW w:w="250" w:type="dxa"/>
            <w:tcBorders>
              <w:top w:val="single" w:sz="4" w:space="0" w:color="auto"/>
            </w:tcBorders>
            <w:vAlign w:val="bottom"/>
          </w:tcPr>
          <w:p w14:paraId="7D154AE5" w14:textId="77777777" w:rsidR="00CE4059" w:rsidRPr="00417097" w:rsidRDefault="00CE4059" w:rsidP="002C68C1">
            <w:pPr>
              <w:rPr>
                <w:rFonts w:ascii="Arial" w:hAnsi="Arial" w:cs="Arial"/>
              </w:rPr>
            </w:pPr>
          </w:p>
        </w:tc>
        <w:tc>
          <w:tcPr>
            <w:tcW w:w="2454" w:type="dxa"/>
            <w:gridSpan w:val="3"/>
            <w:tcBorders>
              <w:top w:val="single" w:sz="4" w:space="0" w:color="auto"/>
              <w:bottom w:val="single" w:sz="4" w:space="0" w:color="auto"/>
            </w:tcBorders>
            <w:vAlign w:val="bottom"/>
          </w:tcPr>
          <w:p w14:paraId="34E71FFD" w14:textId="77777777" w:rsidR="00CE4059" w:rsidRPr="00417097" w:rsidRDefault="00CE4059" w:rsidP="002C68C1">
            <w:pPr>
              <w:pStyle w:val="Compact"/>
              <w:rPr>
                <w:rFonts w:ascii="Arial" w:hAnsi="Arial" w:cs="Arial"/>
              </w:rPr>
            </w:pPr>
            <w:r w:rsidRPr="00417097">
              <w:rPr>
                <w:rFonts w:ascii="Arial" w:hAnsi="Arial" w:cs="Arial"/>
              </w:rPr>
              <w:t>Suicide and fatal overdose</w:t>
            </w:r>
          </w:p>
        </w:tc>
      </w:tr>
      <w:tr w:rsidR="00CE4059" w:rsidRPr="00417097" w14:paraId="4A5DED4B" w14:textId="77777777" w:rsidTr="00CE4059">
        <w:trPr>
          <w:jc w:val="center"/>
        </w:trPr>
        <w:tc>
          <w:tcPr>
            <w:tcW w:w="1875" w:type="dxa"/>
            <w:tcBorders>
              <w:bottom w:val="single" w:sz="0" w:space="0" w:color="auto"/>
            </w:tcBorders>
            <w:vAlign w:val="bottom"/>
          </w:tcPr>
          <w:p w14:paraId="506B567E" w14:textId="77777777" w:rsidR="00CE4059" w:rsidRPr="00417097" w:rsidRDefault="00CE4059" w:rsidP="002C68C1">
            <w:pPr>
              <w:pStyle w:val="Compact"/>
              <w:rPr>
                <w:rFonts w:ascii="Arial" w:hAnsi="Arial" w:cs="Arial"/>
              </w:rPr>
            </w:pPr>
            <w:r w:rsidRPr="00417097">
              <w:rPr>
                <w:rFonts w:ascii="Arial" w:hAnsi="Arial" w:cs="Arial"/>
              </w:rPr>
              <w:t>Age at worker exit</w:t>
            </w:r>
          </w:p>
        </w:tc>
        <w:tc>
          <w:tcPr>
            <w:tcW w:w="250" w:type="dxa"/>
            <w:tcBorders>
              <w:bottom w:val="single" w:sz="0" w:space="0" w:color="auto"/>
            </w:tcBorders>
            <w:vAlign w:val="bottom"/>
          </w:tcPr>
          <w:p w14:paraId="40E2000E" w14:textId="77777777" w:rsidR="00CE4059" w:rsidRPr="00417097" w:rsidRDefault="00CE4059" w:rsidP="002C68C1">
            <w:pPr>
              <w:rPr>
                <w:rFonts w:ascii="Arial" w:hAnsi="Arial" w:cs="Arial"/>
              </w:rPr>
            </w:pPr>
          </w:p>
        </w:tc>
        <w:tc>
          <w:tcPr>
            <w:tcW w:w="438" w:type="dxa"/>
            <w:tcBorders>
              <w:top w:val="single" w:sz="4" w:space="0" w:color="auto"/>
              <w:bottom w:val="single" w:sz="0" w:space="0" w:color="auto"/>
            </w:tcBorders>
            <w:vAlign w:val="bottom"/>
          </w:tcPr>
          <w:p w14:paraId="39290296" w14:textId="77777777" w:rsidR="00CE4059" w:rsidRPr="00417097" w:rsidRDefault="00CE4059" w:rsidP="002C68C1">
            <w:pPr>
              <w:pStyle w:val="Compact"/>
              <w:jc w:val="center"/>
              <w:rPr>
                <w:rFonts w:ascii="Arial" w:hAnsi="Arial" w:cs="Arial"/>
              </w:rPr>
            </w:pPr>
            <m:oMathPara>
              <m:oMath>
                <m:r>
                  <w:rPr>
                    <w:rFonts w:ascii="Cambria Math" w:hAnsi="Cambria Math" w:cs="Arial"/>
                  </w:rPr>
                  <m:t>n</m:t>
                </m:r>
              </m:oMath>
            </m:oMathPara>
          </w:p>
        </w:tc>
        <w:tc>
          <w:tcPr>
            <w:tcW w:w="576" w:type="dxa"/>
            <w:tcBorders>
              <w:top w:val="single" w:sz="4" w:space="0" w:color="auto"/>
              <w:bottom w:val="single" w:sz="0" w:space="0" w:color="auto"/>
            </w:tcBorders>
            <w:vAlign w:val="bottom"/>
          </w:tcPr>
          <w:p w14:paraId="755504BD" w14:textId="77777777" w:rsidR="00CE4059" w:rsidRPr="00417097" w:rsidRDefault="00CE4059" w:rsidP="002C68C1">
            <w:pPr>
              <w:pStyle w:val="Compact"/>
              <w:jc w:val="center"/>
              <w:rPr>
                <w:rFonts w:ascii="Arial" w:hAnsi="Arial" w:cs="Arial"/>
              </w:rPr>
            </w:pPr>
            <w:r w:rsidRPr="00417097">
              <w:rPr>
                <w:rFonts w:ascii="Arial" w:hAnsi="Arial" w:cs="Arial"/>
              </w:rPr>
              <w:t>HR</w:t>
            </w:r>
          </w:p>
        </w:tc>
        <w:tc>
          <w:tcPr>
            <w:tcW w:w="1296" w:type="dxa"/>
            <w:tcBorders>
              <w:top w:val="single" w:sz="4" w:space="0" w:color="auto"/>
              <w:bottom w:val="single" w:sz="0" w:space="0" w:color="auto"/>
            </w:tcBorders>
            <w:vAlign w:val="bottom"/>
          </w:tcPr>
          <w:p w14:paraId="59A3B51A" w14:textId="77777777" w:rsidR="00CE4059" w:rsidRPr="00417097" w:rsidRDefault="00CE4059" w:rsidP="002C68C1">
            <w:pPr>
              <w:pStyle w:val="Compact"/>
              <w:jc w:val="center"/>
              <w:rPr>
                <w:rFonts w:ascii="Arial" w:hAnsi="Arial" w:cs="Arial"/>
              </w:rPr>
            </w:pPr>
            <w:r w:rsidRPr="00417097">
              <w:rPr>
                <w:rFonts w:ascii="Arial" w:hAnsi="Arial" w:cs="Arial"/>
              </w:rPr>
              <w:t>(95% CI)</w:t>
            </w:r>
          </w:p>
        </w:tc>
        <w:tc>
          <w:tcPr>
            <w:tcW w:w="250" w:type="dxa"/>
            <w:tcBorders>
              <w:bottom w:val="single" w:sz="0" w:space="0" w:color="auto"/>
            </w:tcBorders>
            <w:vAlign w:val="bottom"/>
          </w:tcPr>
          <w:p w14:paraId="78679CC1" w14:textId="77777777" w:rsidR="00CE4059" w:rsidRPr="00417097" w:rsidRDefault="00CE4059" w:rsidP="002C68C1">
            <w:pPr>
              <w:jc w:val="center"/>
              <w:rPr>
                <w:rFonts w:ascii="Arial" w:hAnsi="Arial" w:cs="Arial"/>
              </w:rPr>
            </w:pPr>
          </w:p>
        </w:tc>
        <w:tc>
          <w:tcPr>
            <w:tcW w:w="438" w:type="dxa"/>
            <w:tcBorders>
              <w:top w:val="single" w:sz="4" w:space="0" w:color="auto"/>
              <w:bottom w:val="single" w:sz="0" w:space="0" w:color="auto"/>
            </w:tcBorders>
            <w:vAlign w:val="bottom"/>
          </w:tcPr>
          <w:p w14:paraId="39F5910C" w14:textId="77777777" w:rsidR="00CE4059" w:rsidRPr="00417097" w:rsidRDefault="00CE4059" w:rsidP="002C68C1">
            <w:pPr>
              <w:pStyle w:val="Compact"/>
              <w:jc w:val="center"/>
              <w:rPr>
                <w:rFonts w:ascii="Arial" w:hAnsi="Arial" w:cs="Arial"/>
              </w:rPr>
            </w:pPr>
            <m:oMathPara>
              <m:oMath>
                <m:r>
                  <w:rPr>
                    <w:rFonts w:ascii="Cambria Math" w:hAnsi="Cambria Math" w:cs="Arial"/>
                  </w:rPr>
                  <m:t>n</m:t>
                </m:r>
              </m:oMath>
            </m:oMathPara>
          </w:p>
        </w:tc>
        <w:tc>
          <w:tcPr>
            <w:tcW w:w="576" w:type="dxa"/>
            <w:tcBorders>
              <w:top w:val="single" w:sz="4" w:space="0" w:color="auto"/>
              <w:bottom w:val="single" w:sz="0" w:space="0" w:color="auto"/>
            </w:tcBorders>
            <w:vAlign w:val="bottom"/>
          </w:tcPr>
          <w:p w14:paraId="1CCA59CB" w14:textId="77777777" w:rsidR="00CE4059" w:rsidRPr="00417097" w:rsidRDefault="00CE4059" w:rsidP="002C68C1">
            <w:pPr>
              <w:pStyle w:val="Compact"/>
              <w:jc w:val="center"/>
              <w:rPr>
                <w:rFonts w:ascii="Arial" w:hAnsi="Arial" w:cs="Arial"/>
              </w:rPr>
            </w:pPr>
            <w:r w:rsidRPr="00417097">
              <w:rPr>
                <w:rFonts w:ascii="Arial" w:hAnsi="Arial" w:cs="Arial"/>
              </w:rPr>
              <w:t>HR</w:t>
            </w:r>
          </w:p>
        </w:tc>
        <w:tc>
          <w:tcPr>
            <w:tcW w:w="1440" w:type="dxa"/>
            <w:tcBorders>
              <w:top w:val="single" w:sz="4" w:space="0" w:color="auto"/>
              <w:bottom w:val="single" w:sz="0" w:space="0" w:color="auto"/>
            </w:tcBorders>
            <w:vAlign w:val="bottom"/>
          </w:tcPr>
          <w:p w14:paraId="19E391D2" w14:textId="77777777" w:rsidR="00CE4059" w:rsidRPr="00417097" w:rsidRDefault="00CE4059" w:rsidP="002C68C1">
            <w:pPr>
              <w:pStyle w:val="Compact"/>
              <w:jc w:val="center"/>
              <w:rPr>
                <w:rFonts w:ascii="Arial" w:hAnsi="Arial" w:cs="Arial"/>
              </w:rPr>
            </w:pPr>
            <w:r w:rsidRPr="00417097">
              <w:rPr>
                <w:rFonts w:ascii="Arial" w:hAnsi="Arial" w:cs="Arial"/>
              </w:rPr>
              <w:t>(95% CI)</w:t>
            </w:r>
          </w:p>
        </w:tc>
      </w:tr>
      <w:tr w:rsidR="00CE4059" w:rsidRPr="00417097" w14:paraId="7FA4858E" w14:textId="77777777" w:rsidTr="00CE4059">
        <w:trPr>
          <w:jc w:val="center"/>
        </w:trPr>
        <w:tc>
          <w:tcPr>
            <w:tcW w:w="1875" w:type="dxa"/>
          </w:tcPr>
          <w:p w14:paraId="10654571" w14:textId="77777777" w:rsidR="00CE4059" w:rsidRPr="00417097" w:rsidRDefault="00CE4059" w:rsidP="002C68C1">
            <w:pPr>
              <w:pStyle w:val="Compact"/>
              <w:rPr>
                <w:rFonts w:ascii="Arial" w:hAnsi="Arial" w:cs="Arial"/>
              </w:rPr>
            </w:pPr>
            <m:oMath>
              <m:r>
                <w:rPr>
                  <w:rFonts w:ascii="Cambria Math" w:hAnsi="Cambria Math" w:cs="Arial"/>
                </w:rPr>
                <m:t>55</m:t>
              </m:r>
            </m:oMath>
            <w:r w:rsidRPr="00417097">
              <w:rPr>
                <w:rFonts w:ascii="Arial" w:hAnsi="Arial" w:cs="Arial"/>
              </w:rPr>
              <w:t xml:space="preserve"> or older</w:t>
            </w:r>
          </w:p>
        </w:tc>
        <w:tc>
          <w:tcPr>
            <w:tcW w:w="250" w:type="dxa"/>
          </w:tcPr>
          <w:p w14:paraId="1825C8CF" w14:textId="77777777" w:rsidR="00CE4059" w:rsidRPr="00417097" w:rsidRDefault="00CE4059" w:rsidP="002C68C1">
            <w:pPr>
              <w:rPr>
                <w:rFonts w:ascii="Arial" w:hAnsi="Arial" w:cs="Arial"/>
              </w:rPr>
            </w:pPr>
          </w:p>
        </w:tc>
        <w:tc>
          <w:tcPr>
            <w:tcW w:w="438" w:type="dxa"/>
          </w:tcPr>
          <w:p w14:paraId="7C956EFC" w14:textId="77777777" w:rsidR="00CE4059" w:rsidRPr="00417097" w:rsidRDefault="00CE4059" w:rsidP="002C68C1">
            <w:pPr>
              <w:pStyle w:val="Compact"/>
              <w:jc w:val="center"/>
              <w:rPr>
                <w:rFonts w:ascii="Arial" w:hAnsi="Arial" w:cs="Arial"/>
              </w:rPr>
            </w:pPr>
            <m:oMathPara>
              <m:oMath>
                <m:r>
                  <w:rPr>
                    <w:rFonts w:ascii="Cambria Math" w:hAnsi="Cambria Math" w:cs="Arial"/>
                  </w:rPr>
                  <m:t>28</m:t>
                </m:r>
              </m:oMath>
            </m:oMathPara>
          </w:p>
        </w:tc>
        <w:tc>
          <w:tcPr>
            <w:tcW w:w="576" w:type="dxa"/>
          </w:tcPr>
          <w:p w14:paraId="0BCFA5D2" w14:textId="77777777" w:rsidR="00CE4059" w:rsidRPr="00417097" w:rsidRDefault="00CE4059" w:rsidP="002C68C1">
            <w:pPr>
              <w:pStyle w:val="Compact"/>
              <w:jc w:val="center"/>
              <w:rPr>
                <w:rFonts w:ascii="Arial" w:hAnsi="Arial" w:cs="Arial"/>
              </w:rPr>
            </w:pPr>
            <m:oMathPara>
              <m:oMath>
                <m:r>
                  <w:rPr>
                    <w:rFonts w:ascii="Cambria Math" w:hAnsi="Cambria Math" w:cs="Arial"/>
                  </w:rPr>
                  <m:t>1.0</m:t>
                </m:r>
              </m:oMath>
            </m:oMathPara>
          </w:p>
        </w:tc>
        <w:tc>
          <w:tcPr>
            <w:tcW w:w="1296" w:type="dxa"/>
          </w:tcPr>
          <w:p w14:paraId="38192EE6" w14:textId="77777777" w:rsidR="00CE4059" w:rsidRPr="00417097" w:rsidRDefault="00CE4059" w:rsidP="002C68C1">
            <w:pPr>
              <w:pStyle w:val="Compact"/>
              <w:jc w:val="center"/>
              <w:rPr>
                <w:rFonts w:ascii="Arial" w:hAnsi="Arial" w:cs="Arial"/>
              </w:rPr>
            </w:pPr>
            <w:r w:rsidRPr="00417097">
              <w:rPr>
                <w:rFonts w:ascii="Arial" w:hAnsi="Arial" w:cs="Arial"/>
              </w:rPr>
              <w:t>–</w:t>
            </w:r>
          </w:p>
        </w:tc>
        <w:tc>
          <w:tcPr>
            <w:tcW w:w="250" w:type="dxa"/>
          </w:tcPr>
          <w:p w14:paraId="3928FD94" w14:textId="77777777" w:rsidR="00CE4059" w:rsidRPr="00417097" w:rsidRDefault="00CE4059" w:rsidP="002C68C1">
            <w:pPr>
              <w:jc w:val="center"/>
              <w:rPr>
                <w:rFonts w:ascii="Arial" w:hAnsi="Arial" w:cs="Arial"/>
              </w:rPr>
            </w:pPr>
          </w:p>
        </w:tc>
        <w:tc>
          <w:tcPr>
            <w:tcW w:w="438" w:type="dxa"/>
          </w:tcPr>
          <w:p w14:paraId="7494F04D" w14:textId="77777777" w:rsidR="00CE4059" w:rsidRPr="00417097" w:rsidRDefault="00CE4059" w:rsidP="002C68C1">
            <w:pPr>
              <w:pStyle w:val="Compact"/>
              <w:jc w:val="center"/>
              <w:rPr>
                <w:rFonts w:ascii="Arial" w:hAnsi="Arial" w:cs="Arial"/>
              </w:rPr>
            </w:pPr>
            <m:oMathPara>
              <m:oMath>
                <m:r>
                  <w:rPr>
                    <w:rFonts w:ascii="Cambria Math" w:hAnsi="Cambria Math" w:cs="Arial"/>
                  </w:rPr>
                  <m:t>30</m:t>
                </m:r>
              </m:oMath>
            </m:oMathPara>
          </w:p>
        </w:tc>
        <w:tc>
          <w:tcPr>
            <w:tcW w:w="576" w:type="dxa"/>
          </w:tcPr>
          <w:p w14:paraId="10D3BC80" w14:textId="77777777" w:rsidR="00CE4059" w:rsidRPr="00417097" w:rsidRDefault="00CE4059" w:rsidP="002C68C1">
            <w:pPr>
              <w:pStyle w:val="Compact"/>
              <w:jc w:val="center"/>
              <w:rPr>
                <w:rFonts w:ascii="Arial" w:hAnsi="Arial" w:cs="Arial"/>
              </w:rPr>
            </w:pPr>
            <m:oMathPara>
              <m:oMath>
                <m:r>
                  <w:rPr>
                    <w:rFonts w:ascii="Cambria Math" w:hAnsi="Cambria Math" w:cs="Arial"/>
                  </w:rPr>
                  <m:t>1.0</m:t>
                </m:r>
              </m:oMath>
            </m:oMathPara>
          </w:p>
        </w:tc>
        <w:tc>
          <w:tcPr>
            <w:tcW w:w="1440" w:type="dxa"/>
          </w:tcPr>
          <w:p w14:paraId="25F33E2A" w14:textId="77777777" w:rsidR="00CE4059" w:rsidRPr="00417097" w:rsidRDefault="00CE4059" w:rsidP="002C68C1">
            <w:pPr>
              <w:pStyle w:val="Compact"/>
              <w:jc w:val="center"/>
              <w:rPr>
                <w:rFonts w:ascii="Arial" w:hAnsi="Arial" w:cs="Arial"/>
              </w:rPr>
            </w:pPr>
            <w:r w:rsidRPr="00417097">
              <w:rPr>
                <w:rFonts w:ascii="Arial" w:hAnsi="Arial" w:cs="Arial"/>
              </w:rPr>
              <w:t>–</w:t>
            </w:r>
          </w:p>
        </w:tc>
      </w:tr>
      <w:tr w:rsidR="00CE4059" w:rsidRPr="00417097" w14:paraId="5F9A3916" w14:textId="77777777" w:rsidTr="00CE4059">
        <w:trPr>
          <w:jc w:val="center"/>
        </w:trPr>
        <w:tc>
          <w:tcPr>
            <w:tcW w:w="1875" w:type="dxa"/>
          </w:tcPr>
          <w:p w14:paraId="65A4908B" w14:textId="77777777" w:rsidR="00CE4059" w:rsidRPr="00417097" w:rsidRDefault="00CE4059" w:rsidP="002C68C1">
            <w:pPr>
              <w:pStyle w:val="Compact"/>
              <w:rPr>
                <w:rFonts w:ascii="Arial" w:hAnsi="Arial" w:cs="Arial"/>
              </w:rPr>
            </w:pPr>
            <m:oMath>
              <m:r>
                <w:rPr>
                  <w:rFonts w:ascii="Cambria Math" w:hAnsi="Cambria Math" w:cs="Arial"/>
                </w:rPr>
                <m:t>40</m:t>
              </m:r>
            </m:oMath>
            <w:r w:rsidRPr="00417097">
              <w:rPr>
                <w:rFonts w:ascii="Arial" w:hAnsi="Arial" w:cs="Arial"/>
              </w:rPr>
              <w:t xml:space="preserve"> to </w:t>
            </w:r>
            <m:oMath>
              <m:r>
                <w:rPr>
                  <w:rFonts w:ascii="Cambria Math" w:hAnsi="Cambria Math" w:cs="Arial"/>
                </w:rPr>
                <m:t>54</m:t>
              </m:r>
            </m:oMath>
          </w:p>
        </w:tc>
        <w:tc>
          <w:tcPr>
            <w:tcW w:w="250" w:type="dxa"/>
          </w:tcPr>
          <w:p w14:paraId="754A1D5A" w14:textId="77777777" w:rsidR="00CE4059" w:rsidRPr="00417097" w:rsidRDefault="00CE4059" w:rsidP="002C68C1">
            <w:pPr>
              <w:rPr>
                <w:rFonts w:ascii="Arial" w:hAnsi="Arial" w:cs="Arial"/>
              </w:rPr>
            </w:pPr>
          </w:p>
        </w:tc>
        <w:tc>
          <w:tcPr>
            <w:tcW w:w="438" w:type="dxa"/>
          </w:tcPr>
          <w:p w14:paraId="37550560" w14:textId="77777777" w:rsidR="00CE4059" w:rsidRPr="00417097" w:rsidRDefault="00CE4059" w:rsidP="002C68C1">
            <w:pPr>
              <w:pStyle w:val="Compact"/>
              <w:jc w:val="center"/>
              <w:rPr>
                <w:rFonts w:ascii="Arial" w:hAnsi="Arial" w:cs="Arial"/>
              </w:rPr>
            </w:pPr>
            <m:oMathPara>
              <m:oMath>
                <m:r>
                  <w:rPr>
                    <w:rFonts w:ascii="Cambria Math" w:hAnsi="Cambria Math" w:cs="Arial"/>
                  </w:rPr>
                  <m:t>28</m:t>
                </m:r>
              </m:oMath>
            </m:oMathPara>
          </w:p>
        </w:tc>
        <w:tc>
          <w:tcPr>
            <w:tcW w:w="576" w:type="dxa"/>
          </w:tcPr>
          <w:p w14:paraId="53BBFB22" w14:textId="77777777" w:rsidR="00CE4059" w:rsidRPr="00417097" w:rsidRDefault="00CE4059" w:rsidP="002C68C1">
            <w:pPr>
              <w:pStyle w:val="Compact"/>
              <w:jc w:val="center"/>
              <w:rPr>
                <w:rFonts w:ascii="Arial" w:hAnsi="Arial" w:cs="Arial"/>
              </w:rPr>
            </w:pPr>
            <m:oMathPara>
              <m:oMath>
                <m:r>
                  <w:rPr>
                    <w:rFonts w:ascii="Cambria Math" w:hAnsi="Cambria Math" w:cs="Arial"/>
                  </w:rPr>
                  <m:t>1.3</m:t>
                </m:r>
              </m:oMath>
            </m:oMathPara>
          </w:p>
        </w:tc>
        <w:tc>
          <w:tcPr>
            <w:tcW w:w="1296" w:type="dxa"/>
          </w:tcPr>
          <w:p w14:paraId="6D9E1739" w14:textId="77777777" w:rsidR="00CE4059" w:rsidRPr="00417097" w:rsidRDefault="00CE4059" w:rsidP="002C68C1">
            <w:pPr>
              <w:pStyle w:val="Compact"/>
              <w:jc w:val="center"/>
              <w:rPr>
                <w:rFonts w:ascii="Arial" w:hAnsi="Arial" w:cs="Arial"/>
              </w:rPr>
            </w:pPr>
            <m:oMathPara>
              <m:oMath>
                <m:r>
                  <w:rPr>
                    <w:rFonts w:ascii="Cambria Math" w:hAnsi="Cambria Math" w:cs="Arial"/>
                  </w:rPr>
                  <m:t>(0.8, 2.3)</m:t>
                </m:r>
              </m:oMath>
            </m:oMathPara>
          </w:p>
        </w:tc>
        <w:tc>
          <w:tcPr>
            <w:tcW w:w="250" w:type="dxa"/>
          </w:tcPr>
          <w:p w14:paraId="64EDD7AC" w14:textId="77777777" w:rsidR="00CE4059" w:rsidRPr="00417097" w:rsidRDefault="00CE4059" w:rsidP="002C68C1">
            <w:pPr>
              <w:jc w:val="center"/>
              <w:rPr>
                <w:rFonts w:ascii="Arial" w:hAnsi="Arial" w:cs="Arial"/>
              </w:rPr>
            </w:pPr>
          </w:p>
        </w:tc>
        <w:tc>
          <w:tcPr>
            <w:tcW w:w="438" w:type="dxa"/>
          </w:tcPr>
          <w:p w14:paraId="1377C5F7" w14:textId="77777777" w:rsidR="00CE4059" w:rsidRPr="00417097" w:rsidRDefault="00CE4059" w:rsidP="002C68C1">
            <w:pPr>
              <w:pStyle w:val="Compact"/>
              <w:jc w:val="center"/>
              <w:rPr>
                <w:rFonts w:ascii="Arial" w:hAnsi="Arial" w:cs="Arial"/>
              </w:rPr>
            </w:pPr>
            <m:oMathPara>
              <m:oMath>
                <m:r>
                  <w:rPr>
                    <w:rFonts w:ascii="Cambria Math" w:hAnsi="Cambria Math" w:cs="Arial"/>
                  </w:rPr>
                  <m:t>29</m:t>
                </m:r>
              </m:oMath>
            </m:oMathPara>
          </w:p>
        </w:tc>
        <w:tc>
          <w:tcPr>
            <w:tcW w:w="576" w:type="dxa"/>
          </w:tcPr>
          <w:p w14:paraId="74F25E75" w14:textId="77777777" w:rsidR="00CE4059" w:rsidRPr="00417097" w:rsidRDefault="00CE4059" w:rsidP="002C68C1">
            <w:pPr>
              <w:pStyle w:val="Compact"/>
              <w:jc w:val="center"/>
              <w:rPr>
                <w:rFonts w:ascii="Arial" w:hAnsi="Arial" w:cs="Arial"/>
              </w:rPr>
            </w:pPr>
            <m:oMathPara>
              <m:oMath>
                <m:r>
                  <w:rPr>
                    <w:rFonts w:ascii="Cambria Math" w:hAnsi="Cambria Math" w:cs="Arial"/>
                  </w:rPr>
                  <m:t>1.3</m:t>
                </m:r>
              </m:oMath>
            </m:oMathPara>
          </w:p>
        </w:tc>
        <w:tc>
          <w:tcPr>
            <w:tcW w:w="1440" w:type="dxa"/>
          </w:tcPr>
          <w:p w14:paraId="111EA485" w14:textId="77777777" w:rsidR="00CE4059" w:rsidRPr="00417097" w:rsidRDefault="00CE4059" w:rsidP="002C68C1">
            <w:pPr>
              <w:pStyle w:val="Compact"/>
              <w:jc w:val="center"/>
              <w:rPr>
                <w:rFonts w:ascii="Arial" w:hAnsi="Arial" w:cs="Arial"/>
              </w:rPr>
            </w:pPr>
            <m:oMathPara>
              <m:oMath>
                <m:r>
                  <w:rPr>
                    <w:rFonts w:ascii="Cambria Math" w:hAnsi="Cambria Math" w:cs="Arial"/>
                  </w:rPr>
                  <m:t>(0.8, 2.3)</m:t>
                </m:r>
              </m:oMath>
            </m:oMathPara>
          </w:p>
        </w:tc>
      </w:tr>
      <w:tr w:rsidR="00CE4059" w:rsidRPr="00417097" w14:paraId="3E4E585E" w14:textId="77777777" w:rsidTr="00CE4059">
        <w:trPr>
          <w:jc w:val="center"/>
        </w:trPr>
        <w:tc>
          <w:tcPr>
            <w:tcW w:w="1875" w:type="dxa"/>
          </w:tcPr>
          <w:p w14:paraId="3A8CF8BA" w14:textId="77777777" w:rsidR="00CE4059" w:rsidRPr="00417097" w:rsidRDefault="00CE4059" w:rsidP="002C68C1">
            <w:pPr>
              <w:pStyle w:val="Compact"/>
              <w:rPr>
                <w:rFonts w:ascii="Arial" w:hAnsi="Arial" w:cs="Arial"/>
              </w:rPr>
            </w:pPr>
            <m:oMath>
              <m:r>
                <w:rPr>
                  <w:rFonts w:ascii="Cambria Math" w:hAnsi="Cambria Math" w:cs="Arial"/>
                </w:rPr>
                <m:t>30</m:t>
              </m:r>
            </m:oMath>
            <w:r w:rsidRPr="00417097">
              <w:rPr>
                <w:rFonts w:ascii="Arial" w:hAnsi="Arial" w:cs="Arial"/>
              </w:rPr>
              <w:t xml:space="preserve"> to </w:t>
            </w:r>
            <m:oMath>
              <m:r>
                <w:rPr>
                  <w:rFonts w:ascii="Cambria Math" w:hAnsi="Cambria Math" w:cs="Arial"/>
                </w:rPr>
                <m:t>39</m:t>
              </m:r>
            </m:oMath>
          </w:p>
        </w:tc>
        <w:tc>
          <w:tcPr>
            <w:tcW w:w="250" w:type="dxa"/>
          </w:tcPr>
          <w:p w14:paraId="4D2EDB73" w14:textId="77777777" w:rsidR="00CE4059" w:rsidRPr="00417097" w:rsidRDefault="00CE4059" w:rsidP="002C68C1">
            <w:pPr>
              <w:rPr>
                <w:rFonts w:ascii="Arial" w:hAnsi="Arial" w:cs="Arial"/>
              </w:rPr>
            </w:pPr>
          </w:p>
        </w:tc>
        <w:tc>
          <w:tcPr>
            <w:tcW w:w="438" w:type="dxa"/>
          </w:tcPr>
          <w:p w14:paraId="19A5A97D" w14:textId="77777777" w:rsidR="00CE4059" w:rsidRPr="00417097" w:rsidRDefault="00CE4059" w:rsidP="002C68C1">
            <w:pPr>
              <w:pStyle w:val="Compact"/>
              <w:jc w:val="center"/>
              <w:rPr>
                <w:rFonts w:ascii="Arial" w:hAnsi="Arial" w:cs="Arial"/>
              </w:rPr>
            </w:pPr>
            <m:oMathPara>
              <m:oMath>
                <m:r>
                  <w:rPr>
                    <w:rFonts w:ascii="Cambria Math" w:hAnsi="Cambria Math" w:cs="Arial"/>
                  </w:rPr>
                  <m:t>21</m:t>
                </m:r>
              </m:oMath>
            </m:oMathPara>
          </w:p>
        </w:tc>
        <w:tc>
          <w:tcPr>
            <w:tcW w:w="576" w:type="dxa"/>
          </w:tcPr>
          <w:p w14:paraId="0363EAAB" w14:textId="77777777" w:rsidR="00CE4059" w:rsidRPr="00417097" w:rsidRDefault="00CE4059" w:rsidP="002C68C1">
            <w:pPr>
              <w:pStyle w:val="Compact"/>
              <w:jc w:val="center"/>
              <w:rPr>
                <w:rFonts w:ascii="Arial" w:hAnsi="Arial" w:cs="Arial"/>
              </w:rPr>
            </w:pPr>
            <m:oMathPara>
              <m:oMath>
                <m:r>
                  <w:rPr>
                    <w:rFonts w:ascii="Cambria Math" w:hAnsi="Cambria Math" w:cs="Arial"/>
                  </w:rPr>
                  <m:t>1.7</m:t>
                </m:r>
              </m:oMath>
            </m:oMathPara>
          </w:p>
        </w:tc>
        <w:tc>
          <w:tcPr>
            <w:tcW w:w="1296" w:type="dxa"/>
          </w:tcPr>
          <w:p w14:paraId="2B2E55D3" w14:textId="77777777" w:rsidR="00CE4059" w:rsidRPr="00417097" w:rsidRDefault="00CE4059" w:rsidP="002C68C1">
            <w:pPr>
              <w:pStyle w:val="Compact"/>
              <w:jc w:val="center"/>
              <w:rPr>
                <w:rFonts w:ascii="Arial" w:hAnsi="Arial" w:cs="Arial"/>
              </w:rPr>
            </w:pPr>
            <m:oMathPara>
              <m:oMath>
                <m:r>
                  <w:rPr>
                    <w:rFonts w:ascii="Cambria Math" w:hAnsi="Cambria Math" w:cs="Arial"/>
                  </w:rPr>
                  <m:t>(1.0, 3.0)</m:t>
                </m:r>
              </m:oMath>
            </m:oMathPara>
          </w:p>
        </w:tc>
        <w:tc>
          <w:tcPr>
            <w:tcW w:w="250" w:type="dxa"/>
          </w:tcPr>
          <w:p w14:paraId="2B9F3FDE" w14:textId="77777777" w:rsidR="00CE4059" w:rsidRPr="00417097" w:rsidRDefault="00CE4059" w:rsidP="002C68C1">
            <w:pPr>
              <w:jc w:val="center"/>
              <w:rPr>
                <w:rFonts w:ascii="Arial" w:hAnsi="Arial" w:cs="Arial"/>
              </w:rPr>
            </w:pPr>
          </w:p>
        </w:tc>
        <w:tc>
          <w:tcPr>
            <w:tcW w:w="438" w:type="dxa"/>
          </w:tcPr>
          <w:p w14:paraId="1761F4AD" w14:textId="77777777" w:rsidR="00CE4059" w:rsidRPr="00417097" w:rsidRDefault="00CE4059" w:rsidP="002C68C1">
            <w:pPr>
              <w:pStyle w:val="Compact"/>
              <w:jc w:val="center"/>
              <w:rPr>
                <w:rFonts w:ascii="Arial" w:hAnsi="Arial" w:cs="Arial"/>
              </w:rPr>
            </w:pPr>
            <m:oMathPara>
              <m:oMath>
                <m:r>
                  <w:rPr>
                    <w:rFonts w:ascii="Cambria Math" w:hAnsi="Cambria Math" w:cs="Arial"/>
                  </w:rPr>
                  <m:t>26</m:t>
                </m:r>
              </m:oMath>
            </m:oMathPara>
          </w:p>
        </w:tc>
        <w:tc>
          <w:tcPr>
            <w:tcW w:w="576" w:type="dxa"/>
          </w:tcPr>
          <w:p w14:paraId="23F46033" w14:textId="77777777" w:rsidR="00CE4059" w:rsidRPr="00417097" w:rsidRDefault="00CE4059" w:rsidP="002C68C1">
            <w:pPr>
              <w:pStyle w:val="Compact"/>
              <w:jc w:val="center"/>
              <w:rPr>
                <w:rFonts w:ascii="Arial" w:hAnsi="Arial" w:cs="Arial"/>
              </w:rPr>
            </w:pPr>
            <m:oMathPara>
              <m:oMath>
                <m:r>
                  <w:rPr>
                    <w:rFonts w:ascii="Cambria Math" w:hAnsi="Cambria Math" w:cs="Arial"/>
                  </w:rPr>
                  <m:t>2.0</m:t>
                </m:r>
              </m:oMath>
            </m:oMathPara>
          </w:p>
        </w:tc>
        <w:tc>
          <w:tcPr>
            <w:tcW w:w="1440" w:type="dxa"/>
          </w:tcPr>
          <w:p w14:paraId="711B45B6" w14:textId="77777777" w:rsidR="00CE4059" w:rsidRPr="00417097" w:rsidRDefault="00CE4059" w:rsidP="002C68C1">
            <w:pPr>
              <w:pStyle w:val="Compact"/>
              <w:jc w:val="center"/>
              <w:rPr>
                <w:rFonts w:ascii="Arial" w:hAnsi="Arial" w:cs="Arial"/>
              </w:rPr>
            </w:pPr>
            <m:oMathPara>
              <m:oMath>
                <m:r>
                  <w:rPr>
                    <w:rFonts w:ascii="Cambria Math" w:hAnsi="Cambria Math" w:cs="Arial"/>
                  </w:rPr>
                  <m:t>(1.2, 3.4)</m:t>
                </m:r>
              </m:oMath>
            </m:oMathPara>
          </w:p>
        </w:tc>
      </w:tr>
      <w:tr w:rsidR="00CE4059" w:rsidRPr="00417097" w14:paraId="07029C09" w14:textId="77777777" w:rsidTr="00CE4059">
        <w:trPr>
          <w:jc w:val="center"/>
        </w:trPr>
        <w:tc>
          <w:tcPr>
            <w:tcW w:w="1875" w:type="dxa"/>
            <w:tcBorders>
              <w:bottom w:val="single" w:sz="4" w:space="0" w:color="auto"/>
            </w:tcBorders>
          </w:tcPr>
          <w:p w14:paraId="5EA0F4B9" w14:textId="77777777" w:rsidR="00CE4059" w:rsidRPr="00417097" w:rsidRDefault="00CE4059" w:rsidP="002C68C1">
            <w:pPr>
              <w:pStyle w:val="Compact"/>
              <w:rPr>
                <w:rFonts w:ascii="Arial" w:hAnsi="Arial" w:cs="Arial"/>
              </w:rPr>
            </w:pPr>
            <m:oMath>
              <m:r>
                <w:rPr>
                  <w:rFonts w:ascii="Cambria Math" w:hAnsi="Cambria Math" w:cs="Arial"/>
                </w:rPr>
                <m:t>19</m:t>
              </m:r>
            </m:oMath>
            <w:r w:rsidRPr="00417097">
              <w:rPr>
                <w:rFonts w:ascii="Arial" w:hAnsi="Arial" w:cs="Arial"/>
              </w:rPr>
              <w:t xml:space="preserve"> to </w:t>
            </w:r>
            <m:oMath>
              <m:r>
                <w:rPr>
                  <w:rFonts w:ascii="Cambria Math" w:hAnsi="Cambria Math" w:cs="Arial"/>
                </w:rPr>
                <m:t>29</m:t>
              </m:r>
            </m:oMath>
          </w:p>
        </w:tc>
        <w:tc>
          <w:tcPr>
            <w:tcW w:w="250" w:type="dxa"/>
            <w:tcBorders>
              <w:bottom w:val="single" w:sz="4" w:space="0" w:color="auto"/>
            </w:tcBorders>
          </w:tcPr>
          <w:p w14:paraId="5FD95098" w14:textId="77777777" w:rsidR="00CE4059" w:rsidRPr="00417097" w:rsidRDefault="00CE4059" w:rsidP="002C68C1">
            <w:pPr>
              <w:rPr>
                <w:rFonts w:ascii="Arial" w:hAnsi="Arial" w:cs="Arial"/>
              </w:rPr>
            </w:pPr>
          </w:p>
        </w:tc>
        <w:tc>
          <w:tcPr>
            <w:tcW w:w="438" w:type="dxa"/>
            <w:tcBorders>
              <w:bottom w:val="single" w:sz="4" w:space="0" w:color="auto"/>
            </w:tcBorders>
          </w:tcPr>
          <w:p w14:paraId="2EF5CCEF" w14:textId="77777777" w:rsidR="00CE4059" w:rsidRPr="00417097" w:rsidRDefault="00CE4059" w:rsidP="002C68C1">
            <w:pPr>
              <w:pStyle w:val="Compact"/>
              <w:jc w:val="center"/>
              <w:rPr>
                <w:rFonts w:ascii="Arial" w:hAnsi="Arial" w:cs="Arial"/>
              </w:rPr>
            </w:pPr>
            <m:oMathPara>
              <m:oMath>
                <m:r>
                  <w:rPr>
                    <w:rFonts w:ascii="Cambria Math" w:hAnsi="Cambria Math" w:cs="Arial"/>
                  </w:rPr>
                  <m:t>9</m:t>
                </m:r>
              </m:oMath>
            </m:oMathPara>
          </w:p>
        </w:tc>
        <w:tc>
          <w:tcPr>
            <w:tcW w:w="576" w:type="dxa"/>
            <w:tcBorders>
              <w:bottom w:val="single" w:sz="4" w:space="0" w:color="auto"/>
            </w:tcBorders>
          </w:tcPr>
          <w:p w14:paraId="26C3AE04" w14:textId="77777777" w:rsidR="00CE4059" w:rsidRPr="00417097" w:rsidRDefault="00CE4059" w:rsidP="002C68C1">
            <w:pPr>
              <w:pStyle w:val="Compact"/>
              <w:jc w:val="center"/>
              <w:rPr>
                <w:rFonts w:ascii="Arial" w:hAnsi="Arial" w:cs="Arial"/>
              </w:rPr>
            </w:pPr>
            <m:oMathPara>
              <m:oMath>
                <m:r>
                  <w:rPr>
                    <w:rFonts w:ascii="Cambria Math" w:hAnsi="Cambria Math" w:cs="Arial"/>
                  </w:rPr>
                  <m:t>1.2</m:t>
                </m:r>
              </m:oMath>
            </m:oMathPara>
          </w:p>
        </w:tc>
        <w:tc>
          <w:tcPr>
            <w:tcW w:w="1296" w:type="dxa"/>
            <w:tcBorders>
              <w:bottom w:val="single" w:sz="4" w:space="0" w:color="auto"/>
            </w:tcBorders>
          </w:tcPr>
          <w:p w14:paraId="3BF783FA" w14:textId="77777777" w:rsidR="00CE4059" w:rsidRPr="00417097" w:rsidRDefault="00CE4059" w:rsidP="002C68C1">
            <w:pPr>
              <w:pStyle w:val="Compact"/>
              <w:jc w:val="center"/>
              <w:rPr>
                <w:rFonts w:ascii="Arial" w:hAnsi="Arial" w:cs="Arial"/>
              </w:rPr>
            </w:pPr>
            <m:oMathPara>
              <m:oMath>
                <m:r>
                  <w:rPr>
                    <w:rFonts w:ascii="Cambria Math" w:hAnsi="Cambria Math" w:cs="Arial"/>
                  </w:rPr>
                  <m:t>(0.5, 2.6)</m:t>
                </m:r>
              </m:oMath>
            </m:oMathPara>
          </w:p>
        </w:tc>
        <w:tc>
          <w:tcPr>
            <w:tcW w:w="250" w:type="dxa"/>
            <w:tcBorders>
              <w:bottom w:val="single" w:sz="4" w:space="0" w:color="auto"/>
            </w:tcBorders>
          </w:tcPr>
          <w:p w14:paraId="218EF453" w14:textId="77777777" w:rsidR="00CE4059" w:rsidRPr="00417097" w:rsidRDefault="00CE4059" w:rsidP="002C68C1">
            <w:pPr>
              <w:jc w:val="center"/>
              <w:rPr>
                <w:rFonts w:ascii="Arial" w:hAnsi="Arial" w:cs="Arial"/>
              </w:rPr>
            </w:pPr>
          </w:p>
        </w:tc>
        <w:tc>
          <w:tcPr>
            <w:tcW w:w="438" w:type="dxa"/>
            <w:tcBorders>
              <w:bottom w:val="single" w:sz="4" w:space="0" w:color="auto"/>
            </w:tcBorders>
          </w:tcPr>
          <w:p w14:paraId="043FDA37" w14:textId="77777777" w:rsidR="00CE4059" w:rsidRPr="00417097" w:rsidRDefault="00CE4059" w:rsidP="002C68C1">
            <w:pPr>
              <w:pStyle w:val="Compact"/>
              <w:jc w:val="center"/>
              <w:rPr>
                <w:rFonts w:ascii="Arial" w:hAnsi="Arial" w:cs="Arial"/>
              </w:rPr>
            </w:pPr>
            <m:oMathPara>
              <m:oMath>
                <m:r>
                  <w:rPr>
                    <w:rFonts w:ascii="Cambria Math" w:hAnsi="Cambria Math" w:cs="Arial"/>
                  </w:rPr>
                  <m:t>13</m:t>
                </m:r>
              </m:oMath>
            </m:oMathPara>
          </w:p>
        </w:tc>
        <w:tc>
          <w:tcPr>
            <w:tcW w:w="576" w:type="dxa"/>
            <w:tcBorders>
              <w:bottom w:val="single" w:sz="4" w:space="0" w:color="auto"/>
            </w:tcBorders>
          </w:tcPr>
          <w:p w14:paraId="20A31D17" w14:textId="77777777" w:rsidR="00CE4059" w:rsidRPr="00417097" w:rsidRDefault="00CE4059" w:rsidP="002C68C1">
            <w:pPr>
              <w:pStyle w:val="Compact"/>
              <w:jc w:val="center"/>
              <w:rPr>
                <w:rFonts w:ascii="Arial" w:hAnsi="Arial" w:cs="Arial"/>
              </w:rPr>
            </w:pPr>
            <m:oMathPara>
              <m:oMath>
                <m:r>
                  <w:rPr>
                    <w:rFonts w:ascii="Cambria Math" w:hAnsi="Cambria Math" w:cs="Arial"/>
                  </w:rPr>
                  <m:t>1.7</m:t>
                </m:r>
              </m:oMath>
            </m:oMathPara>
          </w:p>
        </w:tc>
        <w:tc>
          <w:tcPr>
            <w:tcW w:w="1440" w:type="dxa"/>
            <w:tcBorders>
              <w:bottom w:val="single" w:sz="4" w:space="0" w:color="auto"/>
            </w:tcBorders>
          </w:tcPr>
          <w:p w14:paraId="2C9FBC2C" w14:textId="77777777" w:rsidR="00CE4059" w:rsidRPr="00417097" w:rsidRDefault="00CE4059" w:rsidP="002C68C1">
            <w:pPr>
              <w:pStyle w:val="Compact"/>
              <w:jc w:val="center"/>
              <w:rPr>
                <w:rFonts w:ascii="Arial" w:hAnsi="Arial" w:cs="Arial"/>
              </w:rPr>
            </w:pPr>
            <m:oMathPara>
              <m:oMath>
                <m:r>
                  <w:rPr>
                    <w:rFonts w:ascii="Cambria Math" w:hAnsi="Cambria Math" w:cs="Arial"/>
                  </w:rPr>
                  <m:t>(0.8, 3.4)</m:t>
                </m:r>
              </m:oMath>
            </m:oMathPara>
          </w:p>
        </w:tc>
      </w:tr>
      <w:tr w:rsidR="00CE4059" w:rsidRPr="00417097" w14:paraId="5680D1DA" w14:textId="77777777" w:rsidTr="00CE4059">
        <w:trPr>
          <w:jc w:val="center"/>
        </w:trPr>
        <w:tc>
          <w:tcPr>
            <w:tcW w:w="7139" w:type="dxa"/>
            <w:gridSpan w:val="9"/>
            <w:tcBorders>
              <w:top w:val="single" w:sz="4" w:space="0" w:color="auto"/>
              <w:bottom w:val="single" w:sz="4" w:space="0" w:color="auto"/>
            </w:tcBorders>
          </w:tcPr>
          <w:p w14:paraId="0A28B3A7" w14:textId="77777777" w:rsidR="00CE4059" w:rsidRPr="00C81A15" w:rsidRDefault="00CE4059" w:rsidP="002C68C1">
            <w:pPr>
              <w:rPr>
                <w:rFonts w:ascii="Arial" w:hAnsi="Arial" w:cs="Arial"/>
                <w:sz w:val="16"/>
                <w:szCs w:val="16"/>
              </w:rPr>
            </w:pPr>
            <w:r w:rsidRPr="00C81A15">
              <w:rPr>
                <w:rFonts w:ascii="Arial" w:hAnsi="Arial" w:cs="Arial"/>
                <w:sz w:val="16"/>
                <w:szCs w:val="16"/>
              </w:rPr>
              <w:t>Estimates were adjusted for race, plant, and worker exit date. Risk sets were indexed by time since worker exit. Women and those with unknown date of worker exit were excluded from this analysis.</w:t>
            </w:r>
          </w:p>
        </w:tc>
      </w:tr>
    </w:tbl>
    <w:p w14:paraId="63F808BB" w14:textId="4602967A" w:rsidR="00CE4059" w:rsidRPr="00CD4AAD" w:rsidRDefault="00CE4059" w:rsidP="00CE4059">
      <w:pPr>
        <w:spacing w:before="0" w:beforeAutospacing="0" w:after="200" w:afterAutospacing="0"/>
        <w:rPr>
          <w:rFonts w:ascii="Arial" w:hAnsi="Arial" w:cs="Arial"/>
          <w:b/>
        </w:rPr>
      </w:pPr>
      <w:r w:rsidRPr="00417097">
        <w:rPr>
          <w:rFonts w:ascii="Arial" w:hAnsi="Arial" w:cs="Arial"/>
          <w:b/>
        </w:rPr>
        <w:br w:type="page"/>
      </w:r>
      <w:r w:rsidRPr="00CD4AAD">
        <w:rPr>
          <w:rFonts w:ascii="Arial" w:hAnsi="Arial" w:cs="Arial"/>
          <w:b/>
        </w:rPr>
        <w:lastRenderedPageBreak/>
        <w:t>eFigure 4. Continuous adjusted hazard ratio estimates for suicide and the combined outcome of suicide and fatal overdose in the UAW-GM Cohort restricted to men employed in or after 1970.</w:t>
      </w:r>
    </w:p>
    <w:p w14:paraId="3D73CB85" w14:textId="77777777" w:rsidR="00CE4059" w:rsidRPr="00316636" w:rsidRDefault="00CE4059" w:rsidP="00CE4059">
      <w:pPr>
        <w:pStyle w:val="CaptionedFigure"/>
        <w:rPr>
          <w:rFonts w:cs="Times New Roman"/>
        </w:rPr>
      </w:pPr>
      <w:r w:rsidRPr="00316636">
        <w:rPr>
          <w:rFonts w:cs="Times New Roman"/>
          <w:noProof/>
          <w:lang w:eastAsia="zh-CN"/>
        </w:rPr>
        <w:drawing>
          <wp:inline distT="0" distB="0" distL="0" distR="0" wp14:anchorId="746839B5" wp14:editId="5D7ACA04">
            <wp:extent cx="5950101" cy="2779776"/>
            <wp:effectExtent l="0" t="0" r="0" b="0"/>
            <wp:docPr id="8" name="Picture" descr="eFigure 5. Continuous adjusted hazard ratio estimates for suicide and the combined outcome of suicide and fatal overose in the UAW-GM Cohort restricted to men employed in or after 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kevchen/GM/reports/despair%20and%20job%20loss%20(Cox)/resources/splines/images/despair_suicide_by_age_jobloss_recent.png"/>
                    <pic:cNvPicPr>
                      <a:picLocks noChangeAspect="1" noChangeArrowheads="1"/>
                    </pic:cNvPicPr>
                  </pic:nvPicPr>
                  <pic:blipFill>
                    <a:blip r:embed="rId11"/>
                    <a:stretch>
                      <a:fillRect/>
                    </a:stretch>
                  </pic:blipFill>
                  <pic:spPr bwMode="auto">
                    <a:xfrm>
                      <a:off x="0" y="0"/>
                      <a:ext cx="5950101" cy="2779776"/>
                    </a:xfrm>
                    <a:prstGeom prst="rect">
                      <a:avLst/>
                    </a:prstGeom>
                    <a:noFill/>
                    <a:ln w="9525">
                      <a:noFill/>
                      <a:headEnd/>
                      <a:tailEnd/>
                    </a:ln>
                  </pic:spPr>
                </pic:pic>
              </a:graphicData>
            </a:graphic>
          </wp:inline>
        </w:drawing>
      </w:r>
    </w:p>
    <w:sectPr w:rsidR="00CE4059" w:rsidRPr="003166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95966" w14:textId="77777777" w:rsidR="00905222" w:rsidRDefault="00905222">
      <w:pPr>
        <w:spacing w:after="0"/>
      </w:pPr>
      <w:r>
        <w:separator/>
      </w:r>
    </w:p>
  </w:endnote>
  <w:endnote w:type="continuationSeparator" w:id="0">
    <w:p w14:paraId="24D63D9F" w14:textId="77777777" w:rsidR="00905222" w:rsidRDefault="009052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66B06C" w14:textId="77777777" w:rsidR="00905222" w:rsidRDefault="00905222">
      <w:r>
        <w:separator/>
      </w:r>
    </w:p>
  </w:footnote>
  <w:footnote w:type="continuationSeparator" w:id="0">
    <w:p w14:paraId="298B6D3A" w14:textId="77777777" w:rsidR="00905222" w:rsidRDefault="009052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6CAAA7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9FC50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3FEB1A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7E28B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99AAFD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60847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5AB8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A54353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4263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208A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AFC8A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97D686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65ED7A1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23F0"/>
    <w:rsid w:val="00042BFB"/>
    <w:rsid w:val="000439E6"/>
    <w:rsid w:val="00046EBA"/>
    <w:rsid w:val="00067EFC"/>
    <w:rsid w:val="00070827"/>
    <w:rsid w:val="00074D2B"/>
    <w:rsid w:val="000861AF"/>
    <w:rsid w:val="000A4683"/>
    <w:rsid w:val="000C2967"/>
    <w:rsid w:val="000C7039"/>
    <w:rsid w:val="000E6EBD"/>
    <w:rsid w:val="0010719D"/>
    <w:rsid w:val="00111617"/>
    <w:rsid w:val="00126A46"/>
    <w:rsid w:val="00131C07"/>
    <w:rsid w:val="00134470"/>
    <w:rsid w:val="00137118"/>
    <w:rsid w:val="00150858"/>
    <w:rsid w:val="00154001"/>
    <w:rsid w:val="00193DC9"/>
    <w:rsid w:val="001B017B"/>
    <w:rsid w:val="001C11A9"/>
    <w:rsid w:val="001D5422"/>
    <w:rsid w:val="001E2F4D"/>
    <w:rsid w:val="001E4C1C"/>
    <w:rsid w:val="001E5AD7"/>
    <w:rsid w:val="001E7383"/>
    <w:rsid w:val="001F729E"/>
    <w:rsid w:val="0020138C"/>
    <w:rsid w:val="00204478"/>
    <w:rsid w:val="00212FA4"/>
    <w:rsid w:val="00226219"/>
    <w:rsid w:val="00251AB6"/>
    <w:rsid w:val="00256910"/>
    <w:rsid w:val="00256B69"/>
    <w:rsid w:val="00261F9C"/>
    <w:rsid w:val="0026363D"/>
    <w:rsid w:val="00275CDC"/>
    <w:rsid w:val="002762AC"/>
    <w:rsid w:val="002A0DC4"/>
    <w:rsid w:val="002B27A8"/>
    <w:rsid w:val="002B7A0F"/>
    <w:rsid w:val="002C2725"/>
    <w:rsid w:val="002C31E6"/>
    <w:rsid w:val="002F68BC"/>
    <w:rsid w:val="00316636"/>
    <w:rsid w:val="00322BBB"/>
    <w:rsid w:val="00325E17"/>
    <w:rsid w:val="00342F37"/>
    <w:rsid w:val="00346850"/>
    <w:rsid w:val="0034690F"/>
    <w:rsid w:val="003572C3"/>
    <w:rsid w:val="00384E0A"/>
    <w:rsid w:val="0038630C"/>
    <w:rsid w:val="00387DAB"/>
    <w:rsid w:val="0039364B"/>
    <w:rsid w:val="003A2F99"/>
    <w:rsid w:val="003A4579"/>
    <w:rsid w:val="003A5400"/>
    <w:rsid w:val="003A66F2"/>
    <w:rsid w:val="003D5B35"/>
    <w:rsid w:val="003E079B"/>
    <w:rsid w:val="003E3F09"/>
    <w:rsid w:val="003F1740"/>
    <w:rsid w:val="004030FA"/>
    <w:rsid w:val="00417097"/>
    <w:rsid w:val="00427D36"/>
    <w:rsid w:val="00447DD1"/>
    <w:rsid w:val="004552B2"/>
    <w:rsid w:val="0045786F"/>
    <w:rsid w:val="00482EC9"/>
    <w:rsid w:val="00483E39"/>
    <w:rsid w:val="004933D7"/>
    <w:rsid w:val="004A3951"/>
    <w:rsid w:val="004A780C"/>
    <w:rsid w:val="004C40E9"/>
    <w:rsid w:val="004D3FFC"/>
    <w:rsid w:val="004E07F1"/>
    <w:rsid w:val="004E29B3"/>
    <w:rsid w:val="004E3030"/>
    <w:rsid w:val="004F0D21"/>
    <w:rsid w:val="00505D11"/>
    <w:rsid w:val="0051203E"/>
    <w:rsid w:val="00522B89"/>
    <w:rsid w:val="00533917"/>
    <w:rsid w:val="005358E2"/>
    <w:rsid w:val="005437BE"/>
    <w:rsid w:val="00544F8A"/>
    <w:rsid w:val="005622B7"/>
    <w:rsid w:val="00582C88"/>
    <w:rsid w:val="005839F3"/>
    <w:rsid w:val="00590D07"/>
    <w:rsid w:val="00596AB3"/>
    <w:rsid w:val="005B3DCF"/>
    <w:rsid w:val="005D27DD"/>
    <w:rsid w:val="005D7710"/>
    <w:rsid w:val="005D7946"/>
    <w:rsid w:val="0060016F"/>
    <w:rsid w:val="006017B5"/>
    <w:rsid w:val="00633154"/>
    <w:rsid w:val="00642782"/>
    <w:rsid w:val="00664145"/>
    <w:rsid w:val="00690F68"/>
    <w:rsid w:val="00695B14"/>
    <w:rsid w:val="0069645C"/>
    <w:rsid w:val="006B770F"/>
    <w:rsid w:val="006C3550"/>
    <w:rsid w:val="006C4753"/>
    <w:rsid w:val="006C5D08"/>
    <w:rsid w:val="006E6A32"/>
    <w:rsid w:val="006F2223"/>
    <w:rsid w:val="00703D95"/>
    <w:rsid w:val="00704CB3"/>
    <w:rsid w:val="00715D6E"/>
    <w:rsid w:val="00736FB0"/>
    <w:rsid w:val="00745EBF"/>
    <w:rsid w:val="00747FA6"/>
    <w:rsid w:val="00764A61"/>
    <w:rsid w:val="00784D58"/>
    <w:rsid w:val="007B4068"/>
    <w:rsid w:val="007C2CA6"/>
    <w:rsid w:val="007D533F"/>
    <w:rsid w:val="007D5BF3"/>
    <w:rsid w:val="0082787B"/>
    <w:rsid w:val="00851511"/>
    <w:rsid w:val="00861DA6"/>
    <w:rsid w:val="00865C3E"/>
    <w:rsid w:val="0087428C"/>
    <w:rsid w:val="00895B77"/>
    <w:rsid w:val="00896868"/>
    <w:rsid w:val="00896979"/>
    <w:rsid w:val="008A32C1"/>
    <w:rsid w:val="008B09C4"/>
    <w:rsid w:val="008D1009"/>
    <w:rsid w:val="008D4F22"/>
    <w:rsid w:val="008D58E1"/>
    <w:rsid w:val="008D6863"/>
    <w:rsid w:val="00905222"/>
    <w:rsid w:val="0091266D"/>
    <w:rsid w:val="00923E05"/>
    <w:rsid w:val="009513EA"/>
    <w:rsid w:val="00974F81"/>
    <w:rsid w:val="00984462"/>
    <w:rsid w:val="00984C97"/>
    <w:rsid w:val="009931A1"/>
    <w:rsid w:val="00997DA8"/>
    <w:rsid w:val="009A1914"/>
    <w:rsid w:val="009B045B"/>
    <w:rsid w:val="009B2B8A"/>
    <w:rsid w:val="009C0ED3"/>
    <w:rsid w:val="009D2B27"/>
    <w:rsid w:val="009E2232"/>
    <w:rsid w:val="009F1C6B"/>
    <w:rsid w:val="00A013B7"/>
    <w:rsid w:val="00A10DBE"/>
    <w:rsid w:val="00A158E6"/>
    <w:rsid w:val="00A25703"/>
    <w:rsid w:val="00A37282"/>
    <w:rsid w:val="00A50B42"/>
    <w:rsid w:val="00A53C2F"/>
    <w:rsid w:val="00A54719"/>
    <w:rsid w:val="00A61D1B"/>
    <w:rsid w:val="00A64FD9"/>
    <w:rsid w:val="00A72E85"/>
    <w:rsid w:val="00A763C8"/>
    <w:rsid w:val="00A90D02"/>
    <w:rsid w:val="00AA3DCA"/>
    <w:rsid w:val="00AA5FAF"/>
    <w:rsid w:val="00AB1059"/>
    <w:rsid w:val="00AC605A"/>
    <w:rsid w:val="00AC66AD"/>
    <w:rsid w:val="00AD47B3"/>
    <w:rsid w:val="00AD7703"/>
    <w:rsid w:val="00AE0D8D"/>
    <w:rsid w:val="00AF7E22"/>
    <w:rsid w:val="00B057F3"/>
    <w:rsid w:val="00B16E2D"/>
    <w:rsid w:val="00B21529"/>
    <w:rsid w:val="00B22906"/>
    <w:rsid w:val="00B41B99"/>
    <w:rsid w:val="00B50D14"/>
    <w:rsid w:val="00B67C30"/>
    <w:rsid w:val="00B7459E"/>
    <w:rsid w:val="00B81679"/>
    <w:rsid w:val="00B83C58"/>
    <w:rsid w:val="00B85085"/>
    <w:rsid w:val="00B86B75"/>
    <w:rsid w:val="00B87F12"/>
    <w:rsid w:val="00BA21A0"/>
    <w:rsid w:val="00BA5BCC"/>
    <w:rsid w:val="00BA6CF3"/>
    <w:rsid w:val="00BB17DB"/>
    <w:rsid w:val="00BB2604"/>
    <w:rsid w:val="00BC0B05"/>
    <w:rsid w:val="00BC270C"/>
    <w:rsid w:val="00BC48D5"/>
    <w:rsid w:val="00BD3328"/>
    <w:rsid w:val="00BE0060"/>
    <w:rsid w:val="00BE0DF0"/>
    <w:rsid w:val="00BF3786"/>
    <w:rsid w:val="00C01A70"/>
    <w:rsid w:val="00C0532F"/>
    <w:rsid w:val="00C05E2D"/>
    <w:rsid w:val="00C11408"/>
    <w:rsid w:val="00C1479A"/>
    <w:rsid w:val="00C30DEB"/>
    <w:rsid w:val="00C36279"/>
    <w:rsid w:val="00C367B7"/>
    <w:rsid w:val="00C36E76"/>
    <w:rsid w:val="00C42200"/>
    <w:rsid w:val="00C5039A"/>
    <w:rsid w:val="00C77D67"/>
    <w:rsid w:val="00C81A15"/>
    <w:rsid w:val="00C84D2D"/>
    <w:rsid w:val="00CA0A77"/>
    <w:rsid w:val="00CA441C"/>
    <w:rsid w:val="00CD4AAD"/>
    <w:rsid w:val="00CE4059"/>
    <w:rsid w:val="00CF3DE8"/>
    <w:rsid w:val="00D036E4"/>
    <w:rsid w:val="00D051D7"/>
    <w:rsid w:val="00D15BC5"/>
    <w:rsid w:val="00D178C6"/>
    <w:rsid w:val="00D3435E"/>
    <w:rsid w:val="00D42708"/>
    <w:rsid w:val="00D43F57"/>
    <w:rsid w:val="00D44E33"/>
    <w:rsid w:val="00D4770F"/>
    <w:rsid w:val="00D53B57"/>
    <w:rsid w:val="00D53B7C"/>
    <w:rsid w:val="00D65C0D"/>
    <w:rsid w:val="00D92BA7"/>
    <w:rsid w:val="00DA5121"/>
    <w:rsid w:val="00DB3727"/>
    <w:rsid w:val="00DC0881"/>
    <w:rsid w:val="00DC660C"/>
    <w:rsid w:val="00DE2EF8"/>
    <w:rsid w:val="00DE669C"/>
    <w:rsid w:val="00DF4900"/>
    <w:rsid w:val="00E10BC6"/>
    <w:rsid w:val="00E15BCB"/>
    <w:rsid w:val="00E315A3"/>
    <w:rsid w:val="00E35184"/>
    <w:rsid w:val="00E43C2C"/>
    <w:rsid w:val="00E531CA"/>
    <w:rsid w:val="00E6341D"/>
    <w:rsid w:val="00E64809"/>
    <w:rsid w:val="00E66DC4"/>
    <w:rsid w:val="00E76078"/>
    <w:rsid w:val="00E766B6"/>
    <w:rsid w:val="00E83458"/>
    <w:rsid w:val="00EB5F38"/>
    <w:rsid w:val="00EC5A66"/>
    <w:rsid w:val="00ED1415"/>
    <w:rsid w:val="00ED6563"/>
    <w:rsid w:val="00ED6B69"/>
    <w:rsid w:val="00EE6427"/>
    <w:rsid w:val="00F2255C"/>
    <w:rsid w:val="00F33ECE"/>
    <w:rsid w:val="00F379C0"/>
    <w:rsid w:val="00F46D21"/>
    <w:rsid w:val="00F50105"/>
    <w:rsid w:val="00F70394"/>
    <w:rsid w:val="00F730A8"/>
    <w:rsid w:val="00F76B43"/>
    <w:rsid w:val="00F775DC"/>
    <w:rsid w:val="00F806A9"/>
    <w:rsid w:val="00F83229"/>
    <w:rsid w:val="00F90AC6"/>
    <w:rsid w:val="00FB4CF1"/>
    <w:rsid w:val="00FC6BEE"/>
    <w:rsid w:val="00FD605D"/>
    <w:rsid w:val="00FD6333"/>
    <w:rsid w:val="00FD6DDD"/>
    <w:rsid w:val="00FF177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0145A"/>
  <w15:docId w15:val="{960C7456-D305-402D-BA17-A16EFB261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917"/>
    <w:pPr>
      <w:spacing w:before="100" w:beforeAutospacing="1" w:after="100" w:afterAutospacing="1"/>
    </w:pPr>
    <w:rPr>
      <w:rFonts w:ascii="Times New Roman" w:eastAsia="KaiTi" w:hAnsi="Times New Roman"/>
      <w:sz w:val="20"/>
      <w:szCs w:val="20"/>
    </w:rPr>
  </w:style>
  <w:style w:type="paragraph" w:styleId="Heading1">
    <w:name w:val="heading 1"/>
    <w:basedOn w:val="Normal"/>
    <w:next w:val="BodyText"/>
    <w:uiPriority w:val="9"/>
    <w:qFormat/>
    <w:rsid w:val="00533917"/>
    <w:pPr>
      <w:keepNext/>
      <w:keepLines/>
      <w:spacing w:before="480" w:after="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BodyText"/>
    <w:uiPriority w:val="9"/>
    <w:unhideWhenUsed/>
    <w:qFormat/>
    <w:rsid w:val="00533917"/>
    <w:pPr>
      <w:keepNext/>
      <w:keepLines/>
      <w:spacing w:before="200" w:after="0"/>
      <w:outlineLvl w:val="1"/>
    </w:pPr>
    <w:rPr>
      <w:rFonts w:asciiTheme="majorHAnsi" w:eastAsiaTheme="majorEastAsia" w:hAnsiTheme="majorHAnsi" w:cstheme="majorBidi"/>
      <w:b/>
      <w:bCs/>
      <w:color w:val="4F81BD" w:themeColor="accent1"/>
      <w:sz w:val="22"/>
      <w:szCs w:val="32"/>
    </w:rPr>
  </w:style>
  <w:style w:type="paragraph" w:styleId="Heading3">
    <w:name w:val="heading 3"/>
    <w:basedOn w:val="Normal"/>
    <w:next w:val="BodyText"/>
    <w:uiPriority w:val="9"/>
    <w:unhideWhenUsed/>
    <w:qFormat/>
    <w:rsid w:val="00533917"/>
    <w:pPr>
      <w:keepNext/>
      <w:keepLines/>
      <w:spacing w:before="200" w:after="0"/>
      <w:outlineLvl w:val="2"/>
    </w:pPr>
    <w:rPr>
      <w:rFonts w:asciiTheme="majorHAnsi" w:eastAsiaTheme="majorEastAsia" w:hAnsiTheme="majorHAnsi" w:cstheme="majorBidi"/>
      <w:b/>
      <w:bCs/>
      <w:color w:val="4F81BD" w:themeColor="accent1"/>
      <w:sz w:val="22"/>
      <w:szCs w:val="28"/>
    </w:rPr>
  </w:style>
  <w:style w:type="paragraph" w:styleId="Heading4">
    <w:name w:val="heading 4"/>
    <w:basedOn w:val="Normal"/>
    <w:next w:val="BodyText"/>
    <w:uiPriority w:val="9"/>
    <w:unhideWhenUsed/>
    <w:qFormat/>
    <w:rsid w:val="00533917"/>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533917"/>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533917"/>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533917"/>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533917"/>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533917"/>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533917"/>
    <w:pPr>
      <w:spacing w:before="180" w:after="180"/>
    </w:pPr>
  </w:style>
  <w:style w:type="paragraph" w:customStyle="1" w:styleId="FirstParagraph">
    <w:name w:val="First Paragraph"/>
    <w:basedOn w:val="BodyText"/>
    <w:next w:val="BodyText"/>
    <w:qFormat/>
    <w:rsid w:val="00533917"/>
  </w:style>
  <w:style w:type="paragraph" w:customStyle="1" w:styleId="Compact">
    <w:name w:val="Compact"/>
    <w:basedOn w:val="BodyText"/>
    <w:qFormat/>
    <w:rsid w:val="00533917"/>
    <w:pPr>
      <w:spacing w:before="0" w:beforeAutospacing="0" w:after="0" w:afterAutospacing="0"/>
    </w:pPr>
  </w:style>
  <w:style w:type="paragraph" w:styleId="Title">
    <w:name w:val="Title"/>
    <w:basedOn w:val="Normal"/>
    <w:next w:val="BodyText"/>
    <w:qFormat/>
    <w:rsid w:val="00533917"/>
    <w:pPr>
      <w:keepNext/>
      <w:keepLines/>
      <w:spacing w:before="480" w:after="240"/>
      <w:jc w:val="center"/>
    </w:pPr>
    <w:rPr>
      <w:rFonts w:asciiTheme="majorHAnsi" w:eastAsiaTheme="majorEastAsia" w:hAnsiTheme="majorHAnsi" w:cstheme="majorBidi"/>
      <w:b/>
      <w:bCs/>
      <w:color w:val="345A8A" w:themeColor="accent1" w:themeShade="B5"/>
      <w:sz w:val="28"/>
      <w:szCs w:val="36"/>
    </w:rPr>
  </w:style>
  <w:style w:type="paragraph" w:styleId="Subtitle">
    <w:name w:val="Subtitle"/>
    <w:basedOn w:val="Title"/>
    <w:next w:val="BodyText"/>
    <w:qFormat/>
    <w:rsid w:val="00533917"/>
    <w:pPr>
      <w:spacing w:before="240"/>
    </w:pPr>
    <w:rPr>
      <w:bCs w:val="0"/>
      <w:sz w:val="24"/>
      <w:szCs w:val="30"/>
    </w:rPr>
  </w:style>
  <w:style w:type="paragraph" w:customStyle="1" w:styleId="Author">
    <w:name w:val="Author"/>
    <w:next w:val="BodyText"/>
    <w:qFormat/>
    <w:rsid w:val="00533917"/>
    <w:pPr>
      <w:keepNext/>
      <w:keepLines/>
      <w:spacing w:after="120"/>
      <w:jc w:val="center"/>
    </w:pPr>
    <w:rPr>
      <w:rFonts w:asciiTheme="majorHAnsi" w:eastAsiaTheme="majorEastAsia" w:hAnsiTheme="majorHAnsi" w:cstheme="majorBidi"/>
      <w:bCs/>
      <w:color w:val="345A8A"/>
      <w:sz w:val="22"/>
      <w:szCs w:val="36"/>
    </w:rPr>
  </w:style>
  <w:style w:type="paragraph" w:styleId="Date">
    <w:name w:val="Date"/>
    <w:next w:val="BodyText"/>
    <w:qFormat/>
    <w:rsid w:val="00533917"/>
    <w:pPr>
      <w:keepNext/>
      <w:keepLines/>
      <w:spacing w:after="120"/>
      <w:jc w:val="center"/>
    </w:pPr>
    <w:rPr>
      <w:rFonts w:asciiTheme="majorHAnsi" w:eastAsiaTheme="majorEastAsia" w:hAnsiTheme="majorHAnsi" w:cstheme="majorBidi"/>
      <w:bCs/>
      <w:color w:val="345A8A"/>
      <w:sz w:val="22"/>
      <w:szCs w:val="36"/>
    </w:rPr>
  </w:style>
  <w:style w:type="paragraph" w:customStyle="1" w:styleId="Abstract">
    <w:name w:val="Abstract"/>
    <w:basedOn w:val="Normal"/>
    <w:next w:val="BodyText"/>
    <w:qFormat/>
    <w:rsid w:val="00533917"/>
    <w:pPr>
      <w:keepNext/>
      <w:keepLines/>
      <w:spacing w:before="300" w:after="300"/>
    </w:pPr>
  </w:style>
  <w:style w:type="paragraph" w:styleId="Bibliography">
    <w:name w:val="Bibliography"/>
    <w:basedOn w:val="Normal"/>
    <w:qFormat/>
    <w:rsid w:val="00533917"/>
  </w:style>
  <w:style w:type="paragraph" w:styleId="BlockText">
    <w:name w:val="Block Text"/>
    <w:basedOn w:val="BodyText"/>
    <w:next w:val="BodyText"/>
    <w:uiPriority w:val="9"/>
    <w:unhideWhenUsed/>
    <w:qFormat/>
    <w:rsid w:val="00533917"/>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rsid w:val="00533917"/>
  </w:style>
  <w:style w:type="table" w:customStyle="1" w:styleId="Table">
    <w:name w:val="Table"/>
    <w:semiHidden/>
    <w:unhideWhenUsed/>
    <w:qFormat/>
    <w:rsid w:val="00533917"/>
    <w:rPr>
      <w:rFonts w:ascii="Times New Roman" w:eastAsia="KaiTi" w:hAnsi="Times New Roman"/>
      <w:sz w:val="20"/>
      <w:szCs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533917"/>
    <w:pPr>
      <w:keepNext/>
      <w:keepLines/>
      <w:spacing w:after="0"/>
    </w:pPr>
    <w:rPr>
      <w:b/>
    </w:rPr>
  </w:style>
  <w:style w:type="paragraph" w:customStyle="1" w:styleId="Definition">
    <w:name w:val="Definition"/>
    <w:basedOn w:val="Normal"/>
    <w:rsid w:val="00533917"/>
  </w:style>
  <w:style w:type="paragraph" w:styleId="Caption">
    <w:name w:val="caption"/>
    <w:basedOn w:val="Normal"/>
    <w:link w:val="CaptionChar"/>
    <w:rsid w:val="00533917"/>
    <w:pPr>
      <w:spacing w:after="120"/>
    </w:pPr>
  </w:style>
  <w:style w:type="paragraph" w:customStyle="1" w:styleId="TableCaption">
    <w:name w:val="Table Caption"/>
    <w:basedOn w:val="Caption"/>
    <w:rsid w:val="00533917"/>
    <w:pPr>
      <w:keepNext/>
    </w:pPr>
  </w:style>
  <w:style w:type="paragraph" w:customStyle="1" w:styleId="ImageCaption">
    <w:name w:val="Image Caption"/>
    <w:basedOn w:val="Caption"/>
    <w:rsid w:val="00533917"/>
  </w:style>
  <w:style w:type="paragraph" w:customStyle="1" w:styleId="Figure">
    <w:name w:val="Figure"/>
    <w:basedOn w:val="Normal"/>
    <w:rsid w:val="00533917"/>
    <w:pPr>
      <w:jc w:val="center"/>
    </w:pPr>
  </w:style>
  <w:style w:type="paragraph" w:customStyle="1" w:styleId="CaptionedFigure">
    <w:name w:val="Captioned Figure"/>
    <w:basedOn w:val="Figure"/>
    <w:rsid w:val="00533917"/>
    <w:pPr>
      <w:keepNext/>
    </w:pPr>
  </w:style>
  <w:style w:type="character" w:customStyle="1" w:styleId="CaptionChar">
    <w:name w:val="Caption Char"/>
    <w:basedOn w:val="DefaultParagraphFont"/>
    <w:link w:val="Caption"/>
    <w:rsid w:val="00533917"/>
    <w:rPr>
      <w:rFonts w:ascii="Times New Roman" w:eastAsia="KaiTi" w:hAnsi="Times New Roman"/>
      <w:sz w:val="20"/>
      <w:szCs w:val="20"/>
    </w:rPr>
  </w:style>
  <w:style w:type="character" w:customStyle="1" w:styleId="VerbatimChar">
    <w:name w:val="Verbatim Char"/>
    <w:basedOn w:val="CaptionChar"/>
    <w:link w:val="SourceCode"/>
    <w:rsid w:val="00533917"/>
    <w:rPr>
      <w:rFonts w:ascii="Times New Roman" w:eastAsia="KaiTi" w:hAnsi="Times New Roman"/>
      <w:sz w:val="20"/>
      <w:szCs w:val="20"/>
      <w:shd w:val="clear" w:color="auto" w:fill="F8F8F8"/>
    </w:rPr>
  </w:style>
  <w:style w:type="character" w:styleId="FootnoteReference">
    <w:name w:val="footnote reference"/>
    <w:basedOn w:val="CaptionChar"/>
    <w:rsid w:val="00533917"/>
    <w:rPr>
      <w:rFonts w:ascii="Times New Roman" w:eastAsia="KaiTi" w:hAnsi="Times New Roman"/>
      <w:sz w:val="20"/>
      <w:szCs w:val="20"/>
      <w:vertAlign w:val="superscript"/>
    </w:rPr>
  </w:style>
  <w:style w:type="character" w:styleId="Hyperlink">
    <w:name w:val="Hyperlink"/>
    <w:basedOn w:val="CaptionChar"/>
    <w:rsid w:val="00533917"/>
    <w:rPr>
      <w:rFonts w:ascii="Times New Roman" w:eastAsia="KaiTi" w:hAnsi="Times New Roman"/>
      <w:color w:val="4F81BD" w:themeColor="accent1"/>
      <w:sz w:val="20"/>
      <w:szCs w:val="20"/>
    </w:rPr>
  </w:style>
  <w:style w:type="paragraph" w:styleId="TOCHeading">
    <w:name w:val="TOC Heading"/>
    <w:basedOn w:val="Heading1"/>
    <w:next w:val="BodyText"/>
    <w:uiPriority w:val="39"/>
    <w:unhideWhenUsed/>
    <w:qFormat/>
    <w:rsid w:val="00533917"/>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533917"/>
    <w:pPr>
      <w:shd w:val="clear" w:color="auto" w:fill="F8F8F8"/>
      <w:wordWrap w:val="0"/>
    </w:pPr>
  </w:style>
  <w:style w:type="character" w:customStyle="1" w:styleId="KeywordTok">
    <w:name w:val="KeywordTok"/>
    <w:basedOn w:val="VerbatimChar"/>
    <w:rsid w:val="00533917"/>
    <w:rPr>
      <w:rFonts w:ascii="Consolas" w:eastAsia="KaiTi" w:hAnsi="Consolas"/>
      <w:b/>
      <w:color w:val="204A87"/>
      <w:sz w:val="20"/>
      <w:szCs w:val="20"/>
      <w:shd w:val="clear" w:color="auto" w:fill="F8F8F8"/>
    </w:rPr>
  </w:style>
  <w:style w:type="character" w:customStyle="1" w:styleId="DataTypeTok">
    <w:name w:val="DataTypeTok"/>
    <w:basedOn w:val="VerbatimChar"/>
    <w:rsid w:val="00533917"/>
    <w:rPr>
      <w:rFonts w:ascii="Consolas" w:eastAsia="KaiTi" w:hAnsi="Consolas"/>
      <w:color w:val="204A87"/>
      <w:sz w:val="20"/>
      <w:szCs w:val="20"/>
      <w:shd w:val="clear" w:color="auto" w:fill="F8F8F8"/>
    </w:rPr>
  </w:style>
  <w:style w:type="character" w:customStyle="1" w:styleId="DecValTok">
    <w:name w:val="DecValTok"/>
    <w:basedOn w:val="VerbatimChar"/>
    <w:rsid w:val="00533917"/>
    <w:rPr>
      <w:rFonts w:ascii="Consolas" w:eastAsia="KaiTi" w:hAnsi="Consolas"/>
      <w:color w:val="0000CF"/>
      <w:sz w:val="20"/>
      <w:szCs w:val="20"/>
      <w:shd w:val="clear" w:color="auto" w:fill="F8F8F8"/>
    </w:rPr>
  </w:style>
  <w:style w:type="character" w:customStyle="1" w:styleId="BaseNTok">
    <w:name w:val="BaseNTok"/>
    <w:basedOn w:val="VerbatimChar"/>
    <w:rsid w:val="00533917"/>
    <w:rPr>
      <w:rFonts w:ascii="Consolas" w:eastAsia="KaiTi" w:hAnsi="Consolas"/>
      <w:color w:val="0000CF"/>
      <w:sz w:val="20"/>
      <w:szCs w:val="20"/>
      <w:shd w:val="clear" w:color="auto" w:fill="F8F8F8"/>
    </w:rPr>
  </w:style>
  <w:style w:type="character" w:customStyle="1" w:styleId="FloatTok">
    <w:name w:val="FloatTok"/>
    <w:basedOn w:val="VerbatimChar"/>
    <w:rsid w:val="00533917"/>
    <w:rPr>
      <w:rFonts w:ascii="Consolas" w:eastAsia="KaiTi" w:hAnsi="Consolas"/>
      <w:color w:val="0000CF"/>
      <w:sz w:val="20"/>
      <w:szCs w:val="20"/>
      <w:shd w:val="clear" w:color="auto" w:fill="F8F8F8"/>
    </w:rPr>
  </w:style>
  <w:style w:type="character" w:customStyle="1" w:styleId="ConstantTok">
    <w:name w:val="ConstantTok"/>
    <w:basedOn w:val="VerbatimChar"/>
    <w:rsid w:val="00533917"/>
    <w:rPr>
      <w:rFonts w:ascii="Consolas" w:eastAsia="KaiTi" w:hAnsi="Consolas"/>
      <w:color w:val="000000"/>
      <w:sz w:val="20"/>
      <w:szCs w:val="20"/>
      <w:shd w:val="clear" w:color="auto" w:fill="F8F8F8"/>
    </w:rPr>
  </w:style>
  <w:style w:type="character" w:customStyle="1" w:styleId="CharTok">
    <w:name w:val="CharTok"/>
    <w:basedOn w:val="VerbatimChar"/>
    <w:rsid w:val="00533917"/>
    <w:rPr>
      <w:rFonts w:ascii="Consolas" w:eastAsia="KaiTi" w:hAnsi="Consolas"/>
      <w:color w:val="4E9A06"/>
      <w:sz w:val="20"/>
      <w:szCs w:val="20"/>
      <w:shd w:val="clear" w:color="auto" w:fill="F8F8F8"/>
    </w:rPr>
  </w:style>
  <w:style w:type="character" w:customStyle="1" w:styleId="SpecialCharTok">
    <w:name w:val="SpecialCharTok"/>
    <w:basedOn w:val="VerbatimChar"/>
    <w:rsid w:val="00533917"/>
    <w:rPr>
      <w:rFonts w:ascii="Consolas" w:eastAsia="KaiTi" w:hAnsi="Consolas"/>
      <w:color w:val="000000"/>
      <w:sz w:val="20"/>
      <w:szCs w:val="20"/>
      <w:shd w:val="clear" w:color="auto" w:fill="F8F8F8"/>
    </w:rPr>
  </w:style>
  <w:style w:type="character" w:customStyle="1" w:styleId="StringTok">
    <w:name w:val="StringTok"/>
    <w:basedOn w:val="VerbatimChar"/>
    <w:rsid w:val="00533917"/>
    <w:rPr>
      <w:rFonts w:ascii="Consolas" w:eastAsia="KaiTi" w:hAnsi="Consolas"/>
      <w:color w:val="4E9A06"/>
      <w:sz w:val="20"/>
      <w:szCs w:val="20"/>
      <w:shd w:val="clear" w:color="auto" w:fill="F8F8F8"/>
    </w:rPr>
  </w:style>
  <w:style w:type="character" w:customStyle="1" w:styleId="VerbatimStringTok">
    <w:name w:val="VerbatimStringTok"/>
    <w:basedOn w:val="VerbatimChar"/>
    <w:rsid w:val="00533917"/>
    <w:rPr>
      <w:rFonts w:ascii="Consolas" w:eastAsia="KaiTi" w:hAnsi="Consolas"/>
      <w:color w:val="4E9A06"/>
      <w:sz w:val="20"/>
      <w:szCs w:val="20"/>
      <w:shd w:val="clear" w:color="auto" w:fill="F8F8F8"/>
    </w:rPr>
  </w:style>
  <w:style w:type="character" w:customStyle="1" w:styleId="SpecialStringTok">
    <w:name w:val="SpecialStringTok"/>
    <w:basedOn w:val="VerbatimChar"/>
    <w:rsid w:val="00533917"/>
    <w:rPr>
      <w:rFonts w:ascii="Consolas" w:eastAsia="KaiTi" w:hAnsi="Consolas"/>
      <w:color w:val="4E9A06"/>
      <w:sz w:val="20"/>
      <w:szCs w:val="20"/>
      <w:shd w:val="clear" w:color="auto" w:fill="F8F8F8"/>
    </w:rPr>
  </w:style>
  <w:style w:type="character" w:customStyle="1" w:styleId="ImportTok">
    <w:name w:val="ImportTok"/>
    <w:basedOn w:val="VerbatimChar"/>
    <w:rsid w:val="00533917"/>
    <w:rPr>
      <w:rFonts w:ascii="Consolas" w:eastAsia="KaiTi" w:hAnsi="Consolas"/>
      <w:sz w:val="20"/>
      <w:szCs w:val="20"/>
      <w:shd w:val="clear" w:color="auto" w:fill="F8F8F8"/>
    </w:rPr>
  </w:style>
  <w:style w:type="character" w:customStyle="1" w:styleId="CommentTok">
    <w:name w:val="CommentTok"/>
    <w:basedOn w:val="VerbatimChar"/>
    <w:rsid w:val="00533917"/>
    <w:rPr>
      <w:rFonts w:ascii="Consolas" w:eastAsia="KaiTi" w:hAnsi="Consolas"/>
      <w:i/>
      <w:color w:val="8F5902"/>
      <w:sz w:val="20"/>
      <w:szCs w:val="20"/>
      <w:shd w:val="clear" w:color="auto" w:fill="F8F8F8"/>
    </w:rPr>
  </w:style>
  <w:style w:type="character" w:customStyle="1" w:styleId="DocumentationTok">
    <w:name w:val="DocumentationTok"/>
    <w:basedOn w:val="VerbatimChar"/>
    <w:rsid w:val="00533917"/>
    <w:rPr>
      <w:rFonts w:ascii="Consolas" w:eastAsia="KaiTi" w:hAnsi="Consolas"/>
      <w:b/>
      <w:i/>
      <w:color w:val="8F5902"/>
      <w:sz w:val="20"/>
      <w:szCs w:val="20"/>
      <w:shd w:val="clear" w:color="auto" w:fill="F8F8F8"/>
    </w:rPr>
  </w:style>
  <w:style w:type="character" w:customStyle="1" w:styleId="AnnotationTok">
    <w:name w:val="AnnotationTok"/>
    <w:basedOn w:val="VerbatimChar"/>
    <w:rsid w:val="00533917"/>
    <w:rPr>
      <w:rFonts w:ascii="Consolas" w:eastAsia="KaiTi" w:hAnsi="Consolas"/>
      <w:b/>
      <w:i/>
      <w:color w:val="8F5902"/>
      <w:sz w:val="20"/>
      <w:szCs w:val="20"/>
      <w:shd w:val="clear" w:color="auto" w:fill="F8F8F8"/>
    </w:rPr>
  </w:style>
  <w:style w:type="character" w:customStyle="1" w:styleId="CommentVarTok">
    <w:name w:val="CommentVarTok"/>
    <w:basedOn w:val="VerbatimChar"/>
    <w:rsid w:val="00533917"/>
    <w:rPr>
      <w:rFonts w:ascii="Consolas" w:eastAsia="KaiTi" w:hAnsi="Consolas"/>
      <w:b/>
      <w:i/>
      <w:color w:val="8F5902"/>
      <w:sz w:val="20"/>
      <w:szCs w:val="20"/>
      <w:shd w:val="clear" w:color="auto" w:fill="F8F8F8"/>
    </w:rPr>
  </w:style>
  <w:style w:type="character" w:customStyle="1" w:styleId="OtherTok">
    <w:name w:val="OtherTok"/>
    <w:basedOn w:val="VerbatimChar"/>
    <w:rsid w:val="00533917"/>
    <w:rPr>
      <w:rFonts w:ascii="Consolas" w:eastAsia="KaiTi" w:hAnsi="Consolas"/>
      <w:color w:val="8F5902"/>
      <w:sz w:val="20"/>
      <w:szCs w:val="20"/>
      <w:shd w:val="clear" w:color="auto" w:fill="F8F8F8"/>
    </w:rPr>
  </w:style>
  <w:style w:type="character" w:customStyle="1" w:styleId="FunctionTok">
    <w:name w:val="FunctionTok"/>
    <w:basedOn w:val="VerbatimChar"/>
    <w:rsid w:val="00533917"/>
    <w:rPr>
      <w:rFonts w:ascii="Consolas" w:eastAsia="KaiTi" w:hAnsi="Consolas"/>
      <w:color w:val="000000"/>
      <w:sz w:val="20"/>
      <w:szCs w:val="20"/>
      <w:shd w:val="clear" w:color="auto" w:fill="F8F8F8"/>
    </w:rPr>
  </w:style>
  <w:style w:type="character" w:customStyle="1" w:styleId="VariableTok">
    <w:name w:val="VariableTok"/>
    <w:basedOn w:val="VerbatimChar"/>
    <w:rsid w:val="00533917"/>
    <w:rPr>
      <w:rFonts w:ascii="Consolas" w:eastAsia="KaiTi" w:hAnsi="Consolas"/>
      <w:color w:val="000000"/>
      <w:sz w:val="20"/>
      <w:szCs w:val="20"/>
      <w:shd w:val="clear" w:color="auto" w:fill="F8F8F8"/>
    </w:rPr>
  </w:style>
  <w:style w:type="character" w:customStyle="1" w:styleId="ControlFlowTok">
    <w:name w:val="ControlFlowTok"/>
    <w:basedOn w:val="VerbatimChar"/>
    <w:rsid w:val="00533917"/>
    <w:rPr>
      <w:rFonts w:ascii="Consolas" w:eastAsia="KaiTi" w:hAnsi="Consolas"/>
      <w:b/>
      <w:color w:val="204A87"/>
      <w:sz w:val="20"/>
      <w:szCs w:val="20"/>
      <w:shd w:val="clear" w:color="auto" w:fill="F8F8F8"/>
    </w:rPr>
  </w:style>
  <w:style w:type="character" w:customStyle="1" w:styleId="OperatorTok">
    <w:name w:val="OperatorTok"/>
    <w:basedOn w:val="VerbatimChar"/>
    <w:rsid w:val="00533917"/>
    <w:rPr>
      <w:rFonts w:ascii="Consolas" w:eastAsia="KaiTi" w:hAnsi="Consolas"/>
      <w:b/>
      <w:color w:val="CE5C00"/>
      <w:sz w:val="20"/>
      <w:szCs w:val="20"/>
      <w:shd w:val="clear" w:color="auto" w:fill="F8F8F8"/>
    </w:rPr>
  </w:style>
  <w:style w:type="character" w:customStyle="1" w:styleId="BuiltInTok">
    <w:name w:val="BuiltInTok"/>
    <w:basedOn w:val="VerbatimChar"/>
    <w:rsid w:val="00533917"/>
    <w:rPr>
      <w:rFonts w:ascii="Consolas" w:eastAsia="KaiTi" w:hAnsi="Consolas"/>
      <w:sz w:val="20"/>
      <w:szCs w:val="20"/>
      <w:shd w:val="clear" w:color="auto" w:fill="F8F8F8"/>
    </w:rPr>
  </w:style>
  <w:style w:type="character" w:customStyle="1" w:styleId="ExtensionTok">
    <w:name w:val="ExtensionTok"/>
    <w:basedOn w:val="VerbatimChar"/>
    <w:rsid w:val="00533917"/>
    <w:rPr>
      <w:rFonts w:ascii="Consolas" w:eastAsia="KaiTi" w:hAnsi="Consolas"/>
      <w:sz w:val="20"/>
      <w:szCs w:val="20"/>
      <w:shd w:val="clear" w:color="auto" w:fill="F8F8F8"/>
    </w:rPr>
  </w:style>
  <w:style w:type="character" w:customStyle="1" w:styleId="PreprocessorTok">
    <w:name w:val="PreprocessorTok"/>
    <w:basedOn w:val="VerbatimChar"/>
    <w:rsid w:val="00533917"/>
    <w:rPr>
      <w:rFonts w:ascii="Consolas" w:eastAsia="KaiTi" w:hAnsi="Consolas"/>
      <w:i/>
      <w:color w:val="8F5902"/>
      <w:sz w:val="20"/>
      <w:szCs w:val="20"/>
      <w:shd w:val="clear" w:color="auto" w:fill="F8F8F8"/>
    </w:rPr>
  </w:style>
  <w:style w:type="character" w:customStyle="1" w:styleId="AttributeTok">
    <w:name w:val="AttributeTok"/>
    <w:basedOn w:val="VerbatimChar"/>
    <w:rsid w:val="00533917"/>
    <w:rPr>
      <w:rFonts w:ascii="Consolas" w:eastAsia="KaiTi" w:hAnsi="Consolas"/>
      <w:color w:val="C4A000"/>
      <w:sz w:val="20"/>
      <w:szCs w:val="20"/>
      <w:shd w:val="clear" w:color="auto" w:fill="F8F8F8"/>
    </w:rPr>
  </w:style>
  <w:style w:type="character" w:customStyle="1" w:styleId="RegionMarkerTok">
    <w:name w:val="RegionMarkerTok"/>
    <w:basedOn w:val="VerbatimChar"/>
    <w:rsid w:val="00533917"/>
    <w:rPr>
      <w:rFonts w:ascii="Consolas" w:eastAsia="KaiTi" w:hAnsi="Consolas"/>
      <w:sz w:val="20"/>
      <w:szCs w:val="20"/>
      <w:shd w:val="clear" w:color="auto" w:fill="F8F8F8"/>
    </w:rPr>
  </w:style>
  <w:style w:type="character" w:customStyle="1" w:styleId="InformationTok">
    <w:name w:val="InformationTok"/>
    <w:basedOn w:val="VerbatimChar"/>
    <w:rsid w:val="00533917"/>
    <w:rPr>
      <w:rFonts w:ascii="Consolas" w:eastAsia="KaiTi" w:hAnsi="Consolas"/>
      <w:b/>
      <w:i/>
      <w:color w:val="8F5902"/>
      <w:sz w:val="20"/>
      <w:szCs w:val="20"/>
      <w:shd w:val="clear" w:color="auto" w:fill="F8F8F8"/>
    </w:rPr>
  </w:style>
  <w:style w:type="character" w:customStyle="1" w:styleId="WarningTok">
    <w:name w:val="WarningTok"/>
    <w:basedOn w:val="VerbatimChar"/>
    <w:rsid w:val="00533917"/>
    <w:rPr>
      <w:rFonts w:ascii="Consolas" w:eastAsia="KaiTi" w:hAnsi="Consolas"/>
      <w:b/>
      <w:i/>
      <w:color w:val="8F5902"/>
      <w:sz w:val="20"/>
      <w:szCs w:val="20"/>
      <w:shd w:val="clear" w:color="auto" w:fill="F8F8F8"/>
    </w:rPr>
  </w:style>
  <w:style w:type="character" w:customStyle="1" w:styleId="AlertTok">
    <w:name w:val="AlertTok"/>
    <w:basedOn w:val="VerbatimChar"/>
    <w:rsid w:val="00533917"/>
    <w:rPr>
      <w:rFonts w:ascii="Consolas" w:eastAsia="KaiTi" w:hAnsi="Consolas"/>
      <w:color w:val="EF2929"/>
      <w:sz w:val="20"/>
      <w:szCs w:val="20"/>
      <w:shd w:val="clear" w:color="auto" w:fill="F8F8F8"/>
    </w:rPr>
  </w:style>
  <w:style w:type="character" w:customStyle="1" w:styleId="ErrorTok">
    <w:name w:val="ErrorTok"/>
    <w:basedOn w:val="VerbatimChar"/>
    <w:rsid w:val="00533917"/>
    <w:rPr>
      <w:rFonts w:ascii="Consolas" w:eastAsia="KaiTi" w:hAnsi="Consolas"/>
      <w:b/>
      <w:color w:val="A40000"/>
      <w:sz w:val="20"/>
      <w:szCs w:val="20"/>
      <w:shd w:val="clear" w:color="auto" w:fill="F8F8F8"/>
    </w:rPr>
  </w:style>
  <w:style w:type="character" w:customStyle="1" w:styleId="NormalTok">
    <w:name w:val="NormalTok"/>
    <w:basedOn w:val="VerbatimChar"/>
    <w:rsid w:val="00533917"/>
    <w:rPr>
      <w:rFonts w:ascii="Consolas" w:eastAsia="KaiTi" w:hAnsi="Consolas"/>
      <w:sz w:val="20"/>
      <w:szCs w:val="20"/>
      <w:shd w:val="clear" w:color="auto" w:fill="F8F8F8"/>
    </w:rPr>
  </w:style>
  <w:style w:type="paragraph" w:styleId="BalloonText">
    <w:name w:val="Balloon Text"/>
    <w:basedOn w:val="Normal"/>
    <w:link w:val="BalloonTextChar"/>
    <w:semiHidden/>
    <w:unhideWhenUsed/>
    <w:rsid w:val="0053391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33917"/>
    <w:rPr>
      <w:rFonts w:ascii="Segoe UI" w:eastAsia="KaiTi" w:hAnsi="Segoe UI" w:cs="Segoe UI"/>
      <w:sz w:val="18"/>
      <w:szCs w:val="18"/>
    </w:rPr>
  </w:style>
  <w:style w:type="paragraph" w:styleId="Revision">
    <w:name w:val="Revision"/>
    <w:hidden/>
    <w:semiHidden/>
    <w:rsid w:val="006C3550"/>
    <w:pPr>
      <w:spacing w:after="0"/>
    </w:pPr>
  </w:style>
  <w:style w:type="character" w:styleId="CommentReference">
    <w:name w:val="annotation reference"/>
    <w:basedOn w:val="DefaultParagraphFont"/>
    <w:semiHidden/>
    <w:unhideWhenUsed/>
    <w:rsid w:val="004F0D21"/>
    <w:rPr>
      <w:sz w:val="16"/>
      <w:szCs w:val="16"/>
    </w:rPr>
  </w:style>
  <w:style w:type="paragraph" w:styleId="CommentText">
    <w:name w:val="annotation text"/>
    <w:basedOn w:val="Normal"/>
    <w:link w:val="CommentTextChar"/>
    <w:semiHidden/>
    <w:unhideWhenUsed/>
    <w:rsid w:val="004F0D21"/>
  </w:style>
  <w:style w:type="character" w:customStyle="1" w:styleId="CommentTextChar">
    <w:name w:val="Comment Text Char"/>
    <w:basedOn w:val="DefaultParagraphFont"/>
    <w:link w:val="CommentText"/>
    <w:semiHidden/>
    <w:rsid w:val="004F0D21"/>
    <w:rPr>
      <w:sz w:val="20"/>
      <w:szCs w:val="20"/>
    </w:rPr>
  </w:style>
  <w:style w:type="paragraph" w:styleId="CommentSubject">
    <w:name w:val="annotation subject"/>
    <w:basedOn w:val="CommentText"/>
    <w:next w:val="CommentText"/>
    <w:link w:val="CommentSubjectChar"/>
    <w:semiHidden/>
    <w:unhideWhenUsed/>
    <w:rsid w:val="004F0D21"/>
    <w:rPr>
      <w:b/>
      <w:bCs/>
    </w:rPr>
  </w:style>
  <w:style w:type="character" w:customStyle="1" w:styleId="CommentSubjectChar">
    <w:name w:val="Comment Subject Char"/>
    <w:basedOn w:val="CommentTextChar"/>
    <w:link w:val="CommentSubject"/>
    <w:semiHidden/>
    <w:rsid w:val="004F0D21"/>
    <w:rPr>
      <w:b/>
      <w:bCs/>
      <w:sz w:val="20"/>
      <w:szCs w:val="20"/>
    </w:rPr>
  </w:style>
  <w:style w:type="character" w:customStyle="1" w:styleId="BodyTextChar">
    <w:name w:val="Body Text Char"/>
    <w:basedOn w:val="DefaultParagraphFont"/>
    <w:link w:val="BodyText"/>
    <w:uiPriority w:val="99"/>
    <w:rsid w:val="00533917"/>
    <w:rPr>
      <w:rFonts w:ascii="Times New Roman" w:eastAsia="KaiTi" w:hAnsi="Times New Roman"/>
      <w:sz w:val="20"/>
      <w:szCs w:val="20"/>
    </w:rPr>
  </w:style>
  <w:style w:type="character" w:styleId="BookTitle">
    <w:name w:val="Book Title"/>
    <w:basedOn w:val="DefaultParagraphFont"/>
    <w:rsid w:val="00533917"/>
    <w:rPr>
      <w:rFonts w:ascii="Times New Roman" w:hAnsi="Times New Roman"/>
      <w:b/>
      <w:bCs/>
      <w:i/>
      <w:iCs/>
      <w:spacing w:val="5"/>
      <w:sz w:val="20"/>
    </w:rPr>
  </w:style>
  <w:style w:type="paragraph" w:styleId="EnvelopeAddress">
    <w:name w:val="envelope address"/>
    <w:basedOn w:val="Normal"/>
    <w:semiHidden/>
    <w:unhideWhenUsed/>
    <w:rsid w:val="00533917"/>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MessageHeader">
    <w:name w:val="Message Header"/>
    <w:basedOn w:val="Normal"/>
    <w:link w:val="MessageHeaderChar"/>
    <w:semiHidden/>
    <w:unhideWhenUsed/>
    <w:rsid w:val="0053391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semiHidden/>
    <w:rsid w:val="00533917"/>
    <w:rPr>
      <w:rFonts w:asciiTheme="majorHAnsi" w:eastAsiaTheme="majorEastAsia" w:hAnsiTheme="majorHAnsi" w:cstheme="majorBidi"/>
      <w:sz w:val="20"/>
      <w:shd w:val="pct20" w:color="auto" w:fill="auto"/>
    </w:rPr>
  </w:style>
  <w:style w:type="character" w:styleId="PlaceholderText">
    <w:name w:val="Placeholder Text"/>
    <w:basedOn w:val="DefaultParagraphFont"/>
    <w:semiHidden/>
    <w:rsid w:val="005339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F2583-3345-4AA6-B181-73AFC851F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UAW-GM Cohort Study</vt:lpstr>
    </vt:vector>
  </TitlesOfParts>
  <Company>UC Berkeley</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UAW-GM Cohort Study</dc:title>
  <dc:creator>Ellen Eisen</dc:creator>
  <cp:keywords/>
  <cp:lastModifiedBy>Kevin Chen</cp:lastModifiedBy>
  <cp:revision>63</cp:revision>
  <dcterms:created xsi:type="dcterms:W3CDTF">2020-02-27T23:23:00Z</dcterms:created>
  <dcterms:modified xsi:type="dcterms:W3CDTF">2020-03-07T01:33:00Z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./../../references/gm.bib</vt:lpwstr>
  </property>
  <property fmtid="{D5CDD505-2E9C-101B-9397-08002B2CF9AE}" pid="3" name="csl">
    <vt:lpwstr>C:/Users/kevchen/Documents/HeadRs/AMA.csl</vt:lpwstr>
  </property>
  <property fmtid="{D5CDD505-2E9C-101B-9397-08002B2CF9AE}" pid="4" name="date">
    <vt:lpwstr/>
  </property>
  <property fmtid="{D5CDD505-2E9C-101B-9397-08002B2CF9AE}" pid="5" name="fontsize">
    <vt:lpwstr>10pt</vt:lpwstr>
  </property>
  <property fmtid="{D5CDD505-2E9C-101B-9397-08002B2CF9AE}" pid="6" name="geometry">
    <vt:lpwstr>margin=2cm</vt:lpwstr>
  </property>
  <property fmtid="{D5CDD505-2E9C-101B-9397-08002B2CF9AE}" pid="7" name="output">
    <vt:lpwstr>word_document</vt:lpwstr>
  </property>
  <property fmtid="{D5CDD505-2E9C-101B-9397-08002B2CF9AE}" pid="8" name="subtitle">
    <vt:lpwstr>Online-only Content</vt:lpwstr>
  </property>
  <property fmtid="{D5CDD505-2E9C-101B-9397-08002B2CF9AE}" pid="9" name="Mendeley Recent Style Id 0_1">
    <vt:lpwstr>http://www.zotero.org/styles/american-medical-association</vt:lpwstr>
  </property>
  <property fmtid="{D5CDD505-2E9C-101B-9397-08002B2CF9AE}" pid="10" name="Mendeley Recent Style Name 0_1">
    <vt:lpwstr>American Medical Association</vt:lpwstr>
  </property>
  <property fmtid="{D5CDD505-2E9C-101B-9397-08002B2CF9AE}" pid="11" name="Mendeley Recent Style Id 1_1">
    <vt:lpwstr>http://www.zotero.org/styles/american-political-science-association</vt:lpwstr>
  </property>
  <property fmtid="{D5CDD505-2E9C-101B-9397-08002B2CF9AE}" pid="12" name="Mendeley Recent Style Name 1_1">
    <vt:lpwstr>American Political Science Association</vt:lpwstr>
  </property>
  <property fmtid="{D5CDD505-2E9C-101B-9397-08002B2CF9AE}" pid="13" name="Mendeley Recent Style Id 2_1">
    <vt:lpwstr>http://www.zotero.org/styles/apa</vt:lpwstr>
  </property>
  <property fmtid="{D5CDD505-2E9C-101B-9397-08002B2CF9AE}" pid="14" name="Mendeley Recent Style Name 2_1">
    <vt:lpwstr>American Psychological Association 6th edition</vt:lpwstr>
  </property>
  <property fmtid="{D5CDD505-2E9C-101B-9397-08002B2CF9AE}" pid="15" name="Mendeley Recent Style Id 3_1">
    <vt:lpwstr>http://www.zotero.org/styles/american-sociological-association</vt:lpwstr>
  </property>
  <property fmtid="{D5CDD505-2E9C-101B-9397-08002B2CF9AE}" pid="16" name="Mendeley Recent Style Name 3_1">
    <vt:lpwstr>American Sociological Association</vt:lpwstr>
  </property>
  <property fmtid="{D5CDD505-2E9C-101B-9397-08002B2CF9AE}" pid="17" name="Mendeley Recent Style Id 4_1">
    <vt:lpwstr>http://www.zotero.org/styles/chicago-author-date</vt:lpwstr>
  </property>
  <property fmtid="{D5CDD505-2E9C-101B-9397-08002B2CF9AE}" pid="18" name="Mendeley Recent Style Name 4_1">
    <vt:lpwstr>Chicago Manual of Style 17th edition (author-date)</vt:lpwstr>
  </property>
  <property fmtid="{D5CDD505-2E9C-101B-9397-08002B2CF9AE}" pid="19" name="Mendeley Recent Style Id 5_1">
    <vt:lpwstr>http://www.zotero.org/styles/harvard1</vt:lpwstr>
  </property>
  <property fmtid="{D5CDD505-2E9C-101B-9397-08002B2CF9AE}" pid="20" name="Mendeley Recent Style Name 5_1">
    <vt:lpwstr>Harvard reference format 1 (deprecated)</vt:lpwstr>
  </property>
  <property fmtid="{D5CDD505-2E9C-101B-9397-08002B2CF9AE}" pid="21" name="Mendeley Recent Style Id 6_1">
    <vt:lpwstr>http://www.zotero.org/styles/ieee</vt:lpwstr>
  </property>
  <property fmtid="{D5CDD505-2E9C-101B-9397-08002B2CF9AE}" pid="22" name="Mendeley Recent Style Name 6_1">
    <vt:lpwstr>IEEE</vt:lpwstr>
  </property>
  <property fmtid="{D5CDD505-2E9C-101B-9397-08002B2CF9AE}" pid="23" name="Mendeley Recent Style Id 7_1">
    <vt:lpwstr>http://www.zotero.org/styles/modern-humanities-research-association</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Id 8_1">
    <vt:lpwstr>http://www.zotero.org/styles/modern-language-association</vt:lpwstr>
  </property>
  <property fmtid="{D5CDD505-2E9C-101B-9397-08002B2CF9AE}" pid="26" name="Mendeley Recent Style Name 8_1">
    <vt:lpwstr>Modern Language Association 8th edition</vt:lpwstr>
  </property>
  <property fmtid="{D5CDD505-2E9C-101B-9397-08002B2CF9AE}" pid="27" name="Mendeley Recent Style Id 9_1">
    <vt:lpwstr>http://www.zotero.org/styles/nature</vt:lpwstr>
  </property>
  <property fmtid="{D5CDD505-2E9C-101B-9397-08002B2CF9AE}" pid="28" name="Mendeley Recent Style Name 9_1">
    <vt:lpwstr>Nature</vt:lpwstr>
  </property>
  <property fmtid="{D5CDD505-2E9C-101B-9397-08002B2CF9AE}" pid="29" name="Mendeley Document_1">
    <vt:lpwstr>True</vt:lpwstr>
  </property>
  <property fmtid="{D5CDD505-2E9C-101B-9397-08002B2CF9AE}" pid="30" name="Mendeley Unique User Id_1">
    <vt:lpwstr>b486c1af-9e13-32ee-a50a-228c540c5663</vt:lpwstr>
  </property>
  <property fmtid="{D5CDD505-2E9C-101B-9397-08002B2CF9AE}" pid="31" name="Mendeley Citation Style_1">
    <vt:lpwstr>http://www.zotero.org/styles/nature</vt:lpwstr>
  </property>
</Properties>
</file>