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of</w:t>
      </w:r>
      <w:r>
        <w:t xml:space="preserve"> </w:t>
      </w:r>
      <w:r>
        <w:t xml:space="preserve">incident</w:t>
      </w:r>
      <w:r>
        <w:t xml:space="preserve"> </w:t>
      </w:r>
      <w:r>
        <w:t xml:space="preserve">prostate</w:t>
      </w:r>
      <w:r>
        <w:t xml:space="preserve"> </w:t>
      </w:r>
      <w:r>
        <w:t xml:space="preserve">cancer</w:t>
      </w:r>
      <w:r>
        <w:t xml:space="preserve"> </w:t>
      </w:r>
      <w:r>
        <w:t xml:space="preserve">risk,</w:t>
      </w:r>
      <w:r>
        <w:t xml:space="preserve"> </w:t>
      </w:r>
      <w:r>
        <w:t xml:space="preserve">weighted</w:t>
      </w:r>
      <w:r>
        <w:t xml:space="preserve"> </w:t>
      </w:r>
      <w:r>
        <w:t xml:space="preserve">by</w:t>
      </w:r>
      <w:r>
        <w:t xml:space="preserve"> </w:t>
      </w:r>
      <w:r>
        <w:t xml:space="preserve">survival</w:t>
      </w:r>
      <w:r>
        <w:t xml:space="preserve"> </w:t>
      </w:r>
      <w:r>
        <w:t xml:space="preserve">to</w:t>
      </w:r>
      <w:r>
        <w:t xml:space="preserve"> </w:t>
      </w:r>
      <w:r>
        <w:t xml:space="preserve">1985</w:t>
      </w:r>
    </w:p>
    <w:p>
      <w:pPr>
        <w:pStyle w:val="Subtitle"/>
      </w:pPr>
      <w:r>
        <w:t xml:space="preserve">GM-UAW</w:t>
      </w:r>
      <w:r>
        <w:t xml:space="preserve"> </w:t>
      </w:r>
      <w:r>
        <w:t xml:space="preserve">Cohort</w:t>
      </w:r>
      <w:r>
        <w:t xml:space="preserve"> </w:t>
      </w:r>
      <w:r>
        <w:t xml:space="preserve">Study</w:t>
      </w:r>
    </w:p>
    <w:p>
      <w:pPr>
        <w:pStyle w:val="Date"/>
      </w:pPr>
    </w:p>
    <w:bookmarkStart w:id="23" w:name="the-problem"/>
    <w:p>
      <w:pPr>
        <w:pStyle w:val="Heading1"/>
      </w:pPr>
      <w:r>
        <w:t xml:space="preserve">The problem</w:t>
      </w:r>
    </w:p>
    <w:p>
      <w:pPr>
        <w:pStyle w:val="FirstParagraph"/>
      </w:pPr>
      <w:r>
        <w:t xml:space="preserve">The Cohort includes all persons who have worked at least 3 years and were hired in the years 1938 through 1981. However, follow-up for cancer incidence (Michigan Cancer Registry) does not begin until 1985. Not all who entered the cohort prior to 1985 were still at-risk of the outcome in 1985. Loss to follow-up may have been differential by underlying health. In particular, healthier individuals may have had lower exposure and a greater probability of surviving to 1985 outcome-free. In this case, the resulting population at-risk in 1985 would be the result of the so-called healthy worker survivor bias.</w:t>
      </w:r>
      <w:r>
        <w:rPr>
          <w:vertAlign w:val="superscript"/>
        </w:rPr>
        <w:t xml:space="preserve">1</w:t>
      </w:r>
      <w:r>
        <w:t xml:space="preserve"> </w:t>
      </w:r>
      <w:r>
        <w:t xml:space="preserve">(There may also be those who have already experienced incident cancer prior to 1985, but were not recorded as such, but this outcome misclassification problem is not the focus of this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21" name="Picture"/>
                  <a:graphic>
                    <a:graphicData uri="http://schemas.openxmlformats.org/drawingml/2006/picture">
                      <pic:pic>
                        <pic:nvPicPr>
                          <pic:cNvPr descr="dag.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Adapted from Figure 6c in Hernán et al. (2004). Take</w:t>
            </w:r>
            <w:r>
              <w:t xml:space="preserve"> </w:t>
            </w:r>
            <m:oMath>
              <m:r>
                <m:t>L</m:t>
              </m:r>
            </m:oMath>
            <w:r>
              <w:t xml:space="preserve">,</w:t>
            </w:r>
            <w:r>
              <w:t xml:space="preserve"> </w:t>
            </w:r>
            <m:oMath>
              <m:r>
                <m:t>E</m:t>
              </m:r>
            </m:oMath>
            <w:r>
              <w:t xml:space="preserve">,</w:t>
            </w:r>
            <w:r>
              <w:t xml:space="preserve"> </w:t>
            </w:r>
            <m:oMath>
              <m:r>
                <m:t>C</m:t>
              </m:r>
            </m:oMath>
            <w:r>
              <w:t xml:space="preserve">, and</w:t>
            </w:r>
            <w:r>
              <w:t xml:space="preserve"> </w:t>
            </w:r>
            <m:oMath>
              <m:r>
                <m:t>Y</m:t>
              </m:r>
            </m:oMath>
            <w:r>
              <w:t xml:space="preserve"> </w:t>
            </w:r>
            <w:r>
              <w:t xml:space="preserve">to represent underlying health, occupational exposure, censoring, and cancer incidence, respectively.</w:t>
            </w:r>
          </w:p>
        </w:tc>
      </w:tr>
    </w:tbl>
    <w:bookmarkEnd w:id="23"/>
    <w:bookmarkStart w:id="25" w:name="workaround"/>
    <w:p>
      <w:pPr>
        <w:pStyle w:val="Heading1"/>
      </w:pPr>
      <w:r>
        <w:t xml:space="preserve">Workaround</w:t>
      </w:r>
    </w:p>
    <w:p>
      <w:pPr>
        <w:pStyle w:val="FirstParagraph"/>
      </w:pPr>
      <w:r>
        <w:t xml:space="preserve">We have no measure of underlying health</w:t>
      </w:r>
      <w:r>
        <w:t xml:space="preserve"> </w:t>
      </w:r>
      <m:oMath>
        <m:r>
          <m:t>L</m:t>
        </m:r>
      </m:oMath>
      <w:r>
        <w:t xml:space="preserve">, but we proceeded by modeling the censoring mechanism</w:t>
      </w:r>
      <w:r>
        <w:t xml:space="preserve"> </w:t>
      </w:r>
      <m:oMath>
        <m:sSub>
          <m:e>
            <m:r>
              <m:rPr>
                <m:sty m:val="p"/>
                <m:scr m:val="double-struck"/>
              </m:rPr>
              <m:t>P</m:t>
            </m:r>
          </m:e>
          <m:sub>
            <m:r>
              <m:t>i</m:t>
            </m:r>
          </m:sub>
        </m:sSub>
        <m:d>
          <m:dPr>
            <m:begChr m:val="("/>
            <m:endChr m:val=")"/>
            <m:sepChr m:val=""/>
            <m:grow/>
          </m:dPr>
          <m:e>
            <m:sSub>
              <m:e>
                <m:r>
                  <m:t>C</m:t>
                </m:r>
              </m:e>
              <m:sub>
                <m:r>
                  <m:t>t</m:t>
                </m:r>
              </m:sub>
            </m:sSub>
            <m:r>
              <m:rPr>
                <m:sty m:val="p"/>
              </m:rPr>
              <m:t>∣</m:t>
            </m:r>
            <m:sSub>
              <m:e>
                <m:r>
                  <m:t>X</m:t>
                </m:r>
              </m:e>
              <m:sub>
                <m:r>
                  <m:t>t</m:t>
                </m:r>
              </m:sub>
            </m:sSub>
            <m:r>
              <m:rPr>
                <m:sty m:val="p"/>
              </m:rPr>
              <m:t>,</m:t>
            </m:r>
            <m:sSub>
              <m:e>
                <m:r>
                  <m:t>C</m:t>
                </m:r>
              </m:e>
              <m:sub>
                <m:r>
                  <m:t>t</m:t>
                </m:r>
                <m:r>
                  <m:rPr>
                    <m:sty m:val="p"/>
                  </m:rPr>
                  <m:t>−</m:t>
                </m:r>
                <m:r>
                  <m:t>1</m:t>
                </m:r>
              </m:sub>
            </m:sSub>
            <m:r>
              <m:rPr>
                <m:sty m:val="p"/>
              </m:rPr>
              <m:t>=</m:t>
            </m:r>
            <m:r>
              <m:t>0</m:t>
            </m:r>
          </m:e>
        </m:d>
      </m:oMath>
      <w:r>
        <w:t xml:space="preserve"> </w:t>
      </w:r>
      <w:r>
        <w:t xml:space="preserve">for individual</w:t>
      </w:r>
      <w:r>
        <w:t xml:space="preserve"> </w:t>
      </w:r>
      <m:oMath>
        <m:r>
          <m:t>i</m:t>
        </m:r>
      </m:oMath>
      <w:r>
        <w:t xml:space="preserve"> </w:t>
      </w:r>
      <w:r>
        <w:t xml:space="preserve">at year</w:t>
      </w:r>
      <w:r>
        <w:t xml:space="preserve"> </w:t>
      </w:r>
      <m:oMath>
        <m:r>
          <m:t>t</m:t>
        </m:r>
      </m:oMath>
      <w:r>
        <w:t xml:space="preserve">, conditional on observed covariates</w:t>
      </w:r>
      <w:r>
        <w:t xml:space="preserve"> </w:t>
      </w:r>
      <m:oMath>
        <m:sSub>
          <m:e>
            <m:r>
              <m:t>X</m:t>
            </m:r>
          </m:e>
          <m:sub>
            <m:r>
              <m:t>t</m:t>
            </m:r>
          </m:sub>
        </m:sSub>
      </m:oMath>
      <w:r>
        <w:t xml:space="preserve"> </w:t>
      </w:r>
      <w:r>
        <w:t xml:space="preserve">that may serve as instruments for unmeasured</w:t>
      </w:r>
      <w:r>
        <w:t xml:space="preserve"> </w:t>
      </w:r>
      <m:oMath>
        <m:r>
          <m:t>L</m:t>
        </m:r>
      </m:oMath>
      <w:r>
        <w:t xml:space="preserve">. We then used the modeled censoring probability</w:t>
      </w:r>
      <w:r>
        <w:t xml:space="preserve"> </w:t>
      </w:r>
      <m:oMath>
        <m:sSub>
          <m:e>
            <m:r>
              <m:t>g</m:t>
            </m:r>
          </m:e>
          <m:sub>
            <m:r>
              <m:t>i</m:t>
            </m:r>
          </m:sub>
        </m:sSub>
        <m:d>
          <m:dPr>
            <m:begChr m:val="("/>
            <m:endChr m:val=")"/>
            <m:sepChr m:val=""/>
            <m:grow/>
          </m:dPr>
          <m:e>
            <m:sSub>
              <m:e>
                <m:r>
                  <m:t>C</m:t>
                </m:r>
              </m:e>
              <m:sub>
                <m:r>
                  <m:t>t</m:t>
                </m:r>
              </m:sub>
            </m:sSub>
            <m:r>
              <m:rPr>
                <m:sty m:val="p"/>
              </m:rPr>
              <m:t>∣</m:t>
            </m:r>
            <m:sSub>
              <m:e>
                <m:r>
                  <m:t>X</m:t>
                </m:r>
              </m:e>
              <m:sub>
                <m:r>
                  <m:t>t</m:t>
                </m:r>
              </m:sub>
            </m:sSub>
            <m:r>
              <m:rPr>
                <m:sty m:val="p"/>
              </m:rPr>
              <m:t>,</m:t>
            </m:r>
            <m:sSub>
              <m:e>
                <m:r>
                  <m:t>C</m:t>
                </m:r>
              </m:e>
              <m:sub>
                <m:r>
                  <m:t>t</m:t>
                </m:r>
                <m:r>
                  <m:rPr>
                    <m:sty m:val="p"/>
                  </m:rPr>
                  <m:t>−</m:t>
                </m:r>
                <m:r>
                  <m:t>1</m:t>
                </m:r>
              </m:sub>
            </m:sSub>
            <m:r>
              <m:rPr>
                <m:sty m:val="p"/>
              </m:rPr>
              <m:t>=</m:t>
            </m:r>
            <m:r>
              <m:t>0</m:t>
            </m:r>
          </m:e>
        </m:d>
      </m:oMath>
      <w:r>
        <w:t xml:space="preserve"> </w:t>
      </w:r>
      <w:r>
        <w:t xml:space="preserve">to construct stabilized weights</w:t>
      </w:r>
      <w:r>
        <w:t xml:space="preserve"> </w:t>
      </w:r>
      <m:oMath>
        <m:r>
          <m:t>s</m:t>
        </m:r>
        <m:sSub>
          <m:e>
            <m:r>
              <m:t>w</m:t>
            </m:r>
          </m:e>
          <m:sub>
            <m:r>
              <m:t>i</m:t>
            </m:r>
          </m:sub>
        </m:sSub>
      </m:oMath>
      <w:r>
        <w:t xml:space="preserve"> </w:t>
      </w:r>
      <w:r>
        <w:t xml:space="preserve">for each individual in</w:t>
      </w:r>
      <w:r>
        <w:t xml:space="preserve"> </w:t>
      </w:r>
      <m:oMath>
        <m:r>
          <m:t>t</m:t>
        </m:r>
        <m:r>
          <m:rPr>
            <m:sty m:val="p"/>
          </m:rPr>
          <m:t>=</m:t>
        </m:r>
        <m:r>
          <m:t>1985</m:t>
        </m:r>
      </m:oMath>
      <w:r>
        <w:t xml:space="preserve"> </w:t>
      </w:r>
      <w:r>
        <w:t xml:space="preserve">where</w:t>
      </w:r>
    </w:p>
    <w:p>
      <w:pPr>
        <w:pStyle w:val="BodyText"/>
      </w:pPr>
      <m:oMathPara>
        <m:oMathParaPr>
          <m:jc m:val="center"/>
        </m:oMathParaPr>
        <m:oMath>
          <m:r>
            <m:t>s</m:t>
          </m:r>
          <m:sSub>
            <m:e>
              <m:r>
                <m:t>w</m:t>
              </m:r>
            </m:e>
            <m:sub>
              <m:r>
                <m:t>i</m:t>
              </m:r>
            </m:sub>
          </m:sSub>
          <m:r>
            <m:rPr>
              <m:sty m:val="p"/>
            </m:rPr>
            <m:t>=</m:t>
          </m:r>
          <m:f>
            <m:fPr>
              <m:type m:val="bar"/>
            </m:fPr>
            <m:num>
              <m:r>
                <m:t>1</m:t>
              </m:r>
              <m:r>
                <m:rPr>
                  <m:sty m:val="p"/>
                </m:rPr>
                <m:t>−</m:t>
              </m:r>
              <m:f>
                <m:fPr>
                  <m:type m:val="bar"/>
                </m:fPr>
                <m:num>
                  <m:r>
                    <m:t>1</m:t>
                  </m:r>
                </m:num>
                <m:den>
                  <m:r>
                    <m:t>n</m:t>
                  </m:r>
                </m:den>
              </m:f>
              <m:nary>
                <m:naryPr>
                  <m:chr m:val="∑"/>
                  <m:limLoc m:val="undOvr"/>
                  <m:subHide m:val="0"/>
                  <m:supHide m:val="0"/>
                </m:naryPr>
                <m:sub>
                  <m:r>
                    <m:t>i</m:t>
                  </m:r>
                </m:sub>
                <m:sup>
                  <m:r>
                    <m:t>n</m:t>
                  </m:r>
                </m:sup>
                <m:e>
                  <m:sSubSup>
                    <m:e>
                      <m:r>
                        <m:rPr>
                          <m:sty m:val="p"/>
                          <m:scr m:val="double-struck"/>
                        </m:rPr>
                        <m:t>∏</m:t>
                      </m:r>
                    </m:e>
                    <m:sub>
                      <m:r>
                        <m:t>t</m:t>
                      </m:r>
                    </m:sub>
                    <m:sup>
                      <m:r>
                        <m:t>1984</m:t>
                      </m:r>
                    </m:sup>
                  </m:sSubSup>
                </m:e>
              </m:nary>
              <m:sSub>
                <m:e>
                  <m:r>
                    <m:t>g</m:t>
                  </m:r>
                </m:e>
                <m:sub>
                  <m:r>
                    <m:t>i</m:t>
                  </m:r>
                </m:sub>
              </m:sSub>
              <m:d>
                <m:dPr>
                  <m:begChr m:val="("/>
                  <m:endChr m:val=")"/>
                  <m:sepChr m:val=""/>
                  <m:grow/>
                </m:dPr>
                <m:e>
                  <m:sSub>
                    <m:e>
                      <m:r>
                        <m:t>C</m:t>
                      </m:r>
                    </m:e>
                    <m:sub>
                      <m:r>
                        <m:t>t</m:t>
                      </m:r>
                    </m:sub>
                  </m:sSub>
                  <m:r>
                    <m:rPr>
                      <m:sty m:val="p"/>
                    </m:rPr>
                    <m:t>=</m:t>
                  </m:r>
                  <m:r>
                    <m:t>0</m:t>
                  </m:r>
                  <m:r>
                    <m:rPr>
                      <m:sty m:val="p"/>
                    </m:rPr>
                    <m:t>∣</m:t>
                  </m:r>
                  <m:sSub>
                    <m:e>
                      <m:r>
                        <m:t>X</m:t>
                      </m:r>
                    </m:e>
                    <m:sub>
                      <m:r>
                        <m:t>t</m:t>
                      </m:r>
                    </m:sub>
                  </m:sSub>
                  <m:r>
                    <m:rPr>
                      <m:sty m:val="p"/>
                    </m:rPr>
                    <m:t>,</m:t>
                  </m:r>
                  <m:sSub>
                    <m:e>
                      <m:r>
                        <m:t>C</m:t>
                      </m:r>
                    </m:e>
                    <m:sub>
                      <m:d>
                        <m:dPr>
                          <m:begChr m:val="("/>
                          <m:endChr m:val=")"/>
                          <m:sepChr m:val=""/>
                          <m:grow/>
                        </m:dPr>
                        <m:e>
                          <m:r>
                            <m:t>t</m:t>
                          </m:r>
                          <m:r>
                            <m:rPr>
                              <m:sty m:val="p"/>
                            </m:rPr>
                            <m:t>−</m:t>
                          </m:r>
                          <m:r>
                            <m:t>1</m:t>
                          </m:r>
                        </m:e>
                      </m:d>
                    </m:sub>
                  </m:sSub>
                  <m:r>
                    <m:rPr>
                      <m:sty m:val="p"/>
                    </m:rPr>
                    <m:t>=</m:t>
                  </m:r>
                  <m:r>
                    <m:t>0</m:t>
                  </m:r>
                </m:e>
              </m:d>
            </m:num>
            <m:den>
              <m:r>
                <m:t>1</m:t>
              </m:r>
              <m:r>
                <m:rPr>
                  <m:sty m:val="p"/>
                </m:rPr>
                <m:t>−</m:t>
              </m:r>
              <m:nary>
                <m:naryPr>
                  <m:chr m:val="∏"/>
                  <m:limLoc m:val="undOvr"/>
                  <m:subHide m:val="0"/>
                  <m:supHide m:val="0"/>
                </m:naryPr>
                <m:sub>
                  <m:r>
                    <m:t>t</m:t>
                  </m:r>
                </m:sub>
                <m:sup>
                  <m:r>
                    <m:t>1984</m:t>
                  </m:r>
                </m:sup>
                <m:e>
                  <m:sSub>
                    <m:e>
                      <m:r>
                        <m:t>g</m:t>
                      </m:r>
                    </m:e>
                    <m:sub>
                      <m:r>
                        <m:t>i</m:t>
                      </m:r>
                    </m:sub>
                  </m:sSub>
                </m:e>
              </m:nary>
              <m:d>
                <m:dPr>
                  <m:begChr m:val="("/>
                  <m:endChr m:val=")"/>
                  <m:sepChr m:val=""/>
                  <m:grow/>
                </m:dPr>
                <m:e>
                  <m:sSub>
                    <m:e>
                      <m:r>
                        <m:t>C</m:t>
                      </m:r>
                    </m:e>
                    <m:sub>
                      <m:r>
                        <m:t>t</m:t>
                      </m:r>
                    </m:sub>
                  </m:sSub>
                  <m:r>
                    <m:rPr>
                      <m:sty m:val="p"/>
                    </m:rPr>
                    <m:t>=</m:t>
                  </m:r>
                  <m:r>
                    <m:t>0</m:t>
                  </m:r>
                  <m:r>
                    <m:rPr>
                      <m:sty m:val="p"/>
                    </m:rPr>
                    <m:t>∣</m:t>
                  </m:r>
                  <m:sSub>
                    <m:e>
                      <m:r>
                        <m:t>X</m:t>
                      </m:r>
                    </m:e>
                    <m:sub>
                      <m:r>
                        <m:t>t</m:t>
                      </m:r>
                    </m:sub>
                  </m:sSub>
                  <m:r>
                    <m:rPr>
                      <m:sty m:val="p"/>
                    </m:rPr>
                    <m:t>,</m:t>
                  </m:r>
                  <m:sSub>
                    <m:e>
                      <m:r>
                        <m:t>C</m:t>
                      </m:r>
                    </m:e>
                    <m:sub>
                      <m:d>
                        <m:dPr>
                          <m:begChr m:val="("/>
                          <m:endChr m:val=")"/>
                          <m:sepChr m:val=""/>
                          <m:grow/>
                        </m:dPr>
                        <m:e>
                          <m:r>
                            <m:t>t</m:t>
                          </m:r>
                          <m:r>
                            <m:rPr>
                              <m:sty m:val="p"/>
                            </m:rPr>
                            <m:t>−</m:t>
                          </m:r>
                          <m:r>
                            <m:t>1</m:t>
                          </m:r>
                        </m:e>
                      </m:d>
                    </m:sub>
                  </m:sSub>
                  <m:r>
                    <m:rPr>
                      <m:sty m:val="p"/>
                    </m:rPr>
                    <m:t>=</m:t>
                  </m:r>
                  <m:r>
                    <m:t>0</m:t>
                  </m:r>
                </m:e>
              </m:d>
            </m:den>
          </m:f>
          <m:r>
            <m:rPr>
              <m:sty m:val="p"/>
            </m:rPr>
            <m:t>.</m:t>
          </m:r>
        </m:oMath>
      </m:oMathPara>
    </w:p>
    <w:p>
      <w:pPr>
        <w:pStyle w:val="FirstParagraph"/>
      </w:pPr>
      <w:r>
        <w:t xml:space="preserve">The parameters of model</w:t>
      </w:r>
      <w:r>
        <w:t xml:space="preserve"> </w:t>
      </w:r>
      <m:oMath>
        <m:sSub>
          <m:e>
            <m:r>
              <m:t>g</m:t>
            </m:r>
          </m:e>
          <m:sub>
            <m:r>
              <m:t>i</m:t>
            </m:r>
          </m:sub>
        </m:sSub>
        <m:d>
          <m:dPr>
            <m:begChr m:val="("/>
            <m:endChr m:val=")"/>
            <m:sepChr m:val=""/>
            <m:grow/>
          </m:dPr>
          <m:e>
            <m:sSub>
              <m:e>
                <m:r>
                  <m:t>C</m:t>
                </m:r>
              </m:e>
              <m:sub>
                <m:r>
                  <m:t>t</m:t>
                </m:r>
              </m:sub>
            </m:sSub>
            <m:r>
              <m:rPr>
                <m:sty m:val="p"/>
              </m:rPr>
              <m:t>∣</m:t>
            </m:r>
            <m:sSub>
              <m:e>
                <m:r>
                  <m:t>X</m:t>
                </m:r>
              </m:e>
              <m:sub>
                <m:r>
                  <m:t>t</m:t>
                </m:r>
              </m:sub>
            </m:sSub>
            <m:r>
              <m:rPr>
                <m:sty m:val="p"/>
              </m:rPr>
              <m:t>,</m:t>
            </m:r>
            <m:sSub>
              <m:e>
                <m:r>
                  <m:t>C</m:t>
                </m:r>
              </m:e>
              <m:sub>
                <m:r>
                  <m:t>t</m:t>
                </m:r>
                <m:r>
                  <m:rPr>
                    <m:sty m:val="p"/>
                  </m:rPr>
                  <m:t>−</m:t>
                </m:r>
                <m:r>
                  <m:t>1</m:t>
                </m:r>
              </m:sub>
            </m:sSub>
            <m:r>
              <m:rPr>
                <m:sty m:val="p"/>
              </m:rPr>
              <m:t>=</m:t>
            </m:r>
            <m:r>
              <m:t>0</m:t>
            </m:r>
          </m:e>
        </m:d>
      </m:oMath>
      <w:r>
        <w:t xml:space="preserve"> </w:t>
      </w:r>
      <w:r>
        <w:t xml:space="preserve">were estimated using a pooled logistic regression for the log-odds of dying due to natural causes by the end of each year of follow-up</w:t>
      </w:r>
      <w:r>
        <w:t xml:space="preserve"> </w:t>
      </w:r>
      <m:oMath>
        <m:r>
          <m:t>t</m:t>
        </m:r>
        <m:r>
          <m:rPr>
            <m:sty m:val="p"/>
          </m:rPr>
          <m:t>=</m:t>
        </m:r>
        <m:r>
          <m:rPr>
            <m:sty m:val="p"/>
          </m:rPr>
          <m:t>{</m:t>
        </m:r>
        <m:r>
          <m:t>1</m:t>
        </m:r>
        <m:r>
          <m:rPr>
            <m:sty m:val="p"/>
          </m:rPr>
          <m:t>,</m:t>
        </m:r>
        <m:r>
          <m:rPr>
            <m:sty m:val="p"/>
          </m:rPr>
          <m:t>…</m:t>
        </m:r>
        <m:r>
          <m:rPr>
            <m:sty m:val="p"/>
          </m:rPr>
          <m:t>,</m:t>
        </m:r>
        <m:r>
          <m:t>T</m:t>
        </m:r>
        <m:r>
          <m:rPr>
            <m:sty m:val="p"/>
          </m:rPr>
          <m:t>}</m:t>
        </m:r>
      </m:oMath>
      <w:r>
        <w:t xml:space="preserve">, conditional on the</w:t>
      </w:r>
      <w:r>
        <w:t xml:space="preserve"> </w:t>
      </w:r>
      <m:oMath>
        <m:r>
          <m:t>P</m:t>
        </m:r>
      </m:oMath>
      <w:r>
        <w:t xml:space="preserve">-length covariate vector</w:t>
      </w:r>
      <w:r>
        <w:t xml:space="preserve"> </w:t>
      </w:r>
      <m:oMath>
        <m:sSub>
          <m:e>
            <m:r>
              <m:t>X</m:t>
            </m:r>
          </m:e>
          <m:sub>
            <m:r>
              <m:t>t</m:t>
            </m:r>
          </m:sub>
        </m:sSub>
        <m:r>
          <m:rPr>
            <m:sty m:val="p"/>
          </m:rPr>
          <m:t>=</m:t>
        </m:r>
        <m:sSub>
          <m:e>
            <m:r>
              <m:t>x</m:t>
            </m:r>
          </m:e>
          <m:sub>
            <m:r>
              <m:t>t</m:t>
            </m:r>
          </m:sub>
        </m:sSub>
      </m:oMath>
      <w:r>
        <w:t xml:space="preserve"> </w:t>
      </w:r>
      <w:r>
        <w:t xml:space="preserve">and uncensored status at the begninnig of that person-year</w:t>
      </w:r>
      <w:r>
        <w:t xml:space="preserve"> </w:t>
      </w:r>
      <m:oMath>
        <m:sSub>
          <m:e>
            <m:r>
              <m:t>C</m:t>
            </m:r>
          </m:e>
          <m:sub>
            <m:r>
              <m:t>t</m:t>
            </m:r>
            <m:r>
              <m:rPr>
                <m:sty m:val="p"/>
              </m:rPr>
              <m:t>−</m:t>
            </m:r>
            <m:r>
              <m:t>1</m:t>
            </m:r>
          </m:sub>
        </m:sSub>
        <m:r>
          <m:rPr>
            <m:sty m:val="p"/>
          </m:rPr>
          <m:t>=</m:t>
        </m:r>
        <m:r>
          <m:t>0</m:t>
        </m:r>
      </m:oMath>
      <w:r>
        <w:t xml:space="preserve">.</w:t>
      </w:r>
    </w:p>
    <w:p>
      <w:pPr>
        <w:pStyle w:val="BodyText"/>
      </w:pPr>
      <m:oMathPara>
        <m:oMathParaPr>
          <m:jc m:val="center"/>
        </m:oMathParaPr>
        <m:oMath>
          <m:r>
            <m:rPr>
              <m:sty m:val="p"/>
            </m:rPr>
            <m:t>log</m:t>
          </m:r>
          <m:f>
            <m:fPr>
              <m:type m:val="bar"/>
            </m:fPr>
            <m:num>
              <m:acc>
                <m:accPr>
                  <m:chr m:val="̂"/>
                </m:accPr>
                <m:e>
                  <m:r>
                    <m:rPr>
                      <m:sty m:val="p"/>
                      <m:scr m:val="double-struck"/>
                    </m:rPr>
                    <m:t>P</m:t>
                  </m:r>
                </m:e>
              </m:acc>
              <m:d>
                <m:dPr>
                  <m:begChr m:val="("/>
                  <m:endChr m:val=")"/>
                  <m:sepChr m:val=""/>
                  <m:grow/>
                </m:dPr>
                <m:e>
                  <m:sSub>
                    <m:e>
                      <m:r>
                        <m:t>C</m:t>
                      </m:r>
                    </m:e>
                    <m:sub>
                      <m:r>
                        <m:t>t</m:t>
                      </m:r>
                    </m:sub>
                  </m:sSub>
                  <m:r>
                    <m:rPr>
                      <m:sty m:val="p"/>
                    </m:rPr>
                    <m:t>=</m:t>
                  </m:r>
                  <m:r>
                    <m:t>1</m:t>
                  </m:r>
                  <m:r>
                    <m:rPr>
                      <m:sty m:val="p"/>
                    </m:rPr>
                    <m:t>∣</m:t>
                  </m:r>
                  <m:sSub>
                    <m:e>
                      <m:r>
                        <m:t>X</m:t>
                      </m:r>
                    </m:e>
                    <m:sub>
                      <m:r>
                        <m:t>t</m:t>
                      </m:r>
                    </m:sub>
                  </m:sSub>
                  <m:r>
                    <m:rPr>
                      <m:sty m:val="p"/>
                    </m:rPr>
                    <m:t>=</m:t>
                  </m:r>
                  <m:sSub>
                    <m:e>
                      <m:r>
                        <m:t>x</m:t>
                      </m:r>
                    </m:e>
                    <m:sub>
                      <m:r>
                        <m:t>t</m:t>
                      </m:r>
                    </m:sub>
                  </m:sSub>
                  <m:r>
                    <m:rPr>
                      <m:sty m:val="p"/>
                    </m:rPr>
                    <m:t>,</m:t>
                  </m:r>
                  <m:acc>
                    <m:accPr>
                      <m:chr m:val="̂"/>
                    </m:accPr>
                    <m:e>
                      <m:r>
                        <m:t>β</m:t>
                      </m:r>
                    </m:e>
                  </m:acc>
                  <m:r>
                    <m:rPr>
                      <m:sty m:val="p"/>
                    </m:rPr>
                    <m:t>,</m:t>
                  </m:r>
                  <m:sSub>
                    <m:e>
                      <m:r>
                        <m:t>C</m:t>
                      </m:r>
                    </m:e>
                    <m:sub>
                      <m:r>
                        <m:t>t</m:t>
                      </m:r>
                      <m:r>
                        <m:rPr>
                          <m:sty m:val="p"/>
                        </m:rPr>
                        <m:t>−</m:t>
                      </m:r>
                      <m:r>
                        <m:t>1</m:t>
                      </m:r>
                    </m:sub>
                  </m:sSub>
                  <m:r>
                    <m:rPr>
                      <m:sty m:val="p"/>
                    </m:rPr>
                    <m:t>=</m:t>
                  </m:r>
                  <m:r>
                    <m:t>0</m:t>
                  </m:r>
                </m:e>
              </m:d>
            </m:num>
            <m:den>
              <m:r>
                <m:t>1</m:t>
              </m:r>
              <m:r>
                <m:rPr>
                  <m:sty m:val="p"/>
                </m:rPr>
                <m:t>−</m:t>
              </m:r>
              <m:acc>
                <m:accPr>
                  <m:chr m:val="̂"/>
                </m:accPr>
                <m:e>
                  <m:r>
                    <m:rPr>
                      <m:sty m:val="p"/>
                      <m:scr m:val="double-struck"/>
                    </m:rPr>
                    <m:t>P</m:t>
                  </m:r>
                </m:e>
              </m:acc>
              <m:d>
                <m:dPr>
                  <m:begChr m:val="("/>
                  <m:endChr m:val=")"/>
                  <m:sepChr m:val=""/>
                  <m:grow/>
                </m:dPr>
                <m:e>
                  <m:sSub>
                    <m:e>
                      <m:r>
                        <m:t>C</m:t>
                      </m:r>
                    </m:e>
                    <m:sub>
                      <m:r>
                        <m:t>t</m:t>
                      </m:r>
                    </m:sub>
                  </m:sSub>
                  <m:r>
                    <m:rPr>
                      <m:sty m:val="p"/>
                    </m:rPr>
                    <m:t>=</m:t>
                  </m:r>
                  <m:r>
                    <m:t>1</m:t>
                  </m:r>
                  <m:r>
                    <m:rPr>
                      <m:sty m:val="p"/>
                    </m:rPr>
                    <m:t>∣</m:t>
                  </m:r>
                  <m:sSub>
                    <m:e>
                      <m:r>
                        <m:t>X</m:t>
                      </m:r>
                    </m:e>
                    <m:sub>
                      <m:r>
                        <m:t>t</m:t>
                      </m:r>
                    </m:sub>
                  </m:sSub>
                  <m:r>
                    <m:rPr>
                      <m:sty m:val="p"/>
                    </m:rPr>
                    <m:t>=</m:t>
                  </m:r>
                  <m:sSub>
                    <m:e>
                      <m:r>
                        <m:t>x</m:t>
                      </m:r>
                    </m:e>
                    <m:sub>
                      <m:r>
                        <m:t>t</m:t>
                      </m:r>
                    </m:sub>
                  </m:sSub>
                  <m:r>
                    <m:rPr>
                      <m:sty m:val="p"/>
                    </m:rPr>
                    <m:t>,</m:t>
                  </m:r>
                  <m:acc>
                    <m:accPr>
                      <m:chr m:val="̂"/>
                    </m:accPr>
                    <m:e>
                      <m:r>
                        <m:t>β</m:t>
                      </m:r>
                    </m:e>
                  </m:acc>
                  <m:r>
                    <m:rPr>
                      <m:sty m:val="p"/>
                    </m:rPr>
                    <m:t>,</m:t>
                  </m:r>
                  <m:sSub>
                    <m:e>
                      <m:r>
                        <m:t>C</m:t>
                      </m:r>
                    </m:e>
                    <m:sub>
                      <m:r>
                        <m:t>t</m:t>
                      </m:r>
                      <m:r>
                        <m:rPr>
                          <m:sty m:val="p"/>
                        </m:rPr>
                        <m:t>−</m:t>
                      </m:r>
                      <m:r>
                        <m:t>1</m:t>
                      </m:r>
                    </m:sub>
                  </m:sSub>
                  <m:r>
                    <m:rPr>
                      <m:sty m:val="p"/>
                    </m:rPr>
                    <m:t>=</m:t>
                  </m:r>
                  <m:r>
                    <m:t>0</m:t>
                  </m:r>
                </m:e>
              </m:d>
            </m:den>
          </m:f>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1</m:t>
              </m:r>
              <m:r>
                <m:t>t</m:t>
              </m:r>
            </m:sub>
          </m:sSub>
          <m:r>
            <m:rPr>
              <m:sty m:val="p"/>
            </m:rPr>
            <m:t>+</m:t>
          </m:r>
          <m:r>
            <m:rPr>
              <m:sty m:val="p"/>
            </m:rPr>
            <m:t>⋯</m:t>
          </m:r>
          <m:r>
            <m:rPr>
              <m:sty m:val="p"/>
            </m:rPr>
            <m:t>+</m:t>
          </m:r>
          <m:sSub>
            <m:e>
              <m:acc>
                <m:accPr>
                  <m:chr m:val="̂"/>
                </m:accPr>
                <m:e>
                  <m:r>
                    <m:t>β</m:t>
                  </m:r>
                </m:e>
              </m:acc>
            </m:e>
            <m:sub>
              <m:r>
                <m:t>P</m:t>
              </m:r>
            </m:sub>
          </m:sSub>
          <m:sSub>
            <m:e>
              <m:r>
                <m:t>X</m:t>
              </m:r>
            </m:e>
            <m:sub>
              <m:r>
                <m:t>P</m:t>
              </m:r>
              <m:r>
                <m:t>t</m:t>
              </m:r>
            </m:sub>
          </m:sSub>
          <m:r>
            <m:rPr>
              <m:sty m:val="p"/>
            </m:rPr>
            <m:t>.</m:t>
          </m:r>
        </m:oMath>
      </m:oMathPara>
    </w:p>
    <w:p>
      <w:pPr>
        <w:pStyle w:val="FirstParagraph"/>
      </w:pPr>
      <w:r>
        <w:t xml:space="preserve">The covariates</w:t>
      </w:r>
      <w:r>
        <w:t xml:space="preserve"> </w:t>
      </w:r>
      <m:oMath>
        <m:sSub>
          <m:e>
            <m:r>
              <m:t>X</m:t>
            </m:r>
          </m:e>
          <m:sub>
            <m:r>
              <m:t>t</m:t>
            </m:r>
          </m:sub>
        </m:sSub>
      </m:oMath>
      <w:r>
        <w:t xml:space="preserve"> </w:t>
      </w:r>
      <w:r>
        <w:t xml:space="preserve">included:</w:t>
      </w:r>
    </w:p>
    <w:p>
      <w:pPr>
        <w:numPr>
          <w:ilvl w:val="0"/>
          <w:numId w:val="1001"/>
        </w:numPr>
        <w:pStyle w:val="Compact"/>
      </w:pPr>
      <w:r>
        <w:t xml:space="preserve">Years since hire (quartiles or splined)</w:t>
      </w:r>
    </w:p>
    <w:p>
      <w:pPr>
        <w:numPr>
          <w:ilvl w:val="0"/>
          <w:numId w:val="1001"/>
        </w:numPr>
        <w:pStyle w:val="Compact"/>
      </w:pPr>
      <w:r>
        <w:t xml:space="preserve">Age (quartiles or splined)</w:t>
      </w:r>
    </w:p>
    <w:p>
      <w:pPr>
        <w:numPr>
          <w:ilvl w:val="0"/>
          <w:numId w:val="1001"/>
        </w:numPr>
        <w:pStyle w:val="Compact"/>
      </w:pPr>
      <w:r>
        <w:t xml:space="preserve">Plant</w:t>
      </w:r>
    </w:p>
    <w:p>
      <w:pPr>
        <w:numPr>
          <w:ilvl w:val="0"/>
          <w:numId w:val="1001"/>
        </w:numPr>
        <w:pStyle w:val="Compact"/>
      </w:pPr>
      <w:r>
        <w:t xml:space="preserve">Race (black or white)</w:t>
      </w:r>
    </w:p>
    <w:p>
      <w:pPr>
        <w:numPr>
          <w:ilvl w:val="0"/>
          <w:numId w:val="1001"/>
        </w:numPr>
        <w:pStyle w:val="Compact"/>
      </w:pPr>
      <w:r>
        <w:t xml:space="preserve">Sex</w:t>
      </w:r>
    </w:p>
    <w:p>
      <w:pPr>
        <w:numPr>
          <w:ilvl w:val="0"/>
          <w:numId w:val="1001"/>
        </w:numPr>
        <w:pStyle w:val="Compact"/>
      </w:pPr>
      <w:r>
        <w:t xml:space="preserve">Proportion of year spent in assembly, machining (includes grinding), and off (quartiles)</w:t>
      </w:r>
    </w:p>
    <w:p>
      <w:pPr>
        <w:numPr>
          <w:ilvl w:val="0"/>
          <w:numId w:val="1001"/>
        </w:numPr>
        <w:pStyle w:val="Compact"/>
      </w:pPr>
      <w:r>
        <w:t xml:space="preserve">Cumulative time spent off (quartiles)</w:t>
      </w:r>
    </w:p>
    <w:p>
      <w:pPr>
        <w:numPr>
          <w:ilvl w:val="0"/>
          <w:numId w:val="1001"/>
        </w:numPr>
        <w:pStyle w:val="Compact"/>
      </w:pPr>
      <w:r>
        <w:t xml:space="preserve">Year of hire (quartiles)</w:t>
      </w:r>
    </w:p>
    <w:p>
      <w:pPr>
        <w:numPr>
          <w:ilvl w:val="0"/>
          <w:numId w:val="1001"/>
        </w:numPr>
        <w:pStyle w:val="Compact"/>
      </w:pPr>
      <w:r>
        <w:t xml:space="preserve">Cumulative exposure to straight, soluble, and synthetic MWFs (quartiles)</w:t>
      </w:r>
    </w:p>
    <w:p>
      <w:pPr>
        <w:numPr>
          <w:ilvl w:val="0"/>
          <w:numId w:val="1001"/>
        </w:numPr>
        <w:pStyle w:val="Compact"/>
      </w:pPr>
      <w:r>
        <w:t xml:space="preserve">Employment status</w:t>
      </w:r>
    </w:p>
    <w:p>
      <w:pPr>
        <w:pStyle w:val="FirstParagraph"/>
      </w:pPr>
      <w:r>
        <w:t xml:space="preserve">Further information on the estimation of</w:t>
      </w:r>
      <w:r>
        <w:t xml:space="preserve"> </w:t>
      </w:r>
      <m:oMath>
        <m:r>
          <m:t>g</m:t>
        </m:r>
      </m:oMath>
      <w:r>
        <w:t xml:space="preserve"> </w:t>
      </w:r>
      <w:r>
        <w:t xml:space="preserve">can be found on</w:t>
      </w:r>
      <w:r>
        <w:t xml:space="preserve"> </w:t>
      </w:r>
      <w:hyperlink r:id="rId24">
        <w:r>
          <w:rPr>
            <w:rStyle w:val="Hyperlink"/>
          </w:rPr>
          <w:t xml:space="preserve">Box</w:t>
        </w:r>
      </w:hyperlink>
      <w:r>
        <w:t xml:space="preserve">.</w:t>
      </w:r>
    </w:p>
    <w:bookmarkEnd w:id="25"/>
    <w:bookmarkStart w:id="26" w:name="four-analyses"/>
    <w:p>
      <w:pPr>
        <w:pStyle w:val="Heading1"/>
      </w:pPr>
      <w:r>
        <w:t xml:space="preserve">Four analyses</w:t>
      </w:r>
    </w:p>
    <w:p>
      <w:pPr>
        <w:numPr>
          <w:ilvl w:val="0"/>
          <w:numId w:val="1002"/>
        </w:numPr>
        <w:pStyle w:val="Compact"/>
      </w:pPr>
      <w:r>
        <w:t xml:space="preserve">Men still alive in 1973</w:t>
      </w:r>
    </w:p>
    <w:p>
      <w:pPr>
        <w:numPr>
          <w:ilvl w:val="0"/>
          <w:numId w:val="1002"/>
        </w:numPr>
        <w:pStyle w:val="Compact"/>
      </w:pPr>
      <w:r>
        <w:t xml:space="preserve">Men still alive in 1985, excluding the 134 men who had prostate cancer before 1985</w:t>
      </w:r>
    </w:p>
    <w:p>
      <w:pPr>
        <w:numPr>
          <w:ilvl w:val="0"/>
          <w:numId w:val="1002"/>
        </w:numPr>
        <w:pStyle w:val="Compact"/>
      </w:pPr>
      <w:r>
        <w:t xml:space="preserve">Men still alive in 1985, excluding the 134, weighted by probability of not dying of natural causes</w:t>
      </w:r>
    </w:p>
    <w:p>
      <w:pPr>
        <w:numPr>
          <w:ilvl w:val="0"/>
          <w:numId w:val="1002"/>
        </w:numPr>
        <w:pStyle w:val="Compact"/>
      </w:pPr>
      <w:r>
        <w:t xml:space="preserve">Men still alive in 1985, excluding the 134, weighted by stabilized inverse probability with truncation at the 99</w:t>
      </w:r>
      <w:r>
        <w:rPr>
          <w:vertAlign w:val="superscript"/>
        </w:rPr>
        <w:t xml:space="preserve">th</w:t>
      </w:r>
      <w:r>
        <w:t xml:space="preserve"> </w:t>
      </w:r>
      <w:r>
        <w:t xml:space="preserve">percentile of weights (</w:t>
      </w:r>
      <m:oMath>
        <m:r>
          <m:t>s</m:t>
        </m:r>
        <m:sSub>
          <m:e>
            <m:r>
              <m:t>w</m:t>
            </m:r>
          </m:e>
          <m:sub>
            <m:r>
              <m:t>i</m:t>
            </m:r>
          </m:sub>
        </m:sSub>
      </m:oMath>
      <w:r>
        <w:t xml:space="preserve"> </w:t>
      </w:r>
      <w:r>
        <w:t xml:space="preserve">= 330)</w:t>
      </w:r>
    </w:p>
    <w:p>
      <w:pPr>
        <w:pStyle w:val="FirstParagraph"/>
      </w:pPr>
      <w:r>
        <w:t xml:space="preserve">Follow-up ends on the date of death, prostate cancer incidence, LTFU (outcome-free at age 108.39 years), or 2015-12-31, whichever comes first.</w:t>
      </w:r>
    </w:p>
    <w:p>
      <w:pPr>
        <w:pStyle w:val="BodyText"/>
      </w:pPr>
      <w:r>
        <w:t xml:space="preserve">All analyses restricted to plants 1 and 2</w:t>
      </w:r>
    </w:p>
    <w:p>
      <w:pPr>
        <w:pStyle w:val="BodyText"/>
      </w:pPr>
      <w:r>
        <w:t xml:space="preserve">Summary of population characteristics in the slides to follow.</w:t>
      </w:r>
    </w:p>
    <w:bookmarkEnd w:id="26"/>
    <w:bookmarkStart w:id="27" w:name="section"/>
    <w:p>
      <w:pPr>
        <w:pStyle w:val="Heading1"/>
      </w:pPr>
    </w:p>
    <w:bookmarkEnd w:id="27"/>
    <w:bookmarkStart w:id="28" w:name="section-1"/>
    <w:p>
      <w:pPr>
        <w:pStyle w:val="Heading1"/>
      </w:pPr>
    </w:p>
    <w:bookmarkEnd w:id="28"/>
    <w:bookmarkStart w:id="29" w:name="section-2"/>
    <w:p>
      <w:pPr>
        <w:pStyle w:val="Heading1"/>
      </w:pPr>
    </w:p>
    <w:bookmarkEnd w:id="29"/>
    <w:bookmarkStart w:id="30" w:name="cox-ph-models"/>
    <w:p>
      <w:pPr>
        <w:pStyle w:val="Heading1"/>
      </w:pPr>
      <w:r>
        <w:t xml:space="preserve">Cox PH Models</w:t>
      </w:r>
    </w:p>
    <w:p>
      <w:pPr>
        <w:numPr>
          <w:ilvl w:val="0"/>
          <w:numId w:val="1003"/>
        </w:numPr>
        <w:pStyle w:val="Compact"/>
      </w:pPr>
      <w:r>
        <w:t xml:space="preserve">Cumulative exposure to straight, soluble, and synthetic MWFs (lagged 20 years)</w:t>
      </w:r>
    </w:p>
    <w:p>
      <w:pPr>
        <w:numPr>
          <w:ilvl w:val="0"/>
          <w:numId w:val="1003"/>
        </w:numPr>
        <w:pStyle w:val="Compact"/>
      </w:pPr>
      <w:r>
        <w:t xml:space="preserve">Splined calendar year</w:t>
      </w:r>
    </w:p>
    <w:p>
      <w:pPr>
        <w:numPr>
          <w:ilvl w:val="0"/>
          <w:numId w:val="1003"/>
        </w:numPr>
        <w:pStyle w:val="Compact"/>
      </w:pPr>
      <w:r>
        <w:t xml:space="preserve">Splined year of hire</w:t>
      </w:r>
    </w:p>
    <w:p>
      <w:pPr>
        <w:numPr>
          <w:ilvl w:val="0"/>
          <w:numId w:val="1003"/>
        </w:numPr>
        <w:pStyle w:val="Compact"/>
      </w:pPr>
      <w:r>
        <w:t xml:space="preserve">Race</w:t>
      </w:r>
    </w:p>
    <w:p>
      <w:pPr>
        <w:numPr>
          <w:ilvl w:val="0"/>
          <w:numId w:val="1003"/>
        </w:numPr>
        <w:pStyle w:val="Compact"/>
      </w:pPr>
      <w:r>
        <w:t xml:space="preserve">Plant</w:t>
      </w:r>
    </w:p>
    <w:p>
      <w:pPr>
        <w:numPr>
          <w:ilvl w:val="0"/>
          <w:numId w:val="1003"/>
        </w:numPr>
        <w:pStyle w:val="Compact"/>
      </w:pPr>
      <w:r>
        <w:t xml:space="preserve">Risk sets indexed by age</w:t>
      </w:r>
    </w:p>
    <w:bookmarkEnd w:id="30"/>
    <w:bookmarkStart w:id="32" w:name="section-3"/>
    <w:p>
      <w:pPr>
        <w:pStyle w:val="Heading1"/>
      </w:pPr>
    </w:p>
    <w:bookmarkStart w:id="31" w:name="men-still-alive-in-1973"/>
    <w:p>
      <w:pPr>
        <w:pStyle w:val="Heading2"/>
      </w:pPr>
      <w:r>
        <w:t xml:space="preserve">1. Men still alive in 1973</w:t>
      </w:r>
    </w:p>
    <w:bookmarkEnd w:id="31"/>
    <w:bookmarkEnd w:id="32"/>
    <w:bookmarkStart w:id="34" w:name="section-4"/>
    <w:p>
      <w:pPr>
        <w:pStyle w:val="Heading1"/>
      </w:pPr>
    </w:p>
    <w:bookmarkStart w:id="33" w:name="men-still-alive-in-1985"/>
    <w:p>
      <w:pPr>
        <w:pStyle w:val="Heading2"/>
      </w:pPr>
      <w:r>
        <w:t xml:space="preserve">2. Men still alive in 1985</w:t>
      </w:r>
    </w:p>
    <w:bookmarkEnd w:id="33"/>
    <w:bookmarkEnd w:id="34"/>
    <w:bookmarkStart w:id="36" w:name="section-5"/>
    <w:p>
      <w:pPr>
        <w:pStyle w:val="Heading1"/>
      </w:pPr>
    </w:p>
    <w:bookmarkStart w:id="35" w:name="X7b4d06102f6ce7230d1770b46117e05c62ed4ba"/>
    <w:p>
      <w:pPr>
        <w:pStyle w:val="Heading2"/>
      </w:pPr>
      <w:r>
        <w:t xml:space="preserve">3. Men still alive in 1985, weighted by probability of not being dead due to natural causes in 1985</w:t>
      </w:r>
    </w:p>
    <w:bookmarkEnd w:id="35"/>
    <w:bookmarkEnd w:id="36"/>
    <w:bookmarkStart w:id="38" w:name="section-6"/>
    <w:p>
      <w:pPr>
        <w:pStyle w:val="Heading1"/>
      </w:pPr>
    </w:p>
    <w:bookmarkStart w:id="37" w:name="X3572cc4fb1bff8ca0a49608abf581f962a7f86c"/>
    <w:p>
      <w:pPr>
        <w:pStyle w:val="Heading2"/>
      </w:pPr>
      <w:r>
        <w:t xml:space="preserve">4. Men still alive in 1985, weighted by the stabilized inverse probability with truncation</w:t>
      </w:r>
    </w:p>
    <w:bookmarkEnd w:id="37"/>
    <w:bookmarkEnd w:id="38"/>
    <w:bookmarkStart w:id="41" w:name="results-by-mwf-type"/>
    <w:p>
      <w:pPr>
        <w:pStyle w:val="Heading1"/>
      </w:pPr>
      <w:r>
        <w:t xml:space="preserve">Results by MWF type</w:t>
      </w:r>
    </w:p>
    <w:p>
      <w:r>
        <w:pict>
          <v:rect style="width:0;height:1.5pt" o:hralign="center" o:hrstd="t" o:hr="t"/>
        </w:pict>
      </w:r>
    </w:p>
    <w:bookmarkStart w:id="40" w:name="refs"/>
    <w:bookmarkStart w:id="39" w:name="ref-Hernan_2004"/>
    <w:p>
      <w:pPr>
        <w:pStyle w:val="Bibliography"/>
      </w:pPr>
      <w:r>
        <w:t xml:space="preserve">1.</w:t>
      </w:r>
      <w:r>
        <w:t xml:space="preserve"> </w:t>
      </w:r>
      <w:r>
        <w:t xml:space="preserve">	</w:t>
      </w:r>
      <w:r>
        <w:t xml:space="preserve">Hernán MA, Hernández-Dı́az S, Robins JM. A structural approach to selection bias.</w:t>
      </w:r>
      <w:r>
        <w:t xml:space="preserve"> </w:t>
      </w:r>
      <w:r>
        <w:rPr>
          <w:iCs/>
          <w:i/>
        </w:rPr>
        <w:t xml:space="preserve">Epidemiology</w:t>
      </w:r>
      <w:r>
        <w:t xml:space="preserve">. 2004:615-625.</w:t>
      </w:r>
    </w:p>
    <w:bookmarkEnd w:id="39"/>
    <w:bookmarkEnd w:id="40"/>
    <w:bookmarkEnd w:id="41"/>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hyperlink" Id="rId24" Target="https://berkeley.app.box.com/folder/114285681411" TargetMode="External" /></Relationships>
</file>

<file path=word/_rels/footnotes.xml.rels><?xml version="1.0" encoding="UTF-8"?><Relationships xmlns="http://schemas.openxmlformats.org/package/2006/relationships"><Relationship Type="http://schemas.openxmlformats.org/officeDocument/2006/relationships/hyperlink" Id="rId24" Target="https://berkeley.app.box.com/folder/114285681411"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of incident prostate cancer risk, weighted by survival to 1985</dc:title>
  <dc:creator/>
  <cp:keywords/>
  <dcterms:created xsi:type="dcterms:W3CDTF">2022-11-06T05:00:27Z</dcterms:created>
  <dcterms:modified xsi:type="dcterms:W3CDTF">2022-11-06T05:00:27Z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date">
    <vt:lpwstr/>
  </property>
  <property fmtid="{D5CDD505-2E9C-101B-9397-08002B2CF9AE}" pid="6" name="editor_options">
    <vt:lpwstr/>
  </property>
  <property fmtid="{D5CDD505-2E9C-101B-9397-08002B2CF9AE}" pid="7" name="execute">
    <vt:lpwstr/>
  </property>
  <property fmtid="{D5CDD505-2E9C-101B-9397-08002B2CF9AE}" pid="8" name="fontsize">
    <vt:lpwstr>11pt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GM-UAW Cohort Study</vt:lpwstr>
  </property>
  <property fmtid="{D5CDD505-2E9C-101B-9397-08002B2CF9AE}" pid="14" name="toc-title">
    <vt:lpwstr>Table of contents</vt:lpwstr>
  </property>
</Properties>
</file>