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esults"/>
    <w:p>
      <w:pPr>
        <w:pStyle w:val="Heading1"/>
      </w:pPr>
      <w:r>
        <w:t xml:space="preserve">Results</w:t>
      </w:r>
    </w:p>
    <w:p>
      <w:pPr>
        <w:pStyle w:val="FirstParagraph"/>
      </w:pPr>
      <w:r>
        <w:t xml:space="preserve">Table 1 presents summary statistics of exposure and covariates for the full study population and for those diagnosed with NHL between 1985 and 2004. The cohort is predominantly white (66%) and male (87%). The median year of hire among those diagnosed with NHL was 1959 whereas the median year of hire in the full study population was almost a decade later. Age at hire was approximately the same among those with NHL and the full study population. Median lagged cumulative exposure to all three MWF types was higher among NHL cases. Soluble MWFs were the most widely used MWF type, with approximately 90% of workers ever exposed. Median cumulative exposure</w:t>
      </w:r>
      <w:r>
        <w:t xml:space="preserve"> </w:t>
      </w:r>
      <w:r>
        <w:t xml:space="preserve">among the exposed was 6.5 times higher for soluble than for straight MWFs. Figure 2 shows median average annual exposure to the three MWF types among exposed workers over calendar time. Exposure to MWF generally followed a downward trend over time.</w:t>
      </w:r>
    </w:p>
    <w:p>
      <w:pPr>
        <w:pStyle w:val="TableCaption"/>
      </w:pPr>
      <w:r>
        <w:t xml:space="preserve">Table 1:</w:t>
      </w:r>
      <w:r>
        <w:t xml:space="preserve"> </w:t>
      </w:r>
      <w:r>
        <w:t xml:space="preserve">Summary of population characteristics. Statistics shown above the horizontal line are count (%). Those shown below are median (quartile 1, quartile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8"/>
        <w:gridCol w:w="936"/>
        <w:gridCol w:w="1584"/>
        <w:gridCol w:w="144"/>
        <w:gridCol w:w="936"/>
        <w:gridCol w:w="1584"/>
      </w:tblGrid>
      <w:tr>
        <w:trPr>
          <w:trHeight w:val="360" w:hRule="auto"/>
          <w:tblHeader/>
        </w:trPr>
        header 1
        <w:tc>
          <w:tcPr>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population</w:t>
            </w:r>
          </w:p>
        </w:tc>
        <w:tc>
          <w:tcPr>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NHL cases</w:t>
            </w:r>
          </w:p>
        </w:tc>
      </w:tr>
      <w:tr>
        <w:trPr>
          <w:trHeight w:val="360" w:hRule="auto"/>
        </w:trPr>
        body 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(person-years)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34,734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(596,698)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Ever exposed to MWFs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Soluble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Synthetic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Deceased by end of follow-up</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body18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birth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(1925, 1950)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(1919, 1940)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hire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(1953, 1976)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(1951, 1969)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hire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(20.0, 30.1)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(21.1, 33.6)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leaving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(1968, 1989)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(1964, 1987)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leaving work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(31.9, 57.7)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(36.5, 61.2)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 at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(8.0, 29.9)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(1993, 2008)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(1994, 2005)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death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(66.2, 82.0)</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Cumulative time off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(0.17, 1.43)</w:t>
            </w:r>
          </w:p>
        </w:tc>
      </w:tr>
      <w:tr>
        <w:trPr>
          <w:trHeight w:val="360" w:hRule="auto"/>
        </w:trPr>
        body27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Cumulative exposure to MWFs (mg/m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d</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(0.22, 2.56)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(0.29, 3.30)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Soluble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(2.86, 20.91)</w:t>
            </w:r>
          </w:p>
        </w:tc>
      </w:tr>
      <w:tr>
        <w:trPr>
          <w:trHeight w:val="360" w:hRule="auto"/>
        </w:trPr>
        body30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Synthetic </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(0.16, 1.64)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(0.29, 2.11)</w:t>
            </w:r>
          </w:p>
        </w:tc>
      </w:tr>
      <w:tr>
        <w:trPr>
          <w:trHeight w:val="360" w:hRule="auto"/>
        </w:trPr>
        footer 1
        <w:tc>
          <w:tcPr>
            <w:gridSpan w:val="6"/>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NHL: non-Hodgkin lymphoma.</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Plant of longest employment duration among those who worked at multiple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Lagged 10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Among those who left work by December 31, 1994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Among ever-exposed individuals, lagged 10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bl>
    <w:p>
      <w:pPr>
        <w:pStyle w:val="BodyText"/>
      </w:pPr>
      <w:r>
        <w:br/>
      </w:r>
    </w:p>
    <w:p>
      <w:pPr>
        <w:pStyle w:val="CaptionedFigure"/>
      </w:pPr>
      <w:r>
        <w:drawing>
          <wp:inline>
            <wp:extent cx="5943600" cy="2476500"/>
            <wp:effectExtent b="0" l="0" r="0" t="0"/>
            <wp:docPr descr="Figure 2. Median average annual exposure to soluble, straight, and synthetic metalworking fluids among exposed workers over time." title="" id="21" name="Picture"/>
            <a:graphic>
              <a:graphicData uri="http://schemas.openxmlformats.org/drawingml/2006/picture">
                <pic:pic>
                  <pic:nvPicPr>
                    <pic:cNvPr descr="/Users/kevinchen/eisen/gm-nhl-ice/resources/images/exposure.png" id="22" name="Picture"/>
                    <pic:cNvPicPr>
                      <a:picLocks noChangeArrowheads="1" noChangeAspect="1"/>
                    </pic:cNvPicPr>
                  </pic:nvPicPr>
                  <pic:blipFill>
                    <a:blip r:embed="rId20"/>
                    <a:stretch>
                      <a:fillRect/>
                    </a:stretch>
                  </pic:blipFill>
                  <pic:spPr bwMode="auto">
                    <a:xfrm>
                      <a:off x="0" y="0"/>
                      <a:ext cx="5943600" cy="2476500"/>
                    </a:xfrm>
                    <a:prstGeom prst="rect">
                      <a:avLst/>
                    </a:prstGeom>
                    <a:noFill/>
                    <a:ln w="9525">
                      <a:noFill/>
                      <a:headEnd/>
                      <a:tailEnd/>
                    </a:ln>
                  </pic:spPr>
                </pic:pic>
              </a:graphicData>
            </a:graphic>
          </wp:inline>
        </w:drawing>
      </w:r>
    </w:p>
    <w:p>
      <w:pPr>
        <w:pStyle w:val="ImageCaption"/>
      </w:pPr>
      <w:r>
        <w:t xml:space="preserve">Figure 2. Median average annual exposure to soluble, straight, and synthetic metalworking fluids among exposed workers over time.</w:t>
      </w:r>
    </w:p>
    <w:p>
      <w:pPr>
        <w:pStyle w:val="BodyText"/>
      </w:pPr>
      <w:r>
        <w:t xml:space="preserve">The observed risk of NHL over the 20-year follow-up period was 231 per 34,734 (6.65 per 1000). Table 2 presents the hazard-extended ICE parametric g-formula estimates of the counterfactual risk, risk difference, and risk ratios contrasting hypothetical limits on exposure to soluble MWF to no limit, after elimination of competing risks. Under an intervention eliminating competing risks, the estimated risk under no limit on MWF exposure was 332 (285, 380) per 34,734. Stronger limits on average annual exposure to soluble MWFs resulted in monotonically stronger reductions in the risk of NHL. Capping average annual exposure to soluble MWFs at 0.5 mg/m</w:t>
      </w:r>
      <w:r>
        <w:rPr>
          <w:vertAlign w:val="superscript"/>
        </w:rPr>
        <w:t xml:space="preserve">3</w:t>
      </w:r>
      <w:r>
        <w:t xml:space="preserve">, 0.25 mg/m</w:t>
      </w:r>
      <w:r>
        <w:rPr>
          <w:vertAlign w:val="superscript"/>
        </w:rPr>
        <w:t xml:space="preserve">3</w:t>
      </w:r>
      <w:r>
        <w:t xml:space="preserve">, and 0.05 mg/m</w:t>
      </w:r>
      <w:r>
        <w:rPr>
          <w:vertAlign w:val="superscript"/>
        </w:rPr>
        <w:t xml:space="preserve">3</w:t>
      </w:r>
      <w:r>
        <w:t xml:space="preserve"> </w:t>
      </w:r>
      <w:r>
        <w:t xml:space="preserve">resulted in 44 (-6, 91), 52 (-5, 106), and 71 (12, 129) fewer NHL cases, respectively. These correspond to risk ratios 0.87 (0.73, 1.02), 0.84 (0.68, 1.01), and 0.79 (0.61, 0.97).</w:t>
      </w:r>
    </w:p>
    <w:p>
      <w:pPr>
        <w:pStyle w:val="TableCaption"/>
      </w:pPr>
      <w:r>
        <w:t xml:space="preserve">Table 2:</w:t>
      </w:r>
      <w:r>
        <w:t xml:space="preserve"> </w:t>
      </w:r>
      <w:r>
        <w:t xml:space="preserve">Counterfactual risk, risk difference, and risk ratio estimates contrasting interventions on soluble MWF to the observed course.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584"/>
        <w:gridCol w:w="720"/>
        <w:gridCol w:w="1296"/>
        <w:gridCol w:w="648"/>
        <w:gridCol w:w="1296"/>
        <w:gridCol w:w="792"/>
        <w:gridCol w:w="1296"/>
      </w:tblGrid>
      <w:tr>
        <w:trPr>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Exposure limit (mg/m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Person-years intervened (%)</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Risk</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RD</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(RD 95% CI)</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r>
      <w:tr>
        <w:trPr>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(285, 380)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(224, 351)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(0.73, 1.02)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(209, 348)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(0.68, 1.01)</w:t>
            </w:r>
          </w:p>
        </w:tc>
      </w:tr>
      <w:tr>
        <w:trPr>
          <w:trHeight w:val="360"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(193, 325)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(12, 129)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(0.61, 0.96)</w:t>
            </w:r>
          </w:p>
        </w:tc>
      </w:tr>
      <w:tr>
        <w:trPr>
          <w:trHeight w:val="360" w:hRule="auto"/>
        </w:trPr>
        footer1
        <w:tc>
          <w:tcPr>
            <w:gridSpan w:val="8"/>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Note. Counterfactual risk and risk difference estimates were expressed per 34,734.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MWF: metalworking fluid</w:t>
            </w:r>
          </w:p>
        </w:tc>
      </w:tr>
    </w:tbl>
    <w:bookmarkEnd w:id="23"/>
    <w:sectPr w:rsidR="0021346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7A25E7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E3CD3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7D293D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B8C3A9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122F0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2A21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476F9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F5CFA4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5BAA2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4AA7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C6D312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22694F5B"/>
    <w:multiLevelType w:val="multilevel"/>
    <w:tmpl w:val="94BA4DD6"/>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2">
    <w:nsid w:val="2C1AE401"/>
    <w:multiLevelType w:val="multilevel"/>
    <w:tmpl w:val="90546B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FDA69CF"/>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357D42E1"/>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75C0149"/>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6">
    <w:nsid w:val="4B4719FF"/>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53D67AA1"/>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580D291C"/>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19">
    <w:nsid w:val="78E77810"/>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91663870" w:numId="1">
    <w:abstractNumId w:val="12"/>
  </w:num>
  <w:num w16cid:durableId="879510322" w:numId="2">
    <w:abstractNumId w:val="10"/>
  </w:num>
  <w:num w16cid:durableId="1904564873" w:numId="3">
    <w:abstractNumId w:val="14"/>
  </w:num>
  <w:num w16cid:durableId="123544386" w:numId="4">
    <w:abstractNumId w:val="11"/>
  </w:num>
  <w:num w16cid:durableId="1790968908" w:numId="5">
    <w:abstractNumId w:val="17"/>
  </w:num>
  <w:num w16cid:durableId="1601448068" w:numId="6">
    <w:abstractNumId w:val="19"/>
  </w:num>
  <w:num w16cid:durableId="1012222295" w:numId="7">
    <w:abstractNumId w:val="15"/>
  </w:num>
  <w:num w16cid:durableId="968321886" w:numId="8">
    <w:abstractNumId w:val="9"/>
  </w:num>
  <w:num w16cid:durableId="634527812" w:numId="9">
    <w:abstractNumId w:val="7"/>
  </w:num>
  <w:num w16cid:durableId="1563637156" w:numId="10">
    <w:abstractNumId w:val="6"/>
  </w:num>
  <w:num w16cid:durableId="1513303817" w:numId="11">
    <w:abstractNumId w:val="5"/>
  </w:num>
  <w:num w16cid:durableId="708337968" w:numId="12">
    <w:abstractNumId w:val="4"/>
  </w:num>
  <w:num w16cid:durableId="365831632" w:numId="13">
    <w:abstractNumId w:val="8"/>
  </w:num>
  <w:num w16cid:durableId="864752837" w:numId="14">
    <w:abstractNumId w:val="3"/>
  </w:num>
  <w:num w16cid:durableId="1324435791" w:numId="15">
    <w:abstractNumId w:val="2"/>
  </w:num>
  <w:num w16cid:durableId="120459119" w:numId="16">
    <w:abstractNumId w:val="1"/>
  </w:num>
  <w:num w16cid:durableId="2143620387" w:numId="17">
    <w:abstractNumId w:val="0"/>
  </w:num>
  <w:num w16cid:durableId="687802783" w:numId="18">
    <w:abstractNumId w:val="16"/>
  </w:num>
  <w:num w16cid:durableId="1874075149" w:numId="19">
    <w:abstractNumId w:val="13"/>
  </w:num>
  <w:num w16cid:durableId="666322899" w:numId="20">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053EC"/>
    <w:rPr>
      <w:rFonts w:ascii="Arial" w:hAnsi="Arial"/>
      <w:sz w:val="22"/>
    </w:rPr>
  </w:style>
  <w:style w:styleId="Heading1" w:type="paragraph">
    <w:name w:val="heading 1"/>
    <w:basedOn w:val="Normal"/>
    <w:next w:val="BodyText"/>
    <w:uiPriority w:val="9"/>
    <w:qFormat/>
    <w:rsid w:val="00524D24"/>
    <w:pPr>
      <w:keepNext/>
      <w:keepLines/>
      <w:spacing w:after="100" w:afterAutospacing="1" w:before="360"/>
      <w:outlineLvl w:val="0"/>
    </w:pPr>
    <w:rPr>
      <w:rFonts w:cstheme="majorBidi" w:eastAsiaTheme="majorEastAsia"/>
      <w:b/>
      <w:bCs/>
      <w:caps/>
      <w:color w:themeColor="accent1" w:val="4F81BD"/>
      <w:szCs w:val="32"/>
    </w:rPr>
  </w:style>
  <w:style w:styleId="Heading2" w:type="paragraph">
    <w:name w:val="heading 2"/>
    <w:basedOn w:val="Normal"/>
    <w:next w:val="BodyText"/>
    <w:uiPriority w:val="9"/>
    <w:unhideWhenUsed/>
    <w:qFormat/>
    <w:rsid w:val="00524D24"/>
    <w:pPr>
      <w:keepNext/>
      <w:keepLines/>
      <w:spacing w:after="100" w:afterAutospacing="1" w:before="200"/>
      <w:outlineLvl w:val="1"/>
    </w:pPr>
    <w:rPr>
      <w:rFonts w:cstheme="majorBidi" w:eastAsiaTheme="majorEastAsia"/>
      <w:b/>
      <w:bCs/>
      <w:color w:themeColor="accent1" w:val="4F81BD"/>
      <w:szCs w:val="28"/>
    </w:rPr>
  </w:style>
  <w:style w:styleId="Heading3" w:type="paragraph">
    <w:name w:val="heading 3"/>
    <w:basedOn w:val="Normal"/>
    <w:next w:val="BodyText"/>
    <w:uiPriority w:val="9"/>
    <w:unhideWhenUsed/>
    <w:qFormat/>
    <w:rsid w:val="00524D24"/>
    <w:pPr>
      <w:keepNext/>
      <w:keepLines/>
      <w:spacing w:after="100" w:afterAutospacing="1" w:before="200"/>
      <w:outlineLvl w:val="2"/>
    </w:pPr>
    <w:rPr>
      <w:rFonts w:cstheme="majorBidi" w:eastAsiaTheme="majorEastAsia"/>
      <w:b/>
      <w:bCs/>
      <w:color w:themeColor="accent1" w:val="4F81BD"/>
    </w:rPr>
  </w:style>
  <w:style w:styleId="Heading4" w:type="paragraph">
    <w:name w:val="heading 4"/>
    <w:basedOn w:val="Normal"/>
    <w:next w:val="BodyText"/>
    <w:uiPriority w:val="9"/>
    <w:unhideWhenUsed/>
    <w:qFormat/>
    <w:rsid w:val="00524D24"/>
    <w:pPr>
      <w:keepNext/>
      <w:keepLines/>
      <w:spacing w:after="100" w:afterAutospacing="1" w:before="200"/>
      <w:outlineLvl w:val="3"/>
    </w:pPr>
    <w:rPr>
      <w:rFonts w:cstheme="majorBidi" w:eastAsiaTheme="majorEastAsia"/>
      <w:bCs/>
      <w:i/>
      <w:color w:themeColor="accent1" w:val="4F81BD"/>
    </w:rPr>
  </w:style>
  <w:style w:styleId="Heading5" w:type="paragraph">
    <w:name w:val="heading 5"/>
    <w:basedOn w:val="Normal"/>
    <w:next w:val="BodyText"/>
    <w:uiPriority w:val="9"/>
    <w:unhideWhenUsed/>
    <w:qFormat/>
    <w:rsid w:val="00524D24"/>
    <w:pPr>
      <w:keepNext/>
      <w:keepLines/>
      <w:numPr>
        <w:ilvl w:val="4"/>
        <w:numId w:val="20"/>
      </w:numPr>
      <w:spacing w:after="100" w:afterAutospacing="1" w:before="200"/>
      <w:outlineLvl w:val="4"/>
    </w:pPr>
    <w:rPr>
      <w:rFonts w:cstheme="majorBidi" w:eastAsiaTheme="majorEastAsia"/>
      <w:iCs/>
      <w:color w:themeColor="accent1" w:val="4F81BD"/>
    </w:rPr>
  </w:style>
  <w:style w:styleId="Heading6" w:type="paragraph">
    <w:name w:val="heading 6"/>
    <w:basedOn w:val="Normal"/>
    <w:next w:val="BodyText"/>
    <w:uiPriority w:val="9"/>
    <w:unhideWhenUsed/>
    <w:qFormat/>
    <w:rsid w:val="00524D24"/>
    <w:pPr>
      <w:keepNext/>
      <w:keepLines/>
      <w:numPr>
        <w:ilvl w:val="5"/>
        <w:numId w:val="20"/>
      </w:numPr>
      <w:spacing w:after="100" w:afterAutospacing="1" w:before="200"/>
      <w:outlineLvl w:val="5"/>
    </w:pPr>
    <w:rPr>
      <w:rFonts w:cstheme="majorBidi" w:eastAsiaTheme="majorEastAsia"/>
      <w:color w:themeColor="accent1" w:val="4F81BD"/>
    </w:rPr>
  </w:style>
  <w:style w:styleId="Heading7" w:type="paragraph">
    <w:name w:val="heading 7"/>
    <w:basedOn w:val="Normal"/>
    <w:next w:val="BodyText"/>
    <w:uiPriority w:val="9"/>
    <w:unhideWhenUsed/>
    <w:qFormat/>
    <w:rsid w:val="00524D24"/>
    <w:pPr>
      <w:keepNext/>
      <w:keepLines/>
      <w:numPr>
        <w:ilvl w:val="6"/>
        <w:numId w:val="20"/>
      </w:numPr>
      <w:spacing w:after="100" w:afterAutospacing="1"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524D24"/>
    <w:pPr>
      <w:keepNext/>
      <w:keepLines/>
      <w:numPr>
        <w:ilvl w:val="7"/>
        <w:numId w:val="20"/>
      </w:numPr>
      <w:spacing w:after="100" w:afterAutospacing="1"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524D24"/>
    <w:pPr>
      <w:keepNext/>
      <w:keepLines/>
      <w:numPr>
        <w:ilvl w:val="8"/>
        <w:numId w:val="20"/>
      </w:numPr>
      <w:spacing w:after="100" w:afterAutospacing="1"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53EC"/>
    <w:pPr>
      <w:keepNext/>
      <w:keepLines/>
      <w:spacing w:after="240" w:before="480"/>
      <w:jc w:val="center"/>
    </w:pPr>
    <w:rPr>
      <w:rFonts w:cstheme="majorBidi" w:eastAsiaTheme="majorEastAsia"/>
      <w:b/>
      <w:bCs/>
      <w:color w:themeColor="accent1" w:themeShade="B5" w:val="345A8A"/>
      <w:sz w:val="26"/>
      <w:szCs w:val="36"/>
    </w:rPr>
  </w:style>
  <w:style w:styleId="Subtitle" w:type="paragraph">
    <w:name w:val="Subtitle"/>
    <w:basedOn w:val="Title"/>
    <w:next w:val="BodyText"/>
    <w:qFormat/>
    <w:rsid w:val="00BB39B3"/>
    <w:pPr>
      <w:spacing w:before="240"/>
    </w:pPr>
    <w:rPr>
      <w:szCs w:val="30"/>
    </w:rPr>
  </w:style>
  <w:style w:customStyle="1" w:styleId="Author" w:type="paragraph">
    <w:name w:val="Author"/>
    <w:next w:val="BodyText"/>
    <w:qFormat/>
    <w:rsid w:val="00AC7C08"/>
    <w:pPr>
      <w:keepNext/>
      <w:keepLines/>
      <w:jc w:val="center"/>
    </w:pPr>
    <w:rPr>
      <w:rFonts w:ascii="Arial" w:hAnsi="Arial"/>
      <w:sz w:val="22"/>
    </w:rPr>
  </w:style>
  <w:style w:styleId="Date" w:type="paragraph">
    <w:name w:val="Date"/>
    <w:next w:val="BodyText"/>
    <w:qFormat/>
    <w:rsid w:val="00AC7C08"/>
    <w:pPr>
      <w:keepNext/>
      <w:keepLines/>
      <w:jc w:val="center"/>
    </w:pPr>
    <w:rPr>
      <w:rFonts w:ascii="Arial" w:hAnsi="Arial"/>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E39AB"/>
    <w:pPr>
      <w:ind w:hanging="720" w:left="720"/>
      <w:contextualSpacing/>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563721"/>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A436F1"/>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563721"/>
    <w:rPr>
      <w:rFonts w:ascii="Arial" w:hAnsi="Arial"/>
      <w:sz w:val="22"/>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Arial" w:hAnsi="Arial"/>
      <w:sz w:val="22"/>
      <w:vertAlign w:val="superscript"/>
    </w:rPr>
  </w:style>
  <w:style w:styleId="Hyperlink" w:type="character">
    <w:name w:val="Hyperlink"/>
    <w:basedOn w:val="CaptionChar"/>
    <w:rPr>
      <w:rFonts w:ascii="Arial" w:hAnsi="Arial"/>
      <w:color w:themeColor="accent1" w:val="4F81BD"/>
      <w:sz w:val="22"/>
    </w:rPr>
  </w:style>
  <w:style w:styleId="TOCHeading" w:type="paragraph">
    <w:name w:val="TOC Heading"/>
    <w:basedOn w:val="Heading1"/>
    <w:next w:val="BodyText"/>
    <w:uiPriority w:val="39"/>
    <w:unhideWhenUsed/>
    <w:qFormat/>
    <w:rsid w:val="00AC7C08"/>
    <w:pPr>
      <w:spacing w:before="240" w:line="259" w:lineRule="auto"/>
      <w:outlineLvl w:val="9"/>
    </w:pPr>
    <w:rPr>
      <w:b w:val="0"/>
      <w:bCs w:val="0"/>
      <w:cap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sid w:val="00AC7C08"/>
    <w:rPr>
      <w:rFonts w:ascii="Consolas" w:hAnsi="Consolas"/>
      <w:b/>
      <w:color w:val="204A87"/>
      <w:sz w:val="20"/>
      <w:shd w:color="auto" w:fill="F8F8F8" w:val="clear"/>
    </w:rPr>
  </w:style>
  <w:style w:customStyle="1" w:styleId="DataTypeTok" w:type="character">
    <w:name w:val="DataTypeTok"/>
    <w:basedOn w:val="VerbatimChar"/>
    <w:rsid w:val="00AC7C08"/>
    <w:rPr>
      <w:rFonts w:ascii="Consolas" w:hAnsi="Consolas"/>
      <w:color w:val="204A87"/>
      <w:sz w:val="20"/>
      <w:shd w:color="auto" w:fill="F8F8F8" w:val="clear"/>
    </w:rPr>
  </w:style>
  <w:style w:customStyle="1" w:styleId="DecValTok" w:type="character">
    <w:name w:val="DecValTok"/>
    <w:basedOn w:val="VerbatimChar"/>
    <w:rsid w:val="00AC7C08"/>
    <w:rPr>
      <w:rFonts w:ascii="Consolas" w:hAnsi="Consolas"/>
      <w:color w:val="0000CF"/>
      <w:sz w:val="20"/>
      <w:shd w:color="auto" w:fill="F8F8F8" w:val="clear"/>
    </w:rPr>
  </w:style>
  <w:style w:customStyle="1" w:styleId="BaseNTok" w:type="character">
    <w:name w:val="BaseNTok"/>
    <w:basedOn w:val="VerbatimChar"/>
    <w:rsid w:val="00AC7C08"/>
    <w:rPr>
      <w:rFonts w:ascii="Consolas" w:hAnsi="Consolas"/>
      <w:color w:val="0000CF"/>
      <w:sz w:val="20"/>
      <w:shd w:color="auto" w:fill="F8F8F8" w:val="clear"/>
    </w:rPr>
  </w:style>
  <w:style w:customStyle="1" w:styleId="FloatTok" w:type="character">
    <w:name w:val="FloatTok"/>
    <w:basedOn w:val="VerbatimChar"/>
    <w:rsid w:val="00AC7C08"/>
    <w:rPr>
      <w:rFonts w:ascii="Consolas" w:hAnsi="Consolas"/>
      <w:color w:val="0000CF"/>
      <w:sz w:val="20"/>
      <w:shd w:color="auto" w:fill="F8F8F8" w:val="clear"/>
    </w:rPr>
  </w:style>
  <w:style w:customStyle="1" w:styleId="ConstantTok" w:type="character">
    <w:name w:val="ConstantTok"/>
    <w:basedOn w:val="VerbatimChar"/>
    <w:rsid w:val="00AC7C08"/>
    <w:rPr>
      <w:rFonts w:ascii="Consolas" w:hAnsi="Consolas"/>
      <w:color w:val="000000"/>
      <w:sz w:val="20"/>
      <w:shd w:color="auto" w:fill="F8F8F8" w:val="clear"/>
    </w:rPr>
  </w:style>
  <w:style w:customStyle="1" w:styleId="CharTok" w:type="character">
    <w:name w:val="CharTok"/>
    <w:basedOn w:val="VerbatimChar"/>
    <w:rsid w:val="00AC7C08"/>
    <w:rPr>
      <w:rFonts w:ascii="Consolas" w:hAnsi="Consolas"/>
      <w:color w:val="4E9A06"/>
      <w:sz w:val="20"/>
      <w:shd w:color="auto" w:fill="F8F8F8" w:val="clear"/>
    </w:rPr>
  </w:style>
  <w:style w:customStyle="1" w:styleId="SpecialCharTok" w:type="character">
    <w:name w:val="SpecialCharTok"/>
    <w:basedOn w:val="VerbatimChar"/>
    <w:rsid w:val="00AC7C08"/>
    <w:rPr>
      <w:rFonts w:ascii="Consolas" w:hAnsi="Consolas"/>
      <w:color w:val="000000"/>
      <w:sz w:val="20"/>
      <w:shd w:color="auto" w:fill="F8F8F8" w:val="clear"/>
    </w:rPr>
  </w:style>
  <w:style w:customStyle="1" w:styleId="StringTok" w:type="character">
    <w:name w:val="StringTok"/>
    <w:basedOn w:val="VerbatimChar"/>
    <w:rsid w:val="00AC7C08"/>
    <w:rPr>
      <w:rFonts w:ascii="Consolas" w:hAnsi="Consolas"/>
      <w:color w:val="4E9A06"/>
      <w:sz w:val="20"/>
      <w:shd w:color="auto" w:fill="F8F8F8" w:val="clear"/>
    </w:rPr>
  </w:style>
  <w:style w:customStyle="1" w:styleId="VerbatimStringTok" w:type="character">
    <w:name w:val="VerbatimStringTok"/>
    <w:basedOn w:val="VerbatimChar"/>
    <w:rsid w:val="00AC7C08"/>
    <w:rPr>
      <w:rFonts w:ascii="Consolas" w:hAnsi="Consolas"/>
      <w:color w:val="4E9A06"/>
      <w:sz w:val="20"/>
      <w:shd w:color="auto" w:fill="F8F8F8" w:val="clear"/>
    </w:rPr>
  </w:style>
  <w:style w:customStyle="1" w:styleId="SpecialStringTok" w:type="character">
    <w:name w:val="SpecialStringTok"/>
    <w:basedOn w:val="VerbatimChar"/>
    <w:rsid w:val="00AC7C08"/>
    <w:rPr>
      <w:rFonts w:ascii="Consolas" w:hAnsi="Consolas"/>
      <w:color w:val="4E9A06"/>
      <w:sz w:val="20"/>
      <w:shd w:color="auto" w:fill="F8F8F8" w:val="clear"/>
    </w:rPr>
  </w:style>
  <w:style w:customStyle="1" w:styleId="ImportTok" w:type="character">
    <w:name w:val="ImportTok"/>
    <w:basedOn w:val="VerbatimChar"/>
    <w:rsid w:val="00AC7C08"/>
    <w:rPr>
      <w:rFonts w:ascii="Consolas" w:hAnsi="Consolas"/>
      <w:sz w:val="20"/>
      <w:shd w:color="auto" w:fill="F8F8F8" w:val="clear"/>
    </w:rPr>
  </w:style>
  <w:style w:customStyle="1" w:styleId="CommentTok" w:type="character">
    <w:name w:val="CommentTok"/>
    <w:basedOn w:val="VerbatimChar"/>
    <w:rsid w:val="00AC7C08"/>
    <w:rPr>
      <w:rFonts w:ascii="Consolas" w:hAnsi="Consolas"/>
      <w:i/>
      <w:color w:val="8F5902"/>
      <w:sz w:val="20"/>
      <w:shd w:color="auto" w:fill="F8F8F8" w:val="clear"/>
    </w:rPr>
  </w:style>
  <w:style w:customStyle="1" w:styleId="DocumentationTok" w:type="character">
    <w:name w:val="DocumentationTok"/>
    <w:basedOn w:val="VerbatimChar"/>
    <w:rsid w:val="00AC7C08"/>
    <w:rPr>
      <w:rFonts w:ascii="Consolas" w:hAnsi="Consolas"/>
      <w:b/>
      <w:i/>
      <w:color w:val="8F5902"/>
      <w:sz w:val="20"/>
      <w:shd w:color="auto" w:fill="F8F8F8" w:val="clear"/>
    </w:rPr>
  </w:style>
  <w:style w:customStyle="1" w:styleId="AnnotationTok" w:type="character">
    <w:name w:val="AnnotationTok"/>
    <w:basedOn w:val="VerbatimChar"/>
    <w:rsid w:val="00AC7C08"/>
    <w:rPr>
      <w:rFonts w:ascii="Consolas" w:hAnsi="Consolas"/>
      <w:b/>
      <w:i/>
      <w:color w:val="8F5902"/>
      <w:sz w:val="20"/>
      <w:shd w:color="auto" w:fill="F8F8F8" w:val="clear"/>
    </w:rPr>
  </w:style>
  <w:style w:customStyle="1" w:styleId="CommentVarTok" w:type="character">
    <w:name w:val="CommentVarTok"/>
    <w:basedOn w:val="VerbatimChar"/>
    <w:rsid w:val="00AC7C08"/>
    <w:rPr>
      <w:rFonts w:ascii="Consolas" w:hAnsi="Consolas"/>
      <w:b/>
      <w:i/>
      <w:color w:val="8F5902"/>
      <w:sz w:val="20"/>
      <w:shd w:color="auto" w:fill="F8F8F8" w:val="clear"/>
    </w:rPr>
  </w:style>
  <w:style w:customStyle="1" w:styleId="OtherTok" w:type="character">
    <w:name w:val="OtherTok"/>
    <w:basedOn w:val="VerbatimChar"/>
    <w:rsid w:val="00AC7C08"/>
    <w:rPr>
      <w:rFonts w:ascii="Consolas" w:hAnsi="Consolas"/>
      <w:color w:val="8F5902"/>
      <w:sz w:val="20"/>
      <w:shd w:color="auto" w:fill="F8F8F8" w:val="clear"/>
    </w:rPr>
  </w:style>
  <w:style w:customStyle="1" w:styleId="FunctionTok" w:type="character">
    <w:name w:val="FunctionTok"/>
    <w:basedOn w:val="VerbatimChar"/>
    <w:rsid w:val="00AC7C08"/>
    <w:rPr>
      <w:rFonts w:ascii="Consolas" w:hAnsi="Consolas"/>
      <w:color w:val="000000"/>
      <w:sz w:val="20"/>
      <w:shd w:color="auto" w:fill="F8F8F8" w:val="clear"/>
    </w:rPr>
  </w:style>
  <w:style w:customStyle="1" w:styleId="VariableTok" w:type="character">
    <w:name w:val="VariableTok"/>
    <w:basedOn w:val="VerbatimChar"/>
    <w:rsid w:val="00AC7C08"/>
    <w:rPr>
      <w:rFonts w:ascii="Consolas" w:hAnsi="Consolas"/>
      <w:color w:val="000000"/>
      <w:sz w:val="20"/>
      <w:shd w:color="auto" w:fill="F8F8F8" w:val="clear"/>
    </w:rPr>
  </w:style>
  <w:style w:customStyle="1" w:styleId="ControlFlowTok" w:type="character">
    <w:name w:val="ControlFlowTok"/>
    <w:basedOn w:val="VerbatimChar"/>
    <w:rsid w:val="00AC7C08"/>
    <w:rPr>
      <w:rFonts w:ascii="Consolas" w:hAnsi="Consolas"/>
      <w:b/>
      <w:color w:val="204A87"/>
      <w:sz w:val="20"/>
      <w:shd w:color="auto" w:fill="F8F8F8" w:val="clear"/>
    </w:rPr>
  </w:style>
  <w:style w:customStyle="1" w:styleId="OperatorTok" w:type="character">
    <w:name w:val="OperatorTok"/>
    <w:basedOn w:val="VerbatimChar"/>
    <w:rsid w:val="00AC7C08"/>
    <w:rPr>
      <w:rFonts w:ascii="Consolas" w:hAnsi="Consolas"/>
      <w:b/>
      <w:color w:val="CE5C00"/>
      <w:sz w:val="20"/>
      <w:shd w:color="auto" w:fill="F8F8F8" w:val="clear"/>
    </w:rPr>
  </w:style>
  <w:style w:customStyle="1" w:styleId="BuiltInTok" w:type="character">
    <w:name w:val="BuiltInTok"/>
    <w:basedOn w:val="VerbatimChar"/>
    <w:rsid w:val="00AC7C08"/>
    <w:rPr>
      <w:rFonts w:ascii="Consolas" w:hAnsi="Consolas"/>
      <w:sz w:val="20"/>
      <w:shd w:color="auto" w:fill="F8F8F8" w:val="clear"/>
    </w:rPr>
  </w:style>
  <w:style w:customStyle="1" w:styleId="ExtensionTok" w:type="character">
    <w:name w:val="ExtensionTok"/>
    <w:basedOn w:val="VerbatimChar"/>
    <w:rsid w:val="00AC7C08"/>
    <w:rPr>
      <w:rFonts w:ascii="Consolas" w:hAnsi="Consolas"/>
      <w:sz w:val="20"/>
      <w:shd w:color="auto" w:fill="F8F8F8" w:val="clear"/>
    </w:rPr>
  </w:style>
  <w:style w:customStyle="1" w:styleId="PreprocessorTok" w:type="character">
    <w:name w:val="PreprocessorTok"/>
    <w:basedOn w:val="VerbatimChar"/>
    <w:rsid w:val="00AC7C08"/>
    <w:rPr>
      <w:rFonts w:ascii="Consolas" w:hAnsi="Consolas"/>
      <w:i/>
      <w:color w:val="8F5902"/>
      <w:sz w:val="20"/>
      <w:shd w:color="auto" w:fill="F8F8F8" w:val="clear"/>
    </w:rPr>
  </w:style>
  <w:style w:customStyle="1" w:styleId="AttributeTok" w:type="character">
    <w:name w:val="AttributeTok"/>
    <w:basedOn w:val="VerbatimChar"/>
    <w:rsid w:val="00AC7C08"/>
    <w:rPr>
      <w:rFonts w:ascii="Consolas" w:hAnsi="Consolas"/>
      <w:color w:val="C4A000"/>
      <w:sz w:val="20"/>
      <w:shd w:color="auto" w:fill="F8F8F8" w:val="clear"/>
    </w:rPr>
  </w:style>
  <w:style w:customStyle="1" w:styleId="RegionMarkerTok" w:type="character">
    <w:name w:val="RegionMarkerTok"/>
    <w:basedOn w:val="VerbatimChar"/>
    <w:rsid w:val="00AC7C08"/>
    <w:rPr>
      <w:rFonts w:ascii="Consolas" w:hAnsi="Consolas"/>
      <w:sz w:val="20"/>
      <w:shd w:color="auto" w:fill="F8F8F8" w:val="clear"/>
    </w:rPr>
  </w:style>
  <w:style w:customStyle="1" w:styleId="InformationTok" w:type="character">
    <w:name w:val="InformationTok"/>
    <w:basedOn w:val="VerbatimChar"/>
    <w:rsid w:val="00AC7C08"/>
    <w:rPr>
      <w:rFonts w:ascii="Consolas" w:hAnsi="Consolas"/>
      <w:b/>
      <w:i/>
      <w:color w:val="8F5902"/>
      <w:sz w:val="20"/>
      <w:shd w:color="auto" w:fill="F8F8F8" w:val="clear"/>
    </w:rPr>
  </w:style>
  <w:style w:customStyle="1" w:styleId="WarningTok" w:type="character">
    <w:name w:val="WarningTok"/>
    <w:basedOn w:val="VerbatimChar"/>
    <w:rsid w:val="00AC7C08"/>
    <w:rPr>
      <w:rFonts w:ascii="Consolas" w:hAnsi="Consolas"/>
      <w:b/>
      <w:i/>
      <w:color w:val="8F5902"/>
      <w:sz w:val="20"/>
      <w:shd w:color="auto" w:fill="F8F8F8" w:val="clear"/>
    </w:rPr>
  </w:style>
  <w:style w:customStyle="1" w:styleId="AlertTok" w:type="character">
    <w:name w:val="AlertTok"/>
    <w:basedOn w:val="VerbatimChar"/>
    <w:rsid w:val="00AC7C08"/>
    <w:rPr>
      <w:rFonts w:ascii="Consolas" w:hAnsi="Consolas"/>
      <w:color w:val="EF2929"/>
      <w:sz w:val="20"/>
      <w:shd w:color="auto" w:fill="F8F8F8" w:val="clear"/>
    </w:rPr>
  </w:style>
  <w:style w:customStyle="1" w:styleId="ErrorTok" w:type="character">
    <w:name w:val="ErrorTok"/>
    <w:basedOn w:val="VerbatimChar"/>
    <w:rsid w:val="00AC7C08"/>
    <w:rPr>
      <w:rFonts w:ascii="Consolas" w:hAnsi="Consolas"/>
      <w:b/>
      <w:color w:val="A40000"/>
      <w:sz w:val="20"/>
      <w:shd w:color="auto" w:fill="F8F8F8" w:val="clear"/>
    </w:rPr>
  </w:style>
  <w:style w:customStyle="1" w:styleId="NormalTok" w:type="character">
    <w:name w:val="NormalTok"/>
    <w:basedOn w:val="VerbatimChar"/>
    <w:rsid w:val="00AC7C08"/>
    <w:rPr>
      <w:rFonts w:ascii="Consolas" w:hAnsi="Consolas"/>
      <w:sz w:val="20"/>
      <w:shd w:color="auto" w:fill="F8F8F8" w:val="clear"/>
    </w:rPr>
  </w:style>
  <w:style w:styleId="BookTitle" w:type="character">
    <w:name w:val="Book Title"/>
    <w:basedOn w:val="DefaultParagraphFont"/>
    <w:rsid w:val="00213462"/>
    <w:rPr>
      <w:b/>
      <w:bCs/>
      <w:i/>
      <w:iCs/>
      <w:spacing w:val="5"/>
    </w:rPr>
  </w:style>
  <w:style w:customStyle="1" w:styleId="BodyTextChar" w:type="character">
    <w:name w:val="Body Text Char"/>
    <w:basedOn w:val="DefaultParagraphFont"/>
    <w:link w:val="BodyText"/>
    <w:rsid w:val="00213462"/>
  </w:style>
  <w:style w:styleId="HTMLSample" w:type="character">
    <w:name w:val="HTML Sample"/>
    <w:basedOn w:val="DefaultParagraphFont"/>
    <w:semiHidden/>
    <w:unhideWhenUsed/>
    <w:rsid w:val="00AC7C08"/>
    <w:rPr>
      <w:rFonts w:ascii="Consolas" w:hAnsi="Consolas"/>
      <w:sz w:val="20"/>
      <w:szCs w:val="24"/>
    </w:rPr>
  </w:style>
  <w:style w:styleId="NoSpacing" w:type="paragraph">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Users/kevinchen/HeadRs/rmd_templates/style-guide-arial-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style-guide-arial-11.dotx</Template>
  <TotalTime>2</TotalTime>
  <Pages>3</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2023-03-01T19:32:42Z</dcterms:created>
  <dcterms:modified xsi:type="dcterms:W3CDTF">2023-03-01T19:32:42Z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/Users/kevinchen/Box Sync/papers/EnvEpi.bib</vt:lpwstr>
  </property>
  <property fmtid="{D5CDD505-2E9C-101B-9397-08002B2CF9AE}" pid="3" name="csl">
    <vt:lpwstr>/Users/kevinchen/HeadRs/csl/asa.csl</vt:lpwstr>
  </property>
  <property fmtid="{D5CDD505-2E9C-101B-9397-08002B2CF9AE}" pid="4" name="output">
    <vt:lpwstr/>
  </property>
</Properties>
</file>