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on exposure to soluble MWFs using the hazard-extended ICE parametric g-formula. We found a monotonic exposure-dependent relationship with lower risk estimates arising from stronger limits.</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both future exposure/censoring and NHL status given the observed past, including past exposure and covariates</w:t>
      </w:r>
      <w:r>
        <w:rPr>
          <w:vertAlign w:val="superscript"/>
        </w:rPr>
        <w:t xml:space="preserve">1,2</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3</w:t>
      </w:r>
      <w:r>
        <w:t xml:space="preserve">. We expect the absence of valid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 xml:space="preserve">4</w:t>
      </w:r>
      <w:r>
        <w:t xml:space="preserve">. We investigated static and dynamic stochastic interventions on soluble MWF exposure that intervened only when average annual exposure exceeded the hypothetical limit under consideration. Hence, our parameters of interest achieve positivity more easily than those for static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5</w:t>
      </w:r>
      <w:r>
        <w:t xml:space="preserve">. When estimating causal effects using estimators that do not require exposure modeling, as is the case with ICE g-formula methods, concerns over potential bias due to practical violations in positivity may be relaxed if correct model specification, discussed below, is attained.</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6,7</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8</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7</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and semi-parametric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9</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10,11</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12</w:t>
      </w:r>
      <w:r>
        <w:t xml:space="preserve">.</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13–16</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17</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18</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19</w:t>
      </w:r>
      <w:r>
        <w:t xml:space="preserve">. Studies of occupational exposure to chlorinated solvents and pesticides have also been linked to NHL risk</w:t>
      </w:r>
      <w:r>
        <w:rPr>
          <w:vertAlign w:val="superscript"/>
        </w:rPr>
        <w:t xml:space="preserve">20–24</w:t>
      </w:r>
      <w:r>
        <w:t xml:space="preserve">. In 2014, the IARC classified trichloroethylene, tetrachloroethylene, and other chlorinated agents as Group 1 carcinogens</w:t>
      </w:r>
      <w:r>
        <w:rPr>
          <w:vertAlign w:val="superscript"/>
        </w:rPr>
        <w:t xml:space="preserve">25</w:t>
      </w:r>
      <w:r>
        <w:t xml:space="preserve">. Chlorinated solvents are commonly used as degreasers in industrial settings, but their use in the plants under study here was uncommon and limited to particular operations</w:t>
      </w:r>
      <w:r>
        <w:rPr>
          <w:vertAlign w:val="superscript"/>
        </w:rPr>
        <w:t xml:space="preserve">26</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average annual exposure to soluble MWF. We selected these hypothetical limits based on the NIOSH REL of 0.5 mg/m</w:t>
      </w:r>
      <w:r>
        <w:rPr>
          <w:vertAlign w:val="superscript"/>
        </w:rPr>
        <w:t xml:space="preserve">3</w:t>
      </w:r>
      <w:r>
        <w:rPr>
          <w:vertAlign w:val="superscript"/>
        </w:rPr>
        <w:t xml:space="preserve">27</w:t>
      </w:r>
      <w:r>
        <w:t xml:space="preserve">. In the real world, there is no enforcement of the REL, but we nonetheless observed average annual exposures below the REL in these GM plants for many years. If the REL were enforced in the real world, we would not expect reductions in exposure for these low-exposure person-years. Hence, contrasting the counterfactual scenario where all workers experienced average annual exposure at the REL to one where all workers experienced average annual exposure at some higher level would result in an overestimate of the expected real-world benefit of REL enforcement.</w:t>
      </w:r>
    </w:p>
    <w:p>
      <w:pPr>
        <w:pStyle w:val="BodyText"/>
      </w:pPr>
      <w:r>
        <w:t xml:space="preserve">Associations between several occupations and risk of NHL have been reported previously, but none evaluated the potential effect of hypothetical limits on occupational exposures</w:t>
      </w:r>
      <w:r>
        <w:rPr>
          <w:vertAlign w:val="superscript"/>
        </w:rPr>
        <w:t xml:space="preserve">16,24,28,29</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average annual exposure would reduce NHL incidence.</w:t>
      </w:r>
    </w:p>
    <w:bookmarkStart w:id="51" w:name="refs"/>
    <w:bookmarkStart w:id="20" w:name="ref-Richardson_2013"/>
    <w:p>
      <w:pPr>
        <w:pStyle w:val="Bibliography"/>
      </w:pPr>
      <w:r>
        <w:t xml:space="preserve">1.</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20"/>
    <w:bookmarkStart w:id="21" w:name="ref-Diaz_2021"/>
    <w:p>
      <w:pPr>
        <w:pStyle w:val="Bibliography"/>
      </w:pPr>
      <w:r>
        <w:t xml:space="preserve">2.</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21"/>
    <w:bookmarkStart w:id="22" w:name="ref-Garcia_2017"/>
    <w:p>
      <w:pPr>
        <w:pStyle w:val="Bibliography"/>
      </w:pPr>
      <w:r>
        <w:t xml:space="preserve">3.</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22"/>
    <w:bookmarkStart w:id="23" w:name="ref-Maldonado_2002"/>
    <w:p>
      <w:pPr>
        <w:pStyle w:val="Bibliography"/>
      </w:pPr>
      <w:r>
        <w:t xml:space="preserve">4.</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23"/>
    <w:bookmarkStart w:id="25" w:name="ref-Petersen_2012"/>
    <w:p>
      <w:pPr>
        <w:pStyle w:val="Bibliography"/>
      </w:pPr>
      <w:r>
        <w:t xml:space="preserve">5.</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24">
        <w:r>
          <w:rPr>
            <w:rStyle w:val="Hyperlink"/>
          </w:rPr>
          <w:t xml:space="preserve">10.1177/0962280210386207</w:t>
        </w:r>
      </w:hyperlink>
    </w:p>
    <w:bookmarkEnd w:id="25"/>
    <w:bookmarkStart w:id="26" w:name="ref-Cole_2009"/>
    <w:p>
      <w:pPr>
        <w:pStyle w:val="Bibliography"/>
      </w:pPr>
      <w:r>
        <w:t xml:space="preserve">6.</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26"/>
    <w:bookmarkStart w:id="27" w:name="ref-VanderWeele_2013"/>
    <w:p>
      <w:pPr>
        <w:pStyle w:val="Bibliography"/>
      </w:pPr>
      <w:r>
        <w:t xml:space="preserve">7.</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27"/>
    <w:bookmarkStart w:id="28" w:name="ref-Howell_2006"/>
    <w:p>
      <w:pPr>
        <w:pStyle w:val="Bibliography"/>
      </w:pPr>
      <w:r>
        <w:t xml:space="preserve">8.</w:t>
      </w:r>
      <w:r>
        <w:t xml:space="preserve"> </w:t>
      </w:r>
      <w:r>
        <w:t xml:space="preserve">	</w:t>
      </w:r>
      <w:r>
        <w:t xml:space="preserve">Howell JK, Lucke WE, White EM. Metalworking fluids. In: Byers JP, ed. CRC Press; 2006.</w:t>
      </w:r>
    </w:p>
    <w:bookmarkEnd w:id="28"/>
    <w:bookmarkStart w:id="30" w:name="ref-Keil_2014"/>
    <w:p>
      <w:pPr>
        <w:pStyle w:val="Bibliography"/>
      </w:pPr>
      <w:r>
        <w:t xml:space="preserve">9.</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29">
        <w:r>
          <w:rPr>
            <w:rStyle w:val="Hyperlink"/>
          </w:rPr>
          <w:t xml:space="preserve">https://journals.lww.com/epidem/Fulltext/2014/11000/The_Parametric_g_Formula_for_Time_to_event_Data_.16.aspx.</w:t>
        </w:r>
      </w:hyperlink>
    </w:p>
    <w:bookmarkEnd w:id="30"/>
    <w:bookmarkStart w:id="31" w:name="ref-Naimi_2015"/>
    <w:p>
      <w:pPr>
        <w:pStyle w:val="Bibliography"/>
      </w:pPr>
      <w:r>
        <w:t xml:space="preserve">10.</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31"/>
    <w:bookmarkStart w:id="32" w:name="ref-McGrath_2022"/>
    <w:p>
      <w:pPr>
        <w:pStyle w:val="Bibliography"/>
      </w:pPr>
      <w:r>
        <w:t xml:space="preserve">11.</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32"/>
    <w:bookmarkStart w:id="33" w:name="ref-Wen_2020"/>
    <w:p>
      <w:pPr>
        <w:pStyle w:val="Bibliography"/>
      </w:pPr>
      <w:r>
        <w:t xml:space="preserve">12.</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33"/>
    <w:bookmarkStart w:id="34" w:name="ref-Cano_2001"/>
    <w:p>
      <w:pPr>
        <w:pStyle w:val="Bibliography"/>
      </w:pPr>
      <w:r>
        <w:t xml:space="preserve">13.</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34"/>
    <w:bookmarkStart w:id="35" w:name="ref-Costantini_2001"/>
    <w:p>
      <w:pPr>
        <w:pStyle w:val="Bibliography"/>
      </w:pPr>
      <w:r>
        <w:t xml:space="preserve">14.</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35"/>
    <w:bookmarkStart w:id="36" w:name="ref-Karunanayake_2008"/>
    <w:p>
      <w:pPr>
        <w:pStyle w:val="Bibliography"/>
      </w:pPr>
      <w:r>
        <w:t xml:space="preserve">15.</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36"/>
    <w:bookmarkStart w:id="37" w:name="ref-t-Mannetje_2016"/>
    <w:p>
      <w:pPr>
        <w:pStyle w:val="Bibliography"/>
      </w:pPr>
      <w:r>
        <w:t xml:space="preserve">16.</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37"/>
    <w:bookmarkStart w:id="38" w:name="ref-Zheng_2002"/>
    <w:p>
      <w:pPr>
        <w:pStyle w:val="Bibliography"/>
      </w:pPr>
      <w:r>
        <w:t xml:space="preserve">17.</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38"/>
    <w:bookmarkStart w:id="39" w:name="ref-Evans_2020"/>
    <w:p>
      <w:pPr>
        <w:pStyle w:val="Bibliography"/>
      </w:pPr>
      <w:r>
        <w:t xml:space="preserve">18.</w:t>
      </w:r>
      <w:r>
        <w:t xml:space="preserve"> </w:t>
      </w:r>
      <w:r>
        <w:t xml:space="preserve">	</w:t>
      </w:r>
      <w:r>
        <w:t xml:space="preserve">Evans R, Hooijman J, van der Veer J. High-speed machining. In: Gupta K, Davim P, eds. Academic Press; 2020.</w:t>
      </w:r>
    </w:p>
    <w:bookmarkEnd w:id="39"/>
    <w:bookmarkStart w:id="40" w:name="ref-IARC_2017"/>
    <w:p>
      <w:pPr>
        <w:pStyle w:val="Bibliography"/>
      </w:pPr>
      <w:r>
        <w:t xml:space="preserve">19.</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40"/>
    <w:bookmarkStart w:id="41" w:name="ref-Cocco_2008"/>
    <w:p>
      <w:pPr>
        <w:pStyle w:val="Bibliography"/>
      </w:pPr>
      <w:r>
        <w:t xml:space="preserve">20.</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41"/>
    <w:bookmarkStart w:id="42" w:name="ref-Purdue_2011"/>
    <w:p>
      <w:pPr>
        <w:pStyle w:val="Bibliography"/>
      </w:pPr>
      <w:r>
        <w:t xml:space="preserve">21.</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42"/>
    <w:bookmarkStart w:id="43" w:name="ref-Cocco_2013"/>
    <w:p>
      <w:pPr>
        <w:pStyle w:val="Bibliography"/>
      </w:pPr>
      <w:r>
        <w:t xml:space="preserve">22.</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43"/>
    <w:bookmarkStart w:id="44" w:name="ref-Vlaanderen_2013"/>
    <w:p>
      <w:pPr>
        <w:pStyle w:val="Bibliography"/>
      </w:pPr>
      <w:r>
        <w:t xml:space="preserve">23.</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44"/>
    <w:bookmarkStart w:id="45" w:name="ref-Callahan_2018"/>
    <w:p>
      <w:pPr>
        <w:pStyle w:val="Bibliography"/>
      </w:pPr>
      <w:r>
        <w:t xml:space="preserve">24.</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45"/>
    <w:bookmarkStart w:id="46" w:name="ref-IARC_2014"/>
    <w:p>
      <w:pPr>
        <w:pStyle w:val="Bibliography"/>
      </w:pPr>
      <w:r>
        <w:t xml:space="preserve">25.</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46"/>
    <w:bookmarkStart w:id="47" w:name="ref-Shrestha_2016"/>
    <w:p>
      <w:pPr>
        <w:pStyle w:val="Bibliography"/>
      </w:pPr>
      <w:r>
        <w:t xml:space="preserve">26.</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47"/>
    <w:bookmarkStart w:id="48" w:name="ref-niosh_1998"/>
    <w:p>
      <w:pPr>
        <w:pStyle w:val="Bibliography"/>
      </w:pPr>
      <w:r>
        <w:t xml:space="preserve">27.</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48"/>
    <w:bookmarkStart w:id="49" w:name="ref-Ekstrom-Smedby_2006"/>
    <w:p>
      <w:pPr>
        <w:pStyle w:val="Bibliography"/>
      </w:pPr>
      <w:r>
        <w:t xml:space="preserve">28.</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49"/>
    <w:bookmarkStart w:id="50" w:name="ref-Chiu_2015"/>
    <w:p>
      <w:pPr>
        <w:pStyle w:val="Bibliography"/>
      </w:pPr>
      <w:r>
        <w:t xml:space="preserve">29.</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50"/>
    <w:bookmarkEnd w:id="51"/>
    <w:bookmarkEnd w:id="52"/>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962280210386207" TargetMode="External" /><Relationship Type="http://schemas.openxmlformats.org/officeDocument/2006/relationships/hyperlink" Id="rId29"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962280210386207" TargetMode="External" /><Relationship Type="http://schemas.openxmlformats.org/officeDocument/2006/relationships/hyperlink" Id="rId29"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2023-03-01T23:23:01Z</dcterms:created>
  <dcterms:modified xsi:type="dcterms:W3CDTF">2023-03-01T23:23:01Z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/Users/kevinchen/HeadRs/csl/ama_2.csl</vt:lpwstr>
  </property>
  <property fmtid="{D5CDD505-2E9C-101B-9397-08002B2CF9AE}" pid="4" name="output">
    <vt:lpwstr/>
  </property>
</Properties>
</file>