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79E8" w14:textId="77777777" w:rsidR="00A663AF" w:rsidRDefault="00000000">
      <w:pPr>
        <w:pStyle w:val="FirstParagraph"/>
      </w:pPr>
      <w:r>
        <w:rPr>
          <w:b/>
          <w:bCs/>
        </w:rPr>
        <w:t>Type of manuscript:</w:t>
      </w:r>
      <w:r>
        <w:t xml:space="preserve"> Original Research Article</w:t>
      </w:r>
    </w:p>
    <w:p w14:paraId="23438FD3" w14:textId="77777777" w:rsidR="00A663AF" w:rsidRDefault="00000000">
      <w:pPr>
        <w:pStyle w:val="BodyText"/>
      </w:pPr>
      <w:r>
        <w:rPr>
          <w:b/>
          <w:bCs/>
        </w:rPr>
        <w:t>Manuscript title:</w:t>
      </w:r>
      <w:r>
        <w:t xml:space="preserve"> Hypothetical interventions on workplace exposure with guaranteed positivity</w:t>
      </w:r>
    </w:p>
    <w:p w14:paraId="71F1639F" w14:textId="77777777" w:rsidR="00A663AF" w:rsidRDefault="00000000">
      <w:pPr>
        <w:pStyle w:val="BodyText"/>
      </w:pPr>
      <w:r>
        <w:rPr>
          <w:b/>
          <w:bCs/>
        </w:rPr>
        <w:t>Authors:</w:t>
      </w:r>
      <w:r>
        <w:t xml:space="preserve"> Kevin T. Chen</w:t>
      </w:r>
      <w:r>
        <w:rPr>
          <w:vertAlign w:val="superscript"/>
        </w:rPr>
        <w:t>a</w:t>
      </w:r>
      <w:r>
        <w:t>, Sally Picciotto</w:t>
      </w:r>
      <w:r>
        <w:rPr>
          <w:vertAlign w:val="superscript"/>
        </w:rPr>
        <w:t>b</w:t>
      </w:r>
      <w:r>
        <w:t>, Ellen A. Eisen</w:t>
      </w:r>
      <w:r>
        <w:rPr>
          <w:vertAlign w:val="superscript"/>
        </w:rPr>
        <w:t>b</w:t>
      </w:r>
    </w:p>
    <w:p w14:paraId="5487C006" w14:textId="77777777" w:rsidR="00A663AF" w:rsidRDefault="00000000">
      <w:pPr>
        <w:pStyle w:val="BodyText"/>
      </w:pPr>
      <w:r>
        <w:rPr>
          <w:vertAlign w:val="superscript"/>
        </w:rPr>
        <w:t>a</w:t>
      </w:r>
      <w:r>
        <w:t xml:space="preserve"> University of California, Berkeley School of Public Health, Division of Epidemiology &amp; Biostatistics</w:t>
      </w:r>
    </w:p>
    <w:p w14:paraId="76DE8A5B" w14:textId="77777777" w:rsidR="00A663AF" w:rsidRDefault="00000000">
      <w:pPr>
        <w:pStyle w:val="BodyText"/>
      </w:pPr>
      <w:r>
        <w:rPr>
          <w:vertAlign w:val="superscript"/>
        </w:rPr>
        <w:t>b</w:t>
      </w:r>
      <w:r>
        <w:t xml:space="preserve"> University of California, Berkeley School of Public Health, Division of Environmental Health Sciences</w:t>
      </w:r>
    </w:p>
    <w:p w14:paraId="526EBFA4" w14:textId="77777777" w:rsidR="00A663AF" w:rsidRDefault="00000000">
      <w:pPr>
        <w:pStyle w:val="BodyText"/>
      </w:pPr>
      <w:r>
        <w:rPr>
          <w:b/>
          <w:bCs/>
        </w:rPr>
        <w:t>Corresponding author:</w:t>
      </w:r>
      <w:r>
        <w:br/>
        <w:t>Kevin T. Chen</w:t>
      </w:r>
      <w:r>
        <w:br/>
        <w:t>2121 Berkeley Way</w:t>
      </w:r>
      <w:r>
        <w:br/>
        <w:t>Room 5302, Desk 5305-1</w:t>
      </w:r>
      <w:r>
        <w:br/>
        <w:t>Berkeley, CA 94720-7360</w:t>
      </w:r>
      <w:r>
        <w:br/>
        <w:t>kevchen@berkeley.edu</w:t>
      </w:r>
      <w:r>
        <w:br/>
        <w:t>(510) 387-3327</w:t>
      </w:r>
    </w:p>
    <w:p w14:paraId="7DBAD6B5" w14:textId="77777777" w:rsidR="00A663AF" w:rsidRDefault="00000000">
      <w:pPr>
        <w:pStyle w:val="BodyText"/>
      </w:pPr>
      <w:r>
        <w:rPr>
          <w:b/>
          <w:bCs/>
        </w:rPr>
        <w:t>Running head suggestion:</w:t>
      </w:r>
      <w:r>
        <w:t xml:space="preserve"> Supportable interventions for reducing NHL risk.</w:t>
      </w:r>
    </w:p>
    <w:p w14:paraId="03CBDFAF" w14:textId="77777777" w:rsidR="00A663AF" w:rsidRDefault="00000000">
      <w:pPr>
        <w:pStyle w:val="BodyText"/>
      </w:pPr>
      <w:r>
        <w:rPr>
          <w:b/>
          <w:bCs/>
        </w:rPr>
        <w:t>Conflicts of interests:</w:t>
      </w:r>
      <w:r>
        <w:t xml:space="preserve"> Authors declare no conflicts of interest.</w:t>
      </w:r>
    </w:p>
    <w:p w14:paraId="3F50EEB4" w14:textId="77777777" w:rsidR="00A663AF" w:rsidRDefault="00000000">
      <w:pPr>
        <w:pStyle w:val="BodyText"/>
      </w:pPr>
      <w:r>
        <w:rPr>
          <w:b/>
          <w:bCs/>
        </w:rPr>
        <w:t>Sources of financial support:</w:t>
      </w:r>
      <w:r>
        <w:t xml:space="preserve"> This work was supported by Training Grant T42OH008429 and Research Project Grant R01OH011092, both funded by the National Institute for Occupational Safety and Health (NIOSH) / Centers for Disease Control and Prevention (CDC).</w:t>
      </w:r>
    </w:p>
    <w:p w14:paraId="1EE236BA" w14:textId="77777777" w:rsidR="00A663AF" w:rsidRDefault="00000000">
      <w:pPr>
        <w:pStyle w:val="BodyText"/>
      </w:pPr>
      <w:r>
        <w:rPr>
          <w:b/>
          <w:bCs/>
        </w:rPr>
        <w:t>Data and computing code:</w:t>
      </w:r>
      <w:r>
        <w:t xml:space="preserve"> Code for reproducing analyses and reports are available on </w:t>
      </w:r>
      <w:hyperlink r:id="rId7">
        <w:proofErr w:type="spellStart"/>
        <w:r>
          <w:rPr>
            <w:rStyle w:val="Hyperlink"/>
          </w:rPr>
          <w:t>Github</w:t>
        </w:r>
        <w:proofErr w:type="spellEnd"/>
      </w:hyperlink>
      <w:r>
        <w:t>. Data are available upon reasonable request.</w:t>
      </w:r>
    </w:p>
    <w:p w14:paraId="675A2E0C" w14:textId="77777777" w:rsidR="00A663AF" w:rsidRDefault="00000000">
      <w:pPr>
        <w:pStyle w:val="BodyText"/>
      </w:pPr>
      <w:r>
        <w:rPr>
          <w:b/>
          <w:bCs/>
        </w:rPr>
        <w:t>Keywords:</w:t>
      </w:r>
      <w:r>
        <w:t xml:space="preserve"> Positivity, overlap, causal inference, g-formula, metalworking fluid, occupational exposure, non-Hodgkin lymphoma, cancer, iterated conditional expectation, healthy-worker effect</w:t>
      </w:r>
    </w:p>
    <w:p w14:paraId="09A57035" w14:textId="745895CD" w:rsidR="00A663AF" w:rsidRDefault="00000000">
      <w:pPr>
        <w:pStyle w:val="BodyText"/>
      </w:pPr>
      <w:r>
        <w:rPr>
          <w:b/>
          <w:bCs/>
        </w:rPr>
        <w:t>Word count</w:t>
      </w:r>
      <w:r>
        <w:t xml:space="preserve"> </w:t>
      </w:r>
      <w:r>
        <w:rPr>
          <w:b/>
          <w:bCs/>
        </w:rPr>
        <w:t>(Limit: 1500 to 4000 words):</w:t>
      </w:r>
      <w:r>
        <w:t xml:space="preserve"> </w:t>
      </w:r>
      <w:r>
        <w:t>38</w:t>
      </w:r>
      <w:r w:rsidR="00C02C72">
        <w:t>4</w:t>
      </w:r>
      <w:r>
        <w:t>2</w:t>
      </w:r>
      <w:r>
        <w:t xml:space="preserve"> (</w:t>
      </w:r>
      <w:proofErr w:type="spellStart"/>
      <w:r>
        <w:t>approx</w:t>
      </w:r>
      <w:proofErr w:type="spellEnd"/>
      <w:r>
        <w:t>)</w:t>
      </w:r>
    </w:p>
    <w:p w14:paraId="2ACE5FAC" w14:textId="77777777" w:rsidR="00A663AF" w:rsidRDefault="00000000">
      <w:r>
        <w:br w:type="page"/>
      </w:r>
    </w:p>
    <w:p w14:paraId="4A3908B9" w14:textId="77777777" w:rsidR="00A663AF" w:rsidRDefault="00000000">
      <w:pPr>
        <w:pStyle w:val="Heading1"/>
      </w:pPr>
      <w:bookmarkStart w:id="0" w:name="abstract"/>
      <w:r>
        <w:lastRenderedPageBreak/>
        <w:t>Abstract</w:t>
      </w:r>
    </w:p>
    <w:p w14:paraId="091086BD" w14:textId="77777777" w:rsidR="00A663AF" w:rsidRDefault="00000000">
      <w:pPr>
        <w:pStyle w:val="FirstParagraph"/>
      </w:pPr>
      <w:r>
        <w:t>(Limit: 250 words)</w:t>
      </w:r>
    </w:p>
    <w:p w14:paraId="5A0DB8DB" w14:textId="77777777" w:rsidR="00A663AF" w:rsidRDefault="00000000">
      <w:pPr>
        <w:pStyle w:val="BodyText"/>
      </w:pPr>
      <w:r>
        <w:rPr>
          <w:b/>
          <w:bCs/>
        </w:rPr>
        <w:t>Background:</w:t>
      </w:r>
      <w:r>
        <w:t xml:space="preserve"> Non-Hodgkin lymphoma (NHL) incidence has increased substantially in the US and was recently linked to workplace exposure to soluble metalworking fluids (MWF) in a standard survival analysis of the United Auto Workers-General Motors (UAW-GM) cohort. Here, we estimate the effects of hypothetical interventions on soluble MWF exposure in relation to NHL risk in the same cohort of autoworkers. Estimation of causal effects requires positivity, which we guarantee by investigating causal contrasts that are supportable by the data.</w:t>
      </w:r>
    </w:p>
    <w:p w14:paraId="5B798C3D" w14:textId="4DD6466B" w:rsidR="00A663AF" w:rsidRDefault="00000000">
      <w:pPr>
        <w:pStyle w:val="BodyText"/>
      </w:pPr>
      <w:r>
        <w:rPr>
          <w:b/>
          <w:bCs/>
        </w:rPr>
        <w:t>Methods:</w:t>
      </w:r>
      <w:r>
        <w:t xml:space="preserve"> </w:t>
      </w:r>
      <w:r>
        <w:t xml:space="preserve">We defined hypothetical </w:t>
      </w:r>
      <w:r>
        <w:t xml:space="preserve">supportable </w:t>
      </w:r>
      <w:r>
        <w:t>interventions that reduce</w:t>
      </w:r>
      <w:r>
        <w:t xml:space="preserve"> annual daily average exposures above a specific target limit to that limit when supported by data. </w:t>
      </w:r>
      <w:r>
        <w:t>When the target limit is not supported</w:t>
      </w:r>
      <w:r>
        <w:t xml:space="preserve">, the supportable intervention reduces exposure to the </w:t>
      </w:r>
      <w:r>
        <w:t>nearest supported</w:t>
      </w:r>
      <w:r>
        <w:t xml:space="preserve"> level </w:t>
      </w:r>
      <w:r>
        <w:t>of exposure</w:t>
      </w:r>
      <w:r>
        <w:t>. We estimated counterfactual risk of NHL between 1985 and 2015 in the UAW-GM cohort of autoworkers at three Michigan plants (n = 33,134) under hypothetical supportable interventions on exposure to soluble MWF.</w:t>
      </w:r>
    </w:p>
    <w:p w14:paraId="6105E277" w14:textId="45655B93" w:rsidR="00A663AF" w:rsidRDefault="00000000">
      <w:pPr>
        <w:pStyle w:val="BodyText"/>
      </w:pPr>
      <w:r>
        <w:rPr>
          <w:b/>
          <w:bCs/>
        </w:rPr>
        <w:t>Results:</w:t>
      </w:r>
      <w:r>
        <w:t xml:space="preserve"> 339 NHL cases occurred over the 30-year follow-up period. Stronger target limits on soluble MWF exposure resulted in monotonic reductions in NHL risk. Setting the target exposure limit at 0.5 mg/m</w:t>
      </w:r>
      <w:r>
        <w:rPr>
          <w:vertAlign w:val="superscript"/>
        </w:rPr>
        <w:t>3</w:t>
      </w:r>
      <w:r>
        <w:t xml:space="preserve">, the NIOSH recommended exposure limit, would have prevented </w:t>
      </w:r>
      <w:r>
        <w:t>124</w:t>
      </w:r>
      <w:r>
        <w:t xml:space="preserve"> (95% CI: </w:t>
      </w:r>
      <w:r>
        <w:t>66, 202</w:t>
      </w:r>
      <w:r>
        <w:t>) cases.</w:t>
      </w:r>
    </w:p>
    <w:p w14:paraId="39CDD50F" w14:textId="636FBFD1" w:rsidR="00A663AF" w:rsidRDefault="00000000">
      <w:pPr>
        <w:pStyle w:val="BodyText"/>
      </w:pPr>
      <w:r>
        <w:rPr>
          <w:b/>
          <w:bCs/>
        </w:rPr>
        <w:t>Conclusion:</w:t>
      </w:r>
      <w:r>
        <w:t xml:space="preserve"> More stringent limits on exposure to soluble MWF provide stronger protections against NHL. We expect </w:t>
      </w:r>
      <w:r>
        <w:t xml:space="preserve">that uniformly </w:t>
      </w:r>
      <w:r>
        <w:t>enforcing the target exposure limits</w:t>
      </w:r>
      <w:r>
        <w:t xml:space="preserve">, </w:t>
      </w:r>
      <w:r>
        <w:t>regardless of data support</w:t>
      </w:r>
      <w:r>
        <w:t>, would</w:t>
      </w:r>
      <w:r>
        <w:t xml:space="preserve"> have even stronger protective effects. Strengthening exposure limits for MWF may protect workers from NHL during the anticipated boom in domestic manufacturing.</w:t>
      </w:r>
    </w:p>
    <w:p w14:paraId="28737485" w14:textId="77777777" w:rsidR="00A663AF" w:rsidRDefault="00000000">
      <w:r>
        <w:br w:type="page"/>
      </w:r>
    </w:p>
    <w:p w14:paraId="7049E483" w14:textId="77777777" w:rsidR="00A663AF" w:rsidRDefault="00000000">
      <w:pPr>
        <w:pStyle w:val="Heading1"/>
      </w:pPr>
      <w:bookmarkStart w:id="1" w:name="introduction"/>
      <w:bookmarkEnd w:id="0"/>
      <w:r>
        <w:lastRenderedPageBreak/>
        <w:t>Introduction</w:t>
      </w:r>
    </w:p>
    <w:p w14:paraId="5DD05965" w14:textId="7AAC9EC7" w:rsidR="00A663AF" w:rsidRDefault="00000000">
      <w:pPr>
        <w:pStyle w:val="FirstParagraph"/>
      </w:pPr>
      <w:commentRangeStart w:id="2"/>
      <w:r>
        <w:t>Non</w:t>
      </w:r>
      <w:commentRangeEnd w:id="2"/>
      <w:r w:rsidR="009E73E9">
        <w:rPr>
          <w:rStyle w:val="CommentReference"/>
        </w:rPr>
        <w:commentReference w:id="2"/>
      </w:r>
      <w:r>
        <w:t>-Hodgkin Lymphoma (NHL) incidence in the United States doubled between 1973 and 1994 before plateauing at around 19 per 100,000 persons per year, making it the seventh most common cancer in the country.</w:t>
      </w:r>
      <w:r>
        <w:rPr>
          <w:vertAlign w:val="superscript"/>
        </w:rPr>
        <w:t>1,2</w:t>
      </w:r>
      <w:r>
        <w:t xml:space="preserve"> The strongest known risk factor of NHL is immunosuppression, both congenital and acquired.</w:t>
      </w:r>
      <w:r>
        <w:rPr>
          <w:vertAlign w:val="superscript"/>
        </w:rPr>
        <w:t>3,4</w:t>
      </w:r>
      <w:r>
        <w:t xml:space="preserve"> However, since immunodeficiency and infection with HIV are rare, they cannot fully explain the historic rise or present burden of NHL.</w:t>
      </w:r>
      <w:r>
        <w:rPr>
          <w:vertAlign w:val="superscript"/>
        </w:rPr>
        <w:t>5</w:t>
      </w:r>
      <w:r>
        <w:t xml:space="preserve"> The rise in NHL incidence coincided with a period of rapid and extensive chemicalization in industry, agriculture and warfare; environmental and occupational exposures may play an important explanatory role in the epidemiology of NHL.</w:t>
      </w:r>
      <w:r>
        <w:rPr>
          <w:vertAlign w:val="superscript"/>
        </w:rPr>
        <w:t>6,7</w:t>
      </w:r>
    </w:p>
    <w:p w14:paraId="1D024F6F" w14:textId="77777777" w:rsidR="00A663AF" w:rsidRDefault="00000000">
      <w:pPr>
        <w:pStyle w:val="BodyText"/>
      </w:pPr>
      <w:r>
        <w:t>Pesticide exposure among workers in agricultural settings was a common target of NHL research in recent decades. A meta-analysis of 44 articles published between 1980 and 2014 found statistically significant associations between NHL and exposure to several classes of pesticides including carbamate, organophosporus, triazine, and organochlorine.</w:t>
      </w:r>
      <w:r>
        <w:rPr>
          <w:vertAlign w:val="superscript"/>
        </w:rPr>
        <w:t>8</w:t>
      </w:r>
      <w:r>
        <w:t xml:space="preserve"> Occupational exposures associated with NHL are not limited to the agricultural sector, however. Occupational groups associated with NHL risk also include metal processors, health workers, salespeople, machinists, and electricians.</w:t>
      </w:r>
      <w:r>
        <w:rPr>
          <w:vertAlign w:val="superscript"/>
        </w:rPr>
        <w:t>2,9,10</w:t>
      </w:r>
      <w:r>
        <w:t xml:space="preserve"> Workers in these occupational groups often come into contact with industrial chemicals such as gasoline, solvents, coolants, and lubricants such as metalworking fluids (MWF).</w:t>
      </w:r>
    </w:p>
    <w:p w14:paraId="7CAE23B2" w14:textId="77777777" w:rsidR="00A663AF" w:rsidRDefault="00000000">
      <w:pPr>
        <w:pStyle w:val="BodyText"/>
      </w:pPr>
      <w:r>
        <w:t>Metalworking fluids are complex mixtures of oil, water, and chemical additives that cool and lubricate metal machining operations. There are three general types of MWF: straight, soluble, and synthetic. During shaping, grinding, and cutting operations, MWFs are misted, poured, or blasted at high pressure onto work surfaces to remove debris, cool metal, improve efficiency, and prevent deterioration of tools. Although MWFs are essential to manufacturing processes, they also present a potential health hazard to exposed workers through inhalation or ingestion of MWF particulate mass. In response to health concerns related to the carcinogenicity of polycyclic aromatic hydrocarbons (PAHs) in mineral oil as well as the rising global cost of oil products, water-based soluble MWF, which usually contain about 40-70% oil by weight, were developed to replace oil-based straight MWF.</w:t>
      </w:r>
      <w:r>
        <w:rPr>
          <w:vertAlign w:val="superscript"/>
        </w:rPr>
        <w:t>11–13</w:t>
      </w:r>
      <w:r>
        <w:t xml:space="preserve"> Today, soluble MWF is the most common type of MWF in metal machining operations.</w:t>
      </w:r>
      <w:r>
        <w:rPr>
          <w:vertAlign w:val="superscript"/>
        </w:rPr>
        <w:t>14</w:t>
      </w:r>
    </w:p>
    <w:p w14:paraId="3F9C63B8" w14:textId="511E98CE" w:rsidR="00A663AF" w:rsidRDefault="00000000">
      <w:pPr>
        <w:pStyle w:val="BodyText"/>
      </w:pPr>
      <w:r>
        <w:t>One challenge in estimating the causal effects of occupational exposures on worker health is the Healthy Worker Survivor Effect (HWSE), the process by which healthier individuals remain at work where they accumulate more exposure while those more susceptible to the deleterious health effects of exposure leave work.</w:t>
      </w:r>
      <w:r>
        <w:rPr>
          <w:vertAlign w:val="superscript"/>
        </w:rPr>
        <w:t>15</w:t>
      </w:r>
      <w:r>
        <w:t xml:space="preserve"> The parametric g-formula is an early causal inference method in statistics developed to estimate causal effects in longitudinal observational studies where the HWSE or other forms of time-varying confounding/selection bias affected by past exposure may be operating.</w:t>
      </w:r>
      <w:r>
        <w:rPr>
          <w:vertAlign w:val="superscript"/>
        </w:rPr>
        <w:t>16–18</w:t>
      </w:r>
      <w:r>
        <w:t xml:space="preserve"> A central requirement necessary for causal inference from observational data is positivity (overlap), </w:t>
      </w:r>
      <w:r>
        <w:rPr>
          <w:i/>
          <w:iCs/>
        </w:rPr>
        <w:t>i.e.</w:t>
      </w:r>
      <w:r w:rsidRPr="008E6D1B">
        <w:rPr>
          <w:i/>
        </w:rPr>
        <w:t>,</w:t>
      </w:r>
      <w:r>
        <w:t xml:space="preserve"> adequate variation in the exposure of interest within strata formed by confounder and exposure histories.</w:t>
      </w:r>
      <w:r>
        <w:rPr>
          <w:vertAlign w:val="superscript"/>
        </w:rPr>
        <w:t>19</w:t>
      </w:r>
    </w:p>
    <w:p w14:paraId="6DAA4DA7" w14:textId="682D0B7C" w:rsidR="00A663AF" w:rsidRDefault="00000000">
      <w:pPr>
        <w:pStyle w:val="BodyText"/>
      </w:pPr>
      <w:r>
        <w:t xml:space="preserve">Common approaches for addressing violations in positivity are model-based smoothing when using outcome regression methods, weight truncation when using propensity methods, or a combination of </w:t>
      </w:r>
      <w:commentRangeStart w:id="3"/>
      <w:commentRangeStart w:id="4"/>
      <w:r>
        <w:t>both</w:t>
      </w:r>
      <w:commentRangeEnd w:id="3"/>
      <w:r w:rsidR="00044C9B">
        <w:rPr>
          <w:rStyle w:val="CommentReference"/>
        </w:rPr>
        <w:commentReference w:id="3"/>
      </w:r>
      <w:commentRangeEnd w:id="4"/>
      <w:r w:rsidR="00583A68">
        <w:rPr>
          <w:rStyle w:val="CommentReference"/>
        </w:rPr>
        <w:commentReference w:id="4"/>
      </w:r>
      <w:r>
        <w:t xml:space="preserve">. Another approach is to only consider causal contrasts that are supported by the observed data, </w:t>
      </w:r>
      <w:r>
        <w:rPr>
          <w:i/>
          <w:iCs/>
        </w:rPr>
        <w:t>i.e.</w:t>
      </w:r>
      <w:r w:rsidRPr="008E6D1B">
        <w:rPr>
          <w:i/>
        </w:rPr>
        <w:t>,</w:t>
      </w:r>
      <w:r>
        <w:t xml:space="preserve"> those involving hypothetical interventions with propensity score strictly greater than zero. Here, we defined hypothetical supportable interventions on exposure to soluble MWF in the United Auto Workers-General Motors (UAW-GM) occupational cohort and estimated their effects on NHL incidence between 1985 and 2015 relative to no exposure intervention while guaranteeing positivity.</w:t>
      </w:r>
    </w:p>
    <w:p w14:paraId="3971E845" w14:textId="77777777" w:rsidR="00A663AF" w:rsidRDefault="00000000">
      <w:pPr>
        <w:pStyle w:val="Heading1"/>
      </w:pPr>
      <w:bookmarkStart w:id="5" w:name="methods"/>
      <w:bookmarkEnd w:id="1"/>
      <w:r>
        <w:lastRenderedPageBreak/>
        <w:t>Methods</w:t>
      </w:r>
    </w:p>
    <w:p w14:paraId="61E8686B" w14:textId="77777777" w:rsidR="00A663AF" w:rsidRDefault="00000000">
      <w:pPr>
        <w:pStyle w:val="FirstParagraph"/>
      </w:pPr>
      <w:r>
        <w:t>We estimated the cumulative incidence of NHL between 1985 and 2015 under supportable interventions based on selected target exposure limits on annual average daily exposure to soluble MWF by applying the hazard-extended iterative conditional expectation (ICE) parametric g-formula.</w:t>
      </w:r>
      <w:r>
        <w:rPr>
          <w:vertAlign w:val="superscript"/>
        </w:rPr>
        <w:t>20</w:t>
      </w:r>
      <w:r>
        <w:t xml:space="preserve"> First, we estimated the expected number of NHL cases that we would observe if there were no censoring and no limit on exposure. Then, we contrasted this case count to that under supportable interventions based on five hypothetical target exposure limits and no censoring. The five target exposure limits were (1) 2.0, (2) 1.0, (3) 0.5, (4) 0.25, and (5) 0.05 mg/m</w:t>
      </w:r>
      <w:r>
        <w:rPr>
          <w:vertAlign w:val="superscript"/>
        </w:rPr>
        <w:t>3</w:t>
      </w:r>
      <w:r>
        <w:t>. The National Institute for Occupational Safety and Health (NIOSH) recommended exposure limit (REL) for time-weighted average total particulate mass (PM) composed of MWF is 0.5 mg/m</w:t>
      </w:r>
      <w:r>
        <w:rPr>
          <w:vertAlign w:val="superscript"/>
        </w:rPr>
        <w:t>3</w:t>
      </w:r>
      <w:r>
        <w:t>.</w:t>
      </w:r>
      <w:r>
        <w:rPr>
          <w:vertAlign w:val="superscript"/>
        </w:rPr>
        <w:t>21</w:t>
      </w:r>
    </w:p>
    <w:p w14:paraId="2BFACA68" w14:textId="60CD2099" w:rsidR="00A663AF" w:rsidRDefault="00000000">
      <w:pPr>
        <w:pStyle w:val="BodyText"/>
      </w:pPr>
      <w:r>
        <w:t xml:space="preserve">For each target exposure limit, period of follow-up, and </w:t>
      </w:r>
      <w:r>
        <w:t>stratum</w:t>
      </w:r>
      <w:r>
        <w:t xml:space="preserve"> defined by unique combinations of confounder and exposure histories, we found a supportable exposure limit, which was the maximum observed value of exposure at or below the target exposure limit, if such a value exists. If all of the observed values were above the target limit, the supportable limit was the </w:t>
      </w:r>
      <w:r>
        <w:t>minimum</w:t>
      </w:r>
      <w:r>
        <w:t xml:space="preserve"> observed value. The supportable intervention</w:t>
      </w:r>
      <w:commentRangeStart w:id="6"/>
      <w:commentRangeStart w:id="7"/>
      <w:commentRangeStart w:id="8"/>
      <w:commentRangeStart w:id="9"/>
      <w:r>
        <w:t xml:space="preserve"> rule then reduces exposures above the supportable exposure limit to that limit,</w:t>
      </w:r>
      <w:commentRangeEnd w:id="6"/>
      <w:r w:rsidR="003A405F">
        <w:rPr>
          <w:rStyle w:val="CommentReference"/>
        </w:rPr>
        <w:commentReference w:id="6"/>
      </w:r>
      <w:commentRangeEnd w:id="7"/>
      <w:r w:rsidR="00583A68">
        <w:rPr>
          <w:rStyle w:val="CommentReference"/>
        </w:rPr>
        <w:commentReference w:id="7"/>
      </w:r>
      <w:commentRangeEnd w:id="8"/>
      <w:r w:rsidR="009E73E9">
        <w:rPr>
          <w:rStyle w:val="CommentReference"/>
        </w:rPr>
        <w:commentReference w:id="8"/>
      </w:r>
      <w:commentRangeEnd w:id="9"/>
      <w:r w:rsidR="00BB0128">
        <w:rPr>
          <w:rStyle w:val="CommentReference"/>
        </w:rPr>
        <w:commentReference w:id="9"/>
      </w:r>
      <w:r>
        <w:t xml:space="preserve"> but allows exposures at or below the limit to vary according to their observed distribution. Applying the supportable intervention rule to the observed distribution of exposure produces the intervention distribution that defines the corresponding stochastic dynamic intervention with guaranteed positivity. We estimated the effect of supportable intervention rules based on the selected target exposure limits, expressed as stochastic dynamic interventions, using the hazard-extended ICE parametric g-formula.</w:t>
      </w:r>
      <w:r>
        <w:rPr>
          <w:vertAlign w:val="superscript"/>
        </w:rPr>
        <w:t>20</w:t>
      </w:r>
    </w:p>
    <w:p w14:paraId="4F33C315" w14:textId="7FB4E32D" w:rsidR="00A663AF" w:rsidRDefault="00000000">
      <w:pPr>
        <w:pStyle w:val="BodyText"/>
      </w:pPr>
      <w:r>
        <w:t>Figure 1 presents three example scenarios where the target exposure limit is 0.25 mg/m</w:t>
      </w:r>
      <w:r>
        <w:rPr>
          <w:vertAlign w:val="superscript"/>
        </w:rPr>
        <w:t>3</w:t>
      </w:r>
      <w:r>
        <w:t xml:space="preserve"> in all cases, but the supportable exposure limit differs depending on what the observed data supports. In Figure 1a, the supportable exposure limit is equal to the target exposure limit as some individuals with that particular set of potential confounder and exposure histories were observed to have experienced exposure at that level. In Figure 1b, the supportable exposure limit is below the target exposure limit. </w:t>
      </w:r>
      <w:commentRangeStart w:id="10"/>
      <w:commentRangeStart w:id="11"/>
      <w:r>
        <w:t xml:space="preserve">In Figure 1c, </w:t>
      </w:r>
      <w:r>
        <w:t>the supportable</w:t>
      </w:r>
      <w:r>
        <w:t xml:space="preserve"> exposure </w:t>
      </w:r>
      <w:r>
        <w:t xml:space="preserve">limit, the minimum observed level of exposure </w:t>
      </w:r>
      <w:r>
        <w:t>in that stratum</w:t>
      </w:r>
      <w:r>
        <w:t>, is greater than</w:t>
      </w:r>
      <w:r>
        <w:t xml:space="preserve"> the target exposure limit.</w:t>
      </w:r>
      <w:commentRangeEnd w:id="10"/>
      <w:r w:rsidR="003A405F">
        <w:rPr>
          <w:rStyle w:val="CommentReference"/>
        </w:rPr>
        <w:commentReference w:id="10"/>
      </w:r>
      <w:commentRangeEnd w:id="11"/>
      <w:r w:rsidR="00583A68">
        <w:rPr>
          <w:rStyle w:val="CommentReference"/>
        </w:rPr>
        <w:commentReference w:id="11"/>
      </w:r>
    </w:p>
    <w:tbl>
      <w:tblPr>
        <w:tblStyle w:val="Table"/>
        <w:tblW w:w="5000" w:type="pct"/>
        <w:tblLook w:val="0000" w:firstRow="0" w:lastRow="0" w:firstColumn="0" w:lastColumn="0" w:noHBand="0" w:noVBand="0"/>
      </w:tblPr>
      <w:tblGrid>
        <w:gridCol w:w="9360"/>
      </w:tblGrid>
      <w:tr w:rsidR="00A663AF" w14:paraId="087634ED" w14:textId="77777777">
        <w:tc>
          <w:tcPr>
            <w:tcW w:w="0" w:type="auto"/>
          </w:tcPr>
          <w:tbl>
            <w:tblPr>
              <w:tblStyle w:val="Table"/>
              <w:tblW w:w="2500" w:type="pct"/>
              <w:tblLook w:val="0000" w:firstRow="0" w:lastRow="0" w:firstColumn="0" w:lastColumn="0" w:noHBand="0" w:noVBand="0"/>
            </w:tblPr>
            <w:tblGrid>
              <w:gridCol w:w="5256"/>
            </w:tblGrid>
            <w:tr w:rsidR="00A663AF" w14:paraId="368B46ED" w14:textId="77777777">
              <w:tc>
                <w:tcPr>
                  <w:tcW w:w="0" w:type="auto"/>
                </w:tcPr>
                <w:p w14:paraId="0FCFEB87" w14:textId="387FD92E" w:rsidR="00A663AF" w:rsidRDefault="00000000">
                  <w:pPr>
                    <w:jc w:val="center"/>
                  </w:pPr>
                  <w:bookmarkStart w:id="12" w:name="fig-1a"/>
                  <w:bookmarkStart w:id="13" w:name="fig-rules"/>
                  <w:r>
                    <w:rPr>
                      <w:noProof/>
                    </w:rPr>
                    <w:lastRenderedPageBreak/>
                    <w:drawing>
                      <wp:inline distT="0" distB="0" distL="0" distR="0" wp14:anchorId="4C2FAECD" wp14:editId="5C51C517">
                        <wp:extent cx="3200400" cy="22860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resources/images/intervention-density-witnin-combos-a.png"/>
                                <pic:cNvPicPr>
                                  <a:picLocks noChangeAspect="1" noChangeArrowheads="1"/>
                                </pic:cNvPicPr>
                              </pic:nvPicPr>
                              <pic:blipFill>
                                <a:blip r:embed="rId12"/>
                                <a:stretch>
                                  <a:fillRect/>
                                </a:stretch>
                              </pic:blipFill>
                              <pic:spPr bwMode="auto">
                                <a:xfrm>
                                  <a:off x="0" y="0"/>
                                  <a:ext cx="3200400" cy="2286000"/>
                                </a:xfrm>
                                <a:prstGeom prst="rect">
                                  <a:avLst/>
                                </a:prstGeom>
                                <a:noFill/>
                                <a:ln w="9525">
                                  <a:noFill/>
                                  <a:headEnd/>
                                  <a:tailEnd/>
                                </a:ln>
                              </pic:spPr>
                            </pic:pic>
                          </a:graphicData>
                        </a:graphic>
                      </wp:inline>
                    </w:drawing>
                  </w:r>
                  <w:bookmarkEnd w:id="12"/>
                  <w:r>
                    <w:t xml:space="preserve"> </w:t>
                  </w:r>
                  <w:bookmarkStart w:id="14" w:name="fig-1b"/>
                  <w:r>
                    <w:rPr>
                      <w:noProof/>
                    </w:rPr>
                    <w:drawing>
                      <wp:inline distT="0" distB="0" distL="0" distR="0" wp14:anchorId="4802DC4C" wp14:editId="30CA1A64">
                        <wp:extent cx="3200400" cy="22860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9" name="Picture" descr="resources/images/intervention-density-witnin-combos-b.png"/>
                                <pic:cNvPicPr>
                                  <a:picLocks noChangeAspect="1" noChangeArrowheads="1"/>
                                </pic:cNvPicPr>
                              </pic:nvPicPr>
                              <pic:blipFill>
                                <a:blip r:embed="rId13"/>
                                <a:stretch>
                                  <a:fillRect/>
                                </a:stretch>
                              </pic:blipFill>
                              <pic:spPr bwMode="auto">
                                <a:xfrm>
                                  <a:off x="0" y="0"/>
                                  <a:ext cx="3200400" cy="2286000"/>
                                </a:xfrm>
                                <a:prstGeom prst="rect">
                                  <a:avLst/>
                                </a:prstGeom>
                                <a:noFill/>
                                <a:ln w="9525">
                                  <a:noFill/>
                                  <a:headEnd/>
                                  <a:tailEnd/>
                                </a:ln>
                              </pic:spPr>
                            </pic:pic>
                          </a:graphicData>
                        </a:graphic>
                      </wp:inline>
                    </w:drawing>
                  </w:r>
                  <w:bookmarkEnd w:id="14"/>
                  <w:r>
                    <w:t xml:space="preserve"> </w:t>
                  </w:r>
                  <w:bookmarkStart w:id="15" w:name="fig-1c"/>
                  <w:r>
                    <w:rPr>
                      <w:noProof/>
                    </w:rPr>
                    <w:drawing>
                      <wp:inline distT="0" distB="0" distL="0" distR="0" wp14:anchorId="54632C71" wp14:editId="7BACDB24">
                        <wp:extent cx="3200400" cy="22860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3" name="Picture" descr="resources/images/intervention-density-witnin-combos-c.png"/>
                                <pic:cNvPicPr>
                                  <a:picLocks noChangeAspect="1" noChangeArrowheads="1"/>
                                </pic:cNvPicPr>
                              </pic:nvPicPr>
                              <pic:blipFill>
                                <a:blip r:embed="rId14"/>
                                <a:stretch>
                                  <a:fillRect/>
                                </a:stretch>
                              </pic:blipFill>
                              <pic:spPr bwMode="auto">
                                <a:xfrm>
                                  <a:off x="0" y="0"/>
                                  <a:ext cx="3200400" cy="2286000"/>
                                </a:xfrm>
                                <a:prstGeom prst="rect">
                                  <a:avLst/>
                                </a:prstGeom>
                                <a:noFill/>
                                <a:ln w="9525">
                                  <a:noFill/>
                                  <a:headEnd/>
                                  <a:tailEnd/>
                                </a:ln>
                              </pic:spPr>
                            </pic:pic>
                          </a:graphicData>
                        </a:graphic>
                      </wp:inline>
                    </w:drawing>
                  </w:r>
                  <w:bookmarkEnd w:id="15"/>
                </w:p>
              </w:tc>
            </w:tr>
          </w:tbl>
          <w:p w14:paraId="182CC45F" w14:textId="341C251D" w:rsidR="00A663AF" w:rsidRDefault="00000000">
            <w:pPr>
              <w:pStyle w:val="ImageCaption"/>
              <w:spacing w:before="200"/>
            </w:pPr>
            <w:r>
              <w:t xml:space="preserve">Figure 1: </w:t>
            </w:r>
            <w:commentRangeStart w:id="16"/>
            <w:r>
              <w:t xml:space="preserve">Observed </w:t>
            </w:r>
            <w:commentRangeEnd w:id="16"/>
            <w:r w:rsidR="00C90115">
              <w:rPr>
                <w:rStyle w:val="CommentReference"/>
              </w:rPr>
              <w:commentReference w:id="16"/>
            </w:r>
            <w:r>
              <w:t>and post intervention distribution of nonzero exposure for three distinct confounder and exposure histories before and after applying the supportable intervention rule.</w:t>
            </w:r>
          </w:p>
        </w:tc>
        <w:bookmarkEnd w:id="13"/>
      </w:tr>
    </w:tbl>
    <w:p w14:paraId="39D9155B" w14:textId="77777777" w:rsidR="00A663AF" w:rsidRDefault="00000000">
      <w:pPr>
        <w:pStyle w:val="Heading2"/>
      </w:pPr>
      <w:bookmarkStart w:id="17" w:name="study-population"/>
      <w:r>
        <w:lastRenderedPageBreak/>
        <w:t>Study population</w:t>
      </w:r>
    </w:p>
    <w:p w14:paraId="581512CF" w14:textId="43EA9B7B" w:rsidR="00A663AF" w:rsidRDefault="00000000">
      <w:pPr>
        <w:pStyle w:val="FirstParagraph"/>
      </w:pPr>
      <w:r>
        <w:t>We used data from the UAW-GM cohort study, which included all hourly workers at three automobile manufacturing plants in Michigan who had worked at least three years by 1985. Past papers provide detailed descriptions of the cohort.</w:t>
      </w:r>
      <w:r>
        <w:rPr>
          <w:vertAlign w:val="superscript"/>
        </w:rPr>
        <w:t>22,23</w:t>
      </w:r>
      <w:r>
        <w:t xml:space="preserve"> The large size of the study population and rich time-varying, quantitative MWF exposure data enable the study of a relatively rare cancer and evaluation of realistic interventions on MWF exposure in a longitudinal cohort setting. The present study population (N = 33,134) was restricted to the autoworkers who were at work in 1941 or not yet hired, missing no more than half of their employment history, and still alive at the start of follow-up for cancer incidence on January 1, </w:t>
      </w:r>
      <w:commentRangeStart w:id="18"/>
      <w:commentRangeStart w:id="19"/>
      <w:r>
        <w:t>1985</w:t>
      </w:r>
      <w:commentRangeEnd w:id="18"/>
      <w:r w:rsidR="00C90115">
        <w:rPr>
          <w:rStyle w:val="CommentReference"/>
        </w:rPr>
        <w:commentReference w:id="18"/>
      </w:r>
      <w:commentRangeEnd w:id="19"/>
      <w:r w:rsidR="002448AE">
        <w:rPr>
          <w:rStyle w:val="CommentReference"/>
        </w:rPr>
        <w:commentReference w:id="19"/>
      </w:r>
      <w:r>
        <w:t xml:space="preserve">. Autoworkers in the study population were followed </w:t>
      </w:r>
      <w:commentRangeStart w:id="20"/>
      <w:r>
        <w:t xml:space="preserve">until NHL diagnosis, death, </w:t>
      </w:r>
      <w:commentRangeEnd w:id="20"/>
      <w:r w:rsidR="00FD3E3E">
        <w:rPr>
          <w:rStyle w:val="CommentReference"/>
        </w:rPr>
        <w:commentReference w:id="20"/>
      </w:r>
      <w:r>
        <w:t>December 31, 2014, or the oldest observed age at death, whichever came earlier.</w:t>
      </w:r>
    </w:p>
    <w:p w14:paraId="3B7F655E" w14:textId="77777777" w:rsidR="00A663AF" w:rsidRDefault="00000000">
      <w:pPr>
        <w:pStyle w:val="Heading2"/>
      </w:pPr>
      <w:bookmarkStart w:id="21" w:name="outcome-and-potential-confounders"/>
      <w:bookmarkEnd w:id="17"/>
      <w:r>
        <w:t>Outcome and potential confounders</w:t>
      </w:r>
    </w:p>
    <w:p w14:paraId="21609CA5" w14:textId="77777777" w:rsidR="00A663AF" w:rsidRDefault="00000000">
      <w:pPr>
        <w:pStyle w:val="FirstParagraph"/>
      </w:pPr>
      <w:r>
        <w:t>We identified incident cancers in the UAW-GM cohort between 1985 and 2014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rd</w:t>
      </w:r>
      <w:r>
        <w:t xml:space="preserve"> 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24</w:t>
      </w:r>
      <w:r>
        <w:t xml:space="preserve"> Vital status was ascertained from company records and by linkage to Social Security Administration, National Death Index, and state mortality files.</w:t>
      </w:r>
    </w:p>
    <w:p w14:paraId="12662316" w14:textId="77777777" w:rsidR="00A663AF" w:rsidRDefault="00000000">
      <w:pPr>
        <w:pStyle w:val="BodyText"/>
      </w:pPr>
      <w:r>
        <w:t>Potential confounders including year of hire, sex, race, time off work, employment status, and plant location were obtained from company records. Race was missing for about 16% of the cohort, most commonly among workers hired before 1960 in Plant 2. In analyses, missing race was considered a distinct category. All potential confounders were coded as categorical variables. Cut-points for categorizing continuous covariates were determined according to the quantiles among cases.</w:t>
      </w:r>
    </w:p>
    <w:p w14:paraId="735CBEDB" w14:textId="77777777" w:rsidR="00A663AF" w:rsidRDefault="00000000">
      <w:pPr>
        <w:pStyle w:val="Heading2"/>
      </w:pPr>
      <w:bookmarkStart w:id="22" w:name="exposure"/>
      <w:bookmarkEnd w:id="21"/>
      <w:r>
        <w:t>Exposure</w:t>
      </w:r>
    </w:p>
    <w:p w14:paraId="4812DCC8" w14:textId="77777777" w:rsidR="00A663AF" w:rsidRDefault="00000000">
      <w:pPr>
        <w:pStyle w:val="FirstParagraph"/>
      </w:pPr>
      <w:r>
        <w:t>Quantitative measurement of time-varying MWF exposure is a distinguishing strength of the UAW-GM cohort study relative to other environmental or occupational health studies. Exposure assessment was based on direct air sampling as well as company records. Company industrial hygienists collected several hundred personal and area samples for total particulate mass (mg/m</w:t>
      </w:r>
      <w:r>
        <w:rPr>
          <w:vertAlign w:val="superscript"/>
        </w:rPr>
        <w:t>3</w:t>
      </w:r>
      <w:r>
        <w:t>) composed of MWF over many decades. Research industrial hygienists collected additional air sampling data when the cohort study was launched in the mid 1980s.</w:t>
      </w:r>
      <w:r>
        <w:rPr>
          <w:vertAlign w:val="superscript"/>
        </w:rPr>
        <w:t>25,26</w:t>
      </w:r>
      <w:r>
        <w:t xml:space="preserve"> These additional data combined with historical data and company records were used to construct a job-exposure matrix of quantitative 8-hour time-weighted average daily exposure estimates to soluble, straight, and synthetic MWF for each combination of job, department, and plant over time.</w:t>
      </w:r>
      <w:r>
        <w:rPr>
          <w:vertAlign w:val="superscript"/>
        </w:rPr>
        <w:t>27</w:t>
      </w:r>
      <w:r>
        <w:t xml:space="preserve"> Workers’ annual average daily exposure to each MWF type was determined by combining this job-exposure matrix with employment records, which recorded time-varying job type, department, and plant for each employee from hire to termination or 1995, whichever came sooner. For employment records that were at least half complete, gaps in the record were interpolated by carrying forward the last known job type. The exposure assessment is described in detail elsewhere.</w:t>
      </w:r>
      <w:r>
        <w:rPr>
          <w:vertAlign w:val="superscript"/>
        </w:rPr>
        <w:t>25,27,28</w:t>
      </w:r>
    </w:p>
    <w:p w14:paraId="16ACBCDA" w14:textId="1BBB949A" w:rsidR="00A663AF" w:rsidRDefault="00000000">
      <w:pPr>
        <w:pStyle w:val="BodyText"/>
      </w:pPr>
      <w:r>
        <w:lastRenderedPageBreak/>
        <w:t>In previous analyses of NHL, exposure lags of 1 to 20 years were applied to account for disease latency; we lagged cumulative MWF exposures by 20 years.</w:t>
      </w:r>
      <w:r>
        <w:rPr>
          <w:vertAlign w:val="superscript"/>
        </w:rPr>
        <w:t>29–31</w:t>
      </w:r>
      <w:r>
        <w:t xml:space="preserve"> In analyses, MWF exposure history at start of follow-up was summarized as the cumulative sum of average exposure intensities. Exposure was coded as categorical variables with cut-points at zero and the quintiles of nonzero exposure among cases. We estimated the effects of hypothetical interventions on soluble MWF, the type of MWF used most widely and in the greatest quantities while treating co-exposure to straight and synthetic MWFs as potential confounders.</w:t>
      </w:r>
    </w:p>
    <w:p w14:paraId="7BD5A2A7" w14:textId="77777777" w:rsidR="00A663AF" w:rsidRDefault="00000000">
      <w:pPr>
        <w:pStyle w:val="Heading2"/>
      </w:pPr>
      <w:bookmarkStart w:id="23" w:name="hazard-extended-ice-parametric-g-formula"/>
      <w:bookmarkEnd w:id="22"/>
      <w:r>
        <w:t>Hazard-extended ICE parametric g-formula</w:t>
      </w:r>
    </w:p>
    <w:p w14:paraId="4DCDC7FE" w14:textId="77777777" w:rsidR="00A663AF" w:rsidRDefault="00000000">
      <w:pPr>
        <w:pStyle w:val="FirstParagraph"/>
      </w:pPr>
      <w:r>
        <w:t>We split the 30-year follow-up period into ten time periods based on the deciles of the dates of diagnosis of NHL. The number of years per period ranged from two to four. The hazard-extended ICE parametric g-formula involves two stages. In the first, we estimate counterfactual discrete hazards over the person-periods. In the second, we pool those estimates to estimate the counterfactual risk over the entire follow-up period. During pooling, we iteratively combine estimates of the counterfactual hazard to obtain a pooled estimate over an increasing number of periods starting from the last period. In each iteration, we perform model-based standardization over exposure and covariate histories before combining the counterfactual discrete hazard estimate with the estimated hazard pooled over subsequent periods. This iterative process results in a sequentially standardized estimate of the counterfactual cumulative incidence of NHL when the intervention of interest is enforced over all follow-up periods.</w:t>
      </w:r>
    </w:p>
    <w:p w14:paraId="6A7E47B1" w14:textId="77777777" w:rsidR="00A663AF" w:rsidRDefault="00000000">
      <w:pPr>
        <w:pStyle w:val="BodyText"/>
      </w:pPr>
      <w:r>
        <w:t>We investigated supportable interventions that guarantee positivity: every value of exposure that could be assigned under our stochastic dynamic intervention has propensity score strictly greater than zero. We treated co-exposure to straight and synthetic MWF, employment status, cumulative time off, age, duration of employment, sex (male/female), race (Black/white/unknown), and plant (Plant 1/Plant 2/Plant 3) as potential confounders. Exposure to MWF, employment status, time off, and duration of employment were lagged 20 years. An overview of the general steps of the estimation procedure are presented below. Note that we refer to discrete hazards simply as hazards.</w:t>
      </w:r>
    </w:p>
    <w:p w14:paraId="09914B23" w14:textId="77777777" w:rsidR="00A663AF" w:rsidRDefault="00000000">
      <w:pPr>
        <w:numPr>
          <w:ilvl w:val="0"/>
          <w:numId w:val="22"/>
        </w:numPr>
      </w:pPr>
      <w:r>
        <w:t>Fit a pooled logistic regression model for NHL on potential confounders and exposure over all at-risk person-periods.</w:t>
      </w:r>
    </w:p>
    <w:p w14:paraId="25FC3E88" w14:textId="77777777" w:rsidR="00A663AF" w:rsidRDefault="00000000">
      <w:pPr>
        <w:numPr>
          <w:ilvl w:val="0"/>
          <w:numId w:val="22"/>
        </w:numPr>
      </w:pPr>
      <w:r>
        <w:t>Predict the hazard for each person-period for each possible level of exposure using the model from step 1.</w:t>
      </w:r>
    </w:p>
    <w:p w14:paraId="58F79F74" w14:textId="77777777" w:rsidR="00A663AF" w:rsidRDefault="00000000">
      <w:pPr>
        <w:numPr>
          <w:ilvl w:val="0"/>
          <w:numId w:val="22"/>
        </w:numPr>
      </w:pPr>
      <w:r>
        <w:t>Within strata formed by unique combinations of potential confounders and exposure, obtain the intervention distribution of exposure by applying the supportable intervention rule to the observed exposure distribution.</w:t>
      </w:r>
    </w:p>
    <w:p w14:paraId="2EACF9E3" w14:textId="77777777" w:rsidR="00A663AF" w:rsidRDefault="00000000">
      <w:pPr>
        <w:numPr>
          <w:ilvl w:val="0"/>
          <w:numId w:val="22"/>
        </w:numPr>
      </w:pPr>
      <w:r>
        <w:t>Within strata, estimate the counterfactual hazard for each person-period by taking a weighted sum of the predicted hazards from step 2.</w:t>
      </w:r>
    </w:p>
    <w:p w14:paraId="3CFB3DA6" w14:textId="77777777" w:rsidR="00A663AF" w:rsidRDefault="00000000">
      <w:pPr>
        <w:numPr>
          <w:ilvl w:val="0"/>
          <w:numId w:val="22"/>
        </w:numPr>
      </w:pPr>
      <w:r>
        <w:t>Starting at the penultimate period of follow-up, estimate the pooled counterfactual hazard:</w:t>
      </w:r>
    </w:p>
    <w:p w14:paraId="0D78EE63" w14:textId="77777777" w:rsidR="00A663AF" w:rsidRDefault="00000000">
      <w:pPr>
        <w:pStyle w:val="Compact"/>
        <w:numPr>
          <w:ilvl w:val="1"/>
          <w:numId w:val="23"/>
        </w:numPr>
      </w:pPr>
      <w:r>
        <w:t>Regress the counterfactual hazard pooled over all subsequent periods on all past potential confounders and exposures.</w:t>
      </w:r>
    </w:p>
    <w:p w14:paraId="735E00B6" w14:textId="77777777" w:rsidR="00A663AF" w:rsidRDefault="00000000">
      <w:pPr>
        <w:pStyle w:val="Compact"/>
        <w:numPr>
          <w:ilvl w:val="1"/>
          <w:numId w:val="23"/>
        </w:numPr>
      </w:pPr>
      <w:r>
        <w:t xml:space="preserve">Predict the pooled hazard for each person at risk at the start of the period and each possible level of exposure using the model from (a). Retrieve the predicted hazards from step 2. For each person and level of exposure, multiply the </w:t>
      </w:r>
      <w:r>
        <w:lastRenderedPageBreak/>
        <w:t>predicted pooled hazard by one minus the corresponding predicted hazard. Then, add the predicted hazard to the product.</w:t>
      </w:r>
    </w:p>
    <w:p w14:paraId="784E4185" w14:textId="77777777" w:rsidR="00A663AF" w:rsidRDefault="00000000">
      <w:pPr>
        <w:pStyle w:val="Compact"/>
        <w:numPr>
          <w:ilvl w:val="1"/>
          <w:numId w:val="23"/>
        </w:numPr>
      </w:pPr>
      <w:r>
        <w:t>Within strata formed by potential confounder and exposure histories, obtain the intervention distribution of exposure by applying the intervention rule to the observed exposure distribution.</w:t>
      </w:r>
    </w:p>
    <w:p w14:paraId="6D3491CF" w14:textId="77777777" w:rsidR="00A663AF" w:rsidRDefault="00000000">
      <w:pPr>
        <w:pStyle w:val="Compact"/>
        <w:numPr>
          <w:ilvl w:val="1"/>
          <w:numId w:val="23"/>
        </w:numPr>
      </w:pPr>
      <w:r>
        <w:t>Within strata, estimate the counterfactual hazard pooled over the present and subsequent periods for each person by taking a weighted sum of the predicted pooled hazards from (b).</w:t>
      </w:r>
    </w:p>
    <w:p w14:paraId="14CAB434" w14:textId="77777777" w:rsidR="00A663AF" w:rsidRDefault="00000000">
      <w:pPr>
        <w:pStyle w:val="Compact"/>
        <w:numPr>
          <w:ilvl w:val="1"/>
          <w:numId w:val="23"/>
        </w:numPr>
      </w:pPr>
      <w:r>
        <w:t>If the present period is not first period, set the reference period to the preceding period and return to (a).</w:t>
      </w:r>
    </w:p>
    <w:p w14:paraId="3F6FE810" w14:textId="77777777" w:rsidR="00A663AF" w:rsidRDefault="00000000">
      <w:pPr>
        <w:numPr>
          <w:ilvl w:val="0"/>
          <w:numId w:val="22"/>
        </w:numPr>
      </w:pPr>
      <w:r>
        <w:t>Compute the counterfactual risk by averaging the pooled counterfactual hazards across all persons.</w:t>
      </w:r>
    </w:p>
    <w:p w14:paraId="432677FE" w14:textId="77777777" w:rsidR="00A663AF" w:rsidRDefault="00000000">
      <w:pPr>
        <w:pStyle w:val="FirstParagraph"/>
      </w:pPr>
      <w:r>
        <w:t>To account for censoring, fit the models in step 1 and step 5a among those who were not censored and obtain predicted hazards for all at-risk person-periods, including those that were censored.</w:t>
      </w:r>
    </w:p>
    <w:p w14:paraId="35D61E5F" w14:textId="77777777" w:rsidR="00A663AF" w:rsidRDefault="00000000">
      <w:pPr>
        <w:pStyle w:val="BodyText"/>
      </w:pPr>
      <w:r>
        <w:t xml:space="preserve">We estimated cumulative incidence under no intervention on soluble MWF and under the supportable interventions based on the five selected target exposure limits. We contrasted the cumulative incidence under the supportable interventions to that under no intervention on exposure by computing the number of cases averted and the cumulative incidence ratios. Confidence intervals were computed using the basic nonparametric bootstrap with 1000 Monte Carlo samples from the population at the start of follow-up. All the necessary scripts used to reproduce the analyses are available on </w:t>
      </w:r>
      <w:hyperlink r:id="rId15">
        <w:r>
          <w:rPr>
            <w:rStyle w:val="Hyperlink"/>
          </w:rPr>
          <w:t>GitHub</w:t>
        </w:r>
      </w:hyperlink>
      <w:r>
        <w:t>.</w:t>
      </w:r>
    </w:p>
    <w:p w14:paraId="7257E6D8" w14:textId="77777777" w:rsidR="00A663AF" w:rsidRDefault="00000000">
      <w:pPr>
        <w:pStyle w:val="Heading1"/>
      </w:pPr>
      <w:bookmarkStart w:id="24" w:name="results"/>
      <w:bookmarkEnd w:id="5"/>
      <w:bookmarkEnd w:id="23"/>
      <w:r>
        <w:t>Results</w:t>
      </w:r>
    </w:p>
    <w:p w14:paraId="313FDF7C" w14:textId="77777777" w:rsidR="00A663AF" w:rsidRDefault="00000000">
      <w:pPr>
        <w:pStyle w:val="FirstParagraph"/>
      </w:pPr>
      <w:r>
        <w:t>Table 1 presents summary statistics for the full study population and among those diagnosed with NHL between 1985 and 2015. The cohort is predominantly white (64%) and male (86%). Year of hire and age at hire were approximately the same among those with NHL and the full study population. Median lagged cumulative exposure to all three types of MWF was higher among NHL cases. Soluble MWF were the most widely used type, with approximately 88% of workers ever exposed. Median cumulative exposure among the exposed was approximately 6 times higher for soluble than for straight MWF. Figure 2 shows median annual average daily exposure to the three MWF types among exposed workers over calendar time. Exposure to MWF generally followed a downward trend over time.</w:t>
      </w:r>
    </w:p>
    <w:p w14:paraId="7A6D6AFD" w14:textId="67972239" w:rsidR="00A663AF" w:rsidRDefault="00000000">
      <w:pPr>
        <w:pStyle w:val="TableCaption"/>
        <w:jc w:val="center"/>
      </w:pPr>
      <w:r>
        <w:rPr>
          <w:b/>
        </w:rPr>
        <w:t xml:space="preserve">Table </w:t>
      </w:r>
      <w:r>
        <w:rPr>
          <w:b/>
        </w:rPr>
        <w:fldChar w:fldCharType="begin"/>
      </w:r>
      <w:r>
        <w:rPr>
          <w:b/>
        </w:rPr>
        <w:instrText>SEQ tab \* Arabic</w:instrText>
      </w:r>
      <w:r w:rsidR="00B14B2F">
        <w:rPr>
          <w:b/>
        </w:rPr>
        <w:fldChar w:fldCharType="separate"/>
      </w:r>
      <w:r w:rsidR="00B14B2F">
        <w:rPr>
          <w:b/>
          <w:noProof/>
        </w:rPr>
        <w:t>1</w:t>
      </w:r>
      <w:r>
        <w:rPr>
          <w:b/>
        </w:rPr>
        <w:fldChar w:fldCharType="end"/>
      </w:r>
      <w:r>
        <w:rPr>
          <w:b/>
        </w:rPr>
        <w:t xml:space="preserve">: </w:t>
      </w:r>
      <w:r>
        <w:t>Summary of population characteristics. Statistics shown above the horizontal line are count (%). Those shown below are median (quartile 1, quartile 3).</w:t>
      </w:r>
    </w:p>
    <w:tbl>
      <w:tblPr>
        <w:tblW w:w="0" w:type="auto"/>
        <w:jc w:val="center"/>
        <w:tblLayout w:type="fixed"/>
        <w:tblLook w:val="0420" w:firstRow="1" w:lastRow="0" w:firstColumn="0" w:lastColumn="0" w:noHBand="0" w:noVBand="1"/>
      </w:tblPr>
      <w:tblGrid>
        <w:gridCol w:w="3168"/>
        <w:gridCol w:w="936"/>
        <w:gridCol w:w="1584"/>
        <w:gridCol w:w="144"/>
        <w:gridCol w:w="936"/>
        <w:gridCol w:w="1584"/>
      </w:tblGrid>
      <w:tr w:rsidR="00A663AF" w14:paraId="1ADB0CC4" w14:textId="77777777">
        <w:trPr>
          <w:tblHeader/>
          <w:jc w:val="center"/>
        </w:trPr>
        <w:tc>
          <w:tcPr>
            <w:tcW w:w="3168" w:type="dxa"/>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52AE6F09"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pPr>
          </w:p>
        </w:tc>
        <w:tc>
          <w:tcPr>
            <w:tcW w:w="2520" w:type="dxa"/>
            <w:gridSpan w:val="2"/>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08E6812B"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Study population</w:t>
            </w:r>
          </w:p>
        </w:tc>
        <w:tc>
          <w:tcPr>
            <w:tcW w:w="144" w:type="dxa"/>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0DF5FA62"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2520" w:type="dxa"/>
            <w:gridSpan w:val="2"/>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30933813"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NHL cases</w:t>
            </w:r>
          </w:p>
        </w:tc>
      </w:tr>
      <w:tr w:rsidR="00A663AF" w14:paraId="612C3E1E" w14:textId="77777777">
        <w:trPr>
          <w:jc w:val="center"/>
        </w:trPr>
        <w:tc>
          <w:tcPr>
            <w:tcW w:w="31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58934"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N (person-years)</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D6D1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33,134</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F56C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(794,733)</w:t>
            </w:r>
          </w:p>
        </w:tc>
        <w:tc>
          <w:tcPr>
            <w:tcW w:w="14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13CDA"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85D3F"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339</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E22D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(5,809)</w:t>
            </w:r>
          </w:p>
        </w:tc>
      </w:tr>
      <w:tr w:rsidR="00A663AF" w14:paraId="66916F8F"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7E9D3"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Race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23731"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C3017"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D9B4D"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BB49C"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CA421"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r>
      <w:tr w:rsidR="00A663AF" w14:paraId="0C600FCE"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1BE9A"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White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A0B3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21,315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DEF3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(64%)</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ED279"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D15F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250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1874B"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(74%)</w:t>
            </w:r>
          </w:p>
        </w:tc>
      </w:tr>
      <w:tr w:rsidR="00A663AF" w14:paraId="0E66F1FA"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1738"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Black</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6A0D3"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6,250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4A48E"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9B69F"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FE634"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F16B4"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(12%)</w:t>
            </w:r>
          </w:p>
        </w:tc>
      </w:tr>
      <w:tr w:rsidR="00A663AF" w14:paraId="7532BBA4"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DBD98"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Unknown</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F256C"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5,569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B525C"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(17%)</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3811E"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D32B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06A81"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w:t>
            </w:r>
          </w:p>
        </w:tc>
      </w:tr>
      <w:tr w:rsidR="00A663AF" w14:paraId="5C0BDA01"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56842"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Sex</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D7230"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2567C"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C8B9E"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50B8F"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93AA7"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r>
      <w:tr w:rsidR="00A663AF" w14:paraId="48BB4E37"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4130"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Male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CACB3"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28,640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A15D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47F2B"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F78F3"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FE46F"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r>
      <w:tr w:rsidR="00A663AF" w14:paraId="4E7326DA"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4704B"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Female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4BEB2"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4,494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4772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BC765"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3853"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6785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(12%)</w:t>
            </w:r>
          </w:p>
        </w:tc>
      </w:tr>
      <w:tr w:rsidR="00A663AF" w14:paraId="5F5FDD9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6481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lastRenderedPageBreak/>
              <w:t>Plant</w:t>
            </w:r>
            <w:r>
              <w:rPr>
                <w:rFonts w:eastAsia="Arial" w:cs="Arial"/>
                <w:color w:val="000000"/>
                <w:szCs w:val="22"/>
                <w:vertAlign w:val="superscript"/>
              </w:rPr>
              <w:t>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8A4D3"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FFE8"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1252C"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BE42C"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D47FF"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r>
      <w:tr w:rsidR="00A663AF" w14:paraId="44DF95A1"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4255E"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A869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7,273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A9AB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(22%)</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F0180"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9783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5EBB1"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w:t>
            </w:r>
          </w:p>
        </w:tc>
      </w:tr>
      <w:tr w:rsidR="00A663AF" w14:paraId="725ABFF5"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C2165"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A0CB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14,251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686F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4C4AA"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98F2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61D31"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(40%)</w:t>
            </w:r>
          </w:p>
        </w:tc>
      </w:tr>
      <w:tr w:rsidR="00A663AF" w14:paraId="6AB95161"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30E12"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F89F4"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11,610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1F12"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(35%)</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0CFAD"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C0D64"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132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AA498"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(39%)</w:t>
            </w:r>
          </w:p>
        </w:tc>
      </w:tr>
      <w:tr w:rsidR="00A663AF" w14:paraId="746CE775"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3E13C"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Ever exposed to MWFs</w:t>
            </w:r>
            <w:r>
              <w:rPr>
                <w:rFonts w:eastAsia="Arial" w:cs="Arial"/>
                <w:color w:val="000000"/>
                <w:szCs w:val="22"/>
                <w:vertAlign w:val="superscript"/>
              </w:rPr>
              <w:t>b</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4A353"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A6989"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FAA6D"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9E299"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700F7"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r>
      <w:tr w:rsidR="00A663AF" w14:paraId="5E53923B"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6AA5"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Soluble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FE813"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29,010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6FA37"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9FD9B"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2CCD2"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5FE4"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r>
      <w:tr w:rsidR="00A663AF" w14:paraId="6DCA5197"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DCA8F"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Straight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0A3B8"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18,710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5A688"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27D55"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EFC20"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B0DB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(58%)</w:t>
            </w:r>
          </w:p>
        </w:tc>
      </w:tr>
      <w:tr w:rsidR="00A663AF" w14:paraId="6D881AB3" w14:textId="77777777">
        <w:trPr>
          <w:jc w:val="center"/>
        </w:trPr>
        <w:tc>
          <w:tcPr>
            <w:tcW w:w="31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A8F077"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Synthetic</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1DBA35"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11,824</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7D46D7"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(36%)</w:t>
            </w:r>
          </w:p>
        </w:tc>
        <w:tc>
          <w:tcPr>
            <w:tcW w:w="14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1379CD"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348331"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111</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99C0D8"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w:t>
            </w:r>
          </w:p>
        </w:tc>
      </w:tr>
      <w:tr w:rsidR="00A663AF" w14:paraId="65FFA563" w14:textId="77777777">
        <w:trPr>
          <w:jc w:val="center"/>
        </w:trPr>
        <w:tc>
          <w:tcPr>
            <w:tcW w:w="31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2503"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birth</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9B1C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1941</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67A15"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(1927, 1950)</w:t>
            </w:r>
          </w:p>
        </w:tc>
        <w:tc>
          <w:tcPr>
            <w:tcW w:w="14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66075"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207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1935</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DB61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(1926, 1945)</w:t>
            </w:r>
          </w:p>
        </w:tc>
      </w:tr>
      <w:tr w:rsidR="00A663AF" w14:paraId="0B40C901"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8ABAC"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hire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EB4C1"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1967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9570E"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(1953, 1976)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DB988"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8394"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1964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B9144"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(1953, 1971)</w:t>
            </w:r>
          </w:p>
        </w:tc>
      </w:tr>
      <w:tr w:rsidR="00A663AF" w14:paraId="1BF3D419"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BE30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hire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1A888"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B688F"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(20.0, 30.3)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7193B"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FB9C3"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632B2"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(20.2, 32.9)</w:t>
            </w:r>
          </w:p>
        </w:tc>
      </w:tr>
      <w:tr w:rsidR="00A663AF" w14:paraId="07FB5177"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C791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leaving work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ED93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0466E"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(31.8, 57.3)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AEB4A"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3CF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53.0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D9E3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(36.4, 60.4)</w:t>
            </w:r>
          </w:p>
        </w:tc>
      </w:tr>
      <w:tr w:rsidR="00A663AF" w14:paraId="14256B29"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0FF85"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Years at work</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7817C"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F48A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(7.0, 26.6)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37AB2"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6EFCE"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A9650"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(7.8, 29.9)</w:t>
            </w:r>
          </w:p>
        </w:tc>
      </w:tr>
      <w:tr w:rsidR="00A663AF" w14:paraId="3E8B4630"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CAD2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death</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C9AC7"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A685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(1994, 2009)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16CE3"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AE911"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C0CF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(1998, 2010)</w:t>
            </w:r>
          </w:p>
        </w:tc>
      </w:tr>
      <w:tr w:rsidR="00A663AF" w14:paraId="6DA2EEB1"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07815"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death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B6C8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9260"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(64.4, 81.3)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F1C66"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14D30"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73.0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B13C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(66.3, 80.8)</w:t>
            </w:r>
          </w:p>
        </w:tc>
      </w:tr>
      <w:tr w:rsidR="00A663AF" w14:paraId="459882E8" w14:textId="77777777">
        <w:trPr>
          <w:jc w:val="center"/>
        </w:trPr>
        <w:tc>
          <w:tcPr>
            <w:tcW w:w="8352" w:type="dxa"/>
            <w:gridSpan w:val="6"/>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BF311"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Cumulative exposure to MWF (mg/m</w:t>
            </w:r>
            <w:r>
              <w:rPr>
                <w:rFonts w:eastAsia="Arial" w:cs="Arial"/>
                <w:color w:val="000000"/>
                <w:szCs w:val="22"/>
                <w:vertAlign w:val="superscript"/>
              </w:rPr>
              <w:t>3</w:t>
            </w:r>
            <w:r>
              <w:rPr>
                <w:rFonts w:eastAsia="Arial" w:cs="Arial"/>
                <w:color w:val="000000"/>
                <w:szCs w:val="22"/>
              </w:rPr>
              <w:t>-years)</w:t>
            </w:r>
            <w:r>
              <w:rPr>
                <w:rFonts w:eastAsia="Arial" w:cs="Arial"/>
                <w:color w:val="000000"/>
                <w:szCs w:val="22"/>
                <w:vertAlign w:val="superscript"/>
              </w:rPr>
              <w:t>d</w:t>
            </w:r>
          </w:p>
        </w:tc>
      </w:tr>
      <w:tr w:rsidR="00A663AF" w14:paraId="0A70FBF4"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2CCCF"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Soluble </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7E27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7AAB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(1.71, 10.69)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D5D96"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C304A"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556D4"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(2.19, 14.33)</w:t>
            </w:r>
          </w:p>
        </w:tc>
      </w:tr>
      <w:tr w:rsidR="00A663AF" w14:paraId="38433376"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E7990"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Straight </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4C73"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0.67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3A80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(0.21, 2.38)</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1DC9F"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9B5EC"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0.77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09BC"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(0.18, 3.52)</w:t>
            </w:r>
          </w:p>
        </w:tc>
      </w:tr>
      <w:tr w:rsidR="00A663AF" w14:paraId="443E28E0" w14:textId="77777777">
        <w:trPr>
          <w:jc w:val="center"/>
        </w:trPr>
        <w:tc>
          <w:tcPr>
            <w:tcW w:w="31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19F842" w14:textId="77777777" w:rsidR="00A663AF"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Synthetic </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55ACE7"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0.44</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D70B37"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(0.15, 1.58)</w:t>
            </w:r>
          </w:p>
        </w:tc>
        <w:tc>
          <w:tcPr>
            <w:tcW w:w="14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D5E2AC"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65A1F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0.69</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03B4DB"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(0.18, 1.91)</w:t>
            </w:r>
          </w:p>
        </w:tc>
      </w:tr>
      <w:tr w:rsidR="00A663AF" w14:paraId="2C8B94C9" w14:textId="77777777">
        <w:trPr>
          <w:jc w:val="center"/>
        </w:trPr>
        <w:tc>
          <w:tcPr>
            <w:tcW w:w="8352" w:type="dxa"/>
            <w:gridSpan w:val="6"/>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FB2E1C2"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NHL: non-Hodgkin lymphoma.</w:t>
            </w:r>
          </w:p>
        </w:tc>
      </w:tr>
      <w:tr w:rsidR="00A663AF" w14:paraId="4C8EF46E" w14:textId="77777777">
        <w:trPr>
          <w:jc w:val="center"/>
        </w:trPr>
        <w:tc>
          <w:tcPr>
            <w:tcW w:w="8352" w:type="dxa"/>
            <w:gridSpan w:val="6"/>
            <w:tcBorders>
              <w:top w:val="none" w:sz="0" w:space="0" w:color="FFFFFF"/>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01D7BD8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vertAlign w:val="superscript"/>
              </w:rPr>
              <w:t>a</w:t>
            </w:r>
            <w:r>
              <w:rPr>
                <w:rFonts w:ascii="Helvetica" w:eastAsia="Helvetica" w:hAnsi="Helvetica" w:cs="Helvetica"/>
                <w:color w:val="000000"/>
                <w:szCs w:val="22"/>
              </w:rPr>
              <w:t xml:space="preserve"> Plant of longest employment duration among those who worked at multiple plants; </w:t>
            </w:r>
            <w:r>
              <w:rPr>
                <w:rFonts w:ascii="Helvetica" w:eastAsia="Helvetica" w:hAnsi="Helvetica" w:cs="Helvetica"/>
                <w:color w:val="000000"/>
                <w:szCs w:val="22"/>
                <w:vertAlign w:val="superscript"/>
              </w:rPr>
              <w:t>b</w:t>
            </w:r>
            <w:r>
              <w:rPr>
                <w:rFonts w:ascii="Helvetica" w:eastAsia="Helvetica" w:hAnsi="Helvetica" w:cs="Helvetica"/>
                <w:color w:val="000000"/>
                <w:szCs w:val="22"/>
              </w:rPr>
              <w:t xml:space="preserve"> Lagged 20 years; </w:t>
            </w:r>
            <w:r>
              <w:rPr>
                <w:rFonts w:ascii="Helvetica" w:eastAsia="Helvetica" w:hAnsi="Helvetica" w:cs="Helvetica"/>
                <w:color w:val="000000"/>
                <w:szCs w:val="22"/>
                <w:vertAlign w:val="superscript"/>
              </w:rPr>
              <w:t>d</w:t>
            </w:r>
            <w:r>
              <w:rPr>
                <w:rFonts w:ascii="Helvetica" w:eastAsia="Helvetica" w:hAnsi="Helvetica" w:cs="Helvetica"/>
                <w:color w:val="000000"/>
                <w:szCs w:val="22"/>
              </w:rPr>
              <w:t xml:space="preserve"> Among ever-exposed individuals, lagged 20 years.; </w:t>
            </w:r>
          </w:p>
        </w:tc>
      </w:tr>
    </w:tbl>
    <w:p w14:paraId="2343FAA1" w14:textId="77777777" w:rsidR="00A663AF" w:rsidRDefault="00000000">
      <w:pPr>
        <w:pStyle w:val="BodyText"/>
      </w:pPr>
      <w:r>
        <w:br/>
      </w:r>
    </w:p>
    <w:tbl>
      <w:tblPr>
        <w:tblStyle w:val="Table"/>
        <w:tblW w:w="5000" w:type="pct"/>
        <w:tblLook w:val="0000" w:firstRow="0" w:lastRow="0" w:firstColumn="0" w:lastColumn="0" w:noHBand="0" w:noVBand="0"/>
      </w:tblPr>
      <w:tblGrid>
        <w:gridCol w:w="9360"/>
      </w:tblGrid>
      <w:tr w:rsidR="00A663AF" w14:paraId="0458B346" w14:textId="77777777">
        <w:tc>
          <w:tcPr>
            <w:tcW w:w="0" w:type="auto"/>
          </w:tcPr>
          <w:p w14:paraId="01F2B4BB" w14:textId="77777777" w:rsidR="00A663AF" w:rsidRDefault="00000000">
            <w:pPr>
              <w:jc w:val="center"/>
            </w:pPr>
            <w:r>
              <w:rPr>
                <w:noProof/>
              </w:rPr>
              <w:drawing>
                <wp:inline distT="0" distB="0" distL="0" distR="0" wp14:anchorId="315FEA17" wp14:editId="47A4517E">
                  <wp:extent cx="5943600" cy="24765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resources/images/exposure.png"/>
                          <pic:cNvPicPr>
                            <a:picLocks noChangeAspect="1" noChangeArrowheads="1"/>
                          </pic:cNvPicPr>
                        </pic:nvPicPr>
                        <pic:blipFill>
                          <a:blip r:embed="rId16"/>
                          <a:stretch>
                            <a:fillRect/>
                          </a:stretch>
                        </pic:blipFill>
                        <pic:spPr bwMode="auto">
                          <a:xfrm>
                            <a:off x="0" y="0"/>
                            <a:ext cx="5943600" cy="2476500"/>
                          </a:xfrm>
                          <a:prstGeom prst="rect">
                            <a:avLst/>
                          </a:prstGeom>
                          <a:noFill/>
                          <a:ln w="9525">
                            <a:noFill/>
                            <a:headEnd/>
                            <a:tailEnd/>
                          </a:ln>
                        </pic:spPr>
                      </pic:pic>
                    </a:graphicData>
                  </a:graphic>
                </wp:inline>
              </w:drawing>
            </w:r>
          </w:p>
          <w:p w14:paraId="570C0CED" w14:textId="7F08880C" w:rsidR="00A663AF" w:rsidRDefault="00000000">
            <w:pPr>
              <w:pStyle w:val="ImageCaption"/>
              <w:spacing w:before="200"/>
            </w:pPr>
            <w:commentRangeStart w:id="25"/>
            <w:commentRangeStart w:id="26"/>
            <w:r>
              <w:t>Figure 2. Median annual average daily exposure to soluble, straight, and synthetic metalworking fluids among exposed workers over time.</w:t>
            </w:r>
            <w:commentRangeEnd w:id="25"/>
            <w:r w:rsidR="009113F1">
              <w:rPr>
                <w:rStyle w:val="CommentReference"/>
              </w:rPr>
              <w:commentReference w:id="25"/>
            </w:r>
            <w:commentRangeEnd w:id="26"/>
            <w:r w:rsidR="00C143EE">
              <w:rPr>
                <w:rStyle w:val="CommentReference"/>
              </w:rPr>
              <w:commentReference w:id="26"/>
            </w:r>
          </w:p>
        </w:tc>
      </w:tr>
    </w:tbl>
    <w:p w14:paraId="59E2405F" w14:textId="51CC672A" w:rsidR="00A663AF" w:rsidRDefault="00000000">
      <w:pPr>
        <w:pStyle w:val="BodyText"/>
      </w:pPr>
      <w:r>
        <w:lastRenderedPageBreak/>
        <w:t xml:space="preserve">The observed number of NHL cases over the 30-year follow-up period was 339. Table 2 presents estimates of the counterfactual number of cases, number of cases averted, and cumulative incidence ratios contrasting supportable interventions on exposure to soluble MWF based on different target exposure limits and no censoring. </w:t>
      </w:r>
      <w:commentRangeStart w:id="27"/>
      <w:commentRangeStart w:id="28"/>
      <w:r>
        <w:t xml:space="preserve">Under an intervention eliminating censoring, </w:t>
      </w:r>
      <w:commentRangeEnd w:id="27"/>
      <w:r w:rsidR="003C7016">
        <w:rPr>
          <w:rStyle w:val="CommentReference"/>
        </w:rPr>
        <w:commentReference w:id="27"/>
      </w:r>
      <w:commentRangeEnd w:id="28"/>
      <w:r w:rsidR="00C143EE">
        <w:rPr>
          <w:rStyle w:val="CommentReference"/>
        </w:rPr>
        <w:commentReference w:id="28"/>
      </w:r>
      <w:r>
        <w:t>the estimated number of cases was 502 (95% CI: 439, 555). Interventions based on stronger target exposure limits on soluble MWF resulted in monotonically stronger reductions in the estimated cumulative incidence of NHL. Setting the target exposure limit at the NIOSH REL 0.5 mg/m</w:t>
      </w:r>
      <w:r>
        <w:rPr>
          <w:vertAlign w:val="superscript"/>
        </w:rPr>
        <w:t>3</w:t>
      </w:r>
      <w:r>
        <w:t xml:space="preserve"> would have averted 1</w:t>
      </w:r>
      <w:r w:rsidR="004A15AD">
        <w:t>24</w:t>
      </w:r>
      <w:r>
        <w:t xml:space="preserve"> (95% CI: </w:t>
      </w:r>
      <w:r w:rsidR="004A15AD">
        <w:t>66</w:t>
      </w:r>
      <w:r>
        <w:t xml:space="preserve">, </w:t>
      </w:r>
      <w:r w:rsidR="004A15AD">
        <w:t>202</w:t>
      </w:r>
      <w:r>
        <w:t>) NHL cases.</w:t>
      </w:r>
    </w:p>
    <w:p w14:paraId="57CC6257" w14:textId="4DE385D4" w:rsidR="00A663AF" w:rsidRDefault="00000000">
      <w:pPr>
        <w:pStyle w:val="TableCaption"/>
        <w:jc w:val="center"/>
      </w:pPr>
      <w:r>
        <w:rPr>
          <w:b/>
        </w:rPr>
        <w:t xml:space="preserve">Table </w:t>
      </w:r>
      <w:r>
        <w:rPr>
          <w:b/>
        </w:rPr>
        <w:fldChar w:fldCharType="begin"/>
      </w:r>
      <w:r>
        <w:rPr>
          <w:b/>
        </w:rPr>
        <w:instrText>SEQ tab \* Arabic</w:instrText>
      </w:r>
      <w:r w:rsidR="00B14B2F">
        <w:rPr>
          <w:b/>
        </w:rPr>
        <w:fldChar w:fldCharType="separate"/>
      </w:r>
      <w:r w:rsidR="00B14B2F">
        <w:rPr>
          <w:b/>
          <w:noProof/>
        </w:rPr>
        <w:t>2</w:t>
      </w:r>
      <w:r>
        <w:rPr>
          <w:b/>
        </w:rPr>
        <w:fldChar w:fldCharType="end"/>
      </w:r>
      <w:r>
        <w:rPr>
          <w:b/>
        </w:rPr>
        <w:t xml:space="preserve">: </w:t>
      </w:r>
      <w:r>
        <w:t>Estimates of the counterfactual number of cases, number of cases averted and cumulative incidence ratios contrasting supportable interventions on annual average daily exposure to soluble MWF to no intervention on exposure.</w:t>
      </w:r>
    </w:p>
    <w:tbl>
      <w:tblPr>
        <w:tblW w:w="0" w:type="auto"/>
        <w:jc w:val="center"/>
        <w:tblLayout w:type="fixed"/>
        <w:tblLook w:val="0420" w:firstRow="1" w:lastRow="0" w:firstColumn="0" w:lastColumn="0" w:noHBand="0" w:noVBand="1"/>
      </w:tblPr>
      <w:tblGrid>
        <w:gridCol w:w="1584"/>
        <w:gridCol w:w="720"/>
        <w:gridCol w:w="1296"/>
        <w:gridCol w:w="792"/>
        <w:gridCol w:w="1296"/>
        <w:gridCol w:w="720"/>
        <w:gridCol w:w="1296"/>
      </w:tblGrid>
      <w:tr w:rsidR="00A663AF" w14:paraId="33C2B051" w14:textId="77777777">
        <w:trPr>
          <w:tblHeader/>
          <w:jc w:val="center"/>
        </w:trPr>
        <w:tc>
          <w:tcPr>
            <w:tcW w:w="158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E577A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Target exposure limit (mg/m</w:t>
            </w:r>
            <w:r>
              <w:rPr>
                <w:rFonts w:ascii="Helvetica" w:eastAsia="Helvetica" w:hAnsi="Helvetica" w:cs="Helvetica"/>
                <w:color w:val="000000"/>
                <w:szCs w:val="22"/>
                <w:vertAlign w:val="superscript"/>
              </w:rPr>
              <w:t>3</w:t>
            </w:r>
            <w:r>
              <w:rPr>
                <w:rFonts w:ascii="Helvetica" w:eastAsia="Helvetica" w:hAnsi="Helvetica" w:cs="Helvetica"/>
                <w:color w:val="000000"/>
                <w:szCs w:val="22"/>
              </w:rPr>
              <w:t>)</w:t>
            </w:r>
          </w:p>
        </w:tc>
        <w:tc>
          <w:tcPr>
            <w:tcW w:w="7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2CFA0B"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Cases</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815BC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c>
          <w:tcPr>
            <w:tcW w:w="792"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AB9F38"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Cases averted</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07CF5C"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c>
          <w:tcPr>
            <w:tcW w:w="7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AAAFBF"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CIR</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251C7D"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r>
      <w:tr w:rsidR="00A663AF" w14:paraId="3BD44F3C" w14:textId="77777777">
        <w:trPr>
          <w:jc w:val="center"/>
        </w:trPr>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2E32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None</w:t>
            </w:r>
          </w:p>
        </w:tc>
        <w:tc>
          <w:tcPr>
            <w:tcW w:w="7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10CD5"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502</w:t>
            </w: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63406"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(439, 555)</w:t>
            </w:r>
          </w:p>
        </w:tc>
        <w:tc>
          <w:tcPr>
            <w:tcW w:w="7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6B28E"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CCC65"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7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A4497"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61F1C" w14:textId="77777777" w:rsidR="00A663AF" w:rsidRDefault="00A663AF">
            <w:pPr>
              <w:pBdr>
                <w:top w:val="none" w:sz="0" w:space="0" w:color="000000"/>
                <w:left w:val="none" w:sz="0" w:space="0" w:color="000000"/>
                <w:bottom w:val="none" w:sz="0" w:space="0" w:color="000000"/>
                <w:right w:val="none" w:sz="0" w:space="0" w:color="000000"/>
              </w:pBdr>
              <w:spacing w:before="20" w:after="20"/>
              <w:ind w:left="20" w:right="20"/>
              <w:jc w:val="center"/>
            </w:pPr>
          </w:p>
        </w:tc>
      </w:tr>
      <w:tr w:rsidR="00A663AF" w14:paraId="4F5CAEB4"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0975F"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2.0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C0AE6" w14:textId="06409816"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397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B0F45" w14:textId="77174A0C"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w:t>
            </w:r>
            <w:r>
              <w:rPr>
                <w:rFonts w:ascii="Helvetica" w:eastAsia="Helvetica" w:hAnsi="Helvetica" w:cs="Helvetica"/>
                <w:color w:val="000000"/>
                <w:szCs w:val="22"/>
              </w:rPr>
              <w:t>317, 464</w:t>
            </w:r>
            <w:r>
              <w:rPr>
                <w:rFonts w:ascii="Helvetica" w:eastAsia="Helvetica" w:hAnsi="Helvetica" w:cs="Helvetica"/>
                <w:color w:val="000000"/>
                <w:szCs w:val="22"/>
              </w:rPr>
              <w:t>)</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58B42" w14:textId="5380A831"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105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C177F" w14:textId="09C146FB"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w:t>
            </w:r>
            <w:r>
              <w:rPr>
                <w:rFonts w:ascii="Helvetica" w:eastAsia="Helvetica" w:hAnsi="Helvetica" w:cs="Helvetica"/>
                <w:color w:val="000000"/>
                <w:szCs w:val="22"/>
              </w:rPr>
              <w:t>51, 172</w:t>
            </w:r>
            <w:r>
              <w:rPr>
                <w:rFonts w:ascii="Helvetica" w:eastAsia="Helvetica" w:hAnsi="Helvetica" w:cs="Helvetica"/>
                <w:color w:val="000000"/>
                <w:szCs w:val="22"/>
              </w:rPr>
              <w:t>)</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E7000" w14:textId="56CCC33B"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w:t>
            </w:r>
            <w:r>
              <w:rPr>
                <w:rFonts w:ascii="Helvetica" w:eastAsia="Helvetica" w:hAnsi="Helvetica" w:cs="Helvetica"/>
                <w:color w:val="000000"/>
                <w:szCs w:val="22"/>
              </w:rPr>
              <w:t>79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B9C6C" w14:textId="79373FE4"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w:t>
            </w:r>
            <w:r>
              <w:rPr>
                <w:rFonts w:ascii="Helvetica" w:eastAsia="Helvetica" w:hAnsi="Helvetica" w:cs="Helvetica"/>
                <w:color w:val="000000"/>
                <w:szCs w:val="22"/>
              </w:rPr>
              <w:t>66</w:t>
            </w:r>
            <w:r>
              <w:rPr>
                <w:rFonts w:ascii="Helvetica" w:eastAsia="Helvetica" w:hAnsi="Helvetica" w:cs="Helvetica"/>
                <w:color w:val="000000"/>
                <w:szCs w:val="22"/>
              </w:rPr>
              <w:t>, 0.</w:t>
            </w:r>
            <w:r>
              <w:rPr>
                <w:rFonts w:ascii="Helvetica" w:eastAsia="Helvetica" w:hAnsi="Helvetica" w:cs="Helvetica"/>
                <w:color w:val="000000"/>
                <w:szCs w:val="22"/>
              </w:rPr>
              <w:t>89</w:t>
            </w:r>
            <w:r>
              <w:rPr>
                <w:rFonts w:ascii="Helvetica" w:eastAsia="Helvetica" w:hAnsi="Helvetica" w:cs="Helvetica"/>
                <w:color w:val="000000"/>
                <w:szCs w:val="22"/>
              </w:rPr>
              <w:t>)</w:t>
            </w:r>
          </w:p>
        </w:tc>
      </w:tr>
      <w:tr w:rsidR="00A663AF" w14:paraId="408437ED"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71691"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1.0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9715" w14:textId="579B1945"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386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5FBBC" w14:textId="552B64A0"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w:t>
            </w:r>
            <w:r>
              <w:rPr>
                <w:rFonts w:ascii="Helvetica" w:eastAsia="Helvetica" w:hAnsi="Helvetica" w:cs="Helvetica"/>
                <w:color w:val="000000"/>
                <w:szCs w:val="22"/>
              </w:rPr>
              <w:t>306, 457</w:t>
            </w:r>
            <w:r>
              <w:rPr>
                <w:rFonts w:ascii="Helvetica" w:eastAsia="Helvetica" w:hAnsi="Helvetica" w:cs="Helvetica"/>
                <w:color w:val="000000"/>
                <w:szCs w:val="22"/>
              </w:rPr>
              <w:t>)</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745EB" w14:textId="7CC02A0F"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115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2346B" w14:textId="731A7CC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w:t>
            </w:r>
            <w:r>
              <w:rPr>
                <w:rFonts w:ascii="Helvetica" w:eastAsia="Helvetica" w:hAnsi="Helvetica" w:cs="Helvetica"/>
                <w:color w:val="000000"/>
                <w:szCs w:val="22"/>
              </w:rPr>
              <w:t>59, 189</w:t>
            </w:r>
            <w:r>
              <w:rPr>
                <w:rFonts w:ascii="Helvetica" w:eastAsia="Helvetica" w:hAnsi="Helvetica" w:cs="Helvetica"/>
                <w:color w:val="000000"/>
                <w:szCs w:val="22"/>
              </w:rPr>
              <w:t>)</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1C3DE" w14:textId="5A31DDBF"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w:t>
            </w:r>
            <w:r>
              <w:rPr>
                <w:rFonts w:ascii="Helvetica" w:eastAsia="Helvetica" w:hAnsi="Helvetica" w:cs="Helvetica"/>
                <w:color w:val="000000"/>
                <w:szCs w:val="22"/>
              </w:rPr>
              <w:t>77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3CAB5" w14:textId="2543BE8E"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w:t>
            </w:r>
            <w:r>
              <w:rPr>
                <w:rFonts w:ascii="Helvetica" w:eastAsia="Helvetica" w:hAnsi="Helvetica" w:cs="Helvetica"/>
                <w:color w:val="000000"/>
                <w:szCs w:val="22"/>
              </w:rPr>
              <w:t>63</w:t>
            </w:r>
            <w:r>
              <w:rPr>
                <w:rFonts w:ascii="Helvetica" w:eastAsia="Helvetica" w:hAnsi="Helvetica" w:cs="Helvetica"/>
                <w:color w:val="000000"/>
                <w:szCs w:val="22"/>
              </w:rPr>
              <w:t>, 0.</w:t>
            </w:r>
            <w:r>
              <w:rPr>
                <w:rFonts w:ascii="Helvetica" w:eastAsia="Helvetica" w:hAnsi="Helvetica" w:cs="Helvetica"/>
                <w:color w:val="000000"/>
                <w:szCs w:val="22"/>
              </w:rPr>
              <w:t>87</w:t>
            </w:r>
            <w:r>
              <w:rPr>
                <w:rFonts w:ascii="Helvetica" w:eastAsia="Helvetica" w:hAnsi="Helvetica" w:cs="Helvetica"/>
                <w:color w:val="000000"/>
                <w:szCs w:val="22"/>
              </w:rPr>
              <w:t>)</w:t>
            </w:r>
          </w:p>
        </w:tc>
      </w:tr>
      <w:tr w:rsidR="00A663AF" w14:paraId="24F9A775"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26574"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ACB42" w14:textId="32F213F2"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377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4A50C" w14:textId="0BF3F3E6"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w:t>
            </w:r>
            <w:r>
              <w:rPr>
                <w:rFonts w:ascii="Helvetica" w:eastAsia="Helvetica" w:hAnsi="Helvetica" w:cs="Helvetica"/>
                <w:color w:val="000000"/>
                <w:szCs w:val="22"/>
              </w:rPr>
              <w:t>296, 450</w:t>
            </w:r>
            <w:r>
              <w:rPr>
                <w:rFonts w:ascii="Helvetica" w:eastAsia="Helvetica" w:hAnsi="Helvetica" w:cs="Helvetica"/>
                <w:color w:val="000000"/>
                <w:szCs w:val="22"/>
              </w:rPr>
              <w:t>)</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CCA26" w14:textId="28E06EE3"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124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3F956" w14:textId="450AB403"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w:t>
            </w:r>
            <w:r>
              <w:rPr>
                <w:rFonts w:ascii="Helvetica" w:eastAsia="Helvetica" w:hAnsi="Helvetica" w:cs="Helvetica"/>
                <w:color w:val="000000"/>
                <w:szCs w:val="22"/>
              </w:rPr>
              <w:t>66, 202</w:t>
            </w:r>
            <w:r>
              <w:rPr>
                <w:rFonts w:ascii="Helvetica" w:eastAsia="Helvetica" w:hAnsi="Helvetica" w:cs="Helvetica"/>
                <w:color w:val="000000"/>
                <w:szCs w:val="22"/>
              </w:rPr>
              <w:t>)</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11070" w14:textId="46A89DBF"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w:t>
            </w:r>
            <w:r>
              <w:rPr>
                <w:rFonts w:ascii="Helvetica" w:eastAsia="Helvetica" w:hAnsi="Helvetica" w:cs="Helvetica"/>
                <w:color w:val="000000"/>
                <w:szCs w:val="22"/>
              </w:rPr>
              <w:t>75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07B5D" w14:textId="3C0F49BB"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w:t>
            </w:r>
            <w:r>
              <w:rPr>
                <w:rFonts w:ascii="Helvetica" w:eastAsia="Helvetica" w:hAnsi="Helvetica" w:cs="Helvetica"/>
                <w:color w:val="000000"/>
                <w:szCs w:val="22"/>
              </w:rPr>
              <w:t>60</w:t>
            </w:r>
            <w:r>
              <w:rPr>
                <w:rFonts w:ascii="Helvetica" w:eastAsia="Helvetica" w:hAnsi="Helvetica" w:cs="Helvetica"/>
                <w:color w:val="000000"/>
                <w:szCs w:val="22"/>
              </w:rPr>
              <w:t>, 0.</w:t>
            </w:r>
            <w:r>
              <w:rPr>
                <w:rFonts w:ascii="Helvetica" w:eastAsia="Helvetica" w:hAnsi="Helvetica" w:cs="Helvetica"/>
                <w:color w:val="000000"/>
                <w:szCs w:val="22"/>
              </w:rPr>
              <w:t>86</w:t>
            </w:r>
            <w:r>
              <w:rPr>
                <w:rFonts w:ascii="Helvetica" w:eastAsia="Helvetica" w:hAnsi="Helvetica" w:cs="Helvetica"/>
                <w:color w:val="000000"/>
                <w:szCs w:val="22"/>
              </w:rPr>
              <w:t>)</w:t>
            </w:r>
          </w:p>
        </w:tc>
      </w:tr>
      <w:tr w:rsidR="00A663AF" w14:paraId="7723A8B0"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9F2F9"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0.25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AE829" w14:textId="318C6C57"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369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96574" w14:textId="73252489"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w:t>
            </w:r>
            <w:r>
              <w:rPr>
                <w:rFonts w:ascii="Helvetica" w:eastAsia="Helvetica" w:hAnsi="Helvetica" w:cs="Helvetica"/>
                <w:color w:val="000000"/>
                <w:szCs w:val="22"/>
              </w:rPr>
              <w:t>286, 445</w:t>
            </w:r>
            <w:r>
              <w:rPr>
                <w:rFonts w:ascii="Helvetica" w:eastAsia="Helvetica" w:hAnsi="Helvetica" w:cs="Helvetica"/>
                <w:color w:val="000000"/>
                <w:szCs w:val="22"/>
              </w:rPr>
              <w:t>)</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5F6F2" w14:textId="72F7A14A"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133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F79A8" w14:textId="20F387F3"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w:t>
            </w:r>
            <w:r>
              <w:rPr>
                <w:rFonts w:ascii="Helvetica" w:eastAsia="Helvetica" w:hAnsi="Helvetica" w:cs="Helvetica"/>
                <w:color w:val="000000"/>
                <w:szCs w:val="22"/>
              </w:rPr>
              <w:t>71, 216</w:t>
            </w:r>
            <w:r>
              <w:rPr>
                <w:rFonts w:ascii="Helvetica" w:eastAsia="Helvetica" w:hAnsi="Helvetica" w:cs="Helvetica"/>
                <w:color w:val="000000"/>
                <w:szCs w:val="22"/>
              </w:rPr>
              <w:t>)</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AF069" w14:textId="39B336B1"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w:t>
            </w:r>
            <w:r>
              <w:rPr>
                <w:rFonts w:ascii="Helvetica" w:eastAsia="Helvetica" w:hAnsi="Helvetica" w:cs="Helvetica"/>
                <w:color w:val="000000"/>
                <w:szCs w:val="22"/>
              </w:rPr>
              <w:t>73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59F79" w14:textId="34BDF913"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w:t>
            </w:r>
            <w:r>
              <w:rPr>
                <w:rFonts w:ascii="Helvetica" w:eastAsia="Helvetica" w:hAnsi="Helvetica" w:cs="Helvetica"/>
                <w:color w:val="000000"/>
                <w:szCs w:val="22"/>
              </w:rPr>
              <w:t>57</w:t>
            </w:r>
            <w:r>
              <w:rPr>
                <w:rFonts w:ascii="Helvetica" w:eastAsia="Helvetica" w:hAnsi="Helvetica" w:cs="Helvetica"/>
                <w:color w:val="000000"/>
                <w:szCs w:val="22"/>
              </w:rPr>
              <w:t>, 0.</w:t>
            </w:r>
            <w:r>
              <w:rPr>
                <w:rFonts w:ascii="Helvetica" w:eastAsia="Helvetica" w:hAnsi="Helvetica" w:cs="Helvetica"/>
                <w:color w:val="000000"/>
                <w:szCs w:val="22"/>
              </w:rPr>
              <w:t>85</w:t>
            </w:r>
            <w:r>
              <w:rPr>
                <w:rFonts w:ascii="Helvetica" w:eastAsia="Helvetica" w:hAnsi="Helvetica" w:cs="Helvetica"/>
                <w:color w:val="000000"/>
                <w:szCs w:val="22"/>
              </w:rPr>
              <w:t>)</w:t>
            </w:r>
          </w:p>
        </w:tc>
      </w:tr>
      <w:tr w:rsidR="00A663AF" w14:paraId="7578B462" w14:textId="77777777">
        <w:trPr>
          <w:jc w:val="center"/>
        </w:trPr>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0B6FEF" w14:textId="77777777" w:rsidR="00A663AF"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0.05</w:t>
            </w:r>
          </w:p>
        </w:tc>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D1F161" w14:textId="77091515"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353</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25C9A4" w14:textId="327AB5E6"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w:t>
            </w:r>
            <w:r>
              <w:rPr>
                <w:rFonts w:ascii="Helvetica" w:eastAsia="Helvetica" w:hAnsi="Helvetica" w:cs="Helvetica"/>
                <w:color w:val="000000"/>
                <w:szCs w:val="22"/>
              </w:rPr>
              <w:t>262, 439</w:t>
            </w:r>
            <w:r>
              <w:rPr>
                <w:rFonts w:ascii="Helvetica" w:eastAsia="Helvetica" w:hAnsi="Helvetica" w:cs="Helvetica"/>
                <w:color w:val="000000"/>
                <w:szCs w:val="22"/>
              </w:rPr>
              <w:t>)</w:t>
            </w:r>
          </w:p>
        </w:tc>
        <w:tc>
          <w:tcPr>
            <w:tcW w:w="7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B56347" w14:textId="28A1085B"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148</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AE9EAA" w14:textId="44CA4FB1"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w:t>
            </w:r>
            <w:r>
              <w:rPr>
                <w:rFonts w:ascii="Helvetica" w:eastAsia="Helvetica" w:hAnsi="Helvetica" w:cs="Helvetica"/>
                <w:color w:val="000000"/>
                <w:szCs w:val="22"/>
              </w:rPr>
              <w:t>78, 245</w:t>
            </w:r>
            <w:r>
              <w:rPr>
                <w:rFonts w:ascii="Helvetica" w:eastAsia="Helvetica" w:hAnsi="Helvetica" w:cs="Helvetica"/>
                <w:color w:val="000000"/>
                <w:szCs w:val="22"/>
              </w:rPr>
              <w:t>)</w:t>
            </w:r>
          </w:p>
        </w:tc>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09D3F9" w14:textId="206021D4"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w:t>
            </w:r>
            <w:r>
              <w:rPr>
                <w:rFonts w:ascii="Helvetica" w:eastAsia="Helvetica" w:hAnsi="Helvetica" w:cs="Helvetica"/>
                <w:color w:val="000000"/>
                <w:szCs w:val="22"/>
              </w:rPr>
              <w:t>70</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15C6CF" w14:textId="192A3AB6" w:rsidR="00A663A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w:t>
            </w:r>
            <w:r>
              <w:rPr>
                <w:rFonts w:ascii="Helvetica" w:eastAsia="Helvetica" w:hAnsi="Helvetica" w:cs="Helvetica"/>
                <w:color w:val="000000"/>
                <w:szCs w:val="22"/>
              </w:rPr>
              <w:t>51</w:t>
            </w:r>
            <w:r>
              <w:rPr>
                <w:rFonts w:ascii="Helvetica" w:eastAsia="Helvetica" w:hAnsi="Helvetica" w:cs="Helvetica"/>
                <w:color w:val="000000"/>
                <w:szCs w:val="22"/>
              </w:rPr>
              <w:t>, 0.</w:t>
            </w:r>
            <w:r>
              <w:rPr>
                <w:rFonts w:ascii="Helvetica" w:eastAsia="Helvetica" w:hAnsi="Helvetica" w:cs="Helvetica"/>
                <w:color w:val="000000"/>
                <w:szCs w:val="22"/>
              </w:rPr>
              <w:t>83</w:t>
            </w:r>
            <w:r>
              <w:rPr>
                <w:rFonts w:ascii="Helvetica" w:eastAsia="Helvetica" w:hAnsi="Helvetica" w:cs="Helvetica"/>
                <w:color w:val="000000"/>
                <w:szCs w:val="22"/>
              </w:rPr>
              <w:t>)</w:t>
            </w:r>
          </w:p>
        </w:tc>
      </w:tr>
      <w:tr w:rsidR="00A663AF" w14:paraId="3505ECB4" w14:textId="77777777">
        <w:trPr>
          <w:jc w:val="center"/>
        </w:trPr>
        <w:tc>
          <w:tcPr>
            <w:tcW w:w="7704" w:type="dxa"/>
            <w:gridSpan w:val="7"/>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32AD14DB" w14:textId="77777777" w:rsidR="00A663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Cs w:val="22"/>
              </w:rPr>
              <w:t>CIR: cumulative incidence ratio. MWF: metalworking fluid</w:t>
            </w:r>
          </w:p>
        </w:tc>
      </w:tr>
    </w:tbl>
    <w:p w14:paraId="3F567262" w14:textId="77777777" w:rsidR="00A663AF" w:rsidRDefault="00000000">
      <w:pPr>
        <w:pStyle w:val="Heading1"/>
      </w:pPr>
      <w:bookmarkStart w:id="29" w:name="discussion"/>
      <w:bookmarkEnd w:id="24"/>
      <w:r>
        <w:t>Discussion</w:t>
      </w:r>
    </w:p>
    <w:p w14:paraId="726EEDE5" w14:textId="77777777" w:rsidR="00A663AF" w:rsidRDefault="00000000">
      <w:pPr>
        <w:pStyle w:val="FirstParagraph"/>
      </w:pPr>
      <w:r>
        <w:t>Although NIOSH concluded that there exists substantial evidence linking MWF exposure to several different cancers including larynx, rectum, pancreas, skin, scrotum, and bladder cancer, their REL of 0.5 mg/m</w:t>
      </w:r>
      <w:r>
        <w:rPr>
          <w:vertAlign w:val="superscript"/>
        </w:rPr>
        <w:t>3</w:t>
      </w:r>
      <w:r>
        <w:t xml:space="preserve"> for total particulate mass derived from any type of MWF was based on nonmalignant respiratory health effects.</w:t>
      </w:r>
      <w:r>
        <w:rPr>
          <w:vertAlign w:val="superscript"/>
        </w:rPr>
        <w:t>21,32</w:t>
      </w:r>
      <w:r>
        <w:t xml:space="preserve"> Exposure limits stronger than the NIOSH REL may provide valuable health protections not previously taken into account by policy makers. Using the hazard-extended ICE parametric g-formula, we estimated the counterfactual expected number of NHL cases from 1985 to 2015 in the UAW-GM cohort if we enforced hypothetical supportable interventions on soluble MWF based on five different target exposure limits and found a monotonic exposure-dependent relationship where stronger target exposure limits yielded lower NHL case count estimates.</w:t>
      </w:r>
    </w:p>
    <w:p w14:paraId="24A9514B" w14:textId="77777777" w:rsidR="00A663AF" w:rsidRDefault="00000000">
      <w:pPr>
        <w:pStyle w:val="BodyText"/>
      </w:pPr>
      <w:r>
        <w:t>The g-formula is a well-known approach in causal inference used for estimating causal effects in the presence of time-varying confounding affected by past exposure.</w:t>
      </w:r>
      <w:r>
        <w:rPr>
          <w:vertAlign w:val="superscript"/>
        </w:rPr>
        <w:t>16</w:t>
      </w:r>
      <w:r>
        <w:t xml:space="preserve"> Standard representations of the g-formula include (1) a non-iterated expectation over the joint density of covariates, (2) the ICE over time, and (3) an inverse probability weighted expectation. The classic parametric g-formula is a plug-in estimator for the g-formula under its first, non-iterative, representation. It involves the parametric modeling of the full joint distribution of the confounders, exposure, and outcome for each time point.</w:t>
      </w:r>
      <w:r>
        <w:rPr>
          <w:vertAlign w:val="superscript"/>
        </w:rPr>
        <w:t>17,33</w:t>
      </w:r>
      <w:r>
        <w:t xml:space="preserve"> Counterfactual quantities under hypothetical interventions of interest are computed from Monte Carlo samples from distributions implied by the fitted parametric models. In longitudinal settings, this approach often requires specifying and fitting large number of models in order to satisfy the exchangeability assumptions necessary for causal identification. Despite this limitation, analysts often choose the parametric g-formula because of the intuitive way it handles interventions on the natural value of exposure. </w:t>
      </w:r>
      <w:r>
        <w:lastRenderedPageBreak/>
        <w:t>However, these causal estimands are not unique to the parametric g-formula. The distribution of exposure produced by marginalizing intervention rules over the observed distribution of exposure within strata formed by potential confounder and exposure histories defines a corresponding stochastic dynamic intervention, whose effects may be estimated using various estimators.</w:t>
      </w:r>
      <w:r>
        <w:rPr>
          <w:vertAlign w:val="superscript"/>
        </w:rPr>
        <w:t>20,34–37</w:t>
      </w:r>
      <w:r>
        <w:t xml:space="preserve"> Estimating causal effects of this implied stochastic dynamic intervention is analogous to that of interventions on the natural value of exposure.</w:t>
      </w:r>
      <w:r>
        <w:rPr>
          <w:vertAlign w:val="superscript"/>
        </w:rPr>
        <w:t>33</w:t>
      </w:r>
      <w:r>
        <w:t xml:space="preserve"> </w:t>
      </w:r>
    </w:p>
    <w:p w14:paraId="0EA081B1" w14:textId="77777777" w:rsidR="00A663AF" w:rsidRDefault="00000000">
      <w:pPr>
        <w:pStyle w:val="BodyText"/>
      </w:pPr>
      <w:r>
        <w:t>Estimators using the ICE representation of the g-formula are capable of estimating effects of stochastic dynamic interventions. These ICE g-formula estimators require modeling only the conditional distributions of the outcome at each time. Hence, they require fewer parametric assumptions than the classic parametric g-formula.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non-extended ICE g-formula.</w:t>
      </w:r>
    </w:p>
    <w:p w14:paraId="3E9C15CE" w14:textId="77777777" w:rsidR="00A663AF" w:rsidRDefault="00000000">
      <w:pPr>
        <w:pStyle w:val="BodyText"/>
      </w:pPr>
      <w:r>
        <w:t>Correct model specification is a standard assumption in all parametric and semi-parametric analyses. In causal analyses of longitudinal cohort studies, ICE g-formula estimators are less common than the classic parametric g-formula.</w:t>
      </w:r>
      <w:r>
        <w:rPr>
          <w:vertAlign w:val="superscript"/>
        </w:rPr>
        <w:t>38</w:t>
      </w:r>
      <w:r>
        <w:t xml:space="preserve"> However, a major limitation of the classic g-formula is the g-null paradox: the guaranteed misspecification of parametric models resulting in the false rejection of the null hypothesis when the null is true and when there is time-varying confounding affected by past exposure.</w:t>
      </w:r>
      <w:r>
        <w:rPr>
          <w:vertAlign w:val="superscript"/>
        </w:rPr>
        <w:t>39,40</w:t>
      </w:r>
      <w:r>
        <w:t xml:space="preserve"> As with all ICE g-formula estimators, the estimator we applied is not subject to the g-null paradox. Furthermore, since ICE g-formula estimators require fewer parametric modeling requirements than the classic parametric g-formula, correct model specification may be achieved (or approximated) more readily.</w:t>
      </w:r>
    </w:p>
    <w:p w14:paraId="04FD43A6" w14:textId="77777777" w:rsidR="00A663AF" w:rsidRDefault="00000000">
      <w:pPr>
        <w:pStyle w:val="BodyText"/>
      </w:pPr>
      <w:r>
        <w:t>The consistency assumption, also known as the no-multiple-versions-of-treatment or stable unit treatment value assumption, is that counterfactual outcomes under each possible exposure value take on a unique value.</w:t>
      </w:r>
      <w:r>
        <w:rPr>
          <w:vertAlign w:val="superscript"/>
        </w:rPr>
        <w:t>41,42</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43</w:t>
      </w:r>
      <w:r>
        <w:t xml:space="preserve"> However, causal effect estimates under violations in the consistency assumption are still valid and unbiased if there is adequate adjustment for confounders of the exposure-version relationship.</w:t>
      </w:r>
      <w:r>
        <w:rPr>
          <w:vertAlign w:val="superscript"/>
        </w:rPr>
        <w:t>42</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14:paraId="0318F98C" w14:textId="77777777" w:rsidR="00A663AF" w:rsidRDefault="00000000">
      <w:pPr>
        <w:pStyle w:val="BodyText"/>
      </w:pPr>
      <w:r>
        <w:t>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excessive sparsity in the observed distribution of exposures.</w:t>
      </w:r>
      <w:r>
        <w:rPr>
          <w:vertAlign w:val="superscript"/>
        </w:rPr>
        <w:t>44</w:t>
      </w:r>
      <w:r>
        <w:t xml:space="preserve"> Rather than address potential violations in positivity analytically, we investigated stochastic dynamic interventions on soluble MWF exposure based on intervention distributions which are nonzero only where the propensity score is strictly positive. Hence, our supportable interventions guarantee positivity. Interventions that guarantee positivity have been suggested in the past and have also been called “realistic” interventions.</w:t>
      </w:r>
      <w:r>
        <w:rPr>
          <w:vertAlign w:val="superscript"/>
        </w:rPr>
        <w:t>19</w:t>
      </w:r>
    </w:p>
    <w:p w14:paraId="702A12D9" w14:textId="77777777" w:rsidR="00A663AF" w:rsidRDefault="00000000">
      <w:pPr>
        <w:pStyle w:val="BodyText"/>
      </w:pPr>
      <w:r>
        <w:lastRenderedPageBreak/>
        <w:t>Conditional exchangeability means that for all time points, there is no confounding of the relationship between exposure/censoring and both future exposure/censoring and NHL status given the observed past, including past exposure and confounders.</w:t>
      </w:r>
      <w:r>
        <w:rPr>
          <w:vertAlign w:val="superscript"/>
        </w:rPr>
        <w:t>18,37</w:t>
      </w:r>
      <w:r>
        <w:t xml:space="preserve">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45</w:t>
      </w:r>
      <w:r>
        <w:t xml:space="preserve"> We expect the absence of time-varying measures of worker health over the life course to result in bias toward the null.</w:t>
      </w:r>
    </w:p>
    <w:p w14:paraId="1922085F" w14:textId="77777777" w:rsidR="00A663AF" w:rsidRDefault="00000000">
      <w:pPr>
        <w:pStyle w:val="BodyText"/>
      </w:pPr>
      <w:r>
        <w:t>Much of the existing epidemiologic literature linking occupational and environmental exposures to NHL report findings from case-control studies where exposures are measured as binary indicators of exposure or as membership in a particular occupational group.</w:t>
      </w:r>
      <w:r>
        <w:rPr>
          <w:vertAlign w:val="superscript"/>
        </w:rPr>
        <w:t>46–49</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50</w:t>
      </w:r>
      <w:r>
        <w:t xml:space="preserve"> Both of these occupations may entail exposure to soluble MWF, which contain mineral oils and a number of chemical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51</w:t>
      </w:r>
      <w:r>
        <w:t xml:space="preserve"> Organophosphorus compounds include organophosphate pesticides, which have been linked to cancer risk in epidemiologic and animal studies. Some were classified as possibly carcinogenic by the IARC.</w:t>
      </w:r>
      <w:r>
        <w:rPr>
          <w:vertAlign w:val="superscript"/>
        </w:rPr>
        <w:t>52</w:t>
      </w:r>
      <w:r>
        <w:t xml:space="preserve"> Studies of occupational exposure to chlorinated solvents and pesticides have also been linked to NHL risk.</w:t>
      </w:r>
      <w:r>
        <w:rPr>
          <w:vertAlign w:val="superscript"/>
        </w:rPr>
        <w:t>53–57</w:t>
      </w:r>
      <w:r>
        <w:t xml:space="preserve"> In 2014, the IARC classified trichloroethylene, tetrachloroethylene, and other chlorinated agents as Group 1 carcinogens.</w:t>
      </w:r>
      <w:r>
        <w:rPr>
          <w:vertAlign w:val="superscript"/>
        </w:rPr>
        <w:t>58</w:t>
      </w:r>
      <w:r>
        <w:t xml:space="preserve"> Chlorinated solvents are commonly used as degreasers in industrial settings, but their use in the plants under study here was rare.</w:t>
      </w:r>
      <w:r>
        <w:rPr>
          <w:vertAlign w:val="superscript"/>
        </w:rPr>
        <w:t>59</w:t>
      </w:r>
      <w:r>
        <w:t xml:space="preserve"> The structural characteristics shared by MWF additives and known/suspected carcinogens suggest potential similarities in their behavior in biological systems.</w:t>
      </w:r>
    </w:p>
    <w:p w14:paraId="49A7E061" w14:textId="77777777" w:rsidR="00A663AF" w:rsidRDefault="00000000">
      <w:pPr>
        <w:pStyle w:val="BodyText"/>
      </w:pPr>
      <w:r>
        <w:t>This study investigated the effect of supportable interventions on MWF exposure with guaranteed positivity. We compared the standardized risk of NHL under post-intervention distributions of exposure based on a range of target limits on annual average daily exposure to soluble MWF. We selected a range of hypothetical target exposure limits near the NIOSH REL of 0.5 mg/m</w:t>
      </w:r>
      <w:r>
        <w:rPr>
          <w:vertAlign w:val="superscript"/>
        </w:rPr>
        <w:t>3</w:t>
      </w:r>
      <w:r>
        <w:t>.</w:t>
      </w:r>
      <w:r>
        <w:rPr>
          <w:vertAlign w:val="superscript"/>
        </w:rPr>
        <w:t>21</w:t>
      </w:r>
      <w:r>
        <w:t xml:space="preserve"> If the target exposure limits were enforced uniformly rather than in a data-supportable way, we would expect even larger reductions in NHL risk relative to no intervention on exposure. The supportable interventions we evaluated here provide a more conservative estimate of the potential health benefit of enforcing stronger limits on MWF exposure in the real world because they explicitly restrict the causal contrasts to those supported by the observed data.</w:t>
      </w:r>
    </w:p>
    <w:p w14:paraId="4857C819" w14:textId="77777777" w:rsidR="00A663AF" w:rsidRDefault="00000000">
      <w:pPr>
        <w:pStyle w:val="Heading1"/>
      </w:pPr>
      <w:bookmarkStart w:id="30" w:name="conclusions"/>
      <w:bookmarkEnd w:id="29"/>
      <w:r>
        <w:t>Conclusions</w:t>
      </w:r>
    </w:p>
    <w:p w14:paraId="6AA43F45" w14:textId="77777777" w:rsidR="00A663AF" w:rsidRDefault="00000000">
      <w:pPr>
        <w:pStyle w:val="FirstParagraph"/>
      </w:pPr>
      <w:r>
        <w:t>Associations between several occupations and risk of NHL have been reported previously, but none to our knowledge evaluated the potential effect of realistic limits on occupational exposures.</w:t>
      </w:r>
      <w:r>
        <w:rPr>
          <w:vertAlign w:val="superscript"/>
        </w:rPr>
        <w:t>2,4,49,57</w:t>
      </w:r>
      <w:r>
        <w:t xml:space="preserve"> We found evidence that limiting exposure to soluble MWF would reduce NHL incidence in an analysis that guarantees positivity and adjusts for time-varying confounding affected by past exposure. </w:t>
      </w:r>
    </w:p>
    <w:p w14:paraId="3A1C3241" w14:textId="77777777" w:rsidR="00A663AF" w:rsidRDefault="00000000">
      <w:pPr>
        <w:pStyle w:val="Heading1"/>
      </w:pPr>
      <w:bookmarkStart w:id="31" w:name="citations"/>
      <w:bookmarkEnd w:id="30"/>
      <w:r>
        <w:lastRenderedPageBreak/>
        <w:t>Citations</w:t>
      </w:r>
    </w:p>
    <w:p w14:paraId="66C0A893" w14:textId="77777777" w:rsidR="00A663AF" w:rsidRDefault="00000000">
      <w:pPr>
        <w:pStyle w:val="Bibliography"/>
      </w:pPr>
      <w:bookmarkStart w:id="32" w:name="ref-seer_1994"/>
      <w:bookmarkStart w:id="33" w:name="refs"/>
      <w:r>
        <w:t xml:space="preserve">1. </w:t>
      </w:r>
      <w:r>
        <w:tab/>
        <w:t>Institute NC. SEER cancer statistics review 1973-1994: Trends in SEER incidence and US mortality, by race and sex. 1994.</w:t>
      </w:r>
    </w:p>
    <w:p w14:paraId="080FFBC1" w14:textId="77777777" w:rsidR="00A663AF" w:rsidRDefault="00000000">
      <w:pPr>
        <w:pStyle w:val="Bibliography"/>
      </w:pPr>
      <w:bookmarkStart w:id="34" w:name="ref-Ekstrom-Smedby_2006"/>
      <w:bookmarkEnd w:id="32"/>
      <w:r>
        <w:t xml:space="preserve">2. </w:t>
      </w:r>
      <w:r>
        <w:tab/>
        <w:t xml:space="preserve">Ekström-Smedby K. Epidemiology and etiology of non-Hodgkin lymphoma–a review. </w:t>
      </w:r>
      <w:r>
        <w:rPr>
          <w:i/>
          <w:iCs/>
        </w:rPr>
        <w:t>Acta oncologica</w:t>
      </w:r>
      <w:r>
        <w:t>. 2006;45(3):258-271.</w:t>
      </w:r>
    </w:p>
    <w:p w14:paraId="6839C140" w14:textId="77777777" w:rsidR="00A663AF" w:rsidRDefault="00000000">
      <w:pPr>
        <w:pStyle w:val="Bibliography"/>
      </w:pPr>
      <w:bookmarkStart w:id="35" w:name="ref-Filipovich_1992"/>
      <w:bookmarkEnd w:id="34"/>
      <w:r>
        <w:t xml:space="preserve">3. </w:t>
      </w:r>
      <w:r>
        <w:tab/>
        <w:t xml:space="preserve">Filipovich A, Mathur A, Kamat D, Shapiro R. Primary immunodeficiencies: Genetic risk factors for lymphoma. </w:t>
      </w:r>
      <w:r>
        <w:rPr>
          <w:i/>
          <w:iCs/>
        </w:rPr>
        <w:t>Cancer research</w:t>
      </w:r>
      <w:r>
        <w:t>. 1992;52(19_Supplement):5465s-5467s.</w:t>
      </w:r>
    </w:p>
    <w:p w14:paraId="0AB79F8D" w14:textId="77777777" w:rsidR="00A663AF" w:rsidRDefault="00000000">
      <w:pPr>
        <w:pStyle w:val="Bibliography"/>
      </w:pPr>
      <w:bookmarkStart w:id="36" w:name="ref-Chiu_2015"/>
      <w:bookmarkEnd w:id="35"/>
      <w:r>
        <w:t xml:space="preserve">4. </w:t>
      </w:r>
      <w:r>
        <w:tab/>
        <w:t xml:space="preserve">Chiu BCH, Hou N. </w:t>
      </w:r>
      <w:r>
        <w:rPr>
          <w:i/>
          <w:iCs/>
        </w:rPr>
        <w:t>Epidemiology and Etiology of Non-Hodgkin Lymphoma</w:t>
      </w:r>
      <w:r>
        <w:t>. Vol 165. (Evens AM, Blum KA, eds.). Springer; 2015.</w:t>
      </w:r>
    </w:p>
    <w:p w14:paraId="41709BE5" w14:textId="77777777" w:rsidR="00A663AF" w:rsidRDefault="00000000">
      <w:pPr>
        <w:pStyle w:val="Bibliography"/>
      </w:pPr>
      <w:bookmarkStart w:id="37" w:name="ref-Shiels_2013"/>
      <w:bookmarkEnd w:id="36"/>
      <w:r>
        <w:t xml:space="preserve">5. </w:t>
      </w:r>
      <w:r>
        <w:tab/>
        <w:t xml:space="preserve">Shiels MS, Engels EA, Linet MS, et al. The epidemic of non-Hodgkin lymphoma in the United States: Disentangling the effect of HIV, 1992–2009. </w:t>
      </w:r>
      <w:r>
        <w:rPr>
          <w:i/>
          <w:iCs/>
        </w:rPr>
        <w:t>Cancer Epidemiology and Prevention Biomarkers</w:t>
      </w:r>
      <w:r>
        <w:t>. 2013;22(6):1069-1078.</w:t>
      </w:r>
    </w:p>
    <w:p w14:paraId="18197876" w14:textId="77777777" w:rsidR="00A663AF" w:rsidRDefault="00000000">
      <w:pPr>
        <w:pStyle w:val="Bibliography"/>
      </w:pPr>
      <w:bookmarkStart w:id="38" w:name="ref-Nelson_2005"/>
      <w:bookmarkEnd w:id="37"/>
      <w:r>
        <w:t xml:space="preserve">6. </w:t>
      </w:r>
      <w:r>
        <w:tab/>
        <w:t xml:space="preserve">Nelson NJ. Studies examine whether persistent organic agents may be responsible for rise in lymphoma rates. </w:t>
      </w:r>
      <w:r>
        <w:rPr>
          <w:i/>
          <w:iCs/>
        </w:rPr>
        <w:t>Journal of the National Cancer Institute</w:t>
      </w:r>
      <w:r>
        <w:t>. 2005;97(20):1490-1491.</w:t>
      </w:r>
    </w:p>
    <w:p w14:paraId="242EF94C" w14:textId="77777777" w:rsidR="00A663AF" w:rsidRDefault="00000000">
      <w:pPr>
        <w:pStyle w:val="Bibliography"/>
      </w:pPr>
      <w:bookmarkStart w:id="39" w:name="ref-Romero_2021"/>
      <w:bookmarkEnd w:id="38"/>
      <w:r>
        <w:t xml:space="preserve">7. </w:t>
      </w:r>
      <w:r>
        <w:tab/>
        <w:t xml:space="preserve">Romero AM. </w:t>
      </w:r>
      <w:r>
        <w:rPr>
          <w:i/>
          <w:iCs/>
        </w:rPr>
        <w:t>Economic Poisoning: Industrial Waste and the Chemicalization of American Agriculture</w:t>
      </w:r>
      <w:r>
        <w:t>. University of California Press; 2021. doi:</w:t>
      </w:r>
      <w:hyperlink r:id="rId17">
        <w:r>
          <w:rPr>
            <w:rStyle w:val="Hyperlink"/>
          </w:rPr>
          <w:t>doi:10.1525/9780520381575</w:t>
        </w:r>
      </w:hyperlink>
      <w:r>
        <w:t>.</w:t>
      </w:r>
    </w:p>
    <w:p w14:paraId="391E9574" w14:textId="77777777" w:rsidR="00A663AF" w:rsidRDefault="00000000">
      <w:pPr>
        <w:pStyle w:val="Bibliography"/>
      </w:pPr>
      <w:bookmarkStart w:id="40" w:name="ref-Schinasi_2014"/>
      <w:bookmarkEnd w:id="39"/>
      <w:r>
        <w:t xml:space="preserve">8. </w:t>
      </w:r>
      <w:r>
        <w:tab/>
        <w:t xml:space="preserve">Schinasi L, Leon ME. Non-Hodgkin lymphoma and occupational exposure to agricultural pesticide chemical groups and active ingredients: A systematic review and meta-analysis. </w:t>
      </w:r>
      <w:r>
        <w:rPr>
          <w:i/>
          <w:iCs/>
        </w:rPr>
        <w:t>International Journal of Environmental Research and Public Health</w:t>
      </w:r>
      <w:r>
        <w:t>. 2014;11(4):4449-4527. doi:</w:t>
      </w:r>
      <w:hyperlink r:id="rId18">
        <w:r>
          <w:rPr>
            <w:rStyle w:val="Hyperlink"/>
          </w:rPr>
          <w:t>10.3390/ijerph110404449</w:t>
        </w:r>
      </w:hyperlink>
      <w:r>
        <w:t>.</w:t>
      </w:r>
    </w:p>
    <w:p w14:paraId="6558497F" w14:textId="77777777" w:rsidR="00A663AF" w:rsidRDefault="00000000">
      <w:pPr>
        <w:pStyle w:val="Bibliography"/>
      </w:pPr>
      <w:bookmarkStart w:id="41" w:name="ref-Fritschi_2005a"/>
      <w:bookmarkEnd w:id="40"/>
      <w:r>
        <w:t xml:space="preserve">9. </w:t>
      </w:r>
      <w:r>
        <w:tab/>
        <w:t xml:space="preserve">Fritschi L, Benke G, Hughes AM, et al. Risk of non-Hodgkin lymphoma associated with occupational exposure to solvents, metals, organic dusts and PCBs (australia). </w:t>
      </w:r>
      <w:r>
        <w:rPr>
          <w:i/>
          <w:iCs/>
        </w:rPr>
        <w:t>Cancer Causes &amp; Control</w:t>
      </w:r>
      <w:r>
        <w:t>. 2005;16(5):599-607.</w:t>
      </w:r>
    </w:p>
    <w:p w14:paraId="07087C7C" w14:textId="77777777" w:rsidR="00A663AF" w:rsidRDefault="00000000">
      <w:pPr>
        <w:pStyle w:val="Bibliography"/>
      </w:pPr>
      <w:bookmarkStart w:id="42" w:name="ref-Mester_2006"/>
      <w:bookmarkEnd w:id="41"/>
      <w:r>
        <w:t xml:space="preserve">10. </w:t>
      </w:r>
      <w:r>
        <w:tab/>
        <w:t xml:space="preserve">Mester B, Nieters A, Deeg E, Elsner G, Becker N, Seidler A. Occupation and malignant lymphoma: A population based case control study in germany. </w:t>
      </w:r>
      <w:r>
        <w:rPr>
          <w:i/>
          <w:iCs/>
        </w:rPr>
        <w:t>Occupational and environmental medicine</w:t>
      </w:r>
      <w:r>
        <w:t>. 2006;63(1):17-26.</w:t>
      </w:r>
    </w:p>
    <w:p w14:paraId="6B9C5160" w14:textId="77777777" w:rsidR="00A663AF" w:rsidRDefault="00000000">
      <w:pPr>
        <w:pStyle w:val="Bibliography"/>
      </w:pPr>
      <w:bookmarkStart w:id="43" w:name="ref-IARC_1973"/>
      <w:bookmarkEnd w:id="42"/>
      <w:r>
        <w:t xml:space="preserve">11. </w:t>
      </w:r>
      <w:r>
        <w:tab/>
        <w:t xml:space="preserve">IARC. </w:t>
      </w:r>
      <w:r>
        <w:rPr>
          <w:i/>
          <w:iCs/>
        </w:rPr>
        <w:t>IARC Monographs on the Evaluation of Carcinogenic Risk of the Chemical to Man: Certain Polycyclic Aromatic Hydrocarbons and Heterocyclic Compounds</w:t>
      </w:r>
      <w:r>
        <w:t>. Vol 3. World Health Organization International Agency for Research on Cancer; 1973.</w:t>
      </w:r>
    </w:p>
    <w:p w14:paraId="66EAAFC8" w14:textId="77777777" w:rsidR="00A663AF" w:rsidRDefault="00000000">
      <w:pPr>
        <w:pStyle w:val="Bibliography"/>
      </w:pPr>
      <w:bookmarkStart w:id="44" w:name="ref-IARC_1987"/>
      <w:bookmarkEnd w:id="43"/>
      <w:r>
        <w:t xml:space="preserve">12. </w:t>
      </w:r>
      <w:r>
        <w:tab/>
        <w:t xml:space="preserve">IARC. </w:t>
      </w:r>
      <w:r>
        <w:rPr>
          <w:i/>
          <w:iCs/>
        </w:rPr>
        <w:t>IARC Monographs on the Evaluation of the Carcinogenic Risk of Chemicals to Humans: Overall Evaluations of Carcinogenicity: An Updating of IARC Monographs</w:t>
      </w:r>
      <w:r>
        <w:t>. Vol 1-42. World Health Organization International Agency for Research on Cancer; 1987:106-116.</w:t>
      </w:r>
    </w:p>
    <w:p w14:paraId="546678AD" w14:textId="77777777" w:rsidR="00A663AF" w:rsidRDefault="00000000">
      <w:pPr>
        <w:pStyle w:val="Bibliography"/>
      </w:pPr>
      <w:bookmarkStart w:id="45" w:name="ref-Childers_2006"/>
      <w:bookmarkEnd w:id="44"/>
      <w:r>
        <w:t xml:space="preserve">13. </w:t>
      </w:r>
      <w:r>
        <w:tab/>
        <w:t xml:space="preserve">Childers J. The chemistry of metalworking fluids. In: </w:t>
      </w:r>
      <w:r>
        <w:rPr>
          <w:i/>
          <w:iCs/>
        </w:rPr>
        <w:t>Metalworking Fluids</w:t>
      </w:r>
      <w:r>
        <w:t>. CRC Press; 2006.</w:t>
      </w:r>
    </w:p>
    <w:p w14:paraId="7A3069B3" w14:textId="77777777" w:rsidR="00A663AF" w:rsidRDefault="00000000">
      <w:pPr>
        <w:pStyle w:val="Bibliography"/>
      </w:pPr>
      <w:bookmarkStart w:id="46" w:name="ref-Byers_2006"/>
      <w:bookmarkEnd w:id="45"/>
      <w:r>
        <w:t xml:space="preserve">14. </w:t>
      </w:r>
      <w:r>
        <w:tab/>
        <w:t xml:space="preserve">Byers JP. </w:t>
      </w:r>
      <w:r>
        <w:rPr>
          <w:i/>
          <w:iCs/>
        </w:rPr>
        <w:t>Metalworking Fluids</w:t>
      </w:r>
      <w:r>
        <w:t>. CRC Press; 2006.</w:t>
      </w:r>
    </w:p>
    <w:p w14:paraId="2E53E49A" w14:textId="77777777" w:rsidR="00A663AF" w:rsidRDefault="00000000">
      <w:pPr>
        <w:pStyle w:val="Bibliography"/>
      </w:pPr>
      <w:bookmarkStart w:id="47" w:name="ref-Arrighi_1994"/>
      <w:bookmarkEnd w:id="46"/>
      <w:r>
        <w:t xml:space="preserve">15. </w:t>
      </w:r>
      <w:r>
        <w:tab/>
        <w:t xml:space="preserve">Arrighi HM, Hertz-Picciotto I. The evolving concept of the healthy worker survivor effect. </w:t>
      </w:r>
      <w:r>
        <w:rPr>
          <w:i/>
          <w:iCs/>
        </w:rPr>
        <w:t>Epidemiology</w:t>
      </w:r>
      <w:r>
        <w:t xml:space="preserve">. 1994;5(2):189-196. </w:t>
      </w:r>
      <w:hyperlink r:id="rId19">
        <w:r>
          <w:rPr>
            <w:rStyle w:val="Hyperlink"/>
          </w:rPr>
          <w:t>http://www.jstor.org/stable/3702361</w:t>
        </w:r>
      </w:hyperlink>
      <w:r>
        <w:t>.</w:t>
      </w:r>
    </w:p>
    <w:p w14:paraId="6375A310" w14:textId="77777777" w:rsidR="00A663AF" w:rsidRDefault="00000000">
      <w:pPr>
        <w:pStyle w:val="Bibliography"/>
      </w:pPr>
      <w:bookmarkStart w:id="48" w:name="ref-Robins_1986"/>
      <w:bookmarkEnd w:id="47"/>
      <w:r>
        <w:t xml:space="preserve">16. </w:t>
      </w:r>
      <w:r>
        <w:tab/>
        <w:t xml:space="preserve">Robins J. A new approach to causal inference in mortality studies with a sustained exposure period—application to control of the healthy worker survivor effect. </w:t>
      </w:r>
      <w:r>
        <w:rPr>
          <w:i/>
          <w:iCs/>
        </w:rPr>
        <w:t>Mathematical Modelling</w:t>
      </w:r>
      <w:r>
        <w:t xml:space="preserve">. 1986;7(9):1393-1512. </w:t>
      </w:r>
      <w:proofErr w:type="spellStart"/>
      <w:r>
        <w:t>doi:</w:t>
      </w:r>
      <w:hyperlink r:id="rId20">
        <w:r>
          <w:rPr>
            <w:rStyle w:val="Hyperlink"/>
          </w:rPr>
          <w:t>https</w:t>
        </w:r>
        <w:proofErr w:type="spellEnd"/>
        <w:r>
          <w:rPr>
            <w:rStyle w:val="Hyperlink"/>
          </w:rPr>
          <w:t>://doi.org/10.1016/0270-0255(86)90088-6</w:t>
        </w:r>
      </w:hyperlink>
      <w:r>
        <w:t>.</w:t>
      </w:r>
    </w:p>
    <w:p w14:paraId="32FD82B7" w14:textId="77777777" w:rsidR="00A663AF" w:rsidRDefault="00000000">
      <w:pPr>
        <w:pStyle w:val="Bibliography"/>
      </w:pPr>
      <w:bookmarkStart w:id="49" w:name="ref-Taubman_2009"/>
      <w:bookmarkEnd w:id="48"/>
      <w:r>
        <w:t xml:space="preserve">17. </w:t>
      </w:r>
      <w:r>
        <w:tab/>
        <w:t xml:space="preserve">Taubman SL, Robins JM, Mittleman MA, Hernán MA. Intervening on risk factors for coronary heart disease: An application of the parametric g-formula. </w:t>
      </w:r>
      <w:r>
        <w:rPr>
          <w:i/>
          <w:iCs/>
        </w:rPr>
        <w:t>International journal of epidemiology</w:t>
      </w:r>
      <w:r>
        <w:t>. 2009;38(6):1599-1611.</w:t>
      </w:r>
    </w:p>
    <w:p w14:paraId="428C8185" w14:textId="77777777" w:rsidR="00A663AF" w:rsidRDefault="00000000">
      <w:pPr>
        <w:pStyle w:val="Bibliography"/>
      </w:pPr>
      <w:bookmarkStart w:id="50" w:name="ref-Richardson_2013"/>
      <w:bookmarkEnd w:id="49"/>
      <w:r>
        <w:t xml:space="preserve">18. </w:t>
      </w:r>
      <w:r>
        <w:tab/>
        <w:t xml:space="preserve">Richardson TS, Robins JM. Single world intervention graphs (SWIGs): A unification of the counterfactual and graphical approaches to causality. </w:t>
      </w:r>
      <w:r>
        <w:rPr>
          <w:i/>
          <w:iCs/>
        </w:rPr>
        <w:t>Center for the Statistics and the Social Sciences, University of Washington Series Working Paper</w:t>
      </w:r>
      <w:r>
        <w:t>. 2013;128(30):2013.</w:t>
      </w:r>
    </w:p>
    <w:p w14:paraId="23519965" w14:textId="77777777" w:rsidR="00A663AF" w:rsidRDefault="00000000">
      <w:pPr>
        <w:pStyle w:val="Bibliography"/>
      </w:pPr>
      <w:bookmarkStart w:id="51" w:name="ref-Petersen_2012"/>
      <w:bookmarkEnd w:id="50"/>
      <w:r>
        <w:lastRenderedPageBreak/>
        <w:t xml:space="preserve">19. </w:t>
      </w:r>
      <w:r>
        <w:tab/>
        <w:t xml:space="preserve">Petersen ML, Porter P, Gruber S, Wang Y, van der Laan MJ. Diagnosing and responding to violations in the positivity assumption. </w:t>
      </w:r>
      <w:r>
        <w:rPr>
          <w:i/>
          <w:iCs/>
        </w:rPr>
        <w:t>Statistical Methods in Medical Research</w:t>
      </w:r>
      <w:r>
        <w:t>. 2012;21(1):31-54. doi:</w:t>
      </w:r>
      <w:hyperlink r:id="rId21">
        <w:r>
          <w:rPr>
            <w:rStyle w:val="Hyperlink"/>
          </w:rPr>
          <w:t>10.1177/0962280210386207</w:t>
        </w:r>
      </w:hyperlink>
      <w:r>
        <w:t>.</w:t>
      </w:r>
    </w:p>
    <w:p w14:paraId="0C767583" w14:textId="77777777" w:rsidR="00A663AF" w:rsidRDefault="00000000">
      <w:pPr>
        <w:pStyle w:val="Bibliography"/>
      </w:pPr>
      <w:bookmarkStart w:id="52" w:name="ref-Wen_2020"/>
      <w:bookmarkEnd w:id="51"/>
      <w:r>
        <w:t xml:space="preserve">20. </w:t>
      </w:r>
      <w:r>
        <w:tab/>
        <w:t xml:space="preserve">Wen L, Young JG, Robins JM, Hernán MA. Parametric g-formula implementations for causal survival analyses. </w:t>
      </w:r>
      <w:r>
        <w:rPr>
          <w:i/>
          <w:iCs/>
        </w:rPr>
        <w:t>Biometrics</w:t>
      </w:r>
      <w:r>
        <w:t>. 2020.</w:t>
      </w:r>
    </w:p>
    <w:p w14:paraId="3786D072" w14:textId="77777777" w:rsidR="00A663AF" w:rsidRDefault="00000000">
      <w:pPr>
        <w:pStyle w:val="Bibliography"/>
      </w:pPr>
      <w:bookmarkStart w:id="53" w:name="ref-niosh_1998"/>
      <w:bookmarkEnd w:id="52"/>
      <w:r>
        <w:t xml:space="preserve">21. </w:t>
      </w:r>
      <w:r>
        <w:tab/>
        <w:t xml:space="preserve">Rosenstock L, ed. </w:t>
      </w:r>
      <w:r>
        <w:rPr>
          <w:i/>
          <w:iCs/>
        </w:rPr>
        <w:t>What You Need to Know about Occupational Exposure to Metalworking Fluids</w:t>
      </w:r>
      <w:r>
        <w:t>. Department of Health; Human Services (NIOSH); 1998.</w:t>
      </w:r>
    </w:p>
    <w:p w14:paraId="49F7858C" w14:textId="77777777" w:rsidR="00A663AF" w:rsidRDefault="00000000">
      <w:pPr>
        <w:pStyle w:val="Bibliography"/>
      </w:pPr>
      <w:bookmarkStart w:id="54" w:name="ref-Eisen_1992"/>
      <w:bookmarkEnd w:id="53"/>
      <w:r>
        <w:t xml:space="preserve">22. </w:t>
      </w:r>
      <w:r>
        <w:tab/>
        <w:t xml:space="preserve">Eisen EA, Tolbert PE, Monson RR, Smith TJ. Mortality studies of machining fluid exposure in the automobile industry I: A standardized mortality ratio analysis. </w:t>
      </w:r>
      <w:r>
        <w:rPr>
          <w:i/>
          <w:iCs/>
        </w:rPr>
        <w:t>American journal of industrial medicine</w:t>
      </w:r>
      <w:r>
        <w:t>. 1992;22(6):809-824.</w:t>
      </w:r>
    </w:p>
    <w:p w14:paraId="37CB276C" w14:textId="77777777" w:rsidR="00A663AF" w:rsidRDefault="00000000">
      <w:pPr>
        <w:pStyle w:val="Bibliography"/>
      </w:pPr>
      <w:bookmarkStart w:id="55" w:name="ref-Eisen_2001"/>
      <w:bookmarkEnd w:id="54"/>
      <w:r>
        <w:t xml:space="preserve">23. </w:t>
      </w:r>
      <w:r>
        <w:tab/>
        <w:t xml:space="preserve">Eisen EA, Bardin J, Gore R, Woskie SR, Hallock MF, Monson RR. Exposure-response models based on extended follow-up of a cohort mortality study in the automobile industry. </w:t>
      </w:r>
      <w:r>
        <w:rPr>
          <w:i/>
          <w:iCs/>
        </w:rPr>
        <w:t>Scandinavian journal of work, environment &amp; health</w:t>
      </w:r>
      <w:r>
        <w:t>. 2001;27(4):240-249.</w:t>
      </w:r>
    </w:p>
    <w:p w14:paraId="07B432BA" w14:textId="77777777" w:rsidR="00A663AF" w:rsidRDefault="00000000">
      <w:pPr>
        <w:pStyle w:val="Bibliography"/>
      </w:pPr>
      <w:bookmarkStart w:id="56" w:name="ref-Colbeth_2022"/>
      <w:bookmarkEnd w:id="55"/>
      <w:r>
        <w:t xml:space="preserve">24. </w:t>
      </w:r>
      <w:r>
        <w:tab/>
        <w:t xml:space="preserve">Colbeth HL, Chen KT, Picciotto S, Costello S, Eisen EA. Exposure to metalworking fluids and cancer incidence in the united auto workers–general motors cohort. </w:t>
      </w:r>
      <w:r>
        <w:rPr>
          <w:i/>
          <w:iCs/>
        </w:rPr>
        <w:t>American Journal of Epidemiology</w:t>
      </w:r>
      <w:r>
        <w:t>. 2022.</w:t>
      </w:r>
    </w:p>
    <w:p w14:paraId="270AD0E7" w14:textId="77777777" w:rsidR="00A663AF" w:rsidRDefault="00000000">
      <w:pPr>
        <w:pStyle w:val="Bibliography"/>
      </w:pPr>
      <w:bookmarkStart w:id="57" w:name="ref-Woskie_1994"/>
      <w:bookmarkEnd w:id="56"/>
      <w:r>
        <w:t xml:space="preserve">25. </w:t>
      </w:r>
      <w:r>
        <w:tab/>
        <w:t xml:space="preserve">Woskie SR, Smith TJ, Hallock MF, et al. Size-selective pulmonary dose indices for metal-working fluid aerosols in machining and grinding operations in the automobile manufacturing industry. </w:t>
      </w:r>
      <w:r>
        <w:rPr>
          <w:i/>
          <w:iCs/>
        </w:rPr>
        <w:t>American Industrial Hygiene Association Journal</w:t>
      </w:r>
      <w:r>
        <w:t>. 1994;55(1):20-29.</w:t>
      </w:r>
    </w:p>
    <w:p w14:paraId="64FD04C2" w14:textId="77777777" w:rsidR="00A663AF" w:rsidRDefault="00000000">
      <w:pPr>
        <w:pStyle w:val="Bibliography"/>
      </w:pPr>
      <w:bookmarkStart w:id="58" w:name="ref-Woskie_1994a"/>
      <w:bookmarkEnd w:id="57"/>
      <w:r>
        <w:t xml:space="preserve">26. </w:t>
      </w:r>
      <w:r>
        <w:tab/>
        <w:t xml:space="preserve">Woskie SR, Smith TJ, Hammond SK, Hallock MH. Factors affecting worker exposures to metal-working fluids during automotive component manufacturing. </w:t>
      </w:r>
      <w:r>
        <w:rPr>
          <w:i/>
          <w:iCs/>
        </w:rPr>
        <w:t>Applied Occupational and Environmental Hygiene</w:t>
      </w:r>
      <w:r>
        <w:t>. 1994;9(9):612-621.</w:t>
      </w:r>
    </w:p>
    <w:p w14:paraId="59AC7452" w14:textId="77777777" w:rsidR="00A663AF" w:rsidRDefault="00000000">
      <w:pPr>
        <w:pStyle w:val="Bibliography"/>
      </w:pPr>
      <w:bookmarkStart w:id="59" w:name="ref-Hallock_1994"/>
      <w:bookmarkEnd w:id="58"/>
      <w:r>
        <w:t xml:space="preserve">27. </w:t>
      </w:r>
      <w:r>
        <w:tab/>
        <w:t xml:space="preserve">Hallock MF, Smith TJ, Woskie SR, Hammond SK. Estimation of historical exposures to machining fluids in the automotive industry. </w:t>
      </w:r>
      <w:r>
        <w:rPr>
          <w:i/>
          <w:iCs/>
        </w:rPr>
        <w:t>American Journal of Industrial Medicine</w:t>
      </w:r>
      <w:r>
        <w:t>. 1994;26(5):621-634. doi:</w:t>
      </w:r>
      <w:hyperlink r:id="rId22">
        <w:r>
          <w:rPr>
            <w:rStyle w:val="Hyperlink"/>
          </w:rPr>
          <w:t>10.1002/ajim.4700260505</w:t>
        </w:r>
      </w:hyperlink>
      <w:r>
        <w:t>.</w:t>
      </w:r>
    </w:p>
    <w:p w14:paraId="47F75291" w14:textId="77777777" w:rsidR="00A663AF" w:rsidRDefault="00000000">
      <w:pPr>
        <w:pStyle w:val="Bibliography"/>
      </w:pPr>
      <w:bookmarkStart w:id="60" w:name="ref-Woskie_2003"/>
      <w:bookmarkEnd w:id="59"/>
      <w:r>
        <w:t xml:space="preserve">28. </w:t>
      </w:r>
      <w:r>
        <w:tab/>
        <w:t xml:space="preserve">Woskie SR, Virji MA, Hallock M, Smith TJ, Hammond SK. Summary of the findings from the exposure assessments for metalworking fluid mortality and morbidity studies. </w:t>
      </w:r>
      <w:r>
        <w:rPr>
          <w:i/>
          <w:iCs/>
        </w:rPr>
        <w:t>Applied occupational and environmental hygiene</w:t>
      </w:r>
      <w:r>
        <w:t>. 2003;18(11):855-864.</w:t>
      </w:r>
    </w:p>
    <w:p w14:paraId="76276A47" w14:textId="77777777" w:rsidR="00A663AF" w:rsidRDefault="00000000">
      <w:pPr>
        <w:pStyle w:val="Bibliography"/>
      </w:pPr>
      <w:bookmarkStart w:id="61" w:name="ref-Smith_2007"/>
      <w:bookmarkEnd w:id="60"/>
      <w:r>
        <w:t xml:space="preserve">29. </w:t>
      </w:r>
      <w:r>
        <w:tab/>
        <w:t xml:space="preserve">Smith MT, Jones RM, Smith AH. Benzene exposure and risk of non-Hodgkin lymphoma. </w:t>
      </w:r>
      <w:r>
        <w:rPr>
          <w:i/>
          <w:iCs/>
        </w:rPr>
        <w:t>Cancer epidemiology, biomarkers &amp; prevention</w:t>
      </w:r>
      <w:r>
        <w:t>. 2007;16(3):385-391.</w:t>
      </w:r>
    </w:p>
    <w:p w14:paraId="61250B52" w14:textId="77777777" w:rsidR="00A663AF" w:rsidRDefault="00000000">
      <w:pPr>
        <w:pStyle w:val="Bibliography"/>
      </w:pPr>
      <w:bookmarkStart w:id="62" w:name="ref-Karipidis_2007"/>
      <w:bookmarkEnd w:id="61"/>
      <w:r>
        <w:t xml:space="preserve">30. </w:t>
      </w:r>
      <w:r>
        <w:tab/>
        <w:t xml:space="preserve">Karipidis KK, Benke G, Sim MR, et al. Occupational exposure to ionizing and non-ionizing radiation and risk of non-Hodgkin lymphoma. </w:t>
      </w:r>
      <w:r>
        <w:rPr>
          <w:i/>
          <w:iCs/>
        </w:rPr>
        <w:t>International archives of occupational and environmental health</w:t>
      </w:r>
      <w:r>
        <w:t>. 2007;80(8):663-670.</w:t>
      </w:r>
    </w:p>
    <w:p w14:paraId="6530276C" w14:textId="77777777" w:rsidR="00A663AF" w:rsidRDefault="00000000">
      <w:pPr>
        <w:pStyle w:val="Bibliography"/>
      </w:pPr>
      <w:bookmarkStart w:id="63" w:name="ref-Zhang_2019"/>
      <w:bookmarkEnd w:id="62"/>
      <w:r>
        <w:t xml:space="preserve">31. </w:t>
      </w:r>
      <w:r>
        <w:tab/>
        <w:t xml:space="preserve">Zhang L, Rana I, Shaffer RM, Taioli E, Sheppard L. Exposure to glyphosate-based herbicides and risk for non-Hodgkin lymphoma: A meta-analysis and supporting evidence. </w:t>
      </w:r>
      <w:r>
        <w:rPr>
          <w:i/>
          <w:iCs/>
        </w:rPr>
        <w:t>Mutation Research/Reviews in Mutation Research</w:t>
      </w:r>
      <w:r>
        <w:t>. 2019;781:186-206.</w:t>
      </w:r>
    </w:p>
    <w:p w14:paraId="036543E3" w14:textId="77777777" w:rsidR="00A663AF" w:rsidRDefault="00000000">
      <w:pPr>
        <w:pStyle w:val="Bibliography"/>
      </w:pPr>
      <w:bookmarkStart w:id="64" w:name="ref-Mirer_2003"/>
      <w:bookmarkEnd w:id="63"/>
      <w:r>
        <w:t xml:space="preserve">32. </w:t>
      </w:r>
      <w:r>
        <w:tab/>
        <w:t xml:space="preserve">Mirer F. Updated epidemiology of workers exposed to metalworking fluids provides sufficient evidence for carcinogenicity. </w:t>
      </w:r>
      <w:r>
        <w:rPr>
          <w:i/>
          <w:iCs/>
        </w:rPr>
        <w:t>Applied occupational and environmental hygiene</w:t>
      </w:r>
      <w:r>
        <w:t>. 2003;18(11):902-912.</w:t>
      </w:r>
    </w:p>
    <w:p w14:paraId="5EEA1349" w14:textId="77777777" w:rsidR="00A663AF" w:rsidRDefault="00000000">
      <w:pPr>
        <w:pStyle w:val="Bibliography"/>
      </w:pPr>
      <w:bookmarkStart w:id="65" w:name="ref-Young_2014"/>
      <w:bookmarkEnd w:id="64"/>
      <w:r>
        <w:t xml:space="preserve">33. </w:t>
      </w:r>
      <w:r>
        <w:tab/>
        <w:t xml:space="preserve">Young JG, Hernán MA, Robins JM. Identification, estimation and approximation of risk under interventions that depend on the natural value of treatment using observational data. </w:t>
      </w:r>
      <w:r>
        <w:rPr>
          <w:i/>
          <w:iCs/>
        </w:rPr>
        <w:t>Epidemiologic methods</w:t>
      </w:r>
      <w:r>
        <w:t>. 2014;3(1):1-19.</w:t>
      </w:r>
    </w:p>
    <w:p w14:paraId="54F2BDB9" w14:textId="77777777" w:rsidR="00A663AF" w:rsidRDefault="00000000">
      <w:pPr>
        <w:pStyle w:val="Bibliography"/>
      </w:pPr>
      <w:bookmarkStart w:id="66" w:name="ref-Bang_2005"/>
      <w:bookmarkEnd w:id="65"/>
      <w:r>
        <w:t xml:space="preserve">34. </w:t>
      </w:r>
      <w:r>
        <w:tab/>
        <w:t xml:space="preserve">Bang H, Robins JM. Doubly robust estimation in missing data and causal inference models. </w:t>
      </w:r>
      <w:r>
        <w:rPr>
          <w:i/>
          <w:iCs/>
        </w:rPr>
        <w:t>Biometrics</w:t>
      </w:r>
      <w:r>
        <w:t>. 2005;61(4):962-973.</w:t>
      </w:r>
    </w:p>
    <w:p w14:paraId="7F6532C0" w14:textId="77777777" w:rsidR="00A663AF" w:rsidRDefault="00000000">
      <w:pPr>
        <w:pStyle w:val="Bibliography"/>
      </w:pPr>
      <w:bookmarkStart w:id="67" w:name="ref-van-der-Laan_2011"/>
      <w:bookmarkEnd w:id="66"/>
      <w:r>
        <w:t xml:space="preserve">35. </w:t>
      </w:r>
      <w:r>
        <w:tab/>
        <w:t xml:space="preserve">van der Laan MJ, Rose S. </w:t>
      </w:r>
      <w:r>
        <w:rPr>
          <w:i/>
          <w:iCs/>
        </w:rPr>
        <w:t>Targeted Learning: Causal Inference for Observational and Experimental Data</w:t>
      </w:r>
      <w:r>
        <w:t>. Springer Science &amp; Business Media; 2011.</w:t>
      </w:r>
    </w:p>
    <w:p w14:paraId="6858FA11" w14:textId="77777777" w:rsidR="00A663AF" w:rsidRDefault="00000000">
      <w:pPr>
        <w:pStyle w:val="Bibliography"/>
      </w:pPr>
      <w:bookmarkStart w:id="68" w:name="ref-Wen_2023"/>
      <w:bookmarkEnd w:id="67"/>
      <w:r>
        <w:t xml:space="preserve">36. </w:t>
      </w:r>
      <w:r>
        <w:tab/>
        <w:t xml:space="preserve">Wen L, Marcus JL, Young JG. Intervention treatment distributions that depend on the observed treatment process and model double robustness in causal survival analysis. </w:t>
      </w:r>
      <w:r>
        <w:rPr>
          <w:i/>
          <w:iCs/>
        </w:rPr>
        <w:t>Statistical Methods in Medical Research</w:t>
      </w:r>
      <w:r>
        <w:t>. 2023:09622802221146311.</w:t>
      </w:r>
    </w:p>
    <w:p w14:paraId="387E43DB" w14:textId="77777777" w:rsidR="00A663AF" w:rsidRDefault="00000000">
      <w:pPr>
        <w:pStyle w:val="Bibliography"/>
      </w:pPr>
      <w:bookmarkStart w:id="69" w:name="ref-Diaz_2021"/>
      <w:bookmarkEnd w:id="68"/>
      <w:r>
        <w:lastRenderedPageBreak/>
        <w:t xml:space="preserve">37. </w:t>
      </w:r>
      <w:r>
        <w:tab/>
        <w:t xml:space="preserve">Dı́az I, Williams N, Hoffman KL, Schenck EJ. Nonparametric causal effects based on longitudinal modified treatment policies. </w:t>
      </w:r>
      <w:r>
        <w:rPr>
          <w:i/>
          <w:iCs/>
        </w:rPr>
        <w:t>Journal of the American Statistical Association</w:t>
      </w:r>
      <w:r>
        <w:t>. 2021:1-16.</w:t>
      </w:r>
    </w:p>
    <w:p w14:paraId="5EFDEEB1" w14:textId="77777777" w:rsidR="00A663AF" w:rsidRDefault="00000000">
      <w:pPr>
        <w:pStyle w:val="Bibliography"/>
      </w:pPr>
      <w:bookmarkStart w:id="70" w:name="ref-Keil_2014"/>
      <w:bookmarkEnd w:id="69"/>
      <w:r>
        <w:t xml:space="preserve">38. </w:t>
      </w:r>
      <w:r>
        <w:tab/>
        <w:t xml:space="preserve">Keil AP, Edwards JK, Richardson DB, Naimi AI, Cole SR. The parametric g-formula for time-to-event data: Intuition and a worked example. </w:t>
      </w:r>
      <w:r>
        <w:rPr>
          <w:i/>
          <w:iCs/>
        </w:rPr>
        <w:t>Epidemiology</w:t>
      </w:r>
      <w:r>
        <w:t xml:space="preserve">. 2014;25(6). </w:t>
      </w:r>
      <w:hyperlink r:id="rId23">
        <w:r>
          <w:rPr>
            <w:rStyle w:val="Hyperlink"/>
          </w:rPr>
          <w:t>https://journals.lww.com/epidem/Fulltext/2014/11000/The_Parametric_g_Formula_for_Time_to_event_Data_.16.aspx</w:t>
        </w:r>
      </w:hyperlink>
      <w:r>
        <w:t>.</w:t>
      </w:r>
    </w:p>
    <w:p w14:paraId="4EBAD6BD" w14:textId="77777777" w:rsidR="00A663AF" w:rsidRDefault="00000000">
      <w:pPr>
        <w:pStyle w:val="Bibliography"/>
      </w:pPr>
      <w:bookmarkStart w:id="71" w:name="ref-Naimi_2015"/>
      <w:bookmarkEnd w:id="70"/>
      <w:r>
        <w:t xml:space="preserve">39. </w:t>
      </w:r>
      <w:r>
        <w:tab/>
        <w:t xml:space="preserve">Naimi AI, Tchetgen Tchetgen EJ. Invited commentary: Estimating population impact in the presence of competing events. </w:t>
      </w:r>
      <w:r>
        <w:rPr>
          <w:i/>
          <w:iCs/>
        </w:rPr>
        <w:t>American journal of epidemiology</w:t>
      </w:r>
      <w:r>
        <w:t>. 2015;181(8):571-574.</w:t>
      </w:r>
    </w:p>
    <w:p w14:paraId="70CCF3B6" w14:textId="77777777" w:rsidR="00A663AF" w:rsidRDefault="00000000">
      <w:pPr>
        <w:pStyle w:val="Bibliography"/>
      </w:pPr>
      <w:bookmarkStart w:id="72" w:name="ref-McGrath_2022"/>
      <w:bookmarkEnd w:id="71"/>
      <w:r>
        <w:t xml:space="preserve">40. </w:t>
      </w:r>
      <w:r>
        <w:tab/>
        <w:t xml:space="preserve">McGrath S, Young JG, Hernán MA. Revisiting the g-null paradox. </w:t>
      </w:r>
      <w:r>
        <w:rPr>
          <w:i/>
          <w:iCs/>
        </w:rPr>
        <w:t>Epidemiology</w:t>
      </w:r>
      <w:r>
        <w:t>. 2022;33(1):114-120.</w:t>
      </w:r>
    </w:p>
    <w:p w14:paraId="01AE9245" w14:textId="77777777" w:rsidR="00A663AF" w:rsidRDefault="00000000">
      <w:pPr>
        <w:pStyle w:val="Bibliography"/>
      </w:pPr>
      <w:bookmarkStart w:id="73" w:name="ref-Cole_2009"/>
      <w:bookmarkEnd w:id="72"/>
      <w:r>
        <w:t xml:space="preserve">41. </w:t>
      </w:r>
      <w:r>
        <w:tab/>
        <w:t xml:space="preserve">Cole SR, Frangakis CE. The consistency statement in causal inference: A definition or an assumption? </w:t>
      </w:r>
      <w:r>
        <w:rPr>
          <w:i/>
          <w:iCs/>
        </w:rPr>
        <w:t>Epidemiology</w:t>
      </w:r>
      <w:r>
        <w:t>. 2009;20(1):3-5.</w:t>
      </w:r>
    </w:p>
    <w:p w14:paraId="212E0C01" w14:textId="77777777" w:rsidR="00A663AF" w:rsidRDefault="00000000">
      <w:pPr>
        <w:pStyle w:val="Bibliography"/>
      </w:pPr>
      <w:bookmarkStart w:id="74" w:name="ref-VanderWeele_2013"/>
      <w:bookmarkEnd w:id="73"/>
      <w:r>
        <w:t xml:space="preserve">42. </w:t>
      </w:r>
      <w:r>
        <w:tab/>
        <w:t xml:space="preserve">VanderWeele TJ, Shpitser I. On the definition of a confounder. </w:t>
      </w:r>
      <w:r>
        <w:rPr>
          <w:i/>
          <w:iCs/>
        </w:rPr>
        <w:t>Annals of statistics</w:t>
      </w:r>
      <w:r>
        <w:t>. 2013;41(1):196.</w:t>
      </w:r>
    </w:p>
    <w:p w14:paraId="7E8F38E9" w14:textId="77777777" w:rsidR="00A663AF" w:rsidRDefault="00000000">
      <w:pPr>
        <w:pStyle w:val="Bibliography"/>
      </w:pPr>
      <w:bookmarkStart w:id="75" w:name="ref-Howell_2006"/>
      <w:bookmarkEnd w:id="74"/>
      <w:r>
        <w:t xml:space="preserve">43. </w:t>
      </w:r>
      <w:r>
        <w:tab/>
        <w:t>Howell JK, Lucke WE, White EM. Metalworking fluids. In: Byers JP, ed. CRC Press; 2006.</w:t>
      </w:r>
    </w:p>
    <w:p w14:paraId="57873C7A" w14:textId="77777777" w:rsidR="00A663AF" w:rsidRDefault="00000000">
      <w:pPr>
        <w:pStyle w:val="Bibliography"/>
      </w:pPr>
      <w:bookmarkStart w:id="76" w:name="ref-Maldonado_2002"/>
      <w:bookmarkEnd w:id="75"/>
      <w:r>
        <w:t xml:space="preserve">44. </w:t>
      </w:r>
      <w:r>
        <w:tab/>
        <w:t xml:space="preserve">Maldonado G, Greenland S. Estimating causal effects. </w:t>
      </w:r>
      <w:r>
        <w:rPr>
          <w:i/>
          <w:iCs/>
        </w:rPr>
        <w:t>International journal of epidemiology</w:t>
      </w:r>
      <w:r>
        <w:t>. 2002;31(2):422-429.</w:t>
      </w:r>
    </w:p>
    <w:p w14:paraId="7A27FB7E" w14:textId="77777777" w:rsidR="00A663AF" w:rsidRDefault="00000000">
      <w:pPr>
        <w:pStyle w:val="Bibliography"/>
      </w:pPr>
      <w:bookmarkStart w:id="77" w:name="ref-Garcia_2017"/>
      <w:bookmarkEnd w:id="76"/>
      <w:r>
        <w:t xml:space="preserve">45. </w:t>
      </w:r>
      <w:r>
        <w:tab/>
        <w:t xml:space="preserve">Garcia E, Picciotto S, Costello S, Bradshaw PT, Eisen EA. Assessment of the healthy worker survivor effect in cancer studies of the United Autoworkers-General Motors Cohort. </w:t>
      </w:r>
      <w:r>
        <w:rPr>
          <w:i/>
          <w:iCs/>
        </w:rPr>
        <w:t>Occupational and environmental medicine</w:t>
      </w:r>
      <w:r>
        <w:t>. 2017;74(4):294-300.</w:t>
      </w:r>
    </w:p>
    <w:p w14:paraId="6AE8158B" w14:textId="77777777" w:rsidR="00A663AF" w:rsidRDefault="00000000">
      <w:pPr>
        <w:pStyle w:val="Bibliography"/>
      </w:pPr>
      <w:bookmarkStart w:id="78" w:name="ref-Cano_2001"/>
      <w:bookmarkEnd w:id="77"/>
      <w:r>
        <w:t xml:space="preserve">46. </w:t>
      </w:r>
      <w:r>
        <w:tab/>
        <w:t xml:space="preserve">Cano MI, Pollán M. Non-Hodgkin’s lymphomas and occupation in sweden. </w:t>
      </w:r>
      <w:r>
        <w:rPr>
          <w:i/>
          <w:iCs/>
        </w:rPr>
        <w:t>International archives of occupational and environmental health</w:t>
      </w:r>
      <w:r>
        <w:t>. 2001;74(6):443-449.</w:t>
      </w:r>
    </w:p>
    <w:p w14:paraId="648F709A" w14:textId="77777777" w:rsidR="00A663AF" w:rsidRDefault="00000000">
      <w:pPr>
        <w:pStyle w:val="Bibliography"/>
      </w:pPr>
      <w:bookmarkStart w:id="79" w:name="ref-Costantini_2001"/>
      <w:bookmarkEnd w:id="78"/>
      <w:r>
        <w:t xml:space="preserve">47. </w:t>
      </w:r>
      <w:r>
        <w:tab/>
        <w:t xml:space="preserve">Costantini AS, Miligi L, Kriebel D, et al. A multicenter case-control study in italy on hematolymphopoietic neoplasms and occupation. </w:t>
      </w:r>
      <w:r>
        <w:rPr>
          <w:i/>
          <w:iCs/>
        </w:rPr>
        <w:t>Epidemiology</w:t>
      </w:r>
      <w:r>
        <w:t>. 2001:78-87.</w:t>
      </w:r>
    </w:p>
    <w:p w14:paraId="6DDFAE91" w14:textId="77777777" w:rsidR="00A663AF" w:rsidRDefault="00000000">
      <w:pPr>
        <w:pStyle w:val="Bibliography"/>
      </w:pPr>
      <w:bookmarkStart w:id="80" w:name="ref-Karunanayake_2008"/>
      <w:bookmarkEnd w:id="79"/>
      <w:r>
        <w:t xml:space="preserve">48. </w:t>
      </w:r>
      <w:r>
        <w:tab/>
        <w:t xml:space="preserve">Karunanayake CP, McDuffie HH, Dosman JA, Spinelli JJ, Pahwa P. Occupational exposures and non-Hodgkin’s lymphoma: Canadian case-control study. </w:t>
      </w:r>
      <w:r>
        <w:rPr>
          <w:i/>
          <w:iCs/>
        </w:rPr>
        <w:t>Environmental Health</w:t>
      </w:r>
      <w:r>
        <w:t>. 2008;7(1):1-9.</w:t>
      </w:r>
    </w:p>
    <w:p w14:paraId="3938DCB9" w14:textId="77777777" w:rsidR="00A663AF" w:rsidRDefault="00000000">
      <w:pPr>
        <w:pStyle w:val="Bibliography"/>
      </w:pPr>
      <w:bookmarkStart w:id="81" w:name="ref-t-Mannetje_2016"/>
      <w:bookmarkEnd w:id="80"/>
      <w:r>
        <w:t xml:space="preserve">49. </w:t>
      </w:r>
      <w:r>
        <w:tab/>
        <w:t xml:space="preserve">‘t Mannetje A, De Roos AJ, Boffetta P, et al. Occupation and risk of non-Hodgkin lymphoma and its subtypes: A pooled analysis from the InterLymph consortium. </w:t>
      </w:r>
      <w:r>
        <w:rPr>
          <w:i/>
          <w:iCs/>
        </w:rPr>
        <w:t>Environmental health perspectives</w:t>
      </w:r>
      <w:r>
        <w:t>. 2016;124(4):396-405.</w:t>
      </w:r>
    </w:p>
    <w:p w14:paraId="55787C33" w14:textId="77777777" w:rsidR="00A663AF" w:rsidRDefault="00000000">
      <w:pPr>
        <w:pStyle w:val="Bibliography"/>
      </w:pPr>
      <w:bookmarkStart w:id="82" w:name="ref-Zheng_2002"/>
      <w:bookmarkEnd w:id="81"/>
      <w:r>
        <w:t xml:space="preserve">50. </w:t>
      </w:r>
      <w:r>
        <w:tab/>
        <w:t xml:space="preserve">Zheng T, Blair A, Zhang Y, Weisenburger DD, Zahm SH. Occupation and risk of non-Hodgkin’s lymphoma and chronic lymphocytic leukemia. </w:t>
      </w:r>
      <w:r>
        <w:rPr>
          <w:i/>
          <w:iCs/>
        </w:rPr>
        <w:t>Journal of occupational and environmental medicine</w:t>
      </w:r>
      <w:r>
        <w:t>. 2002;44(5):469-474.</w:t>
      </w:r>
    </w:p>
    <w:p w14:paraId="0A4185F3" w14:textId="77777777" w:rsidR="00A663AF" w:rsidRDefault="00000000">
      <w:pPr>
        <w:pStyle w:val="Bibliography"/>
      </w:pPr>
      <w:bookmarkStart w:id="83" w:name="ref-Evans_2020"/>
      <w:bookmarkEnd w:id="82"/>
      <w:r>
        <w:t xml:space="preserve">51. </w:t>
      </w:r>
      <w:r>
        <w:tab/>
        <w:t>Evans R, Hooijman J, van der Veer J. High-speed machining. In: Gupta K, Davim P, eds. Academic Press; 2020.</w:t>
      </w:r>
    </w:p>
    <w:p w14:paraId="0EBC7174" w14:textId="77777777" w:rsidR="00A663AF" w:rsidRDefault="00000000">
      <w:pPr>
        <w:pStyle w:val="Bibliography"/>
      </w:pPr>
      <w:bookmarkStart w:id="84" w:name="ref-IARC_2017"/>
      <w:bookmarkEnd w:id="83"/>
      <w:r>
        <w:t xml:space="preserve">52. </w:t>
      </w:r>
      <w:r>
        <w:tab/>
        <w:t xml:space="preserve">IARC. </w:t>
      </w:r>
      <w:r>
        <w:rPr>
          <w:i/>
          <w:iCs/>
        </w:rPr>
        <w:t>IARC Monographs on the Evaluation of Carcinogenic Risk of the Chemical to Humans: Some Organophosphate Insecticides and Herbicides</w:t>
      </w:r>
      <w:r>
        <w:t>. Vol 112. World Health Organization International Agency for Research on Cancer; 2017.</w:t>
      </w:r>
    </w:p>
    <w:p w14:paraId="6E592F20" w14:textId="77777777" w:rsidR="00A663AF" w:rsidRDefault="00000000">
      <w:pPr>
        <w:pStyle w:val="Bibliography"/>
      </w:pPr>
      <w:bookmarkStart w:id="85" w:name="ref-Cocco_2008"/>
      <w:bookmarkEnd w:id="84"/>
      <w:r>
        <w:t xml:space="preserve">53. </w:t>
      </w:r>
      <w:r>
        <w:tab/>
        <w:t xml:space="preserve">Cocco P, Brennan P, Ibba A, et al. Plasma polychlorobiphenyl and organochlorine pesticide level and risk of major lymphoma subtypes. </w:t>
      </w:r>
      <w:r>
        <w:rPr>
          <w:i/>
          <w:iCs/>
        </w:rPr>
        <w:t>Occupational and Environmental Medicine</w:t>
      </w:r>
      <w:r>
        <w:t>. 2008;65(2):132-140.</w:t>
      </w:r>
    </w:p>
    <w:p w14:paraId="6E71E378" w14:textId="77777777" w:rsidR="00A663AF" w:rsidRDefault="00000000">
      <w:pPr>
        <w:pStyle w:val="Bibliography"/>
      </w:pPr>
      <w:bookmarkStart w:id="86" w:name="ref-Purdue_2011"/>
      <w:bookmarkEnd w:id="85"/>
      <w:r>
        <w:t xml:space="preserve">54. </w:t>
      </w:r>
      <w:r>
        <w:tab/>
        <w:t xml:space="preserve">Purdue MP, Bakke B, Stewart P, et al. A case-control study of occupational exposure to trichloroethylene and non-Hodgkin lymphoma. </w:t>
      </w:r>
      <w:r>
        <w:rPr>
          <w:i/>
          <w:iCs/>
        </w:rPr>
        <w:t>Environmental health perspectives</w:t>
      </w:r>
      <w:r>
        <w:t>. 2011;119(2):232-238.</w:t>
      </w:r>
    </w:p>
    <w:p w14:paraId="223074BF" w14:textId="77777777" w:rsidR="00A663AF" w:rsidRDefault="00000000">
      <w:pPr>
        <w:pStyle w:val="Bibliography"/>
      </w:pPr>
      <w:bookmarkStart w:id="87" w:name="ref-Cocco_2013"/>
      <w:bookmarkEnd w:id="86"/>
      <w:r>
        <w:t xml:space="preserve">55. </w:t>
      </w:r>
      <w:r>
        <w:tab/>
        <w:t xml:space="preserve">Cocco P, Vermeulen R, Flore V, et al. Occupational exposure to trichloroethylene and risk of non-Hodgkin lymphoma and its major subtypes: A pooled IinterLlymph analysis. </w:t>
      </w:r>
      <w:r>
        <w:rPr>
          <w:i/>
          <w:iCs/>
        </w:rPr>
        <w:t>Occupational and environmental medicine</w:t>
      </w:r>
      <w:r>
        <w:t>. 2013;70(11):795-802.</w:t>
      </w:r>
    </w:p>
    <w:p w14:paraId="37FB8A7F" w14:textId="77777777" w:rsidR="00A663AF" w:rsidRDefault="00000000">
      <w:pPr>
        <w:pStyle w:val="Bibliography"/>
      </w:pPr>
      <w:bookmarkStart w:id="88" w:name="ref-Vlaanderen_2013"/>
      <w:bookmarkEnd w:id="87"/>
      <w:r>
        <w:lastRenderedPageBreak/>
        <w:t xml:space="preserve">56. </w:t>
      </w:r>
      <w:r>
        <w:tab/>
        <w:t xml:space="preserve">Vlaanderen J, Straif K, Pukkala E, et al. Occupational exposure to trichloroethylene and perchloroethylene and the risk of lymphoma, liver, and kidney cancer in four nordic countries. </w:t>
      </w:r>
      <w:r>
        <w:rPr>
          <w:i/>
          <w:iCs/>
        </w:rPr>
        <w:t>Occupational and environmental medicine</w:t>
      </w:r>
      <w:r>
        <w:t>. 2013;70(6):393-401.</w:t>
      </w:r>
    </w:p>
    <w:p w14:paraId="47FCEC13" w14:textId="77777777" w:rsidR="00A663AF" w:rsidRDefault="00000000">
      <w:pPr>
        <w:pStyle w:val="Bibliography"/>
      </w:pPr>
      <w:bookmarkStart w:id="89" w:name="ref-Callahan_2018"/>
      <w:bookmarkEnd w:id="88"/>
      <w:r>
        <w:t xml:space="preserve">57. </w:t>
      </w:r>
      <w:r>
        <w:tab/>
        <w:t xml:space="preserve">Callahan CL, Stewart PA, Friesen MC, et al. Case-control investigation of occupational exposure to chlorinated solvents and non-Hodgkin’s lymphoma. </w:t>
      </w:r>
      <w:r>
        <w:rPr>
          <w:i/>
          <w:iCs/>
        </w:rPr>
        <w:t>Occupational and environmental medicine</w:t>
      </w:r>
      <w:r>
        <w:t>. 2018;75(6):415-420.</w:t>
      </w:r>
    </w:p>
    <w:p w14:paraId="4CF968BF" w14:textId="77777777" w:rsidR="00A663AF" w:rsidRDefault="00000000">
      <w:pPr>
        <w:pStyle w:val="Bibliography"/>
      </w:pPr>
      <w:bookmarkStart w:id="90" w:name="ref-IARC_2014"/>
      <w:bookmarkEnd w:id="89"/>
      <w:r>
        <w:t xml:space="preserve">58. </w:t>
      </w:r>
      <w:r>
        <w:tab/>
        <w:t xml:space="preserve">IARC. </w:t>
      </w:r>
      <w:r>
        <w:rPr>
          <w:i/>
          <w:iCs/>
        </w:rPr>
        <w:t>IARC Monographs on the Evaluation of Carcinogenic Risks to Humans: Trichloroethylene, Tetrachloroethylene, and Some Other Chlorinated Agents</w:t>
      </w:r>
      <w:r>
        <w:t>. Vol 106. World Health Organization International Agency for Research on Cancer; 2014:106-116.</w:t>
      </w:r>
    </w:p>
    <w:p w14:paraId="17344B0B" w14:textId="77777777" w:rsidR="00A663AF" w:rsidRDefault="00000000">
      <w:pPr>
        <w:pStyle w:val="Bibliography"/>
      </w:pPr>
      <w:bookmarkStart w:id="91" w:name="ref-Shrestha_2016"/>
      <w:bookmarkEnd w:id="90"/>
      <w:r>
        <w:t xml:space="preserve">59. </w:t>
      </w:r>
      <w:r>
        <w:tab/>
        <w:t xml:space="preserve">Shrestha D, Liu S, Hammond SK, et al. Risk of renal cell carcinoma following exposure to metalworking fluids among autoworkers. </w:t>
      </w:r>
      <w:r>
        <w:rPr>
          <w:i/>
          <w:iCs/>
        </w:rPr>
        <w:t>Occupational and environmental medicine</w:t>
      </w:r>
      <w:r>
        <w:t>. 2016;73(10):656-662.</w:t>
      </w:r>
      <w:bookmarkEnd w:id="31"/>
      <w:bookmarkEnd w:id="33"/>
      <w:bookmarkEnd w:id="91"/>
    </w:p>
    <w:sectPr w:rsidR="00A663AF">
      <w:headerReference w:type="default" r:id="rId24"/>
      <w:footerReference w:type="default" r:id="rId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lly Picciotto" w:date="2023-08-03T16:37:00Z" w:initials="SP">
    <w:p w14:paraId="4B543041" w14:textId="77777777" w:rsidR="009E73E9" w:rsidRDefault="009E73E9">
      <w:pPr>
        <w:pStyle w:val="CommentText"/>
      </w:pPr>
      <w:r>
        <w:rPr>
          <w:rStyle w:val="CommentReference"/>
        </w:rPr>
        <w:annotationRef/>
      </w:r>
      <w:r>
        <w:t>This whole introduction section is very good.</w:t>
      </w:r>
    </w:p>
  </w:comment>
  <w:comment w:id="3" w:author="Ellen Eisen" w:date="2023-07-06T10:25:00Z" w:initials="EE">
    <w:p w14:paraId="231E81AB" w14:textId="77777777" w:rsidR="00044C9B" w:rsidRDefault="00044C9B" w:rsidP="00F43F9A">
      <w:r>
        <w:rPr>
          <w:rStyle w:val="CommentReference"/>
        </w:rPr>
        <w:annotationRef/>
      </w:r>
      <w:r>
        <w:rPr>
          <w:color w:val="000000"/>
          <w:sz w:val="20"/>
          <w:szCs w:val="20"/>
        </w:rPr>
        <w:t xml:space="preserve">I edited this but you may have a good reason for your way of putting it </w:t>
      </w:r>
    </w:p>
  </w:comment>
  <w:comment w:id="4" w:author="Kevin Chen" w:date="2023-07-24T16:29:00Z" w:initials="KC">
    <w:p w14:paraId="64614CFE" w14:textId="77777777" w:rsidR="00583A68" w:rsidRDefault="00583A68" w:rsidP="00FC4DAE">
      <w:r>
        <w:rPr>
          <w:rStyle w:val="CommentReference"/>
        </w:rPr>
        <w:annotationRef/>
      </w:r>
      <w:r>
        <w:rPr>
          <w:color w:val="000000"/>
          <w:sz w:val="20"/>
          <w:szCs w:val="20"/>
        </w:rPr>
        <w:t>I kept the language as it was because outcome regression methods include g-formula and propensity methods include matching. Hopefully the sentence does not sound too vague.</w:t>
      </w:r>
    </w:p>
  </w:comment>
  <w:comment w:id="6" w:author="Ellen Eisen" w:date="2023-07-06T10:35:00Z" w:initials="EE">
    <w:p w14:paraId="3B695C31" w14:textId="77777777" w:rsidR="003A405F" w:rsidRDefault="003A405F" w:rsidP="00783F46">
      <w:pPr>
        <w:rPr>
          <w:lang w:eastAsia="zh-CN"/>
        </w:rPr>
      </w:pPr>
      <w:r>
        <w:rPr>
          <w:rStyle w:val="CommentReference"/>
        </w:rPr>
        <w:annotationRef/>
      </w:r>
      <w:r>
        <w:rPr>
          <w:color w:val="000000"/>
          <w:sz w:val="20"/>
          <w:szCs w:val="20"/>
        </w:rPr>
        <w:t xml:space="preserve">Doesn’t this contradict the previous sentence?? </w:t>
      </w:r>
    </w:p>
  </w:comment>
  <w:comment w:id="7" w:author="Kevin Chen" w:date="2023-07-24T16:31:00Z" w:initials="KC">
    <w:p w14:paraId="540291BA" w14:textId="77777777" w:rsidR="00583A68" w:rsidRDefault="00583A68" w:rsidP="00BD0163">
      <w:r>
        <w:rPr>
          <w:rStyle w:val="CommentReference"/>
        </w:rPr>
        <w:annotationRef/>
      </w:r>
      <w:r>
        <w:rPr>
          <w:color w:val="000000"/>
          <w:sz w:val="20"/>
          <w:szCs w:val="20"/>
        </w:rPr>
        <w:t>I edited the preceding sentence to say that the supportable limit when no observed values were below the target limit = the maximum observed value.</w:t>
      </w:r>
    </w:p>
  </w:comment>
  <w:comment w:id="8" w:author="Sally Picciotto" w:date="2023-08-03T16:38:00Z" w:initials="SP">
    <w:p w14:paraId="019D62D1" w14:textId="77777777" w:rsidR="009E73E9" w:rsidRDefault="009E73E9">
      <w:pPr>
        <w:pStyle w:val="CommentText"/>
      </w:pPr>
      <w:r>
        <w:rPr>
          <w:rStyle w:val="CommentReference"/>
        </w:rPr>
        <w:annotationRef/>
      </w:r>
      <w:r>
        <w:t xml:space="preserve">Hmm. Reading this, I immediately wondered why you couldn’t use the minimum observed exposure for that stratum as the supportable exposure limit. </w:t>
      </w:r>
      <w:r w:rsidR="00C90115">
        <w:t>Then you would still be reducing exposure for those people, but less drastically than the target limit, but still better than not reducing at all, and still not violating positivity. Is there a reason not to do that? [Maybe that reason is that you don’t want to have to redo the analyses, in which case, I totally get it!]</w:t>
      </w:r>
    </w:p>
  </w:comment>
  <w:comment w:id="9" w:author="Kevin Chen" w:date="2023-08-06T13:21:00Z" w:initials="KC">
    <w:p w14:paraId="17E81E82" w14:textId="77777777" w:rsidR="00BB0128" w:rsidRDefault="00BB0128" w:rsidP="00D663CC">
      <w:r>
        <w:rPr>
          <w:rStyle w:val="CommentReference"/>
        </w:rPr>
        <w:annotationRef/>
      </w:r>
      <w:r>
        <w:rPr>
          <w:sz w:val="20"/>
          <w:szCs w:val="20"/>
        </w:rPr>
        <w:t xml:space="preserve">Yes! You are right on all fronts. I ended up re-doing the analyses this weekend so that the </w:t>
      </w:r>
      <w:r>
        <w:rPr>
          <w:i/>
          <w:iCs/>
          <w:sz w:val="20"/>
          <w:szCs w:val="20"/>
        </w:rPr>
        <w:t>supportable</w:t>
      </w:r>
      <w:r>
        <w:rPr>
          <w:sz w:val="20"/>
          <w:szCs w:val="20"/>
        </w:rPr>
        <w:t xml:space="preserve"> limit among strata always exposed above the </w:t>
      </w:r>
      <w:r>
        <w:rPr>
          <w:i/>
          <w:iCs/>
          <w:sz w:val="20"/>
          <w:szCs w:val="20"/>
        </w:rPr>
        <w:t>target</w:t>
      </w:r>
      <w:r>
        <w:rPr>
          <w:sz w:val="20"/>
          <w:szCs w:val="20"/>
        </w:rPr>
        <w:t xml:space="preserve"> limit get reduced to the minimum </w:t>
      </w:r>
      <w:r>
        <w:rPr>
          <w:i/>
          <w:iCs/>
          <w:sz w:val="20"/>
          <w:szCs w:val="20"/>
        </w:rPr>
        <w:t>observed</w:t>
      </w:r>
      <w:r>
        <w:rPr>
          <w:sz w:val="20"/>
          <w:szCs w:val="20"/>
        </w:rPr>
        <w:t xml:space="preserve"> exposure. The results and methods in this draft should be updated to reflect that.</w:t>
      </w:r>
    </w:p>
  </w:comment>
  <w:comment w:id="10" w:author="Ellen Eisen" w:date="2023-07-06T10:36:00Z" w:initials="EE">
    <w:p w14:paraId="43B2D2EB" w14:textId="1D632D42" w:rsidR="003A405F" w:rsidRDefault="003A405F" w:rsidP="00F513E5">
      <w:r>
        <w:rPr>
          <w:rStyle w:val="CommentReference"/>
        </w:rPr>
        <w:annotationRef/>
      </w:r>
      <w:r>
        <w:rPr>
          <w:color w:val="000000"/>
          <w:sz w:val="20"/>
          <w:szCs w:val="20"/>
        </w:rPr>
        <w:t xml:space="preserve">Will you describe how common this was? </w:t>
      </w:r>
    </w:p>
  </w:comment>
  <w:comment w:id="11" w:author="Kevin Chen" w:date="2023-07-24T16:31:00Z" w:initials="KC">
    <w:p w14:paraId="3E526840" w14:textId="77777777" w:rsidR="00583A68" w:rsidRDefault="00583A68" w:rsidP="00982CAF">
      <w:r>
        <w:rPr>
          <w:rStyle w:val="CommentReference"/>
        </w:rPr>
        <w:annotationRef/>
      </w:r>
      <w:r>
        <w:rPr>
          <w:sz w:val="20"/>
          <w:szCs w:val="20"/>
        </w:rPr>
        <w:t xml:space="preserve">I would like to avoid this because it may involve a lot of </w:t>
      </w:r>
      <w:r>
        <w:rPr>
          <w:sz w:val="20"/>
          <w:szCs w:val="20"/>
        </w:rPr>
        <w:t>coding.. My hunch is that it happens for 5-20% of the person-years.</w:t>
      </w:r>
    </w:p>
  </w:comment>
  <w:comment w:id="16" w:author="Sally Picciotto" w:date="2023-08-03T16:46:00Z" w:initials="SP">
    <w:p w14:paraId="36C8A8EB" w14:textId="77777777" w:rsidR="00C90115" w:rsidRDefault="00C90115">
      <w:pPr>
        <w:pStyle w:val="CommentText"/>
      </w:pPr>
      <w:r>
        <w:rPr>
          <w:rStyle w:val="CommentReference"/>
        </w:rPr>
        <w:annotationRef/>
      </w:r>
      <w:r>
        <w:t>This figure help</w:t>
      </w:r>
      <w:r w:rsidR="005D6D32">
        <w:t>s</w:t>
      </w:r>
      <w:r>
        <w:t xml:space="preserve"> clarify what you’re saying.</w:t>
      </w:r>
    </w:p>
  </w:comment>
  <w:comment w:id="18" w:author="Sally Picciotto" w:date="2023-08-03T16:49:00Z" w:initials="SP">
    <w:p w14:paraId="1EF54F29" w14:textId="77777777" w:rsidR="00C90115" w:rsidRDefault="00C90115">
      <w:pPr>
        <w:pStyle w:val="CommentText"/>
      </w:pPr>
      <w:r>
        <w:rPr>
          <w:rStyle w:val="CommentReference"/>
        </w:rPr>
        <w:annotationRef/>
      </w:r>
      <w:r>
        <w:t>Start of cancer registry, not NDI, right?</w:t>
      </w:r>
    </w:p>
  </w:comment>
  <w:comment w:id="19" w:author="Kevin Chen" w:date="2023-08-06T13:23:00Z" w:initials="KC">
    <w:p w14:paraId="7AF572DE" w14:textId="77777777" w:rsidR="002448AE" w:rsidRDefault="002448AE" w:rsidP="00831B10">
      <w:r>
        <w:rPr>
          <w:rStyle w:val="CommentReference"/>
        </w:rPr>
        <w:annotationRef/>
      </w:r>
      <w:r>
        <w:rPr>
          <w:color w:val="000000"/>
          <w:sz w:val="20"/>
          <w:szCs w:val="20"/>
        </w:rPr>
        <w:t>Yes, thank you!</w:t>
      </w:r>
    </w:p>
  </w:comment>
  <w:comment w:id="20" w:author="Ellen Eisen" w:date="2023-07-06T11:14:00Z" w:initials="EE">
    <w:p w14:paraId="1A5B9162" w14:textId="5AFC7211" w:rsidR="00FD3E3E" w:rsidRDefault="00FD3E3E" w:rsidP="00900F94">
      <w:r>
        <w:rPr>
          <w:rStyle w:val="CommentReference"/>
        </w:rPr>
        <w:annotationRef/>
      </w:r>
      <w:r>
        <w:rPr>
          <w:color w:val="000000"/>
          <w:sz w:val="20"/>
          <w:szCs w:val="20"/>
        </w:rPr>
        <w:t xml:space="preserve">This is repeated in the next section. </w:t>
      </w:r>
    </w:p>
  </w:comment>
  <w:comment w:id="25" w:author="Ellen Eisen" w:date="2023-07-06T13:23:00Z" w:initials="EE">
    <w:p w14:paraId="05583098" w14:textId="77777777" w:rsidR="00476A43" w:rsidRDefault="009113F1" w:rsidP="00E71CD7">
      <w:r>
        <w:rPr>
          <w:rStyle w:val="CommentReference"/>
        </w:rPr>
        <w:annotationRef/>
      </w:r>
      <w:r w:rsidR="00476A43">
        <w:rPr>
          <w:sz w:val="20"/>
          <w:szCs w:val="20"/>
        </w:rPr>
        <w:t xml:space="preserve">Y axis says median and title says average exposure! </w:t>
      </w:r>
      <w:r w:rsidR="00476A43">
        <w:rPr>
          <w:sz w:val="20"/>
          <w:szCs w:val="20"/>
        </w:rPr>
        <w:cr/>
        <w:t xml:space="preserve">(Not sure you want to show exposure for all 3 type of MWF since you downplay the other two.) </w:t>
      </w:r>
    </w:p>
  </w:comment>
  <w:comment w:id="26" w:author="Kevin Chen" w:date="2023-07-24T16:34:00Z" w:initials="KC">
    <w:p w14:paraId="234CF0D7" w14:textId="77777777" w:rsidR="00C143EE" w:rsidRDefault="00C143EE" w:rsidP="009E4CA9">
      <w:r>
        <w:rPr>
          <w:rStyle w:val="CommentReference"/>
        </w:rPr>
        <w:annotationRef/>
      </w:r>
      <w:r>
        <w:rPr>
          <w:sz w:val="20"/>
          <w:szCs w:val="20"/>
        </w:rPr>
        <w:t>I was originally thinking it makes sense to present all three types of MWF so that readers have a sense of the relative quantities when used. I don’t feel strongly about that, however.</w:t>
      </w:r>
    </w:p>
  </w:comment>
  <w:comment w:id="27" w:author="Ellen Eisen" w:date="2023-07-06T13:38:00Z" w:initials="EE">
    <w:p w14:paraId="3DDA27AB" w14:textId="77777777" w:rsidR="003C7016" w:rsidRDefault="003C7016" w:rsidP="00865BDD">
      <w:r>
        <w:rPr>
          <w:rStyle w:val="CommentReference"/>
        </w:rPr>
        <w:annotationRef/>
      </w:r>
      <w:r>
        <w:rPr>
          <w:color w:val="000000"/>
          <w:sz w:val="20"/>
          <w:szCs w:val="20"/>
        </w:rPr>
        <w:t xml:space="preserve">Censoring by death? </w:t>
      </w:r>
    </w:p>
  </w:comment>
  <w:comment w:id="28" w:author="Kevin Chen" w:date="2023-07-24T16:36:00Z" w:initials="KC">
    <w:p w14:paraId="753091B3" w14:textId="77777777" w:rsidR="00C143EE" w:rsidRDefault="00C143EE" w:rsidP="00EC6967">
      <w:r>
        <w:rPr>
          <w:rStyle w:val="CommentReference"/>
        </w:rPr>
        <w:annotationRef/>
      </w:r>
      <w:r>
        <w:rPr>
          <w:sz w:val="20"/>
          <w:szCs w:val="20"/>
        </w:rPr>
        <w:t>Yes, but I do not want to draw too much attention to censoring and/or competing risks,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543041" w15:done="1"/>
  <w15:commentEx w15:paraId="231E81AB" w15:done="0"/>
  <w15:commentEx w15:paraId="64614CFE" w15:paraIdParent="231E81AB" w15:done="0"/>
  <w15:commentEx w15:paraId="3B695C31" w15:done="0"/>
  <w15:commentEx w15:paraId="540291BA" w15:paraIdParent="3B695C31" w15:done="0"/>
  <w15:commentEx w15:paraId="019D62D1" w15:paraIdParent="3B695C31" w15:done="0"/>
  <w15:commentEx w15:paraId="17E81E82" w15:paraIdParent="3B695C31" w15:done="0"/>
  <w15:commentEx w15:paraId="43B2D2EB" w15:done="0"/>
  <w15:commentEx w15:paraId="3E526840" w15:paraIdParent="43B2D2EB" w15:done="0"/>
  <w15:commentEx w15:paraId="36C8A8EB" w15:done="1"/>
  <w15:commentEx w15:paraId="1EF54F29" w15:done="0"/>
  <w15:commentEx w15:paraId="7AF572DE" w15:paraIdParent="1EF54F29" w15:done="0"/>
  <w15:commentEx w15:paraId="1A5B9162" w15:done="1"/>
  <w15:commentEx w15:paraId="05583098" w15:done="0"/>
  <w15:commentEx w15:paraId="234CF0D7" w15:paraIdParent="05583098" w15:done="0"/>
  <w15:commentEx w15:paraId="3DDA27AB" w15:done="0"/>
  <w15:commentEx w15:paraId="753091B3" w15:paraIdParent="3DDA2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152D" w16cex:dateUtc="2023-07-06T17:25:00Z"/>
  <w16cex:commentExtensible w16cex:durableId="2869257E" w16cex:dateUtc="2023-07-24T23:29:00Z"/>
  <w16cex:commentExtensible w16cex:durableId="2851175B" w16cex:dateUtc="2023-07-06T17:35:00Z"/>
  <w16cex:commentExtensible w16cex:durableId="286925C6" w16cex:dateUtc="2023-07-24T23:31:00Z"/>
  <w16cex:commentExtensible w16cex:durableId="287A1CE4" w16cex:dateUtc="2023-08-06T20:21:00Z"/>
  <w16cex:commentExtensible w16cex:durableId="285117A4" w16cex:dateUtc="2023-07-06T17:36:00Z"/>
  <w16cex:commentExtensible w16cex:durableId="286925D6" w16cex:dateUtc="2023-07-24T23:31:00Z"/>
  <w16cex:commentExtensible w16cex:durableId="287A1D35" w16cex:dateUtc="2023-08-06T20:23:00Z"/>
  <w16cex:commentExtensible w16cex:durableId="28512098" w16cex:dateUtc="2023-07-06T18:14:00Z"/>
  <w16cex:commentExtensible w16cex:durableId="28513EC0" w16cex:dateUtc="2023-07-06T20:23:00Z"/>
  <w16cex:commentExtensible w16cex:durableId="2869268B" w16cex:dateUtc="2023-07-24T23:34:00Z"/>
  <w16cex:commentExtensible w16cex:durableId="2851423F" w16cex:dateUtc="2023-07-06T20:38:00Z"/>
  <w16cex:commentExtensible w16cex:durableId="286926FA" w16cex:dateUtc="2023-07-24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543041" w16cid:durableId="28765633"/>
  <w16cid:commentId w16cid:paraId="231E81AB" w16cid:durableId="2851152D"/>
  <w16cid:commentId w16cid:paraId="64614CFE" w16cid:durableId="2869257E"/>
  <w16cid:commentId w16cid:paraId="3B695C31" w16cid:durableId="2851175B"/>
  <w16cid:commentId w16cid:paraId="540291BA" w16cid:durableId="286925C6"/>
  <w16cid:commentId w16cid:paraId="019D62D1" w16cid:durableId="28765688"/>
  <w16cid:commentId w16cid:paraId="17E81E82" w16cid:durableId="287A1CE4"/>
  <w16cid:commentId w16cid:paraId="43B2D2EB" w16cid:durableId="285117A4"/>
  <w16cid:commentId w16cid:paraId="3E526840" w16cid:durableId="286925D6"/>
  <w16cid:commentId w16cid:paraId="36C8A8EB" w16cid:durableId="28765848"/>
  <w16cid:commentId w16cid:paraId="1EF54F29" w16cid:durableId="28765906"/>
  <w16cid:commentId w16cid:paraId="7AF572DE" w16cid:durableId="287A1D35"/>
  <w16cid:commentId w16cid:paraId="1A5B9162" w16cid:durableId="28512098"/>
  <w16cid:commentId w16cid:paraId="05583098" w16cid:durableId="28513EC0"/>
  <w16cid:commentId w16cid:paraId="234CF0D7" w16cid:durableId="2869268B"/>
  <w16cid:commentId w16cid:paraId="3DDA27AB" w16cid:durableId="2851423F"/>
  <w16cid:commentId w16cid:paraId="753091B3" w16cid:durableId="28692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42B41" w14:textId="77777777" w:rsidR="00AA0AAA" w:rsidRDefault="00AA0AAA">
      <w:pPr>
        <w:spacing w:after="0"/>
      </w:pPr>
      <w:r>
        <w:separator/>
      </w:r>
    </w:p>
  </w:endnote>
  <w:endnote w:type="continuationSeparator" w:id="0">
    <w:p w14:paraId="5E03DE48" w14:textId="77777777" w:rsidR="00AA0AAA" w:rsidRDefault="00AA0AAA">
      <w:pPr>
        <w:spacing w:after="0"/>
      </w:pPr>
      <w:r>
        <w:continuationSeparator/>
      </w:r>
    </w:p>
  </w:endnote>
  <w:endnote w:type="continuationNotice" w:id="1">
    <w:p w14:paraId="47543A7C" w14:textId="77777777" w:rsidR="00AA0AAA" w:rsidRDefault="00AA0AA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3D18" w14:textId="77777777" w:rsidR="008E6D1B" w:rsidRDefault="008E6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84C18" w14:textId="77777777" w:rsidR="00AA0AAA" w:rsidRDefault="00AA0AAA">
      <w:r>
        <w:separator/>
      </w:r>
    </w:p>
  </w:footnote>
  <w:footnote w:type="continuationSeparator" w:id="0">
    <w:p w14:paraId="33D65276" w14:textId="77777777" w:rsidR="00AA0AAA" w:rsidRDefault="00AA0AAA">
      <w:r>
        <w:continuationSeparator/>
      </w:r>
    </w:p>
  </w:footnote>
  <w:footnote w:type="continuationNotice" w:id="1">
    <w:p w14:paraId="18EC5F2E" w14:textId="77777777" w:rsidR="00AA0AAA" w:rsidRDefault="00AA0AA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704A" w14:textId="77777777" w:rsidR="008E6D1B" w:rsidRDefault="008E6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A25E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3CD3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D293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8C3A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2F0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2A21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76F9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5CFA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BAA2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AA7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E8CCE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DD42D0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21"/>
    <w:multiLevelType w:val="multilevel"/>
    <w:tmpl w:val="EB745D9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3" w15:restartNumberingAfterBreak="0">
    <w:nsid w:val="1C6D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694F5B"/>
    <w:multiLevelType w:val="multilevel"/>
    <w:tmpl w:val="94BA4D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C1AE401"/>
    <w:multiLevelType w:val="multilevel"/>
    <w:tmpl w:val="90546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FDA69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7D4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5C014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471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D67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0D291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8E778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91663870">
    <w:abstractNumId w:val="15"/>
  </w:num>
  <w:num w:numId="2" w16cid:durableId="879510322">
    <w:abstractNumId w:val="13"/>
  </w:num>
  <w:num w:numId="3" w16cid:durableId="1904564873">
    <w:abstractNumId w:val="17"/>
  </w:num>
  <w:num w:numId="4" w16cid:durableId="123544386">
    <w:abstractNumId w:val="14"/>
  </w:num>
  <w:num w:numId="5" w16cid:durableId="1790968908">
    <w:abstractNumId w:val="20"/>
  </w:num>
  <w:num w:numId="6" w16cid:durableId="1601448068">
    <w:abstractNumId w:val="22"/>
  </w:num>
  <w:num w:numId="7" w16cid:durableId="1012222295">
    <w:abstractNumId w:val="18"/>
  </w:num>
  <w:num w:numId="8" w16cid:durableId="968321886">
    <w:abstractNumId w:val="9"/>
  </w:num>
  <w:num w:numId="9" w16cid:durableId="634527812">
    <w:abstractNumId w:val="7"/>
  </w:num>
  <w:num w:numId="10" w16cid:durableId="1563637156">
    <w:abstractNumId w:val="6"/>
  </w:num>
  <w:num w:numId="11" w16cid:durableId="1513303817">
    <w:abstractNumId w:val="5"/>
  </w:num>
  <w:num w:numId="12" w16cid:durableId="708337968">
    <w:abstractNumId w:val="4"/>
  </w:num>
  <w:num w:numId="13" w16cid:durableId="365831632">
    <w:abstractNumId w:val="8"/>
  </w:num>
  <w:num w:numId="14" w16cid:durableId="864752837">
    <w:abstractNumId w:val="3"/>
  </w:num>
  <w:num w:numId="15" w16cid:durableId="1324435791">
    <w:abstractNumId w:val="2"/>
  </w:num>
  <w:num w:numId="16" w16cid:durableId="120459119">
    <w:abstractNumId w:val="1"/>
  </w:num>
  <w:num w:numId="17" w16cid:durableId="2143620387">
    <w:abstractNumId w:val="0"/>
  </w:num>
  <w:num w:numId="18" w16cid:durableId="687802783">
    <w:abstractNumId w:val="19"/>
  </w:num>
  <w:num w:numId="19" w16cid:durableId="1874075149">
    <w:abstractNumId w:val="16"/>
  </w:num>
  <w:num w:numId="20" w16cid:durableId="666322899">
    <w:abstractNumId w:val="21"/>
  </w:num>
  <w:num w:numId="21" w16cid:durableId="1188134045">
    <w:abstractNumId w:val="10"/>
  </w:num>
  <w:num w:numId="22" w16cid:durableId="18869418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02104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ly Picciotto">
    <w15:presenceInfo w15:providerId="AD" w15:userId="S-1-5-21-1229272821-688789844-1801674531-826241"/>
  </w15:person>
  <w15:person w15:author="Ellen Eisen">
    <w15:presenceInfo w15:providerId="AD" w15:userId="S::j801224702@BERKELEY.EDU::5ef68c26-a870-48ab-9bcd-a8812769283c"/>
  </w15:person>
  <w15:person w15:author="Kevin Chen">
    <w15:presenceInfo w15:providerId="AD" w15:userId="S::kevchen@BERKELEY.EDU::2e58209b-890c-48d9-aa14-8394a52df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AF"/>
    <w:rsid w:val="00044C9B"/>
    <w:rsid w:val="000A1B69"/>
    <w:rsid w:val="000C0E69"/>
    <w:rsid w:val="000D642A"/>
    <w:rsid w:val="00136A04"/>
    <w:rsid w:val="001F1D2B"/>
    <w:rsid w:val="002448AE"/>
    <w:rsid w:val="002E1314"/>
    <w:rsid w:val="0035320A"/>
    <w:rsid w:val="003A405F"/>
    <w:rsid w:val="003C7016"/>
    <w:rsid w:val="003D1830"/>
    <w:rsid w:val="003D3FCB"/>
    <w:rsid w:val="00403F0A"/>
    <w:rsid w:val="00450043"/>
    <w:rsid w:val="004556BB"/>
    <w:rsid w:val="00476A43"/>
    <w:rsid w:val="004A15AD"/>
    <w:rsid w:val="004A3B36"/>
    <w:rsid w:val="00581ED9"/>
    <w:rsid w:val="00583A68"/>
    <w:rsid w:val="005A2903"/>
    <w:rsid w:val="005D6D32"/>
    <w:rsid w:val="00706E50"/>
    <w:rsid w:val="0076142D"/>
    <w:rsid w:val="0077535D"/>
    <w:rsid w:val="007811EA"/>
    <w:rsid w:val="0079667F"/>
    <w:rsid w:val="007A49FB"/>
    <w:rsid w:val="0081331B"/>
    <w:rsid w:val="00814E34"/>
    <w:rsid w:val="00872A96"/>
    <w:rsid w:val="008905CD"/>
    <w:rsid w:val="008E6D1B"/>
    <w:rsid w:val="009113F1"/>
    <w:rsid w:val="009E73E9"/>
    <w:rsid w:val="00A53438"/>
    <w:rsid w:val="00A663AF"/>
    <w:rsid w:val="00A90558"/>
    <w:rsid w:val="00AA0AAA"/>
    <w:rsid w:val="00AB5DF4"/>
    <w:rsid w:val="00B14B2F"/>
    <w:rsid w:val="00BB0128"/>
    <w:rsid w:val="00BD702F"/>
    <w:rsid w:val="00C02C72"/>
    <w:rsid w:val="00C143EE"/>
    <w:rsid w:val="00C37BB3"/>
    <w:rsid w:val="00C90115"/>
    <w:rsid w:val="00CB4DCE"/>
    <w:rsid w:val="00DC69CA"/>
    <w:rsid w:val="00E07BBF"/>
    <w:rsid w:val="00EB79D4"/>
    <w:rsid w:val="00EE2C2C"/>
    <w:rsid w:val="00FD3E3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B399"/>
  <w15:docId w15:val="{4E350707-9270-014D-B865-11CEEF3B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EC"/>
    <w:rPr>
      <w:rFonts w:ascii="Arial" w:hAnsi="Arial"/>
      <w:sz w:val="22"/>
    </w:rPr>
  </w:style>
  <w:style w:type="paragraph" w:styleId="Heading1">
    <w:name w:val="heading 1"/>
    <w:basedOn w:val="Normal"/>
    <w:next w:val="BodyText"/>
    <w:uiPriority w:val="9"/>
    <w:qFormat/>
    <w:rsid w:val="00524D24"/>
    <w:pPr>
      <w:keepNext/>
      <w:keepLines/>
      <w:spacing w:before="360" w:after="100" w:afterAutospacing="1"/>
      <w:outlineLvl w:val="0"/>
    </w:pPr>
    <w:rPr>
      <w:rFonts w:eastAsiaTheme="majorEastAsia" w:cstheme="majorBidi"/>
      <w:b/>
      <w:bCs/>
      <w:caps/>
      <w:color w:val="4F81BD" w:themeColor="accent1"/>
      <w:szCs w:val="32"/>
    </w:rPr>
  </w:style>
  <w:style w:type="paragraph" w:styleId="Heading2">
    <w:name w:val="heading 2"/>
    <w:basedOn w:val="Normal"/>
    <w:next w:val="BodyText"/>
    <w:uiPriority w:val="9"/>
    <w:unhideWhenUsed/>
    <w:qFormat/>
    <w:rsid w:val="00524D24"/>
    <w:pPr>
      <w:keepNext/>
      <w:keepLines/>
      <w:spacing w:before="200" w:after="100" w:afterAutospacing="1"/>
      <w:outlineLvl w:val="1"/>
    </w:pPr>
    <w:rPr>
      <w:rFonts w:eastAsiaTheme="majorEastAsia" w:cstheme="majorBidi"/>
      <w:b/>
      <w:bCs/>
      <w:color w:val="4F81BD" w:themeColor="accent1"/>
      <w:szCs w:val="28"/>
    </w:rPr>
  </w:style>
  <w:style w:type="paragraph" w:styleId="Heading3">
    <w:name w:val="heading 3"/>
    <w:basedOn w:val="Normal"/>
    <w:next w:val="BodyText"/>
    <w:uiPriority w:val="9"/>
    <w:unhideWhenUsed/>
    <w:qFormat/>
    <w:rsid w:val="00524D24"/>
    <w:pPr>
      <w:keepNext/>
      <w:keepLines/>
      <w:spacing w:before="200" w:after="100" w:afterAutospacing="1"/>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524D24"/>
    <w:pPr>
      <w:keepNext/>
      <w:keepLines/>
      <w:spacing w:before="200" w:after="100" w:afterAutospacing="1"/>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524D24"/>
    <w:pPr>
      <w:keepNext/>
      <w:keepLines/>
      <w:numPr>
        <w:ilvl w:val="4"/>
        <w:numId w:val="20"/>
      </w:numPr>
      <w:spacing w:before="200" w:after="100" w:afterAutospacing="1"/>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524D24"/>
    <w:pPr>
      <w:keepNext/>
      <w:keepLines/>
      <w:numPr>
        <w:ilvl w:val="5"/>
        <w:numId w:val="20"/>
      </w:numPr>
      <w:spacing w:before="200" w:after="100" w:afterAutospacing="1"/>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524D24"/>
    <w:pPr>
      <w:keepNext/>
      <w:keepLines/>
      <w:numPr>
        <w:ilvl w:val="6"/>
        <w:numId w:val="20"/>
      </w:numPr>
      <w:spacing w:before="200" w:after="100" w:afterAutospacing="1"/>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524D24"/>
    <w:pPr>
      <w:keepNext/>
      <w:keepLines/>
      <w:numPr>
        <w:ilvl w:val="7"/>
        <w:numId w:val="20"/>
      </w:numPr>
      <w:spacing w:before="200" w:after="100" w:afterAutospacing="1"/>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524D24"/>
    <w:pPr>
      <w:keepNext/>
      <w:keepLines/>
      <w:numPr>
        <w:ilvl w:val="8"/>
        <w:numId w:val="20"/>
      </w:numPr>
      <w:spacing w:before="200" w:after="100" w:afterAutospacing="1"/>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EC"/>
    <w:pPr>
      <w:keepNext/>
      <w:keepLines/>
      <w:spacing w:before="480" w:after="240"/>
      <w:jc w:val="center"/>
    </w:pPr>
    <w:rPr>
      <w:rFonts w:eastAsiaTheme="majorEastAsia" w:cstheme="majorBidi"/>
      <w:b/>
      <w:bCs/>
      <w:color w:val="345A8A" w:themeColor="accent1" w:themeShade="B5"/>
      <w:sz w:val="26"/>
      <w:szCs w:val="36"/>
    </w:rPr>
  </w:style>
  <w:style w:type="paragraph" w:styleId="Subtitle">
    <w:name w:val="Subtitle"/>
    <w:basedOn w:val="Title"/>
    <w:next w:val="BodyText"/>
    <w:qFormat/>
    <w:rsid w:val="00BB39B3"/>
    <w:pPr>
      <w:spacing w:before="240"/>
    </w:pPr>
    <w:rPr>
      <w:szCs w:val="30"/>
    </w:rPr>
  </w:style>
  <w:style w:type="paragraph" w:customStyle="1" w:styleId="Author">
    <w:name w:val="Author"/>
    <w:next w:val="BodyText"/>
    <w:qFormat/>
    <w:rsid w:val="00AC7C08"/>
    <w:pPr>
      <w:keepNext/>
      <w:keepLines/>
      <w:jc w:val="center"/>
    </w:pPr>
    <w:rPr>
      <w:rFonts w:ascii="Arial" w:hAnsi="Arial"/>
      <w:sz w:val="22"/>
    </w:rPr>
  </w:style>
  <w:style w:type="paragraph" w:styleId="Date">
    <w:name w:val="Date"/>
    <w:next w:val="BodyText"/>
    <w:qFormat/>
    <w:rsid w:val="00AC7C08"/>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E39AB"/>
    <w:pPr>
      <w:ind w:left="720" w:hanging="720"/>
      <w:contextualSpacing/>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6372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A436F1"/>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63721"/>
    <w:rPr>
      <w:rFonts w:ascii="Arial" w:hAnsi="Arial"/>
      <w:sz w:val="22"/>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rsid w:val="00AC7C08"/>
    <w:pPr>
      <w:spacing w:before="240" w:line="259" w:lineRule="auto"/>
      <w:outlineLvl w:val="9"/>
    </w:pPr>
    <w:rPr>
      <w:b w:val="0"/>
      <w:bCs w:val="0"/>
      <w:cap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AC7C08"/>
    <w:rPr>
      <w:rFonts w:ascii="Consolas" w:hAnsi="Consolas"/>
      <w:b/>
      <w:color w:val="204A87"/>
      <w:sz w:val="20"/>
      <w:shd w:val="clear" w:color="auto" w:fill="F8F8F8"/>
    </w:rPr>
  </w:style>
  <w:style w:type="character" w:customStyle="1" w:styleId="DataTypeTok">
    <w:name w:val="DataTypeTok"/>
    <w:basedOn w:val="VerbatimChar"/>
    <w:rsid w:val="00AC7C08"/>
    <w:rPr>
      <w:rFonts w:ascii="Consolas" w:hAnsi="Consolas"/>
      <w:color w:val="204A87"/>
      <w:sz w:val="20"/>
      <w:shd w:val="clear" w:color="auto" w:fill="F8F8F8"/>
    </w:rPr>
  </w:style>
  <w:style w:type="character" w:customStyle="1" w:styleId="DecValTok">
    <w:name w:val="DecValTok"/>
    <w:basedOn w:val="VerbatimChar"/>
    <w:rsid w:val="00AC7C08"/>
    <w:rPr>
      <w:rFonts w:ascii="Consolas" w:hAnsi="Consolas"/>
      <w:color w:val="0000CF"/>
      <w:sz w:val="20"/>
      <w:shd w:val="clear" w:color="auto" w:fill="F8F8F8"/>
    </w:rPr>
  </w:style>
  <w:style w:type="character" w:customStyle="1" w:styleId="BaseNTok">
    <w:name w:val="BaseNTok"/>
    <w:basedOn w:val="VerbatimChar"/>
    <w:rsid w:val="00AC7C08"/>
    <w:rPr>
      <w:rFonts w:ascii="Consolas" w:hAnsi="Consolas"/>
      <w:color w:val="0000CF"/>
      <w:sz w:val="20"/>
      <w:shd w:val="clear" w:color="auto" w:fill="F8F8F8"/>
    </w:rPr>
  </w:style>
  <w:style w:type="character" w:customStyle="1" w:styleId="FloatTok">
    <w:name w:val="FloatTok"/>
    <w:basedOn w:val="VerbatimChar"/>
    <w:rsid w:val="00AC7C08"/>
    <w:rPr>
      <w:rFonts w:ascii="Consolas" w:hAnsi="Consolas"/>
      <w:color w:val="0000CF"/>
      <w:sz w:val="20"/>
      <w:shd w:val="clear" w:color="auto" w:fill="F8F8F8"/>
    </w:rPr>
  </w:style>
  <w:style w:type="character" w:customStyle="1" w:styleId="ConstantTok">
    <w:name w:val="ConstantTok"/>
    <w:basedOn w:val="VerbatimChar"/>
    <w:rsid w:val="00AC7C08"/>
    <w:rPr>
      <w:rFonts w:ascii="Consolas" w:hAnsi="Consolas"/>
      <w:color w:val="000000"/>
      <w:sz w:val="20"/>
      <w:shd w:val="clear" w:color="auto" w:fill="F8F8F8"/>
    </w:rPr>
  </w:style>
  <w:style w:type="character" w:customStyle="1" w:styleId="CharTok">
    <w:name w:val="CharTok"/>
    <w:basedOn w:val="VerbatimChar"/>
    <w:rsid w:val="00AC7C08"/>
    <w:rPr>
      <w:rFonts w:ascii="Consolas" w:hAnsi="Consolas"/>
      <w:color w:val="4E9A06"/>
      <w:sz w:val="20"/>
      <w:shd w:val="clear" w:color="auto" w:fill="F8F8F8"/>
    </w:rPr>
  </w:style>
  <w:style w:type="character" w:customStyle="1" w:styleId="SpecialCharTok">
    <w:name w:val="SpecialCharTok"/>
    <w:basedOn w:val="VerbatimChar"/>
    <w:rsid w:val="00AC7C08"/>
    <w:rPr>
      <w:rFonts w:ascii="Consolas" w:hAnsi="Consolas"/>
      <w:color w:val="000000"/>
      <w:sz w:val="20"/>
      <w:shd w:val="clear" w:color="auto" w:fill="F8F8F8"/>
    </w:rPr>
  </w:style>
  <w:style w:type="character" w:customStyle="1" w:styleId="StringTok">
    <w:name w:val="StringTok"/>
    <w:basedOn w:val="VerbatimChar"/>
    <w:rsid w:val="00AC7C08"/>
    <w:rPr>
      <w:rFonts w:ascii="Consolas" w:hAnsi="Consolas"/>
      <w:color w:val="4E9A06"/>
      <w:sz w:val="20"/>
      <w:shd w:val="clear" w:color="auto" w:fill="F8F8F8"/>
    </w:rPr>
  </w:style>
  <w:style w:type="character" w:customStyle="1" w:styleId="VerbatimStringTok">
    <w:name w:val="VerbatimStringTok"/>
    <w:basedOn w:val="VerbatimChar"/>
    <w:rsid w:val="00AC7C08"/>
    <w:rPr>
      <w:rFonts w:ascii="Consolas" w:hAnsi="Consolas"/>
      <w:color w:val="4E9A06"/>
      <w:sz w:val="20"/>
      <w:shd w:val="clear" w:color="auto" w:fill="F8F8F8"/>
    </w:rPr>
  </w:style>
  <w:style w:type="character" w:customStyle="1" w:styleId="SpecialStringTok">
    <w:name w:val="SpecialStringTok"/>
    <w:basedOn w:val="VerbatimChar"/>
    <w:rsid w:val="00AC7C08"/>
    <w:rPr>
      <w:rFonts w:ascii="Consolas" w:hAnsi="Consolas"/>
      <w:color w:val="4E9A06"/>
      <w:sz w:val="20"/>
      <w:shd w:val="clear" w:color="auto" w:fill="F8F8F8"/>
    </w:rPr>
  </w:style>
  <w:style w:type="character" w:customStyle="1" w:styleId="ImportTok">
    <w:name w:val="ImportTok"/>
    <w:basedOn w:val="VerbatimChar"/>
    <w:rsid w:val="00AC7C08"/>
    <w:rPr>
      <w:rFonts w:ascii="Consolas" w:hAnsi="Consolas"/>
      <w:sz w:val="20"/>
      <w:shd w:val="clear" w:color="auto" w:fill="F8F8F8"/>
    </w:rPr>
  </w:style>
  <w:style w:type="character" w:customStyle="1" w:styleId="CommentTok">
    <w:name w:val="CommentTok"/>
    <w:basedOn w:val="VerbatimChar"/>
    <w:rsid w:val="00AC7C08"/>
    <w:rPr>
      <w:rFonts w:ascii="Consolas" w:hAnsi="Consolas"/>
      <w:i/>
      <w:color w:val="8F5902"/>
      <w:sz w:val="20"/>
      <w:shd w:val="clear" w:color="auto" w:fill="F8F8F8"/>
    </w:rPr>
  </w:style>
  <w:style w:type="character" w:customStyle="1" w:styleId="DocumentationTok">
    <w:name w:val="DocumentationTok"/>
    <w:basedOn w:val="VerbatimChar"/>
    <w:rsid w:val="00AC7C08"/>
    <w:rPr>
      <w:rFonts w:ascii="Consolas" w:hAnsi="Consolas"/>
      <w:b/>
      <w:i/>
      <w:color w:val="8F5902"/>
      <w:sz w:val="20"/>
      <w:shd w:val="clear" w:color="auto" w:fill="F8F8F8"/>
    </w:rPr>
  </w:style>
  <w:style w:type="character" w:customStyle="1" w:styleId="AnnotationTok">
    <w:name w:val="AnnotationTok"/>
    <w:basedOn w:val="VerbatimChar"/>
    <w:rsid w:val="00AC7C08"/>
    <w:rPr>
      <w:rFonts w:ascii="Consolas" w:hAnsi="Consolas"/>
      <w:b/>
      <w:i/>
      <w:color w:val="8F5902"/>
      <w:sz w:val="20"/>
      <w:shd w:val="clear" w:color="auto" w:fill="F8F8F8"/>
    </w:rPr>
  </w:style>
  <w:style w:type="character" w:customStyle="1" w:styleId="CommentVarTok">
    <w:name w:val="CommentVarTok"/>
    <w:basedOn w:val="VerbatimChar"/>
    <w:rsid w:val="00AC7C08"/>
    <w:rPr>
      <w:rFonts w:ascii="Consolas" w:hAnsi="Consolas"/>
      <w:b/>
      <w:i/>
      <w:color w:val="8F5902"/>
      <w:sz w:val="20"/>
      <w:shd w:val="clear" w:color="auto" w:fill="F8F8F8"/>
    </w:rPr>
  </w:style>
  <w:style w:type="character" w:customStyle="1" w:styleId="OtherTok">
    <w:name w:val="OtherTok"/>
    <w:basedOn w:val="VerbatimChar"/>
    <w:rsid w:val="00AC7C08"/>
    <w:rPr>
      <w:rFonts w:ascii="Consolas" w:hAnsi="Consolas"/>
      <w:color w:val="8F5902"/>
      <w:sz w:val="20"/>
      <w:shd w:val="clear" w:color="auto" w:fill="F8F8F8"/>
    </w:rPr>
  </w:style>
  <w:style w:type="character" w:customStyle="1" w:styleId="FunctionTok">
    <w:name w:val="FunctionTok"/>
    <w:basedOn w:val="VerbatimChar"/>
    <w:rsid w:val="00AC7C08"/>
    <w:rPr>
      <w:rFonts w:ascii="Consolas" w:hAnsi="Consolas"/>
      <w:color w:val="000000"/>
      <w:sz w:val="20"/>
      <w:shd w:val="clear" w:color="auto" w:fill="F8F8F8"/>
    </w:rPr>
  </w:style>
  <w:style w:type="character" w:customStyle="1" w:styleId="VariableTok">
    <w:name w:val="VariableTok"/>
    <w:basedOn w:val="VerbatimChar"/>
    <w:rsid w:val="00AC7C08"/>
    <w:rPr>
      <w:rFonts w:ascii="Consolas" w:hAnsi="Consolas"/>
      <w:color w:val="000000"/>
      <w:sz w:val="20"/>
      <w:shd w:val="clear" w:color="auto" w:fill="F8F8F8"/>
    </w:rPr>
  </w:style>
  <w:style w:type="character" w:customStyle="1" w:styleId="ControlFlowTok">
    <w:name w:val="ControlFlowTok"/>
    <w:basedOn w:val="VerbatimChar"/>
    <w:rsid w:val="00AC7C08"/>
    <w:rPr>
      <w:rFonts w:ascii="Consolas" w:hAnsi="Consolas"/>
      <w:b/>
      <w:color w:val="204A87"/>
      <w:sz w:val="20"/>
      <w:shd w:val="clear" w:color="auto" w:fill="F8F8F8"/>
    </w:rPr>
  </w:style>
  <w:style w:type="character" w:customStyle="1" w:styleId="OperatorTok">
    <w:name w:val="OperatorTok"/>
    <w:basedOn w:val="VerbatimChar"/>
    <w:rsid w:val="00AC7C08"/>
    <w:rPr>
      <w:rFonts w:ascii="Consolas" w:hAnsi="Consolas"/>
      <w:b/>
      <w:color w:val="CE5C00"/>
      <w:sz w:val="20"/>
      <w:shd w:val="clear" w:color="auto" w:fill="F8F8F8"/>
    </w:rPr>
  </w:style>
  <w:style w:type="character" w:customStyle="1" w:styleId="BuiltInTok">
    <w:name w:val="BuiltInTok"/>
    <w:basedOn w:val="VerbatimChar"/>
    <w:rsid w:val="00AC7C08"/>
    <w:rPr>
      <w:rFonts w:ascii="Consolas" w:hAnsi="Consolas"/>
      <w:sz w:val="20"/>
      <w:shd w:val="clear" w:color="auto" w:fill="F8F8F8"/>
    </w:rPr>
  </w:style>
  <w:style w:type="character" w:customStyle="1" w:styleId="ExtensionTok">
    <w:name w:val="ExtensionTok"/>
    <w:basedOn w:val="VerbatimChar"/>
    <w:rsid w:val="00AC7C08"/>
    <w:rPr>
      <w:rFonts w:ascii="Consolas" w:hAnsi="Consolas"/>
      <w:sz w:val="20"/>
      <w:shd w:val="clear" w:color="auto" w:fill="F8F8F8"/>
    </w:rPr>
  </w:style>
  <w:style w:type="character" w:customStyle="1" w:styleId="PreprocessorTok">
    <w:name w:val="PreprocessorTok"/>
    <w:basedOn w:val="VerbatimChar"/>
    <w:rsid w:val="00AC7C08"/>
    <w:rPr>
      <w:rFonts w:ascii="Consolas" w:hAnsi="Consolas"/>
      <w:i/>
      <w:color w:val="8F5902"/>
      <w:sz w:val="20"/>
      <w:shd w:val="clear" w:color="auto" w:fill="F8F8F8"/>
    </w:rPr>
  </w:style>
  <w:style w:type="character" w:customStyle="1" w:styleId="AttributeTok">
    <w:name w:val="AttributeTok"/>
    <w:basedOn w:val="VerbatimChar"/>
    <w:rsid w:val="00AC7C08"/>
    <w:rPr>
      <w:rFonts w:ascii="Consolas" w:hAnsi="Consolas"/>
      <w:color w:val="C4A000"/>
      <w:sz w:val="20"/>
      <w:shd w:val="clear" w:color="auto" w:fill="F8F8F8"/>
    </w:rPr>
  </w:style>
  <w:style w:type="character" w:customStyle="1" w:styleId="RegionMarkerTok">
    <w:name w:val="RegionMarkerTok"/>
    <w:basedOn w:val="VerbatimChar"/>
    <w:rsid w:val="00AC7C08"/>
    <w:rPr>
      <w:rFonts w:ascii="Consolas" w:hAnsi="Consolas"/>
      <w:sz w:val="20"/>
      <w:shd w:val="clear" w:color="auto" w:fill="F8F8F8"/>
    </w:rPr>
  </w:style>
  <w:style w:type="character" w:customStyle="1" w:styleId="InformationTok">
    <w:name w:val="InformationTok"/>
    <w:basedOn w:val="VerbatimChar"/>
    <w:rsid w:val="00AC7C08"/>
    <w:rPr>
      <w:rFonts w:ascii="Consolas" w:hAnsi="Consolas"/>
      <w:b/>
      <w:i/>
      <w:color w:val="8F5902"/>
      <w:sz w:val="20"/>
      <w:shd w:val="clear" w:color="auto" w:fill="F8F8F8"/>
    </w:rPr>
  </w:style>
  <w:style w:type="character" w:customStyle="1" w:styleId="WarningTok">
    <w:name w:val="WarningTok"/>
    <w:basedOn w:val="VerbatimChar"/>
    <w:rsid w:val="00AC7C08"/>
    <w:rPr>
      <w:rFonts w:ascii="Consolas" w:hAnsi="Consolas"/>
      <w:b/>
      <w:i/>
      <w:color w:val="8F5902"/>
      <w:sz w:val="20"/>
      <w:shd w:val="clear" w:color="auto" w:fill="F8F8F8"/>
    </w:rPr>
  </w:style>
  <w:style w:type="character" w:customStyle="1" w:styleId="AlertTok">
    <w:name w:val="AlertTok"/>
    <w:basedOn w:val="VerbatimChar"/>
    <w:rsid w:val="00AC7C08"/>
    <w:rPr>
      <w:rFonts w:ascii="Consolas" w:hAnsi="Consolas"/>
      <w:color w:val="EF2929"/>
      <w:sz w:val="20"/>
      <w:shd w:val="clear" w:color="auto" w:fill="F8F8F8"/>
    </w:rPr>
  </w:style>
  <w:style w:type="character" w:customStyle="1" w:styleId="ErrorTok">
    <w:name w:val="ErrorTok"/>
    <w:basedOn w:val="VerbatimChar"/>
    <w:rsid w:val="00AC7C08"/>
    <w:rPr>
      <w:rFonts w:ascii="Consolas" w:hAnsi="Consolas"/>
      <w:b/>
      <w:color w:val="A40000"/>
      <w:sz w:val="20"/>
      <w:shd w:val="clear" w:color="auto" w:fill="F8F8F8"/>
    </w:rPr>
  </w:style>
  <w:style w:type="character" w:customStyle="1" w:styleId="NormalTok">
    <w:name w:val="NormalTok"/>
    <w:basedOn w:val="VerbatimChar"/>
    <w:rsid w:val="00AC7C08"/>
    <w:rPr>
      <w:rFonts w:ascii="Consolas" w:hAnsi="Consolas"/>
      <w:sz w:val="20"/>
      <w:shd w:val="clear" w:color="auto" w:fill="F8F8F8"/>
    </w:rPr>
  </w:style>
  <w:style w:type="character" w:styleId="BookTitle">
    <w:name w:val="Book Title"/>
    <w:basedOn w:val="DefaultParagraphFont"/>
    <w:rsid w:val="00213462"/>
    <w:rPr>
      <w:b/>
      <w:bCs/>
      <w:i/>
      <w:iCs/>
      <w:spacing w:val="5"/>
    </w:rPr>
  </w:style>
  <w:style w:type="character" w:customStyle="1" w:styleId="BodyTextChar">
    <w:name w:val="Body Text Char"/>
    <w:basedOn w:val="DefaultParagraphFont"/>
    <w:link w:val="BodyText"/>
    <w:rsid w:val="00213462"/>
  </w:style>
  <w:style w:type="character" w:styleId="HTMLSample">
    <w:name w:val="HTML Sample"/>
    <w:basedOn w:val="DefaultParagraphFont"/>
    <w:semiHidden/>
    <w:unhideWhenUsed/>
    <w:rsid w:val="00AC7C08"/>
    <w:rPr>
      <w:rFonts w:ascii="Consolas" w:hAnsi="Consolas"/>
      <w:sz w:val="20"/>
      <w:szCs w:val="24"/>
    </w:rPr>
  </w:style>
  <w:style w:type="paragraph" w:styleId="NoSpacing">
    <w:name w:val="No Spacing"/>
    <w:rsid w:val="00AC7C08"/>
    <w:pPr>
      <w:spacing w:after="0"/>
    </w:pPr>
    <w:rPr>
      <w:rFonts w:ascii="Arial" w:hAnsi="Arial"/>
      <w:sz w:val="22"/>
    </w:rPr>
  </w:style>
  <w:style w:type="paragraph" w:styleId="BalloonText">
    <w:name w:val="Balloon Text"/>
    <w:basedOn w:val="Normal"/>
    <w:link w:val="BalloonTextChar"/>
    <w:semiHidden/>
    <w:unhideWhenUsed/>
    <w:rsid w:val="008E6D1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E6D1B"/>
    <w:rPr>
      <w:rFonts w:ascii="Times New Roman" w:hAnsi="Times New Roman" w:cs="Times New Roman"/>
      <w:sz w:val="18"/>
      <w:szCs w:val="18"/>
    </w:rPr>
  </w:style>
  <w:style w:type="character" w:styleId="CommentReference">
    <w:name w:val="annotation reference"/>
    <w:basedOn w:val="DefaultParagraphFont"/>
    <w:semiHidden/>
    <w:unhideWhenUsed/>
    <w:rsid w:val="008E6D1B"/>
    <w:rPr>
      <w:sz w:val="16"/>
      <w:szCs w:val="16"/>
    </w:rPr>
  </w:style>
  <w:style w:type="paragraph" w:styleId="CommentText">
    <w:name w:val="annotation text"/>
    <w:basedOn w:val="Normal"/>
    <w:link w:val="CommentTextChar"/>
    <w:semiHidden/>
    <w:unhideWhenUsed/>
    <w:rsid w:val="008E6D1B"/>
    <w:rPr>
      <w:sz w:val="20"/>
      <w:szCs w:val="20"/>
    </w:rPr>
  </w:style>
  <w:style w:type="character" w:customStyle="1" w:styleId="CommentTextChar">
    <w:name w:val="Comment Text Char"/>
    <w:basedOn w:val="DefaultParagraphFont"/>
    <w:link w:val="CommentText"/>
    <w:semiHidden/>
    <w:rsid w:val="008E6D1B"/>
    <w:rPr>
      <w:rFonts w:ascii="Arial" w:hAnsi="Arial"/>
      <w:sz w:val="20"/>
      <w:szCs w:val="20"/>
    </w:rPr>
  </w:style>
  <w:style w:type="paragraph" w:styleId="CommentSubject">
    <w:name w:val="annotation subject"/>
    <w:basedOn w:val="CommentText"/>
    <w:next w:val="CommentText"/>
    <w:link w:val="CommentSubjectChar"/>
    <w:semiHidden/>
    <w:unhideWhenUsed/>
    <w:rsid w:val="008E6D1B"/>
    <w:rPr>
      <w:b/>
      <w:bCs/>
    </w:rPr>
  </w:style>
  <w:style w:type="character" w:customStyle="1" w:styleId="CommentSubjectChar">
    <w:name w:val="Comment Subject Char"/>
    <w:basedOn w:val="CommentTextChar"/>
    <w:link w:val="CommentSubject"/>
    <w:semiHidden/>
    <w:rsid w:val="008E6D1B"/>
    <w:rPr>
      <w:rFonts w:ascii="Arial" w:hAnsi="Arial"/>
      <w:b/>
      <w:bCs/>
      <w:sz w:val="20"/>
      <w:szCs w:val="20"/>
    </w:rPr>
  </w:style>
  <w:style w:type="paragraph" w:styleId="Revision">
    <w:name w:val="Revision"/>
    <w:hidden/>
    <w:semiHidden/>
    <w:rsid w:val="008E6D1B"/>
    <w:pPr>
      <w:spacing w:after="0"/>
    </w:pPr>
    <w:rPr>
      <w:rFonts w:ascii="Arial" w:hAnsi="Arial"/>
      <w:sz w:val="22"/>
    </w:rPr>
  </w:style>
  <w:style w:type="paragraph" w:styleId="Header">
    <w:name w:val="header"/>
    <w:basedOn w:val="Normal"/>
    <w:link w:val="HeaderChar"/>
    <w:unhideWhenUsed/>
    <w:rsid w:val="008E6D1B"/>
    <w:pPr>
      <w:tabs>
        <w:tab w:val="center" w:pos="4680"/>
        <w:tab w:val="right" w:pos="9360"/>
      </w:tabs>
      <w:spacing w:after="0"/>
    </w:pPr>
  </w:style>
  <w:style w:type="character" w:customStyle="1" w:styleId="HeaderChar">
    <w:name w:val="Header Char"/>
    <w:basedOn w:val="DefaultParagraphFont"/>
    <w:link w:val="Header"/>
    <w:rsid w:val="008E6D1B"/>
    <w:rPr>
      <w:rFonts w:ascii="Arial" w:hAnsi="Arial"/>
      <w:sz w:val="22"/>
    </w:rPr>
  </w:style>
  <w:style w:type="paragraph" w:styleId="Footer">
    <w:name w:val="footer"/>
    <w:basedOn w:val="Normal"/>
    <w:link w:val="FooterChar"/>
    <w:unhideWhenUsed/>
    <w:rsid w:val="008E6D1B"/>
    <w:pPr>
      <w:tabs>
        <w:tab w:val="center" w:pos="4680"/>
        <w:tab w:val="right" w:pos="9360"/>
      </w:tabs>
      <w:spacing w:after="0"/>
    </w:pPr>
  </w:style>
  <w:style w:type="character" w:customStyle="1" w:styleId="FooterChar">
    <w:name w:val="Footer Char"/>
    <w:basedOn w:val="DefaultParagraphFont"/>
    <w:link w:val="Footer"/>
    <w:rsid w:val="008E6D1B"/>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3390/ijerph11040444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77/0962280210386207" TargetMode="External"/><Relationship Id="rId7" Type="http://schemas.openxmlformats.org/officeDocument/2006/relationships/hyperlink" Target="https://github.com/kvntchn/gm-nhl-ice" TargetMode="External"/><Relationship Id="rId12" Type="http://schemas.openxmlformats.org/officeDocument/2006/relationships/image" Target="media/image1.png"/><Relationship Id="rId17" Type="http://schemas.openxmlformats.org/officeDocument/2006/relationships/hyperlink" Target="https://doi.org/doi:10.1525/978052038157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i.org/10.1016/0270-0255(86)90088-6"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kvntchn/gm-nhl-ice" TargetMode="External"/><Relationship Id="rId23" Type="http://schemas.openxmlformats.org/officeDocument/2006/relationships/hyperlink" Target="https://journals.lww.com/epidem/Fulltext/2014/11000/The_Parametric_g_Formula_for_Time_to_event_Data_.16.aspx"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www.jstor.org/stable/370236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02/ajim.4700260505"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6556</Words>
  <Characters>37373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43842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Kevin Chen</cp:lastModifiedBy>
  <cp:revision>8</cp:revision>
  <dcterms:created xsi:type="dcterms:W3CDTF">2023-08-06T20:12:00Z</dcterms:created>
  <dcterms:modified xsi:type="dcterms:W3CDTF">2023-08-06T20:29:00Z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
    <vt:lpwstr/>
  </property>
  <property fmtid="{D5CDD505-2E9C-101B-9397-08002B2CF9AE}" pid="6" name="editor_options">
    <vt:lpwstr/>
  </property>
  <property fmtid="{D5CDD505-2E9C-101B-9397-08002B2CF9AE}" pid="7" name="execute">
    <vt:lpwstr/>
  </property>
  <property fmtid="{D5CDD505-2E9C-101B-9397-08002B2CF9AE}" pid="8" name="global-numbering">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tes-after-punctuation">
    <vt:lpwstr>True</vt:lpwstr>
  </property>
  <property fmtid="{D5CDD505-2E9C-101B-9397-08002B2CF9AE}" pid="14" name="toc-title">
    <vt:lpwstr>Table of contents</vt:lpwstr>
  </property>
</Properties>
</file>