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3BDEA" w14:textId="77777777" w:rsidR="0003309E" w:rsidRDefault="0003309E" w:rsidP="0003309E"/>
    <w:p w14:paraId="6989B84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6AB6993D" w14:textId="77777777" w:rsidR="0003309E" w:rsidRDefault="0003309E" w:rsidP="0003309E">
                              <w:pPr>
                                <w:spacing w:after="0" w:line="240" w:lineRule="auto"/>
                                <w:rPr>
                                  <w:b/>
                                  <w:color w:val="FF0000"/>
                                  <w:sz w:val="48"/>
                                  <w:szCs w:val="48"/>
                                </w:rPr>
                              </w:pPr>
                            </w:p>
                            <w:p w14:paraId="7A21994A"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7602ADCE"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636EBEB9" w14:textId="77777777" w:rsidR="0003309E" w:rsidRDefault="0003309E" w:rsidP="0003309E">
      <w:pPr>
        <w:rPr>
          <w:rFonts w:cs="Calibri Light"/>
          <w:color w:val="595959" w:themeColor="text1" w:themeTint="A6"/>
          <w:sz w:val="24"/>
          <w:szCs w:val="24"/>
          <w:lang w:val="es-ES"/>
        </w:rPr>
      </w:pPr>
    </w:p>
    <w:p w14:paraId="2A97BDFD" w14:textId="77777777" w:rsidR="0003309E" w:rsidRDefault="0003309E" w:rsidP="0003309E">
      <w:pPr>
        <w:rPr>
          <w:rFonts w:cs="Calibri Light"/>
          <w:color w:val="595959" w:themeColor="text1" w:themeTint="A6"/>
          <w:sz w:val="24"/>
          <w:szCs w:val="24"/>
          <w:lang w:val="es-ES"/>
        </w:rPr>
      </w:pPr>
    </w:p>
    <w:p w14:paraId="1A605347" w14:textId="77777777" w:rsidR="0003309E" w:rsidRDefault="0003309E" w:rsidP="0003309E">
      <w:pPr>
        <w:rPr>
          <w:rFonts w:cs="Calibri Light"/>
          <w:color w:val="595959" w:themeColor="text1" w:themeTint="A6"/>
          <w:sz w:val="24"/>
          <w:szCs w:val="24"/>
          <w:lang w:val="es-ES"/>
        </w:rPr>
      </w:pPr>
    </w:p>
    <w:p w14:paraId="7C677F64" w14:textId="77777777" w:rsidR="0003309E" w:rsidRDefault="0003309E" w:rsidP="0003309E">
      <w:pPr>
        <w:rPr>
          <w:rFonts w:cs="Calibri Light"/>
          <w:color w:val="595959" w:themeColor="text1" w:themeTint="A6"/>
          <w:sz w:val="24"/>
          <w:szCs w:val="24"/>
          <w:lang w:val="es-ES"/>
        </w:rPr>
      </w:pPr>
    </w:p>
    <w:p w14:paraId="298F0CCD" w14:textId="77777777" w:rsidR="0003309E" w:rsidRDefault="0003309E" w:rsidP="0003309E">
      <w:pPr>
        <w:rPr>
          <w:rFonts w:cs="Calibri Light"/>
          <w:color w:val="595959" w:themeColor="text1" w:themeTint="A6"/>
          <w:sz w:val="24"/>
          <w:szCs w:val="24"/>
          <w:lang w:val="es-ES"/>
        </w:rPr>
      </w:pPr>
    </w:p>
    <w:p w14:paraId="6FEAD67B"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9733076" w14:textId="77777777" w:rsidTr="00C5122E">
        <w:trPr>
          <w:trHeight w:val="440"/>
        </w:trPr>
        <w:tc>
          <w:tcPr>
            <w:tcW w:w="9639" w:type="dxa"/>
            <w:vAlign w:val="center"/>
          </w:tcPr>
          <w:p w14:paraId="1F332DDD"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3B3786AC" w14:textId="77777777" w:rsidTr="00C5122E">
        <w:trPr>
          <w:trHeight w:val="800"/>
        </w:trPr>
        <w:tc>
          <w:tcPr>
            <w:tcW w:w="9639" w:type="dxa"/>
            <w:shd w:val="clear" w:color="auto" w:fill="D9E2F3" w:themeFill="accent1" w:themeFillTint="33"/>
            <w:vAlign w:val="center"/>
          </w:tcPr>
          <w:p w14:paraId="2316C2AF"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C3638D1" w14:textId="77777777" w:rsidR="0003309E" w:rsidRDefault="0003309E" w:rsidP="0003309E">
      <w:pPr>
        <w:spacing w:after="0" w:line="240" w:lineRule="auto"/>
        <w:rPr>
          <w:rFonts w:cs="Calibri Light"/>
          <w:color w:val="595959" w:themeColor="text1" w:themeTint="A6"/>
          <w:sz w:val="24"/>
          <w:szCs w:val="24"/>
          <w:lang w:val="es-ES"/>
        </w:rPr>
      </w:pPr>
    </w:p>
    <w:p w14:paraId="272E9CF1"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0"/>
        <w:gridCol w:w="8109"/>
      </w:tblGrid>
      <w:tr w:rsidR="0003309E" w14:paraId="41EC69B2" w14:textId="77777777" w:rsidTr="000A1331">
        <w:tc>
          <w:tcPr>
            <w:tcW w:w="2528" w:type="dxa"/>
            <w:vAlign w:val="center"/>
          </w:tcPr>
          <w:p w14:paraId="42479C6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5048B107" w14:textId="77777777" w:rsidR="0003309E" w:rsidRDefault="0003309E" w:rsidP="00585A13">
            <w:pPr>
              <w:jc w:val="both"/>
              <w:rPr>
                <w:rFonts w:ascii="Calibri" w:hAnsi="Calibri" w:cs="Arial"/>
                <w:i/>
                <w:color w:val="548DD4"/>
                <w:sz w:val="20"/>
                <w:szCs w:val="20"/>
                <w:lang w:eastAsia="es-CL"/>
              </w:rPr>
            </w:pPr>
            <w:r>
              <w:rPr>
                <w:rFonts w:ascii="Calibri" w:hAnsi="Calibri" w:cs="Arial"/>
                <w:sz w:val="20"/>
                <w:szCs w:val="20"/>
                <w:lang w:eastAsia="es-CL"/>
              </w:rPr>
              <w:t xml:space="preserve">Durante este periodo se avanzó en el componente de persistencia de datos de la Épica 001 – Fundamentos: Ingesta y persistencia de datos eléctricos. Se diseñó e implementó el modelo de base de datos </w:t>
            </w:r>
            <w:proofErr w:type="spellStart"/>
            <w:r>
              <w:rPr>
                <w:rFonts w:ascii="Calibri" w:hAnsi="Calibri" w:cs="Arial"/>
                <w:sz w:val="20"/>
                <w:szCs w:val="20"/>
                <w:lang w:eastAsia="es-CL"/>
              </w:rPr>
              <w:t>multi-tenant</w:t>
            </w:r>
            <w:proofErr w:type="spellEnd"/>
            <w:r>
              <w:rPr>
                <w:rFonts w:ascii="Calibri" w:hAnsi="Calibri" w:cs="Arial"/>
                <w:sz w:val="20"/>
                <w:szCs w:val="20"/>
                <w:lang w:eastAsia="es-CL"/>
              </w:rPr>
              <w:t xml:space="preserve"> de </w:t>
            </w:r>
            <w:proofErr w:type="spellStart"/>
            <w:r>
              <w:rPr>
                <w:rFonts w:ascii="Calibri" w:hAnsi="Calibri" w:cs="Arial"/>
                <w:sz w:val="20"/>
                <w:szCs w:val="20"/>
                <w:lang w:eastAsia="es-CL"/>
              </w:rPr>
              <w:t>ElectroMap</w:t>
            </w:r>
            <w:proofErr w:type="spellEnd"/>
            <w:r>
              <w:rPr>
                <w:rFonts w:ascii="Calibri" w:hAnsi="Calibri" w:cs="Arial"/>
                <w:sz w:val="20"/>
                <w:szCs w:val="20"/>
                <w:lang w:eastAsia="es-CL"/>
              </w:rPr>
              <w:t xml:space="preserve">, compuesto por 10 tablas (empresas, clientes, sucursales, usuarios, tableros, dispositivos, mediciones, alarmas, </w:t>
            </w:r>
            <w:proofErr w:type="spellStart"/>
            <w:r>
              <w:rPr>
                <w:rFonts w:ascii="Calibri" w:hAnsi="Calibri" w:cs="Arial"/>
                <w:sz w:val="20"/>
                <w:szCs w:val="20"/>
                <w:lang w:eastAsia="es-CL"/>
              </w:rPr>
              <w:t>calibres_cable</w:t>
            </w:r>
            <w:proofErr w:type="spellEnd"/>
            <w:r>
              <w:rPr>
                <w:rFonts w:ascii="Calibri" w:hAnsi="Calibri" w:cs="Arial"/>
                <w:sz w:val="20"/>
                <w:szCs w:val="20"/>
                <w:lang w:eastAsia="es-CL"/>
              </w:rPr>
              <w:t xml:space="preserve"> y circuitos), ya creadas y verificadas en un servidor PostgreSQL desplegado en </w:t>
            </w:r>
            <w:proofErr w:type="spellStart"/>
            <w:r>
              <w:rPr>
                <w:rFonts w:ascii="Calibri" w:hAnsi="Calibri" w:cs="Arial"/>
                <w:sz w:val="20"/>
                <w:szCs w:val="20"/>
                <w:lang w:eastAsia="es-CL"/>
              </w:rPr>
              <w:t>Railway</w:t>
            </w:r>
            <w:proofErr w:type="spellEnd"/>
            <w:r>
              <w:rPr>
                <w:rFonts w:ascii="Calibri" w:hAnsi="Calibri" w:cs="Arial"/>
                <w:sz w:val="20"/>
                <w:szCs w:val="20"/>
                <w:lang w:eastAsia="es-CL"/>
              </w:rPr>
              <w:t xml:space="preserve">. El modelo aplica las convenciones definidas (claves primarias BIGSERIAL, </w:t>
            </w:r>
            <w:proofErr w:type="spellStart"/>
            <w:r>
              <w:rPr>
                <w:rFonts w:ascii="Calibri" w:hAnsi="Calibri" w:cs="Arial"/>
                <w:sz w:val="20"/>
                <w:szCs w:val="20"/>
                <w:lang w:eastAsia="es-CL"/>
              </w:rPr>
              <w:t>timestamps</w:t>
            </w:r>
            <w:proofErr w:type="spellEnd"/>
            <w:r>
              <w:rPr>
                <w:rFonts w:ascii="Calibri" w:hAnsi="Calibri" w:cs="Arial"/>
                <w:sz w:val="20"/>
                <w:szCs w:val="20"/>
                <w:lang w:eastAsia="es-CL"/>
              </w:rPr>
              <w:t xml:space="preserve"> con zona horaria, eliminación lógica mediante la columna activo, nomenclatura en español) e incorpora restricciones CHECK que garantizan en la propia base de datos el modelo de permisos </w:t>
            </w:r>
            <w:proofErr w:type="spellStart"/>
            <w:r>
              <w:rPr>
                <w:rFonts w:ascii="Calibri" w:hAnsi="Calibri" w:cs="Arial"/>
                <w:sz w:val="20"/>
                <w:szCs w:val="20"/>
                <w:lang w:eastAsia="es-CL"/>
              </w:rPr>
              <w:t>multi-tenant</w:t>
            </w:r>
            <w:proofErr w:type="spellEnd"/>
            <w:r>
              <w:rPr>
                <w:rFonts w:ascii="Calibri" w:hAnsi="Calibri" w:cs="Arial"/>
                <w:sz w:val="20"/>
                <w:szCs w:val="20"/>
                <w:lang w:eastAsia="es-CL"/>
              </w:rPr>
              <w:t xml:space="preserve"> (VSC / empresa / cliente), evitando que un cliente final pueda editar información o acceder fuera de su alcance. Aún no se ha iniciado el desarrollo del código de ingesta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que recibirá las mediciones del analizador AcuRev-2110), por lo que la Épica 001 se encuentra parcialmente avanzada.</w:t>
            </w:r>
          </w:p>
          <w:p w14:paraId="0FBC3290"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sz w:val="20"/>
                <w:szCs w:val="20"/>
                <w:lang w:eastAsia="es-CL"/>
              </w:rPr>
              <w:t>No se registraron ajustes al alcance ni a la planificación original del proyecto durante este periodo.</w:t>
            </w:r>
          </w:p>
        </w:tc>
      </w:tr>
      <w:tr w:rsidR="0003309E" w14:paraId="35FD6EA6" w14:textId="77777777" w:rsidTr="000A1331">
        <w:trPr>
          <w:trHeight w:val="1247"/>
        </w:trPr>
        <w:tc>
          <w:tcPr>
            <w:tcW w:w="2528" w:type="dxa"/>
            <w:vAlign w:val="center"/>
          </w:tcPr>
          <w:p w14:paraId="259FB206"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7A7D5A48"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sz w:val="20"/>
                <w:szCs w:val="20"/>
                <w:lang w:eastAsia="es-CL"/>
              </w:rPr>
              <w:t>No aplica; no hubo ajustes a los objetivos definidos en la Fase 1.</w:t>
            </w:r>
          </w:p>
        </w:tc>
      </w:tr>
      <w:tr w:rsidR="0003309E" w14:paraId="618F344A" w14:textId="77777777" w:rsidTr="000A1331">
        <w:trPr>
          <w:trHeight w:val="939"/>
        </w:trPr>
        <w:tc>
          <w:tcPr>
            <w:tcW w:w="2528" w:type="dxa"/>
            <w:vAlign w:val="center"/>
          </w:tcPr>
          <w:p w14:paraId="568A9EC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1EF96B1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sz w:val="20"/>
                <w:szCs w:val="20"/>
                <w:lang w:eastAsia="es-CL"/>
              </w:rPr>
              <w:t xml:space="preserve">No aplica; se mantiene la metodología de trabajo definida en la Fase 1 del proyecto (organización por épicas dimensionadas con </w:t>
            </w:r>
            <w:proofErr w:type="spellStart"/>
            <w:r>
              <w:rPr>
                <w:rFonts w:ascii="Calibri" w:hAnsi="Calibri" w:cs="Arial"/>
                <w:sz w:val="20"/>
                <w:szCs w:val="20"/>
                <w:lang w:eastAsia="es-CL"/>
              </w:rPr>
              <w:t>Planning</w:t>
            </w:r>
            <w:proofErr w:type="spellEnd"/>
            <w:r>
              <w:rPr>
                <w:rFonts w:ascii="Calibri" w:hAnsi="Calibri" w:cs="Arial"/>
                <w:sz w:val="20"/>
                <w:szCs w:val="20"/>
                <w:lang w:eastAsia="es-CL"/>
              </w:rPr>
              <w:t xml:space="preserve"> Poker y seguimiento semanal contra la carta Gantt), sin modificaciones.</w:t>
            </w:r>
          </w:p>
        </w:tc>
      </w:tr>
      <w:tr w:rsidR="0003309E" w14:paraId="038F829A" w14:textId="77777777" w:rsidTr="000A1331">
        <w:trPr>
          <w:trHeight w:val="2377"/>
        </w:trPr>
        <w:tc>
          <w:tcPr>
            <w:tcW w:w="2528" w:type="dxa"/>
            <w:vAlign w:val="center"/>
          </w:tcPr>
          <w:p w14:paraId="4DD5E54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21C9D24D" w14:textId="0F24A43D" w:rsidR="0003309E" w:rsidRDefault="0003309E" w:rsidP="00585A13">
            <w:pPr>
              <w:jc w:val="both"/>
              <w:rPr>
                <w:rFonts w:ascii="Calibri" w:hAnsi="Calibri" w:cs="Arial"/>
                <w:i/>
                <w:color w:val="548DD4"/>
                <w:sz w:val="20"/>
                <w:szCs w:val="20"/>
                <w:lang w:eastAsia="es-CL"/>
              </w:rPr>
            </w:pPr>
            <w:r>
              <w:rPr>
                <w:rFonts w:ascii="Calibri" w:hAnsi="Calibri" w:cs="Arial"/>
                <w:sz w:val="20"/>
                <w:szCs w:val="20"/>
                <w:lang w:eastAsia="es-CL"/>
              </w:rPr>
              <w:t xml:space="preserve">Como evidencia de este avance se adjuntan capturas de pantalla del panel de </w:t>
            </w:r>
            <w:proofErr w:type="spellStart"/>
            <w:r>
              <w:rPr>
                <w:rFonts w:ascii="Calibri" w:hAnsi="Calibri" w:cs="Arial"/>
                <w:sz w:val="20"/>
                <w:szCs w:val="20"/>
                <w:lang w:eastAsia="es-CL"/>
              </w:rPr>
              <w:t>Railway</w:t>
            </w:r>
            <w:proofErr w:type="spellEnd"/>
            <w:r>
              <w:rPr>
                <w:rFonts w:ascii="Calibri" w:hAnsi="Calibri" w:cs="Arial"/>
                <w:sz w:val="20"/>
                <w:szCs w:val="20"/>
                <w:lang w:eastAsia="es-CL"/>
              </w:rPr>
              <w:t xml:space="preserve">, donde se visualizan las 10 tablas ya creadas y verificadas en la base de datos PostgreSQL del proyecto </w:t>
            </w:r>
            <w:proofErr w:type="spellStart"/>
            <w:r>
              <w:rPr>
                <w:rFonts w:ascii="Calibri" w:hAnsi="Calibri" w:cs="Arial"/>
                <w:sz w:val="20"/>
                <w:szCs w:val="20"/>
                <w:lang w:eastAsia="es-CL"/>
              </w:rPr>
              <w:t>ElectroMap</w:t>
            </w:r>
            <w:proofErr w:type="spellEnd"/>
            <w:r>
              <w:rPr>
                <w:rFonts w:ascii="Calibri" w:hAnsi="Calibri" w:cs="Arial"/>
                <w:sz w:val="20"/>
                <w:szCs w:val="20"/>
                <w:lang w:eastAsia="es-CL"/>
              </w:rPr>
              <w:t>.</w:t>
            </w:r>
          </w:p>
          <w:p w14:paraId="569590F7" w14:textId="77777777" w:rsidR="0003309E" w:rsidRDefault="0003309E" w:rsidP="00585A13">
            <w:pPr>
              <w:jc w:val="both"/>
              <w:rPr>
                <w:rFonts w:ascii="Calibri" w:hAnsi="Calibri" w:cs="Arial"/>
                <w:i/>
                <w:color w:val="548DD4"/>
                <w:sz w:val="20"/>
                <w:szCs w:val="20"/>
                <w:lang w:eastAsia="es-CL"/>
              </w:rPr>
            </w:pPr>
            <w:r>
              <w:rPr>
                <w:rFonts w:ascii="Calibri" w:hAnsi="Calibri" w:cs="Arial"/>
                <w:sz w:val="20"/>
                <w:szCs w:val="20"/>
                <w:lang w:eastAsia="es-CL"/>
              </w:rPr>
              <w:t>Adicionalmente, se cuenta con el documento técnico ‘</w:t>
            </w:r>
            <w:proofErr w:type="spellStart"/>
            <w:r>
              <w:rPr>
                <w:rFonts w:ascii="Calibri" w:hAnsi="Calibri" w:cs="Arial"/>
                <w:sz w:val="20"/>
                <w:szCs w:val="20"/>
                <w:lang w:eastAsia="es-CL"/>
              </w:rPr>
              <w:t>ElectroMap_Avance_BBDD</w:t>
            </w:r>
            <w:proofErr w:type="spellEnd"/>
            <w:r>
              <w:rPr>
                <w:rFonts w:ascii="Calibri" w:hAnsi="Calibri" w:cs="Arial"/>
                <w:sz w:val="20"/>
                <w:szCs w:val="20"/>
                <w:lang w:eastAsia="es-CL"/>
              </w:rPr>
              <w:t xml:space="preserve">’, que detalla el modelo completo de las 10 tablas, las convenciones de diseño acordadas y las restricciones de integridad y de permisos </w:t>
            </w:r>
            <w:proofErr w:type="spellStart"/>
            <w:r>
              <w:rPr>
                <w:rFonts w:ascii="Calibri" w:hAnsi="Calibri" w:cs="Arial"/>
                <w:sz w:val="20"/>
                <w:szCs w:val="20"/>
                <w:lang w:eastAsia="es-CL"/>
              </w:rPr>
              <w:t>multi-tenant</w:t>
            </w:r>
            <w:proofErr w:type="spellEnd"/>
            <w:r>
              <w:rPr>
                <w:rFonts w:ascii="Calibri" w:hAnsi="Calibri" w:cs="Arial"/>
                <w:sz w:val="20"/>
                <w:szCs w:val="20"/>
                <w:lang w:eastAsia="es-CL"/>
              </w:rPr>
              <w:t xml:space="preserve"> ya implementadas.</w:t>
            </w:r>
          </w:p>
          <w:p w14:paraId="42E72806"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sz w:val="20"/>
                <w:szCs w:val="20"/>
                <w:lang w:eastAsia="es-CL"/>
              </w:rPr>
              <w:t>La base de datos se encuentra desplegada en un entorno productivo en la nube (</w:t>
            </w:r>
            <w:proofErr w:type="spellStart"/>
            <w:r>
              <w:rPr>
                <w:rFonts w:ascii="Calibri" w:hAnsi="Calibri" w:cs="Arial"/>
                <w:sz w:val="20"/>
                <w:szCs w:val="20"/>
                <w:lang w:eastAsia="es-CL"/>
              </w:rPr>
              <w:t>Railway</w:t>
            </w:r>
            <w:proofErr w:type="spellEnd"/>
            <w:r>
              <w:rPr>
                <w:rFonts w:ascii="Calibri" w:hAnsi="Calibri" w:cs="Arial"/>
                <w:sz w:val="20"/>
                <w:szCs w:val="20"/>
                <w:lang w:eastAsia="es-CL"/>
              </w:rPr>
              <w:t>), aunque el código fuente del proyecto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y </w:t>
            </w:r>
            <w:proofErr w:type="spellStart"/>
            <w:r>
              <w:rPr>
                <w:rFonts w:ascii="Calibri" w:hAnsi="Calibri" w:cs="Arial"/>
                <w:sz w:val="20"/>
                <w:szCs w:val="20"/>
                <w:lang w:eastAsia="es-CL"/>
              </w:rPr>
              <w:t>frontend</w:t>
            </w:r>
            <w:proofErr w:type="spellEnd"/>
            <w:r>
              <w:rPr>
                <w:rFonts w:ascii="Calibri" w:hAnsi="Calibri" w:cs="Arial"/>
                <w:sz w:val="20"/>
                <w:szCs w:val="20"/>
                <w:lang w:eastAsia="es-CL"/>
              </w:rPr>
              <w:t>) aún no ha sido subido al repositorio Git.</w:t>
            </w:r>
          </w:p>
          <w:p w14:paraId="38F75548" w14:textId="0BBD7082" w:rsidR="0003309E" w:rsidRDefault="0098779F" w:rsidP="00585A13">
            <w:pPr>
              <w:jc w:val="both"/>
            </w:pPr>
            <w:r>
              <w:rPr>
                <w:noProof/>
              </w:rPr>
              <w:drawing>
                <wp:anchor distT="0" distB="0" distL="114300" distR="114300" simplePos="0" relativeHeight="251660288" behindDoc="0" locked="0" layoutInCell="1" allowOverlap="1" wp14:anchorId="1B2E76B1" wp14:editId="7D91F57A">
                  <wp:simplePos x="0" y="0"/>
                  <wp:positionH relativeFrom="column">
                    <wp:posOffset>-34925</wp:posOffset>
                  </wp:positionH>
                  <wp:positionV relativeFrom="paragraph">
                    <wp:posOffset>271145</wp:posOffset>
                  </wp:positionV>
                  <wp:extent cx="5012055" cy="2580640"/>
                  <wp:effectExtent l="0" t="0" r="0" b="0"/>
                  <wp:wrapSquare wrapText="bothSides"/>
                  <wp:docPr id="101" name="Evidencia Railway - 10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idencia Railway - 10 tabla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2055" cy="2580640"/>
                          </a:xfrm>
                          <a:prstGeom prst="rect">
                            <a:avLst/>
                          </a:prstGeom>
                        </pic:spPr>
                      </pic:pic>
                    </a:graphicData>
                  </a:graphic>
                  <wp14:sizeRelH relativeFrom="page">
                    <wp14:pctWidth>0</wp14:pctWidth>
                  </wp14:sizeRelH>
                  <wp14:sizeRelV relativeFrom="page">
                    <wp14:pctHeight>0</wp14:pctHeight>
                  </wp14:sizeRelV>
                </wp:anchor>
              </w:drawing>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0327FF97" w14:textId="77777777" w:rsidTr="000A1331">
        <w:trPr>
          <w:trHeight w:val="440"/>
        </w:trPr>
        <w:tc>
          <w:tcPr>
            <w:tcW w:w="9640" w:type="dxa"/>
            <w:vAlign w:val="center"/>
          </w:tcPr>
          <w:p w14:paraId="33920073"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7A479013" w14:textId="77777777" w:rsidTr="000A1331">
        <w:trPr>
          <w:trHeight w:val="800"/>
        </w:trPr>
        <w:tc>
          <w:tcPr>
            <w:tcW w:w="9640" w:type="dxa"/>
            <w:shd w:val="clear" w:color="auto" w:fill="D9E2F3" w:themeFill="accent1" w:themeFillTint="33"/>
            <w:vAlign w:val="center"/>
          </w:tcPr>
          <w:p w14:paraId="30850618" w14:textId="4CDB99A3"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266F1314"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21BF0617" w14:textId="77777777" w:rsidTr="00EA0C09">
        <w:trPr>
          <w:trHeight w:val="415"/>
        </w:trPr>
        <w:tc>
          <w:tcPr>
            <w:tcW w:w="9776" w:type="dxa"/>
            <w:gridSpan w:val="8"/>
            <w:vAlign w:val="center"/>
          </w:tcPr>
          <w:p w14:paraId="0E3BA89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0F185EEB" w14:textId="77777777" w:rsidTr="009552E5">
        <w:trPr>
          <w:trHeight w:val="711"/>
        </w:trPr>
        <w:tc>
          <w:tcPr>
            <w:tcW w:w="1328" w:type="dxa"/>
            <w:vAlign w:val="center"/>
          </w:tcPr>
          <w:p w14:paraId="38596F6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077" w:type="dxa"/>
            <w:vAlign w:val="center"/>
          </w:tcPr>
          <w:p w14:paraId="5A13B47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40FED7E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0BAC9162"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76520A6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44652AC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7826810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78311C52"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53F78BE7" w14:textId="77777777" w:rsidTr="00EA0C09">
        <w:trPr>
          <w:trHeight w:val="2410"/>
        </w:trPr>
        <w:tc>
          <w:tcPr>
            <w:tcW w:w="1328" w:type="dxa"/>
          </w:tcPr>
          <w:p w14:paraId="34FE0ADB" w14:textId="77777777" w:rsidR="00FD5149" w:rsidRPr="006E3B0D" w:rsidRDefault="00FD5149" w:rsidP="00FD5149">
            <w:pPr>
              <w:jc w:val="both"/>
              <w:rPr>
                <w:b/>
                <w:sz w:val="18"/>
                <w:szCs w:val="24"/>
              </w:rPr>
            </w:pPr>
            <w:r>
              <w:rPr>
                <w:rFonts w:ascii="Calibri" w:hAnsi="Calibri" w:cs="Arial"/>
                <w:sz w:val="18"/>
                <w:szCs w:val="20"/>
                <w:lang w:eastAsia="es-CL"/>
              </w:rPr>
              <w:t>Fundamentos: Ingesta y persistencia de datos eléctricos</w:t>
            </w:r>
          </w:p>
        </w:tc>
        <w:tc>
          <w:tcPr>
            <w:tcW w:w="1077" w:type="dxa"/>
          </w:tcPr>
          <w:p w14:paraId="10F330DA"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 xml:space="preserve">Diseño e implementación de la base de datos </w:t>
            </w:r>
            <w:proofErr w:type="spellStart"/>
            <w:r>
              <w:rPr>
                <w:rFonts w:ascii="Calibri" w:hAnsi="Calibri" w:cs="Arial"/>
                <w:sz w:val="18"/>
                <w:szCs w:val="20"/>
                <w:lang w:eastAsia="es-CL"/>
              </w:rPr>
              <w:t>multi-tenant</w:t>
            </w:r>
            <w:proofErr w:type="spellEnd"/>
            <w:r>
              <w:rPr>
                <w:rFonts w:ascii="Calibri" w:hAnsi="Calibri" w:cs="Arial"/>
                <w:sz w:val="18"/>
                <w:szCs w:val="20"/>
                <w:lang w:eastAsia="es-CL"/>
              </w:rPr>
              <w:t xml:space="preserve"> (10 tablas) y despliegue en PostgreSQL/</w:t>
            </w:r>
            <w:proofErr w:type="spellStart"/>
            <w:r>
              <w:rPr>
                <w:rFonts w:ascii="Calibri" w:hAnsi="Calibri" w:cs="Arial"/>
                <w:sz w:val="18"/>
                <w:szCs w:val="20"/>
                <w:lang w:eastAsia="es-CL"/>
              </w:rPr>
              <w:t>Railway</w:t>
            </w:r>
            <w:proofErr w:type="spellEnd"/>
            <w:r>
              <w:rPr>
                <w:rFonts w:ascii="Calibri" w:hAnsi="Calibri" w:cs="Arial"/>
                <w:sz w:val="18"/>
                <w:szCs w:val="20"/>
                <w:lang w:eastAsia="es-CL"/>
              </w:rPr>
              <w:t xml:space="preserve">. Pendiente: </w:t>
            </w:r>
            <w:proofErr w:type="spellStart"/>
            <w:r>
              <w:rPr>
                <w:rFonts w:ascii="Calibri" w:hAnsi="Calibri" w:cs="Arial"/>
                <w:sz w:val="18"/>
                <w:szCs w:val="20"/>
                <w:lang w:eastAsia="es-CL"/>
              </w:rPr>
              <w:t>backend</w:t>
            </w:r>
            <w:proofErr w:type="spellEnd"/>
            <w:r>
              <w:rPr>
                <w:rFonts w:ascii="Calibri" w:hAnsi="Calibri" w:cs="Arial"/>
                <w:sz w:val="18"/>
                <w:szCs w:val="20"/>
                <w:lang w:eastAsia="es-CL"/>
              </w:rPr>
              <w:t xml:space="preserve"> de ingesta.</w:t>
            </w:r>
          </w:p>
        </w:tc>
        <w:tc>
          <w:tcPr>
            <w:tcW w:w="1276" w:type="dxa"/>
          </w:tcPr>
          <w:p w14:paraId="5CA5E500" w14:textId="77777777" w:rsidR="00FD5149" w:rsidRPr="006E3B0D" w:rsidRDefault="00FD5149" w:rsidP="00FD5149">
            <w:pPr>
              <w:jc w:val="both"/>
              <w:rPr>
                <w:b/>
                <w:sz w:val="18"/>
                <w:szCs w:val="24"/>
              </w:rPr>
            </w:pPr>
            <w:r>
              <w:rPr>
                <w:rFonts w:ascii="Calibri" w:hAnsi="Calibri" w:cs="Arial"/>
                <w:sz w:val="18"/>
                <w:szCs w:val="20"/>
                <w:lang w:eastAsia="es-CL"/>
              </w:rPr>
              <w:t xml:space="preserve">PostgreSQL, </w:t>
            </w:r>
            <w:proofErr w:type="spellStart"/>
            <w:r>
              <w:rPr>
                <w:rFonts w:ascii="Calibri" w:hAnsi="Calibri" w:cs="Arial"/>
                <w:sz w:val="18"/>
                <w:szCs w:val="20"/>
                <w:lang w:eastAsia="es-CL"/>
              </w:rPr>
              <w:t>Railway</w:t>
            </w:r>
            <w:proofErr w:type="spellEnd"/>
            <w:r>
              <w:rPr>
                <w:rFonts w:ascii="Calibri" w:hAnsi="Calibri" w:cs="Arial"/>
                <w:sz w:val="18"/>
                <w:szCs w:val="20"/>
                <w:lang w:eastAsia="es-CL"/>
              </w:rPr>
              <w:t xml:space="preserve">, consola </w:t>
            </w:r>
            <w:proofErr w:type="spellStart"/>
            <w:r>
              <w:rPr>
                <w:rFonts w:ascii="Calibri" w:hAnsi="Calibri" w:cs="Arial"/>
                <w:sz w:val="18"/>
                <w:szCs w:val="20"/>
                <w:lang w:eastAsia="es-CL"/>
              </w:rPr>
              <w:t>psql</w:t>
            </w:r>
            <w:proofErr w:type="spellEnd"/>
            <w:r>
              <w:rPr>
                <w:rFonts w:ascii="Calibri" w:hAnsi="Calibri" w:cs="Arial"/>
                <w:sz w:val="18"/>
                <w:szCs w:val="20"/>
                <w:lang w:eastAsia="es-CL"/>
              </w:rPr>
              <w:t>.</w:t>
            </w:r>
          </w:p>
        </w:tc>
        <w:tc>
          <w:tcPr>
            <w:tcW w:w="1276" w:type="dxa"/>
          </w:tcPr>
          <w:p w14:paraId="634F079E" w14:textId="77777777" w:rsidR="00FD5149" w:rsidRPr="006E3B0D" w:rsidRDefault="00FD5149" w:rsidP="00FD5149">
            <w:pPr>
              <w:jc w:val="both"/>
              <w:rPr>
                <w:b/>
                <w:sz w:val="18"/>
                <w:szCs w:val="24"/>
              </w:rPr>
            </w:pPr>
            <w:r>
              <w:rPr>
                <w:rFonts w:ascii="Calibri" w:hAnsi="Calibri" w:cs="Arial"/>
                <w:sz w:val="18"/>
                <w:szCs w:val="20"/>
                <w:lang w:eastAsia="es-CL"/>
              </w:rPr>
              <w:t>3 semanas</w:t>
            </w:r>
          </w:p>
        </w:tc>
        <w:tc>
          <w:tcPr>
            <w:tcW w:w="1275" w:type="dxa"/>
          </w:tcPr>
          <w:p w14:paraId="69E41156"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Kevin Zapata Dávila</w:t>
            </w:r>
          </w:p>
        </w:tc>
        <w:tc>
          <w:tcPr>
            <w:tcW w:w="1276" w:type="dxa"/>
          </w:tcPr>
          <w:p w14:paraId="6D7A0162"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Persistencia completada; falta la ingesta (</w:t>
            </w:r>
            <w:proofErr w:type="spellStart"/>
            <w:r>
              <w:rPr>
                <w:rFonts w:ascii="Calibri" w:hAnsi="Calibri" w:cs="Arial"/>
                <w:sz w:val="18"/>
                <w:szCs w:val="20"/>
                <w:lang w:eastAsia="es-CL"/>
              </w:rPr>
              <w:t>backend</w:t>
            </w:r>
            <w:proofErr w:type="spellEnd"/>
            <w:r>
              <w:rPr>
                <w:rFonts w:ascii="Calibri" w:hAnsi="Calibri" w:cs="Arial"/>
                <w:sz w:val="18"/>
                <w:szCs w:val="20"/>
                <w:lang w:eastAsia="es-CL"/>
              </w:rPr>
              <w:t>). Ver sección 3.</w:t>
            </w:r>
          </w:p>
        </w:tc>
        <w:tc>
          <w:tcPr>
            <w:tcW w:w="1418" w:type="dxa"/>
          </w:tcPr>
          <w:p w14:paraId="7C93F114"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Con retraso</w:t>
            </w:r>
          </w:p>
          <w:p w14:paraId="52947C6F" w14:textId="77777777" w:rsidR="00FD5149" w:rsidRPr="00E54467" w:rsidRDefault="00FD5149" w:rsidP="00FD5149">
            <w:pPr>
              <w:jc w:val="both"/>
              <w:rPr>
                <w:rFonts w:ascii="Calibri" w:hAnsi="Calibri" w:cs="Arial"/>
                <w:i/>
                <w:color w:val="C00000"/>
                <w:sz w:val="16"/>
                <w:szCs w:val="20"/>
                <w:lang w:eastAsia="es-CL"/>
              </w:rPr>
            </w:pPr>
          </w:p>
          <w:p w14:paraId="25768505" w14:textId="77777777" w:rsidR="00FD5149" w:rsidRPr="00CA29F2" w:rsidRDefault="00FD5149" w:rsidP="00FD5149">
            <w:pPr>
              <w:jc w:val="both"/>
              <w:rPr>
                <w:rFonts w:ascii="Calibri" w:hAnsi="Calibri" w:cs="Arial"/>
                <w:i/>
                <w:color w:val="548DD4"/>
                <w:sz w:val="18"/>
                <w:szCs w:val="20"/>
                <w:lang w:eastAsia="es-CL"/>
              </w:rPr>
            </w:pPr>
          </w:p>
          <w:p w14:paraId="4ED9CA5C" w14:textId="77777777" w:rsidR="00FD5149" w:rsidRPr="00E54467" w:rsidRDefault="00FD5149" w:rsidP="00FD5149">
            <w:pPr>
              <w:jc w:val="both"/>
              <w:rPr>
                <w:rFonts w:ascii="Calibri" w:hAnsi="Calibri" w:cs="Arial"/>
                <w:i/>
                <w:color w:val="C00000"/>
                <w:sz w:val="16"/>
                <w:szCs w:val="20"/>
                <w:lang w:eastAsia="es-CL"/>
              </w:rPr>
            </w:pPr>
          </w:p>
        </w:tc>
        <w:tc>
          <w:tcPr>
            <w:tcW w:w="850" w:type="dxa"/>
          </w:tcPr>
          <w:p w14:paraId="14351872"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Sin ajustes</w:t>
            </w:r>
          </w:p>
        </w:tc>
      </w:tr>
      <w:tr w:rsidR="00FD5149" w:rsidRPr="006E3B0D" w14:paraId="402955B8" w14:textId="77777777" w:rsidTr="00EA0C09">
        <w:trPr>
          <w:trHeight w:val="2410"/>
        </w:trPr>
        <w:tc>
          <w:tcPr>
            <w:tcW w:w="1328" w:type="dxa"/>
          </w:tcPr>
          <w:p w14:paraId="5ABF097D" w14:textId="77777777" w:rsidR="00FD5149" w:rsidRPr="006E3B0D" w:rsidRDefault="00FD5149" w:rsidP="00FD5149">
            <w:pPr>
              <w:jc w:val="both"/>
              <w:rPr>
                <w:b/>
                <w:sz w:val="18"/>
                <w:szCs w:val="24"/>
              </w:rPr>
            </w:pPr>
            <w:r>
              <w:rPr>
                <w:rFonts w:ascii="Calibri" w:hAnsi="Calibri" w:cs="Arial"/>
                <w:sz w:val="18"/>
                <w:szCs w:val="20"/>
                <w:lang w:eastAsia="es-CL"/>
              </w:rPr>
              <w:t>Integración &amp; tiempo real: Visualización en vivo</w:t>
            </w:r>
          </w:p>
        </w:tc>
        <w:tc>
          <w:tcPr>
            <w:tcW w:w="1077" w:type="dxa"/>
          </w:tcPr>
          <w:p w14:paraId="6DDBE1D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 xml:space="preserve">Implementación del </w:t>
            </w:r>
            <w:proofErr w:type="spellStart"/>
            <w:r>
              <w:rPr>
                <w:rFonts w:ascii="Calibri" w:hAnsi="Calibri" w:cs="Arial"/>
                <w:sz w:val="18"/>
                <w:szCs w:val="20"/>
                <w:lang w:eastAsia="es-CL"/>
              </w:rPr>
              <w:t>backend</w:t>
            </w:r>
            <w:proofErr w:type="spellEnd"/>
            <w:r>
              <w:rPr>
                <w:rFonts w:ascii="Calibri" w:hAnsi="Calibri" w:cs="Arial"/>
                <w:sz w:val="18"/>
                <w:szCs w:val="20"/>
                <w:lang w:eastAsia="es-CL"/>
              </w:rPr>
              <w:t xml:space="preserve"> de ingesta de mediciones y de la retransmisión en tiempo real hacia el </w:t>
            </w:r>
            <w:proofErr w:type="spellStart"/>
            <w:r>
              <w:rPr>
                <w:rFonts w:ascii="Calibri" w:hAnsi="Calibri" w:cs="Arial"/>
                <w:sz w:val="18"/>
                <w:szCs w:val="20"/>
                <w:lang w:eastAsia="es-CL"/>
              </w:rPr>
              <w:t>dashboard</w:t>
            </w:r>
            <w:proofErr w:type="spellEnd"/>
            <w:r>
              <w:rPr>
                <w:rFonts w:ascii="Calibri" w:hAnsi="Calibri" w:cs="Arial"/>
                <w:sz w:val="18"/>
                <w:szCs w:val="20"/>
                <w:lang w:eastAsia="es-CL"/>
              </w:rPr>
              <w:t xml:space="preserve"> mediante </w:t>
            </w:r>
            <w:proofErr w:type="spellStart"/>
            <w:r>
              <w:rPr>
                <w:rFonts w:ascii="Calibri" w:hAnsi="Calibri" w:cs="Arial"/>
                <w:sz w:val="18"/>
                <w:szCs w:val="20"/>
                <w:lang w:eastAsia="es-CL"/>
              </w:rPr>
              <w:t>WebSocket</w:t>
            </w:r>
            <w:proofErr w:type="spellEnd"/>
            <w:r>
              <w:rPr>
                <w:rFonts w:ascii="Calibri" w:hAnsi="Calibri" w:cs="Arial"/>
                <w:sz w:val="18"/>
                <w:szCs w:val="20"/>
                <w:lang w:eastAsia="es-CL"/>
              </w:rPr>
              <w:t>.</w:t>
            </w:r>
          </w:p>
        </w:tc>
        <w:tc>
          <w:tcPr>
            <w:tcW w:w="1276" w:type="dxa"/>
          </w:tcPr>
          <w:p w14:paraId="2772EDDD" w14:textId="77777777" w:rsidR="00FD5149" w:rsidRPr="0098779F" w:rsidRDefault="00FD5149" w:rsidP="00FD5149">
            <w:pPr>
              <w:jc w:val="both"/>
              <w:rPr>
                <w:b/>
                <w:sz w:val="18"/>
                <w:szCs w:val="24"/>
                <w:lang w:val="en-US"/>
              </w:rPr>
            </w:pPr>
            <w:r w:rsidRPr="0098779F">
              <w:rPr>
                <w:rFonts w:ascii="Calibri" w:hAnsi="Calibri" w:cs="Arial"/>
                <w:sz w:val="18"/>
                <w:szCs w:val="20"/>
                <w:lang w:val="en-US" w:eastAsia="es-CL"/>
              </w:rPr>
              <w:t>Backend (API REST), WebSocket, PostgreSQL, Railway.</w:t>
            </w:r>
          </w:p>
        </w:tc>
        <w:tc>
          <w:tcPr>
            <w:tcW w:w="1276" w:type="dxa"/>
          </w:tcPr>
          <w:p w14:paraId="7F1BF027" w14:textId="77777777" w:rsidR="00FD5149" w:rsidRPr="006E3B0D" w:rsidRDefault="00FD5149" w:rsidP="00FD5149">
            <w:pPr>
              <w:jc w:val="both"/>
              <w:rPr>
                <w:b/>
                <w:sz w:val="18"/>
                <w:szCs w:val="24"/>
              </w:rPr>
            </w:pPr>
            <w:r>
              <w:rPr>
                <w:rFonts w:ascii="Calibri" w:hAnsi="Calibri" w:cs="Arial"/>
                <w:sz w:val="18"/>
                <w:szCs w:val="20"/>
                <w:lang w:eastAsia="es-CL"/>
              </w:rPr>
              <w:t>4 semanas</w:t>
            </w:r>
          </w:p>
        </w:tc>
        <w:tc>
          <w:tcPr>
            <w:tcW w:w="1275" w:type="dxa"/>
          </w:tcPr>
          <w:p w14:paraId="6DD90333"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Kevin Zapata Dávila</w:t>
            </w:r>
          </w:p>
        </w:tc>
        <w:tc>
          <w:tcPr>
            <w:tcW w:w="1276" w:type="dxa"/>
          </w:tcPr>
          <w:p w14:paraId="395C9F42" w14:textId="77777777" w:rsidR="00FD5149" w:rsidRPr="006E3B0D" w:rsidRDefault="00FD5149" w:rsidP="00FD5149">
            <w:pPr>
              <w:jc w:val="both"/>
              <w:rPr>
                <w:rFonts w:ascii="Calibri" w:hAnsi="Calibri" w:cs="Arial"/>
                <w:i/>
                <w:color w:val="548DD4"/>
                <w:sz w:val="18"/>
                <w:szCs w:val="20"/>
                <w:lang w:eastAsia="es-CL"/>
              </w:rPr>
            </w:pPr>
          </w:p>
        </w:tc>
        <w:tc>
          <w:tcPr>
            <w:tcW w:w="1418" w:type="dxa"/>
          </w:tcPr>
          <w:p w14:paraId="315677D3"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No iniciado</w:t>
            </w:r>
          </w:p>
          <w:p w14:paraId="5D3FB31E" w14:textId="77777777" w:rsidR="00FD5149" w:rsidRPr="00E54467" w:rsidRDefault="00FD5149" w:rsidP="00FD5149">
            <w:pPr>
              <w:jc w:val="both"/>
              <w:rPr>
                <w:rFonts w:ascii="Calibri" w:hAnsi="Calibri" w:cs="Arial"/>
                <w:i/>
                <w:color w:val="C00000"/>
                <w:sz w:val="16"/>
                <w:szCs w:val="20"/>
                <w:lang w:eastAsia="es-CL"/>
              </w:rPr>
            </w:pPr>
          </w:p>
          <w:p w14:paraId="6FC75B17" w14:textId="77777777" w:rsidR="00FD5149" w:rsidRPr="00CA29F2" w:rsidRDefault="00FD5149" w:rsidP="00FD5149">
            <w:pPr>
              <w:jc w:val="both"/>
              <w:rPr>
                <w:rFonts w:ascii="Calibri" w:hAnsi="Calibri" w:cs="Arial"/>
                <w:i/>
                <w:color w:val="548DD4"/>
                <w:sz w:val="18"/>
                <w:szCs w:val="20"/>
                <w:lang w:eastAsia="es-CL"/>
              </w:rPr>
            </w:pPr>
          </w:p>
          <w:p w14:paraId="4DFE6F5A" w14:textId="77777777" w:rsidR="00FD5149" w:rsidRPr="00E54467" w:rsidRDefault="00FD5149" w:rsidP="00FD5149">
            <w:pPr>
              <w:jc w:val="both"/>
              <w:rPr>
                <w:rFonts w:ascii="Calibri" w:hAnsi="Calibri" w:cs="Arial"/>
                <w:i/>
                <w:color w:val="C00000"/>
                <w:sz w:val="16"/>
                <w:szCs w:val="20"/>
                <w:lang w:eastAsia="es-CL"/>
              </w:rPr>
            </w:pPr>
          </w:p>
        </w:tc>
        <w:tc>
          <w:tcPr>
            <w:tcW w:w="850" w:type="dxa"/>
          </w:tcPr>
          <w:p w14:paraId="35029C0C"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Sin ajustes</w:t>
            </w:r>
          </w:p>
        </w:tc>
      </w:tr>
      <w:tr w:rsidR="00FD5149" w:rsidRPr="006E3B0D" w14:paraId="721951FE" w14:textId="77777777" w:rsidTr="00EA0C09">
        <w:trPr>
          <w:trHeight w:val="2410"/>
        </w:trPr>
        <w:tc>
          <w:tcPr>
            <w:tcW w:w="1328" w:type="dxa"/>
          </w:tcPr>
          <w:p w14:paraId="0CCA5A20" w14:textId="77777777" w:rsidR="00FD5149" w:rsidRPr="006E3B0D" w:rsidRDefault="00FD5149" w:rsidP="00FD5149">
            <w:pPr>
              <w:jc w:val="both"/>
              <w:rPr>
                <w:b/>
                <w:sz w:val="18"/>
                <w:szCs w:val="24"/>
              </w:rPr>
            </w:pPr>
            <w:r>
              <w:rPr>
                <w:rFonts w:ascii="Calibri" w:hAnsi="Calibri" w:cs="Arial"/>
                <w:sz w:val="18"/>
                <w:szCs w:val="20"/>
                <w:lang w:eastAsia="es-CL"/>
              </w:rPr>
              <w:lastRenderedPageBreak/>
              <w:t>Funcionalidad &amp; seguridad: Alarmas, históricos y control de acceso</w:t>
            </w:r>
          </w:p>
        </w:tc>
        <w:tc>
          <w:tcPr>
            <w:tcW w:w="1077" w:type="dxa"/>
          </w:tcPr>
          <w:p w14:paraId="49F02EC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 xml:space="preserve">Implementación del sistema de alarmas por umbral, historial consultable de mediciones y control de acceso </w:t>
            </w:r>
            <w:proofErr w:type="spellStart"/>
            <w:r>
              <w:rPr>
                <w:rFonts w:ascii="Calibri" w:hAnsi="Calibri" w:cs="Arial"/>
                <w:sz w:val="18"/>
                <w:szCs w:val="20"/>
                <w:lang w:eastAsia="es-CL"/>
              </w:rPr>
              <w:t>multi-tenant</w:t>
            </w:r>
            <w:proofErr w:type="spellEnd"/>
            <w:r>
              <w:rPr>
                <w:rFonts w:ascii="Calibri" w:hAnsi="Calibri" w:cs="Arial"/>
                <w:sz w:val="18"/>
                <w:szCs w:val="20"/>
                <w:lang w:eastAsia="es-CL"/>
              </w:rPr>
              <w:t xml:space="preserve"> (VSC / empresa / cliente final).</w:t>
            </w:r>
          </w:p>
        </w:tc>
        <w:tc>
          <w:tcPr>
            <w:tcW w:w="1276" w:type="dxa"/>
          </w:tcPr>
          <w:p w14:paraId="1E3F6821" w14:textId="77777777" w:rsidR="00FD5149" w:rsidRPr="006E3B0D" w:rsidRDefault="00FD5149" w:rsidP="00FD5149">
            <w:pPr>
              <w:jc w:val="both"/>
              <w:rPr>
                <w:b/>
                <w:sz w:val="18"/>
                <w:szCs w:val="24"/>
              </w:rPr>
            </w:pPr>
            <w:proofErr w:type="spellStart"/>
            <w:r>
              <w:rPr>
                <w:rFonts w:ascii="Calibri" w:hAnsi="Calibri" w:cs="Arial"/>
                <w:sz w:val="18"/>
                <w:szCs w:val="20"/>
                <w:lang w:eastAsia="es-CL"/>
              </w:rPr>
              <w:t>Backend</w:t>
            </w:r>
            <w:proofErr w:type="spellEnd"/>
            <w:r>
              <w:rPr>
                <w:rFonts w:ascii="Calibri" w:hAnsi="Calibri" w:cs="Arial"/>
                <w:sz w:val="18"/>
                <w:szCs w:val="20"/>
                <w:lang w:eastAsia="es-CL"/>
              </w:rPr>
              <w:t xml:space="preserve">, PostgreSQL, </w:t>
            </w:r>
            <w:proofErr w:type="spellStart"/>
            <w:r>
              <w:rPr>
                <w:rFonts w:ascii="Calibri" w:hAnsi="Calibri" w:cs="Arial"/>
                <w:sz w:val="18"/>
                <w:szCs w:val="20"/>
                <w:lang w:eastAsia="es-CL"/>
              </w:rPr>
              <w:t>dashboard</w:t>
            </w:r>
            <w:proofErr w:type="spellEnd"/>
            <w:r>
              <w:rPr>
                <w:rFonts w:ascii="Calibri" w:hAnsi="Calibri" w:cs="Arial"/>
                <w:sz w:val="18"/>
                <w:szCs w:val="20"/>
                <w:lang w:eastAsia="es-CL"/>
              </w:rPr>
              <w:t xml:space="preserve"> web.</w:t>
            </w:r>
          </w:p>
        </w:tc>
        <w:tc>
          <w:tcPr>
            <w:tcW w:w="1276" w:type="dxa"/>
          </w:tcPr>
          <w:p w14:paraId="018A79AE" w14:textId="77777777" w:rsidR="00FD5149" w:rsidRPr="006E3B0D" w:rsidRDefault="00FD5149" w:rsidP="00FD5149">
            <w:pPr>
              <w:jc w:val="both"/>
              <w:rPr>
                <w:b/>
                <w:sz w:val="18"/>
                <w:szCs w:val="24"/>
              </w:rPr>
            </w:pPr>
            <w:r>
              <w:rPr>
                <w:rFonts w:ascii="Calibri" w:hAnsi="Calibri" w:cs="Arial"/>
                <w:sz w:val="18"/>
                <w:szCs w:val="20"/>
                <w:lang w:eastAsia="es-CL"/>
              </w:rPr>
              <w:t>5 semanas</w:t>
            </w:r>
          </w:p>
        </w:tc>
        <w:tc>
          <w:tcPr>
            <w:tcW w:w="1275" w:type="dxa"/>
          </w:tcPr>
          <w:p w14:paraId="386ACAD3"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Kevin Zapata Dávila</w:t>
            </w:r>
          </w:p>
        </w:tc>
        <w:tc>
          <w:tcPr>
            <w:tcW w:w="1276" w:type="dxa"/>
          </w:tcPr>
          <w:p w14:paraId="73F3C67C" w14:textId="77777777" w:rsidR="00FD5149" w:rsidRPr="006E3B0D" w:rsidRDefault="00FD5149" w:rsidP="00FD5149">
            <w:pPr>
              <w:jc w:val="both"/>
              <w:rPr>
                <w:rFonts w:ascii="Calibri" w:hAnsi="Calibri" w:cs="Arial"/>
                <w:i/>
                <w:color w:val="548DD4"/>
                <w:sz w:val="18"/>
                <w:szCs w:val="20"/>
                <w:lang w:eastAsia="es-CL"/>
              </w:rPr>
            </w:pPr>
          </w:p>
        </w:tc>
        <w:tc>
          <w:tcPr>
            <w:tcW w:w="1418" w:type="dxa"/>
          </w:tcPr>
          <w:p w14:paraId="6A127370"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No iniciado</w:t>
            </w:r>
          </w:p>
          <w:p w14:paraId="60E37B35" w14:textId="77777777" w:rsidR="00FD5149" w:rsidRPr="00E54467" w:rsidRDefault="00FD5149" w:rsidP="00FD5149">
            <w:pPr>
              <w:jc w:val="both"/>
              <w:rPr>
                <w:rFonts w:ascii="Calibri" w:hAnsi="Calibri" w:cs="Arial"/>
                <w:i/>
                <w:color w:val="C00000"/>
                <w:sz w:val="16"/>
                <w:szCs w:val="20"/>
                <w:lang w:eastAsia="es-CL"/>
              </w:rPr>
            </w:pPr>
          </w:p>
          <w:p w14:paraId="11FA9332" w14:textId="77777777" w:rsidR="00FD5149" w:rsidRPr="00CA29F2" w:rsidRDefault="00FD5149" w:rsidP="00FD5149">
            <w:pPr>
              <w:jc w:val="both"/>
              <w:rPr>
                <w:rFonts w:ascii="Calibri" w:hAnsi="Calibri" w:cs="Arial"/>
                <w:i/>
                <w:color w:val="548DD4"/>
                <w:sz w:val="18"/>
                <w:szCs w:val="20"/>
                <w:lang w:eastAsia="es-CL"/>
              </w:rPr>
            </w:pPr>
          </w:p>
          <w:p w14:paraId="54EDB111" w14:textId="77777777" w:rsidR="00FD5149" w:rsidRPr="00E54467" w:rsidRDefault="00FD5149" w:rsidP="00FD5149">
            <w:pPr>
              <w:jc w:val="both"/>
              <w:rPr>
                <w:rFonts w:ascii="Calibri" w:hAnsi="Calibri" w:cs="Arial"/>
                <w:i/>
                <w:color w:val="C00000"/>
                <w:sz w:val="16"/>
                <w:szCs w:val="20"/>
                <w:lang w:eastAsia="es-CL"/>
              </w:rPr>
            </w:pPr>
          </w:p>
        </w:tc>
        <w:tc>
          <w:tcPr>
            <w:tcW w:w="850" w:type="dxa"/>
          </w:tcPr>
          <w:p w14:paraId="3DAEB31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Sin ajustes</w:t>
            </w:r>
          </w:p>
        </w:tc>
      </w:tr>
      <w:tr w:rsidR="00FD5149" w:rsidRPr="006E3B0D" w14:paraId="404728CE" w14:textId="77777777" w:rsidTr="00EA0C09">
        <w:trPr>
          <w:trHeight w:val="2410"/>
        </w:trPr>
        <w:tc>
          <w:tcPr>
            <w:tcW w:w="1328" w:type="dxa"/>
          </w:tcPr>
          <w:p w14:paraId="506B78E8" w14:textId="77777777" w:rsidR="00FD5149" w:rsidRPr="006E3B0D" w:rsidRDefault="00FD5149" w:rsidP="00FD5149">
            <w:pPr>
              <w:jc w:val="both"/>
              <w:rPr>
                <w:b/>
                <w:sz w:val="18"/>
                <w:szCs w:val="24"/>
              </w:rPr>
            </w:pPr>
            <w:r>
              <w:rPr>
                <w:rFonts w:ascii="Calibri" w:hAnsi="Calibri" w:cs="Arial"/>
                <w:sz w:val="18"/>
                <w:szCs w:val="20"/>
                <w:lang w:eastAsia="es-CL"/>
              </w:rPr>
              <w:t xml:space="preserve">Pulido, </w:t>
            </w:r>
            <w:proofErr w:type="spellStart"/>
            <w:r>
              <w:rPr>
                <w:rFonts w:ascii="Calibri" w:hAnsi="Calibri" w:cs="Arial"/>
                <w:sz w:val="18"/>
                <w:szCs w:val="20"/>
                <w:lang w:eastAsia="es-CL"/>
              </w:rPr>
              <w:t>testing</w:t>
            </w:r>
            <w:proofErr w:type="spellEnd"/>
            <w:r>
              <w:rPr>
                <w:rFonts w:ascii="Calibri" w:hAnsi="Calibri" w:cs="Arial"/>
                <w:sz w:val="18"/>
                <w:szCs w:val="20"/>
                <w:lang w:eastAsia="es-CL"/>
              </w:rPr>
              <w:t xml:space="preserve"> y defensa: Confiabilidad y experiencia de usuario</w:t>
            </w:r>
          </w:p>
        </w:tc>
        <w:tc>
          <w:tcPr>
            <w:tcW w:w="1077" w:type="dxa"/>
          </w:tcPr>
          <w:p w14:paraId="460A2B0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Pruebas de carga, documentación técnica, manual de despliegue y puesta en ambiente accesible para la presentación final.</w:t>
            </w:r>
          </w:p>
        </w:tc>
        <w:tc>
          <w:tcPr>
            <w:tcW w:w="1276" w:type="dxa"/>
          </w:tcPr>
          <w:p w14:paraId="0F21A814" w14:textId="77777777" w:rsidR="00FD5149" w:rsidRPr="006E3B0D" w:rsidRDefault="00FD5149" w:rsidP="00FD5149">
            <w:pPr>
              <w:jc w:val="both"/>
              <w:rPr>
                <w:b/>
                <w:sz w:val="18"/>
                <w:szCs w:val="24"/>
              </w:rPr>
            </w:pPr>
            <w:proofErr w:type="spellStart"/>
            <w:r>
              <w:rPr>
                <w:rFonts w:ascii="Calibri" w:hAnsi="Calibri" w:cs="Arial"/>
                <w:sz w:val="18"/>
                <w:szCs w:val="20"/>
                <w:lang w:eastAsia="es-CL"/>
              </w:rPr>
              <w:t>Railway</w:t>
            </w:r>
            <w:proofErr w:type="spellEnd"/>
            <w:r>
              <w:rPr>
                <w:rFonts w:ascii="Calibri" w:hAnsi="Calibri" w:cs="Arial"/>
                <w:sz w:val="18"/>
                <w:szCs w:val="20"/>
                <w:lang w:eastAsia="es-CL"/>
              </w:rPr>
              <w:t xml:space="preserve">, hosting </w:t>
            </w:r>
            <w:proofErr w:type="spellStart"/>
            <w:r>
              <w:rPr>
                <w:rFonts w:ascii="Calibri" w:hAnsi="Calibri" w:cs="Arial"/>
                <w:sz w:val="18"/>
                <w:szCs w:val="20"/>
                <w:lang w:eastAsia="es-CL"/>
              </w:rPr>
              <w:t>frontend</w:t>
            </w:r>
            <w:proofErr w:type="spellEnd"/>
            <w:r>
              <w:rPr>
                <w:rFonts w:ascii="Calibri" w:hAnsi="Calibri" w:cs="Arial"/>
                <w:sz w:val="18"/>
                <w:szCs w:val="20"/>
                <w:lang w:eastAsia="es-CL"/>
              </w:rPr>
              <w:t xml:space="preserve">, herramientas de </w:t>
            </w:r>
            <w:proofErr w:type="spellStart"/>
            <w:r>
              <w:rPr>
                <w:rFonts w:ascii="Calibri" w:hAnsi="Calibri" w:cs="Arial"/>
                <w:sz w:val="18"/>
                <w:szCs w:val="20"/>
                <w:lang w:eastAsia="es-CL"/>
              </w:rPr>
              <w:t>testing</w:t>
            </w:r>
            <w:proofErr w:type="spellEnd"/>
            <w:r>
              <w:rPr>
                <w:rFonts w:ascii="Calibri" w:hAnsi="Calibri" w:cs="Arial"/>
                <w:sz w:val="18"/>
                <w:szCs w:val="20"/>
                <w:lang w:eastAsia="es-CL"/>
              </w:rPr>
              <w:t>.</w:t>
            </w:r>
          </w:p>
        </w:tc>
        <w:tc>
          <w:tcPr>
            <w:tcW w:w="1276" w:type="dxa"/>
          </w:tcPr>
          <w:p w14:paraId="1939B666" w14:textId="77777777" w:rsidR="00FD5149" w:rsidRPr="006E3B0D" w:rsidRDefault="00FD5149" w:rsidP="00FD5149">
            <w:pPr>
              <w:jc w:val="both"/>
              <w:rPr>
                <w:b/>
                <w:sz w:val="18"/>
                <w:szCs w:val="24"/>
              </w:rPr>
            </w:pPr>
            <w:r>
              <w:rPr>
                <w:rFonts w:ascii="Calibri" w:hAnsi="Calibri" w:cs="Arial"/>
                <w:sz w:val="18"/>
                <w:szCs w:val="20"/>
                <w:lang w:eastAsia="es-CL"/>
              </w:rPr>
              <w:t>5 semanas</w:t>
            </w:r>
          </w:p>
        </w:tc>
        <w:tc>
          <w:tcPr>
            <w:tcW w:w="1275" w:type="dxa"/>
          </w:tcPr>
          <w:p w14:paraId="56172432"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Kevin Zapata Dávila</w:t>
            </w:r>
          </w:p>
        </w:tc>
        <w:tc>
          <w:tcPr>
            <w:tcW w:w="1276" w:type="dxa"/>
          </w:tcPr>
          <w:p w14:paraId="50D47465" w14:textId="77777777" w:rsidR="00FD5149" w:rsidRPr="006E3B0D" w:rsidRDefault="00FD5149" w:rsidP="00FD5149">
            <w:pPr>
              <w:jc w:val="both"/>
              <w:rPr>
                <w:rFonts w:ascii="Calibri" w:hAnsi="Calibri" w:cs="Arial"/>
                <w:i/>
                <w:color w:val="548DD4"/>
                <w:sz w:val="18"/>
                <w:szCs w:val="20"/>
                <w:lang w:eastAsia="es-CL"/>
              </w:rPr>
            </w:pPr>
          </w:p>
        </w:tc>
        <w:tc>
          <w:tcPr>
            <w:tcW w:w="1418" w:type="dxa"/>
          </w:tcPr>
          <w:p w14:paraId="0182258E"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No iniciado</w:t>
            </w:r>
          </w:p>
          <w:p w14:paraId="78E76A69" w14:textId="77777777" w:rsidR="00FD5149" w:rsidRPr="00E54467" w:rsidRDefault="00FD5149" w:rsidP="00FD5149">
            <w:pPr>
              <w:jc w:val="both"/>
              <w:rPr>
                <w:rFonts w:ascii="Calibri" w:hAnsi="Calibri" w:cs="Arial"/>
                <w:i/>
                <w:color w:val="C00000"/>
                <w:sz w:val="16"/>
                <w:szCs w:val="20"/>
                <w:lang w:eastAsia="es-CL"/>
              </w:rPr>
            </w:pPr>
          </w:p>
          <w:p w14:paraId="60EA3654" w14:textId="77777777" w:rsidR="00FD5149" w:rsidRPr="00CA29F2" w:rsidRDefault="00FD5149" w:rsidP="00FD5149">
            <w:pPr>
              <w:jc w:val="both"/>
              <w:rPr>
                <w:rFonts w:ascii="Calibri" w:hAnsi="Calibri" w:cs="Arial"/>
                <w:i/>
                <w:color w:val="548DD4"/>
                <w:sz w:val="18"/>
                <w:szCs w:val="20"/>
                <w:lang w:eastAsia="es-CL"/>
              </w:rPr>
            </w:pPr>
          </w:p>
          <w:p w14:paraId="14332762" w14:textId="77777777" w:rsidR="00FD5149" w:rsidRPr="00E54467" w:rsidRDefault="00FD5149" w:rsidP="00FD5149">
            <w:pPr>
              <w:jc w:val="both"/>
              <w:rPr>
                <w:rFonts w:ascii="Calibri" w:hAnsi="Calibri" w:cs="Arial"/>
                <w:i/>
                <w:color w:val="C00000"/>
                <w:sz w:val="16"/>
                <w:szCs w:val="20"/>
                <w:lang w:eastAsia="es-CL"/>
              </w:rPr>
            </w:pPr>
          </w:p>
        </w:tc>
        <w:tc>
          <w:tcPr>
            <w:tcW w:w="850" w:type="dxa"/>
          </w:tcPr>
          <w:p w14:paraId="097A9F8A"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sz w:val="18"/>
                <w:szCs w:val="20"/>
                <w:lang w:eastAsia="es-CL"/>
              </w:rPr>
              <w:t>Sin ajustes</w:t>
            </w:r>
          </w:p>
        </w:tc>
      </w:tr>
    </w:tbl>
    <w:p w14:paraId="04F53F1B"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61705E00" w14:textId="77777777" w:rsidTr="00C5122E">
        <w:trPr>
          <w:trHeight w:val="440"/>
        </w:trPr>
        <w:tc>
          <w:tcPr>
            <w:tcW w:w="9498" w:type="dxa"/>
            <w:vAlign w:val="center"/>
          </w:tcPr>
          <w:p w14:paraId="4F82A13C"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72820C2F" w14:textId="77777777" w:rsidTr="00C5122E">
        <w:trPr>
          <w:trHeight w:val="800"/>
        </w:trPr>
        <w:tc>
          <w:tcPr>
            <w:tcW w:w="9498" w:type="dxa"/>
            <w:shd w:val="clear" w:color="auto" w:fill="D9E2F3" w:themeFill="accent1" w:themeFillTint="33"/>
            <w:vAlign w:val="center"/>
          </w:tcPr>
          <w:p w14:paraId="2ED312B9"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21A6422"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4BDE36E5" w14:textId="77777777" w:rsidTr="00C5122E">
        <w:trPr>
          <w:trHeight w:val="1936"/>
        </w:trPr>
        <w:tc>
          <w:tcPr>
            <w:tcW w:w="5000" w:type="pct"/>
            <w:vAlign w:val="center"/>
          </w:tcPr>
          <w:p w14:paraId="498025F9"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 xml:space="preserve">: </w:t>
            </w:r>
          </w:p>
          <w:p w14:paraId="543D8F16" w14:textId="77777777" w:rsidR="0003309E" w:rsidRPr="00CD38BD" w:rsidRDefault="0003309E" w:rsidP="00C5122E">
            <w:pPr>
              <w:rPr>
                <w:rFonts w:ascii="Calibri" w:hAnsi="Calibri"/>
                <w:color w:val="1F3864" w:themeColor="accent1" w:themeShade="80"/>
              </w:rPr>
            </w:pPr>
            <w:r>
              <w:rPr>
                <w:rFonts w:ascii="Calibri" w:hAnsi="Calibri" w:cs="Arial"/>
                <w:sz w:val="20"/>
                <w:szCs w:val="20"/>
                <w:lang w:eastAsia="es-CL"/>
              </w:rPr>
              <w:t>Facilitó el avance tener ya disponible el hardware y la infraestructura en la nube (</w:t>
            </w:r>
            <w:proofErr w:type="spellStart"/>
            <w:r>
              <w:rPr>
                <w:rFonts w:ascii="Calibri" w:hAnsi="Calibri" w:cs="Arial"/>
                <w:sz w:val="20"/>
                <w:szCs w:val="20"/>
                <w:lang w:eastAsia="es-CL"/>
              </w:rPr>
              <w:t>Railway</w:t>
            </w:r>
            <w:proofErr w:type="spellEnd"/>
            <w:r>
              <w:rPr>
                <w:rFonts w:ascii="Calibri" w:hAnsi="Calibri" w:cs="Arial"/>
                <w:sz w:val="20"/>
                <w:szCs w:val="20"/>
                <w:lang w:eastAsia="es-CL"/>
              </w:rPr>
              <w:t xml:space="preserve">). Dificultó el avance trabajar en solitario y la mayor complejidad de implementar el modelo de permisos </w:t>
            </w:r>
            <w:proofErr w:type="spellStart"/>
            <w:r>
              <w:rPr>
                <w:rFonts w:ascii="Calibri" w:hAnsi="Calibri" w:cs="Arial"/>
                <w:sz w:val="20"/>
                <w:szCs w:val="20"/>
                <w:lang w:eastAsia="es-CL"/>
              </w:rPr>
              <w:t>multi-tenant</w:t>
            </w:r>
            <w:proofErr w:type="spellEnd"/>
            <w:r>
              <w:rPr>
                <w:rFonts w:ascii="Calibri" w:hAnsi="Calibri" w:cs="Arial"/>
                <w:sz w:val="20"/>
                <w:szCs w:val="20"/>
                <w:lang w:eastAsia="es-CL"/>
              </w:rPr>
              <w:t xml:space="preserve"> mediante restricciones CHECK en la base de datos, en vez de validarlo solo en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w:t>
            </w:r>
          </w:p>
          <w:p w14:paraId="58A7105D" w14:textId="77777777" w:rsidR="0003309E" w:rsidRPr="00CD38BD" w:rsidRDefault="0003309E" w:rsidP="00C5122E">
            <w:pPr>
              <w:rPr>
                <w:rFonts w:ascii="Calibri" w:hAnsi="Calibri"/>
                <w:color w:val="1F3864" w:themeColor="accent1" w:themeShade="80"/>
              </w:rPr>
            </w:pPr>
          </w:p>
          <w:p w14:paraId="1C2BA3AB" w14:textId="77777777" w:rsidR="0003309E" w:rsidRDefault="0003309E" w:rsidP="00C5122E">
            <w:pPr>
              <w:jc w:val="both"/>
              <w:rPr>
                <w:rFonts w:ascii="Calibri" w:hAnsi="Calibri" w:cs="Arial"/>
                <w:i/>
                <w:color w:val="548DD4"/>
                <w:sz w:val="20"/>
                <w:szCs w:val="20"/>
                <w:lang w:eastAsia="es-CL"/>
              </w:rPr>
            </w:pPr>
          </w:p>
          <w:p w14:paraId="51328F77" w14:textId="77777777" w:rsidR="0003309E" w:rsidRDefault="0003309E" w:rsidP="00C5122E">
            <w:pPr>
              <w:jc w:val="both"/>
              <w:rPr>
                <w:rFonts w:ascii="Calibri" w:hAnsi="Calibri" w:cs="Arial"/>
                <w:i/>
                <w:color w:val="548DD4"/>
                <w:sz w:val="20"/>
                <w:szCs w:val="20"/>
                <w:lang w:eastAsia="es-CL"/>
              </w:rPr>
            </w:pPr>
          </w:p>
          <w:p w14:paraId="1BB6B8DA" w14:textId="77777777" w:rsidR="0003309E" w:rsidRPr="00711C16" w:rsidRDefault="0003309E" w:rsidP="00C5122E">
            <w:pPr>
              <w:jc w:val="both"/>
              <w:rPr>
                <w:rFonts w:ascii="Calibri" w:hAnsi="Calibri" w:cs="Arial"/>
                <w:i/>
                <w:color w:val="548DD4"/>
                <w:sz w:val="20"/>
                <w:szCs w:val="20"/>
                <w:lang w:eastAsia="es-CL"/>
              </w:rPr>
            </w:pPr>
          </w:p>
        </w:tc>
      </w:tr>
    </w:tbl>
    <w:p w14:paraId="26ECD5C5"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48670667" w14:textId="77777777" w:rsidTr="00C5122E">
        <w:trPr>
          <w:trHeight w:val="1936"/>
        </w:trPr>
        <w:tc>
          <w:tcPr>
            <w:tcW w:w="5000" w:type="pct"/>
            <w:vAlign w:val="center"/>
          </w:tcPr>
          <w:p w14:paraId="66D1B397" w14:textId="77777777" w:rsidR="0003309E" w:rsidRDefault="0003309E" w:rsidP="00C5122E">
            <w:pPr>
              <w:pageBreakBefore/>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Actividades ajustadas o eliminadas: </w:t>
            </w:r>
          </w:p>
          <w:p w14:paraId="15E39D92" w14:textId="77777777" w:rsidR="00FD5149" w:rsidRPr="00CD38BD" w:rsidRDefault="00FD5149" w:rsidP="00C5122E">
            <w:pPr>
              <w:jc w:val="both"/>
              <w:rPr>
                <w:rFonts w:ascii="Calibri" w:hAnsi="Calibri" w:cs="Arial"/>
                <w:i/>
                <w:color w:val="548DD4"/>
                <w:sz w:val="20"/>
                <w:szCs w:val="20"/>
                <w:lang w:eastAsia="es-CL"/>
              </w:rPr>
            </w:pPr>
            <w:r>
              <w:rPr>
                <w:rFonts w:ascii="Calibri" w:hAnsi="Calibri" w:cs="Arial"/>
                <w:sz w:val="20"/>
                <w:szCs w:val="20"/>
                <w:lang w:eastAsia="es-CL"/>
              </w:rPr>
              <w:t>No se han ajustado ni eliminado actividades; el alcance y el orden de las 4 épicas se mantienen tal como se definieron en la Fase 1 del proyecto.</w:t>
            </w:r>
          </w:p>
          <w:p w14:paraId="5820AB3A" w14:textId="77777777" w:rsidR="0003309E" w:rsidRDefault="0003309E" w:rsidP="00C5122E">
            <w:pPr>
              <w:jc w:val="both"/>
              <w:rPr>
                <w:rFonts w:ascii="Calibri" w:hAnsi="Calibri" w:cs="Arial"/>
                <w:i/>
                <w:color w:val="C00000"/>
                <w:sz w:val="20"/>
                <w:szCs w:val="20"/>
                <w:lang w:eastAsia="es-CL"/>
              </w:rPr>
            </w:pPr>
          </w:p>
          <w:p w14:paraId="7855AAF5" w14:textId="77777777" w:rsidR="0003309E" w:rsidRDefault="0003309E" w:rsidP="00C5122E">
            <w:pPr>
              <w:jc w:val="both"/>
              <w:rPr>
                <w:rFonts w:ascii="Calibri" w:hAnsi="Calibri" w:cs="Arial"/>
                <w:i/>
                <w:color w:val="548DD4"/>
                <w:sz w:val="20"/>
                <w:szCs w:val="20"/>
                <w:lang w:eastAsia="es-CL"/>
              </w:rPr>
            </w:pPr>
          </w:p>
          <w:p w14:paraId="098C5F82" w14:textId="77777777" w:rsidR="0003309E" w:rsidRDefault="0003309E" w:rsidP="00C5122E">
            <w:pPr>
              <w:jc w:val="both"/>
              <w:rPr>
                <w:rFonts w:ascii="Calibri" w:hAnsi="Calibri" w:cs="Arial"/>
                <w:i/>
                <w:color w:val="548DD4"/>
                <w:sz w:val="20"/>
                <w:szCs w:val="20"/>
                <w:lang w:eastAsia="es-CL"/>
              </w:rPr>
            </w:pPr>
          </w:p>
          <w:p w14:paraId="6938C448" w14:textId="77777777" w:rsidR="0003309E" w:rsidRDefault="0003309E" w:rsidP="00C5122E">
            <w:pPr>
              <w:jc w:val="both"/>
              <w:rPr>
                <w:rFonts w:ascii="Calibri" w:hAnsi="Calibri" w:cs="Arial"/>
                <w:i/>
                <w:color w:val="548DD4"/>
                <w:sz w:val="20"/>
                <w:szCs w:val="20"/>
                <w:lang w:eastAsia="es-CL"/>
              </w:rPr>
            </w:pPr>
          </w:p>
          <w:p w14:paraId="41CEF7FD" w14:textId="77777777" w:rsidR="00FD5149" w:rsidRDefault="00FD5149" w:rsidP="00C5122E">
            <w:pPr>
              <w:jc w:val="both"/>
              <w:rPr>
                <w:rFonts w:ascii="Calibri" w:hAnsi="Calibri" w:cs="Arial"/>
                <w:i/>
                <w:color w:val="548DD4"/>
                <w:sz w:val="20"/>
                <w:szCs w:val="20"/>
                <w:lang w:eastAsia="es-CL"/>
              </w:rPr>
            </w:pPr>
          </w:p>
          <w:p w14:paraId="3C0C8C16" w14:textId="77777777" w:rsidR="0003309E" w:rsidRPr="00711C16" w:rsidRDefault="0003309E" w:rsidP="00C5122E">
            <w:pPr>
              <w:jc w:val="both"/>
              <w:rPr>
                <w:rFonts w:ascii="Calibri" w:hAnsi="Calibri" w:cs="Arial"/>
                <w:i/>
                <w:color w:val="548DD4"/>
                <w:sz w:val="20"/>
                <w:szCs w:val="20"/>
                <w:lang w:eastAsia="es-CL"/>
              </w:rPr>
            </w:pPr>
          </w:p>
        </w:tc>
      </w:tr>
    </w:tbl>
    <w:p w14:paraId="336D722A" w14:textId="77777777" w:rsidR="0003309E" w:rsidRDefault="0003309E" w:rsidP="0003309E">
      <w:pPr>
        <w:spacing w:after="0" w:line="240" w:lineRule="auto"/>
        <w:jc w:val="both"/>
        <w:rPr>
          <w:rFonts w:ascii="Calibri" w:hAnsi="Calibri" w:cs="Arial"/>
          <w:i/>
          <w:color w:val="548DD4"/>
          <w:sz w:val="20"/>
          <w:szCs w:val="20"/>
          <w:lang w:eastAsia="es-CL"/>
        </w:rPr>
      </w:pPr>
    </w:p>
    <w:p w14:paraId="08C17972"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A463D79" w14:textId="77777777" w:rsidTr="00C5122E">
        <w:trPr>
          <w:trHeight w:val="1966"/>
        </w:trPr>
        <w:tc>
          <w:tcPr>
            <w:tcW w:w="5000" w:type="pct"/>
            <w:vAlign w:val="center"/>
          </w:tcPr>
          <w:p w14:paraId="015CC922" w14:textId="77777777"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14:paraId="5F9CD219" w14:textId="77777777" w:rsidR="00FD5149" w:rsidRDefault="00FD5149" w:rsidP="00585A13">
            <w:pPr>
              <w:jc w:val="both"/>
              <w:rPr>
                <w:rFonts w:ascii="Calibri" w:hAnsi="Calibri" w:cs="Arial"/>
                <w:i/>
                <w:color w:val="548DD4"/>
                <w:sz w:val="20"/>
                <w:szCs w:val="20"/>
                <w:lang w:eastAsia="es-CL"/>
              </w:rPr>
            </w:pPr>
            <w:r>
              <w:rPr>
                <w:rFonts w:ascii="Calibri" w:hAnsi="Calibri" w:cs="Arial"/>
                <w:sz w:val="20"/>
                <w:szCs w:val="20"/>
                <w:lang w:eastAsia="es-CL"/>
              </w:rPr>
              <w:t xml:space="preserve">La Épica 001 – Fundamentos: Ingesta y persistencia de datos eléctricos presenta un retraso respecto a la planificación original de 3 semanas (semanas 3 a 5). El componente de persistencia (diseño e implementación de la base de datos </w:t>
            </w:r>
            <w:proofErr w:type="spellStart"/>
            <w:r>
              <w:rPr>
                <w:rFonts w:ascii="Calibri" w:hAnsi="Calibri" w:cs="Arial"/>
                <w:sz w:val="20"/>
                <w:szCs w:val="20"/>
                <w:lang w:eastAsia="es-CL"/>
              </w:rPr>
              <w:t>multi-tenant</w:t>
            </w:r>
            <w:proofErr w:type="spellEnd"/>
            <w:r>
              <w:rPr>
                <w:rFonts w:ascii="Calibri" w:hAnsi="Calibri" w:cs="Arial"/>
                <w:sz w:val="20"/>
                <w:szCs w:val="20"/>
                <w:lang w:eastAsia="es-CL"/>
              </w:rPr>
              <w:t xml:space="preserve">, con sus 10 tablas y restricciones de permisos por rol) ya está completado y desplegado en </w:t>
            </w:r>
            <w:proofErr w:type="spellStart"/>
            <w:r>
              <w:rPr>
                <w:rFonts w:ascii="Calibri" w:hAnsi="Calibri" w:cs="Arial"/>
                <w:sz w:val="20"/>
                <w:szCs w:val="20"/>
                <w:lang w:eastAsia="es-CL"/>
              </w:rPr>
              <w:t>Railway</w:t>
            </w:r>
            <w:proofErr w:type="spellEnd"/>
            <w:r>
              <w:rPr>
                <w:rFonts w:ascii="Calibri" w:hAnsi="Calibri" w:cs="Arial"/>
                <w:sz w:val="20"/>
                <w:szCs w:val="20"/>
                <w:lang w:eastAsia="es-CL"/>
              </w:rPr>
              <w:t>, pero el componente de ingesta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que recibirá las mediciones del analizador AcuRev-2110) aún no ha sido iniciado. El motivo principal del retraso fue la complejidad adicional de diseñar el modelo de permisos directamente en la base de datos (restricciones CHECK para separar los roles VSC, empresa y cliente), en lugar de dejar esa validación solo en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Como consecuencia, las Épicas 002, 003 y 004 tampoco han sido iniciadas, ya que dependen de que la ingesta de datos esté funcionando. Para ponerme a </w:t>
            </w:r>
            <w:proofErr w:type="spellStart"/>
            <w:r>
              <w:rPr>
                <w:rFonts w:ascii="Calibri" w:hAnsi="Calibri" w:cs="Arial"/>
                <w:sz w:val="20"/>
                <w:szCs w:val="20"/>
                <w:lang w:eastAsia="es-CL"/>
              </w:rPr>
              <w:t>corde</w:t>
            </w:r>
            <w:proofErr w:type="spellEnd"/>
            <w:r>
              <w:rPr>
                <w:rFonts w:ascii="Calibri" w:hAnsi="Calibri" w:cs="Arial"/>
                <w:sz w:val="20"/>
                <w:szCs w:val="20"/>
                <w:lang w:eastAsia="es-CL"/>
              </w:rPr>
              <w:t xml:space="preserve"> con la planificación, la estrategia es priorizar de inmediato el desarrollo del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de ingesta (conexión del analizador con la base de datos ya desplegada), de modo de recuperar el tiempo perdido en las próximas semanas.</w:t>
            </w:r>
          </w:p>
          <w:p w14:paraId="1E35047E" w14:textId="77777777" w:rsidR="00FD5149" w:rsidRPr="00CD38BD" w:rsidRDefault="00FD5149" w:rsidP="00585A13">
            <w:pPr>
              <w:jc w:val="both"/>
              <w:rPr>
                <w:rFonts w:ascii="Calibri" w:hAnsi="Calibri" w:cs="Arial"/>
                <w:i/>
                <w:color w:val="548DD4"/>
                <w:sz w:val="20"/>
                <w:szCs w:val="20"/>
                <w:lang w:eastAsia="es-CL"/>
              </w:rPr>
            </w:pPr>
          </w:p>
          <w:p w14:paraId="72FA1AEE" w14:textId="77777777" w:rsidR="0003309E" w:rsidRDefault="0003309E" w:rsidP="00585A13">
            <w:pPr>
              <w:jc w:val="both"/>
              <w:rPr>
                <w:rFonts w:ascii="Calibri" w:hAnsi="Calibri" w:cs="Arial"/>
                <w:i/>
                <w:color w:val="548DD4"/>
                <w:sz w:val="20"/>
                <w:szCs w:val="20"/>
                <w:lang w:eastAsia="es-CL"/>
              </w:rPr>
            </w:pPr>
          </w:p>
          <w:p w14:paraId="7FE80F66" w14:textId="77777777" w:rsidR="0003309E" w:rsidRDefault="0003309E" w:rsidP="00585A13">
            <w:pPr>
              <w:jc w:val="both"/>
              <w:rPr>
                <w:rFonts w:ascii="Calibri" w:hAnsi="Calibri" w:cs="Arial"/>
                <w:i/>
                <w:color w:val="548DD4"/>
                <w:sz w:val="20"/>
                <w:szCs w:val="20"/>
                <w:lang w:eastAsia="es-CL"/>
              </w:rPr>
            </w:pPr>
          </w:p>
          <w:p w14:paraId="04A3AE79" w14:textId="77777777" w:rsidR="0003309E" w:rsidRDefault="0003309E" w:rsidP="00585A13">
            <w:pPr>
              <w:jc w:val="both"/>
              <w:rPr>
                <w:rFonts w:ascii="Calibri" w:hAnsi="Calibri" w:cs="Arial"/>
                <w:i/>
                <w:color w:val="548DD4"/>
                <w:sz w:val="20"/>
                <w:szCs w:val="20"/>
                <w:lang w:eastAsia="es-CL"/>
              </w:rPr>
            </w:pPr>
          </w:p>
          <w:p w14:paraId="16691986" w14:textId="77777777" w:rsidR="0003309E" w:rsidRDefault="0003309E" w:rsidP="00585A13">
            <w:pPr>
              <w:jc w:val="both"/>
              <w:rPr>
                <w:rFonts w:ascii="Calibri" w:hAnsi="Calibri" w:cs="Arial"/>
                <w:i/>
                <w:color w:val="548DD4"/>
                <w:sz w:val="20"/>
                <w:szCs w:val="20"/>
                <w:lang w:eastAsia="es-CL"/>
              </w:rPr>
            </w:pPr>
          </w:p>
          <w:p w14:paraId="5904DAAE" w14:textId="77777777" w:rsidR="0003309E" w:rsidRPr="00711C16" w:rsidRDefault="0003309E" w:rsidP="00585A13">
            <w:pPr>
              <w:jc w:val="both"/>
              <w:rPr>
                <w:rFonts w:ascii="Calibri" w:hAnsi="Calibri" w:cs="Arial"/>
                <w:i/>
                <w:color w:val="548DD4"/>
                <w:sz w:val="20"/>
                <w:szCs w:val="20"/>
                <w:lang w:eastAsia="es-CL"/>
              </w:rPr>
            </w:pPr>
          </w:p>
        </w:tc>
      </w:tr>
    </w:tbl>
    <w:p w14:paraId="63B112E3"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B748" w14:textId="77777777" w:rsidR="0027537E" w:rsidRDefault="0027537E" w:rsidP="0003309E">
      <w:pPr>
        <w:spacing w:after="0" w:line="240" w:lineRule="auto"/>
      </w:pPr>
      <w:r>
        <w:separator/>
      </w:r>
    </w:p>
  </w:endnote>
  <w:endnote w:type="continuationSeparator" w:id="0">
    <w:p w14:paraId="505C975C" w14:textId="77777777" w:rsidR="0027537E" w:rsidRDefault="0027537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52C24" w14:textId="77777777" w:rsidR="0027537E" w:rsidRDefault="0027537E" w:rsidP="0003309E">
      <w:pPr>
        <w:spacing w:after="0" w:line="240" w:lineRule="auto"/>
      </w:pPr>
      <w:r>
        <w:separator/>
      </w:r>
    </w:p>
  </w:footnote>
  <w:footnote w:type="continuationSeparator" w:id="0">
    <w:p w14:paraId="7004C711" w14:textId="77777777" w:rsidR="0027537E" w:rsidRDefault="0027537E" w:rsidP="0003309E">
      <w:pPr>
        <w:spacing w:after="0" w:line="240" w:lineRule="auto"/>
      </w:pPr>
      <w:r>
        <w:continuationSeparator/>
      </w:r>
    </w:p>
  </w:footnote>
  <w:footnote w:id="1">
    <w:p w14:paraId="47289731"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3C6E4ED1" w14:textId="77777777" w:rsidTr="00C44557">
      <w:trPr>
        <w:trHeight w:val="697"/>
      </w:trPr>
      <w:tc>
        <w:tcPr>
          <w:tcW w:w="5954" w:type="dxa"/>
          <w:tcBorders>
            <w:top w:val="nil"/>
            <w:left w:val="nil"/>
            <w:bottom w:val="nil"/>
            <w:right w:val="nil"/>
          </w:tcBorders>
        </w:tcPr>
        <w:p w14:paraId="499E535A"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9F0927A"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D302E54"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ED27CF8"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0648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7537E"/>
    <w:rsid w:val="00334D4C"/>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8779F"/>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0A71"/>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906</Words>
  <Characters>4989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MICHAEL ZAPATA DAVILA</cp:lastModifiedBy>
  <cp:revision>2</cp:revision>
  <dcterms:created xsi:type="dcterms:W3CDTF">2026-09-30T01:53:00Z</dcterms:created>
  <dcterms:modified xsi:type="dcterms:W3CDTF">2026-09-30T01:53:00Z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