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New York City  ·  kelly@kellyvohs.com  ·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over 500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SafetyCulture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25,000 customers in 180+ countries, including IKEA, Royal Caribbean, Toyota, and SpaceX. Hired as President to lead go-to-market and customer strategy from the U.S. The founder stepped down two months before my start; I took over as CEO. Inherited a platform that needed a full rebuild and a team spread across Sydney, Manila, Manchester, Amsterdam, and Kansas City. Rebuilt the executive team. Attracted senior leaders from Google, Twitter, Okta, and Microsoft to Sydney. Reset the product roadmap and go-to-market motion, growing </w:t>
      </w:r>
      <w:r>
        <w:rPr>
          <w:rFonts w:ascii="EB Garamond" w:eastAsia="EB Garamond" w:hAnsi="EB Garamond" w:cs="EB Garamond"/>
          <w:b/>
          <w:bCs/>
          <w:color w:val="555555"/>
        </w:rPr>
        <w:t>ARR from $165M to $217M</w:t>
      </w:r>
      <w:r>
        <w:rPr>
          <w:rFonts w:ascii="EB Garamond" w:eastAsia="EB Garamond" w:hAnsi="EB Garamond" w:cs="EB Garamond"/>
          <w:color w:val="555555"/>
        </w:rPr>
        <w:t>. I flew to Sydney every month, but it became clear to me the team needed a CEO in Sydney, not New York. Hard decision, but the right one.</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536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50K unit dispositions totaling $12B. Delivered $234M in ROI from 2020 to 2022 at an ~11% average return. Built the shared services model. Revenue management, technology, capital planning. Built Athena, an AI-enabled asset management platform, and the data infrastructure behind it, to drive decision-making across 500+ properties.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$700M invested in capital projects</w:t>
      </w:r>
      <w:r>
        <w:rPr>
          <w:rFonts w:ascii="EB Garamond" w:eastAsia="EB Garamond" w:hAnsi="EB Garamond" w:cs="EB Garamond"/>
          <w:color w:val="555555"/>
        </w:rPr>
        <w:t xml:space="preserve"> across the portfolio. Achieved LEED Platinum certification at StuyTown and installed 9,671 rooftop solar panels , the largest private multi-family solar array in the United States. Took work order completion from </w:t>
      </w:r>
      <w:r>
        <w:rPr>
          <w:rFonts w:ascii="EB Garamond" w:eastAsia="EB Garamond" w:hAnsi="EB Garamond" w:cs="EB Garamond"/>
          <w:b/>
          <w:bCs/>
          <w:color w:val="555555"/>
        </w:rPr>
      </w:r>
      <w:r>
        <w:rPr>
          <w:rFonts w:ascii="EB Garamond" w:eastAsia="EB Garamond" w:hAnsi="EB Garamond" w:cs="EB Garamond"/>
          <w:b/>
          <w:color w:val="555555"/>
        </w:rPr>
        <w:t>three weeks to an average of five days</w:t>
      </w:r>
      <w:r>
        <w:rPr>
          <w:rFonts w:ascii="EB Garamond" w:eastAsia="EB Garamond" w:hAnsi="EB Garamond" w:cs="EB Garamond"/>
          <w:bCs/>
          <w:color w:val="555555"/>
        </w:rPr>
        <w:t xml:space="preserve"> - a 64% reduction - and drove </w:t>
      </w:r>
      <w:r>
        <w:rPr>
          <w:rFonts w:ascii="EB Garamond" w:eastAsia="EB Garamond" w:hAnsi="EB Garamond" w:cs="EB Garamond"/>
          <w:color w:val="555555"/>
        </w:rPr>
      </w:r>
      <w:r>
        <w:rPr>
          <w:rFonts w:ascii="EB Garamond" w:eastAsia="EB Garamond" w:hAnsi="EB Garamond" w:cs="EB Garamond"/>
          <w:b/>
          <w:bCs/>
          <w:color w:val="555555"/>
        </w:rPr>
        <w:t>NPS up 200%</w:t>
      </w:r>
      <w:r>
        <w:rPr>
          <w:rFonts w:ascii="EB Garamond" w:eastAsia="EB Garamond" w:hAnsi="EB Garamond" w:cs="EB Garamond"/>
          <w:color w:val="555555"/>
        </w:rPr>
        <w:t xml:space="preserve">. Built REX, a custom above-property CRM that centralized the resident experience across 15,000 apartments.. Renovated 1,750+ units, generating $25M in additional annual revenue.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reshaped the community and drove residential demand. Expense growth CAGR of just over 2% against CPI of 3.2%.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w:t>
      </w:r>
      <w:r>
        <w:rPr>
          <w:rFonts w:ascii="EB Garamond" w:eastAsia="EB Garamond" w:hAnsi="EB Garamond" w:cs="EB Garamond"/>
          <w:b w:val="0"/>
          <w:bCs/>
          <w:color w:val="555555"/>
        </w:rPr>
        <w:t>. Introduced guest texting to Hilton at Boca Raton, the first property to pilot what became a brand-wide platform</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39 days in, staring at 67 projects on a whiteboard, I decided to get 1% better every day and let it compound. Relocated to Chicago to build and open the Conrad.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VP Operations, BR Guest Hospitality </w:t>
      </w:r>
      <w:r>
        <w:rPr>
          <w:rFonts w:ascii="EB Garamond" w:eastAsia="EB Garamond" w:hAnsi="EB Garamond" w:cs="EB Garamond"/>
          <w:color w:val="888888"/>
          <w:sz w:val="21"/>
          <w:szCs w:val="21"/>
        </w:rPr>
        <w:t>(Starwood)</w:t>
      </w:r>
      <w:r>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landed U.S. aircraft on a remote airfield 48 hours after meeting with the Deputy Prime Minister, assisted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graduated as salutatorian.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L’Escalier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