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Ten Questions That Make a Lesson Answerable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teacher's guide to the Answerable Teaching question sequence.</w:t>
      </w:r>
      <w:r w:rsidDel="00000000" w:rsidR="00000000" w:rsidRPr="00000000">
        <w:rPr>
          <w:rtl w:val="0"/>
        </w:rPr>
        <w:t xml:space="preserve"> by Dr. Katherine von Duyke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Provided as a free tool along with the Ecology unit to understand their purpose, or use in your own lessons.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this is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/>
      </w:pPr>
      <w:r w:rsidDel="00000000" w:rsidR="00000000" w:rsidRPr="00000000">
        <w:rPr>
          <w:rtl w:val="0"/>
        </w:rPr>
        <w:t xml:space="preserve">These are the recurring questions built into my biology slides. Each helps students to increasing see and understand the critical aspects of a unit.  The sequence is adapted from Variation Theory (Marton &amp; Booth, 1997; Marton, 2015): which states a student learns a concept only when they can discern its critical aspect, and a feature becomes discernible only when it is varied against a background that stays the same.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students write on the slides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/>
      </w:pPr>
      <w:r w:rsidDel="00000000" w:rsidR="00000000" w:rsidRPr="00000000">
        <w:rPr>
          <w:rtl w:val="0"/>
        </w:rPr>
        <w:t xml:space="preserve">Students annotate directly on the slides I teach from. What is captured is the student's own reasoning, not a copy of my notes. Making student thinking visible is the core of formative assessment (Black &amp; Wiliam, 1998).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ten question types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Reconnect to the last lesson — uses yesterday's idea as footing for today's (Bruner, 1960).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Open with an approachable hook (Bellringer) — surfaces prior knowledge before instruction (Ausubel, 1968).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Name the one feature to notice (Critical Aspect) — puts the single feature in front of students without giving the answer (Marton, 2015).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Put two cases side by side (Contrast Set) — cases differing in that feature, forcing comparison (Marton, 2015).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Turn the pattern into a rule (Build a Rule) — students state the rule themselves; generalization by construction (Wittrock, 1974).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Break the rule on purpose (Pattern Break) asks them to explain — the case that breaks the too-simple rule; the engine of conceptual change (Posner, Strike, Hewson &amp; Gertzog, 1982).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Ask it at three depths (3-Tier Concept Question) — the same aspect at Getting Started / Working On It / Mastery (Vygotsky, 1978; Tomlinson, 2014); students can choose they level they feel comfortable answering, and can use the earlier levels to guide their thinking.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A "what if" question that asks them to apply the concept to a made situation that shows how it changes under different conditions.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76" w:lineRule="auto"/>
        <w:ind w:left="600" w:hanging="360"/>
      </w:pPr>
      <w:r w:rsidDel="00000000" w:rsidR="00000000" w:rsidRPr="00000000">
        <w:rPr>
          <w:rtl w:val="0"/>
        </w:rPr>
        <w:t xml:space="preserve">Beyond the frame questions cause them to focus on critical aspects of a lesson concept, formulate it in their own words, use it to explain effects on ecology, evolution, or the organism.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600" w:hanging="360"/>
        <w:rPr/>
      </w:pPr>
      <w:r w:rsidDel="00000000" w:rsidR="00000000" w:rsidRPr="00000000">
        <w:rPr>
          <w:rtl w:val="0"/>
        </w:rPr>
        <w:t xml:space="preserve">Relate it to your own life (Relate-to-Me) — students write how the idea connects to their life; shown to give the largest gains for struggling students (Hulleman &amp; Harackiewicz, 2009).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Abedi &amp; Lord (2001); Ausubel (1968); Black &amp; Wiliam (1998); Bruner (1960); Hulleman &amp; Harackiewicz (2009); Marton (2015); Marton &amp; Booth (1997); Meadows (2008); Posner, Strike, Hewson &amp; Gertzog (1982); Tomlinson (2014); Vygotsky (1978); Wittrock (1974). Copyright 2026 Katherine von Duyke.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h4Etalc0hLZMFZ6jviQunu9gA==">CgMxLjA4AHIhMXlfMjRkU1o3bktZUDlQY3hjS1dxTEpxVm9VQkpIa20y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