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zjbsjw2zrrx" w:id="0"/>
      <w:bookmarkEnd w:id="0"/>
      <w:r w:rsidDel="00000000" w:rsidR="00000000" w:rsidRPr="00000000">
        <w:rPr>
          <w:rtl w:val="0"/>
        </w:rPr>
        <w:t xml:space="preserve">The method in one page</w:t>
      </w:r>
    </w:p>
    <w:p w:rsidR="00000000" w:rsidDel="00000000" w:rsidP="00000000" w:rsidRDefault="00000000" w:rsidRPr="00000000" w14:paraId="00000002">
      <w:pPr>
        <w:rPr/>
      </w:pPr>
      <w:r w:rsidDel="00000000" w:rsidR="00000000" w:rsidRPr="00000000">
        <w:rPr>
          <w:i w:val="1"/>
          <w:iCs w:val="1"/>
          <w:rtl w:val="0"/>
        </w:rPr>
        <w:t xml:space="preserve">The TL;DR of the Teacher Manual. If you read nothing else before your first cycle, read this.</w:t>
      </w:r>
      <w:r w:rsidDel="00000000" w:rsidR="00000000" w:rsidRPr="00000000">
        <w:rPr>
          <w:rtl w:val="0"/>
        </w:rPr>
      </w:r>
    </w:p>
    <w:p w:rsidR="00000000" w:rsidDel="00000000" w:rsidP="00000000" w:rsidRDefault="00000000" w:rsidRPr="00000000" w14:paraId="00000003">
      <w:pPr>
        <w:pStyle w:val="Heading2"/>
        <w:rPr/>
      </w:pPr>
      <w:bookmarkStart w:colFirst="0" w:colLast="0" w:name="_ajzz66tpim1y" w:id="1"/>
      <w:bookmarkEnd w:id="1"/>
      <w:r w:rsidDel="00000000" w:rsidR="00000000" w:rsidRPr="00000000">
        <w:rPr>
          <w:rtl w:val="0"/>
        </w:rPr>
        <w:t xml:space="preserve">What you have</w:t>
      </w:r>
    </w:p>
    <w:p w:rsidR="00000000" w:rsidDel="00000000" w:rsidP="00000000" w:rsidRDefault="00000000" w:rsidRPr="00000000" w14:paraId="00000004">
      <w:pPr>
        <w:rPr/>
      </w:pPr>
      <w:r w:rsidDel="00000000" w:rsidR="00000000" w:rsidRPr="00000000">
        <w:rPr>
          <w:rtl w:val="0"/>
        </w:rPr>
        <w:t xml:space="preserve">Twenty concept </w:t>
      </w:r>
      <w:r w:rsidDel="00000000" w:rsidR="00000000" w:rsidRPr="00000000">
        <w:rPr>
          <w:b w:val="1"/>
          <w:bCs w:val="1"/>
          <w:rtl w:val="0"/>
        </w:rPr>
        <w:t xml:space="preserve">cycles</w:t>
      </w:r>
      <w:r w:rsidDel="00000000" w:rsidR="00000000" w:rsidRPr="00000000">
        <w:rPr>
          <w:rtl w:val="0"/>
        </w:rPr>
        <w:t xml:space="preserve">. Each one is a student slide deck that is the lesson </w:t>
      </w:r>
      <w:r w:rsidDel="00000000" w:rsidR="00000000" w:rsidRPr="00000000">
        <w:rPr>
          <w:i w:val="1"/>
          <w:iCs w:val="1"/>
          <w:rtl w:val="0"/>
        </w:rPr>
        <w:t xml:space="preserve">and</w:t>
      </w:r>
      <w:r w:rsidDel="00000000" w:rsidR="00000000" w:rsidRPr="00000000">
        <w:rPr>
          <w:rtl w:val="0"/>
        </w:rPr>
        <w:t xml:space="preserve"> the worksheet: students open their own copy and write directly on the slides, so their thinking, their notes, and their answers all live in one file you can collect.</w:t>
      </w:r>
    </w:p>
    <w:p w:rsidR="00000000" w:rsidDel="00000000" w:rsidP="00000000" w:rsidRDefault="00000000" w:rsidRPr="00000000" w14:paraId="00000005">
      <w:pPr>
        <w:pStyle w:val="Heading2"/>
        <w:rPr/>
      </w:pPr>
      <w:bookmarkStart w:colFirst="0" w:colLast="0" w:name="_1tt1mrzcnkc6" w:id="2"/>
      <w:bookmarkEnd w:id="2"/>
      <w:r w:rsidDel="00000000" w:rsidR="00000000" w:rsidRPr="00000000">
        <w:rPr>
          <w:rtl w:val="0"/>
        </w:rPr>
        <w:t xml:space="preserve">5 core questions</w:t>
      </w:r>
    </w:p>
    <w:p w:rsidR="00000000" w:rsidDel="00000000" w:rsidP="00000000" w:rsidRDefault="00000000" w:rsidRPr="00000000" w14:paraId="00000006">
      <w:pPr>
        <w:rPr/>
      </w:pPr>
      <w:r w:rsidDel="00000000" w:rsidR="00000000" w:rsidRPr="00000000">
        <w:rPr>
          <w:rtl w:val="0"/>
        </w:rPr>
        <w:t xml:space="preserve">Every critical aspect — the one discernment a topic depends on — runs the same arc: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Critical Aspect</w:t>
      </w:r>
      <w:r w:rsidDel="00000000" w:rsidR="00000000" w:rsidRPr="00000000">
        <w:rPr>
          <w:rtl w:val="0"/>
        </w:rPr>
        <w:t xml:space="preserve"> — an open question that puts the concept on the table </w:t>
      </w:r>
      <w:r w:rsidDel="00000000" w:rsidR="00000000" w:rsidRPr="00000000">
        <w:rPr>
          <w:i w:val="1"/>
          <w:iCs w:val="1"/>
          <w:rtl w:val="0"/>
        </w:rPr>
        <w:t xml:space="preserve">before</w:t>
      </w:r>
      <w:r w:rsidDel="00000000" w:rsidR="00000000" w:rsidRPr="00000000">
        <w:rPr>
          <w:rtl w:val="0"/>
        </w:rPr>
        <w:t xml:space="preserve"> any explanation.</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Contrast Set</w:t>
      </w:r>
      <w:r w:rsidDel="00000000" w:rsidR="00000000" w:rsidRPr="00000000">
        <w:rPr>
          <w:rtl w:val="0"/>
        </w:rPr>
        <w:t xml:space="preserve"> — two cases side by side that differ in exactly the one feature that matters.</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Build a Rule</w:t>
      </w:r>
      <w:r w:rsidDel="00000000" w:rsidR="00000000" w:rsidRPr="00000000">
        <w:rPr>
          <w:rtl w:val="0"/>
        </w:rPr>
        <w:t xml:space="preserve"> — students put the pattern they just saw into their own words.</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Pattern Break</w:t>
      </w:r>
      <w:r w:rsidDel="00000000" w:rsidR="00000000" w:rsidRPr="00000000">
        <w:rPr>
          <w:rtl w:val="0"/>
        </w:rPr>
        <w:t xml:space="preserve"> — a case that breaks their rule, forcing them to sharpen it.</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3-Tier Concept Question</w:t>
      </w:r>
      <w:r w:rsidDel="00000000" w:rsidR="00000000" w:rsidRPr="00000000">
        <w:rPr>
          <w:rtl w:val="0"/>
        </w:rPr>
        <w:t xml:space="preserve"> — the same idea at three depths (Getting Started / Working On It / Mastery), so differentiation is built in rather than bolted on.</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Five additional questions help the students make it meaningful to them.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Students reason while they are being taught, not before or after, and every lesson ends with a question they can enter at their own level.</w:t>
      </w:r>
    </w:p>
    <w:p w:rsidR="00000000" w:rsidDel="00000000" w:rsidP="00000000" w:rsidRDefault="00000000" w:rsidRPr="00000000" w14:paraId="00000010">
      <w:pPr>
        <w:pStyle w:val="Heading2"/>
        <w:rPr/>
      </w:pPr>
      <w:bookmarkStart w:colFirst="0" w:colLast="0" w:name="_sb8y69we99gc" w:id="3"/>
      <w:bookmarkEnd w:id="3"/>
      <w:r w:rsidDel="00000000" w:rsidR="00000000" w:rsidRPr="00000000">
        <w:rPr>
          <w:rtl w:val="0"/>
        </w:rPr>
        <w:t xml:space="preserve">Why students answer while the lesson is happening</w:t>
      </w:r>
    </w:p>
    <w:p w:rsidR="00000000" w:rsidDel="00000000" w:rsidP="00000000" w:rsidRDefault="00000000" w:rsidRPr="00000000" w14:paraId="00000011">
      <w:pPr>
        <w:rPr/>
      </w:pPr>
      <w:r w:rsidDel="00000000" w:rsidR="00000000" w:rsidRPr="00000000">
        <w:rPr>
          <w:rtl w:val="0"/>
        </w:rPr>
        <w:t xml:space="preserve">The first answer is where the misconception surfaces, so the contrasts have something to work on. </w:t>
      </w:r>
      <w:r w:rsidDel="00000000" w:rsidR="00000000" w:rsidRPr="00000000">
        <w:rPr>
          <w:b w:val="1"/>
          <w:bCs w:val="1"/>
          <w:rtl w:val="0"/>
        </w:rPr>
        <w:t xml:space="preserve">A confidently wrong first answer is doing its job.</w:t>
      </w:r>
      <w:r w:rsidDel="00000000" w:rsidR="00000000" w:rsidRPr="00000000">
        <w:rPr>
          <w:rtl w:val="0"/>
        </w:rPr>
        <w:t xml:space="preserve"> Grade that answer for correctness and the machine stops: students write what they think is safe instead of what they actually think. What ends up on the page is the student's own thinking, captured while the lesson happens — not a copy of your notes.</w:t>
      </w:r>
    </w:p>
    <w:p w:rsidR="00000000" w:rsidDel="00000000" w:rsidP="00000000" w:rsidRDefault="00000000" w:rsidRPr="00000000" w14:paraId="00000012">
      <w:pPr>
        <w:pStyle w:val="Heading2"/>
        <w:rPr/>
      </w:pPr>
      <w:bookmarkStart w:colFirst="0" w:colLast="0" w:name="_v1gk0mt39oyf" w:id="4"/>
      <w:bookmarkEnd w:id="4"/>
      <w:r w:rsidDel="00000000" w:rsidR="00000000" w:rsidRPr="00000000">
        <w:rPr>
          <w:rtl w:val="0"/>
        </w:rPr>
        <w:t xml:space="preserve">The two answers</w:t>
      </w:r>
    </w:p>
    <w:p w:rsidR="00000000" w:rsidDel="00000000" w:rsidP="00000000" w:rsidRDefault="00000000" w:rsidRPr="00000000" w14:paraId="00000013">
      <w:pPr>
        <w:rPr/>
      </w:pPr>
      <w:r w:rsidDel="00000000" w:rsidR="00000000" w:rsidRPr="00000000">
        <w:rPr>
          <w:rtl w:val="0"/>
        </w:rPr>
        <w:t xml:space="preserve">Each response slide has two boxes. In class, students write the </w:t>
      </w:r>
      <w:r w:rsidDel="00000000" w:rsidR="00000000" w:rsidRPr="00000000">
        <w:rPr>
          <w:b w:val="1"/>
          <w:bCs w:val="1"/>
          <w:rtl w:val="0"/>
        </w:rPr>
        <w:t xml:space="preserve">first answer</w:t>
      </w:r>
      <w:r w:rsidDel="00000000" w:rsidR="00000000" w:rsidRPr="00000000">
        <w:rPr>
          <w:rtl w:val="0"/>
        </w:rPr>
        <w:t xml:space="preserve">. Between classes they open that slide's </w:t>
      </w:r>
      <w:r w:rsidDel="00000000" w:rsidR="00000000" w:rsidRPr="00000000">
        <w:rPr>
          <w:b w:val="1"/>
          <w:bCs w:val="1"/>
          <w:rtl w:val="0"/>
        </w:rPr>
        <w:t xml:space="preserve">speaker notes</w:t>
      </w:r>
      <w:r w:rsidDel="00000000" w:rsidR="00000000" w:rsidRPr="00000000">
        <w:rPr>
          <w:rtl w:val="0"/>
        </w:rPr>
        <w:t xml:space="preserve">, copy the prompt into any AI, and use its questions to think again — the prompt is written so the AI asks rather than answers. Next class they write the </w:t>
      </w:r>
      <w:r w:rsidDel="00000000" w:rsidR="00000000" w:rsidRPr="00000000">
        <w:rPr>
          <w:b w:val="1"/>
          <w:bCs w:val="1"/>
          <w:rtl w:val="0"/>
        </w:rPr>
        <w:t xml:space="preserve">revised answer</w:t>
      </w:r>
      <w:r w:rsidDel="00000000" w:rsidR="00000000" w:rsidRPr="00000000">
        <w:rPr>
          <w:rtl w:val="0"/>
        </w:rPr>
        <w:t xml:space="preserve"> underneath, and </w:t>
      </w:r>
      <w:r w:rsidDel="00000000" w:rsidR="00000000" w:rsidRPr="00000000">
        <w:rPr>
          <w:b w:val="1"/>
          <w:bCs w:val="1"/>
          <w:rtl w:val="0"/>
        </w:rPr>
        <w:t xml:space="preserve">both stay visible</w:t>
      </w:r>
      <w:r w:rsidDel="00000000" w:rsidR="00000000" w:rsidRPr="00000000">
        <w:rPr>
          <w:rtl w:val="0"/>
        </w:rPr>
        <w:t xml:space="preserve">. Seeing their own thinking change is the point; tell them that out loud.</w:t>
      </w:r>
    </w:p>
    <w:p w:rsidR="00000000" w:rsidDel="00000000" w:rsidP="00000000" w:rsidRDefault="00000000" w:rsidRPr="00000000" w14:paraId="00000014">
      <w:pPr>
        <w:pStyle w:val="Heading2"/>
        <w:rPr/>
      </w:pPr>
      <w:bookmarkStart w:colFirst="0" w:colLast="0" w:name="_p269tvowvd9v" w:id="5"/>
      <w:bookmarkEnd w:id="5"/>
      <w:r w:rsidDel="00000000" w:rsidR="00000000" w:rsidRPr="00000000">
        <w:rPr>
          <w:rtl w:val="0"/>
        </w:rPr>
        <w:t xml:space="preserve">Two turn-ins per cycle</w:t>
      </w:r>
    </w:p>
    <w:p w:rsidR="00000000" w:rsidDel="00000000" w:rsidP="00000000" w:rsidRDefault="00000000" w:rsidRPr="00000000" w14:paraId="00000015">
      <w:pPr>
        <w:rPr/>
      </w:pPr>
      <w:r w:rsidDel="00000000" w:rsidR="00000000" w:rsidRPr="00000000">
        <w:rPr>
          <w:rtl w:val="0"/>
        </w:rPr>
        <w:t xml:space="preserve">The deck is submitted twice: once with </w:t>
      </w:r>
      <w:r w:rsidDel="00000000" w:rsidR="00000000" w:rsidRPr="00000000">
        <w:rPr>
          <w:b w:val="1"/>
          <w:bCs w:val="1"/>
          <w:rtl w:val="0"/>
        </w:rPr>
        <w:t xml:space="preserve">first answers only</w:t>
      </w:r>
      <w:r w:rsidDel="00000000" w:rsidR="00000000" w:rsidRPr="00000000">
        <w:rPr>
          <w:rtl w:val="0"/>
        </w:rPr>
        <w:t xml:space="preserve">, before any AI, and once with the </w:t>
      </w:r>
      <w:r w:rsidDel="00000000" w:rsidR="00000000" w:rsidRPr="00000000">
        <w:rPr>
          <w:b w:val="1"/>
          <w:bCs w:val="1"/>
          <w:rtl w:val="0"/>
        </w:rPr>
        <w:t xml:space="preserve">revision</w:t>
      </w:r>
      <w:r w:rsidDel="00000000" w:rsidR="00000000" w:rsidRPr="00000000">
        <w:rPr>
          <w:rtl w:val="0"/>
        </w:rPr>
        <w:t xml:space="preserve"> added. It takes students an extra minute and it is the part that makes the method work — without the first submission there is no before-and-after, and no way to know the thinking was theirs.</w:t>
      </w:r>
    </w:p>
    <w:p w:rsidR="00000000" w:rsidDel="00000000" w:rsidP="00000000" w:rsidRDefault="00000000" w:rsidRPr="00000000" w14:paraId="00000016">
      <w:pPr>
        <w:pStyle w:val="Heading2"/>
        <w:rPr/>
      </w:pPr>
      <w:bookmarkStart w:colFirst="0" w:colLast="0" w:name="_ehfq35lq2q61" w:id="6"/>
      <w:bookmarkEnd w:id="6"/>
      <w:r w:rsidDel="00000000" w:rsidR="00000000" w:rsidRPr="00000000">
        <w:rPr>
          <w:rtl w:val="0"/>
        </w:rPr>
        <w:t xml:space="preserve">Grading</w:t>
      </w:r>
    </w:p>
    <w:p w:rsidR="00000000" w:rsidDel="00000000" w:rsidP="00000000" w:rsidRDefault="00000000" w:rsidRPr="00000000" w14:paraId="00000017">
      <w:pPr>
        <w:rPr/>
      </w:pPr>
      <w:r w:rsidDel="00000000" w:rsidR="00000000" w:rsidRPr="00000000">
        <w:rPr>
          <w:b w:val="1"/>
          <w:bCs w:val="1"/>
          <w:rtl w:val="0"/>
        </w:rPr>
        <w:t xml:space="preserve">Completion, not correctness.</w:t>
      </w:r>
      <w:r w:rsidDel="00000000" w:rsidR="00000000" w:rsidRPr="00000000">
        <w:rPr>
          <w:rtl w:val="0"/>
        </w:rPr>
        <w:t xml:space="preserve"> Both boxes filled in the student's own words = full credit. That is the whole check: about twenty seconds per student. Proficiency is real, but it belongs in the feedback you give, not in the gradebook — a student should see honest growth whether their grade says A or F.</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Do not run integrity enforcement on vocabulary and matching work. Its job is exposure — building the shared floor of words the thinking work needs. Save that attention for the first answer on the response slides, which is the one place it matters.</w:t>
      </w:r>
    </w:p>
    <w:p w:rsidR="00000000" w:rsidDel="00000000" w:rsidP="00000000" w:rsidRDefault="00000000" w:rsidRPr="00000000" w14:paraId="0000001A">
      <w:pPr>
        <w:pStyle w:val="Heading2"/>
        <w:rPr/>
      </w:pPr>
      <w:bookmarkStart w:colFirst="0" w:colLast="0" w:name="_qbg0h9e2mrp1" w:id="7"/>
      <w:bookmarkEnd w:id="7"/>
      <w:r w:rsidDel="00000000" w:rsidR="00000000" w:rsidRPr="00000000">
        <w:rPr>
          <w:rtl w:val="0"/>
        </w:rPr>
        <w:t xml:space="preserve">The payoff</w:t>
      </w:r>
    </w:p>
    <w:p w:rsidR="00000000" w:rsidDel="00000000" w:rsidP="00000000" w:rsidRDefault="00000000" w:rsidRPr="00000000" w14:paraId="0000001B">
      <w:pPr>
        <w:rPr/>
      </w:pPr>
      <w:r w:rsidDel="00000000" w:rsidR="00000000" w:rsidRPr="00000000">
        <w:rPr>
          <w:rtl w:val="0"/>
        </w:rPr>
        <w:t xml:space="preserve">Before you teach the next cycle, read five or six first answers. The misconception most of them share is your opening contrast for the next lesson. That is the real return on this method: the students tell you what to teach next, in their own words, before you have to guess.</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