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 w:line="300" w:lineRule="auto"/>
        <w:jc w:val="left"/>
      </w:pPr>
      <w:r>
        <w:rPr>
          <w:rFonts w:ascii="Calibri" w:hAnsi="Calibri" w:eastAsia="Calibri"/>
          <w:b/>
          <w:color w:val="18202C"/>
          <w:sz w:val="52"/>
        </w:rPr>
        <w:t>Liquidity Control Tower</w:t>
      </w:r>
    </w:p>
    <w:p>
      <w:pPr>
        <w:spacing w:before="0" w:after="280" w:line="300" w:lineRule="auto"/>
      </w:pPr>
      <w:r>
        <w:rPr>
          <w:rFonts w:ascii="Calibri" w:hAnsi="Calibri" w:eastAsia="Calibri"/>
          <w:b w:val="0"/>
          <w:color w:val="586069"/>
          <w:sz w:val="30"/>
        </w:rPr>
        <w:t>Список функций MVP простыми словами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Назначение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FFF"/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18202C"/>
                <w:sz w:val="21"/>
              </w:rPr>
              <w:t>Материал для команды, которая пишет проектную документацию и готовит demo narrative.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Аудитория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FFF"/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18202C"/>
                <w:sz w:val="21"/>
              </w:rPr>
              <w:t>Product, Backend, Data/ML, Frontend, Design, Pitch team.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Фокус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FFF"/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18202C"/>
                <w:sz w:val="21"/>
              </w:rPr>
              <w:t>Что система умеет сейчас, зачем это нужно и как объяснять это жюри.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Статус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FFFFF"/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18202C"/>
                <w:sz w:val="21"/>
              </w:rPr>
              <w:t>Backend MVP готов для UI-интеграции; данные и контракты зафиксированы.</w:t>
            </w:r>
          </w:p>
        </w:tc>
      </w:tr>
    </w:tbl>
    <w:p>
      <w:pPr>
        <w:spacing w:before="0" w:after="12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Главная мысль документа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18202C"/>
                <w:sz w:val="21"/>
              </w:rPr>
              <w:t>Liquidity Control Tower — это backend-ready MVP для прогнозного управления ликвидностью: прогнозный коридор, риск-метрики, MIP-оптимизатор, стресс-сценарии, governance gate и AI Council поверх рассчитанных фактов.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1. Краткая карта системы</w:t>
      </w:r>
    </w:p>
    <w:p>
      <w:pPr>
        <w:spacing w:before="0" w:after="120" w:line="300" w:lineRule="auto"/>
      </w:pPr>
      <w:r>
        <w:rPr>
          <w:rFonts w:ascii="Calibri" w:hAnsi="Calibri" w:eastAsia="Calibri"/>
          <w:color w:val="18202C"/>
          <w:sz w:val="22"/>
        </w:rPr>
        <w:t>Сейчас проект можно описывать как decision-support систему для treasury команды необанка или финтех-компании. Она заранее видит будущий cash gap, объясняет причины, проверяет концентрацию по банкам и предлагает безопасные действия.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Блок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Что в нем находится</w:t>
            </w:r>
          </w:p>
        </w:tc>
      </w:tr>
      <w:tr>
        <w:tc>
          <w:tcPr>
            <w:tcW w:type="dxa" w:w="2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Forecast &amp; Data Science</w:t>
            </w:r>
          </w:p>
        </w:tc>
        <w:tc>
          <w:tcPr>
            <w:tcW w:type="dxa" w:w="68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18202C"/>
                <w:sz w:val="21"/>
              </w:rPr>
              <w:t>Прогнозирует p05/p50/p95, готовит признаки, фильтрует аномалии и учитывает календарные события.</w:t>
            </w:r>
          </w:p>
        </w:tc>
      </w:tr>
      <w:tr>
        <w:tc>
          <w:tcPr>
            <w:tcW w:type="dxa" w:w="2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Optimization &amp; Risk</w:t>
            </w:r>
          </w:p>
        </w:tc>
        <w:tc>
          <w:tcPr>
            <w:tcW w:type="dxa" w:w="68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18202C"/>
                <w:sz w:val="21"/>
              </w:rPr>
              <w:t>Считает HHI, CCRI, стресс-сценарии, ES99 и решает MIP-задачу переводов через PuLP.</w:t>
            </w:r>
          </w:p>
        </w:tc>
      </w:tr>
      <w:tr>
        <w:tc>
          <w:tcPr>
            <w:tcW w:type="dxa" w:w="2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Workflow &amp; Business Value</w:t>
            </w:r>
          </w:p>
        </w:tc>
        <w:tc>
          <w:tcPr>
            <w:tcW w:type="dxa" w:w="68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18202C"/>
                <w:sz w:val="21"/>
              </w:rPr>
              <w:t>Формирует approval, root-cause explanation, ROI и AI Council review.</w:t>
            </w:r>
          </w:p>
        </w:tc>
      </w:tr>
      <w:tr>
        <w:tc>
          <w:tcPr>
            <w:tcW w:type="dxa" w:w="2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UI &amp; Integration</w:t>
            </w:r>
          </w:p>
        </w:tc>
        <w:tc>
          <w:tcPr>
            <w:tcW w:type="dxa" w:w="68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18202C"/>
                <w:sz w:val="21"/>
              </w:rPr>
              <w:t>Дает OpenAPI, demo snapshot, metadata и handoff artifacts для будущего dashboard.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2. Список функций простыми словами</w:t>
      </w:r>
    </w:p>
    <w:p>
      <w:pPr>
        <w:pStyle w:val="Heading2"/>
      </w:pPr>
      <w:r>
        <w:t>Forecast &amp; Data Science</w:t>
      </w:r>
    </w:p>
    <w:p>
      <w:pPr>
        <w:pStyle w:val="Heading3"/>
      </w:pPr>
      <w:r>
        <w:t>Прогноз ликвидности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Прогнозирует будущие балансы по счетам на несколько дней вперед и показывает, где может появиться дефицит денег.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Смотрим не только текущий остаток, а будущий p05/p50/p95 коридор.</w:t>
      </w:r>
    </w:p>
    <w:p>
      <w:pPr>
        <w:pStyle w:val="Heading3"/>
      </w:pPr>
      <w:r>
        <w:t>ML-ансамбль прогнозирования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Смешивает LightGBM Quantile, sklearn Gradient Boosting Quantile и EWMA baseline, чтобы прогноз был устойчивее одной модели.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Несколько независимых моделей голосуют за прогнозный коридор.</w:t>
      </w:r>
    </w:p>
    <w:p>
      <w:pPr>
        <w:pStyle w:val="Heading3"/>
      </w:pPr>
      <w:r>
        <w:t>Feature Engineering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Готовит признаки для ML: час через sin/cos, EWMA, лаги, rolling statistics, календарные события и settlement flags.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Модель получает не сырые платежи, а математически подготовленные признаки.</w:t>
      </w:r>
    </w:p>
    <w:p>
      <w:pPr>
        <w:pStyle w:val="Heading3"/>
      </w:pPr>
      <w:r>
        <w:t>Фильтрация аномалий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Находит выбросы через MAD Z-Score и не дает редким экстремальным движениям портить обучение.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Аномалии фильтруются устойчивой статистикой, а не ручным порогом.</w:t>
      </w:r>
    </w:p>
    <w:p>
      <w:pPr>
        <w:pStyle w:val="Heading3"/>
      </w:pPr>
      <w:r>
        <w:t>Известные события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Учитывает merchant payout cycles, holidays, payroll days и settlement delays как заранее известные причины будущего риска.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Показываем, почему риск случится именно в этот день.</w:t>
      </w:r>
    </w:p>
    <w:p>
      <w:pPr>
        <w:pStyle w:val="Heading3"/>
      </w:pPr>
      <w:r>
        <w:t>Risk Status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Присваивает счетам Green, Yellow или Red в зависимости от того, пробивает ли p05 или p50 минимальный буфер.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Цвет статуса завязан на downside forecast, а не на настроение оператора.</w:t>
      </w:r>
    </w:p>
    <w:p>
      <w:pPr>
        <w:pStyle w:val="Heading3"/>
      </w:pPr>
      <w:r>
        <w:t>Расчет HHI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Считает концентрацию денег по банкам и поднимает alert, если HHI выше 0.25.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Видим риск зависимости от одного банка.</w:t>
      </w:r>
    </w:p>
    <w:p>
      <w:pPr>
        <w:pStyle w:val="Heading2"/>
      </w:pPr>
      <w:r>
        <w:t>Optimization &amp; Risk</w:t>
      </w:r>
    </w:p>
    <w:p>
      <w:pPr>
        <w:pStyle w:val="Heading3"/>
      </w:pPr>
      <w:r>
        <w:t>CCRI-рейтинг банков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Хранит mock risk score банка и меняет лимит экспозиции при downgrade.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Падение рейтинга банка автоматически ужесточает лимиты.</w:t>
      </w:r>
    </w:p>
    <w:p>
      <w:pPr>
        <w:pStyle w:val="Heading3"/>
      </w:pPr>
      <w:r>
        <w:t>MIP-оптимизатор ликвидности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Использует PuLP, чтобы найти дешевые переводы между счетами при ограничениях по балансам и экспозиции.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Это constrained optimization: минимизируем cost, соблюдаем B_min.</w:t>
      </w:r>
    </w:p>
    <w:p>
      <w:pPr>
        <w:pStyle w:val="Heading3"/>
      </w:pPr>
      <w:r>
        <w:t>Survival Floor Constraints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Запрещает выводить деньги со счета, если p05 forecast уже показывает дефицит по этому счету.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Оптимизатор не может “спасти” концентрацию, ухудшив кассовый разрыв.</w:t>
      </w:r>
    </w:p>
    <w:p>
      <w:pPr>
        <w:pStyle w:val="Heading3"/>
      </w:pPr>
      <w:r>
        <w:t>Stress Testing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Применяет сценарии Bank Run и TARGET2 Outage к балансам и пересчитывает риск.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Кнопки сценариев показывают, как система ведет себя под стрессом.</w:t>
      </w:r>
    </w:p>
    <w:p>
      <w:pPr>
        <w:pStyle w:val="Heading3"/>
      </w:pPr>
      <w:r>
        <w:t>Expected Shortfall 99%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Считает среднюю потерю в худшем 1% стрессовых исходов.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ES99 объясняет tail risk простым числом.</w:t>
      </w:r>
    </w:p>
    <w:p>
      <w:pPr>
        <w:pStyle w:val="Heading3"/>
      </w:pPr>
      <w:r>
        <w:t>Governance Gate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Проверяет рекомендацию оптимизатора и может отклонить ее, если она опасна или неисполнима.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Математика предлагает, governance не дает нажать опасный approve.</w:t>
      </w:r>
    </w:p>
    <w:p>
      <w:pPr>
        <w:pStyle w:val="Heading3"/>
      </w:pPr>
      <w:r>
        <w:t>Contingency Plan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Если MIP infeasible, предлагает prefunding, payment throttling, fallback rails и intraday credit sizing.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Когда перевод невозможен, система дает emergency playbook.</w:t>
      </w:r>
    </w:p>
    <w:p>
      <w:pPr>
        <w:pStyle w:val="Heading2"/>
      </w:pPr>
      <w:r>
        <w:t>Workflow &amp; Business Value</w:t>
      </w:r>
    </w:p>
    <w:p>
      <w:pPr>
        <w:pStyle w:val="Heading3"/>
      </w:pPr>
      <w:r>
        <w:t>Recommendation Approval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Применяет approved transfer к mock-балансам и создает audit log.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Демо показывает human-approved treasury action, а не автоматический перевод денег.</w:t>
      </w:r>
    </w:p>
    <w:p>
      <w:pPr>
        <w:pStyle w:val="Heading3"/>
      </w:pPr>
      <w:r>
        <w:t>Explainability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Объясняет root causes: forecast breach, known event, anomaly flags, stress loss, HHI и governance blocker.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Можно открыть “почему” и увидеть математические причины риска.</w:t>
      </w:r>
    </w:p>
    <w:p>
      <w:pPr>
        <w:pStyle w:val="Heading3"/>
      </w:pPr>
      <w:r>
        <w:t>ROI Summary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Считает at-risk liquidity, avoided gap, released reserve, transfer cost, ES99 и снижение ручной работы.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CFO видит не графики, а экономический эффект.</w:t>
      </w:r>
    </w:p>
    <w:p>
      <w:pPr>
        <w:pStyle w:val="Heading3"/>
      </w:pPr>
      <w:r>
        <w:t>AI Council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Запускает 5 советников, которые независимо анализируют backend output и собирают итоговый verdict.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LLM не считает деньги, а критикует уже рассчитанные факты.</w:t>
      </w:r>
    </w:p>
    <w:p>
      <w:pPr>
        <w:pStyle w:val="Heading3"/>
      </w:pPr>
      <w:r>
        <w:t>OpenAI + Claude режим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Поддерживает mock, OpenAI, Claude/Anthropic и mixed provider routing.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Для жюри: multi-model governance поверх одного фактического payload.</w:t>
      </w:r>
    </w:p>
    <w:p>
      <w:pPr>
        <w:pStyle w:val="Heading2"/>
      </w:pPr>
      <w:r>
        <w:t>UI &amp; Integration</w:t>
      </w:r>
    </w:p>
    <w:p>
      <w:pPr>
        <w:pStyle w:val="Heading3"/>
      </w:pPr>
      <w:r>
        <w:t>Demo Snapshot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Собирает forecast, stress, optimizer, explanation, ROI, contingency и AI Council в один payload для dashboard.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Главная ручка для фронтенда: один endpoint, весь cockpit state.</w:t>
      </w:r>
    </w:p>
    <w:p>
      <w:pPr>
        <w:pStyle w:val="Heading3"/>
      </w:pPr>
      <w:r>
        <w:t>OpenAPI контракт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Экспортирует openapi.json со всеми endpoint, request и response схемами.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Фронтенд пишет UI по контракту, а не по устным договоренностям.</w:t>
      </w:r>
    </w:p>
    <w:p>
      <w:pPr>
        <w:pStyle w:val="Heading3"/>
      </w:pPr>
      <w:r>
        <w:t>UI Handoff Artifacts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Генерирует demo_snapshot.json, demo_metadata.json, openapi.json и handoff summary для дизайна и фронтенда.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Дизайнер и frontend получают стабильный golden state.</w:t>
      </w:r>
    </w:p>
    <w:p>
      <w:pPr>
        <w:pStyle w:val="Heading3"/>
      </w:pPr>
      <w:r>
        <w:t>Backend Verify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Что делает: </w:t>
      </w:r>
      <w:r>
        <w:rPr>
          <w:rFonts w:ascii="Calibri" w:hAnsi="Calibri" w:eastAsia="Calibri"/>
          <w:color w:val="18202C"/>
          <w:sz w:val="21"/>
        </w:rPr>
        <w:t>Одна команда прогоняет forecast, optimizer, demo, AI Council mock, contract export и тесты.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Как объяснить: </w:t>
      </w:r>
      <w:r>
        <w:rPr>
          <w:rFonts w:ascii="Calibri" w:hAnsi="Calibri" w:eastAsia="Calibri"/>
          <w:color w:val="18202C"/>
          <w:sz w:val="21"/>
        </w:rPr>
        <w:t>Перед показом запускаем один sanity check всего backend-а.</w:t>
      </w:r>
    </w:p>
    <w:p>
      <w:pPr>
        <w:pStyle w:val="Heading1"/>
      </w:pPr>
      <w:r>
        <w:t>3. Что отдавать frontend/design команде</w:t>
      </w:r>
    </w:p>
    <w:p>
      <w:pPr>
        <w:spacing w:before="0" w:after="120" w:line="300" w:lineRule="auto"/>
      </w:pPr>
      <w:r>
        <w:rPr>
          <w:rFonts w:ascii="Calibri" w:hAnsi="Calibri" w:eastAsia="Calibri"/>
          <w:color w:val="18202C"/>
          <w:sz w:val="22"/>
        </w:rPr>
        <w:t>Для внешнего вида уже подготовлены стабильные backend-контракты и golden payload. Это позволяет проектировать dashboard без ожидания новых backend-изменений.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Файл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Зачем нужен</w:t>
            </w:r>
          </w:p>
        </w:tc>
      </w:tr>
      <w:t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openapi.json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18202C"/>
                <w:sz w:val="21"/>
              </w:rPr>
              <w:t>Полный FastAPI контракт: endpoints, request body, response fields.</w:t>
            </w:r>
          </w:p>
        </w:tc>
      </w:tr>
      <w:t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demo_snapshot.json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18202C"/>
                <w:sz w:val="21"/>
              </w:rPr>
              <w:t>Эталонное состояние dashboard: forecast, stress, optimizer, explanation, ROI, contingency, AI Council.</w:t>
            </w:r>
          </w:p>
        </w:tc>
      </w:tr>
      <w:t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demo_metadata.json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18202C"/>
                <w:sz w:val="21"/>
              </w:rPr>
              <w:t>Demo clock, seed, thresholds, quantiles и веса ML-ансамбля.</w:t>
            </w:r>
          </w:p>
        </w:tc>
      </w:tr>
      <w:t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ui_handoff_summary.json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18202C"/>
                <w:sz w:val="21"/>
              </w:rPr>
              <w:t>Короткий индекс handoff-файлов и примечания по использованию.</w:t>
            </w:r>
          </w:p>
        </w:tc>
      </w:tr>
    </w:tbl>
    <w:p>
      <w:pPr>
        <w:pStyle w:val="Heading2"/>
      </w:pPr>
      <w:r>
        <w:t>Ключевые backend-команды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npm run backend:dev: </w:t>
      </w:r>
      <w:r>
        <w:rPr>
          <w:rFonts w:ascii="Calibri" w:hAnsi="Calibri" w:eastAsia="Calibri"/>
          <w:color w:val="18202C"/>
          <w:sz w:val="21"/>
        </w:rPr>
        <w:t>Запустить FastAPI сервер.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npm run backend:contracts: </w:t>
      </w:r>
      <w:r>
        <w:rPr>
          <w:rFonts w:ascii="Calibri" w:hAnsi="Calibri" w:eastAsia="Calibri"/>
          <w:color w:val="18202C"/>
          <w:sz w:val="21"/>
        </w:rPr>
        <w:t>Сгенерировать OpenAPI и golden UI payload.</w:t>
      </w:r>
    </w:p>
    <w:p>
      <w:pPr>
        <w:spacing w:before="0" w:after="80" w:line="300" w:lineRule="auto"/>
      </w:pPr>
      <w:r>
        <w:rPr>
          <w:rFonts w:ascii="Calibri" w:hAnsi="Calibri" w:eastAsia="Calibri"/>
          <w:b/>
          <w:color w:val="1F4D78"/>
          <w:sz w:val="21"/>
        </w:rPr>
        <w:t xml:space="preserve">npm run backend:verify: </w:t>
      </w:r>
      <w:r>
        <w:rPr>
          <w:rFonts w:ascii="Calibri" w:hAnsi="Calibri" w:eastAsia="Calibri"/>
          <w:color w:val="18202C"/>
          <w:sz w:val="21"/>
        </w:rPr>
        <w:t>Прогнать forecast, optimizer, demo, AI Council mock, contracts и тесты.</w:t>
      </w:r>
    </w:p>
    <w:p>
      <w:pPr>
        <w:pStyle w:val="Heading1"/>
      </w:pPr>
      <w:r>
        <w:t>4. Как формулировать MVP в документации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Короткая формулировка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18202C"/>
                <w:sz w:val="21"/>
              </w:rPr>
              <w:t>MVP превращает treasury из ручного реагирования в прогнозное управление ликвидностью: заранее видит будущий cash gap, объясняет его причины, оценивает tail risk, проверяет концентрацию и предлагает безопасный план действий.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Calibri"/>
          <w:color w:val="18202C"/>
          <w:sz w:val="22"/>
        </w:rPr>
        <w:t>Важно не обещать настоящие банковские переводы или production-grade ML platform. В текущем MVP система является explainable decision-support cockpit с mock-данными, честной математикой и готовыми backend-контрактами для UI.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586069"/>
        <w:sz w:val="18"/>
      </w:rPr>
      <w:t>MVP backend documentation handoff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color w:val="586069"/>
        <w:sz w:val="18"/>
      </w:rPr>
      <w:t>Liquidity Control Tower | Function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8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