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Architecture Clarification: Analytics, Tools, Agent</w:t>
      </w:r>
    </w:p>
    <w:p>
      <w:pPr>
        <w:pStyle w:val="Heading1"/>
      </w:pPr>
      <w:r>
        <w:t>1. Overview</w:t>
      </w:r>
    </w:p>
    <w:p>
      <w:r>
        <w:t>This document clarifies the architecture components being built for the AMA Analytics platform, including Analytics Service, Tools Service, and Agent Service.</w:t>
      </w:r>
    </w:p>
    <w:p>
      <w:pPr>
        <w:pStyle w:val="Heading1"/>
      </w:pPr>
      <w:r>
        <w:t>2. Analytics Service</w:t>
      </w:r>
    </w:p>
    <w:p>
      <w:r>
        <w:t>Spring Boot service responsible for:</w:t>
        <w:br/>
        <w:t>- Querying PostgreSQL</w:t>
        <w:br/>
        <w:t>- Performing aggregations and business logic</w:t>
        <w:br/>
        <w:t>- Returning structured analytics data</w:t>
        <w:br/>
        <w:br/>
        <w:t>This is the core data layer and should remain independent of AI.</w:t>
      </w:r>
    </w:p>
    <w:p>
      <w:pPr>
        <w:pStyle w:val="Heading1"/>
      </w:pPr>
      <w:r>
        <w:t>3. Tools Service</w:t>
      </w:r>
    </w:p>
    <w:p>
      <w:r>
        <w:t>Spring Boot wrapper service that:</w:t>
        <w:br/>
        <w:t>- Exposes analytics capabilities as tools</w:t>
        <w:br/>
        <w:t>- Maintains tool catalog (name, description, schema)</w:t>
        <w:br/>
        <w:t>- Maps tool names to analytics endpoints</w:t>
        <w:br/>
        <w:t>- Forwards requests to Analytics Service</w:t>
        <w:br/>
        <w:br/>
        <w:t>This acts as an adapter layer between AI and backend services.</w:t>
      </w:r>
    </w:p>
    <w:p>
      <w:pPr>
        <w:pStyle w:val="Heading1"/>
      </w:pPr>
      <w:r>
        <w:t>4. Agent Service</w:t>
      </w:r>
    </w:p>
    <w:p>
      <w:r>
        <w:t>Spring Boot service responsible for:</w:t>
        <w:br/>
        <w:t>- Accepting natural language queries</w:t>
        <w:br/>
        <w:t>- Providing tool context to LLM</w:t>
        <w:br/>
        <w:t>- Invoking LLM to determine tool + arguments</w:t>
        <w:br/>
        <w:t>- Calling Tools Service</w:t>
        <w:br/>
        <w:t>- Returning final response to user</w:t>
        <w:br/>
        <w:br/>
        <w:t>This is the reasoning/orchestration layer.</w:t>
      </w:r>
    </w:p>
    <w:p>
      <w:pPr>
        <w:pStyle w:val="Heading1"/>
      </w:pPr>
      <w:r>
        <w:t>5. Important Design Principle</w:t>
      </w:r>
    </w:p>
    <w:p>
      <w:r>
        <w:t>LLM should return:</w:t>
        <w:br/>
        <w:t>- Tool name</w:t>
        <w:br/>
        <w:t>- Arguments</w:t>
        <w:br/>
        <w:br/>
        <w:t>NOT raw backend endpoints.</w:t>
        <w:br/>
        <w:br/>
        <w:t>Tool mapping must remain inside the Tools Service.</w:t>
      </w:r>
    </w:p>
    <w:p>
      <w:pPr>
        <w:pStyle w:val="Heading1"/>
      </w:pPr>
      <w:r>
        <w:t>6. End-to-End Flow</w:t>
      </w:r>
    </w:p>
    <w:p>
      <w:r>
        <w:t>User → Agent Service → LLM → Tool Selection → Tools Service → Analytics Service → Database → Response</w:t>
      </w:r>
    </w:p>
    <w:p>
      <w:pPr>
        <w:pStyle w:val="Heading1"/>
      </w:pPr>
      <w:r>
        <w:t>7. Responsibilities Separation</w:t>
      </w:r>
    </w:p>
    <w:p>
      <w:r>
        <w:t>Agent: decides WHAT to ask</w:t>
        <w:br/>
        <w:t>Tools Service: decides WHICH tool maps to backend</w:t>
        <w:br/>
        <w:t>Analytics Service: decides HOW to fetch data</w:t>
      </w:r>
    </w:p>
    <w:p>
      <w:pPr>
        <w:pStyle w:val="Heading1"/>
      </w:pPr>
      <w:r>
        <w:t>8. Conclusion</w:t>
      </w:r>
    </w:p>
    <w:p>
      <w:r>
        <w:t>The architecture is correctly designed with clear separation of concerns. This layered approach enables scalability, maintainability, and future MCP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