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52A0" w14:textId="77777777" w:rsidR="0033717C" w:rsidRPr="0033717C" w:rsidRDefault="0033717C" w:rsidP="003371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Transitioning from a monolithic architecture to a microservices architecture is a common trend in modern software development. SOAP (Simple Object Access Protocol) is an XML-based protocol for exchanging structured information in the implementation of web services, and it is often associated with older, monolithic systems. Moving from SOAP to microservices involves several steps:</w:t>
      </w:r>
    </w:p>
    <w:p w14:paraId="469EA17C"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Assessment and Planning:</w:t>
      </w:r>
    </w:p>
    <w:p w14:paraId="4EA5F853"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Understand your existing SOAP-based application thoroughly.</w:t>
      </w:r>
    </w:p>
    <w:p w14:paraId="50345FAB"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Identify the various functionalities and services within your monolith.</w:t>
      </w:r>
    </w:p>
    <w:p w14:paraId="044702F5"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Decide which services are suitable for decomposition into microservices.</w:t>
      </w:r>
    </w:p>
    <w:p w14:paraId="334930B2"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Plan the migration process and set clear goals.</w:t>
      </w:r>
    </w:p>
    <w:p w14:paraId="19DDDF47"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Decomposition:</w:t>
      </w:r>
    </w:p>
    <w:p w14:paraId="6FCB6CA0"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Break down your monolithic application into smaller, more manageable services.</w:t>
      </w:r>
    </w:p>
    <w:p w14:paraId="6A131B0D"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Consider factors like business boundaries, data dependencies, and scalability when deciding how to split your monolith.</w:t>
      </w:r>
    </w:p>
    <w:p w14:paraId="7A01B555"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Technology Stack Selection:</w:t>
      </w:r>
    </w:p>
    <w:p w14:paraId="2E96887F"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 xml:space="preserve">Choose appropriate technologies for building your microservices. Common choices include RESTful APIs, </w:t>
      </w:r>
      <w:proofErr w:type="spellStart"/>
      <w:r w:rsidRPr="0033717C">
        <w:rPr>
          <w:rFonts w:ascii="Segoe UI" w:eastAsia="Times New Roman" w:hAnsi="Segoe UI" w:cs="Segoe UI"/>
          <w:kern w:val="0"/>
          <w:sz w:val="21"/>
          <w:szCs w:val="21"/>
          <w:lang w:eastAsia="en-IN"/>
          <w14:ligatures w14:val="none"/>
        </w:rPr>
        <w:t>gRPC</w:t>
      </w:r>
      <w:proofErr w:type="spellEnd"/>
      <w:r w:rsidRPr="0033717C">
        <w:rPr>
          <w:rFonts w:ascii="Segoe UI" w:eastAsia="Times New Roman" w:hAnsi="Segoe UI" w:cs="Segoe UI"/>
          <w:kern w:val="0"/>
          <w:sz w:val="21"/>
          <w:szCs w:val="21"/>
          <w:lang w:eastAsia="en-IN"/>
          <w14:ligatures w14:val="none"/>
        </w:rPr>
        <w:t>, or other lightweight communication protocols.</w:t>
      </w:r>
    </w:p>
    <w:p w14:paraId="5FFF4B79"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Select programming languages, frameworks, and tools that align with your project's goals and team's expertise.</w:t>
      </w:r>
    </w:p>
    <w:p w14:paraId="5FFF4AE7"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Data Management:</w:t>
      </w:r>
    </w:p>
    <w:p w14:paraId="5FE979F9"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Decide how to handle data in a microservices architecture. Options include a shared database (not recommended for full microservices benefits) or individual databases per microservice.</w:t>
      </w:r>
    </w:p>
    <w:p w14:paraId="1AF9418A"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Implement data consistency strategies such as eventual consistency if needed.</w:t>
      </w:r>
    </w:p>
    <w:p w14:paraId="67541D2D"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Service Communication:</w:t>
      </w:r>
    </w:p>
    <w:p w14:paraId="20F04395"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Establish communication mechanisms between microservices. Common patterns include HTTP/HTTPS RESTful APIs, message queues, or RPC (Remote Procedure Call) mechanisms.</w:t>
      </w:r>
    </w:p>
    <w:p w14:paraId="3C5D64C0"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Ensure proper authentication and authorization between services.</w:t>
      </w:r>
    </w:p>
    <w:p w14:paraId="65EEE760"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Deployment and Orchestration:</w:t>
      </w:r>
    </w:p>
    <w:p w14:paraId="192F2E9C"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Containerize your microservices using technologies like Docker.</w:t>
      </w:r>
    </w:p>
    <w:p w14:paraId="421BDD41"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Use container orchestration platforms like Kubernetes to manage and scale your microservices.</w:t>
      </w:r>
    </w:p>
    <w:p w14:paraId="4203E480"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API Gateway:</w:t>
      </w:r>
    </w:p>
    <w:p w14:paraId="2A61CCD5"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Consider using an API Gateway to manage the external-facing APIs for your microservices. This can help with authentication, rate limiting, and versioning.</w:t>
      </w:r>
    </w:p>
    <w:p w14:paraId="04FBC20D"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Monitoring and Observability:</w:t>
      </w:r>
    </w:p>
    <w:p w14:paraId="495028D1"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Implement robust monitoring and logging for your microservices.</w:t>
      </w:r>
    </w:p>
    <w:p w14:paraId="233AA754"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Use tools like Prometheus, Grafana, ELK Stack, or specialized microservices observability platforms to gain insights into the health and performance of your services.</w:t>
      </w:r>
    </w:p>
    <w:p w14:paraId="1C320D58"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Testing and QA:</w:t>
      </w:r>
    </w:p>
    <w:p w14:paraId="4736BBEA"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Develop a comprehensive testing strategy that includes unit testing, integration testing, and end-to-end testing for your microservices.</w:t>
      </w:r>
    </w:p>
    <w:p w14:paraId="19D3DCC6"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Implement continuous integration and continuous deployment (CI/CD) pipelines to automate testing and deployment processes.</w:t>
      </w:r>
    </w:p>
    <w:p w14:paraId="6FC94675"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lastRenderedPageBreak/>
        <w:t>Incremental Migration:</w:t>
      </w:r>
    </w:p>
    <w:p w14:paraId="17A0EEFE"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Consider a gradual migration approach. You don't have to rewrite everything at once. Start by migrating and rewriting one service at a time.</w:t>
      </w:r>
    </w:p>
    <w:p w14:paraId="13FD3CC0"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Documentation and Collaboration:</w:t>
      </w:r>
    </w:p>
    <w:p w14:paraId="7510473F"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Ensure thorough documentation of your microservices, APIs, and their usage.</w:t>
      </w:r>
    </w:p>
    <w:p w14:paraId="0C8A3041"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Foster collaboration and communication among development teams responsible for different microservices.</w:t>
      </w:r>
    </w:p>
    <w:p w14:paraId="2C69E48A"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Scaling and Load Balancing:</w:t>
      </w:r>
    </w:p>
    <w:p w14:paraId="75713B13"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Implement auto-scaling mechanisms to handle varying loads on your microservices.</w:t>
      </w:r>
    </w:p>
    <w:p w14:paraId="13F449E8"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Use load balancers to distribute traffic evenly among instances.</w:t>
      </w:r>
    </w:p>
    <w:p w14:paraId="1DC40274"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Security:</w:t>
      </w:r>
    </w:p>
    <w:p w14:paraId="039EE653"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Pay special attention to security in a microservices architecture. Implement security best practices like input validation, access control, and data encryption.</w:t>
      </w:r>
    </w:p>
    <w:p w14:paraId="01F6AAE3"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Use tools like service mesh (e.g., Istio) for secure communication between services.</w:t>
      </w:r>
    </w:p>
    <w:p w14:paraId="6F068ACC"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Error Handling and Resilience:</w:t>
      </w:r>
    </w:p>
    <w:p w14:paraId="6907A720"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Implement proper error handling and fault tolerance mechanisms in each microservice.</w:t>
      </w:r>
    </w:p>
    <w:p w14:paraId="65A3607F"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Consider circuit breakers and retry strategies to ensure graceful degradation under failure conditions.</w:t>
      </w:r>
    </w:p>
    <w:p w14:paraId="47B9DB3A" w14:textId="77777777" w:rsidR="0033717C" w:rsidRPr="0033717C" w:rsidRDefault="0033717C" w:rsidP="003371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b/>
          <w:bCs/>
          <w:kern w:val="0"/>
          <w:sz w:val="21"/>
          <w:szCs w:val="21"/>
          <w:bdr w:val="single" w:sz="2" w:space="0" w:color="D9D9E3" w:frame="1"/>
          <w:lang w:eastAsia="en-IN"/>
          <w14:ligatures w14:val="none"/>
        </w:rPr>
        <w:t>Monitoring and Maintenance:</w:t>
      </w:r>
    </w:p>
    <w:p w14:paraId="401C19E9"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Continuously monitor the health and performance of your microservices.</w:t>
      </w:r>
    </w:p>
    <w:p w14:paraId="111AD152" w14:textId="77777777" w:rsidR="0033717C" w:rsidRPr="0033717C" w:rsidRDefault="0033717C" w:rsidP="003371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Regularly update and patch software components to address security vulnerabilities.</w:t>
      </w:r>
    </w:p>
    <w:p w14:paraId="4CDCE9D1" w14:textId="77777777" w:rsidR="0033717C" w:rsidRPr="0033717C" w:rsidRDefault="0033717C" w:rsidP="003371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3717C">
        <w:rPr>
          <w:rFonts w:ascii="Segoe UI" w:eastAsia="Times New Roman" w:hAnsi="Segoe UI" w:cs="Segoe UI"/>
          <w:kern w:val="0"/>
          <w:sz w:val="21"/>
          <w:szCs w:val="21"/>
          <w:lang w:eastAsia="en-IN"/>
          <w14:ligatures w14:val="none"/>
        </w:rPr>
        <w:t>Transitioning from SOAP to microservices is a significant undertaking and requires careful planning, design, and execution. It's essential to involve your development and operations teams early in the process and to monitor and iterate as you progress to ensure a successful migration.</w:t>
      </w:r>
    </w:p>
    <w:p w14:paraId="1FA07DD1" w14:textId="77777777" w:rsidR="00452798" w:rsidRPr="0033717C" w:rsidRDefault="00452798" w:rsidP="0033717C"/>
    <w:sectPr w:rsidR="00452798" w:rsidRPr="0033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AB7"/>
    <w:multiLevelType w:val="multilevel"/>
    <w:tmpl w:val="EB689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49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7C"/>
    <w:rsid w:val="0033717C"/>
    <w:rsid w:val="00452798"/>
    <w:rsid w:val="00D5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B5A0"/>
  <w15:chartTrackingRefBased/>
  <w15:docId w15:val="{9B4D4EE1-2C31-4D45-AE3C-066C0004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7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6943">
      <w:bodyDiv w:val="1"/>
      <w:marLeft w:val="0"/>
      <w:marRight w:val="0"/>
      <w:marTop w:val="0"/>
      <w:marBottom w:val="0"/>
      <w:divBdr>
        <w:top w:val="none" w:sz="0" w:space="0" w:color="auto"/>
        <w:left w:val="none" w:sz="0" w:space="0" w:color="auto"/>
        <w:bottom w:val="none" w:sz="0" w:space="0" w:color="auto"/>
        <w:right w:val="none" w:sz="0" w:space="0" w:color="auto"/>
      </w:divBdr>
      <w:divsChild>
        <w:div w:id="392118064">
          <w:marLeft w:val="0"/>
          <w:marRight w:val="0"/>
          <w:marTop w:val="0"/>
          <w:marBottom w:val="0"/>
          <w:divBdr>
            <w:top w:val="single" w:sz="2" w:space="0" w:color="auto"/>
            <w:left w:val="single" w:sz="2" w:space="0" w:color="auto"/>
            <w:bottom w:val="single" w:sz="6" w:space="0" w:color="auto"/>
            <w:right w:val="single" w:sz="2" w:space="0" w:color="auto"/>
          </w:divBdr>
          <w:divsChild>
            <w:div w:id="162897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469077">
                  <w:marLeft w:val="0"/>
                  <w:marRight w:val="0"/>
                  <w:marTop w:val="0"/>
                  <w:marBottom w:val="0"/>
                  <w:divBdr>
                    <w:top w:val="single" w:sz="2" w:space="0" w:color="D9D9E3"/>
                    <w:left w:val="single" w:sz="2" w:space="0" w:color="D9D9E3"/>
                    <w:bottom w:val="single" w:sz="2" w:space="0" w:color="D9D9E3"/>
                    <w:right w:val="single" w:sz="2" w:space="0" w:color="D9D9E3"/>
                  </w:divBdr>
                  <w:divsChild>
                    <w:div w:id="573971037">
                      <w:marLeft w:val="0"/>
                      <w:marRight w:val="0"/>
                      <w:marTop w:val="0"/>
                      <w:marBottom w:val="0"/>
                      <w:divBdr>
                        <w:top w:val="single" w:sz="2" w:space="0" w:color="D9D9E3"/>
                        <w:left w:val="single" w:sz="2" w:space="0" w:color="D9D9E3"/>
                        <w:bottom w:val="single" w:sz="2" w:space="0" w:color="D9D9E3"/>
                        <w:right w:val="single" w:sz="2" w:space="0" w:color="D9D9E3"/>
                      </w:divBdr>
                      <w:divsChild>
                        <w:div w:id="649360696">
                          <w:marLeft w:val="0"/>
                          <w:marRight w:val="0"/>
                          <w:marTop w:val="0"/>
                          <w:marBottom w:val="0"/>
                          <w:divBdr>
                            <w:top w:val="single" w:sz="2" w:space="0" w:color="D9D9E3"/>
                            <w:left w:val="single" w:sz="2" w:space="0" w:color="D9D9E3"/>
                            <w:bottom w:val="single" w:sz="2" w:space="0" w:color="D9D9E3"/>
                            <w:right w:val="single" w:sz="2" w:space="0" w:color="D9D9E3"/>
                          </w:divBdr>
                          <w:divsChild>
                            <w:div w:id="2006011770">
                              <w:marLeft w:val="0"/>
                              <w:marRight w:val="0"/>
                              <w:marTop w:val="0"/>
                              <w:marBottom w:val="0"/>
                              <w:divBdr>
                                <w:top w:val="single" w:sz="2" w:space="0" w:color="D9D9E3"/>
                                <w:left w:val="single" w:sz="2" w:space="0" w:color="D9D9E3"/>
                                <w:bottom w:val="single" w:sz="2" w:space="0" w:color="D9D9E3"/>
                                <w:right w:val="single" w:sz="2" w:space="0" w:color="D9D9E3"/>
                              </w:divBdr>
                              <w:divsChild>
                                <w:div w:id="181170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KONIJETI</dc:creator>
  <cp:keywords/>
  <dc:description/>
  <cp:lastModifiedBy>ARUNA KONIJETI</cp:lastModifiedBy>
  <cp:revision>1</cp:revision>
  <dcterms:created xsi:type="dcterms:W3CDTF">2023-10-06T09:09:00Z</dcterms:created>
  <dcterms:modified xsi:type="dcterms:W3CDTF">2023-10-06T09:10:00Z</dcterms:modified>
</cp:coreProperties>
</file>