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3218"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00879BF6"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D76ECA7"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0661BD08"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2135"/>
        <w:gridCol w:w="2812"/>
        <w:gridCol w:w="5016"/>
      </w:tblGrid>
      <w:tr w:rsidR="00715340" w14:paraId="5924D025" w14:textId="77777777" w:rsidTr="008521D5">
        <w:trPr>
          <w:trHeight w:val="557"/>
          <w:jc w:val="center"/>
        </w:trPr>
        <w:tc>
          <w:tcPr>
            <w:tcW w:w="2135" w:type="dxa"/>
            <w:vAlign w:val="center"/>
          </w:tcPr>
          <w:p w14:paraId="6E9D8C62" w14:textId="77777777" w:rsidR="00CD64BE" w:rsidRDefault="00000000">
            <w:pPr>
              <w:jc w:val="center"/>
            </w:pPr>
            <w:r>
              <w:rPr>
                <w:rFonts w:ascii="Times New Roman" w:hAnsi="Times New Roman"/>
                <w:sz w:val="22"/>
              </w:rPr>
              <w:t>AI-POWERED ADAPTIVE MULTI-FACTOR AUTHENTICATION AND ACCESS CONTROL SYSTEM</w:t>
            </w:r>
          </w:p>
        </w:tc>
        <w:tc>
          <w:tcPr>
            <w:tcW w:w="7828" w:type="dxa"/>
            <w:gridSpan w:val="2"/>
            <w:vAlign w:val="center"/>
          </w:tcPr>
          <w:p w14:paraId="2D1F7973" w14:textId="77777777" w:rsidR="00715340" w:rsidRDefault="00715340" w:rsidP="00FE2B3A">
            <w:pPr>
              <w:jc w:val="center"/>
              <w:rPr>
                <w:rFonts w:ascii="Times New Roman" w:hAnsi="Times New Roman" w:cs="Times New Roman"/>
                <w:b/>
                <w:bCs/>
              </w:rPr>
            </w:pPr>
          </w:p>
          <w:p w14:paraId="2B82EF58" w14:textId="77777777" w:rsidR="00715340" w:rsidRPr="00286D28" w:rsidRDefault="00715340" w:rsidP="00FE2B3A">
            <w:pPr>
              <w:jc w:val="center"/>
              <w:rPr>
                <w:rFonts w:ascii="Times New Roman" w:hAnsi="Times New Roman" w:cs="Times New Roman"/>
                <w:b/>
                <w:bCs/>
              </w:rPr>
            </w:pPr>
          </w:p>
        </w:tc>
      </w:tr>
      <w:tr w:rsidR="00715340" w14:paraId="4575AF55" w14:textId="77777777" w:rsidTr="008521D5">
        <w:trPr>
          <w:jc w:val="center"/>
        </w:trPr>
        <w:tc>
          <w:tcPr>
            <w:tcW w:w="2135" w:type="dxa"/>
            <w:vAlign w:val="center"/>
          </w:tcPr>
          <w:p w14:paraId="7451F8B9"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sz w:val="22"/>
              </w:rPr>
              <w:t>S. No.</w:t>
            </w:r>
          </w:p>
        </w:tc>
        <w:tc>
          <w:tcPr>
            <w:tcW w:w="2812" w:type="dxa"/>
            <w:vAlign w:val="center"/>
          </w:tcPr>
          <w:p w14:paraId="07BFD6E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sz w:val="22"/>
              </w:rPr>
              <w:t>University ID</w:t>
            </w:r>
          </w:p>
        </w:tc>
        <w:tc>
          <w:tcPr>
            <w:tcW w:w="5016" w:type="dxa"/>
            <w:vAlign w:val="center"/>
          </w:tcPr>
          <w:p w14:paraId="65A35160"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sz w:val="22"/>
              </w:rPr>
              <w:t>Name</w:t>
            </w:r>
          </w:p>
        </w:tc>
      </w:tr>
      <w:tr w:rsidR="00715340" w14:paraId="582B96C6" w14:textId="77777777" w:rsidTr="008521D5">
        <w:trPr>
          <w:jc w:val="center"/>
        </w:trPr>
        <w:tc>
          <w:tcPr>
            <w:tcW w:w="2135" w:type="dxa"/>
            <w:vAlign w:val="center"/>
          </w:tcPr>
          <w:p w14:paraId="4ED43974"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sz w:val="22"/>
              </w:rPr>
              <w:t>1</w:t>
            </w:r>
          </w:p>
        </w:tc>
        <w:tc>
          <w:tcPr>
            <w:tcW w:w="2812" w:type="dxa"/>
            <w:vAlign w:val="center"/>
          </w:tcPr>
          <w:p w14:paraId="3EACEE5C" w14:textId="4F1F638A" w:rsidR="00CD64BE" w:rsidRDefault="008521D5">
            <w:pPr>
              <w:jc w:val="center"/>
            </w:pPr>
            <w:r>
              <w:t>2420030650</w:t>
            </w:r>
          </w:p>
        </w:tc>
        <w:tc>
          <w:tcPr>
            <w:tcW w:w="5016" w:type="dxa"/>
            <w:vAlign w:val="center"/>
          </w:tcPr>
          <w:p w14:paraId="0B410363" w14:textId="77777777" w:rsidR="00CD64BE" w:rsidRDefault="00000000">
            <w:pPr>
              <w:jc w:val="center"/>
            </w:pPr>
            <w:r>
              <w:rPr>
                <w:rFonts w:ascii="Times New Roman" w:hAnsi="Times New Roman"/>
                <w:sz w:val="22"/>
              </w:rPr>
              <w:t>KVV Ganesh</w:t>
            </w:r>
          </w:p>
        </w:tc>
      </w:tr>
      <w:tr w:rsidR="00715340" w14:paraId="31133B5A" w14:textId="77777777" w:rsidTr="008521D5">
        <w:trPr>
          <w:jc w:val="center"/>
        </w:trPr>
        <w:tc>
          <w:tcPr>
            <w:tcW w:w="2135" w:type="dxa"/>
            <w:vAlign w:val="center"/>
          </w:tcPr>
          <w:p w14:paraId="1B441169"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sz w:val="22"/>
              </w:rPr>
              <w:t>2</w:t>
            </w:r>
          </w:p>
        </w:tc>
        <w:tc>
          <w:tcPr>
            <w:tcW w:w="2812" w:type="dxa"/>
            <w:vAlign w:val="center"/>
          </w:tcPr>
          <w:p w14:paraId="1D5C96B4" w14:textId="1546259D" w:rsidR="00CD64BE" w:rsidRDefault="008521D5">
            <w:pPr>
              <w:jc w:val="center"/>
            </w:pPr>
            <w:r>
              <w:t>2420030408</w:t>
            </w:r>
          </w:p>
        </w:tc>
        <w:tc>
          <w:tcPr>
            <w:tcW w:w="5016" w:type="dxa"/>
            <w:vAlign w:val="center"/>
          </w:tcPr>
          <w:p w14:paraId="040E3BA7" w14:textId="45CA434E" w:rsidR="00CD64BE" w:rsidRDefault="008521D5">
            <w:pPr>
              <w:jc w:val="center"/>
            </w:pPr>
            <w:r>
              <w:t>Nabi Rasool</w:t>
            </w:r>
          </w:p>
        </w:tc>
      </w:tr>
      <w:tr w:rsidR="00715340" w14:paraId="60533792" w14:textId="77777777" w:rsidTr="008521D5">
        <w:trPr>
          <w:jc w:val="center"/>
        </w:trPr>
        <w:tc>
          <w:tcPr>
            <w:tcW w:w="2135" w:type="dxa"/>
            <w:vAlign w:val="center"/>
          </w:tcPr>
          <w:p w14:paraId="49D8C2B0"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sz w:val="22"/>
              </w:rPr>
              <w:t>3</w:t>
            </w:r>
          </w:p>
        </w:tc>
        <w:tc>
          <w:tcPr>
            <w:tcW w:w="2812" w:type="dxa"/>
            <w:vAlign w:val="center"/>
          </w:tcPr>
          <w:p w14:paraId="1BB1AF5C" w14:textId="78675332" w:rsidR="00CD64BE" w:rsidRDefault="008521D5">
            <w:pPr>
              <w:jc w:val="center"/>
            </w:pPr>
            <w:r>
              <w:t>2420030008</w:t>
            </w:r>
          </w:p>
        </w:tc>
        <w:tc>
          <w:tcPr>
            <w:tcW w:w="5016" w:type="dxa"/>
            <w:vAlign w:val="center"/>
          </w:tcPr>
          <w:p w14:paraId="0AA11299" w14:textId="002149E2" w:rsidR="00CD64BE" w:rsidRDefault="008521D5">
            <w:pPr>
              <w:jc w:val="center"/>
            </w:pPr>
            <w:r>
              <w:t>Sai Teja</w:t>
            </w:r>
          </w:p>
        </w:tc>
      </w:tr>
      <w:tr w:rsidR="00715340" w14:paraId="50C624CB" w14:textId="77777777" w:rsidTr="008521D5">
        <w:trPr>
          <w:jc w:val="center"/>
        </w:trPr>
        <w:tc>
          <w:tcPr>
            <w:tcW w:w="4947" w:type="dxa"/>
            <w:gridSpan w:val="2"/>
            <w:vAlign w:val="center"/>
          </w:tcPr>
          <w:p w14:paraId="6BE17B44" w14:textId="77777777" w:rsidR="00715340" w:rsidRPr="00286D28" w:rsidRDefault="00715340" w:rsidP="00FE2B3A">
            <w:pPr>
              <w:jc w:val="center"/>
              <w:rPr>
                <w:rFonts w:ascii="Times New Roman" w:hAnsi="Times New Roman" w:cs="Times New Roman"/>
              </w:rPr>
            </w:pPr>
            <w:r>
              <w:rPr>
                <w:rFonts w:ascii="Times New Roman" w:hAnsi="Times New Roman" w:cs="Times New Roman"/>
                <w:sz w:val="22"/>
              </w:rPr>
              <w:t>Name of the Guide</w:t>
            </w:r>
          </w:p>
        </w:tc>
        <w:tc>
          <w:tcPr>
            <w:tcW w:w="5016" w:type="dxa"/>
            <w:vAlign w:val="center"/>
          </w:tcPr>
          <w:p w14:paraId="4442C681" w14:textId="2C2B3675" w:rsidR="00715340" w:rsidRPr="00024E80" w:rsidRDefault="008521D5" w:rsidP="00FE2B3A">
            <w:pPr>
              <w:jc w:val="center"/>
              <w:rPr>
                <w:rFonts w:ascii="Times New Roman" w:hAnsi="Times New Roman" w:cs="Times New Roman"/>
                <w:b/>
                <w:bCs/>
              </w:rPr>
            </w:pPr>
            <w:proofErr w:type="spellStart"/>
            <w:r>
              <w:rPr>
                <w:rFonts w:ascii="Times New Roman" w:hAnsi="Times New Roman" w:cs="Times New Roman"/>
                <w:b/>
                <w:bCs/>
              </w:rPr>
              <w:t>Venkateswari</w:t>
            </w:r>
            <w:proofErr w:type="spellEnd"/>
            <w:r>
              <w:rPr>
                <w:rFonts w:ascii="Times New Roman" w:hAnsi="Times New Roman" w:cs="Times New Roman"/>
                <w:b/>
                <w:bCs/>
              </w:rPr>
              <w:t xml:space="preserve"> </w:t>
            </w:r>
            <w:proofErr w:type="spellStart"/>
            <w:r>
              <w:rPr>
                <w:rFonts w:ascii="Times New Roman" w:hAnsi="Times New Roman" w:cs="Times New Roman"/>
                <w:b/>
                <w:bCs/>
              </w:rPr>
              <w:t>Ketineni</w:t>
            </w:r>
            <w:proofErr w:type="spellEnd"/>
          </w:p>
        </w:tc>
      </w:tr>
    </w:tbl>
    <w:p w14:paraId="5C7E6918" w14:textId="77777777" w:rsidR="00715340" w:rsidRPr="00715340" w:rsidRDefault="00715340" w:rsidP="00715340">
      <w:pPr>
        <w:spacing w:after="0" w:line="360" w:lineRule="auto"/>
        <w:jc w:val="both"/>
        <w:rPr>
          <w:b/>
          <w:bCs/>
        </w:rPr>
      </w:pPr>
    </w:p>
    <w:p w14:paraId="7892A664" w14:textId="77777777"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2D064104"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sz w:val="22"/>
        </w:rPr>
        <w:t>Modern software systems increasingly rely on online authentication mechanisms to protect user accounts, organizational resources, cloud services, and sensitive information from unauthorized access. Conventional authentication methods generally depend on a fixed username and password combination, and in some systems a second authentication factor is applied uniformly to every login. Although these mechanisms provide an important security layer, they do not sufficiently consider the context in which an authentication request is generated. A legitimate user may normally access a service from a trusted device, familiar location, and regular time period, while a compromised account may suddenly attempt access from an unfamiliar device, an unusual location, or an abnormal time with repeated failed password attempts. Treating both situations identically can either reduce security or introduce unnecessary authentication friction. Therefore, there is a need for an adaptive authentication and access-control mechanism that evaluates the risk associated with each login request and dynamically selects an appropriate security response.</w:t>
      </w:r>
    </w:p>
    <w:p w14:paraId="63F90580" w14:textId="77777777" w:rsidR="00715340" w:rsidRPr="00715340" w:rsidRDefault="00715340" w:rsidP="00024E80">
      <w:pPr>
        <w:spacing w:after="0" w:line="360" w:lineRule="auto"/>
        <w:ind w:left="-360"/>
        <w:jc w:val="both"/>
        <w:rPr>
          <w:rFonts w:ascii="Times New Roman" w:hAnsi="Times New Roman" w:cs="Times New Roman"/>
        </w:rPr>
      </w:pPr>
    </w:p>
    <w:p w14:paraId="6354F18A"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sz w:val="22"/>
        </w:rPr>
        <w:t xml:space="preserve">To address this requirement, the proposed project, “AI-Powered Adaptive Multi-Factor Authentication and Access Control System,” develops a cybersecurity-oriented authentication framework that combines </w:t>
      </w:r>
      <w:r>
        <w:rPr>
          <w:rFonts w:ascii="Times New Roman" w:hAnsi="Times New Roman"/>
          <w:sz w:val="22"/>
        </w:rPr>
        <w:lastRenderedPageBreak/>
        <w:t>conventional credential verification with contextual risk assessment, adaptive multi-factor authentication, access decision logic, and persistent security auditing. The system accepts authentication attributes such as username, password, device identifier, location, and login time. These attributes are processed by independent Spring Boot services responsible for authentication, device trust evaluation, location risk evaluation, risk assessment, access decisions, and multi-factor authentication. Instead of following a single fixed authentication path, the system calculates a risk score from multiple signals. Failed authentication attempts contribute to the risk score, while an untrusted device, an untrusted location, and an unusual login time introduce additional risk. The resulting score is mapped to LOW, MEDIUM, or HIGH risk and is used to determine whether the request can be allowed directly, requires additional verification, or must be denied.</w:t>
      </w:r>
    </w:p>
    <w:p w14:paraId="4CC32681"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sz w:val="22"/>
        </w:rPr>
        <w:t>The current implementation uses Java 21 and Spring Boot to organize the application into logically separated service components suitable for service-oriented and microservice-oriented development. The AuthenticationService coordinates the authentication workflow and communicates with RiskAssessmentService, DeviceTrustService, LocationRiskService, AccessDecisionService, MFAService, and audit-related components. The RiskAssessmentService applies a transparent rule-based scoring model in the current implementation. Zero to two failed attempts contribute no additional points, three to five failed attempts contribute forty points, and more than five failed attempts contribute eighty points. An untrusted device contributes thirty points, an untrusted location contributes twenty points, and an unusual login time contributes twenty points. Scores below thirty are treated as LOW risk, scores from thirty to fifty-nine are treated as MEDIUM risk, and scores of sixty or above are treated as HIGH risk. This transparent scoring mechanism makes the system easy to understand, test, and validate while providing a foundation for the future AI-based adaptive risk engine.</w:t>
      </w:r>
    </w:p>
    <w:p w14:paraId="75A907DD"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sz w:val="22"/>
        </w:rPr>
        <w:t>The adaptive access-control mechanism maps risk levels to progressively stronger security responses. A LOW-risk authentication request can be authenticated without an additional challenge when the credentials are valid. A MEDIUM-risk request requires multi-factor authentication, where the system generates a six-digit one-time password and maintains an expiry period and a maximum number of verification attempts. A HIGH-risk request is denied because the combination of contextual signals indicates a sufficiently suspicious authentication condition. The MFAService maintains OTP information, expiry information, and verification-attempt information for the active authentication flow. The design therefore demonstrates step-up authentication rather than applying the same security requirement to every user and every login. This approach is intended to balance security and usability by applying stronger verification only when the calculated risk justifies it.</w:t>
      </w:r>
    </w:p>
    <w:p w14:paraId="709FA3CA" w14:textId="77777777" w:rsidR="00715340" w:rsidRPr="00715340" w:rsidRDefault="00715340" w:rsidP="00024E80">
      <w:pPr>
        <w:spacing w:after="0" w:line="360" w:lineRule="auto"/>
        <w:ind w:left="-360"/>
        <w:jc w:val="both"/>
        <w:rPr>
          <w:rFonts w:ascii="Times New Roman" w:hAnsi="Times New Roman" w:cs="Times New Roman"/>
        </w:rPr>
      </w:pPr>
    </w:p>
    <w:p w14:paraId="375B7BFD"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sz w:val="22"/>
        </w:rPr>
        <w:t xml:space="preserve">An important part of the project is the security audit and persistence layer. Authentication events are captured with information such as username, device identifier, location, risk score, risk level, and access decision. The audit information is persisted using Spring Data JPA and PostgreSQL rather than relying only on application </w:t>
      </w:r>
      <w:r>
        <w:rPr>
          <w:rFonts w:ascii="Times New Roman" w:hAnsi="Times New Roman"/>
          <w:sz w:val="22"/>
        </w:rPr>
        <w:lastRenderedPageBreak/>
        <w:t>memory. The system provides investigation-oriented endpoints for retrieving all audit records, filtering events by risk level, retrieving events for a particular user, listing denied authentication events, and counting denied events for a user. The project deliberately separates current consecutive failed-attempt tracking from permanent audit history: the current failure counter can be reset after successful authentication, while historical audit records remain available for security investigation. This separation prevents the security audit trail from being destroyed merely because a user's current authentication state has been reset.</w:t>
      </w:r>
    </w:p>
    <w:p w14:paraId="4BB05946" w14:textId="77777777" w:rsidR="00715340" w:rsidRPr="00715340" w:rsidRDefault="00715340" w:rsidP="00024E80">
      <w:pPr>
        <w:spacing w:after="0" w:line="360" w:lineRule="auto"/>
        <w:ind w:left="-360"/>
        <w:jc w:val="both"/>
        <w:rPr>
          <w:rFonts w:ascii="Times New Roman" w:hAnsi="Times New Roman" w:cs="Times New Roman"/>
        </w:rPr>
      </w:pPr>
    </w:p>
    <w:p w14:paraId="475DAD64"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sz w:val="22"/>
        </w:rPr>
        <w:t>The proposed architecture also provides a foundation for an AI-based security layer. The current rule-based engine is designed to generate reliable baseline decisions and collect the contextual authentication data required for future model development. In the next stage, historical authentication telemetry can be used to construct normal behavioral profiles and identify anomalous login patterns involving combinations of device, location, time, failed attempts, and previous authentication outcomes. A machine-learning or explainable-AI component can then complement the rule-based engine by producing an anomaly or risk signal that can be incorporated into the final access decision. The AI component is therefore planned as an enhancement to the validated rule-based security foundation rather than as an opaque replacement for all authentication controls.</w:t>
      </w:r>
    </w:p>
    <w:p w14:paraId="6FD1C2CC" w14:textId="77777777" w:rsidR="00715340" w:rsidRPr="00715340" w:rsidRDefault="00715340" w:rsidP="00024E80">
      <w:pPr>
        <w:spacing w:after="0" w:line="360" w:lineRule="auto"/>
        <w:ind w:left="-360"/>
        <w:jc w:val="both"/>
        <w:rPr>
          <w:rFonts w:ascii="Times New Roman" w:hAnsi="Times New Roman" w:cs="Times New Roman"/>
        </w:rPr>
      </w:pPr>
    </w:p>
    <w:p w14:paraId="5D2AF468"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sz w:val="22"/>
        </w:rPr>
        <w:t>The project is also designed with secure software engineering and DevSecOps practices in mind. After completion of the core authentication features, the application can be containerized and integrated with an automated CI/CD pipeline that performs compilation, unit testing, static analysis, dependency vulnerability scanning, secret detection, container image scanning, and controlled deployment. Tools such as GitHub Actions, SonarQube or SonarCloud, Gitleaks, OWASP Dependency-Check, Trivy, Docker, and appropriate deployment services can be incorporated into the pipeline. The final system is expected to provide an end-to-end demonstration of adaptive cybersecurity, beginning with contextual authentication and risk-based access control and extending through MFA, persistent audit logging, AI-assisted anomaly detection, automated security testing, and secure software delivery. The outcome will be a practical security project that demonstrates how authentication, authorization, behavioral context, data persistence, AI, and DevSecOps can be combined to build a more adaptive and auditable access-control system.</w:t>
      </w:r>
    </w:p>
    <w:p w14:paraId="53EF33FD" w14:textId="77777777" w:rsidR="00715340" w:rsidRDefault="00715340" w:rsidP="00024E80">
      <w:pPr>
        <w:spacing w:after="0" w:line="360" w:lineRule="auto"/>
        <w:ind w:left="-360"/>
        <w:jc w:val="both"/>
      </w:pPr>
    </w:p>
    <w:p w14:paraId="774C8D5A" w14:textId="77777777" w:rsidR="00B046A8" w:rsidRDefault="00B046A8" w:rsidP="00024E80">
      <w:pPr>
        <w:spacing w:after="0" w:line="360" w:lineRule="auto"/>
        <w:ind w:left="-360"/>
        <w:jc w:val="both"/>
      </w:pPr>
    </w:p>
    <w:p w14:paraId="40B29509" w14:textId="77777777" w:rsidR="00B046A8" w:rsidRDefault="00B046A8" w:rsidP="00024E80">
      <w:pPr>
        <w:spacing w:after="0" w:line="360" w:lineRule="auto"/>
        <w:ind w:left="-360"/>
        <w:jc w:val="both"/>
      </w:pPr>
    </w:p>
    <w:p w14:paraId="5765C5FA" w14:textId="77777777" w:rsidR="00B046A8" w:rsidRDefault="00B046A8" w:rsidP="00024E80">
      <w:pPr>
        <w:spacing w:after="0" w:line="360" w:lineRule="auto"/>
        <w:ind w:left="-360"/>
        <w:jc w:val="both"/>
      </w:pPr>
    </w:p>
    <w:p w14:paraId="30BFC0E7" w14:textId="77777777" w:rsidR="00B046A8" w:rsidRDefault="00B046A8" w:rsidP="00024E80">
      <w:pPr>
        <w:spacing w:after="0" w:line="360" w:lineRule="auto"/>
        <w:ind w:left="-360"/>
        <w:jc w:val="both"/>
      </w:pPr>
    </w:p>
    <w:p w14:paraId="5AEFA4D2" w14:textId="77777777" w:rsidR="00B046A8" w:rsidRDefault="00B046A8" w:rsidP="00024E80">
      <w:pPr>
        <w:spacing w:after="0" w:line="360" w:lineRule="auto"/>
        <w:ind w:left="-360"/>
        <w:jc w:val="both"/>
      </w:pPr>
    </w:p>
    <w:p w14:paraId="1AAA5491" w14:textId="77777777" w:rsidR="00024E80" w:rsidRDefault="00024E80" w:rsidP="00024E80">
      <w:pPr>
        <w:spacing w:after="0" w:line="360" w:lineRule="auto"/>
        <w:ind w:left="-360"/>
        <w:jc w:val="both"/>
        <w:rPr>
          <w:rFonts w:ascii="Times New Roman" w:hAnsi="Times New Roman"/>
          <w:b/>
          <w:sz w:val="28"/>
        </w:rPr>
      </w:pPr>
      <w:r>
        <w:rPr>
          <w:rFonts w:ascii="Times New Roman" w:hAnsi="Times New Roman"/>
          <w:b/>
          <w:sz w:val="28"/>
        </w:rPr>
        <w:lastRenderedPageBreak/>
        <w:t>Project Architecture/Project Overview:</w:t>
      </w:r>
    </w:p>
    <w:p w14:paraId="4710211E" w14:textId="118131E5" w:rsidR="00B046A8" w:rsidRPr="00B046A8" w:rsidRDefault="00B046A8" w:rsidP="00B046A8">
      <w:pPr>
        <w:spacing w:after="0" w:line="360" w:lineRule="auto"/>
        <w:ind w:left="-360"/>
        <w:jc w:val="both"/>
        <w:rPr>
          <w:b/>
          <w:bCs/>
          <w:lang w:val="en-IN"/>
        </w:rPr>
      </w:pPr>
      <w:r w:rsidRPr="00B046A8">
        <w:rPr>
          <w:b/>
          <w:bCs/>
          <w:lang w:val="en-IN"/>
        </w:rPr>
        <w:drawing>
          <wp:inline distT="0" distB="0" distL="0" distR="0" wp14:anchorId="0A750A13" wp14:editId="40B6A610">
            <wp:extent cx="5943600" cy="3962400"/>
            <wp:effectExtent l="0" t="0" r="0" b="0"/>
            <wp:docPr id="1077896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FA12E7C" w14:textId="77777777" w:rsidR="00B046A8" w:rsidRDefault="00B046A8" w:rsidP="00024E80">
      <w:pPr>
        <w:spacing w:after="0" w:line="360" w:lineRule="auto"/>
        <w:ind w:left="-360"/>
        <w:jc w:val="both"/>
        <w:rPr>
          <w:b/>
          <w:bCs/>
        </w:rPr>
      </w:pPr>
    </w:p>
    <w:p w14:paraId="77C6B99C" w14:textId="57365CD9" w:rsidR="00CD64BE" w:rsidRDefault="00CD64BE">
      <w:pPr>
        <w:jc w:val="center"/>
      </w:pPr>
    </w:p>
    <w:sectPr w:rsidR="00CD6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400444"/>
    <w:rsid w:val="00542717"/>
    <w:rsid w:val="00715340"/>
    <w:rsid w:val="008521D5"/>
    <w:rsid w:val="009924FC"/>
    <w:rsid w:val="00994114"/>
    <w:rsid w:val="00B046A8"/>
    <w:rsid w:val="00BD59CC"/>
    <w:rsid w:val="00CD6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D2AA0"/>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FFFFFF"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FFFFFF" w:themeColor="text1" w:themeTint="BF"/>
    </w:rPr>
  </w:style>
  <w:style w:type="character" w:customStyle="1" w:styleId="QuoteChar">
    <w:name w:val="Quote Char"/>
    <w:basedOn w:val="DefaultParagraphFont"/>
    <w:link w:val="Quote"/>
    <w:uiPriority w:val="29"/>
    <w:rsid w:val="00715340"/>
    <w:rPr>
      <w:i/>
      <w:iCs/>
      <w:color w:val="FFFFFF"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1168</Words>
  <Characters>6663</Characters>
  <Application>Microsoft Office Word</Application>
  <DocSecurity>0</DocSecurity>
  <Lines>55</Lines>
  <Paragraphs>15</Paragraphs>
  <ScaleCrop>false</ScaleCrop>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Vasamsetti Durgaprasad</cp:lastModifiedBy>
  <cp:revision>4</cp:revision>
  <dcterms:created xsi:type="dcterms:W3CDTF">2026-08-13T06:37:00Z</dcterms:created>
  <dcterms:modified xsi:type="dcterms:W3CDTF">2026-08-25T08:01:00Z</dcterms:modified>
</cp:coreProperties>
</file>