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SERVICES AGREEMENT</w:t>
      </w:r>
    </w:p>
    <w:p>
      <w:r>
        <w:t>NOW IT IS HEREBY AGREED as follows:</w:t>
      </w:r>
    </w:p>
    <w:p>
      <w:r>
        <w:t>1. Definitions</w:t>
      </w:r>
    </w:p>
    <w:p>
      <w:r>
        <w:t>"Fees" means the fees set out in Schedule 1.</w:t>
      </w:r>
    </w:p>
    <w:p>
      <w:r>
        <w:t>2. Services</w:t>
      </w:r>
    </w:p>
    <w:p>
      <w:r>
        <w:t>The Supplier shall provide the Services described in Schedule 2.</w:t>
      </w:r>
    </w:p>
    <w:p>
      <w:r>
        <w:t>3. Payment</w:t>
      </w:r>
    </w:p>
    <w:p>
      <w:r>
        <w:t>The Customer shall pay the Fees in accordance with Schedule 1.</w:t>
      </w:r>
    </w:p>
    <w:p>
      <w:r>
        <w:t>4. Liability</w:t>
      </w:r>
    </w:p>
    <w:p>
      <w:r>
        <w:t>The Supplier's total liability shall not exceed the Fees paid in the preceding 12 months.</w:t>
      </w:r>
    </w:p>
    <w:p>
      <w:r>
        <w:t>SCHEDULE 1 – FEES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Fee (USD)</w:t>
            </w:r>
          </w:p>
        </w:tc>
        <w:tc>
          <w:tcPr>
            <w:tcW w:type="dxa" w:w="2880"/>
          </w:tcPr>
          <w:p>
            <w:r>
              <w:t>Payable</w:t>
            </w:r>
          </w:p>
        </w:tc>
      </w:tr>
      <w:tr>
        <w:tc>
          <w:tcPr>
            <w:tcW w:type="dxa" w:w="2880"/>
          </w:tcPr>
          <w:p>
            <w:r>
              <w:t>Onboarding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On signing</w:t>
            </w:r>
          </w:p>
        </w:tc>
      </w:tr>
      <w:tr>
        <w:tc>
          <w:tcPr>
            <w:tcW w:type="dxa" w:w="2880"/>
          </w:tcPr>
          <w:p>
            <w:r>
              <w:t>Monthly support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  <w:tc>
          <w:tcPr>
            <w:tcW w:type="dxa" w:w="2880"/>
          </w:tcPr>
          <w:p>
            <w:r>
              <w:t>Monthly in arrears</w:t>
            </w:r>
          </w:p>
        </w:tc>
      </w:tr>
      <w:tr>
        <w:tc>
          <w:tcPr>
            <w:tcW w:type="dxa" w:w="2880"/>
          </w:tcPr>
          <w:p>
            <w:r>
              <w:t>Change requests</w:t>
            </w:r>
          </w:p>
        </w:tc>
        <w:tc>
          <w:tcPr>
            <w:tcW w:type="dxa" w:w="2880"/>
          </w:tcPr>
          <w:p>
            <w:r>
              <w:t>180 per hour</w:t>
            </w:r>
          </w:p>
        </w:tc>
        <w:tc>
          <w:tcPr>
            <w:tcW w:type="dxa" w:w="2880"/>
          </w:tcPr>
          <w:p>
            <w:r>
              <w:t>On invoice</w:t>
            </w:r>
          </w:p>
        </w:tc>
      </w:tr>
    </w:tbl>
    <w:p>
      <w:r>
        <w:t>1. Fees are exclusive of VAT.</w:t>
      </w:r>
    </w:p>
    <w:p>
      <w:r>
        <w:t>2. Late payment bears interest at 2% per month.</w:t>
      </w:r>
    </w:p>
    <w:p>
      <w:r>
        <w:t>SCHEDULE 2 – SERVICES</w:t>
      </w:r>
    </w:p>
    <w:p>
      <w:r>
        <w:t>1. Service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Response time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1 hour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4 hours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