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keepNext/>
        <w:spacing w:before="120" w:after="120"/>
        <w:jc w:val="center"/>
      </w:pPr>
      <w:r>
        <w:rPr>
          <w:noProof/>
        </w:rPr>
        <w:drawing>
          <wp:inline distT="0" distB="0" distL="0" distR="0">
            <wp:extent cx="6120130" cy="412485"/>
            <wp:effectExtent l="0" t="0" r="0" b="0"/>
            <wp:docPr id="4001" name="Banner 4001" descr="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image12.png"/>
                    <pic:cNvPicPr/>
                  </pic:nvPicPr>
                  <pic:blipFill>
                    <a:blip r:embed="rId25"/>
                    <a:stretch>
                      <a:fillRect/>
                    </a:stretch>
                  </pic:blipFill>
                  <pic:spPr>
                    <a:xfrm>
                      <a:off x="0" y="0"/>
                      <a:ext cx="6120130" cy="412485"/>
                    </a:xfrm>
                    <a:prstGeom prst="rect">
                      <a:avLst/>
                    </a:prstGeom>
                  </pic:spPr>
                </pic:pic>
              </a:graphicData>
            </a:graphic>
          </wp:inline>
        </w:drawing>
      </w:r>
    </w:p>
    <w:p w14:paraId="6D81D04A">
      <w:pPr>
        <w:pStyle w:val="a5"/>
        <w:spacing w:line="240" w:lineRule="auto"/>
        <w:jc w:val="left"/>
        <w:rPr>
          <w:rFonts w:ascii="맑은 고딕" w:hAnsi="맑은 고딕" w:eastAsia="맑은 고딕" w:cs="맑은 고딕"/>
          <w:sz w:val="32"/>
          <w:shd w:val="clear" w:color="000000"/>
          <w:rtl w:val="0"/>
        </w:rPr>
      </w:pPr>
      <w:r>
        <w:rPr>
          <w:rFonts w:ascii="맑은 고딕" w:hAnsi="맑은 고딕" w:eastAsia="맑은 고딕" w:cs="맑은 고딕"/>
          <w:color w:val="000000"/>
          <w:sz w:val="32"/>
          <w:szCs w:val="20"/>
        </w:rPr>
        <w:t>□</w:t>
      </w:r>
      <w:r>
        <w:rPr>
          <w:rFonts w:ascii="맑은 고딕" w:hAnsi="맑은 고딕" w:eastAsia="맑은 고딕" w:cs="맑은 고딕"/>
          <w:color w:val="000000"/>
          <w:sz w:val="32"/>
          <w:szCs w:val="20"/>
        </w:rPr>
        <w:t xml:space="preserve"> </w:t>
      </w:r>
      <w:r>
        <w:rPr>
          <w:rFonts w:ascii="맑은 고딕" w:hAnsi="맑은 고딕" w:eastAsia="맑은 고딕" w:cs="맑은 고딕"/>
          <w:color w:val="000000"/>
          <w:sz w:val="32"/>
          <w:szCs w:val="20"/>
        </w:rPr>
        <w:t>일반현황</w:t>
      </w:r>
    </w:p>
    <w:p w14:paraId="44DA27E6">
      <w:pPr>
        <w:pStyle w:val="a5"/>
        <w:spacing w:line="240" w:lineRule="auto"/>
        <w:jc w:val="left"/>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Pr>
      <w:tblGrid>
        <w:gridCol w:w="639"/>
        <w:gridCol w:w="1368"/>
        <w:gridCol w:w="132"/>
        <w:gridCol w:w="1623"/>
        <w:gridCol w:w="1075"/>
        <w:gridCol w:w="2116"/>
        <w:gridCol w:w="1191"/>
        <w:gridCol w:w="1494"/>
      </w:tblGrid>
      <w:tr>
        <w:trPr>
          <w:cantSplit/>
          <w:trHeight w:val="502"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052C1B58">
            <w:pPr>
              <w:pStyle w:val="a5"/>
              <w:spacing w:line="240" w:lineRule="auto"/>
              <w:jc w:val="center"/>
              <w:rPr>
                <w:shd w:val="clear"/>
              </w:rPr>
            </w:pPr>
            <w:r>
              <w:rPr>
                <w:rFonts w:ascii="맑은 고딕" w:hAnsi="맑은 고딕" w:eastAsia="맑은 고딕" w:cs="맑은 고딕"/>
                <w:b/>
                <w:bCs/>
                <w:color w:val="000000"/>
                <w:sz w:val="22"/>
                <w:szCs w:val="20"/>
              </w:rPr>
              <w:t>창업아이템명</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3DA2B2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 판정과 낙찰률 구간 예측으로, 용역 적격심사의 통과 가능 투찰 구간을 보여주는 입찰 분석 서비스 (가칭 BidBox)</w:t>
            </w:r>
          </w:p>
        </w:tc>
      </w:tr>
      <w:tr>
        <w:trPr>
          <w:cantSplit/>
          <w:trHeight w:val="968"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1075F58C">
            <w:pPr>
              <w:pStyle w:val="a5"/>
              <w:spacing w:line="240" w:lineRule="auto"/>
              <w:jc w:val="center"/>
              <w:rPr>
                <w:shd w:val="clear"/>
              </w:rPr>
            </w:pPr>
            <w:r>
              <w:rPr>
                <w:rFonts w:ascii="맑은 고딕" w:hAnsi="맑은 고딕" w:eastAsia="맑은 고딕" w:cs="맑은 고딕"/>
                <w:b/>
                <w:bCs/>
                <w:color w:val="000000"/>
                <w:sz w:val="22"/>
                <w:szCs w:val="20"/>
              </w:rPr>
              <w:t>산출물</w:t>
            </w:r>
          </w:p>
          <w:p w14:paraId="0EAEA699">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협약기간</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내</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목표</w:t>
            </w:r>
            <w:r>
              <w:rPr>
                <w:rFonts w:ascii="맑은 고딕" w:hAnsi="맑은 고딕" w:eastAsia="맑은 고딕" w:cs="맑은 고딕"/>
                <w:color w:val="000000"/>
                <w:sz w:val="18"/>
                <w:szCs w:val="20"/>
              </w:rPr>
              <w:t>)</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49E219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웹 서비스 1식(네 업종 공고 검색·대시보드, 공고별 규칙 판정, 최저가·AI 예측가·최상가, 근거를 다는 상담). 파일럿 사용 기록 1식. 상표 1건, 특허 출원 1건. 상표·특허의 명칭은 변리 상담 후 확정한다.</w:t>
            </w:r>
          </w:p>
        </w:tc>
      </w:tr>
      <w:tr>
        <w:trPr>
          <w:cantSplit/>
          <w:trHeight w:val="749"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3B47AAC2">
            <w:pPr>
              <w:pStyle w:val="a5"/>
              <w:spacing w:line="240" w:lineRule="auto"/>
              <w:jc w:val="center"/>
              <w:rPr>
                <w:shd w:val="clear"/>
              </w:rPr>
            </w:pPr>
            <w:r>
              <w:rPr>
                <w:rFonts w:ascii="맑은 고딕" w:hAnsi="맑은 고딕" w:eastAsia="맑은 고딕" w:cs="맑은 고딕"/>
                <w:b/>
                <w:bCs/>
                <w:color w:val="000000"/>
                <w:sz w:val="22"/>
                <w:szCs w:val="20"/>
              </w:rPr>
              <w:t>직업</w:t>
            </w:r>
          </w:p>
          <w:p w14:paraId="02E4D9DA">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직장명</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기재</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불가</w:t>
            </w:r>
            <w:r>
              <w:rPr>
                <w:rFonts w:ascii="맑은 고딕" w:hAnsi="맑은 고딕" w:eastAsia="맑은 고딕" w:cs="맑은 고딕"/>
                <w:color w:val="000000"/>
                <w:sz w:val="18"/>
                <w:szCs w:val="20"/>
              </w:rPr>
              <w:t>)</w:t>
            </w:r>
          </w:p>
        </w:tc>
        <w:tc>
          <w:tcPr>
            <w:tcW w:w="2698" w:type="dxa"/>
            <w:gridSpan w:val="2"/>
            <w:tcBorders>
              <w:top w:val="single" w:sz="3" w:space="0" w:color="000000"/>
              <w:left w:val="double" w:sz="5" w:space="0" w:color="000000"/>
              <w:bottom w:val="single" w:sz="3" w:space="0" w:color="000000"/>
              <w:right w:val="single" w:sz="3" w:space="0" w:color="000000"/>
            </w:tcBorders>
            <w:vAlign w:val="center"/>
          </w:tcPr>
          <w:p w14:paraId="2408433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116" w:type="dxa"/>
            <w:tcBorders>
              <w:top w:val="single" w:sz="3" w:space="0" w:color="000000"/>
              <w:left w:val="single" w:sz="3" w:space="0" w:color="000000"/>
              <w:bottom w:val="single" w:sz="3" w:space="0" w:color="000000"/>
              <w:right w:val="double" w:sz="4" w:space="0" w:color="000000"/>
            </w:tcBorders>
            <w:shd w:val="clear" w:fill="D8D8D8"/>
            <w:vAlign w:val="center"/>
          </w:tcPr>
          <w:p w14:paraId="594BAFFE">
            <w:pPr>
              <w:pStyle w:val="a5"/>
              <w:spacing w:line="240" w:lineRule="auto"/>
              <w:jc w:val="center"/>
              <w:rPr>
                <w:shd w:val="clear"/>
              </w:rPr>
            </w:pPr>
            <w:r>
              <w:rPr>
                <w:rFonts w:ascii="맑은 고딕" w:hAnsi="맑은 고딕" w:eastAsia="맑은 고딕" w:cs="맑은 고딕"/>
                <w:b/>
                <w:bCs/>
                <w:color w:val="000000"/>
                <w:sz w:val="22"/>
                <w:szCs w:val="20"/>
              </w:rPr>
              <w:t>기업(</w:t>
            </w:r>
            <w:r>
              <w:rPr>
                <w:rFonts w:ascii="맑은 고딕" w:hAnsi="맑은 고딕" w:eastAsia="맑은 고딕" w:cs="맑은 고딕"/>
                <w:b/>
                <w:bCs/>
                <w:color w:val="000000"/>
                <w:sz w:val="22"/>
                <w:szCs w:val="20"/>
              </w:rPr>
              <w:t>예정</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명</w:t>
            </w:r>
          </w:p>
        </w:tc>
        <w:tc>
          <w:tcPr>
            <w:tcW w:w="2685" w:type="dxa"/>
            <w:gridSpan w:val="2"/>
            <w:tcBorders>
              <w:top w:val="single" w:sz="3" w:space="0" w:color="000000"/>
              <w:left w:val="double" w:sz="4" w:space="0" w:color="000000"/>
              <w:bottom w:val="single" w:sz="3" w:space="0" w:color="000000"/>
              <w:right w:val="single" w:sz="3" w:space="0" w:color="000000"/>
            </w:tcBorders>
            <w:vAlign w:val="center"/>
          </w:tcPr>
          <w:p w14:paraId="06EA11F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Narani</w:t>
            </w:r>
          </w:p>
        </w:tc>
      </w:tr>
      <w:tr>
        <w:trPr>
          <w:cantSplit/>
          <w:trHeight w:val="446" w:hRule="atLeast"/>
        </w:trPr>
        <w:tc>
          <w:tcPr>
            <w:tcW w:w="9638" w:type="dxa"/>
            <w:gridSpan w:val="8"/>
            <w:tcBorders>
              <w:top w:val="single" w:sz="3" w:space="0" w:color="000000"/>
              <w:left w:val="single" w:sz="3" w:space="0" w:color="000000"/>
              <w:bottom w:val="single" w:sz="3" w:space="0" w:color="000000"/>
              <w:right w:val="single" w:sz="3" w:space="0" w:color="000000"/>
            </w:tcBorders>
            <w:shd w:val="clear" w:fill="D8D8D8"/>
            <w:vAlign w:val="center"/>
          </w:tcPr>
          <w:p w14:paraId="737D2058">
            <w:pPr>
              <w:pStyle w:val="a5"/>
              <w:spacing w:line="240" w:lineRule="auto"/>
              <w:jc w:val="center"/>
              <w:rPr>
                <w:shd w:val="clear"/>
              </w:rPr>
            </w:pP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예비</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창업팀</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현황</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대표자</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본인</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제외</w:t>
            </w:r>
            <w:r>
              <w:rPr>
                <w:rFonts w:ascii="맑은 고딕" w:hAnsi="맑은 고딕" w:eastAsia="맑은 고딕" w:cs="맑은 고딕"/>
                <w:color w:val="000000"/>
                <w:sz w:val="18"/>
                <w:szCs w:val="20"/>
              </w:rPr>
              <w:t>)</w:t>
            </w:r>
          </w:p>
        </w:tc>
      </w:tr>
      <w:tr>
        <w:trPr>
          <w:cantSplit/>
          <w:trHeight w:val="446" w:hRule="atLeast"/>
        </w:trPr>
        <w:tc>
          <w:tcPr>
            <w:tcW w:w="639" w:type="dxa"/>
            <w:tcBorders>
              <w:top w:val="single" w:sz="3" w:space="0" w:color="000000"/>
              <w:left w:val="single" w:sz="3" w:space="0" w:color="000000"/>
              <w:bottom w:val="double" w:sz="4" w:space="0" w:color="000000"/>
              <w:right w:val="single" w:sz="3" w:space="0" w:color="000000"/>
            </w:tcBorders>
            <w:shd w:val="clear" w:fill="D8D8D8"/>
            <w:vAlign w:val="center"/>
          </w:tcPr>
          <w:p w14:paraId="78C5C319">
            <w:pPr>
              <w:pStyle w:val="a5"/>
              <w:spacing w:line="240" w:lineRule="auto"/>
              <w:jc w:val="center"/>
              <w:rPr>
                <w:shd w:val="clear"/>
              </w:rPr>
            </w:pPr>
            <w:r>
              <w:rPr>
                <w:rFonts w:ascii="맑은 고딕" w:hAnsi="맑은 고딕" w:eastAsia="맑은 고딕" w:cs="맑은 고딕"/>
                <w:b/>
                <w:bCs/>
                <w:color w:val="000000"/>
                <w:sz w:val="22"/>
                <w:szCs w:val="20"/>
              </w:rPr>
              <w:t>순번</w:t>
            </w:r>
          </w:p>
        </w:tc>
        <w:tc>
          <w:tcPr>
            <w:tcW w:w="1368" w:type="dxa"/>
            <w:tcBorders>
              <w:top w:val="single" w:sz="3" w:space="0" w:color="000000"/>
              <w:left w:val="single" w:sz="3" w:space="0" w:color="000000"/>
              <w:bottom w:val="double" w:sz="4" w:space="0" w:color="000000"/>
              <w:right w:val="single" w:sz="3" w:space="0" w:color="000000"/>
            </w:tcBorders>
            <w:shd w:val="clear" w:fill="D8D8D8"/>
            <w:vAlign w:val="center"/>
          </w:tcPr>
          <w:p w14:paraId="20840756">
            <w:pPr>
              <w:pStyle w:val="a5"/>
              <w:spacing w:line="240" w:lineRule="auto"/>
              <w:jc w:val="center"/>
              <w:rPr>
                <w:shd w:val="clear"/>
              </w:rPr>
            </w:pPr>
            <w:r>
              <w:rPr>
                <w:rFonts w:ascii="맑은 고딕" w:hAnsi="맑은 고딕" w:eastAsia="맑은 고딕" w:cs="맑은 고딕"/>
                <w:b/>
                <w:bCs/>
                <w:color w:val="000000"/>
                <w:sz w:val="22"/>
                <w:szCs w:val="20"/>
              </w:rPr>
              <w:t>직위</w:t>
            </w:r>
          </w:p>
        </w:tc>
        <w:tc>
          <w:tcPr>
            <w:tcW w:w="1755" w:type="dxa"/>
            <w:gridSpan w:val="2"/>
            <w:tcBorders>
              <w:top w:val="single" w:sz="3" w:space="0" w:color="000000"/>
              <w:left w:val="single" w:sz="3" w:space="0" w:color="000000"/>
              <w:bottom w:val="double" w:sz="4" w:space="0" w:color="000000"/>
              <w:right w:val="single" w:sz="3" w:space="0" w:color="000000"/>
            </w:tcBorders>
            <w:shd w:val="clear" w:fill="D8D8D8"/>
            <w:vAlign w:val="center"/>
          </w:tcPr>
          <w:p w14:paraId="44179838">
            <w:pPr>
              <w:pStyle w:val="a5"/>
              <w:spacing w:line="240" w:lineRule="auto"/>
              <w:jc w:val="center"/>
              <w:rPr>
                <w:shd w:val="clear"/>
              </w:rPr>
            </w:pPr>
            <w:r>
              <w:rPr>
                <w:rFonts w:ascii="맑은 고딕" w:hAnsi="맑은 고딕" w:eastAsia="맑은 고딕" w:cs="맑은 고딕"/>
                <w:b/>
                <w:bCs/>
                <w:color w:val="000000"/>
                <w:sz w:val="22"/>
                <w:szCs w:val="20"/>
              </w:rPr>
              <w:t>담당</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업무</w:t>
            </w:r>
          </w:p>
        </w:tc>
        <w:tc>
          <w:tcPr>
            <w:tcW w:w="4382" w:type="dxa"/>
            <w:gridSpan w:val="3"/>
            <w:tcBorders>
              <w:top w:val="single" w:sz="3" w:space="0" w:color="000000"/>
              <w:left w:val="single" w:sz="3" w:space="0" w:color="000000"/>
              <w:bottom w:val="double" w:sz="4" w:space="0" w:color="000000"/>
              <w:right w:val="single" w:sz="3" w:space="0" w:color="000000"/>
            </w:tcBorders>
            <w:shd w:val="clear" w:fill="D8D8D8"/>
            <w:vAlign w:val="center"/>
          </w:tcPr>
          <w:p w14:paraId="7910C23A">
            <w:pPr>
              <w:pStyle w:val="a5"/>
              <w:spacing w:line="240" w:lineRule="auto"/>
              <w:jc w:val="center"/>
              <w:rPr>
                <w:shd w:val="clear"/>
              </w:rPr>
            </w:pPr>
            <w:r>
              <w:rPr>
                <w:rFonts w:ascii="맑은 고딕" w:hAnsi="맑은 고딕" w:eastAsia="맑은 고딕" w:cs="맑은 고딕"/>
                <w:b/>
                <w:bCs/>
                <w:color w:val="000000"/>
                <w:sz w:val="22"/>
                <w:szCs w:val="20"/>
              </w:rPr>
              <w:t>보유역량</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경력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및</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학력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등</w:t>
            </w:r>
            <w:r>
              <w:rPr>
                <w:rFonts w:ascii="맑은 고딕" w:hAnsi="맑은 고딕" w:eastAsia="맑은 고딕" w:cs="맑은 고딕"/>
                <w:color w:val="000000"/>
                <w:sz w:val="18"/>
                <w:szCs w:val="20"/>
              </w:rPr>
              <w:t>)</w:t>
            </w:r>
          </w:p>
        </w:tc>
        <w:tc>
          <w:tcPr>
            <w:tcW w:w="1494" w:type="dxa"/>
            <w:tcBorders>
              <w:top w:val="single" w:sz="3" w:space="0" w:color="000000"/>
              <w:left w:val="single" w:sz="3" w:space="0" w:color="000000"/>
              <w:bottom w:val="double" w:sz="4" w:space="0" w:color="000000"/>
              <w:right w:val="single" w:sz="3" w:space="0" w:color="000000"/>
            </w:tcBorders>
            <w:shd w:val="clear" w:fill="D8D8D8"/>
            <w:vAlign w:val="center"/>
          </w:tcPr>
          <w:p w14:paraId="30CBA41B">
            <w:pPr>
              <w:pStyle w:val="a5"/>
              <w:spacing w:line="240" w:lineRule="auto"/>
              <w:jc w:val="center"/>
              <w:rPr>
                <w:shd w:val="clear"/>
              </w:rPr>
            </w:pP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상태</w:t>
            </w:r>
          </w:p>
        </w:tc>
      </w:tr>
      <w:tr>
        <w:trPr>
          <w:cantSplit/>
          <w:trHeight w:val="426" w:hRule="atLeast"/>
        </w:trPr>
        <w:tc>
          <w:tcPr>
            <w:tcW w:w="639" w:type="dxa"/>
            <w:tcBorders>
              <w:top w:val="double" w:sz="4" w:space="0" w:color="000000"/>
              <w:left w:val="single" w:sz="3" w:space="0" w:color="000000"/>
              <w:bottom w:val="single" w:sz="3" w:space="0" w:color="000000"/>
              <w:right w:val="single" w:sz="3" w:space="0" w:color="000000"/>
            </w:tcBorders>
            <w:vAlign w:val="center"/>
          </w:tcPr>
          <w:p w14:paraId="0D1CC98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68" w:type="dxa"/>
            <w:tcBorders>
              <w:top w:val="double" w:sz="4" w:space="0" w:color="000000"/>
              <w:left w:val="single" w:sz="3" w:space="0" w:color="000000"/>
              <w:bottom w:val="single" w:sz="3" w:space="0" w:color="000000"/>
              <w:right w:val="single" w:sz="3" w:space="0" w:color="000000"/>
            </w:tcBorders>
            <w:vAlign w:val="center"/>
          </w:tcPr>
          <w:p w14:paraId="239BBF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double" w:sz="4" w:space="0" w:color="000000"/>
              <w:left w:val="single" w:sz="3" w:space="0" w:color="000000"/>
              <w:bottom w:val="single" w:sz="3" w:space="0" w:color="000000"/>
              <w:right w:val="single" w:sz="3" w:space="0" w:color="000000"/>
            </w:tcBorders>
            <w:vAlign w:val="center"/>
          </w:tcPr>
          <w:p w14:paraId="6D044E8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82" w:type="dxa"/>
            <w:gridSpan w:val="3"/>
            <w:tcBorders>
              <w:top w:val="double" w:sz="4" w:space="0" w:color="000000"/>
              <w:left w:val="single" w:sz="3" w:space="0" w:color="000000"/>
              <w:bottom w:val="single" w:sz="3" w:space="0" w:color="000000"/>
              <w:right w:val="single" w:sz="3" w:space="0" w:color="000000"/>
            </w:tcBorders>
            <w:vAlign w:val="center"/>
          </w:tcPr>
          <w:p w14:paraId="285AA7C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double" w:sz="4" w:space="0" w:color="000000"/>
              <w:left w:val="single" w:sz="3" w:space="0" w:color="000000"/>
              <w:bottom w:val="single" w:sz="3" w:space="0" w:color="000000"/>
              <w:right w:val="single" w:sz="3" w:space="0" w:color="000000"/>
            </w:tcBorders>
            <w:vAlign w:val="center"/>
          </w:tcPr>
          <w:p w14:paraId="1C791AB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3512DE0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465C61D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5E3158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CAED8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613E6E6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7793E03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BFD8F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3345C05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2F1912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3B340B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2645CD6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D49EE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19DA78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0D27AE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5E57BB8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46A9062F">
      <w:pPr>
        <w:jc w:val="center"/>
        <w:rPr>
          <w:rFonts w:ascii="맑은 고딕" w:hAnsi="맑은 고딕" w:eastAsia="맑은 고딕" w:cs="맑은 고딕"/>
          <w:sz w:val="20"/>
        </w:rPr>
        <w:sectPr>
          <w:pgSz w:w="11906" w:h="16838"/>
          <w:pgMar w:top="1701" w:right="1134" w:bottom="1701" w:left="1134" w:header="720" w:footer="720" w:gutter="0"/>
          <w:docGrid w:linePitch="360"/>
        </w:sectPr>
      </w:pPr>
    </w:p>
    <w:p w14:paraId="32BC3854">
      <w:pPr>
        <w:spacing w:before="27"/>
        <w:rPr>
          <w:rFonts w:ascii="맑은 고딕" w:hAnsi="맑은 고딕" w:eastAsia="맑은 고딕" w:cs="맑은 고딕"/>
          <w:sz w:val="32"/>
        </w:rPr>
      </w:pPr>
      <w:r>
        <w:rPr>
          <w:rFonts w:ascii="맑은 고딕" w:hAnsi="맑은 고딕" w:eastAsia="맑은 고딕" w:cs="맑은 고딕"/>
          <w:sz w:val="38"/>
          <w:szCs w:val="22"/>
        </w:rPr>
        <w:t>□</w:t>
      </w:r>
      <w:r>
        <w:rPr>
          <w:rFonts w:ascii="맑은 고딕" w:hAnsi="맑은 고딕" w:eastAsia="맑은 고딕" w:cs="맑은 고딕"/>
          <w:spacing w:val="20"/>
          <w:sz w:val="38"/>
          <w:szCs w:val="22"/>
        </w:rPr>
        <w:t xml:space="preserve"> </w:t>
      </w:r>
      <w:r>
        <w:rPr>
          <w:rFonts w:ascii="맑은 고딕" w:hAnsi="맑은 고딕" w:eastAsia="맑은 고딕" w:cs="맑은 고딕"/>
          <w:sz w:val="32"/>
          <w:szCs w:val="22"/>
        </w:rPr>
        <w:t>창업</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아이템</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개요</w:t>
      </w:r>
      <w:r>
        <w:rPr>
          <w:rFonts w:ascii="맑은 고딕" w:hAnsi="맑은 고딕" w:eastAsia="맑은 고딕" w:cs="맑은 고딕"/>
          <w:sz w:val="32"/>
          <w:szCs w:val="22"/>
        </w:rPr>
        <w:t>(</w:t>
      </w:r>
      <w:r>
        <w:rPr>
          <w:rFonts w:ascii="맑은 고딕" w:hAnsi="맑은 고딕" w:eastAsia="맑은 고딕" w:cs="맑은 고딕"/>
          <w:sz w:val="32"/>
          <w:szCs w:val="22"/>
        </w:rPr>
        <w:t>요약</w:t>
      </w:r>
      <w:r>
        <w:rPr>
          <w:rFonts w:ascii="맑은 고딕" w:hAnsi="맑은 고딕" w:eastAsia="맑은 고딕" w:cs="맑은 고딕"/>
          <w:sz w:val="32"/>
          <w:szCs w:val="22"/>
        </w:rPr>
        <w:t>)</w:t>
      </w:r>
    </w:p>
    <w:p w14:paraId="5C4C3A4F">
      <w:pPr>
        <w:pStyle w:val="a3"/>
        <w:spacing w:before="5"/>
        <w:rPr>
          <w:rFonts w:ascii="맑은 고딕" w:hAnsi="맑은 고딕" w:eastAsia="맑은 고딕" w:cs="맑은 고딕"/>
          <w:b w:val="0"/>
          <w:sz w:val="13"/>
        </w:rPr>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Look w:firstRow="1" w:firstColumn="1" w:noVBand="1"/>
      </w:tblPr>
      <w:tblGrid>
        <w:gridCol w:w="1534"/>
        <w:gridCol w:w="3268"/>
        <w:gridCol w:w="776"/>
        <w:gridCol w:w="792"/>
        <w:gridCol w:w="3268"/>
      </w:tblGrid>
      <w:tr>
        <w:trPr>
          <w:cantSplit/>
          <w:trHeight w:val="1230"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2D7BF57">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명</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칭</w:t>
            </w:r>
          </w:p>
        </w:tc>
        <w:tc>
          <w:tcPr>
            <w:tcW w:w="3268" w:type="dxa"/>
            <w:tcBorders>
              <w:top w:val="single" w:sz="3" w:space="0" w:color="000000"/>
              <w:left w:val="double" w:sz="5" w:space="0" w:color="000000"/>
              <w:bottom w:val="single" w:sz="3" w:space="0" w:color="000000"/>
              <w:right w:val="single" w:sz="3" w:space="0" w:color="000000"/>
            </w:tcBorders>
            <w:vAlign w:val="center"/>
          </w:tcPr>
          <w:p w14:paraId="70F53CD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 (가칭)</w:t>
            </w:r>
          </w:p>
        </w:tc>
        <w:tc>
          <w:tcPr>
            <w:tcW w:w="1568" w:type="dxa"/>
            <w:gridSpan w:val="2"/>
            <w:tcBorders>
              <w:top w:val="single" w:sz="3" w:space="0" w:color="000000"/>
              <w:left w:val="single" w:sz="3" w:space="0" w:color="000000"/>
              <w:bottom w:val="single" w:sz="3" w:space="0" w:color="000000"/>
              <w:right w:val="double" w:sz="5" w:space="0" w:color="000000"/>
            </w:tcBorders>
            <w:shd w:val="clear" w:fill="D8D8D8"/>
            <w:vAlign w:val="center"/>
          </w:tcPr>
          <w:p w14:paraId="5A40A3D0">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범</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주</w:t>
            </w:r>
          </w:p>
        </w:tc>
        <w:tc>
          <w:tcPr>
            <w:tcW w:w="3268" w:type="dxa"/>
            <w:tcBorders>
              <w:top w:val="single" w:sz="3" w:space="0" w:color="000000"/>
              <w:left w:val="double" w:sz="5" w:space="0" w:color="000000"/>
              <w:bottom w:val="single" w:sz="3" w:space="0" w:color="000000"/>
              <w:right w:val="single" w:sz="3" w:space="0" w:color="000000"/>
            </w:tcBorders>
            <w:vAlign w:val="center"/>
          </w:tcPr>
          <w:p w14:paraId="562641F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공공조달 용역 적격심사 의사결정 지원 SaaS (B2B)</w:t>
            </w:r>
          </w:p>
        </w:tc>
      </w:tr>
      <w:tr>
        <w:trPr>
          <w:cantSplit/>
          <w:trHeight w:val="1373"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07503D16">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아이템</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개요</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C45B4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파견·경비·위생관리·유료직업소개의 용역 적격심사 공고를 열면 적용 규칙, 최저가·AI 예측가·최상가, 근거를 한 화면에서 본다. 규칙을 특정할 수 없으면 계산하지 않는다. 기술은 시행일·기관별 규칙 판정과 용역 낙찰률 구간 예측이다. 가치는 산식 확인을 줄이고, 기준이 없을 때 잘못된 자동 계산을 막는 것이다. 과금은 토큰 구매이고 단가는 가설(1토큰 1,000원)이다.</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50AECE36">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문제 인식</w:t>
            </w:r>
            <w:r>
              <w:br w:type="textWrapping"/>
            </w:r>
            <w:r>
              <w:rPr>
                <w:rFonts w:ascii="맑은 고딕" w:hAnsi="맑은 고딕" w:eastAsia="맑은 고딕" w:cs="맑은 고딕"/>
                <w:b/>
                <w:bCs/>
                <w:color w:val="000000"/>
                <w:sz w:val="22"/>
                <w:szCs w:val="20"/>
              </w:rPr>
              <w:t>(Problem)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현황: 2024년 공공조달 용역 계약 55.1조원(조달청 보도자료, 2025-06-27). 계약 규모이며 소프트웨어 매출이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문제: 적용 별표와 가격 기준은 공고 본문이 아니라 첨부 세부기준에만 있다. 시행일과 기관마다 판본이 달라 담당자가 산식을 다시 고른다.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범위: 최근 12개월 용역 적격심사 31,305건 중 9,911건(31.7%)은 기준 미확보라 자동 계산을 하지 않는다(2026-10-19). 1차 고객은 위 네 업종이다.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해결: 네 업종 공고에서 적용 규칙을 판정하고, 회원 정량을 반영한 세 가격을 보여 주며, 기준이 없으면 멈춘다.</w:t>
            </w:r>
          </w:p>
        </w:tc>
      </w:tr>
      <w:tr>
        <w:trPr>
          <w:cantSplit/>
          <w:trHeight w:val="163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3CCC6585">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실현 가능성</w:t>
            </w:r>
            <w:r>
              <w:br w:type="textWrapping"/>
            </w:r>
            <w:r>
              <w:rPr>
                <w:rFonts w:ascii="맑은 고딕" w:hAnsi="맑은 고딕" w:eastAsia="맑은 고딕" w:cs="맑은 고딕"/>
                <w:b/>
                <w:bCs/>
                <w:color w:val="000000"/>
                <w:sz w:val="22"/>
                <w:szCs w:val="20"/>
              </w:rPr>
              <w:t>(Solution)</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AF6F9B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프로토타입이 동작한다. 네 업종 검색, 규칙 판정, 계산 차단, 회원 정량을 반영한 최저가·AI 예측가·최상가, 낙찰률 예측, 근거 상담, 회원가입까지 구현되어 있다. 토큰 결제와 운영 주소는 없다. 협약 8개월은 운영 배포, 파일럿, 토큰 결제, 네 업종의 지자체 기준 보강에 쓴다.</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351976A">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성장전략</w:t>
            </w:r>
            <w:r>
              <w:br w:type="textWrapping"/>
            </w:r>
            <w:r>
              <w:rPr>
                <w:rFonts w:ascii="맑은 고딕" w:hAnsi="맑은 고딕" w:eastAsia="맑은 고딕" w:cs="맑은 고딕"/>
                <w:b/>
                <w:bCs/>
                <w:color w:val="000000"/>
                <w:sz w:val="22"/>
                <w:szCs w:val="20"/>
              </w:rPr>
              <w:t>(Scale-up)</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7F5AAFE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용역 적격심사로 들어간다. 물품·공사는 협약 다음이다. 무료는 검색과 대시보드이고, 규칙 판정·세 가격·상담은 토큰이다. 첫 채널은 입찰 대행과 교육이다. 단가와 유료 회사 수는 가설이다.</w:t>
            </w:r>
          </w:p>
        </w:tc>
      </w:tr>
      <w:tr>
        <w:trPr>
          <w:cantSplit/>
          <w:trHeight w:val="169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72C1C19C">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팀 구성</w:t>
            </w:r>
            <w:r>
              <w:br w:type="textWrapping"/>
            </w:r>
            <w:r>
              <w:rPr>
                <w:rFonts w:ascii="맑은 고딕" w:hAnsi="맑은 고딕" w:eastAsia="맑은 고딕" w:cs="맑은 고딕"/>
                <w:b/>
                <w:bCs/>
                <w:color w:val="000000"/>
                <w:sz w:val="22"/>
                <w:szCs w:val="20"/>
              </w:rPr>
              <w:t>(Team)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12A1FA3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대표자가 규칙 206종, 예측 모델, 네 업종 화면을 한 서비스로 구현했다. 학위·전공은 성명과 기관명 없이 제출 전에 적는다. 영업과 입찰 실무 검수는 채용 예정이다.</w:t>
            </w:r>
          </w:p>
        </w:tc>
      </w:tr>
      <w:tr>
        <w:trPr>
          <w:cantSplit/>
          <w:trHeight w:val="2048" w:hRule="atLeast"/>
        </w:trPr>
        <w:tc>
          <w:tcPr>
            <w:tcW w:w="1534" w:type="dxa"/>
            <w:vMerge w:val="restart"/>
            <w:tcBorders>
              <w:top w:val="single" w:sz="3" w:space="0" w:color="000000"/>
              <w:left w:val="single" w:sz="3" w:space="0" w:color="000000"/>
              <w:bottom w:val="single" w:sz="3" w:space="0" w:color="000000"/>
              <w:right w:val="double" w:sz="5" w:space="0" w:color="000000"/>
            </w:tcBorders>
            <w:shd w:val="clear" w:fill="D8D8D8"/>
            <w:vAlign w:val="center"/>
          </w:tcPr>
          <w:p w14:paraId="2E7B649B">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이미지</w:t>
            </w: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66340" cy="1065523"/>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ashboard.jpg"/>
                          <pic:cNvPicPr/>
                        </pic:nvPicPr>
                        <pic:blipFill>
                          <a:blip r:embed="rId16"/>
                          <a:stretch>
                            <a:fillRect/>
                          </a:stretch>
                        </pic:blipFill>
                        <pic:spPr>
                          <a:xfrm>
                            <a:off x="0" y="0"/>
                            <a:ext cx="2466340" cy="1065523"/>
                          </a:xfrm>
                          <a:prstGeom prst="rect">
                            <a:avLst/>
                          </a:prstGeom>
                          <a:ln w="6350">
                            <a:solidFill>
                              <a:srgbClr val="BFBFBF"/>
                            </a:solidFill>
                          </a:ln>
                        </pic:spPr>
                      </pic:pic>
                    </a:graphicData>
                  </a:graphic>
                </wp:inline>
              </w:drawing>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76500" cy="1266391"/>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etail_rule.jpg"/>
                          <pic:cNvPicPr/>
                        </pic:nvPicPr>
                        <pic:blipFill>
                          <a:blip r:embed="rId17"/>
                          <a:stretch>
                            <a:fillRect/>
                          </a:stretch>
                        </pic:blipFill>
                        <pic:spPr>
                          <a:xfrm>
                            <a:off x="0" y="0"/>
                            <a:ext cx="2476500" cy="1266391"/>
                          </a:xfrm>
                          <a:prstGeom prst="rect">
                            <a:avLst/>
                          </a:prstGeom>
                          <a:ln w="6350">
                            <a:solidFill>
                              <a:srgbClr val="BFBFBF"/>
                            </a:solidFill>
                          </a:ln>
                        </pic:spPr>
                      </pic:pic>
                    </a:graphicData>
                  </a:graphic>
                </wp:inline>
              </w:drawing>
            </w:r>
          </w:p>
        </w:tc>
      </w:tr>
      <w:tr>
        <w:trPr>
          <w:cantSplit/>
          <w:trHeight w:val="499" w:hRule="atLeast"/>
        </w:trPr>
        <w:tc>
          <w:tcPr>
            <w:tcW w:w="1534" w:type="dxa"/>
            <w:vMerge/>
            <w:tcBorders>
              <w:top w:val="single" w:sz="3" w:space="0" w:color="000000"/>
              <w:left w:val="single" w:sz="3" w:space="0" w:color="000000"/>
              <w:bottom w:val="single" w:sz="3" w:space="0" w:color="000000"/>
              <w:right w:val="double" w:sz="5" w:space="0" w:color="000000"/>
            </w:tcBorders>
            <w:shd w:val="clear" w:fill="D8D8D8"/>
            <w:vAlign w:val="center"/>
          </w:tcP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14:paraId="0E6E39E1">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대시보드: 낙찰 건수·금액·낙찰률. 목록의 기본 업종은 네 업종이다.</w:t>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14:paraId="1B41368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상세: 적용 규칙 판정. 기준이 없으면 계산을 멈춘다.</w:t>
            </w:r>
          </w:p>
        </w:tc>
      </w:tr>
    </w:tbl>
    <w:p w14:paraId="33AE4A4C">
      <w:pPr>
        <w:spacing w:before="53"/>
        <w:ind w:right="3972"/>
        <w:rPr>
          <w:rFonts w:ascii="맑은 고딕" w:hAnsi="맑은 고딕" w:eastAsia="맑은 고딕" w:cs="맑은 고딕"/>
          <w:sz w:val="20"/>
        </w:rPr>
        <w:sectPr>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2" name="Banner 4002" descr="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image13.png"/>
                    <pic:cNvPicPr/>
                  </pic:nvPicPr>
                  <pic:blipFill>
                    <a:blip r:embed="rId26"/>
                    <a:stretch>
                      <a:fillRect/>
                    </a:stretch>
                  </pic:blipFill>
                  <pic:spPr>
                    <a:xfrm>
                      <a:off x="0" y="0"/>
                      <a:ext cx="6120130" cy="455754"/>
                    </a:xfrm>
                    <a:prstGeom prst="rect">
                      <a:avLst/>
                    </a:prstGeom>
                  </pic:spPr>
                </pic:pic>
              </a:graphicData>
            </a:graphic>
          </wp:inline>
        </w:drawing>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시장: 계약 규모와, 제품이 지금 닫는 공고</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2024년 공공조달 계약은 225.1조원이고, 이 중 용역은 55.1조원(24.5%)이다. 중소기업 수주는 142.1조원(63.1%), 나라장터 거래는 145.1조원(64.5%)이다(조달청 보도자료, 2025-06-27).</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2025년 나라장터 등록 조달기업은 634,291개이고 중소기업은 613,291개다. 이 숫자는 계약과 등록의 규모이며, 소프트웨어 매출이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제품이 지금 다루는 공고는 최근 12개월 용역 적격심사 31,305건이다. 자동 적용은 21,394건(지역 규칙 1,872, 조달청·전국 19,459, 기관 규칙 63)이고, 계산 차단은 9,911건(31.7%)이다(2026-10-19 판정).</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차세대 나라장터는 2025-01-06에 개통했고, 첫 주 이용 민원은 32,365건으로 직전 주 334건의 약 97배였다(한국경제, 2025-01-13). 이 민원은 로그인과 문서 작성의 문제라, BidBox가 푸는 대상은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고객: 누가, 언제, 무엇 때문에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1차 사용자는 파견·경비·위생관리·유료직업소개 용역의 적격심사 공고를 반복해서 여는 중소기업 입찰 담당이다. 돈을 내는 사람은 그 회사의 대표 또는 입찰 비용 결재자다.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2차 사용자는 그 검토를 대신하는 입찰 대행·교육 실무자다. 이 층은 경쟁이자 첫 제안 채널이다. 고객은 직무로 특정했고, 인터뷰와 지불 의사는 아직 없다. 파일럿 20사와 유료 8사는 가설이다.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공고를 연 날, 적용 별표와 가격점수 기준값(B, k, 기준비율, 통과점수)은 나라장터 OpenAPI와 공고 본문에 없고 첨부 세부기준에만 있다. 공고서와 첨부가 다르면 공고서를 먼저 보므로, 담당자는 본문과 첨부를 다시 대조한다.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같은 낙찰자 결정기준의 개정본이 나란히 게시되기도 한다(인천광역시 계약정보, 2017-04-11본과 2017-12-13 개정본). 지자체 현행의 한 축은 행정안전부 예규 제253호(2023-07-01 시행)다.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규칙은 조달청 일반용역의 현행·개정·구판, 시·도 별표 70항목, 기관 배점표 78항목, 환경부 건설폐기물 6항목, 행안부 학술연구 2항목이다. 규칙 ID는 206종이고, 같은 ID가 겹친 상수 항목은 252개다.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31,305건의 31.7%인 9,911건은 지자체 기준 미확보 또는 수기심사라 자동 계산을 하지 않는다. 산식을 잘못 고르면 부적격으로 이어질 수 있다. 그 실수의 빈도는 파일럿에서 센다.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회사 한 곳의 연간 참여 횟수, 공고 한 건의 검토 시간, 현재 지출, 계산 실수 횟수는 파일럿 인터뷰로 측정한다. 반복 참여 기업의 모수는 조달데이터허브로 확인한다.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업종으로 좁힌 이유는 단순노무·시설 용역에서 같은 별표가 반복되고, 목록의 기본 필터가 이미 이 면허만 보여 주기 때문이다. 명칭이 비슷해도 면허가 다른 업종은 목록에 넣지 않는다.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기존 방법의 한계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사람 자문(인포21C, 비드큐)은 투찰 금액을 제안하고 낙찰 때 성공보수를 나눈다. 비드큐 1:1 분석 안내는 1.5%다(bidq.co.kr).</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계산기(비드프로, 디마툴즈)는 담당자가 넣은 기준값의 점수만 낸다. 별표를 잘못 골라도 그 선택을 되돌리지 못한다.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나라장터는 공고 검색과 투찰이 중심이다. 공고별 적용 별표와 통과 구간을 주는지는 차세대 기능 목록으로 제출 전에 확인한다.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월 15,000원에서 99,000원이라는 구독 시세는 제3자 비교 글이라, 토큰 단가의 근거로 쓰지 않는다.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이 판단이 제품이 되는 이유</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담당자에게 필요한 판단은 세 가지다. 이 공고의 별표는 무엇인가. 통과 가능한 금액은 어디인가. 과거 유사 낙찰은 그 안인가.</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사람 자문은 금액 판단을 대신하고, 계산기는 담당자가 넣은 값 안에서만 점수를 낸다. 별표를 가려 주는 일과, 기준이 없을 때 멈추는 일은 둘 다 비어 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BidBox는 별표 판정, 통과 구간, 유사 낙찰의 위치, 근거 문답을 한 화면에 두고 기준이 없으면 계산을 끈다. 낙찰은 보증하지 않는다.</w:t>
      </w:r>
    </w:p>
    <w:p>
      <w:pPr>
        <w:keepNext/>
        <w:spacing w:before="60" w:after="40" w:line="240" w:lineRule="auto"/>
      </w:pPr>
      <w:r>
        <w:rPr>
          <w:rFonts w:ascii="맑은 고딕" w:hAnsi="맑은 고딕" w:eastAsia="맑은 고딕" w:cs="맑은 고딕"/>
          <w:b/>
          <w:bCs/>
          <w:color w:val="000000"/>
          <w:sz w:val="20"/>
          <w:szCs w:val="20"/>
        </w:rPr>
        <w:t xml:space="preserve">○ 해결: 고객의 불편과 서비스의 해결 방법</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518"/>
        <w:gridCol w:w="5120"/>
      </w:tblGrid>
      <w:tr>
        <w:trPr>
          <w:cantSplit/>
          <w:tblHeader/>
        </w:trPr>
        <w:tc>
          <w:tcPr>
            <w:tcW w:w="4518"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고객의 불편 (나라장터 이용 기업)</w:t>
            </w:r>
          </w:p>
        </w:tc>
        <w:tc>
          <w:tcPr>
            <w:tcW w:w="512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서비스의 해결 방법 (BidBox)</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공고마다 적용 별표가 첨부 세부기준에만 있어, 담당자가 직접 고른다.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낙찰방법을 읽어 </w:t>
            </w:r>
            <w:r>
              <w:rPr>
                <w:rFonts w:ascii="맑은 고딕" w:hAnsi="맑은 고딕" w:eastAsia="맑은 고딕" w:cs="맑은 고딕"/>
                <w:b/>
                <w:bCs/>
                <w:color w:val="000000"/>
                <w:sz w:val="18"/>
                <w:szCs w:val="18"/>
              </w:rPr>
              <w:t>적용 별표를 판정한다</w:t>
            </w:r>
            <w:r>
              <w:rPr>
                <w:rFonts w:ascii="맑은 고딕" w:hAnsi="맑은 고딕" w:eastAsia="맑은 고딕" w:cs="맑은 고딕"/>
                <w:color w:val="000000"/>
                <w:sz w:val="18"/>
                <w:szCs w:val="18"/>
              </w:rPr>
              <w:t xml:space="preserve"> (규칙 206종).</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기관과 시행일마다 기준 판본이 달라, 어느 판본인지 알기 어렵다.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공고일 기준으로 </w:t>
            </w:r>
            <w:r>
              <w:rPr>
                <w:rFonts w:ascii="맑은 고딕" w:hAnsi="맑은 고딕" w:eastAsia="맑은 고딕" w:cs="맑은 고딕"/>
                <w:b/>
                <w:bCs/>
                <w:color w:val="000000"/>
                <w:sz w:val="18"/>
                <w:szCs w:val="18"/>
              </w:rPr>
              <w:t>구판과 현행을 함께 보관</w:t>
            </w:r>
            <w:r>
              <w:rPr>
                <w:rFonts w:ascii="맑은 고딕" w:hAnsi="맑은 고딕" w:eastAsia="맑은 고딕" w:cs="맑은 고딕"/>
                <w:color w:val="000000"/>
                <w:sz w:val="18"/>
                <w:szCs w:val="18"/>
              </w:rPr>
              <w:t>하고, 그 시행일의 규칙을 적용한다.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적격을 통과하는 투찰 금액의 범위를 직접 계산해야 한다.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같은 판정 경로에서 </w:t>
            </w:r>
            <w:r>
              <w:rPr>
                <w:rFonts w:ascii="맑은 고딕" w:hAnsi="맑은 고딕" w:eastAsia="맑은 고딕" w:cs="맑은 고딕"/>
                <w:b/>
                <w:bCs/>
                <w:color w:val="000000"/>
                <w:sz w:val="18"/>
                <w:szCs w:val="18"/>
              </w:rPr>
              <w:t>최저가와 최상가를 역산</w:t>
            </w:r>
            <w:r>
              <w:rPr>
                <w:rFonts w:ascii="맑은 고딕" w:hAnsi="맑은 고딕" w:eastAsia="맑은 고딕" w:cs="맑은 고딕"/>
                <w:color w:val="000000"/>
                <w:sz w:val="18"/>
                <w:szCs w:val="18"/>
              </w:rPr>
              <w:t>한다. 회원 신용등급·신인도가 있으면 그 점수를 반영한다.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기준이 없는 9,911건에서 잘못된 산식이 적용될 수 있다.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기준을 특정할 수 없으면 </w:t>
            </w:r>
            <w:r>
              <w:rPr>
                <w:rFonts w:ascii="맑은 고딕" w:hAnsi="맑은 고딕" w:eastAsia="맑은 고딕" w:cs="맑은 고딕"/>
                <w:b/>
                <w:bCs/>
                <w:color w:val="000000"/>
                <w:sz w:val="18"/>
                <w:szCs w:val="18"/>
              </w:rPr>
              <w:t>자동 계산을 멈추고</w:t>
            </w:r>
            <w:r>
              <w:rPr>
                <w:rFonts w:ascii="맑은 고딕" w:hAnsi="맑은 고딕" w:eastAsia="맑은 고딕" w:cs="맑은 고딕"/>
                <w:color w:val="000000"/>
                <w:sz w:val="18"/>
                <w:szCs w:val="18"/>
              </w:rPr>
              <w:t xml:space="preserve"> 직접 입력으로 넘긴다.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과거 유사 낙찰이 어느 수준인지 따로 찾아야 한다.</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AI 예측가와 예측 낙찰률</w:t>
            </w:r>
            <w:r>
              <w:rPr>
                <w:rFonts w:ascii="맑은 고딕" w:hAnsi="맑은 고딕" w:eastAsia="맑은 고딕" w:cs="맑은 고딕"/>
                <w:color w:val="000000"/>
                <w:sz w:val="18"/>
                <w:szCs w:val="18"/>
              </w:rPr>
              <w:t>을 통과 구간 옆에 둔다. 하한율이 없으면 불확실을 표시한다.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매일 조건에 맞는 공고를 직접 골라야 한다.</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파견·경비·위생관리·유료직업소개가 목록의 기본값</w:t>
            </w:r>
            <w:r>
              <w:rPr>
                <w:rFonts w:ascii="맑은 고딕" w:hAnsi="맑은 고딕" w:eastAsia="맑은 고딕" w:cs="맑은 고딕"/>
                <w:color w:val="000000"/>
                <w:sz w:val="18"/>
                <w:szCs w:val="18"/>
              </w:rPr>
              <w:t>이다. 최근 1년 505,271건을 색인한다(2026-09-09).</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계산 결과의 근거를 화면에서 확인하기 어렵다.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화면에 </w:t>
            </w:r>
            <w:r>
              <w:rPr>
                <w:rFonts w:ascii="맑은 고딕" w:hAnsi="맑은 고딕" w:eastAsia="맑은 고딕" w:cs="맑은 고딕"/>
                <w:b/>
                <w:bCs/>
                <w:color w:val="000000"/>
                <w:sz w:val="18"/>
                <w:szCs w:val="18"/>
              </w:rPr>
              <w:t>규칙 ID와 판별 근거</w:t>
            </w:r>
            <w:r>
              <w:rPr>
                <w:rFonts w:ascii="맑은 고딕" w:hAnsi="맑은 고딕" w:eastAsia="맑은 고딕" w:cs="맑은 고딕"/>
                <w:color w:val="000000"/>
                <w:sz w:val="18"/>
                <w:szCs w:val="18"/>
              </w:rPr>
              <w:t>를 두고, 상담은 원문을 인용한다.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금액이 공개되지 않은 공고는 투찰가를 만들 수 없다.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0원을 추천하지 않고, </w:t>
            </w:r>
            <w:r>
              <w:rPr>
                <w:rFonts w:ascii="맑은 고딕" w:hAnsi="맑은 고딕" w:eastAsia="맑은 고딕" w:cs="맑은 고딕"/>
                <w:b/>
                <w:bCs/>
                <w:color w:val="000000"/>
                <w:sz w:val="18"/>
                <w:szCs w:val="18"/>
              </w:rPr>
              <w:t>기초금액·예정가격이 없으면 산출하지 않는다.</w:t>
            </w:r>
          </w:p>
        </w:tc>
      </w:tr>
    </w:tbl>
    <w:p>
      <w:pPr>
        <w:spacing w:before="40" w:after="60" w:line="240" w:lineRule="auto"/>
      </w:pPr>
      <w:r>
        <w:rPr>
          <w:rFonts w:ascii="맑은 고딕" w:hAnsi="맑은 고딕" w:eastAsia="맑은 고딕" w:cs="맑은 고딕"/>
          <w:color w:val="000000"/>
          <w:sz w:val="18"/>
          <w:szCs w:val="18"/>
        </w:rPr>
        <w:t>※ 낙찰을 보증하지 않는다. 세 가격과 예측 구간은 참고 정보다.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기대효과</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기준을 특정할 수 없는 9,911건은 자동 계산을 하지 않아, 잘못된 산식이 점수로 나오는 경로를 막는다(2026-10-19).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상담 96개 요청에서 수치 정답 144/144, 근거 재현율 1.0, 인용 72/72, 거절해야 할 질문 24/24, 과잉응답 0이었다.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한 건의 산식 확인 시간이 얼마나 줄어드는지는 파일럿 전후로 측정한다. 하한율이 있는 공고의 예측 오차는 0.6288%p, 없는 공고는 2.0943%p였다(2026-08-30).</w:t>
      </w:r>
    </w:p>
    <w:p>
      <w:pPr>
        <w:keepNext/>
        <w:spacing w:before="120" w:after="120"/>
        <w:jc w:val="center"/>
      </w:pPr>
      <w:r>
        <w:rPr>
          <w:noProof/>
        </w:rPr>
        <w:drawing>
          <wp:inline distT="0" distB="0" distL="0" distR="0">
            <wp:extent cx="6120130" cy="455754"/>
            <wp:effectExtent l="0" t="0" r="0" b="0"/>
            <wp:docPr id="4003" name="Banner 4003" descr="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image14.png"/>
                    <pic:cNvPicPr/>
                  </pic:nvPicPr>
                  <pic:blipFill>
                    <a:blip r:embed="rId27"/>
                    <a:stretch>
                      <a:fillRect/>
                    </a:stretch>
                  </pic:blipFill>
                  <pic:spPr>
                    <a:xfrm>
                      <a:off x="0" y="0"/>
                      <a:ext cx="6120130" cy="455754"/>
                    </a:xfrm>
                    <a:prstGeom prst="rect">
                      <a:avLst/>
                    </a:prstGeom>
                  </pic:spPr>
                </pic:pic>
              </a:graphicData>
            </a:graphic>
          </wp:inline>
        </w:drawing>
      </w:r>
    </w:p>
    <w:p>
      <w:pPr>
        <w:keepNext/>
        <w:spacing w:before="120" w:after="60" w:line="240" w:lineRule="auto"/>
      </w:pPr>
      <w:r>
        <w:rPr>
          <w:rFonts w:ascii="맑은 고딕" w:hAnsi="맑은 고딕" w:eastAsia="맑은 고딕" w:cs="맑은 고딕"/>
          <w:b/>
          <w:bCs/>
          <w:color w:val="000000"/>
          <w:sz w:val="21"/>
          <w:szCs w:val="21"/>
        </w:rPr>
        <w:t xml:space="preserve">○ 2-1. 창업 아이템 개발 계획</w:t>
      </w:r>
    </w:p>
    <w:p>
      <w:pPr>
        <w:keepNext/>
        <w:spacing w:before="60" w:after="40" w:line="240" w:lineRule="auto"/>
      </w:pPr>
      <w:r>
        <w:rPr>
          <w:rFonts w:ascii="맑은 고딕" w:hAnsi="맑은 고딕" w:eastAsia="맑은 고딕" w:cs="맑은 고딕"/>
          <w:b/>
          <w:bCs/>
          <w:color w:val="000000"/>
          <w:sz w:val="20"/>
          <w:szCs w:val="20"/>
        </w:rPr>
        <w:t xml:space="preserve">◦ 나라장터 용역 적격심사 의사결정 지원 서비스(BidBox) 개발</w:t>
      </w:r>
    </w:p>
    <w:p>
      <w:pPr>
        <w:spacing w:before="0" w:after="40" w:line="240" w:lineRule="auto"/>
        <w:ind w:left="200" w:hanging="0"/>
      </w:pPr>
      <w:r>
        <w:rPr>
          <w:rFonts w:ascii="맑은 고딕" w:hAnsi="맑은 고딕" w:eastAsia="맑은 고딕" w:cs="맑은 고딕"/>
          <w:color w:val="1F3D7A"/>
          <w:sz w:val="19"/>
          <w:szCs w:val="19"/>
        </w:rPr>
        <w:t>공고 수집 → 네 업종 검색 → 적용 규칙 판정(없으면 계산 차단) → 회원 정량 반영 → 최저가·AI 예측가·최상가 → 근거 모달과 인용 상담 → 사용 기록으로 규칙 보강</w:t>
      </w:r>
    </w:p>
    <w:p>
      <w:pPr>
        <w:spacing w:before="0" w:after="40" w:line="240" w:lineRule="auto"/>
        <w:ind w:left="300" w:hanging="200"/>
      </w:pPr>
      <w:r>
        <w:rPr>
          <w:rFonts w:ascii="맑은 고딕" w:hAnsi="맑은 고딕" w:eastAsia="맑은 고딕" w:cs="맑은 고딕"/>
          <w:color w:val="000000"/>
          <w:sz w:val="20"/>
          <w:szCs w:val="20"/>
        </w:rPr>
        <w:t>나라장터 OpenAPI로 공고와 낙찰 결과를 모으고, 최근 1년 505,271건을 검색과 대시보드에 올려 두었다(2026-09-09).</w:t>
      </w:r>
    </w:p>
    <w:p>
      <w:pPr>
        <w:spacing w:before="0" w:after="40" w:line="240" w:lineRule="auto"/>
        <w:ind w:left="300" w:hanging="200"/>
      </w:pPr>
      <w:r>
        <w:rPr>
          <w:rFonts w:ascii="맑은 고딕" w:hAnsi="맑은 고딕" w:eastAsia="맑은 고딕" w:cs="맑은 고딕"/>
          <w:color w:val="000000"/>
          <w:sz w:val="20"/>
          <w:szCs w:val="20"/>
        </w:rPr>
        <w:t>시행일과 기관별 규칙 206종으로 공고의 적용 별표를 판정한다. 최근 12개월 31,305건 중 21,394건이 자동 적용된다(2026-10-19).</w:t>
      </w:r>
    </w:p>
    <w:p>
      <w:pPr>
        <w:spacing w:before="0" w:after="40" w:line="240" w:lineRule="auto"/>
        <w:ind w:left="300" w:hanging="200"/>
      </w:pPr>
      <w:r>
        <w:rPr>
          <w:rFonts w:ascii="맑은 고딕" w:hAnsi="맑은 고딕" w:eastAsia="맑은 고딕" w:cs="맑은 고딕"/>
          <w:color w:val="000000"/>
          <w:sz w:val="20"/>
          <w:szCs w:val="20"/>
        </w:rPr>
        <w:t>기준 미확보 9,911건은 계산을 멈추고 직접 입력으로 넘긴다. 금액이 없는 공고에는 0원을 추천하지 않는다.</w:t>
      </w:r>
    </w:p>
    <w:p>
      <w:pPr>
        <w:spacing w:before="0" w:after="40" w:line="240" w:lineRule="auto"/>
        <w:ind w:left="300" w:hanging="200"/>
      </w:pPr>
      <w:r>
        <w:rPr>
          <w:rFonts w:ascii="맑은 고딕" w:hAnsi="맑은 고딕" w:eastAsia="맑은 고딕" w:cs="맑은 고딕"/>
          <w:color w:val="000000"/>
          <w:sz w:val="20"/>
          <w:szCs w:val="20"/>
        </w:rPr>
        <w:t>회원 정보에 신용평가 등급과 신인도가 있으면 그 점수를 반영해 최저가와 최상가를 계산한다. 없으면 AI 예측가만 보여 주고, 정량 항목을 넣으라고 안내한다.</w:t>
      </w:r>
    </w:p>
    <w:p>
      <w:pPr>
        <w:spacing w:before="0" w:after="40" w:line="240" w:lineRule="auto"/>
        <w:ind w:left="300" w:hanging="200"/>
      </w:pPr>
      <w:r>
        <w:rPr>
          <w:rFonts w:ascii="맑은 고딕" w:hAnsi="맑은 고딕" w:eastAsia="맑은 고딕" w:cs="맑은 고딕"/>
          <w:color w:val="000000"/>
          <w:sz w:val="20"/>
          <w:szCs w:val="20"/>
        </w:rPr>
        <w:t>AI 예측가는 선택 모델의 투찰 금액과 예측 낙찰률이다. 최저가·최상가의 근거 문장은 금액 칸을 누르면 그대로 열린다.</w:t>
      </w:r>
    </w:p>
    <w:p>
      <w:pPr>
        <w:spacing w:before="0" w:after="40" w:line="240" w:lineRule="auto"/>
        <w:ind w:left="300" w:hanging="200"/>
      </w:pPr>
      <w:r>
        <w:rPr>
          <w:rFonts w:ascii="맑은 고딕" w:hAnsi="맑은 고딕" w:eastAsia="맑은 고딕" w:cs="맑은 고딕"/>
          <w:color w:val="000000"/>
          <w:sz w:val="20"/>
          <w:szCs w:val="20"/>
        </w:rPr>
        <w:t>상담의 기본 모델은 로컬이라 공고 원문이 외부 모델로 나가지 않는다. 외부 모델을 켜는 선택은 따로 고지한다.</w:t>
      </w:r>
    </w:p>
    <w:p>
      <w:pPr>
        <w:spacing w:before="0" w:after="40" w:line="240" w:lineRule="auto"/>
        <w:ind w:left="300" w:hanging="200"/>
      </w:pPr>
      <w:r>
        <w:rPr>
          <w:rFonts w:ascii="맑은 고딕" w:hAnsi="맑은 고딕" w:eastAsia="맑은 고딕" w:cs="맑은 고딕"/>
          <w:color w:val="000000"/>
          <w:sz w:val="20"/>
          <w:szCs w:val="20"/>
        </w:rPr>
        <w:t>협약에서 새로 만드는 것은 운영 주소, 토큰 결제, 약관, 보안 점검, 파일럿 로그, 네 업종에서 막히는 지자체 원문이다. 세 가격과 회원 정량 반영은 다시 만들지 않는다.</w:t>
      </w:r>
    </w:p>
    <w:p>
      <w:pPr>
        <w:keepNext/>
        <w:spacing w:before="60" w:after="40" w:line="240" w:lineRule="auto"/>
      </w:pPr>
      <w:r>
        <w:rPr>
          <w:rFonts w:ascii="맑은 고딕" w:hAnsi="맑은 고딕" w:eastAsia="맑은 고딕" w:cs="맑은 고딕"/>
          <w:b/>
          <w:bCs/>
          <w:color w:val="000000"/>
          <w:sz w:val="20"/>
          <w:szCs w:val="20"/>
        </w:rPr>
        <w:t xml:space="preserve">◦ 개발 현황</w:t>
      </w:r>
    </w:p>
    <w:p>
      <w:pPr>
        <w:spacing w:before="0" w:after="40" w:line="240" w:lineRule="auto"/>
        <w:ind w:left="300" w:hanging="200"/>
      </w:pPr>
      <w:r>
        <w:rPr>
          <w:rFonts w:ascii="맑은 고딕" w:hAnsi="맑은 고딕" w:eastAsia="맑은 고딕" w:cs="맑은 고딕"/>
          <w:color w:val="000000"/>
          <w:sz w:val="20"/>
          <w:szCs w:val="20"/>
        </w:rPr>
        <w:t>프로토타입은 2026-07-31 이후 재구성됐고, 데이터 무손실 이전과 성능 게이트를 통과했다. 예측 API 정본 P95는 동시 10요청에서 48.14ms다.</w:t>
      </w:r>
    </w:p>
    <w:p>
      <w:pPr>
        <w:spacing w:before="0" w:after="40" w:line="240" w:lineRule="auto"/>
        <w:ind w:left="300" w:hanging="200"/>
      </w:pPr>
      <w:r>
        <w:rPr>
          <w:rFonts w:ascii="맑은 고딕" w:hAnsi="맑은 고딕" w:eastAsia="맑은 고딕" w:cs="맑은 고딕"/>
          <w:color w:val="000000"/>
          <w:sz w:val="20"/>
          <w:szCs w:val="20"/>
        </w:rPr>
        <w:t>화면은 홈, 공고 목록, 공고 상세, 낙찰 결과, 대시보드, 기관 비교, 상담, 회원가입·로그인·마이페이지다. 목록의 기본 업종은 파견·경비업·위생관리용역업·유료직업소개업이다.</w:t>
      </w:r>
    </w:p>
    <w:p>
      <w:pPr>
        <w:spacing w:before="0" w:after="40" w:line="240" w:lineRule="auto"/>
        <w:ind w:left="300" w:hanging="200"/>
      </w:pPr>
      <w:r>
        <w:rPr>
          <w:rFonts w:ascii="맑은 고딕" w:hAnsi="맑은 고딕" w:eastAsia="맑은 고딕" w:cs="맑은 고딕"/>
          <w:color w:val="000000"/>
          <w:sz w:val="20"/>
          <w:szCs w:val="20"/>
        </w:rPr>
        <w:t>API는 Health, Bids, Predictions, Evaluations, Chatbot, Automation, Accounts, Documents, UI의 9개 그룹이다. Windows CI는 통과했고, Windows PC에서 Docker로 띄우는 확인은 1개월차에 한다.</w:t>
      </w:r>
    </w:p>
    <w:p>
      <w:pPr>
        <w:spacing w:before="0" w:after="40" w:line="240" w:lineRule="auto"/>
        <w:ind w:left="300" w:hanging="200"/>
      </w:pPr>
      <w:r>
        <w:rPr>
          <w:rFonts w:ascii="맑은 고딕" w:hAnsi="맑은 고딕" w:eastAsia="맑은 고딕" w:cs="맑은 고딕"/>
          <w:color w:val="000000"/>
          <w:sz w:val="20"/>
          <w:szCs w:val="20"/>
        </w:rPr>
        <w:t>아직 없는 것은 토큰 결제, 운영 도메인, 파일럿 사용 로그다. 등급확인서 OCR은 구현되어 있으나 기본값은 꺼져 있다. 협상에 의한 계약은 가격점수 대신 평가비율과 낙찰률 참고 분포를 보여 준다.</w:t>
      </w:r>
    </w:p>
    <w:p>
      <w:pPr>
        <w:keepNext/>
        <w:spacing w:before="80" w:after="0"/>
        <w:jc w:val="center"/>
      </w:pPr>
      <w:r>
        <w:rPr>
          <w:noProof/>
        </w:rPr>
        <w:drawing>
          <wp:inline distT="0" distB="0" distL="0" distR="0">
            <wp:extent cx="6120130" cy="3672078"/>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service.png"/>
                    <pic:cNvPicPr/>
                  </pic:nvPicPr>
                  <pic:blipFill>
                    <a:blip r:embed="rId23"/>
                    <a:stretch>
                      <a:fillRect/>
                    </a:stretch>
                  </pic:blipFill>
                  <pic:spPr>
                    <a:xfrm>
                      <a:off x="0" y="0"/>
                      <a:ext cx="6120130" cy="3672078"/>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1] BidBox 서비스 화면·흐름도·주요 기능 (실제 프로토타입 화면, 2026-10-22 캡처)</w:t>
      </w:r>
    </w:p>
    <w:p>
      <w:pPr>
        <w:keepNext/>
        <w:spacing w:before="120" w:after="60" w:line="240" w:lineRule="auto"/>
      </w:pPr>
      <w:r>
        <w:rPr>
          <w:rFonts w:ascii="맑은 고딕" w:hAnsi="맑은 고딕" w:eastAsia="맑은 고딕" w:cs="맑은 고딕"/>
          <w:b/>
          <w:bCs/>
          <w:color w:val="000000"/>
          <w:sz w:val="21"/>
          <w:szCs w:val="21"/>
        </w:rPr>
        <w:t xml:space="preserve">○ 2-2. 기능·성능의 차별성 및 경쟁력 확보 전략</w:t>
      </w:r>
    </w:p>
    <w:p>
      <w:pPr>
        <w:keepNext/>
        <w:spacing w:before="60" w:after="40" w:line="240" w:lineRule="auto"/>
      </w:pPr>
      <w:r>
        <w:rPr>
          <w:rFonts w:ascii="맑은 고딕" w:hAnsi="맑은 고딕" w:eastAsia="맑은 고딕" w:cs="맑은 고딕"/>
          <w:b/>
          <w:bCs/>
          <w:color w:val="000000"/>
          <w:sz w:val="20"/>
          <w:szCs w:val="20"/>
        </w:rPr>
        <w:t>◦ 고객이 고르는 기준은 별표, 정지, 금액, 근거, 비용이다</w:t>
      </w:r>
    </w:p>
    <w:p>
      <w:pPr>
        <w:spacing w:before="0" w:after="40" w:line="240" w:lineRule="auto"/>
        <w:ind w:left="300" w:hanging="200"/>
      </w:pPr>
      <w:r>
        <w:rPr>
          <w:rFonts w:ascii="맑은 고딕" w:hAnsi="맑은 고딕" w:eastAsia="맑은 고딕" w:cs="맑은 고딕"/>
          <w:color w:val="000000"/>
          <w:sz w:val="20"/>
          <w:szCs w:val="20"/>
        </w:rPr>
        <w:t>계산기는 담당자가 고른 별표와 넣은 기준값의 점수만 낸다. 자문은 금액을 대신 정하고 낙찰 때 성공보수를 받는다.</w:t>
      </w:r>
    </w:p>
    <w:p>
      <w:pPr>
        <w:spacing w:before="0" w:after="40" w:line="240" w:lineRule="auto"/>
        <w:ind w:left="300" w:hanging="200"/>
      </w:pPr>
      <w:r>
        <w:rPr>
          <w:rFonts w:ascii="맑은 고딕" w:hAnsi="맑은 고딕" w:eastAsia="맑은 고딕" w:cs="맑은 고딕"/>
          <w:color w:val="000000"/>
          <w:sz w:val="20"/>
          <w:szCs w:val="20"/>
        </w:rPr>
        <w:t>BidBox는 낙찰방법에서 별표를 먼저 판정하고, 같은 경로로 최저가와 최상가를 역산한 뒤 AI 예측가를 그 옆에 둔다. 낙찰 보수는 받지 않는다.</w:t>
      </w:r>
    </w:p>
    <w:p>
      <w:pPr>
        <w:keepNext/>
        <w:spacing w:before="60" w:after="40" w:line="240" w:lineRule="auto"/>
      </w:pPr>
      <w:r>
        <w:rPr>
          <w:rFonts w:ascii="맑은 고딕" w:hAnsi="맑은 고딕" w:eastAsia="맑은 고딕" w:cs="맑은 고딕"/>
          <w:b/>
          <w:bCs/>
          <w:color w:val="000000"/>
          <w:sz w:val="20"/>
          <w:szCs w:val="20"/>
        </w:rPr>
        <w:t>◦ 모르면 멈추는 것이 성능이다</w:t>
      </w:r>
    </w:p>
    <w:p>
      <w:pPr>
        <w:spacing w:before="0" w:after="40" w:line="240" w:lineRule="auto"/>
        <w:ind w:left="300" w:hanging="200"/>
      </w:pPr>
      <w:r>
        <w:rPr>
          <w:rFonts w:ascii="맑은 고딕" w:hAnsi="맑은 고딕" w:eastAsia="맑은 고딕" w:cs="맑은 고딕"/>
          <w:color w:val="000000"/>
          <w:sz w:val="20"/>
          <w:szCs w:val="20"/>
        </w:rPr>
        <w:t>기준 미확보와 수기심사 9,911건(31.7%)은 자동 계산을 멈추고 직접 입력으로 넘긴다. 비예가 공고는 원천 낙찰률이 없어 가격점수를 계산하지 않는다.</w:t>
      </w:r>
    </w:p>
    <w:p>
      <w:pPr>
        <w:spacing w:before="0" w:after="40" w:line="240" w:lineRule="auto"/>
        <w:ind w:left="300" w:hanging="200"/>
      </w:pPr>
      <w:r>
        <w:rPr>
          <w:rFonts w:ascii="맑은 고딕" w:hAnsi="맑은 고딕" w:eastAsia="맑은 고딕" w:cs="맑은 고딕"/>
          <w:color w:val="000000"/>
          <w:sz w:val="20"/>
          <w:szCs w:val="20"/>
        </w:rPr>
        <w:t>낙찰하한율이 없는 공고는 구간을 넓히고 불확실을 표시한다. 평균 절대오차 1.1885%p를 투찰 한 점의 정확도로 쓰지 않는다.</w:t>
      </w:r>
    </w:p>
    <w:p>
      <w:pPr>
        <w:keepNext/>
        <w:spacing w:before="60" w:after="40" w:line="240" w:lineRule="auto"/>
      </w:pPr>
      <w:r>
        <w:rPr>
          <w:rFonts w:ascii="맑은 고딕" w:hAnsi="맑은 고딕" w:eastAsia="맑은 고딕" w:cs="맑은 고딕"/>
          <w:b/>
          <w:bCs/>
          <w:color w:val="000000"/>
          <w:sz w:val="20"/>
          <w:szCs w:val="20"/>
        </w:rPr>
        <w:t>◦ 근거를 화면 안에 둔다</w:t>
      </w:r>
    </w:p>
    <w:p>
      <w:pPr>
        <w:spacing w:before="0" w:after="40" w:line="240" w:lineRule="auto"/>
        <w:ind w:left="300" w:hanging="200"/>
      </w:pPr>
      <w:r>
        <w:rPr>
          <w:rFonts w:ascii="맑은 고딕" w:hAnsi="맑은 고딕" w:eastAsia="맑은 고딕" w:cs="맑은 고딕"/>
          <w:color w:val="000000"/>
          <w:sz w:val="20"/>
          <w:szCs w:val="20"/>
        </w:rPr>
        <w:t>규칙 ID, 규칙명, 판별 근거를 공고 화면에 둔다([그림 1]). 금액 칸은 그 금액을 만든 문장을 열어 보여 준다.</w:t>
      </w:r>
    </w:p>
    <w:p>
      <w:pPr>
        <w:spacing w:before="0" w:after="40" w:line="240" w:lineRule="auto"/>
        <w:ind w:left="300" w:hanging="200"/>
      </w:pPr>
      <w:r>
        <w:rPr>
          <w:rFonts w:ascii="맑은 고딕" w:hAnsi="맑은 고딕" w:eastAsia="맑은 고딕" w:cs="맑은 고딕"/>
          <w:color w:val="000000"/>
          <w:sz w:val="20"/>
          <w:szCs w:val="20"/>
        </w:rPr>
        <w:t>상담 96개 요청에서 수치 정답 144/144, 근거 재현율 1.0, 인용 72/72, 거절 24/24, 과잉응답 0이었다. 거절해야 할 질문에는 답을 만들지 않는다.</w:t>
      </w:r>
    </w:p>
    <w:p>
      <w:pPr>
        <w:keepNext/>
        <w:spacing w:before="60" w:after="40" w:line="240" w:lineRule="auto"/>
      </w:pPr>
      <w:r>
        <w:rPr>
          <w:rFonts w:ascii="맑은 고딕" w:hAnsi="맑은 고딕" w:eastAsia="맑은 고딕" w:cs="맑은 고딕"/>
          <w:b/>
          <w:bCs/>
          <w:color w:val="000000"/>
          <w:sz w:val="20"/>
          <w:szCs w:val="20"/>
        </w:rPr>
        <w:t>◦ 경쟁력이 두꺼워지는 방식</w:t>
      </w:r>
    </w:p>
    <w:p>
      <w:pPr>
        <w:spacing w:before="0" w:after="40" w:line="240" w:lineRule="auto"/>
        <w:ind w:left="300" w:hanging="200"/>
      </w:pPr>
      <w:r>
        <w:rPr>
          <w:rFonts w:ascii="맑은 고딕" w:hAnsi="맑은 고딕" w:eastAsia="맑은 고딕" w:cs="맑은 고딕"/>
          <w:color w:val="000000"/>
          <w:sz w:val="20"/>
          <w:szCs w:val="20"/>
        </w:rPr>
        <w:t>기준이 개정되면 구판을 지우지 않고 공고일 기준으로 다시 적용한다. 그 적용을 최근 12개월 31,305건으로 다시 센다.</w:t>
      </w:r>
    </w:p>
    <w:p>
      <w:pPr>
        <w:spacing w:before="0" w:after="40" w:line="240" w:lineRule="auto"/>
        <w:ind w:left="300" w:hanging="200"/>
      </w:pPr>
      <w:r>
        <w:rPr>
          <w:rFonts w:ascii="맑은 고딕" w:hAnsi="맑은 고딕" w:eastAsia="맑은 고딕" w:cs="맑은 고딕"/>
          <w:color w:val="000000"/>
          <w:sz w:val="20"/>
          <w:szCs w:val="20"/>
        </w:rPr>
        <w:t>파일럿에서 자동 판정과 담당자 수정이 갈린 건을 기록하고, 그 순서로 네 업종의 지자체 원문을 등록한다. 명칭이 비슷한 다른 업종으로 목록을 넓히지 않는다.</w:t>
      </w:r>
    </w:p>
    <w:p>
      <w:pPr>
        <w:keepNext/>
        <w:spacing w:before="60" w:after="40" w:line="240" w:lineRule="auto"/>
      </w:pPr>
      <w:r>
        <w:rPr>
          <w:rFonts w:ascii="맑은 고딕" w:hAnsi="맑은 고딕" w:eastAsia="맑은 고딕" w:cs="맑은 고딕"/>
          <w:b/>
          <w:bCs/>
          <w:color w:val="000000"/>
          <w:sz w:val="20"/>
          <w:szCs w:val="20"/>
        </w:rPr>
        <w:t>◦ 지식재산</w:t>
      </w:r>
    </w:p>
    <w:p>
      <w:pPr>
        <w:spacing w:before="0" w:after="40" w:line="240" w:lineRule="auto"/>
        <w:ind w:left="300" w:hanging="200"/>
      </w:pPr>
      <w:r>
        <w:rPr>
          <w:rFonts w:ascii="맑은 고딕" w:hAnsi="맑은 고딕" w:eastAsia="맑은 고딕" w:cs="맑은 고딕"/>
          <w:color w:val="000000"/>
          <w:sz w:val="20"/>
          <w:szCs w:val="20"/>
        </w:rPr>
        <w:t>판별과 구간 역산 절차는 특허 출원 후보 1건으로 두고, 규칙 원문 정리는 영업비밀로 유지한다. 출원 명칭은 변리 상담 후 확정한다.</w:t>
      </w:r>
    </w:p>
    <w:p>
      <w:pPr>
        <w:keepNext/>
        <w:spacing w:before="160" w:after="60"/>
        <w:jc w:val="center"/>
      </w:pPr>
      <w:r>
        <w:rPr>
          <w:rFonts w:ascii="맑은 고딕" w:hAnsi="맑은 고딕" w:eastAsia="맑은 고딕" w:cs="맑은 고딕"/>
          <w:color w:val="000000"/>
          <w:sz w:val="24"/>
          <w:szCs w:val="24"/>
        </w:rPr>
        <w:t xml:space="preserve">&lt; 기존 방식과 BidBox 비교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07"/>
        <w:gridCol w:w="3715"/>
        <w:gridCol w:w="4016"/>
      </w:tblGrid>
      <w:tr>
        <w:trPr>
          <w:cantSplit/>
          <w:tblHeader/>
        </w:trPr>
        <w:tc>
          <w:tcPr>
            <w:tcW w:w="1907"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구분</w:t>
            </w:r>
          </w:p>
        </w:tc>
        <w:tc>
          <w:tcPr>
            <w:tcW w:w="37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기존 방식</w:t>
            </w:r>
          </w:p>
        </w:tc>
        <w:tc>
          <w:tcPr>
            <w:tcW w:w="4016"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BidBox</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적용 별표 선택</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담당자가 첨부 세부기준을 읽고 직접 선택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 기반 </w:t>
            </w:r>
            <w:r>
              <w:rPr>
                <w:rFonts w:ascii="맑은 고딕" w:hAnsi="맑은 고딕" w:eastAsia="맑은 고딕" w:cs="맑은 고딕"/>
                <w:b/>
                <w:bCs/>
                <w:color w:val="000000"/>
                <w:sz w:val="18"/>
                <w:szCs w:val="18"/>
              </w:rPr>
              <w:t xml:space="preserve">자동 판정</w:t>
            </w:r>
            <w:r>
              <w:rPr>
                <w:rFonts w:ascii="맑은 고딕" w:hAnsi="맑은 고딕" w:eastAsia="맑은 고딕" w:cs="맑은 고딕"/>
                <w:color w:val="000000"/>
                <w:sz w:val="18"/>
                <w:szCs w:val="18"/>
              </w:rPr>
              <w:t xml:space="preserve">(규칙 206종)</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기준 미확보 공고</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계산기는 입력값 그대로 점수 산출</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투찰 금액 판단</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사람 자문의 금액 제안(인포21C·비드큐)</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최저가·AI 예측가·최상가</w:t>
            </w:r>
            <w:r>
              <w:rPr>
                <w:rFonts w:ascii="맑은 고딕" w:hAnsi="맑은 고딕" w:eastAsia="맑은 고딕" w:cs="맑은 고딕"/>
                <w:color w:val="000000"/>
                <w:sz w:val="18"/>
                <w:szCs w:val="18"/>
              </w:rPr>
              <w:t>를 한 화면에 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판단 근거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결과 점수 중심</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w:t>
            </w:r>
            <w:r>
              <w:rPr>
                <w:rFonts w:ascii="맑은 고딕" w:hAnsi="맑은 고딕" w:eastAsia="맑은 고딕" w:cs="맑은 고딕"/>
                <w:b/>
                <w:bCs/>
                <w:color w:val="000000"/>
                <w:sz w:val="18"/>
                <w:szCs w:val="18"/>
              </w:rPr>
              <w:t xml:space="preserve">원문 인용</w:t>
            </w:r>
            <w:r>
              <w:rPr>
                <w:rFonts w:ascii="맑은 고딕" w:hAnsi="맑은 고딕" w:eastAsia="맑은 고딕" w:cs="맑은 고딕"/>
                <w:color w:val="000000"/>
                <w:sz w:val="18"/>
                <w:szCs w:val="18"/>
              </w:rPr>
              <w:t xml:space="preserve"> 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시행일 개정 대응</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[확인 필요: 경쟁 도구의 판본 관리 방식]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구판·현행 </w:t>
            </w:r>
            <w:r>
              <w:rPr>
                <w:rFonts w:ascii="맑은 고딕" w:hAnsi="맑은 고딕" w:eastAsia="맑은 고딕" w:cs="맑은 고딕"/>
                <w:b/>
                <w:bCs/>
                <w:color w:val="000000"/>
                <w:sz w:val="18"/>
                <w:szCs w:val="18"/>
              </w:rPr>
              <w:t xml:space="preserve">병행 보관</w:t>
            </w:r>
            <w:r>
              <w:rPr>
                <w:rFonts w:ascii="맑은 고딕" w:hAnsi="맑은 고딕" w:eastAsia="맑은 고딕" w:cs="맑은 고딕"/>
                <w:color w:val="000000"/>
                <w:sz w:val="18"/>
                <w:szCs w:val="18"/>
              </w:rPr>
              <w:t xml:space="preserve">, 공고일 기준 적용</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비용 구조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낙찰 시 성공보수(비드큐 1:1 분석 1.5%, bidq.co.kr)</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토큰 구매(단가 미확정, 가설 1토큰 1,000원)</w:t>
            </w:r>
          </w:p>
        </w:tc>
      </w:tr>
    </w:tbl>
    <w:p>
      <w:pPr>
        <w:keepNext/>
        <w:spacing w:before="160" w:after="60"/>
        <w:jc w:val="center"/>
      </w:pPr>
      <w:r>
        <w:rPr>
          <w:rFonts w:ascii="맑은 고딕" w:hAnsi="맑은 고딕" w:eastAsia="맑은 고딕" w:cs="맑은 고딕"/>
          <w:color w:val="000000"/>
          <w:sz w:val="24"/>
          <w:szCs w:val="24"/>
        </w:rPr>
        <w:t xml:space="preserve">&lt; 낙찰률 예측·상담 성능 (내부 검증)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514"/>
        <w:gridCol w:w="2209"/>
        <w:gridCol w:w="3915"/>
      </w:tblGrid>
      <w:tr>
        <w:trPr>
          <w:cantSplit/>
          <w:tblHeader/>
        </w:trPr>
        <w:tc>
          <w:tcPr>
            <w:tcW w:w="3514"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지표</w:t>
            </w:r>
          </w:p>
        </w:tc>
        <w:tc>
          <w:tcPr>
            <w:tcW w:w="2209"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값</w:t>
            </w:r>
          </w:p>
        </w:tc>
        <w:tc>
          <w:tcPr>
            <w:tcW w:w="39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기준·표본</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평균 절대오차(MAE)</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1.1885%p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2026-01-01 이후 공고 3,000건, 2026-09-15 측정</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제곱근오차 / R²</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2.6326 / 0.7097</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실제값 ±0.5%p 이내 비율</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62.69%</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사후검증 유효 3,589건, 2026-08-30</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예측 구간 포함률 / 구간 폭 중앙값</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90.25% / 2.01%p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MAE: 하한율 있는 공고 / 없는 공고</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0.6288%p / 2.0943%p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동일(직전 검증 기준)</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상담 수치 정답 / 인용</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144/144 / 72/72</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96개 요청 평가</w:t>
            </w:r>
          </w:p>
        </w:tc>
      </w:tr>
    </w:tbl>
    <w:p>
      <w:pPr>
        <w:spacing w:before="40" w:after="60" w:line="240" w:lineRule="auto"/>
      </w:pPr>
      <w:r>
        <w:rPr>
          <w:rFonts w:ascii="맑은 고딕" w:hAnsi="맑은 고딕" w:eastAsia="맑은 고딕" w:cs="맑은 고딕"/>
          <w:color w:val="000000"/>
          <w:sz w:val="18"/>
          <w:szCs w:val="18"/>
        </w:rPr>
        <w:t xml:space="preserve">※ 출처: BidBox 내부 검증. 현재 champion(v_20260915_133523_756)의 집단별 재분해 없음. 예측은 참고 정보이며 낙찰 보증 아님</w:t>
      </w:r>
    </w:p>
    <w:p>
      <w:pPr>
        <w:keepNext/>
        <w:spacing w:before="80" w:after="0"/>
        <w:jc w:val="center"/>
      </w:pPr>
      <w:r>
        <w:rPr>
          <w:noProof/>
        </w:rPr>
        <w:drawing>
          <wp:inline distT="0" distB="0" distL="0" distR="0">
            <wp:extent cx="6120130" cy="2295049"/>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api.png"/>
                    <pic:cNvPicPr/>
                  </pic:nvPicPr>
                  <pic:blipFill>
                    <a:blip r:embed="rId24"/>
                    <a:stretch>
                      <a:fillRect/>
                    </a:stretch>
                  </pic:blipFill>
                  <pic:spPr>
                    <a:xfrm>
                      <a:off x="0" y="0"/>
                      <a:ext cx="6120130" cy="2295049"/>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2] API 구성: 9개 그룹 64개 API, 적격심사(Evaluations) API 목록 (Swagger, 2026-10-22 캡처)</w:t>
      </w:r>
    </w:p>
    <w:p>
      <w:pPr>
        <w:keepNext/>
        <w:spacing w:before="120" w:after="60" w:line="240" w:lineRule="auto"/>
      </w:pPr>
      <w:r>
        <w:rPr>
          <w:rFonts w:ascii="맑은 고딕" w:hAnsi="맑은 고딕" w:eastAsia="맑은 고딕" w:cs="맑은 고딕"/>
          <w:b/>
          <w:bCs/>
          <w:color w:val="000000"/>
          <w:sz w:val="21"/>
          <w:szCs w:val="21"/>
        </w:rPr>
        <w:t xml:space="preserve">○ 2-3. 사업추진 일정 및 정부지원사업비</w:t>
      </w:r>
    </w:p>
    <w:p>
      <w:pPr>
        <w:spacing w:before="0" w:after="40" w:line="240" w:lineRule="auto"/>
        <w:ind w:left="300" w:hanging="200"/>
      </w:pPr>
      <w:r>
        <w:rPr>
          <w:rFonts w:ascii="맑은 고딕" w:hAnsi="맑은 고딕" w:eastAsia="맑은 고딕" w:cs="맑은 고딕"/>
          <w:color w:val="000000"/>
          <w:sz w:val="20"/>
          <w:szCs w:val="20"/>
        </w:rPr>
        <w:t>서버 임대·API 토큰·도메인은 3차 회의 견적이고, 그 밖은 견적 전 배분이다. 대표자 인건비는 넣지 않고, 장비 구매 대신 서버를 빌린다.</w:t>
      </w:r>
    </w:p>
    <w:p>
      <w:pPr>
        <w:spacing w:before="0" w:after="40" w:line="240" w:lineRule="auto"/>
        <w:ind w:left="300" w:hanging="200"/>
      </w:pPr>
      <w:r>
        <w:rPr>
          <w:rFonts w:ascii="맑은 고딕" w:hAnsi="맑은 고딕" w:eastAsia="맑은 고딕" w:cs="맑은 고딕"/>
          <w:color w:val="000000"/>
          <w:sz w:val="20"/>
          <w:szCs w:val="20"/>
        </w:rPr>
        <w:t>1단계는 1~4개월, 2단계는 5~8개월이다. 2단계는 중간평가를 통과한 뒤에만 집행하고, 실제 추가 지원액은 그 결과로 정해진다.</w:t>
      </w:r>
    </w:p>
    <w:p>
      <w:pPr>
        <w:spacing w:before="0" w:after="40" w:line="240" w:lineRule="auto"/>
        <w:ind w:left="300" w:hanging="200"/>
      </w:pPr>
      <w:r>
        <w:rPr>
          <w:rFonts w:ascii="맑은 고딕" w:hAnsi="맑은 고딕" w:eastAsia="맑은 고딕" w:cs="맑은 고딕"/>
          <w:color w:val="000000"/>
          <w:sz w:val="20"/>
          <w:szCs w:val="20"/>
        </w:rPr>
        <w:t>1단계 2,000만 원은 프로토타입을 다시 만드는 비용이 아니다. 운영 배포, 토큰 결제, 파일럿에 쓴다.</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6"/>
        </w:rPr>
        <w:t>(</w:t>
      </w:r>
      <w:r>
        <w:rPr>
          <w:rFonts w:ascii="맑은 고딕" w:hAnsi="맑은 고딕" w:eastAsia="맑은 고딕" w:cs="맑은 고딕"/>
          <w:sz w:val="22"/>
          <w:szCs w:val="26"/>
        </w:rPr>
        <w:t>협약기간</w:t>
      </w:r>
      <w:r>
        <w:rPr>
          <w:rFonts w:ascii="맑은 고딕" w:hAnsi="맑은 고딕" w:eastAsia="맑은 고딕" w:cs="맑은 고딕"/>
          <w:spacing w:val="2"/>
          <w:sz w:val="22"/>
          <w:szCs w:val="26"/>
        </w:rPr>
        <w:t xml:space="preserve"> </w:t>
      </w:r>
      <w:r>
        <w:rPr>
          <w:rFonts w:ascii="맑은 고딕" w:hAnsi="맑은 고딕" w:eastAsia="맑은 고딕" w:cs="맑은 고딕"/>
          <w:sz w:val="22"/>
          <w:szCs w:val="26"/>
        </w:rPr>
        <w:t>내</w:t>
      </w:r>
      <w:r>
        <w:rPr>
          <w:rFonts w:ascii="맑은 고딕" w:hAnsi="맑은 고딕" w:eastAsia="맑은 고딕" w:cs="맑은 고딕"/>
          <w:sz w:val="22"/>
          <w:szCs w:val="26"/>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공개와 재현 확인</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1개월차</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임대·도메인·HTTPS. 운영 주소에서 네 업종 목록과 공고 1건의 세 가격이 열리는지 확인. Windows PC 실기 기동.</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회원 정량의 운영 재현</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신용등급·신인도를 넣은 계정과 넣지 않은 계정이 같은 공고에서 최저가·최상가를 다르게 내는지 기록. 약관 초안.</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토큰 결제와 보안</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토큰 결제(1토큰 1,000원, 가설)로 규칙 판정·세 가격·상담을 연다. 약관·개인정보처리방침 정비, 보안 취약점 점검.</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1차·중간평가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10사 사용 로그, 자동 판정과 담당자 수정이 갈린 건수, 토큰을 사겠다는 의사. 중간평가 자료.</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지자체 규칙 보강</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공고 가운데 지자체 기준이 없어 막힌 원문을 등록하고, 같은 기준으로 다시 적용해 검증.</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확대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20사(가설), 그중 비수도권 10사 이상을 목표.</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단가 확정·지식재산</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결과 기반 토큰 단가 확정, 상표 1건·특허 출원 1건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전환·결과 보고</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유료로 전환된 회사 수(가설의 기준은 8사)와 사용 결과 보고서.</w:t>
            </w:r>
          </w:p>
        </w:tc>
      </w:tr>
    </w:tbl>
    <w:p w14:paraId="5B00499A">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1</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21993D04">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4B97AC2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53F9E473">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0F80B42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외주용역비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4CE4602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파일럿용 안내 문구·금액 근거 모달·회원가입 흐름 정리 1식 5,000,000원. 보안 취약점 점검 1식 3,000,000원. 세 가격 화면의 재개발이 아님.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EEE1C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110DC93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5F73317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 도메인 연 26,400원. 약관·개인정보처리방침 검토 1식 1,375,240원(견적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4D3D760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7,200,000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1BAFAE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62BF369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소개 페이지(홈페이지 이미지 포함) 1식 1,800,000원. 파일럿 모집 3,000,000원.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60EDCBC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4,800,000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578155A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5788" w:type="dxa"/>
            <w:tcBorders>
              <w:top w:val="single" w:sz="4" w:space="0" w:color="000000"/>
              <w:left w:val="single" w:sz="4" w:space="0" w:color="000000"/>
              <w:bottom w:val="single" w:sz="4" w:space="0" w:color="000000"/>
              <w:right w:val="single" w:sz="4" w:space="0" w:color="000000"/>
            </w:tcBorders>
            <w:vAlign w:val="center"/>
          </w:tcPr>
          <w:p w14:paraId="032093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2408" w:type="dxa"/>
            <w:tcBorders>
              <w:top w:val="single" w:sz="4" w:space="0" w:color="000000"/>
              <w:left w:val="single" w:sz="4" w:space="0" w:color="000000"/>
              <w:bottom w:val="single" w:sz="4" w:space="0" w:color="000000"/>
              <w:right w:val="single" w:sz="4" w:space="0" w:color="000000"/>
            </w:tcBorders>
            <w:vAlign w:val="center"/>
          </w:tcPr>
          <w:p w14:paraId="788DC55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ED7B2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1EDEEB1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01D57CE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4C8C40A6">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5C3BC92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0129D83E">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2</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752784C0">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33D138A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4E32A610">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53D7255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인건비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63939FF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실무 채용 1명 × 월 2,500,000원 × 4개월. 대표 급여는 넣지 않음. 중간평가 통과 시.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AE9A0B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10,000,000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0B3AC40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39D567A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w:t>
            </w:r>
          </w:p>
        </w:tc>
        <w:tc>
          <w:tcPr>
            <w:tcW w:w="2408" w:type="dxa"/>
            <w:tcBorders>
              <w:top w:val="single" w:sz="4" w:space="0" w:color="000000"/>
              <w:left w:val="single" w:sz="4" w:space="0" w:color="000000"/>
              <w:bottom w:val="single" w:sz="4" w:space="0" w:color="000000"/>
              <w:right w:val="single" w:sz="4" w:space="0" w:color="000000"/>
            </w:tcBorders>
            <w:vAlign w:val="center"/>
          </w:tcPr>
          <w:p w14:paraId="0BD8E9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5,798,360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271BDB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무형자산</w:t>
            </w:r>
          </w:p>
        </w:tc>
        <w:tc>
          <w:tcPr>
            <w:tcW w:w="5788" w:type="dxa"/>
            <w:tcBorders>
              <w:top w:val="single" w:sz="4" w:space="0" w:color="000000"/>
              <w:left w:val="single" w:sz="4" w:space="0" w:color="000000"/>
              <w:bottom w:val="single" w:sz="4" w:space="0" w:color="000000"/>
              <w:right w:val="single" w:sz="4" w:space="0" w:color="000000"/>
            </w:tcBorders>
            <w:vAlign w:val="center"/>
          </w:tcPr>
          <w:p w14:paraId="2D2CCC0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상표 1건 500,000원. 특허 출원 1건 2,500,000원.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1F63C1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10CF754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12AFA0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교육·협회 설명회와 온라인 모집.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3936A0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1,201,640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7B2645A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5EB0B83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735F85A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3257523F">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7ABDC8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328D0970">
      <w:pP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4" name="Banner 4004" descr="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image15.png"/>
                    <pic:cNvPicPr/>
                  </pic:nvPicPr>
                  <pic:blipFill>
                    <a:blip r:embed="rId28"/>
                    <a:stretch>
                      <a:fillRect/>
                    </a:stretch>
                  </pic:blipFill>
                  <pic:spPr>
                    <a:xfrm>
                      <a:off x="0" y="0"/>
                      <a:ext cx="6120130" cy="455754"/>
                    </a:xfrm>
                    <a:prstGeom prst="rect">
                      <a:avLst/>
                    </a:prstGeom>
                  </pic:spPr>
                </pic:pic>
              </a:graphicData>
            </a:graphic>
          </wp:inline>
        </w:drawing>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 xml:space="preserve">&lt; 목표 시장 규모(TAM·SAM·SOM) &gt;</w:t>
      </w:r>
    </w:p>
    <w:p>
      <w:pPr>
        <w:keepNext/>
        <w:spacing w:before="120" w:after="120"/>
        <w:jc w:val="center"/>
      </w:pPr>
      <w:r>
        <w:rPr>
          <w:noProof/>
        </w:rPr>
        <w:drawing>
          <wp:inline distT="0" distB="0" distL="0" distR="0">
            <wp:extent cx="6120130" cy="2754058"/>
            <wp:effectExtent l="0" t="0" r="0" b="0"/>
            <wp:docPr id="4006" name="Market 4006" descr="국내 TAM SAM SOM 동심원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 name="market_tam_sam_som.png"/>
                    <pic:cNvPicPr/>
                  </pic:nvPicPr>
                  <pic:blipFill>
                    <a:blip r:embed="rId30"/>
                    <a:stretch>
                      <a:fillRect/>
                    </a:stretch>
                  </pic:blipFill>
                  <pic:spPr>
                    <a:xfrm>
                      <a:off x="0" y="0"/>
                      <a:ext cx="6120130" cy="2754058"/>
                    </a:xfrm>
                    <a:prstGeom prst="rect">
                      <a:avLst/>
                    </a:prstGeom>
                  </pic:spPr>
                </pic:pic>
              </a:graphicData>
            </a:graphic>
          </wp:inline>
        </w:drawing>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시장</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규모(원화)</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기준연도·출처</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TAM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국내 공공조달 용역 계약 전체</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55.1조원</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2024년 계약 기준(전체 공공조달 225.1조원의 24.5%). 조달청 보도자료(2025-06-27). 2025년 실적은 공표 확인 전</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SAM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나라장터 용역 중 적격심사로 낙찰자를 정한 계약. BidBox 규칙과 모델이 닫힌 범위</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10.2조원(20,824건)</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2025년 낙찰금액 합. 나라장터 낙찰결과(OpenAPI)를 BidBox 저장소에서 집계(2026-10-27). 같은 해 나라장터 용역 낙찰 전체는 24.6조원(96,913건)</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SOM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파견·경비·위생관리·유료직업소개 면허를 요구한 용역의 적격심사 낙찰</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7,494억원 이상(1,869건)</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최근 12개월(2025-09-15~2026-09-14), 같은 집계. 면허 정보가 수집된 공고(적격심사 금액의 56%)만 세어 하한이다</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협약 목표</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SOM 안의 유료 8사</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연 80만 원(가설)</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내부 가설: 8사 × 연 100토큰 × 1,000원</w:t>
            </w:r>
          </w:p>
        </w:tc>
      </w:tr>
    </w:tbl>
    <w:p>
      <w:pPr>
        <w:spacing w:before="40" w:after="60" w:line="240" w:lineRule="auto"/>
      </w:pPr>
      <w:r>
        <w:rPr>
          <w:rFonts w:ascii="맑은 고딕" w:hAnsi="맑은 고딕" w:eastAsia="맑은 고딕" w:cs="맑은 고딕"/>
          <w:color w:val="000000"/>
          <w:sz w:val="18"/>
          <w:szCs w:val="18"/>
        </w:rPr>
        <w:t xml:space="preserve">※ TAM·SAM·SOM은 고객이 따는 계약 금액이고 BidBox 매출이 아니다. SOM의 업종별 금액은 위생관리용역업 5,316억원(1,319건), 경비업 3,471억원(651건), 파견 642억원(220건)이다. 유료직업소개업 면허 공고는 20건(39억원)이고 적격심사 낙찰은 없었다. 한 공고가 여러 면허를 요구하면 업종마다 세므로 업종별 합은 7,494억원보다 크다.</w:t>
      </w:r>
    </w:p>
    <w:p w14:paraId="5186D98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1차 시장은 파견·경비·위생관리·유료직업소개 네 업종에서 나라장터 용역 적격심사를 반복하는 중소기업이다. 목록의 기본값이 이미 이 네 업종이고, 규칙과 모델도 용역 적격심사까지 닫혀 있다. 즉시 가치를 주는 공고는 자동 판정 21,394건이다. 네 업종 면허 공고의 적격심사 낙찰은 최근 12개월 1,869건, 7,494억원 이상이다(저장소 집계, 2026-10-27). 반복 참여 기업의 모수는 조달데이터허브로 확인한다.</w:t>
      </w:r>
    </w:p>
    <w:p w14:paraId="4BA0A86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2차 시장은 협약 다음 해에 넓히는 용역 적격심사 전 업종(2025년 10.2조원)이고, 그다음이 물품과 공사다. 국방·공기업 자체 조달과 온라인 커뮤니티, 동호회는 8개월 일정 밖에 둔다.</w:t>
      </w:r>
    </w:p>
    <w:p w14:paraId="5074859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돈을 내는 사람은 입찰 담당이 아니라 그 회사의 대표 또는 입찰 비용 결재자다. 들어오는 문은 무료인 네 업종 검색과 대시보드다. 입찰 대행과 지역 입찰 교육에는 산식 확인 도구로 제안한다. 4개월까지 그 주체 2곳과 파일럿 자리를 잡는 것이 목표이고, 확정된 거래처는 없다. 파일럿 회사는 용역 적격심사를 검토할 때마다 사용 1회를 로그로 남긴다.</w:t>
      </w:r>
    </w:p>
    <w:p w14:paraId="1D3B3E0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컨셉은 적격심사, 통과구간, 모르면 멈춤이다. 고객 반응은 아직 검증되지 않았다. 가진 것은 동작하는 프로토타입, 규칙 206종, 네 업종 필터, 공고 색인 505,271건(2026-09-09)이다. 없는 것은 고객 명단, 영업 인력, 결제다.</w:t>
      </w:r>
    </w:p>
    <w:p w14:paraId="3F1C33E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회사가 가는 방향은 소규모·지역 기업이 용역 적격심사의 산식과 근거를 공고 단위로 확인하게 하는 것이다. 낙찰 대행이 되는 것이 목표는 아니다.</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 xml:space="preserve">&lt; 비즈니스 모델: 수익 라인 &gt;</w:t>
      </w:r>
    </w:p>
    <w:p>
      <w:pPr>
        <w:keepNext/>
        <w:spacing w:before="120" w:after="120"/>
        <w:jc w:val="center"/>
      </w:pPr>
      <w:r>
        <w:rPr>
          <w:noProof/>
        </w:rPr>
        <w:drawing>
          <wp:inline distT="0" distB="0" distL="0" distR="0">
            <wp:extent cx="6120130" cy="3009064"/>
            <wp:effectExtent l="0" t="0" r="0" b="0"/>
            <wp:docPr id="4007" name="BusinessModel 4007" descr="BidBox 비즈니스 모델 수익 라인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 name="business_model.png"/>
                    <pic:cNvPicPr/>
                  </pic:nvPicPr>
                  <pic:blipFill>
                    <a:blip r:embed="rId31"/>
                    <a:stretch>
                      <a:fillRect/>
                    </a:stretch>
                  </pic:blipFill>
                  <pic:spPr>
                    <a:xfrm>
                      <a:off x="0" y="0"/>
                      <a:ext cx="6120130" cy="3009064"/>
                    </a:xfrm>
                    <a:prstGeom prst="rect">
                      <a:avLst/>
                    </a:prstGeom>
                  </pic:spPr>
                </pic:pic>
              </a:graphicData>
            </a:graphic>
          </wp:inline>
        </w:drawing>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800"/>
        <w:gridCol w:w="2500"/>
        <w:gridCol w:w="3738"/>
        <w:gridCol w:w="1600"/>
      </w:tblGrid>
      <w:tr>
        <w:trPr>
          <w:cantSplit/>
          <w:trHeight w:val="368" w:hRule="atLeast"/>
        </w:trPr>
        <w:tc>
          <w:tcPr>
            <w:tcW w:w="1800"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구분</w:t>
            </w:r>
          </w:p>
        </w:tc>
        <w:tc>
          <w:tcPr>
            <w:tcW w:w="2500"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내는 사람</w:t>
            </w:r>
          </w:p>
        </w:tc>
        <w:tc>
          <w:tcPr>
            <w:tcW w:w="3738"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과금 대상과 방식(가설)</w:t>
            </w:r>
          </w:p>
        </w:tc>
        <w:tc>
          <w:tcPr>
            <w:tcW w:w="1600"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시작 시점</w:t>
            </w:r>
          </w:p>
        </w:tc>
      </w:tr>
      <w:tr>
        <w:trPr>
          <w:cantSplit/>
          <w:trHeight w:val="349" w:hRule="atLeast"/>
        </w:trPr>
        <w:tc>
          <w:tcPr>
            <w:tcW w:w="18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① 토큰 판매(주력)</w:t>
            </w:r>
          </w:p>
        </w:tc>
        <w:tc>
          <w:tcPr>
            <w:tcW w:w="25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네 업종 중소기업의 대표 또는 입찰 비용 결재자</w:t>
            </w:r>
          </w:p>
        </w:tc>
        <w:tc>
          <w:tcPr>
            <w:tcW w:w="37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규칙 자동 판정, 최저가·AI 예측가·최상가, 근거 상담. 1토큰 1,000원. 유료 8사 × 연 100토큰 = 연 80만 원</w:t>
            </w:r>
          </w:p>
        </w:tc>
        <w:tc>
          <w:tcPr>
            <w:tcW w:w="16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협약 3개월차 결제 오픈</w:t>
            </w:r>
          </w:p>
        </w:tc>
      </w:tr>
      <w:tr>
        <w:trPr>
          <w:cantSplit/>
          <w:trHeight w:val="349" w:hRule="atLeast"/>
        </w:trPr>
        <w:tc>
          <w:tcPr>
            <w:tcW w:w="18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② 채널 토큰 묶음</w:t>
            </w:r>
          </w:p>
        </w:tc>
        <w:tc>
          <w:tcPr>
            <w:tcW w:w="25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입찰 대행·지역 입찰 교육 기관</w:t>
            </w:r>
          </w:p>
        </w:tc>
        <w:tc>
          <w:tcPr>
            <w:tcW w:w="37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고객사 대신 쓰는 토큰을 묶음으로 산다. 묶음 단가는 대행 채널이 유료로 남는지 본 뒤 정한다</w:t>
            </w:r>
          </w:p>
        </w:tc>
        <w:tc>
          <w:tcPr>
            <w:tcW w:w="16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3년차</w:t>
            </w:r>
          </w:p>
        </w:tc>
      </w:tr>
      <w:tr>
        <w:trPr>
          <w:cantSplit/>
          <w:trHeight w:val="349" w:hRule="atLeast"/>
        </w:trPr>
        <w:tc>
          <w:tcPr>
            <w:tcW w:w="18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③ 다중 사용자·API</w:t>
            </w:r>
          </w:p>
        </w:tc>
        <w:tc>
          <w:tcPr>
            <w:tcW w:w="25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담당자가 여럿이거나 자사 시스템에 붙이려는 회사</w:t>
            </w:r>
          </w:p>
        </w:tc>
        <w:tc>
          <w:tcPr>
            <w:tcW w:w="37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계정 추가와 API 호출. 협약 기간에는 가격을 열지 않는다</w:t>
            </w:r>
          </w:p>
        </w:tc>
        <w:tc>
          <w:tcPr>
            <w:tcW w:w="16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4년차(계획)</w:t>
            </w:r>
          </w:p>
        </w:tc>
      </w:tr>
      <w:tr>
        <w:trPr>
          <w:cantSplit/>
          <w:trHeight w:val="349" w:hRule="atLeast"/>
        </w:trPr>
        <w:tc>
          <w:tcPr>
            <w:tcW w:w="18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무료(유입)</w:t>
            </w:r>
          </w:p>
        </w:tc>
        <w:tc>
          <w:tcPr>
            <w:tcW w:w="25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모든 방문자</w:t>
            </w:r>
          </w:p>
        </w:tc>
        <w:tc>
          <w:tcPr>
            <w:tcW w:w="37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네 업종 검색, 대시보드, 기준값을 직접 넣는 계산. 유료 전환의 입구다</w:t>
            </w:r>
          </w:p>
        </w:tc>
        <w:tc>
          <w:tcPr>
            <w:tcW w:w="16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지금(구현됨)</w:t>
            </w:r>
          </w:p>
        </w:tc>
      </w:tr>
    </w:tbl>
    <w:p>
      <w:pPr>
        <w:spacing w:before="40" w:after="60" w:line="240" w:lineRule="auto"/>
      </w:pPr>
      <w:r>
        <w:rPr>
          <w:rFonts w:ascii="맑은 고딕" w:hAnsi="맑은 고딕" w:eastAsia="맑은 고딕" w:cs="맑은 고딕"/>
          <w:color w:val="000000"/>
          <w:sz w:val="18"/>
          <w:szCs w:val="18"/>
        </w:rPr>
        <w:t xml:space="preserve">※ 낙찰 성공보수는 받지 않는다. 단가, 기능별 토큰 차감량, 이탈률은 파일럿에서 확정한다. 450개사가 연 100토큰을 사면 월 375만 원이지만, 확장 가정이라 협약 8개월 목표로 두지 않는다.</w:t>
      </w:r>
    </w:p>
    <w:p w14:paraId="2CCD9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가격은 가설이다. 무료는 네 업종 검색, 대시보드, 기준값을 직접 넣는 계산이다. 유료는 규칙 자동 판정, 최저가·AI 예측가·최상가, 근거 상담이고, 토큰을 사야 열린다. 1토큰을 1,000원, 1개사가 연 100토큰을 산다고 두면 유료 8사의 연매출은 800,000원이다.</w:t>
      </w:r>
    </w:p>
    <w:p w14:paraId="276F9C6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이 800,000원은 손익을 맞추는 매출이 아니라 지불 의사를 확인하는 학습 매출이다. 3차 회의 기준 월 운영비는 3,468,720원(인건비 2인 각 1,000,000원, 서버 임대 1,074,590원, API 토큰 375,000원, 도메인 월 환산 2,200원, 사무용 소프트웨어 16,930원)이다. 파일럿 매출로는 월 운영비에 닿지 않는다.</w:t>
      </w:r>
    </w:p>
    <w:p w14:paraId="5830CC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450개사가 연 100토큰을 사는 그림은 월매출 3,750,000원이고, 그때 월 281,280원이 남는다. 450개사는 파일럿 20사의 22배가 넘는 확장 가정이라 8개월 목표와 손익분기 시점으로 두지 않는다. 기능별 토큰 차감과 이탈률은 측정되지 않았고, 여러 사용자와 API는 협약 기간에 가격을 열지 않는다.</w:t>
      </w:r>
    </w:p>
    <w:p w14:paraId="4ECC186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성공보수 1.5%와 토큰 구매는 다른 상품이다. 협약 8개월의 현금은 1단계 20,000,000원이 연다. 엔젤·시드의 금액과 시점은 확인되지 않았고, 협약 중에 투자 유치나 회수를 일정에 넣지 않는다. 최종평가가 좋으면 다음 해 초기창업패키지 서류 우대를 공고가 안내한다.</w:t>
      </w:r>
    </w:p>
    <w:p w14:paraId="701C03C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사회적 가치는 산식과 근거를 공개해 소규모·지역 기업의 참여 문턱을 낮추는 것이다. 협약 성과 지표는 파일럿 20사 중 비수도권 10사 이상이며, 20사는 가설이라 분모는 인터뷰 뒤에 다시 잡는다. 예측과 구간은 참고이며 낙찰을 보증하지 않는다는 문장을 약관 첫머리에 둔다. 등급확인서와 회사 정보는 필요한 항목만 받고, 상담의 기본 모델은 로컬이다. 등급확인서 OCR은 기본으로 꺼 두고, 서류 재입력을 줄이는 부수 기능으로만 켠다.</w:t>
      </w:r>
    </w:p>
    <w:p w14:paraId="0B57396A">
      <w:pPr>
        <w:keepNext/>
        <w:spacing w:before="62"/>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 xml:space="preserve">&lt; 사업추진 일정(전체 사업단계): 5개년 로드맵 &gt;</w:t>
      </w:r>
    </w:p>
    <w:p>
      <w:pPr>
        <w:keepNext/>
        <w:spacing w:before="120" w:after="120"/>
        <w:jc w:val="center"/>
      </w:pPr>
      <w:r>
        <w:rPr>
          <w:noProof/>
        </w:rPr>
        <w:drawing>
          <wp:inline distT="0" distB="0" distL="0" distR="0">
            <wp:extent cx="6120130" cy="3978084"/>
            <wp:effectExtent l="0" t="0" r="0" b="0"/>
            <wp:docPr id="4008" name="Roadmap 4008" descr="BidBox 5개년 로드맵과 공략 범위 그래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 name="roadmap_5y.png"/>
                    <pic:cNvPicPr/>
                  </pic:nvPicPr>
                  <pic:blipFill>
                    <a:blip r:embed="rId32"/>
                    <a:stretch>
                      <a:fillRect/>
                    </a:stretch>
                  </pic:blipFill>
                  <pic:spPr>
                    <a:xfrm>
                      <a:off x="0" y="0"/>
                      <a:ext cx="6120130" cy="3978084"/>
                    </a:xfrm>
                    <a:prstGeom prst="rect">
                      <a:avLst/>
                    </a:prstGeom>
                  </pic:spPr>
                </pic:pic>
              </a:graphicData>
            </a:graphic>
          </wp:inline>
        </w:drawing>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55"/>
        <w:gridCol w:w="3025"/>
        <w:gridCol w:w="2392"/>
        <w:gridCol w:w="3566"/>
      </w:tblGrid>
      <w:tr>
        <w:trPr>
          <w:cantSplit/>
          <w:tblHeader/>
          <w:trHeight w:val="368" w:hRule="atLeast"/>
        </w:trPr>
        <w:tc>
          <w:tcPr>
            <w:tcW w:w="655" w:type="dxa"/>
            <w:tcBorders>
              <w:top w:val="single" w:sz="4" w:space="0" w:color="000000"/>
              <w:left w:val="single" w:sz="4" w:space="0" w:color="000000"/>
              <w:bottom w:val="double" w:sz="4" w:space="0" w:color="000000"/>
              <w:right w:val="single" w:sz="4" w:space="0" w:color="000000"/>
            </w:tcBorders>
            <w:shd w:val="clear" w:fill="D8D8D8"/>
            <w:vAlign w:val="center"/>
          </w:tcPr>
          <w:p w14:paraId="0434E377">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3025" w:type="dxa"/>
            <w:tcBorders>
              <w:top w:val="single" w:sz="4" w:space="0" w:color="000000"/>
              <w:left w:val="single" w:sz="4" w:space="0" w:color="000000"/>
              <w:bottom w:val="double" w:sz="4" w:space="0" w:color="000000"/>
              <w:right w:val="single" w:sz="4" w:space="0" w:color="000000"/>
            </w:tcBorders>
            <w:shd w:val="clear" w:fill="D8D8D8"/>
            <w:vAlign w:val="center"/>
          </w:tcPr>
          <w:p w14:paraId="3D96E71A">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92" w:type="dxa"/>
            <w:tcBorders>
              <w:top w:val="single" w:sz="4" w:space="0" w:color="000000"/>
              <w:left w:val="single" w:sz="4" w:space="0" w:color="000000"/>
              <w:bottom w:val="double" w:sz="4" w:space="0" w:color="000000"/>
              <w:right w:val="single" w:sz="4" w:space="0" w:color="000000"/>
            </w:tcBorders>
            <w:shd w:val="clear" w:fill="D8D8D8"/>
            <w:vAlign w:val="center"/>
          </w:tcPr>
          <w:p w14:paraId="0A827166">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66" w:type="dxa"/>
            <w:tcBorders>
              <w:top w:val="single" w:sz="4" w:space="0" w:color="000000"/>
              <w:left w:val="single" w:sz="4" w:space="0" w:color="000000"/>
              <w:bottom w:val="double" w:sz="4" w:space="0" w:color="000000"/>
              <w:right w:val="single" w:sz="4" w:space="0" w:color="000000"/>
            </w:tcBorders>
            <w:shd w:val="clear" w:fill="D8D8D8"/>
            <w:vAlign w:val="center"/>
          </w:tcPr>
          <w:p w14:paraId="7937AA9B">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655" w:type="dxa"/>
            <w:tcBorders>
              <w:top w:val="double" w:sz="4" w:space="0" w:color="000000"/>
              <w:left w:val="single" w:sz="4" w:space="0" w:color="000000"/>
              <w:bottom w:val="single" w:sz="4" w:space="0" w:color="000000"/>
              <w:right w:val="single" w:sz="4" w:space="0" w:color="000000"/>
            </w:tcBorders>
            <w:vAlign w:val="center"/>
          </w:tcPr>
          <w:p w14:paraId="4C99367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w:t>
            </w:r>
          </w:p>
        </w:tc>
        <w:tc>
          <w:tcPr>
            <w:tcW w:w="3025" w:type="dxa"/>
            <w:tcBorders>
              <w:top w:val="double" w:sz="4" w:space="0" w:color="000000"/>
              <w:left w:val="single" w:sz="4" w:space="0" w:color="000000"/>
              <w:bottom w:val="single" w:sz="4" w:space="0" w:color="000000"/>
              <w:right w:val="single" w:sz="4" w:space="0" w:color="000000"/>
            </w:tcBorders>
            <w:vAlign w:val="center"/>
          </w:tcPr>
          <w:p w14:paraId="1A7D7A5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네 업종 상용화</w:t>
            </w:r>
          </w:p>
        </w:tc>
        <w:tc>
          <w:tcPr>
            <w:tcW w:w="2392" w:type="dxa"/>
            <w:tcBorders>
              <w:top w:val="double" w:sz="4" w:space="0" w:color="000000"/>
              <w:left w:val="single" w:sz="4" w:space="0" w:color="000000"/>
              <w:bottom w:val="single" w:sz="4" w:space="0" w:color="000000"/>
              <w:right w:val="single" w:sz="4" w:space="0" w:color="000000"/>
            </w:tcBorders>
            <w:vAlign w:val="center"/>
          </w:tcPr>
          <w:p w14:paraId="6F7C95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1년차(협약 8개월 포함)</w:t>
            </w:r>
          </w:p>
        </w:tc>
        <w:tc>
          <w:tcPr>
            <w:tcW w:w="3566" w:type="dxa"/>
            <w:tcBorders>
              <w:top w:val="double" w:sz="4" w:space="0" w:color="000000"/>
              <w:left w:val="single" w:sz="4" w:space="0" w:color="000000"/>
              <w:bottom w:val="single" w:sz="4" w:space="0" w:color="000000"/>
              <w:right w:val="single" w:sz="4" w:space="0" w:color="000000"/>
            </w:tcBorders>
            <w:vAlign w:val="center"/>
          </w:tcPr>
          <w:p w14:paraId="224064A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운영 주소 공개, 3개월차 토큰 결제, 파일럿 20사(비수도권 10사 이상), 유료 8사(가설), 지자체 원문 보강, 상표·특허 출원</w:t>
            </w:r>
          </w:p>
        </w:tc>
      </w:tr>
      <w:tr>
        <w:trPr>
          <w:cantSplit/>
          <w:trHeight w:val="356"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4F6CA3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w:t>
            </w:r>
          </w:p>
        </w:tc>
        <w:tc>
          <w:tcPr>
            <w:tcW w:w="3025" w:type="dxa"/>
            <w:tcBorders>
              <w:top w:val="single" w:sz="4" w:space="0" w:color="000000"/>
              <w:left w:val="single" w:sz="4" w:space="0" w:color="000000"/>
              <w:bottom w:val="single" w:sz="4" w:space="0" w:color="000000"/>
              <w:right w:val="single" w:sz="4" w:space="0" w:color="000000"/>
            </w:tcBorders>
            <w:vAlign w:val="center"/>
          </w:tcPr>
          <w:p w14:paraId="60C1742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용역 적격심사 전 업종, 물품 착수</w:t>
            </w:r>
          </w:p>
        </w:tc>
        <w:tc>
          <w:tcPr>
            <w:tcW w:w="2392" w:type="dxa"/>
            <w:tcBorders>
              <w:top w:val="single" w:sz="4" w:space="0" w:color="000000"/>
              <w:left w:val="single" w:sz="4" w:space="0" w:color="000000"/>
              <w:bottom w:val="single" w:sz="4" w:space="0" w:color="000000"/>
              <w:right w:val="single" w:sz="4" w:space="0" w:color="000000"/>
            </w:tcBorders>
            <w:vAlign w:val="center"/>
          </w:tcPr>
          <w:p w14:paraId="2829B1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2년차</w:t>
            </w:r>
          </w:p>
        </w:tc>
        <w:tc>
          <w:tcPr>
            <w:tcW w:w="3566" w:type="dxa"/>
            <w:tcBorders>
              <w:top w:val="single" w:sz="4" w:space="0" w:color="000000"/>
              <w:left w:val="single" w:sz="4" w:space="0" w:color="000000"/>
              <w:bottom w:val="single" w:sz="4" w:space="0" w:color="000000"/>
              <w:right w:val="single" w:sz="4" w:space="0" w:color="000000"/>
            </w:tcBorders>
            <w:vAlign w:val="center"/>
          </w:tcPr>
          <w:p w14:paraId="7049E79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업종 면허 코드를 넓혀 용역 적격심사 전체(2025년 10.2조원)를 연다. 기술용역 낙찰방법 44종을 정리하고, 보유한 물품 낙찰 데이터로 규칙·모델에 착수한다. 후속 지원을 검토한다</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B3AC6B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3</w:t>
            </w:r>
          </w:p>
        </w:tc>
        <w:tc>
          <w:tcPr>
            <w:tcW w:w="3025" w:type="dxa"/>
            <w:tcBorders>
              <w:top w:val="single" w:sz="4" w:space="0" w:color="000000"/>
              <w:left w:val="single" w:sz="4" w:space="0" w:color="000000"/>
              <w:bottom w:val="single" w:sz="4" w:space="0" w:color="000000"/>
              <w:right w:val="single" w:sz="4" w:space="0" w:color="000000"/>
            </w:tcBorders>
            <w:vAlign w:val="center"/>
          </w:tcPr>
          <w:p w14:paraId="542B14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물품 공개, 공사 착수, 채널</w:t>
            </w:r>
          </w:p>
        </w:tc>
        <w:tc>
          <w:tcPr>
            <w:tcW w:w="2392" w:type="dxa"/>
            <w:tcBorders>
              <w:top w:val="single" w:sz="4" w:space="0" w:color="000000"/>
              <w:left w:val="single" w:sz="4" w:space="0" w:color="000000"/>
              <w:bottom w:val="single" w:sz="4" w:space="0" w:color="000000"/>
              <w:right w:val="single" w:sz="4" w:space="0" w:color="000000"/>
            </w:tcBorders>
            <w:vAlign w:val="center"/>
          </w:tcPr>
          <w:p w14:paraId="1DCCFA2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3년차</w:t>
            </w:r>
          </w:p>
        </w:tc>
        <w:tc>
          <w:tcPr>
            <w:tcW w:w="3566" w:type="dxa"/>
            <w:tcBorders>
              <w:top w:val="single" w:sz="4" w:space="0" w:color="000000"/>
              <w:left w:val="single" w:sz="4" w:space="0" w:color="000000"/>
              <w:bottom w:val="single" w:sz="4" w:space="0" w:color="000000"/>
              <w:right w:val="single" w:sz="4" w:space="0" w:color="000000"/>
            </w:tcBorders>
            <w:vAlign w:val="center"/>
          </w:tcPr>
          <w:p w14:paraId="487B510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물품 서비스를 연다(2025년 물품 입찰 낙찰 13.2조원). 공사 규칙·모델에 착수한다. 대행 채널이 유료로 남으면 토큰 묶음 단가를 연다</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02464C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4</w:t>
            </w:r>
          </w:p>
        </w:tc>
        <w:tc>
          <w:tcPr>
            <w:tcW w:w="3025" w:type="dxa"/>
            <w:tcBorders>
              <w:top w:val="single" w:sz="4" w:space="0" w:color="000000"/>
              <w:left w:val="single" w:sz="4" w:space="0" w:color="000000"/>
              <w:bottom w:val="single" w:sz="4" w:space="0" w:color="000000"/>
              <w:right w:val="single" w:sz="4" w:space="0" w:color="000000"/>
            </w:tcBorders>
            <w:vAlign w:val="center"/>
          </w:tcPr>
          <w:p w14:paraId="372921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공사 공개, 다중 사용자·API</w:t>
            </w:r>
          </w:p>
        </w:tc>
        <w:tc>
          <w:tcPr>
            <w:tcW w:w="2392" w:type="dxa"/>
            <w:tcBorders>
              <w:top w:val="single" w:sz="4" w:space="0" w:color="000000"/>
              <w:left w:val="single" w:sz="4" w:space="0" w:color="000000"/>
              <w:bottom w:val="single" w:sz="4" w:space="0" w:color="000000"/>
              <w:right w:val="single" w:sz="4" w:space="0" w:color="000000"/>
            </w:tcBorders>
            <w:vAlign w:val="center"/>
          </w:tcPr>
          <w:p w14:paraId="0D67981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4년차(계획)</w:t>
            </w:r>
          </w:p>
        </w:tc>
        <w:tc>
          <w:tcPr>
            <w:tcW w:w="3566" w:type="dxa"/>
            <w:tcBorders>
              <w:top w:val="single" w:sz="4" w:space="0" w:color="000000"/>
              <w:left w:val="single" w:sz="4" w:space="0" w:color="000000"/>
              <w:bottom w:val="single" w:sz="4" w:space="0" w:color="000000"/>
              <w:right w:val="single" w:sz="4" w:space="0" w:color="000000"/>
            </w:tcBorders>
            <w:vAlign w:val="center"/>
          </w:tcPr>
          <w:p w14:paraId="75D56A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공사 적격심사 서비스를 연다(2025년 31.0조원). 다중 사용자 계정과 API 가격을 연다</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503409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5</w:t>
            </w:r>
          </w:p>
        </w:tc>
        <w:tc>
          <w:tcPr>
            <w:tcW w:w="3025" w:type="dxa"/>
            <w:tcBorders>
              <w:top w:val="single" w:sz="4" w:space="0" w:color="000000"/>
              <w:left w:val="single" w:sz="4" w:space="0" w:color="000000"/>
              <w:bottom w:val="single" w:sz="4" w:space="0" w:color="000000"/>
              <w:right w:val="single" w:sz="4" w:space="0" w:color="000000"/>
            </w:tcBorders>
            <w:vAlign w:val="center"/>
          </w:tcPr>
          <w:p w14:paraId="088FDA9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자체조달 기관</w:t>
            </w:r>
          </w:p>
        </w:tc>
        <w:tc>
          <w:tcPr>
            <w:tcW w:w="2392" w:type="dxa"/>
            <w:tcBorders>
              <w:top w:val="single" w:sz="4" w:space="0" w:color="000000"/>
              <w:left w:val="single" w:sz="4" w:space="0" w:color="000000"/>
              <w:bottom w:val="single" w:sz="4" w:space="0" w:color="000000"/>
              <w:right w:val="single" w:sz="4" w:space="0" w:color="000000"/>
            </w:tcBorders>
            <w:vAlign w:val="center"/>
          </w:tcPr>
          <w:p w14:paraId="566252D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5년차(계획)</w:t>
            </w:r>
          </w:p>
        </w:tc>
        <w:tc>
          <w:tcPr>
            <w:tcW w:w="3566" w:type="dxa"/>
            <w:tcBorders>
              <w:top w:val="single" w:sz="4" w:space="0" w:color="000000"/>
              <w:left w:val="single" w:sz="4" w:space="0" w:color="000000"/>
              <w:bottom w:val="single" w:sz="4" w:space="0" w:color="000000"/>
              <w:right w:val="single" w:sz="4" w:space="0" w:color="000000"/>
            </w:tcBorders>
            <w:vAlign w:val="center"/>
          </w:tcPr>
          <w:p w14:paraId="1044A2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나라장터 밖 자체조달 공고(2024년 80.0조원, 공공조달의 35.5%) 연동을 기관별로 검토한다</w:t>
            </w:r>
          </w:p>
        </w:tc>
      </w:tr>
    </w:tbl>
    <w:p>
      <w:pPr>
        <w:spacing w:before="40" w:after="60" w:line="240" w:lineRule="auto"/>
      </w:pPr>
      <w:r>
        <w:rPr>
          <w:rFonts w:ascii="맑은 고딕" w:hAnsi="맑은 고딕" w:eastAsia="맑은 고딕" w:cs="맑은 고딕"/>
          <w:color w:val="000000"/>
          <w:sz w:val="18"/>
          <w:szCs w:val="18"/>
        </w:rPr>
        <w:t xml:space="preserve">※ 4~5년차는 계획(안)이다. 공략 범위 금액은 고객이 따는 계약 금액이며 BidBox 매출이 아니다. 물품은 원문에 낙찰방법이 없어 입찰 낙찰 전체를 썼다. 1년차 금액은 면허 정보 수집분만 센 하한이다.</w:t>
      </w:r>
    </w:p>
    <w:p w14:paraId="2F6183D2">
      <w:pPr>
        <w:jc w:val="cente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5" name="Banner 4005" descr="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image15.png"/>
                    <pic:cNvPicPr/>
                  </pic:nvPicPr>
                  <pic:blipFill>
                    <a:blip r:embed="rId29"/>
                    <a:stretch>
                      <a:fillRect/>
                    </a:stretch>
                  </pic:blipFill>
                  <pic:spPr>
                    <a:xfrm>
                      <a:off x="0" y="0"/>
                      <a:ext cx="6120130" cy="455754"/>
                    </a:xfrm>
                    <a:prstGeom prst="rect">
                      <a:avLst/>
                    </a:prstGeom>
                  </pic:spPr>
                </pic:pic>
              </a:graphicData>
            </a:graphic>
          </wp:inline>
        </w:drawing>
      </w:r>
    </w:p>
    <w:p w14:paraId="42D8714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대표자는 용역 적격심사 규칙 206종을 시행일과 기관별로 정리하고, 용역 낙찰률 모델을 학습하고 검증하고 승격했다. 네 업종 목록, 회원 정량을 반영한 최저가·AI 예측가·최상가, 계산 차단, 근거 상담을 한 프로토타입으로 연결했다.</w:t>
      </w:r>
    </w:p>
    <w:p w14:paraId="771B7FF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그 규칙을 최근 12개월 31,305건에 적용해 자동 21,394건과 차단 9,911건을 확인했다. 상담 96개 요청에서 수치 정답 144/144를 확인했고, 예측 API 정본 P95는 동시 10요청 48.14ms다. 매출, 유료 고객, 외부 수상은 없다.</w:t>
      </w:r>
    </w:p>
    <w:p w14:paraId="7A6B0F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학위, 전공, 수행업무는 성명과 학교명, 직장명 없이 제출 전에 적는다. 고객 영업과 낙찰 현장 경험은 비어 있고, 그 공백은 2단계에 채용하는 입찰 실무 1명과 파일럿 검수로 메운다.</w:t>
      </w:r>
    </w:p>
    <w:p w14:paraId="12D4033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파일럿용 문구와 가입 흐름 정리는 1단계 외주에 넣었다. 변리 상담과 보안 점검은 사업비 항목의 가정이고, 자문 인력과 협력 기관은 확정되지 않았다.</w:t>
      </w:r>
    </w:p>
    <w:p w14:paraId="5A138864">
      <w:pPr>
        <w:keepNext/>
        <w:spacing w:before="216"/>
        <w:ind w:right="3972"/>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27"/>
          <w:sz w:val="26"/>
          <w:szCs w:val="26"/>
        </w:rPr>
        <w:t xml:space="preserve"> </w:t>
      </w:r>
      <w:r>
        <w:rPr>
          <w:rFonts w:ascii="맑은 고딕" w:hAnsi="맑은 고딕" w:eastAsia="맑은 고딕" w:cs="맑은 고딕"/>
          <w:sz w:val="26"/>
          <w:szCs w:val="26"/>
        </w:rPr>
        <w:t>팀</w:t>
      </w:r>
      <w:r>
        <w:rPr>
          <w:rFonts w:ascii="맑은 고딕" w:hAnsi="맑은 고딕" w:eastAsia="맑은 고딕" w:cs="맑은 고딕"/>
          <w:sz w:val="26"/>
          <w:szCs w:val="26"/>
        </w:rPr>
        <w:t xml:space="preserve"> </w:t>
      </w:r>
      <w:r>
        <w:rPr>
          <w:rFonts w:ascii="맑은 고딕" w:hAnsi="맑은 고딕" w:eastAsia="맑은 고딕" w:cs="맑은 고딕"/>
          <w:sz w:val="26"/>
          <w:szCs w:val="26"/>
        </w:rPr>
        <w:t>구성</w:t>
      </w:r>
      <w:r>
        <w:rPr>
          <w:rFonts w:ascii="맑은 고딕" w:hAnsi="맑은 고딕" w:eastAsia="맑은 고딕" w:cs="맑은 고딕"/>
          <w:sz w:val="26"/>
          <w:szCs w:val="26"/>
        </w:rPr>
        <w:t>(</w:t>
      </w:r>
      <w:r>
        <w:rPr>
          <w:rFonts w:ascii="맑은 고딕" w:hAnsi="맑은 고딕" w:eastAsia="맑은 고딕" w:cs="맑은 고딕"/>
          <w:sz w:val="26"/>
          <w:szCs w:val="26"/>
        </w:rPr>
        <w:t>안</w:t>
      </w:r>
      <w:r>
        <w:rPr>
          <w:rFonts w:ascii="맑은 고딕" w:hAnsi="맑은 고딕" w:eastAsia="맑은 고딕" w:cs="맑은 고딕"/>
          <w:sz w:val="26"/>
          <w:szCs w:val="26"/>
        </w:rPr>
        <w:t>)</w:t>
      </w:r>
      <w:r>
        <w:rPr>
          <w:rFonts w:ascii="맑은 고딕" w:hAnsi="맑은 고딕" w:eastAsia="맑은 고딕" w:cs="맑은 고딕"/>
          <w:spacing w:val="26"/>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5"/>
        <w:gridCol w:w="1321"/>
        <w:gridCol w:w="1792"/>
        <w:gridCol w:w="4375"/>
        <w:gridCol w:w="1505"/>
      </w:tblGrid>
      <w:tr>
        <w:trPr>
          <w:cantSplit/>
          <w:tblHeader/>
          <w:trHeight w:val="410" w:hRule="atLeast"/>
        </w:trPr>
        <w:tc>
          <w:tcPr>
            <w:tcW w:w="645" w:type="dxa"/>
            <w:tcBorders>
              <w:top w:val="single" w:sz="4" w:space="0" w:color="000000"/>
              <w:left w:val="single" w:sz="4" w:space="0" w:color="000000"/>
              <w:bottom w:val="double" w:sz="4" w:space="0" w:color="000000"/>
              <w:right w:val="single" w:sz="4" w:space="0" w:color="000000"/>
            </w:tcBorders>
            <w:shd w:val="clear" w:fill="D8D8D8"/>
            <w:vAlign w:val="center"/>
          </w:tcPr>
          <w:p w14:paraId="23030EF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321" w:type="dxa"/>
            <w:tcBorders>
              <w:top w:val="single" w:sz="4" w:space="0" w:color="000000"/>
              <w:left w:val="single" w:sz="4" w:space="0" w:color="000000"/>
              <w:bottom w:val="double" w:sz="4" w:space="0" w:color="000000"/>
              <w:right w:val="single" w:sz="4" w:space="0" w:color="000000"/>
            </w:tcBorders>
            <w:shd w:val="clear" w:fill="D8D8D8"/>
            <w:vAlign w:val="center"/>
          </w:tcPr>
          <w:p w14:paraId="189A517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직위</w:t>
            </w:r>
          </w:p>
        </w:tc>
        <w:tc>
          <w:tcPr>
            <w:tcW w:w="1792" w:type="dxa"/>
            <w:tcBorders>
              <w:top w:val="single" w:sz="4" w:space="0" w:color="000000"/>
              <w:left w:val="single" w:sz="4" w:space="0" w:color="000000"/>
              <w:bottom w:val="double" w:sz="4" w:space="0" w:color="000000"/>
              <w:right w:val="single" w:sz="4" w:space="0" w:color="000000"/>
            </w:tcBorders>
            <w:shd w:val="clear" w:fill="D8D8D8"/>
            <w:vAlign w:val="center"/>
          </w:tcPr>
          <w:p w14:paraId="33DE1E1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담당</w:t>
            </w:r>
            <w:r>
              <w:rPr>
                <w:rFonts w:ascii="맑은 고딕" w:hAnsi="맑은 고딕" w:eastAsia="맑은 고딕" w:cs="맑은 고딕"/>
                <w:b/>
                <w:bCs/>
                <w:spacing w:val="29"/>
                <w:sz w:val="20"/>
                <w:szCs w:val="20"/>
              </w:rPr>
              <w:t xml:space="preserve"> </w:t>
            </w:r>
            <w:r>
              <w:rPr>
                <w:rFonts w:ascii="맑은 고딕" w:hAnsi="맑은 고딕" w:eastAsia="맑은 고딕" w:cs="맑은 고딕"/>
                <w:b/>
                <w:bCs/>
                <w:sz w:val="20"/>
                <w:szCs w:val="20"/>
              </w:rPr>
              <w:t>업무</w:t>
            </w:r>
          </w:p>
        </w:tc>
        <w:tc>
          <w:tcPr>
            <w:tcW w:w="4375" w:type="dxa"/>
            <w:tcBorders>
              <w:top w:val="single" w:sz="4" w:space="0" w:color="000000"/>
              <w:left w:val="single" w:sz="4" w:space="0" w:color="000000"/>
              <w:bottom w:val="double" w:sz="4" w:space="0" w:color="000000"/>
              <w:right w:val="single" w:sz="4" w:space="0" w:color="000000"/>
            </w:tcBorders>
            <w:shd w:val="clear" w:fill="D8D8D8"/>
            <w:vAlign w:val="center"/>
          </w:tcPr>
          <w:p w14:paraId="6343C98F">
            <w:pPr>
              <w:pStyle w:val="TableParagraph"/>
              <w:keepNext/>
              <w:spacing w:line="240" w:lineRule="auto"/>
              <w:jc w:val="center"/>
              <w:rPr>
                <w:rFonts w:ascii="맑은 고딕" w:hAnsi="맑은 고딕" w:eastAsia="맑은 고딕" w:cs="맑은 고딕"/>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r>
              <w:rPr>
                <w:rFonts w:ascii="맑은 고딕" w:hAnsi="맑은 고딕" w:eastAsia="맑은 고딕" w:cs="맑은 고딕"/>
                <w:sz w:val="20"/>
                <w:szCs w:val="20"/>
              </w:rPr>
              <w:t>(</w:t>
            </w:r>
            <w:r>
              <w:rPr>
                <w:rFonts w:ascii="맑은 고딕" w:hAnsi="맑은 고딕" w:eastAsia="맑은 고딕" w:cs="맑은 고딕"/>
                <w:b/>
                <w:bCs/>
                <w:sz w:val="20"/>
                <w:szCs w:val="20"/>
              </w:rPr>
              <w:t>경력</w:t>
            </w:r>
            <w:r>
              <w:rPr>
                <w:rFonts w:ascii="맑은 고딕" w:hAnsi="맑은 고딕" w:eastAsia="맑은 고딕" w:cs="맑은 고딕"/>
                <w:b/>
                <w:bCs/>
                <w:spacing w:val="53"/>
                <w:sz w:val="20"/>
                <w:szCs w:val="20"/>
              </w:rPr>
              <w:t xml:space="preserve"> </w:t>
            </w:r>
            <w:r>
              <w:rPr>
                <w:rFonts w:ascii="맑은 고딕" w:hAnsi="맑은 고딕" w:eastAsia="맑은 고딕" w:cs="맑은 고딕"/>
                <w:b/>
                <w:bCs/>
                <w:sz w:val="20"/>
                <w:szCs w:val="20"/>
              </w:rPr>
              <w:t>및</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학력</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등</w:t>
            </w:r>
            <w:r>
              <w:rPr>
                <w:rFonts w:ascii="맑은 고딕" w:hAnsi="맑은 고딕" w:eastAsia="맑은 고딕" w:cs="맑은 고딕"/>
                <w:sz w:val="20"/>
                <w:szCs w:val="20"/>
              </w:rPr>
              <w:t>)</w:t>
            </w:r>
          </w:p>
        </w:tc>
        <w:tc>
          <w:tcPr>
            <w:tcW w:w="1505" w:type="dxa"/>
            <w:tcBorders>
              <w:top w:val="single" w:sz="4" w:space="0" w:color="000000"/>
              <w:left w:val="single" w:sz="4" w:space="0" w:color="000000"/>
              <w:bottom w:val="double" w:sz="4" w:space="0" w:color="000000"/>
              <w:right w:val="single" w:sz="4" w:space="0" w:color="000000"/>
            </w:tcBorders>
            <w:shd w:val="clear" w:fill="D8D8D8"/>
            <w:vAlign w:val="center"/>
          </w:tcPr>
          <w:p w14:paraId="77297C4E">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구성</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상태</w:t>
            </w:r>
          </w:p>
        </w:tc>
      </w:tr>
      <w:tr>
        <w:trPr>
          <w:cantSplit/>
          <w:trHeight w:val="390" w:hRule="atLeast"/>
        </w:trPr>
        <w:tc>
          <w:tcPr>
            <w:tcW w:w="645" w:type="dxa"/>
            <w:tcBorders>
              <w:top w:val="double" w:sz="4" w:space="0" w:color="000000"/>
              <w:left w:val="single" w:sz="4" w:space="0" w:color="000000"/>
              <w:bottom w:val="single" w:sz="4" w:space="0" w:color="000000"/>
              <w:right w:val="single" w:sz="4" w:space="0" w:color="000000"/>
            </w:tcBorders>
            <w:vAlign w:val="center"/>
          </w:tcPr>
          <w:p w14:paraId="36483D4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21" w:type="dxa"/>
            <w:tcBorders>
              <w:top w:val="double" w:sz="4" w:space="0" w:color="000000"/>
              <w:left w:val="single" w:sz="4" w:space="0" w:color="000000"/>
              <w:bottom w:val="single" w:sz="4" w:space="0" w:color="000000"/>
              <w:right w:val="single" w:sz="4" w:space="0" w:color="000000"/>
            </w:tcBorders>
            <w:vAlign w:val="center"/>
          </w:tcPr>
          <w:p w14:paraId="1AC00AB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double" w:sz="4" w:space="0" w:color="000000"/>
              <w:left w:val="single" w:sz="4" w:space="0" w:color="000000"/>
              <w:bottom w:val="single" w:sz="4" w:space="0" w:color="000000"/>
              <w:right w:val="single" w:sz="4" w:space="0" w:color="000000"/>
            </w:tcBorders>
            <w:vAlign w:val="center"/>
          </w:tcPr>
          <w:p w14:paraId="32B3E5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75" w:type="dxa"/>
            <w:tcBorders>
              <w:top w:val="double" w:sz="4" w:space="0" w:color="000000"/>
              <w:left w:val="single" w:sz="4" w:space="0" w:color="000000"/>
              <w:bottom w:val="single" w:sz="4" w:space="0" w:color="000000"/>
              <w:right w:val="single" w:sz="4" w:space="0" w:color="000000"/>
            </w:tcBorders>
            <w:vAlign w:val="center"/>
          </w:tcPr>
          <w:p w14:paraId="2E47C70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double" w:sz="4" w:space="0" w:color="000000"/>
              <w:left w:val="single" w:sz="4" w:space="0" w:color="000000"/>
              <w:bottom w:val="single" w:sz="4" w:space="0" w:color="000000"/>
              <w:right w:val="single" w:sz="4" w:space="0" w:color="000000"/>
            </w:tcBorders>
            <w:vAlign w:val="center"/>
          </w:tcPr>
          <w:p w14:paraId="6014DCF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60A51A5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5B2C6AB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7CFCC48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2C93D31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1E826B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3CC23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3917A23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318429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79F8DD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203BADD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6C845835">
      <w:pPr>
        <w:keepNext/>
        <w:spacing w:before="1"/>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4"/>
          <w:sz w:val="26"/>
          <w:szCs w:val="26"/>
        </w:rPr>
        <w:t xml:space="preserve"> </w:t>
      </w:r>
      <w:r>
        <w:rPr>
          <w:rFonts w:ascii="맑은 고딕" w:hAnsi="맑은 고딕" w:eastAsia="맑은 고딕" w:cs="맑은 고딕"/>
          <w:sz w:val="26"/>
          <w:szCs w:val="26"/>
        </w:rPr>
        <w:t>협력</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기관</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현황</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및</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협업</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방안</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2"/>
        <w:gridCol w:w="1842"/>
        <w:gridCol w:w="2944"/>
        <w:gridCol w:w="2435"/>
        <w:gridCol w:w="1775"/>
      </w:tblGrid>
      <w:tr>
        <w:trPr>
          <w:cantSplit/>
          <w:tblHeader/>
          <w:trHeight w:val="371" w:hRule="atLeast"/>
        </w:trPr>
        <w:tc>
          <w:tcPr>
            <w:tcW w:w="642" w:type="dxa"/>
            <w:tcBorders>
              <w:top w:val="single" w:sz="4" w:space="0" w:color="000000"/>
              <w:left w:val="single" w:sz="4" w:space="0" w:color="000000"/>
              <w:bottom w:val="double" w:sz="4" w:space="0" w:color="000000"/>
              <w:right w:val="single" w:sz="4" w:space="0" w:color="000000"/>
            </w:tcBorders>
            <w:shd w:val="clear" w:fill="D8D8D8"/>
            <w:vAlign w:val="center"/>
          </w:tcPr>
          <w:p w14:paraId="0941F081">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842" w:type="dxa"/>
            <w:tcBorders>
              <w:top w:val="single" w:sz="4" w:space="0" w:color="000000"/>
              <w:left w:val="single" w:sz="4" w:space="0" w:color="000000"/>
              <w:bottom w:val="double" w:sz="4" w:space="0" w:color="000000"/>
              <w:right w:val="single" w:sz="4" w:space="0" w:color="000000"/>
            </w:tcBorders>
            <w:shd w:val="clear" w:fill="D8D8D8"/>
            <w:vAlign w:val="center"/>
          </w:tcPr>
          <w:p w14:paraId="76A780B4">
            <w:pPr>
              <w:pStyle w:val="TableParagraph"/>
              <w:keepNext/>
              <w:spacing w:line="240" w:lineRule="auto"/>
              <w:rPr>
                <w:rFonts w:ascii="맑은 고딕" w:hAnsi="맑은 고딕" w:eastAsia="맑은 고딕" w:cs="맑은 고딕"/>
                <w:b/>
                <w:sz w:val="20"/>
                <w:szCs w:val="20"/>
              </w:rPr>
            </w:pPr>
            <w:r>
              <w:rPr>
                <w:rFonts w:ascii="맑은 고딕" w:hAnsi="맑은 고딕" w:eastAsia="맑은 고딕" w:cs="맑은 고딕"/>
                <w:b/>
                <w:bCs/>
                <w:sz w:val="20"/>
                <w:szCs w:val="20"/>
              </w:rPr>
              <w:t>파트너명</w:t>
            </w:r>
          </w:p>
        </w:tc>
        <w:tc>
          <w:tcPr>
            <w:tcW w:w="2944" w:type="dxa"/>
            <w:tcBorders>
              <w:top w:val="single" w:sz="4" w:space="0" w:color="000000"/>
              <w:left w:val="single" w:sz="4" w:space="0" w:color="000000"/>
              <w:bottom w:val="double" w:sz="4" w:space="0" w:color="000000"/>
              <w:right w:val="single" w:sz="4" w:space="0" w:color="000000"/>
            </w:tcBorders>
            <w:shd w:val="clear" w:fill="D8D8D8"/>
            <w:vAlign w:val="center"/>
          </w:tcPr>
          <w:p w14:paraId="75E7A31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p>
        </w:tc>
        <w:tc>
          <w:tcPr>
            <w:tcW w:w="2435" w:type="dxa"/>
            <w:tcBorders>
              <w:top w:val="single" w:sz="4" w:space="0" w:color="000000"/>
              <w:left w:val="single" w:sz="4" w:space="0" w:color="000000"/>
              <w:bottom w:val="double" w:sz="4" w:space="0" w:color="000000"/>
              <w:right w:val="single" w:sz="4" w:space="0" w:color="000000"/>
            </w:tcBorders>
            <w:shd w:val="clear" w:fill="D8D8D8"/>
            <w:vAlign w:val="center"/>
          </w:tcPr>
          <w:p w14:paraId="5ADAB7B2">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협업</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방안</w:t>
            </w:r>
          </w:p>
        </w:tc>
        <w:tc>
          <w:tcPr>
            <w:tcW w:w="1775" w:type="dxa"/>
            <w:tcBorders>
              <w:top w:val="single" w:sz="4" w:space="0" w:color="000000"/>
              <w:left w:val="single" w:sz="4" w:space="0" w:color="000000"/>
              <w:bottom w:val="double" w:sz="4" w:space="0" w:color="000000"/>
              <w:right w:val="single" w:sz="4" w:space="0" w:color="000000"/>
            </w:tcBorders>
            <w:shd w:val="clear" w:fill="D8D8D8"/>
            <w:vAlign w:val="center"/>
          </w:tcPr>
          <w:p w14:paraId="134A2778">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협력</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시기</w:t>
            </w:r>
          </w:p>
        </w:tc>
      </w:tr>
      <w:tr>
        <w:trPr>
          <w:cantSplit/>
          <w:trHeight w:val="352" w:hRule="atLeast"/>
        </w:trPr>
        <w:tc>
          <w:tcPr>
            <w:tcW w:w="642" w:type="dxa"/>
            <w:tcBorders>
              <w:top w:val="double" w:sz="4" w:space="0" w:color="000000"/>
              <w:left w:val="single" w:sz="4" w:space="0" w:color="000000"/>
              <w:bottom w:val="single" w:sz="4" w:space="0" w:color="000000"/>
              <w:right w:val="single" w:sz="4" w:space="0" w:color="000000"/>
            </w:tcBorders>
            <w:vAlign w:val="center"/>
          </w:tcPr>
          <w:p w14:paraId="2BA5C0C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double" w:sz="4" w:space="0" w:color="000000"/>
              <w:left w:val="single" w:sz="4" w:space="0" w:color="000000"/>
              <w:bottom w:val="single" w:sz="4" w:space="0" w:color="000000"/>
              <w:right w:val="single" w:sz="4" w:space="0" w:color="000000"/>
            </w:tcBorders>
            <w:vAlign w:val="center"/>
          </w:tcPr>
          <w:p w14:paraId="2C0C23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double" w:sz="4" w:space="0" w:color="000000"/>
              <w:left w:val="single" w:sz="4" w:space="0" w:color="000000"/>
              <w:bottom w:val="single" w:sz="4" w:space="0" w:color="000000"/>
              <w:right w:val="single" w:sz="4" w:space="0" w:color="000000"/>
            </w:tcBorders>
            <w:vAlign w:val="center"/>
          </w:tcPr>
          <w:p w14:paraId="7264C4E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double" w:sz="4" w:space="0" w:color="000000"/>
              <w:left w:val="single" w:sz="4" w:space="0" w:color="000000"/>
              <w:bottom w:val="single" w:sz="4" w:space="0" w:color="000000"/>
              <w:right w:val="single" w:sz="4" w:space="0" w:color="000000"/>
            </w:tcBorders>
            <w:vAlign w:val="center"/>
          </w:tcPr>
          <w:p w14:paraId="295F76E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double" w:sz="4" w:space="0" w:color="000000"/>
              <w:left w:val="single" w:sz="4" w:space="0" w:color="000000"/>
              <w:bottom w:val="single" w:sz="4" w:space="0" w:color="000000"/>
              <w:right w:val="single" w:sz="4" w:space="0" w:color="000000"/>
            </w:tcBorders>
            <w:vAlign w:val="center"/>
          </w:tcPr>
          <w:p w14:paraId="5FCA2F0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D3507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0878F03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174B46A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608CD0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60D3252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CA0099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2FCD280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7F4A93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7745A8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08F34AD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sectPr>
      <w:type w:val="continuous"/>
      <w:pgSz w:w="11906" w:h="16838"/>
      <w:pgMar w:top="1701" w:right="1134" w:bottom="1701"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 xml:space="preserve">PAGE   \* MERGEFORMAT</w:instrText>
        </w:r>
        <w:r>
          <w:fldChar w:fldCharType="separate"/>
        </w:r>
        <w: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ba608f32">
      <w:numFmt w:val="bullet"/>
      <w:lvlText w:val="•"/>
      <w:lvlJc w:val="left"/>
      <w:pPr>
        <w:ind w:left="1145" w:hanging="200"/>
      </w:pPr>
      <w:rPr>
        <w:lang w:val="en-US" w:eastAsia="ko-KR" w:bidi="ar-SA"/>
        <w:rFonts w:ascii="맑은 고딕" w:hAnsi="맑은 고딕" w:eastAsia="맑은 고딕" w:cs="맑은 고딕"/>
      </w:rPr>
    </w:lvl>
    <w:lvl w:ilvl="2" w:tplc="ea02de76">
      <w:numFmt w:val="bullet"/>
      <w:lvlText w:val="•"/>
      <w:lvlJc w:val="left"/>
      <w:pPr>
        <w:ind w:left="1871" w:hanging="200"/>
      </w:pPr>
      <w:rPr>
        <w:lang w:val="en-US" w:eastAsia="ko-KR" w:bidi="ar-SA"/>
        <w:rFonts w:ascii="맑은 고딕" w:hAnsi="맑은 고딕" w:eastAsia="맑은 고딕" w:cs="맑은 고딕"/>
      </w:rPr>
    </w:lvl>
    <w:lvl w:ilvl="3" w:tplc="af81676">
      <w:numFmt w:val="bullet"/>
      <w:lvlText w:val="•"/>
      <w:lvlJc w:val="left"/>
      <w:pPr>
        <w:ind w:left="2597" w:hanging="200"/>
      </w:pPr>
      <w:rPr>
        <w:lang w:val="en-US" w:eastAsia="ko-KR" w:bidi="ar-SA"/>
        <w:rFonts w:ascii="맑은 고딕" w:hAnsi="맑은 고딕" w:eastAsia="맑은 고딕" w:cs="맑은 고딕"/>
      </w:rPr>
    </w:lvl>
    <w:lvl w:ilvl="4" w:tplc="57ef0e0">
      <w:numFmt w:val="bullet"/>
      <w:lvlText w:val="•"/>
      <w:lvlJc w:val="left"/>
      <w:pPr>
        <w:ind w:left="3322" w:hanging="200"/>
      </w:pPr>
      <w:rPr>
        <w:lang w:val="en-US" w:eastAsia="ko-KR" w:bidi="ar-SA"/>
        <w:rFonts w:ascii="맑은 고딕" w:hAnsi="맑은 고딕" w:eastAsia="맑은 고딕" w:cs="맑은 고딕"/>
      </w:rPr>
    </w:lvl>
    <w:lvl w:ilvl="5" w:tplc="61b023ec">
      <w:numFmt w:val="bullet"/>
      <w:lvlText w:val="•"/>
      <w:lvlJc w:val="left"/>
      <w:pPr>
        <w:ind w:left="4048" w:hanging="200"/>
      </w:pPr>
      <w:rPr>
        <w:lang w:val="en-US" w:eastAsia="ko-KR" w:bidi="ar-SA"/>
        <w:rFonts w:ascii="맑은 고딕" w:hAnsi="맑은 고딕" w:eastAsia="맑은 고딕" w:cs="맑은 고딕"/>
      </w:rPr>
    </w:lvl>
    <w:lvl w:ilvl="6" w:tplc="8c344960">
      <w:numFmt w:val="bullet"/>
      <w:lvlText w:val="•"/>
      <w:lvlJc w:val="left"/>
      <w:pPr>
        <w:ind w:left="4774" w:hanging="200"/>
      </w:pPr>
      <w:rPr>
        <w:lang w:val="en-US" w:eastAsia="ko-KR" w:bidi="ar-SA"/>
        <w:rFonts w:ascii="맑은 고딕" w:hAnsi="맑은 고딕" w:eastAsia="맑은 고딕" w:cs="맑은 고딕"/>
      </w:rPr>
    </w:lvl>
    <w:lvl w:ilvl="7" w:tplc="62c8f566">
      <w:numFmt w:val="bullet"/>
      <w:lvlText w:val="•"/>
      <w:lvlJc w:val="left"/>
      <w:pPr>
        <w:ind w:left="5499" w:hanging="200"/>
      </w:pPr>
      <w:rPr>
        <w:lang w:val="en-US" w:eastAsia="ko-KR" w:bidi="ar-SA"/>
        <w:rFonts w:ascii="맑은 고딕" w:hAnsi="맑은 고딕" w:eastAsia="맑은 고딕" w:cs="맑은 고딕"/>
      </w:rPr>
    </w:lvl>
    <w:lvl w:ilvl="8" w:tplc="fe2ecf52">
      <w:numFmt w:val="bullet"/>
      <w:lvlText w:val="•"/>
      <w:lvlJc w:val="left"/>
      <w:pPr>
        <w:ind w:left="6225" w:hanging="200"/>
      </w:pPr>
      <w:rPr>
        <w:lang w:val="en-US" w:eastAsia="ko-KR" w:bidi="ar-SA"/>
        <w:rFonts w:ascii="맑은 고딕" w:hAnsi="맑은 고딕" w:eastAsia="맑은 고딕" w:cs="맑은 고딕"/>
      </w:rPr>
    </w:lvl>
  </w:abstractNum>
  <w:abstractNum w:abstractNumId="1">
    <w:nsid w:val="60b1027"/>
    <w:multiLevelType w:val="hybridMultilevel"/>
    <w:tmpl w:val="b63c9cde"/>
    <w:lvl w:ilvl="0" w:tplc="7fe4cd4e">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aaaac7f8">
      <w:numFmt w:val="bullet"/>
      <w:lvlText w:val="•"/>
      <w:lvlJc w:val="left"/>
      <w:pPr>
        <w:ind w:left="1145" w:hanging="200"/>
      </w:pPr>
      <w:rPr>
        <w:lang w:val="en-US" w:eastAsia="ko-KR" w:bidi="ar-SA"/>
        <w:rFonts w:ascii="맑은 고딕" w:hAnsi="맑은 고딕" w:eastAsia="맑은 고딕" w:cs="맑은 고딕"/>
      </w:rPr>
    </w:lvl>
    <w:lvl w:ilvl="2" w:tplc="19ce5ff6">
      <w:numFmt w:val="bullet"/>
      <w:lvlText w:val="•"/>
      <w:lvlJc w:val="left"/>
      <w:pPr>
        <w:ind w:left="1871" w:hanging="200"/>
      </w:pPr>
      <w:rPr>
        <w:lang w:val="en-US" w:eastAsia="ko-KR" w:bidi="ar-SA"/>
        <w:rFonts w:ascii="맑은 고딕" w:hAnsi="맑은 고딕" w:eastAsia="맑은 고딕" w:cs="맑은 고딕"/>
      </w:rPr>
    </w:lvl>
    <w:lvl w:ilvl="3" w:tplc="da0a3afc">
      <w:numFmt w:val="bullet"/>
      <w:lvlText w:val="•"/>
      <w:lvlJc w:val="left"/>
      <w:pPr>
        <w:ind w:left="2597" w:hanging="200"/>
      </w:pPr>
      <w:rPr>
        <w:lang w:val="en-US" w:eastAsia="ko-KR" w:bidi="ar-SA"/>
        <w:rFonts w:ascii="맑은 고딕" w:hAnsi="맑은 고딕" w:eastAsia="맑은 고딕" w:cs="맑은 고딕"/>
      </w:rPr>
    </w:lvl>
    <w:lvl w:ilvl="4" w:tplc="30989980">
      <w:numFmt w:val="bullet"/>
      <w:lvlText w:val="•"/>
      <w:lvlJc w:val="left"/>
      <w:pPr>
        <w:ind w:left="3322" w:hanging="200"/>
      </w:pPr>
      <w:rPr>
        <w:lang w:val="en-US" w:eastAsia="ko-KR" w:bidi="ar-SA"/>
        <w:rFonts w:ascii="맑은 고딕" w:hAnsi="맑은 고딕" w:eastAsia="맑은 고딕" w:cs="맑은 고딕"/>
      </w:rPr>
    </w:lvl>
    <w:lvl w:ilvl="5" w:tplc="3da8c216">
      <w:numFmt w:val="bullet"/>
      <w:lvlText w:val="•"/>
      <w:lvlJc w:val="left"/>
      <w:pPr>
        <w:ind w:left="4048" w:hanging="200"/>
      </w:pPr>
      <w:rPr>
        <w:lang w:val="en-US" w:eastAsia="ko-KR" w:bidi="ar-SA"/>
        <w:rFonts w:ascii="맑은 고딕" w:hAnsi="맑은 고딕" w:eastAsia="맑은 고딕" w:cs="맑은 고딕"/>
      </w:rPr>
    </w:lvl>
    <w:lvl w:ilvl="6" w:tplc="6f7691a4">
      <w:numFmt w:val="bullet"/>
      <w:lvlText w:val="•"/>
      <w:lvlJc w:val="left"/>
      <w:pPr>
        <w:ind w:left="4774" w:hanging="200"/>
      </w:pPr>
      <w:rPr>
        <w:lang w:val="en-US" w:eastAsia="ko-KR" w:bidi="ar-SA"/>
        <w:rFonts w:ascii="맑은 고딕" w:hAnsi="맑은 고딕" w:eastAsia="맑은 고딕" w:cs="맑은 고딕"/>
      </w:rPr>
    </w:lvl>
    <w:lvl w:ilvl="7" w:tplc="b5ccc9ee">
      <w:numFmt w:val="bullet"/>
      <w:lvlText w:val="•"/>
      <w:lvlJc w:val="left"/>
      <w:pPr>
        <w:ind w:left="5499" w:hanging="200"/>
      </w:pPr>
      <w:rPr>
        <w:lang w:val="en-US" w:eastAsia="ko-KR" w:bidi="ar-SA"/>
        <w:rFonts w:ascii="맑은 고딕" w:hAnsi="맑은 고딕" w:eastAsia="맑은 고딕" w:cs="맑은 고딕"/>
      </w:rPr>
    </w:lvl>
    <w:lvl w:ilvl="8" w:tplc="5f98d482">
      <w:numFmt w:val="bullet"/>
      <w:lvlText w:val="•"/>
      <w:lvlJc w:val="left"/>
      <w:pPr>
        <w:ind w:left="6225" w:hanging="200"/>
      </w:pPr>
      <w:rPr>
        <w:lang w:val="en-US" w:eastAsia="ko-KR" w:bidi="ar-SA"/>
        <w:rFonts w:ascii="맑은 고딕" w:hAnsi="맑은 고딕" w:eastAsia="맑은 고딕" w:cs="맑은 고딕"/>
      </w:rPr>
    </w:lvl>
  </w:abstractNum>
  <w:abstractNum w:abstractNumId="2">
    <w:nsid w:val="666b73e7"/>
    <w:multiLevelType w:val="hybridMultilevel"/>
    <w:tmpl w:val="5fea23a0"/>
    <w:lvl w:ilvl="0" w:tplc="2a240f4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9b0e824">
      <w:numFmt w:val="bullet"/>
      <w:lvlText w:val="•"/>
      <w:lvlJc w:val="left"/>
      <w:pPr>
        <w:ind w:left="1145" w:hanging="200"/>
      </w:pPr>
      <w:rPr>
        <w:lang w:val="en-US" w:eastAsia="ko-KR" w:bidi="ar-SA"/>
        <w:rFonts w:ascii="맑은 고딕" w:hAnsi="맑은 고딕" w:eastAsia="맑은 고딕" w:cs="맑은 고딕"/>
      </w:rPr>
    </w:lvl>
    <w:lvl w:ilvl="2" w:tplc="62025790">
      <w:numFmt w:val="bullet"/>
      <w:lvlText w:val="•"/>
      <w:lvlJc w:val="left"/>
      <w:pPr>
        <w:ind w:left="1871" w:hanging="200"/>
      </w:pPr>
      <w:rPr>
        <w:lang w:val="en-US" w:eastAsia="ko-KR" w:bidi="ar-SA"/>
        <w:rFonts w:ascii="맑은 고딕" w:hAnsi="맑은 고딕" w:eastAsia="맑은 고딕" w:cs="맑은 고딕"/>
      </w:rPr>
    </w:lvl>
    <w:lvl w:ilvl="3" w:tplc="9424d476">
      <w:numFmt w:val="bullet"/>
      <w:lvlText w:val="•"/>
      <w:lvlJc w:val="left"/>
      <w:pPr>
        <w:ind w:left="2597" w:hanging="200"/>
      </w:pPr>
      <w:rPr>
        <w:lang w:val="en-US" w:eastAsia="ko-KR" w:bidi="ar-SA"/>
        <w:rFonts w:ascii="맑은 고딕" w:hAnsi="맑은 고딕" w:eastAsia="맑은 고딕" w:cs="맑은 고딕"/>
      </w:rPr>
    </w:lvl>
    <w:lvl w:ilvl="4" w:tplc="56046ed4">
      <w:numFmt w:val="bullet"/>
      <w:lvlText w:val="•"/>
      <w:lvlJc w:val="left"/>
      <w:pPr>
        <w:ind w:left="3322" w:hanging="200"/>
      </w:pPr>
      <w:rPr>
        <w:lang w:val="en-US" w:eastAsia="ko-KR" w:bidi="ar-SA"/>
        <w:rFonts w:ascii="맑은 고딕" w:hAnsi="맑은 고딕" w:eastAsia="맑은 고딕" w:cs="맑은 고딕"/>
      </w:rPr>
    </w:lvl>
    <w:lvl w:ilvl="5" w:tplc="59380e64">
      <w:numFmt w:val="bullet"/>
      <w:lvlText w:val="•"/>
      <w:lvlJc w:val="left"/>
      <w:pPr>
        <w:ind w:left="4048" w:hanging="200"/>
      </w:pPr>
      <w:rPr>
        <w:lang w:val="en-US" w:eastAsia="ko-KR" w:bidi="ar-SA"/>
        <w:rFonts w:ascii="맑은 고딕" w:hAnsi="맑은 고딕" w:eastAsia="맑은 고딕" w:cs="맑은 고딕"/>
      </w:rPr>
    </w:lvl>
    <w:lvl w:ilvl="6" w:tplc="544098a6">
      <w:numFmt w:val="bullet"/>
      <w:lvlText w:val="•"/>
      <w:lvlJc w:val="left"/>
      <w:pPr>
        <w:ind w:left="4774" w:hanging="200"/>
      </w:pPr>
      <w:rPr>
        <w:lang w:val="en-US" w:eastAsia="ko-KR" w:bidi="ar-SA"/>
        <w:rFonts w:ascii="맑은 고딕" w:hAnsi="맑은 고딕" w:eastAsia="맑은 고딕" w:cs="맑은 고딕"/>
      </w:rPr>
    </w:lvl>
    <w:lvl w:ilvl="7" w:tplc="bddea406">
      <w:numFmt w:val="bullet"/>
      <w:lvlText w:val="•"/>
      <w:lvlJc w:val="left"/>
      <w:pPr>
        <w:ind w:left="5499" w:hanging="200"/>
      </w:pPr>
      <w:rPr>
        <w:lang w:val="en-US" w:eastAsia="ko-KR" w:bidi="ar-SA"/>
        <w:rFonts w:ascii="맑은 고딕" w:hAnsi="맑은 고딕" w:eastAsia="맑은 고딕" w:cs="맑은 고딕"/>
      </w:rPr>
    </w:lvl>
    <w:lvl w:ilvl="8" w:tplc="29447402">
      <w:numFmt w:val="bullet"/>
      <w:lvlText w:val="•"/>
      <w:lvlJc w:val="left"/>
      <w:pPr>
        <w:ind w:left="6225" w:hanging="200"/>
      </w:pPr>
      <w:rPr>
        <w:lang w:val="en-US" w:eastAsia="ko-KR" w:bidi="ar-SA"/>
        <w:rFonts w:ascii="맑은 고딕" w:hAnsi="맑은 고딕" w:eastAsia="맑은 고딕" w:cs="맑은 고딕"/>
      </w:rPr>
    </w:lvl>
  </w:abstractNum>
  <w:abstractNum w:abstractNumId="3">
    <w:nsid w:val="144303d9"/>
    <w:multiLevelType w:val="hybridMultilevel"/>
    <w:tmpl w:val="8fd0af3c"/>
    <w:lvl w:ilvl="0" w:tplc="540eac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f8324fc4">
      <w:numFmt w:val="bullet"/>
      <w:lvlText w:val="•"/>
      <w:lvlJc w:val="left"/>
      <w:pPr>
        <w:ind w:left="1145" w:hanging="200"/>
      </w:pPr>
      <w:rPr>
        <w:lang w:val="en-US" w:eastAsia="ko-KR" w:bidi="ar-SA"/>
        <w:rFonts w:ascii="맑은 고딕" w:hAnsi="맑은 고딕" w:eastAsia="맑은 고딕" w:cs="맑은 고딕"/>
      </w:rPr>
    </w:lvl>
    <w:lvl w:ilvl="2" w:tplc="a16641a4">
      <w:numFmt w:val="bullet"/>
      <w:lvlText w:val="•"/>
      <w:lvlJc w:val="left"/>
      <w:pPr>
        <w:ind w:left="1871" w:hanging="200"/>
      </w:pPr>
      <w:rPr>
        <w:lang w:val="en-US" w:eastAsia="ko-KR" w:bidi="ar-SA"/>
        <w:rFonts w:ascii="맑은 고딕" w:hAnsi="맑은 고딕" w:eastAsia="맑은 고딕" w:cs="맑은 고딕"/>
      </w:rPr>
    </w:lvl>
    <w:lvl w:ilvl="3" w:tplc="90ceb48e">
      <w:numFmt w:val="bullet"/>
      <w:lvlText w:val="•"/>
      <w:lvlJc w:val="left"/>
      <w:pPr>
        <w:ind w:left="2597" w:hanging="200"/>
      </w:pPr>
      <w:rPr>
        <w:lang w:val="en-US" w:eastAsia="ko-KR" w:bidi="ar-SA"/>
        <w:rFonts w:ascii="맑은 고딕" w:hAnsi="맑은 고딕" w:eastAsia="맑은 고딕" w:cs="맑은 고딕"/>
      </w:rPr>
    </w:lvl>
    <w:lvl w:ilvl="4" w:tplc="1b9ca46a">
      <w:numFmt w:val="bullet"/>
      <w:lvlText w:val="•"/>
      <w:lvlJc w:val="left"/>
      <w:pPr>
        <w:ind w:left="3322" w:hanging="200"/>
      </w:pPr>
      <w:rPr>
        <w:lang w:val="en-US" w:eastAsia="ko-KR" w:bidi="ar-SA"/>
        <w:rFonts w:ascii="맑은 고딕" w:hAnsi="맑은 고딕" w:eastAsia="맑은 고딕" w:cs="맑은 고딕"/>
      </w:rPr>
    </w:lvl>
    <w:lvl w:ilvl="5" w:tplc="f384d3ea">
      <w:numFmt w:val="bullet"/>
      <w:lvlText w:val="•"/>
      <w:lvlJc w:val="left"/>
      <w:pPr>
        <w:ind w:left="4048" w:hanging="200"/>
      </w:pPr>
      <w:rPr>
        <w:lang w:val="en-US" w:eastAsia="ko-KR" w:bidi="ar-SA"/>
        <w:rFonts w:ascii="맑은 고딕" w:hAnsi="맑은 고딕" w:eastAsia="맑은 고딕" w:cs="맑은 고딕"/>
      </w:rPr>
    </w:lvl>
    <w:lvl w:ilvl="6" w:tplc="4f34daa4">
      <w:numFmt w:val="bullet"/>
      <w:lvlText w:val="•"/>
      <w:lvlJc w:val="left"/>
      <w:pPr>
        <w:ind w:left="4774" w:hanging="200"/>
      </w:pPr>
      <w:rPr>
        <w:lang w:val="en-US" w:eastAsia="ko-KR" w:bidi="ar-SA"/>
        <w:rFonts w:ascii="맑은 고딕" w:hAnsi="맑은 고딕" w:eastAsia="맑은 고딕" w:cs="맑은 고딕"/>
      </w:rPr>
    </w:lvl>
    <w:lvl w:ilvl="7" w:tplc="7466cb4e">
      <w:numFmt w:val="bullet"/>
      <w:lvlText w:val="•"/>
      <w:lvlJc w:val="left"/>
      <w:pPr>
        <w:ind w:left="5499" w:hanging="200"/>
      </w:pPr>
      <w:rPr>
        <w:lang w:val="en-US" w:eastAsia="ko-KR" w:bidi="ar-SA"/>
        <w:rFonts w:ascii="맑은 고딕" w:hAnsi="맑은 고딕" w:eastAsia="맑은 고딕" w:cs="맑은 고딕"/>
      </w:rPr>
    </w:lvl>
    <w:lvl w:ilvl="8" w:tplc="e8f8f15a">
      <w:numFmt w:val="bullet"/>
      <w:lvlText w:val="•"/>
      <w:lvlJc w:val="left"/>
      <w:pPr>
        <w:ind w:left="6225" w:hanging="200"/>
      </w:pPr>
      <w:rPr>
        <w:lang w:val="en-US" w:eastAsia="ko-KR" w:bidi="ar-SA"/>
        <w:rFonts w:ascii="맑은 고딕" w:hAnsi="맑은 고딕" w:eastAsia="맑은 고딕" w:cs="맑은 고딕"/>
      </w:rPr>
    </w:lvl>
  </w:abstractNum>
  <w:abstractNum w:abstractNumId="4">
    <w:nsid w:val="30bb3215"/>
    <w:multiLevelType w:val="hybridMultilevel"/>
    <w:tmpl w:val="712b7a0"/>
    <w:lvl w:ilvl="0" w:tplc="f41ee7d4">
      <w:numFmt w:val="bullet"/>
      <w:lvlText w:val="-"/>
      <w:lvlJc w:val="left"/>
      <w:pPr>
        <w:ind w:left="414" w:hanging="200"/>
      </w:pPr>
      <w:rPr>
        <w:lang w:val="en-US" w:eastAsia="ko-KR" w:bidi="ar-SA"/>
        <w:rFonts w:ascii="맑은 고딕" w:hAnsi="맑은 고딕" w:eastAsia="맑은 고딕" w:cs="맑은 고딕"/>
        <w:b w:val="0"/>
        <w:bCs w:val="0"/>
        <w:i w:val="0"/>
        <w:iCs w:val="0"/>
        <w:color w:val="0000FF"/>
        <w:sz w:val="22"/>
        <w:szCs w:val="22"/>
      </w:rPr>
    </w:lvl>
    <w:lvl w:ilvl="1" w:tplc="31f4baec">
      <w:numFmt w:val="bullet"/>
      <w:lvlText w:val="•"/>
      <w:lvlJc w:val="left"/>
      <w:pPr>
        <w:ind w:left="1342" w:hanging="200"/>
      </w:pPr>
      <w:rPr>
        <w:lang w:val="en-US" w:eastAsia="ko-KR" w:bidi="ar-SA"/>
        <w:rFonts w:ascii="맑은 고딕" w:hAnsi="맑은 고딕" w:eastAsia="맑은 고딕" w:cs="맑은 고딕"/>
      </w:rPr>
    </w:lvl>
    <w:lvl w:ilvl="2" w:tplc="855c9188">
      <w:numFmt w:val="bullet"/>
      <w:lvlText w:val="•"/>
      <w:lvlJc w:val="left"/>
      <w:pPr>
        <w:ind w:left="2265" w:hanging="200"/>
      </w:pPr>
      <w:rPr>
        <w:lang w:val="en-US" w:eastAsia="ko-KR" w:bidi="ar-SA"/>
        <w:rFonts w:ascii="맑은 고딕" w:hAnsi="맑은 고딕" w:eastAsia="맑은 고딕" w:cs="맑은 고딕"/>
      </w:rPr>
    </w:lvl>
    <w:lvl w:ilvl="3" w:tplc="a6c0b4ec">
      <w:numFmt w:val="bullet"/>
      <w:lvlText w:val="•"/>
      <w:lvlJc w:val="left"/>
      <w:pPr>
        <w:ind w:left="3188" w:hanging="200"/>
      </w:pPr>
      <w:rPr>
        <w:lang w:val="en-US" w:eastAsia="ko-KR" w:bidi="ar-SA"/>
        <w:rFonts w:ascii="맑은 고딕" w:hAnsi="맑은 고딕" w:eastAsia="맑은 고딕" w:cs="맑은 고딕"/>
      </w:rPr>
    </w:lvl>
    <w:lvl w:ilvl="4" w:tplc="66289830">
      <w:numFmt w:val="bullet"/>
      <w:lvlText w:val="•"/>
      <w:lvlJc w:val="left"/>
      <w:pPr>
        <w:ind w:left="4111" w:hanging="200"/>
      </w:pPr>
      <w:rPr>
        <w:lang w:val="en-US" w:eastAsia="ko-KR" w:bidi="ar-SA"/>
        <w:rFonts w:ascii="맑은 고딕" w:hAnsi="맑은 고딕" w:eastAsia="맑은 고딕" w:cs="맑은 고딕"/>
      </w:rPr>
    </w:lvl>
    <w:lvl w:ilvl="5" w:tplc="1fecb86">
      <w:numFmt w:val="bullet"/>
      <w:lvlText w:val="•"/>
      <w:lvlJc w:val="left"/>
      <w:pPr>
        <w:ind w:left="5034" w:hanging="200"/>
      </w:pPr>
      <w:rPr>
        <w:lang w:val="en-US" w:eastAsia="ko-KR" w:bidi="ar-SA"/>
        <w:rFonts w:ascii="맑은 고딕" w:hAnsi="맑은 고딕" w:eastAsia="맑은 고딕" w:cs="맑은 고딕"/>
      </w:rPr>
    </w:lvl>
    <w:lvl w:ilvl="6" w:tplc="4a5abcb6">
      <w:numFmt w:val="bullet"/>
      <w:lvlText w:val="•"/>
      <w:lvlJc w:val="left"/>
      <w:pPr>
        <w:ind w:left="5957" w:hanging="200"/>
      </w:pPr>
      <w:rPr>
        <w:lang w:val="en-US" w:eastAsia="ko-KR" w:bidi="ar-SA"/>
        <w:rFonts w:ascii="맑은 고딕" w:hAnsi="맑은 고딕" w:eastAsia="맑은 고딕" w:cs="맑은 고딕"/>
      </w:rPr>
    </w:lvl>
    <w:lvl w:ilvl="7" w:tplc="2aac97ce">
      <w:numFmt w:val="bullet"/>
      <w:lvlText w:val="•"/>
      <w:lvlJc w:val="left"/>
      <w:pPr>
        <w:ind w:left="6880" w:hanging="200"/>
      </w:pPr>
      <w:rPr>
        <w:lang w:val="en-US" w:eastAsia="ko-KR" w:bidi="ar-SA"/>
        <w:rFonts w:ascii="맑은 고딕" w:hAnsi="맑은 고딕" w:eastAsia="맑은 고딕" w:cs="맑은 고딕"/>
      </w:rPr>
    </w:lvl>
    <w:lvl w:ilvl="8" w:tplc="1ef4c4ce">
      <w:numFmt w:val="bullet"/>
      <w:lvlText w:val="•"/>
      <w:lvlJc w:val="left"/>
      <w:pPr>
        <w:ind w:left="7803" w:hanging="200"/>
      </w:pPr>
      <w:rPr>
        <w:lang w:val="en-US" w:eastAsia="ko-KR" w:bidi="ar-SA"/>
        <w:rFonts w:ascii="맑은 고딕" w:hAnsi="맑은 고딕" w:eastAsia="맑은 고딕" w:cs="맑은 고딕"/>
      </w:rPr>
    </w:lvl>
  </w:abstractNum>
  <w:abstractNum w:abstractNumId="5">
    <w:nsid w:val="2c685254"/>
    <w:multiLevelType w:val="hybridMultilevel"/>
    <w:tmpl w:val="4e989b88"/>
    <w:lvl w:ilvl="0" w:tplc="1dcee09c">
      <w:numFmt w:val="bullet"/>
      <w:lvlText w:val="*"/>
      <w:lvlJc w:val="left"/>
      <w:pPr>
        <w:ind w:left="527" w:hanging="202"/>
      </w:pPr>
      <w:rPr>
        <w:lang w:val="en-US" w:eastAsia="ko-KR" w:bidi="ar-SA"/>
        <w:rFonts w:ascii="맑은 고딕" w:hAnsi="맑은 고딕" w:eastAsia="맑은 고딕" w:cs="맑은 고딕"/>
        <w:b w:val="0"/>
        <w:bCs w:val="0"/>
        <w:i w:val="0"/>
        <w:iCs w:val="0"/>
        <w:color w:val="0000FF"/>
        <w:sz w:val="22"/>
        <w:szCs w:val="22"/>
      </w:rPr>
    </w:lvl>
    <w:lvl w:ilvl="1" w:tplc="6b3c5d9c">
      <w:numFmt w:val="bullet"/>
      <w:lvlText w:val="•"/>
      <w:lvlJc w:val="left"/>
      <w:pPr>
        <w:ind w:left="1432" w:hanging="202"/>
      </w:pPr>
      <w:rPr>
        <w:lang w:val="en-US" w:eastAsia="ko-KR" w:bidi="ar-SA"/>
        <w:rFonts w:ascii="맑은 고딕" w:hAnsi="맑은 고딕" w:eastAsia="맑은 고딕" w:cs="맑은 고딕"/>
      </w:rPr>
    </w:lvl>
    <w:lvl w:ilvl="2" w:tplc="c1380270">
      <w:numFmt w:val="bullet"/>
      <w:lvlText w:val="•"/>
      <w:lvlJc w:val="left"/>
      <w:pPr>
        <w:ind w:left="2345" w:hanging="202"/>
      </w:pPr>
      <w:rPr>
        <w:lang w:val="en-US" w:eastAsia="ko-KR" w:bidi="ar-SA"/>
        <w:rFonts w:ascii="맑은 고딕" w:hAnsi="맑은 고딕" w:eastAsia="맑은 고딕" w:cs="맑은 고딕"/>
      </w:rPr>
    </w:lvl>
    <w:lvl w:ilvl="3" w:tplc="dc2c05de">
      <w:numFmt w:val="bullet"/>
      <w:lvlText w:val="•"/>
      <w:lvlJc w:val="left"/>
      <w:pPr>
        <w:ind w:left="3258" w:hanging="202"/>
      </w:pPr>
      <w:rPr>
        <w:lang w:val="en-US" w:eastAsia="ko-KR" w:bidi="ar-SA"/>
        <w:rFonts w:ascii="맑은 고딕" w:hAnsi="맑은 고딕" w:eastAsia="맑은 고딕" w:cs="맑은 고딕"/>
      </w:rPr>
    </w:lvl>
    <w:lvl w:ilvl="4" w:tplc="7220d662">
      <w:numFmt w:val="bullet"/>
      <w:lvlText w:val="•"/>
      <w:lvlJc w:val="left"/>
      <w:pPr>
        <w:ind w:left="4171" w:hanging="202"/>
      </w:pPr>
      <w:rPr>
        <w:lang w:val="en-US" w:eastAsia="ko-KR" w:bidi="ar-SA"/>
        <w:rFonts w:ascii="맑은 고딕" w:hAnsi="맑은 고딕" w:eastAsia="맑은 고딕" w:cs="맑은 고딕"/>
      </w:rPr>
    </w:lvl>
    <w:lvl w:ilvl="5" w:tplc="f9f82982">
      <w:numFmt w:val="bullet"/>
      <w:lvlText w:val="•"/>
      <w:lvlJc w:val="left"/>
      <w:pPr>
        <w:ind w:left="5084" w:hanging="202"/>
      </w:pPr>
      <w:rPr>
        <w:lang w:val="en-US" w:eastAsia="ko-KR" w:bidi="ar-SA"/>
        <w:rFonts w:ascii="맑은 고딕" w:hAnsi="맑은 고딕" w:eastAsia="맑은 고딕" w:cs="맑은 고딕"/>
      </w:rPr>
    </w:lvl>
    <w:lvl w:ilvl="6" w:tplc="c8421282">
      <w:numFmt w:val="bullet"/>
      <w:lvlText w:val="•"/>
      <w:lvlJc w:val="left"/>
      <w:pPr>
        <w:ind w:left="5997" w:hanging="202"/>
      </w:pPr>
      <w:rPr>
        <w:lang w:val="en-US" w:eastAsia="ko-KR" w:bidi="ar-SA"/>
        <w:rFonts w:ascii="맑은 고딕" w:hAnsi="맑은 고딕" w:eastAsia="맑은 고딕" w:cs="맑은 고딕"/>
      </w:rPr>
    </w:lvl>
    <w:lvl w:ilvl="7" w:tplc="858aa434">
      <w:numFmt w:val="bullet"/>
      <w:lvlText w:val="•"/>
      <w:lvlJc w:val="left"/>
      <w:pPr>
        <w:ind w:left="6910" w:hanging="202"/>
      </w:pPr>
      <w:rPr>
        <w:lang w:val="en-US" w:eastAsia="ko-KR" w:bidi="ar-SA"/>
        <w:rFonts w:ascii="맑은 고딕" w:hAnsi="맑은 고딕" w:eastAsia="맑은 고딕" w:cs="맑은 고딕"/>
      </w:rPr>
    </w:lvl>
    <w:lvl w:ilvl="8" w:tplc="1294f778">
      <w:numFmt w:val="bullet"/>
      <w:lvlText w:val="•"/>
      <w:lvlJc w:val="left"/>
      <w:pPr>
        <w:ind w:left="7823" w:hanging="202"/>
      </w:pPr>
      <w:rPr>
        <w:lang w:val="en-US" w:eastAsia="ko-KR" w:bidi="ar-SA"/>
        <w:rFonts w:ascii="맑은 고딕" w:hAnsi="맑은 고딕" w:eastAsia="맑은 고딕" w:cs="맑은 고딕"/>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맑은 고딕" w:hAnsi="맑은 고딕" w:eastAsia="맑은 고딕" w:cs="맑은 고딕"/>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val="en-US" w:eastAsia="ko-KR" w:bidi="ar-SA"/>
      <w:rFonts w:ascii="맑은 고딕" w:hAnsi="맑은 고딕" w:eastAsia="맑은 고딕" w:cs="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hAnsi="맑은 고딕" w:eastAsia="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val="en-US" w:eastAsia="ko-KR" w:bidi="ar-SA"/>
      <w:rFonts w:ascii="맑은 고딕" w:hAnsi="맑은 고딕" w:eastAsia="맑은 고딕" w:cs="맑은 고딕"/>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val="en-US" w:eastAsia="ko-KR" w:bidi="ar-SA"/>
      <w:rFonts w:ascii="맑은 고딕" w:hAnsi="맑은 고딕" w:eastAsia="맑은 고딕" w:cs="맑은 고딕"/>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val="en-US" w:eastAsia="ko-KR" w:bidi="ar-SA"/>
      <w:rFonts w:ascii="맑은 고딕" w:hAnsi="맑은 고딕" w:eastAsia="맑은 고딕" w:cs="맑은 고딕"/>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theme" Target="theme/theme1.xml" /><Relationship Id="rId16" Type="http://schemas.openxmlformats.org/officeDocument/2006/relationships/image" Target="media/image8.jpg" /><Relationship Id="rId17" Type="http://schemas.openxmlformats.org/officeDocument/2006/relationships/image" Target="media/image9.jp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7.png" /><Relationship Id="rId29" Type="http://schemas.openxmlformats.org/officeDocument/2006/relationships/image" Target="media/image18.png" /><Relationship Id="rId30" Type="http://schemas.openxmlformats.org/officeDocument/2006/relationships/image" Target="media/market_tam_sam_som.png"/><Relationship Id="rId31" Type="http://schemas.openxmlformats.org/officeDocument/2006/relationships/image" Target="media/business_model.png"/><Relationship Id="rId32" Type="http://schemas.openxmlformats.org/officeDocument/2006/relationships/image" Target="media/roadmap_5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2026-10-22T11:31:02.593Z</dcterms:modified>
  <cp:version>1300.0100.01</cp:version>
</cp:coreProperties>
</file>