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014A"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r w:rsidRPr="00EC356F">
        <w:rPr>
          <w:rFonts w:ascii="Times New Roman" w:hAnsi="Times New Roman" w:cs="Times New Roman"/>
          <w:i/>
          <w:sz w:val="21"/>
          <w:szCs w:val="21"/>
        </w:rPr>
        <w:t>Q</w:t>
      </w:r>
      <w:r w:rsidR="00123BF5">
        <w:rPr>
          <w:rFonts w:ascii="Times New Roman" w:hAnsi="Times New Roman" w:cs="Times New Roman"/>
          <w:i/>
          <w:sz w:val="21"/>
          <w:szCs w:val="21"/>
        </w:rPr>
        <w:t>4</w:t>
      </w:r>
      <w:r w:rsidRPr="00EC356F">
        <w:rPr>
          <w:rFonts w:ascii="Times New Roman" w:hAnsi="Times New Roman" w:cs="Times New Roman"/>
          <w:i/>
          <w:sz w:val="21"/>
          <w:szCs w:val="21"/>
        </w:rPr>
        <w:t>, 2014</w:t>
      </w:r>
    </w:p>
    <w:p w14:paraId="69E24B8C" w14:textId="77777777" w:rsidR="00A9653E" w:rsidRPr="00EC356F" w:rsidRDefault="00A9653E" w:rsidP="00A9653E">
      <w:pPr>
        <w:tabs>
          <w:tab w:val="left" w:pos="1100"/>
          <w:tab w:val="num" w:pos="1428"/>
        </w:tabs>
        <w:spacing w:after="240" w:line="300" w:lineRule="atLeast"/>
        <w:jc w:val="center"/>
        <w:rPr>
          <w:rStyle w:val="longtext"/>
          <w:rFonts w:ascii="Times New Roman" w:hAnsi="Times New Roman" w:cs="Times New Roman"/>
          <w:i/>
          <w:sz w:val="21"/>
          <w:szCs w:val="21"/>
        </w:rPr>
      </w:pPr>
      <w:r w:rsidRPr="00EC356F">
        <w:rPr>
          <w:rFonts w:ascii="Times New Roman" w:hAnsi="Times New Roman" w:cs="Times New Roman"/>
          <w:i/>
          <w:sz w:val="21"/>
          <w:szCs w:val="21"/>
        </w:rPr>
        <w:t xml:space="preserve">Since January 2006, the Central Bank of Armenia has moved to a fully-fledged inflation targeting strategy, which highlights the importance of communicating of the Bank to the general public by publishing, inter alia, quarterly inflation reports. First section of the inflation report includes next quarter’s monetary policy program that provides new forecasts of inflation and other macroeconomic indicators and main directions of the monetary policy in the forecast horizon. Second section includes </w:t>
      </w:r>
      <w:r w:rsidRPr="00EC356F">
        <w:rPr>
          <w:rStyle w:val="longtext"/>
          <w:rFonts w:ascii="Times New Roman" w:hAnsi="Times New Roman" w:cs="Times New Roman"/>
          <w:i/>
          <w:color w:val="000000"/>
          <w:sz w:val="21"/>
          <w:szCs w:val="21"/>
          <w:shd w:val="clear" w:color="auto" w:fill="FFFFFF"/>
        </w:rPr>
        <w:t>status report on implementation of the monetary policy</w:t>
      </w:r>
      <w:r w:rsidRPr="00EC356F">
        <w:rPr>
          <w:rFonts w:ascii="Times New Roman" w:hAnsi="Times New Roman" w:cs="Times New Roman"/>
          <w:i/>
          <w:sz w:val="21"/>
          <w:szCs w:val="21"/>
        </w:rPr>
        <w:t xml:space="preserve"> program</w:t>
      </w:r>
      <w:r w:rsidRPr="00EC356F">
        <w:rPr>
          <w:rStyle w:val="longtext"/>
          <w:rFonts w:ascii="Times New Roman" w:hAnsi="Times New Roman" w:cs="Times New Roman"/>
          <w:i/>
          <w:color w:val="000000"/>
          <w:sz w:val="21"/>
          <w:szCs w:val="21"/>
          <w:shd w:val="clear" w:color="auto" w:fill="FFFFFF"/>
        </w:rPr>
        <w:t xml:space="preserve"> of the previous quarter, which covers actual economic and monetary developments.</w:t>
      </w:r>
    </w:p>
    <w:p w14:paraId="297927A2"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r w:rsidRPr="00EC356F">
        <w:rPr>
          <w:rStyle w:val="longtext"/>
          <w:rFonts w:ascii="Times New Roman" w:hAnsi="Times New Roman" w:cs="Times New Roman"/>
          <w:i/>
          <w:color w:val="000000"/>
          <w:sz w:val="21"/>
          <w:szCs w:val="21"/>
          <w:shd w:val="clear" w:color="auto" w:fill="FFFFFF"/>
        </w:rPr>
        <w:t xml:space="preserve"> </w:t>
      </w:r>
      <w:r w:rsidRPr="00EC356F">
        <w:rPr>
          <w:rFonts w:ascii="Times New Roman" w:hAnsi="Times New Roman" w:cs="Times New Roman"/>
          <w:i/>
          <w:sz w:val="21"/>
          <w:szCs w:val="21"/>
        </w:rPr>
        <w:t xml:space="preserve">       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 </w:t>
      </w:r>
    </w:p>
    <w:p w14:paraId="27F2294D"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r w:rsidRPr="00EC356F">
        <w:rPr>
          <w:rFonts w:ascii="Times New Roman" w:hAnsi="Times New Roman" w:cs="Times New Roman"/>
          <w:i/>
          <w:sz w:val="21"/>
          <w:szCs w:val="21"/>
        </w:rPr>
        <w:t xml:space="preserve">Starting from the second quarter of 2012, the Bank has been publishing forecasts of non-conditional inflation in a 3-year time horizon, in implementation of the inflation targeting strategy, whereby the monetary policy is steered to minimize any deviations of potential inflation from a 4 % target. Projections in this report are based on the factual information available by </w:t>
      </w:r>
      <w:r w:rsidR="00904FF1">
        <w:rPr>
          <w:rFonts w:ascii="Times New Roman" w:hAnsi="Times New Roman" w:cs="Times New Roman"/>
          <w:i/>
          <w:sz w:val="21"/>
          <w:szCs w:val="21"/>
        </w:rPr>
        <w:t>November</w:t>
      </w:r>
      <w:r w:rsidRPr="00EC356F">
        <w:rPr>
          <w:rFonts w:ascii="Times New Roman" w:hAnsi="Times New Roman" w:cs="Times New Roman"/>
          <w:i/>
          <w:sz w:val="21"/>
          <w:szCs w:val="21"/>
        </w:rPr>
        <w:t xml:space="preserve"> 1</w:t>
      </w:r>
      <w:r w:rsidR="00904FF1">
        <w:rPr>
          <w:rFonts w:ascii="Times New Roman" w:hAnsi="Times New Roman" w:cs="Times New Roman"/>
          <w:i/>
          <w:sz w:val="21"/>
          <w:szCs w:val="21"/>
        </w:rPr>
        <w:t>1</w:t>
      </w:r>
      <w:r w:rsidRPr="00EC356F">
        <w:rPr>
          <w:rFonts w:ascii="Times New Roman" w:hAnsi="Times New Roman" w:cs="Times New Roman"/>
          <w:i/>
          <w:sz w:val="21"/>
          <w:szCs w:val="21"/>
        </w:rPr>
        <w:t>, 2014, i.e. the approval of the refinancing rate, the results of a survey conducted by the Bank and the judgment made pursuant to the information on future macroeconomic developments​​.</w:t>
      </w:r>
    </w:p>
    <w:p w14:paraId="10273256"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r w:rsidRPr="00EC356F">
        <w:rPr>
          <w:rFonts w:ascii="Times New Roman" w:hAnsi="Times New Roman" w:cs="Times New Roman"/>
          <w:i/>
          <w:sz w:val="21"/>
          <w:szCs w:val="21"/>
        </w:rPr>
        <w:t>All inflation reports which have been published to date are available on the Bank’s website which also contains monetary policy-related publications.</w:t>
      </w:r>
    </w:p>
    <w:p w14:paraId="4AC2CC08"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r w:rsidRPr="00EC356F">
        <w:rPr>
          <w:rFonts w:ascii="Times New Roman" w:hAnsi="Times New Roman" w:cs="Times New Roman"/>
          <w:i/>
          <w:sz w:val="21"/>
          <w:szCs w:val="21"/>
        </w:rPr>
        <w:t xml:space="preserve">  </w:t>
      </w:r>
    </w:p>
    <w:p w14:paraId="2E1A30FD"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p>
    <w:p w14:paraId="3DD62AD5" w14:textId="77777777" w:rsidR="00A9653E" w:rsidRPr="00EC356F" w:rsidRDefault="00A9653E" w:rsidP="00A9653E">
      <w:pPr>
        <w:spacing w:line="360" w:lineRule="auto"/>
        <w:jc w:val="center"/>
        <w:rPr>
          <w:rFonts w:ascii="Times New Roman" w:hAnsi="Times New Roman" w:cs="Times New Roman"/>
          <w:i/>
          <w:sz w:val="21"/>
          <w:szCs w:val="21"/>
        </w:rPr>
      </w:pPr>
    </w:p>
    <w:p w14:paraId="5C360DCF" w14:textId="77777777" w:rsidR="00A9653E" w:rsidRPr="00EC356F" w:rsidRDefault="00A9653E" w:rsidP="00A9653E">
      <w:pPr>
        <w:spacing w:line="360" w:lineRule="auto"/>
        <w:jc w:val="center"/>
        <w:rPr>
          <w:rFonts w:ascii="Times New Roman" w:hAnsi="Times New Roman" w:cs="Times New Roman"/>
          <w:i/>
          <w:sz w:val="21"/>
          <w:szCs w:val="21"/>
        </w:rPr>
      </w:pPr>
    </w:p>
    <w:p w14:paraId="20BCB5A3" w14:textId="77777777" w:rsidR="00A9653E" w:rsidRPr="00EC356F" w:rsidRDefault="00A9653E" w:rsidP="00A9653E">
      <w:pPr>
        <w:spacing w:line="360" w:lineRule="auto"/>
        <w:jc w:val="center"/>
        <w:rPr>
          <w:rFonts w:ascii="Times New Roman" w:hAnsi="Times New Roman" w:cs="Times New Roman"/>
          <w:i/>
          <w:sz w:val="21"/>
          <w:szCs w:val="21"/>
        </w:rPr>
      </w:pPr>
    </w:p>
    <w:p w14:paraId="0290F63A" w14:textId="77777777" w:rsidR="00A9653E" w:rsidRPr="00EC356F" w:rsidRDefault="00A9653E" w:rsidP="00A9653E">
      <w:pPr>
        <w:spacing w:line="360" w:lineRule="auto"/>
        <w:jc w:val="center"/>
        <w:rPr>
          <w:rFonts w:ascii="Times New Roman" w:hAnsi="Times New Roman" w:cs="Times New Roman"/>
          <w:i/>
          <w:sz w:val="21"/>
          <w:szCs w:val="21"/>
        </w:rPr>
      </w:pPr>
    </w:p>
    <w:p w14:paraId="0E42B18A" w14:textId="77777777" w:rsidR="00A9653E" w:rsidRPr="00EC356F" w:rsidRDefault="00A9653E" w:rsidP="00A9653E">
      <w:pPr>
        <w:spacing w:line="360" w:lineRule="auto"/>
        <w:jc w:val="center"/>
        <w:rPr>
          <w:rFonts w:ascii="Times New Roman" w:hAnsi="Times New Roman" w:cs="Times New Roman"/>
          <w:i/>
          <w:sz w:val="21"/>
          <w:szCs w:val="21"/>
        </w:rPr>
      </w:pPr>
    </w:p>
    <w:p w14:paraId="2FA1C3E4" w14:textId="77777777" w:rsidR="00A9653E" w:rsidRPr="00EC356F" w:rsidRDefault="00A9653E" w:rsidP="00A9653E">
      <w:pPr>
        <w:spacing w:line="360" w:lineRule="auto"/>
        <w:jc w:val="center"/>
        <w:rPr>
          <w:rFonts w:ascii="Times New Roman" w:hAnsi="Times New Roman" w:cs="Times New Roman"/>
          <w:i/>
          <w:sz w:val="21"/>
          <w:szCs w:val="21"/>
        </w:rPr>
      </w:pPr>
    </w:p>
    <w:p w14:paraId="6BE4DA9E" w14:textId="77777777" w:rsidR="00A9653E" w:rsidRPr="00EC356F" w:rsidRDefault="00A9653E" w:rsidP="00A9653E">
      <w:pPr>
        <w:spacing w:line="360" w:lineRule="auto"/>
        <w:jc w:val="center"/>
        <w:rPr>
          <w:rFonts w:ascii="Times New Roman" w:hAnsi="Times New Roman" w:cs="Times New Roman"/>
          <w:i/>
          <w:sz w:val="21"/>
          <w:szCs w:val="21"/>
        </w:rPr>
      </w:pPr>
    </w:p>
    <w:p w14:paraId="45A3C29A"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p>
    <w:p w14:paraId="366D7AAB" w14:textId="77777777" w:rsidR="00A9653E" w:rsidRPr="00EC356F" w:rsidRDefault="00A9653E" w:rsidP="00A9653E">
      <w:pPr>
        <w:spacing w:line="360" w:lineRule="auto"/>
        <w:jc w:val="both"/>
        <w:rPr>
          <w:rFonts w:ascii="Times New Roman" w:hAnsi="Times New Roman" w:cs="Times New Roman"/>
          <w:b/>
          <w:color w:val="000000"/>
          <w:sz w:val="21"/>
          <w:szCs w:val="21"/>
          <w:shd w:val="clear" w:color="auto" w:fill="FFFFFF"/>
        </w:rPr>
      </w:pPr>
      <w:r w:rsidRPr="00EC356F">
        <w:rPr>
          <w:rStyle w:val="longtext"/>
          <w:rFonts w:ascii="Times New Roman" w:hAnsi="Times New Roman" w:cs="Times New Roman"/>
          <w:b/>
          <w:color w:val="000000"/>
          <w:sz w:val="21"/>
          <w:szCs w:val="21"/>
          <w:shd w:val="clear" w:color="auto" w:fill="FFFFFF"/>
        </w:rPr>
        <w:lastRenderedPageBreak/>
        <w:t>1. EXECUTIVE SUMMARY</w:t>
      </w:r>
    </w:p>
    <w:p w14:paraId="2107BB1A" w14:textId="77777777" w:rsidR="00CB2FFD" w:rsidRPr="005D13A6" w:rsidRDefault="00CB2FFD" w:rsidP="00A9653E">
      <w:pPr>
        <w:spacing w:line="360" w:lineRule="auto"/>
        <w:jc w:val="both"/>
        <w:rPr>
          <w:rFonts w:ascii="Times New Roman" w:hAnsi="Times New Roman" w:cs="Times New Roman"/>
          <w:color w:val="0070C0"/>
          <w:sz w:val="18"/>
          <w:szCs w:val="18"/>
        </w:rPr>
      </w:pPr>
      <w:r w:rsidRPr="005D13A6">
        <w:rPr>
          <w:rFonts w:ascii="Times New Roman" w:hAnsi="Times New Roman" w:cs="Times New Roman"/>
          <w:color w:val="0070C0"/>
          <w:sz w:val="18"/>
          <w:szCs w:val="18"/>
        </w:rPr>
        <w:t>According to the Central Bank forecasts, in the short run the 12-month inflation rate will gradually approach the target and stabilize around it; in 2015 and the rest part of the forecast horizon, it will stay within the confidence band</w:t>
      </w:r>
      <w:r w:rsidRPr="005D13A6">
        <w:rPr>
          <w:rFonts w:ascii="Times New Roman" w:hAnsi="Times New Roman" w:cs="Times New Roman"/>
          <w:color w:val="0070C0"/>
          <w:sz w:val="18"/>
          <w:szCs w:val="18"/>
          <w:lang w:val="hy-AM"/>
        </w:rPr>
        <w:t>...</w:t>
      </w:r>
    </w:p>
    <w:p w14:paraId="40A1AB23" w14:textId="77777777" w:rsidR="00A9653E" w:rsidRPr="00CB2FFD" w:rsidRDefault="00CB2FFD" w:rsidP="00A9653E">
      <w:pPr>
        <w:spacing w:line="360" w:lineRule="auto"/>
        <w:jc w:val="both"/>
        <w:rPr>
          <w:rFonts w:ascii="Times New Roman" w:hAnsi="Times New Roman" w:cs="Times New Roman"/>
          <w:sz w:val="18"/>
          <w:szCs w:val="18"/>
        </w:rPr>
      </w:pPr>
      <w:r w:rsidRPr="005D13A6">
        <w:rPr>
          <w:rFonts w:ascii="Times New Roman" w:hAnsi="Times New Roman" w:cs="Times New Roman"/>
          <w:color w:val="0070C0"/>
          <w:sz w:val="18"/>
          <w:szCs w:val="18"/>
        </w:rPr>
        <w:t xml:space="preserve">In the time of </w:t>
      </w:r>
      <w:r w:rsidRPr="005D13A6">
        <w:rPr>
          <w:rFonts w:ascii="Times New Roman" w:hAnsi="Times New Roman" w:cs="Times New Roman"/>
          <w:color w:val="0070C0"/>
          <w:sz w:val="18"/>
          <w:szCs w:val="18"/>
          <w:lang w:val="hy-AM"/>
        </w:rPr>
        <w:t xml:space="preserve">uncertainties over economic developments in </w:t>
      </w:r>
      <w:r w:rsidRPr="005D13A6">
        <w:rPr>
          <w:rFonts w:ascii="Times New Roman" w:hAnsi="Times New Roman" w:cs="Times New Roman"/>
          <w:color w:val="0070C0"/>
          <w:sz w:val="18"/>
          <w:szCs w:val="18"/>
        </w:rPr>
        <w:t>external and domestic sectors, the economic growth in the forecast horizon will rebound at a slow pace and will gradually approach its long-term equilibrium throughout the horizon…</w:t>
      </w:r>
    </w:p>
    <w:p w14:paraId="152F3DA0" w14:textId="77777777" w:rsidR="00A9653E" w:rsidRPr="0068429B" w:rsidRDefault="00A9653E" w:rsidP="00A9653E">
      <w:pPr>
        <w:spacing w:line="360" w:lineRule="auto"/>
        <w:jc w:val="both"/>
        <w:rPr>
          <w:rFonts w:ascii="Times New Roman" w:hAnsi="Times New Roman" w:cs="Times New Roman"/>
          <w:b/>
          <w:sz w:val="21"/>
          <w:szCs w:val="21"/>
        </w:rPr>
      </w:pPr>
      <w:r w:rsidRPr="0068429B">
        <w:rPr>
          <w:rFonts w:ascii="Times New Roman" w:hAnsi="Times New Roman" w:cs="Times New Roman"/>
          <w:b/>
          <w:sz w:val="21"/>
          <w:szCs w:val="21"/>
        </w:rPr>
        <w:t xml:space="preserve">According to the Central Bank forecasts, in the short run the 12-month inflation rate will gradually </w:t>
      </w:r>
      <w:r w:rsidR="002F0B0B" w:rsidRPr="0068429B">
        <w:rPr>
          <w:rFonts w:ascii="Times New Roman" w:hAnsi="Times New Roman" w:cs="Times New Roman"/>
          <w:b/>
          <w:sz w:val="21"/>
          <w:szCs w:val="21"/>
        </w:rPr>
        <w:t>approach the target and stabilize around it</w:t>
      </w:r>
      <w:r w:rsidR="00A467FC" w:rsidRPr="0068429B">
        <w:rPr>
          <w:rFonts w:ascii="Times New Roman" w:hAnsi="Times New Roman" w:cs="Times New Roman"/>
          <w:b/>
          <w:sz w:val="21"/>
          <w:szCs w:val="21"/>
        </w:rPr>
        <w:t xml:space="preserve">. In </w:t>
      </w:r>
      <w:r w:rsidRPr="0068429B">
        <w:rPr>
          <w:rFonts w:ascii="Times New Roman" w:hAnsi="Times New Roman" w:cs="Times New Roman"/>
          <w:b/>
          <w:sz w:val="21"/>
          <w:szCs w:val="21"/>
        </w:rPr>
        <w:t xml:space="preserve">2015 </w:t>
      </w:r>
      <w:r w:rsidR="00A467FC" w:rsidRPr="0068429B">
        <w:rPr>
          <w:rFonts w:ascii="Times New Roman" w:hAnsi="Times New Roman" w:cs="Times New Roman"/>
          <w:b/>
          <w:sz w:val="21"/>
          <w:szCs w:val="21"/>
        </w:rPr>
        <w:t xml:space="preserve">and the rest part of the forecast horizon, the 12-month inflation rate will stay within the confidence band of </w:t>
      </w:r>
      <w:r w:rsidR="00A467FC" w:rsidRPr="0068429B">
        <w:rPr>
          <w:rFonts w:ascii="Times New Roman" w:hAnsi="Times New Roman" w:cs="Times New Roman"/>
          <w:b/>
          <w:iCs/>
          <w:sz w:val="21"/>
          <w:szCs w:val="21"/>
        </w:rPr>
        <w:t>4%</w:t>
      </w:r>
      <w:r w:rsidR="00A467FC" w:rsidRPr="0068429B">
        <w:rPr>
          <w:rFonts w:ascii="Times New Roman" w:hAnsi="Times New Roman" w:cs="Times New Roman"/>
          <w:b/>
          <w:iCs/>
          <w:sz w:val="21"/>
          <w:szCs w:val="21"/>
          <w:u w:val="single"/>
        </w:rPr>
        <w:t>+</w:t>
      </w:r>
      <w:r w:rsidR="00A467FC" w:rsidRPr="0068429B">
        <w:rPr>
          <w:rFonts w:ascii="Times New Roman" w:hAnsi="Times New Roman" w:cs="Times New Roman"/>
          <w:b/>
          <w:iCs/>
          <w:sz w:val="21"/>
          <w:szCs w:val="21"/>
        </w:rPr>
        <w:t>1.5 pp</w:t>
      </w:r>
      <w:r w:rsidR="00A467FC" w:rsidRPr="0068429B">
        <w:rPr>
          <w:rFonts w:ascii="Times New Roman" w:hAnsi="Times New Roman" w:cs="Times New Roman"/>
          <w:b/>
          <w:sz w:val="21"/>
          <w:szCs w:val="21"/>
        </w:rPr>
        <w:t xml:space="preserve">. In the time of </w:t>
      </w:r>
      <w:r w:rsidR="0068429B" w:rsidRPr="0068429B">
        <w:rPr>
          <w:rFonts w:ascii="Times New Roman" w:hAnsi="Times New Roman" w:cs="Times New Roman"/>
          <w:b/>
          <w:sz w:val="21"/>
          <w:szCs w:val="21"/>
          <w:lang w:val="hy-AM"/>
        </w:rPr>
        <w:t xml:space="preserve">uncertainties over economic developments in </w:t>
      </w:r>
      <w:r w:rsidR="0068429B">
        <w:rPr>
          <w:rFonts w:ascii="Times New Roman" w:hAnsi="Times New Roman" w:cs="Times New Roman"/>
          <w:b/>
          <w:sz w:val="21"/>
          <w:szCs w:val="21"/>
        </w:rPr>
        <w:t xml:space="preserve">external and domestic sectors, the economic growth in the forecast horizon will rebound at a slow pace and will gradually approach its long-term equilibrium throughout the horizon. </w:t>
      </w:r>
    </w:p>
    <w:p w14:paraId="505BE9C8"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3C0E89">
        <w:rPr>
          <w:rFonts w:ascii="Times New Roman" w:hAnsi="Times New Roman" w:cs="Times New Roman"/>
          <w:sz w:val="21"/>
          <w:szCs w:val="21"/>
        </w:rPr>
        <w:t xml:space="preserve">3rd </w:t>
      </w:r>
      <w:r w:rsidRPr="00EC356F">
        <w:rPr>
          <w:rFonts w:ascii="Times New Roman" w:hAnsi="Times New Roman" w:cs="Times New Roman"/>
          <w:sz w:val="21"/>
          <w:szCs w:val="21"/>
        </w:rPr>
        <w:t xml:space="preserve">quarter of 2014, </w:t>
      </w:r>
      <w:r w:rsidRPr="00EC356F">
        <w:rPr>
          <w:rFonts w:ascii="Times New Roman" w:hAnsi="Times New Roman" w:cs="Times New Roman"/>
          <w:b/>
          <w:sz w:val="21"/>
          <w:szCs w:val="21"/>
        </w:rPr>
        <w:t xml:space="preserve">the economic environment </w:t>
      </w:r>
      <w:r w:rsidR="003C0E89">
        <w:rPr>
          <w:rFonts w:ascii="Times New Roman" w:hAnsi="Times New Roman" w:cs="Times New Roman"/>
          <w:b/>
          <w:sz w:val="21"/>
          <w:szCs w:val="21"/>
        </w:rPr>
        <w:t xml:space="preserve">somewhat expanded </w:t>
      </w:r>
      <w:r w:rsidR="003C0E89">
        <w:rPr>
          <w:rFonts w:ascii="Times New Roman" w:hAnsi="Times New Roman" w:cs="Times New Roman"/>
          <w:sz w:val="21"/>
          <w:szCs w:val="21"/>
        </w:rPr>
        <w:t xml:space="preserve">yet </w:t>
      </w:r>
      <w:r w:rsidR="001931C1">
        <w:rPr>
          <w:rFonts w:ascii="Times New Roman" w:hAnsi="Times New Roman" w:cs="Times New Roman"/>
          <w:sz w:val="21"/>
          <w:szCs w:val="21"/>
        </w:rPr>
        <w:t xml:space="preserve">economic growth remained sluggish. Declined private </w:t>
      </w:r>
      <w:r w:rsidR="001931C1" w:rsidRPr="00EC356F">
        <w:rPr>
          <w:rFonts w:ascii="Times New Roman" w:hAnsi="Times New Roman" w:cs="Times New Roman"/>
          <w:sz w:val="21"/>
          <w:szCs w:val="21"/>
        </w:rPr>
        <w:t xml:space="preserve">consumption </w:t>
      </w:r>
      <w:r w:rsidR="001931C1">
        <w:rPr>
          <w:rFonts w:ascii="Times New Roman" w:hAnsi="Times New Roman" w:cs="Times New Roman"/>
          <w:sz w:val="21"/>
          <w:szCs w:val="21"/>
        </w:rPr>
        <w:t xml:space="preserve">and weak </w:t>
      </w:r>
      <w:r w:rsidR="001931C1" w:rsidRPr="00EC356F">
        <w:rPr>
          <w:rFonts w:ascii="Times New Roman" w:hAnsi="Times New Roman" w:cs="Times New Roman"/>
          <w:sz w:val="21"/>
          <w:szCs w:val="21"/>
        </w:rPr>
        <w:t xml:space="preserve">investment activity </w:t>
      </w:r>
      <w:r w:rsidR="001931C1">
        <w:rPr>
          <w:rFonts w:ascii="Times New Roman" w:hAnsi="Times New Roman" w:cs="Times New Roman"/>
          <w:sz w:val="21"/>
          <w:szCs w:val="21"/>
        </w:rPr>
        <w:t>point</w:t>
      </w:r>
      <w:r w:rsidR="00DF2762">
        <w:rPr>
          <w:rFonts w:ascii="Times New Roman" w:hAnsi="Times New Roman" w:cs="Times New Roman"/>
          <w:sz w:val="21"/>
          <w:szCs w:val="21"/>
        </w:rPr>
        <w:t>ed</w:t>
      </w:r>
      <w:r w:rsidR="001931C1">
        <w:rPr>
          <w:rFonts w:ascii="Times New Roman" w:hAnsi="Times New Roman" w:cs="Times New Roman"/>
          <w:sz w:val="21"/>
          <w:szCs w:val="21"/>
        </w:rPr>
        <w:t xml:space="preserve"> to the low level of domestic demand this quarter</w:t>
      </w:r>
      <w:r w:rsidR="00DF2762">
        <w:rPr>
          <w:rFonts w:ascii="Times New Roman" w:hAnsi="Times New Roman" w:cs="Times New Roman"/>
          <w:sz w:val="21"/>
          <w:szCs w:val="21"/>
        </w:rPr>
        <w:t xml:space="preserve">. In particular, </w:t>
      </w:r>
      <w:r w:rsidR="00E9739A">
        <w:rPr>
          <w:rFonts w:ascii="Times New Roman" w:hAnsi="Times New Roman" w:cs="Times New Roman"/>
          <w:sz w:val="21"/>
          <w:szCs w:val="21"/>
        </w:rPr>
        <w:t xml:space="preserve">in the 3rd quarter </w:t>
      </w:r>
      <w:r w:rsidR="00DF2762">
        <w:rPr>
          <w:rFonts w:ascii="Times New Roman" w:hAnsi="Times New Roman" w:cs="Times New Roman"/>
          <w:sz w:val="21"/>
          <w:szCs w:val="21"/>
        </w:rPr>
        <w:t xml:space="preserve">the decline in </w:t>
      </w:r>
      <w:r w:rsidRPr="00EC356F">
        <w:rPr>
          <w:rFonts w:ascii="Times New Roman" w:hAnsi="Times New Roman" w:cs="Times New Roman"/>
          <w:sz w:val="21"/>
          <w:szCs w:val="21"/>
        </w:rPr>
        <w:t xml:space="preserve">private consumption </w:t>
      </w:r>
      <w:r w:rsidR="00E9739A">
        <w:rPr>
          <w:rFonts w:ascii="Times New Roman" w:hAnsi="Times New Roman" w:cs="Times New Roman"/>
          <w:sz w:val="21"/>
          <w:szCs w:val="21"/>
        </w:rPr>
        <w:t>wa</w:t>
      </w:r>
      <w:r w:rsidR="00DF2762">
        <w:rPr>
          <w:rFonts w:ascii="Times New Roman" w:hAnsi="Times New Roman" w:cs="Times New Roman"/>
          <w:sz w:val="21"/>
          <w:szCs w:val="21"/>
        </w:rPr>
        <w:t>s</w:t>
      </w:r>
      <w:r w:rsidRPr="00EC356F">
        <w:rPr>
          <w:rFonts w:ascii="Times New Roman" w:hAnsi="Times New Roman" w:cs="Times New Roman"/>
          <w:sz w:val="21"/>
          <w:szCs w:val="21"/>
        </w:rPr>
        <w:t xml:space="preserve"> an estimated </w:t>
      </w:r>
      <w:r w:rsidR="00E9739A">
        <w:rPr>
          <w:rFonts w:ascii="Times New Roman" w:hAnsi="Times New Roman" w:cs="Times New Roman"/>
          <w:sz w:val="21"/>
          <w:szCs w:val="21"/>
        </w:rPr>
        <w:t>1</w:t>
      </w:r>
      <w:r w:rsidRPr="00EC356F">
        <w:rPr>
          <w:rFonts w:ascii="Times New Roman" w:hAnsi="Times New Roman" w:cs="Times New Roman"/>
          <w:sz w:val="21"/>
          <w:szCs w:val="21"/>
        </w:rPr>
        <w:t>.</w:t>
      </w:r>
      <w:r w:rsidR="00E9739A">
        <w:rPr>
          <w:rFonts w:ascii="Times New Roman" w:hAnsi="Times New Roman" w:cs="Times New Roman"/>
          <w:sz w:val="21"/>
          <w:szCs w:val="21"/>
        </w:rPr>
        <w:t>0</w:t>
      </w:r>
      <w:r w:rsidRPr="00EC356F">
        <w:rPr>
          <w:rFonts w:ascii="Times New Roman" w:hAnsi="Times New Roman" w:cs="Times New Roman"/>
          <w:sz w:val="21"/>
          <w:szCs w:val="21"/>
        </w:rPr>
        <w:t xml:space="preserve">% y/y and </w:t>
      </w:r>
      <w:r w:rsidR="00E9739A">
        <w:rPr>
          <w:rFonts w:ascii="Times New Roman" w:hAnsi="Times New Roman" w:cs="Times New Roman"/>
          <w:sz w:val="21"/>
          <w:szCs w:val="21"/>
        </w:rPr>
        <w:t xml:space="preserve">the growth in </w:t>
      </w:r>
      <w:r w:rsidRPr="00EC356F">
        <w:rPr>
          <w:rFonts w:ascii="Times New Roman" w:hAnsi="Times New Roman" w:cs="Times New Roman"/>
          <w:sz w:val="21"/>
          <w:szCs w:val="21"/>
        </w:rPr>
        <w:t xml:space="preserve">private investment, </w:t>
      </w:r>
      <w:r w:rsidR="00E9739A">
        <w:rPr>
          <w:rFonts w:ascii="Times New Roman" w:hAnsi="Times New Roman" w:cs="Times New Roman"/>
          <w:sz w:val="21"/>
          <w:szCs w:val="21"/>
        </w:rPr>
        <w:t>2</w:t>
      </w:r>
      <w:r w:rsidRPr="00EC356F">
        <w:rPr>
          <w:rFonts w:ascii="Times New Roman" w:hAnsi="Times New Roman" w:cs="Times New Roman"/>
          <w:sz w:val="21"/>
          <w:szCs w:val="21"/>
        </w:rPr>
        <w:t>.</w:t>
      </w:r>
      <w:r w:rsidR="00E9739A">
        <w:rPr>
          <w:rFonts w:ascii="Times New Roman" w:hAnsi="Times New Roman" w:cs="Times New Roman"/>
          <w:sz w:val="21"/>
          <w:szCs w:val="21"/>
        </w:rPr>
        <w:t>0</w:t>
      </w:r>
      <w:r w:rsidRPr="00EC356F">
        <w:rPr>
          <w:rFonts w:ascii="Times New Roman" w:hAnsi="Times New Roman" w:cs="Times New Roman"/>
          <w:sz w:val="21"/>
          <w:szCs w:val="21"/>
        </w:rPr>
        <w:t xml:space="preserve">% y/y. </w:t>
      </w:r>
      <w:r w:rsidR="006176C1">
        <w:rPr>
          <w:rFonts w:ascii="Times New Roman" w:hAnsi="Times New Roman" w:cs="Times New Roman"/>
          <w:sz w:val="21"/>
          <w:szCs w:val="21"/>
        </w:rPr>
        <w:t>The weak demand reflected slow growth rates in industry and services output volumes and still negative developments in construction. On the other hand, higher-</w:t>
      </w:r>
      <w:r w:rsidRPr="00EC356F">
        <w:rPr>
          <w:rFonts w:ascii="Times New Roman" w:hAnsi="Times New Roman" w:cs="Times New Roman"/>
          <w:sz w:val="21"/>
          <w:szCs w:val="21"/>
        </w:rPr>
        <w:t>than</w:t>
      </w:r>
      <w:r w:rsidR="006176C1">
        <w:rPr>
          <w:rFonts w:ascii="Times New Roman" w:hAnsi="Times New Roman" w:cs="Times New Roman"/>
          <w:sz w:val="21"/>
          <w:szCs w:val="21"/>
        </w:rPr>
        <w:t>-</w:t>
      </w:r>
      <w:r w:rsidRPr="00EC356F">
        <w:rPr>
          <w:rFonts w:ascii="Times New Roman" w:hAnsi="Times New Roman" w:cs="Times New Roman"/>
          <w:sz w:val="21"/>
          <w:szCs w:val="21"/>
        </w:rPr>
        <w:t xml:space="preserve">expected output growth </w:t>
      </w:r>
      <w:r w:rsidR="00A700F1">
        <w:rPr>
          <w:rFonts w:ascii="Times New Roman" w:hAnsi="Times New Roman" w:cs="Times New Roman"/>
          <w:sz w:val="21"/>
          <w:szCs w:val="21"/>
        </w:rPr>
        <w:t xml:space="preserve">was reported </w:t>
      </w:r>
      <w:r w:rsidR="006176C1">
        <w:rPr>
          <w:rFonts w:ascii="Times New Roman" w:hAnsi="Times New Roman" w:cs="Times New Roman"/>
          <w:sz w:val="21"/>
          <w:szCs w:val="21"/>
        </w:rPr>
        <w:t>in agriculture</w:t>
      </w:r>
      <w:r w:rsidR="00A700F1">
        <w:rPr>
          <w:rFonts w:ascii="Times New Roman" w:hAnsi="Times New Roman" w:cs="Times New Roman"/>
          <w:sz w:val="21"/>
          <w:szCs w:val="21"/>
        </w:rPr>
        <w:t xml:space="preserve">, which helped to add to the economic activity during the quarter. </w:t>
      </w:r>
      <w:r w:rsidRPr="00EC356F">
        <w:rPr>
          <w:rFonts w:ascii="Times New Roman" w:hAnsi="Times New Roman" w:cs="Times New Roman"/>
          <w:sz w:val="21"/>
          <w:szCs w:val="21"/>
        </w:rPr>
        <w:t xml:space="preserve">As a result, it is expected that economic growth in the </w:t>
      </w:r>
      <w:r w:rsidR="00A700F1">
        <w:rPr>
          <w:rFonts w:ascii="Times New Roman" w:hAnsi="Times New Roman" w:cs="Times New Roman"/>
          <w:sz w:val="21"/>
          <w:szCs w:val="21"/>
        </w:rPr>
        <w:t>3rd</w:t>
      </w:r>
      <w:r w:rsidRPr="00EC356F">
        <w:rPr>
          <w:rFonts w:ascii="Times New Roman" w:hAnsi="Times New Roman" w:cs="Times New Roman"/>
          <w:sz w:val="21"/>
          <w:szCs w:val="21"/>
        </w:rPr>
        <w:t xml:space="preserve"> </w:t>
      </w:r>
      <w:r w:rsidR="00A700F1">
        <w:rPr>
          <w:rFonts w:ascii="Times New Roman" w:hAnsi="Times New Roman" w:cs="Times New Roman"/>
          <w:sz w:val="21"/>
          <w:szCs w:val="21"/>
        </w:rPr>
        <w:t xml:space="preserve">quarter </w:t>
      </w:r>
      <w:r w:rsidRPr="00EC356F">
        <w:rPr>
          <w:rFonts w:ascii="Times New Roman" w:hAnsi="Times New Roman" w:cs="Times New Roman"/>
          <w:sz w:val="21"/>
          <w:szCs w:val="21"/>
        </w:rPr>
        <w:t xml:space="preserve">would be in the range </w:t>
      </w:r>
      <w:r w:rsidRPr="00EC356F">
        <w:rPr>
          <w:rFonts w:ascii="Times New Roman" w:hAnsi="Times New Roman" w:cs="Times New Roman"/>
          <w:b/>
          <w:sz w:val="21"/>
          <w:szCs w:val="21"/>
        </w:rPr>
        <w:t>3.</w:t>
      </w:r>
      <w:r w:rsidR="00A700F1">
        <w:rPr>
          <w:rFonts w:ascii="Times New Roman" w:hAnsi="Times New Roman" w:cs="Times New Roman"/>
          <w:b/>
          <w:sz w:val="21"/>
          <w:szCs w:val="21"/>
        </w:rPr>
        <w:t>5</w:t>
      </w:r>
      <w:r w:rsidRPr="00EC356F">
        <w:rPr>
          <w:rFonts w:ascii="Times New Roman" w:hAnsi="Times New Roman" w:cs="Times New Roman"/>
          <w:b/>
          <w:sz w:val="21"/>
          <w:szCs w:val="21"/>
        </w:rPr>
        <w:t>-3.</w:t>
      </w:r>
      <w:r w:rsidR="00A700F1">
        <w:rPr>
          <w:rFonts w:ascii="Times New Roman" w:hAnsi="Times New Roman" w:cs="Times New Roman"/>
          <w:b/>
          <w:sz w:val="21"/>
          <w:szCs w:val="21"/>
        </w:rPr>
        <w:t>8</w:t>
      </w:r>
      <w:r w:rsidRPr="00EC356F">
        <w:rPr>
          <w:rFonts w:ascii="Times New Roman" w:hAnsi="Times New Roman" w:cs="Times New Roman"/>
          <w:b/>
          <w:sz w:val="21"/>
          <w:szCs w:val="21"/>
        </w:rPr>
        <w:t>% y/y</w:t>
      </w:r>
      <w:r w:rsidRPr="00EC356F">
        <w:rPr>
          <w:rFonts w:ascii="Times New Roman" w:hAnsi="Times New Roman" w:cs="Times New Roman"/>
          <w:sz w:val="21"/>
          <w:szCs w:val="21"/>
        </w:rPr>
        <w:t xml:space="preserve">. </w:t>
      </w:r>
    </w:p>
    <w:p w14:paraId="71248282"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According to short-term forecasts</w:t>
      </w:r>
      <w:r w:rsidRPr="00EC356F">
        <w:rPr>
          <w:rFonts w:ascii="Times New Roman" w:hAnsi="Times New Roman" w:cs="Times New Roman"/>
          <w:sz w:val="21"/>
          <w:szCs w:val="21"/>
        </w:rPr>
        <w:t xml:space="preserve">, private consumption growth rates will </w:t>
      </w:r>
      <w:r w:rsidR="00150D2D">
        <w:rPr>
          <w:rFonts w:ascii="Times New Roman" w:hAnsi="Times New Roman" w:cs="Times New Roman"/>
          <w:sz w:val="21"/>
          <w:szCs w:val="21"/>
        </w:rPr>
        <w:t xml:space="preserve">keep on decelerating </w:t>
      </w:r>
      <w:r w:rsidRPr="00EC356F">
        <w:rPr>
          <w:rFonts w:ascii="Times New Roman" w:hAnsi="Times New Roman" w:cs="Times New Roman"/>
          <w:sz w:val="21"/>
          <w:szCs w:val="21"/>
        </w:rPr>
        <w:t xml:space="preserve">whilst a stable investment environment can be expected, under which circumstance </w:t>
      </w:r>
      <w:r w:rsidR="00150D2D">
        <w:rPr>
          <w:rFonts w:ascii="Times New Roman" w:hAnsi="Times New Roman" w:cs="Times New Roman"/>
          <w:sz w:val="21"/>
          <w:szCs w:val="21"/>
        </w:rPr>
        <w:t xml:space="preserve">the </w:t>
      </w:r>
      <w:r w:rsidRPr="00EC356F">
        <w:rPr>
          <w:rFonts w:ascii="Times New Roman" w:hAnsi="Times New Roman" w:cs="Times New Roman"/>
          <w:sz w:val="21"/>
          <w:szCs w:val="21"/>
        </w:rPr>
        <w:t xml:space="preserve">private consumption will </w:t>
      </w:r>
      <w:r w:rsidR="00150D2D">
        <w:rPr>
          <w:rFonts w:ascii="Times New Roman" w:hAnsi="Times New Roman" w:cs="Times New Roman"/>
          <w:sz w:val="21"/>
          <w:szCs w:val="21"/>
        </w:rPr>
        <w:t xml:space="preserve">reduce </w:t>
      </w:r>
      <w:r w:rsidRPr="00EC356F">
        <w:rPr>
          <w:rFonts w:ascii="Times New Roman" w:hAnsi="Times New Roman" w:cs="Times New Roman"/>
          <w:sz w:val="21"/>
          <w:szCs w:val="21"/>
        </w:rPr>
        <w:t xml:space="preserve">by </w:t>
      </w:r>
      <w:r w:rsidR="00150D2D">
        <w:rPr>
          <w:rFonts w:ascii="Times New Roman" w:hAnsi="Times New Roman" w:cs="Times New Roman"/>
          <w:sz w:val="21"/>
          <w:szCs w:val="21"/>
        </w:rPr>
        <w:t>1</w:t>
      </w:r>
      <w:r w:rsidRPr="00EC356F">
        <w:rPr>
          <w:rFonts w:ascii="Times New Roman" w:hAnsi="Times New Roman" w:cs="Times New Roman"/>
          <w:sz w:val="21"/>
          <w:szCs w:val="21"/>
        </w:rPr>
        <w:t>.</w:t>
      </w:r>
      <w:r w:rsidR="00150D2D">
        <w:rPr>
          <w:rFonts w:ascii="Times New Roman" w:hAnsi="Times New Roman" w:cs="Times New Roman"/>
          <w:sz w:val="21"/>
          <w:szCs w:val="21"/>
        </w:rPr>
        <w:t>7</w:t>
      </w:r>
      <w:r w:rsidRPr="00EC356F">
        <w:rPr>
          <w:rFonts w:ascii="Times New Roman" w:hAnsi="Times New Roman" w:cs="Times New Roman"/>
          <w:sz w:val="21"/>
          <w:szCs w:val="21"/>
        </w:rPr>
        <w:t xml:space="preserve">% </w:t>
      </w:r>
      <w:r w:rsidR="00150D2D">
        <w:rPr>
          <w:rFonts w:ascii="Times New Roman" w:hAnsi="Times New Roman" w:cs="Times New Roman"/>
          <w:sz w:val="21"/>
          <w:szCs w:val="21"/>
        </w:rPr>
        <w:t>but</w:t>
      </w:r>
      <w:r w:rsidRPr="00EC356F">
        <w:rPr>
          <w:rFonts w:ascii="Times New Roman" w:hAnsi="Times New Roman" w:cs="Times New Roman"/>
          <w:sz w:val="21"/>
          <w:szCs w:val="21"/>
        </w:rPr>
        <w:t xml:space="preserve"> </w:t>
      </w:r>
      <w:r w:rsidR="00150D2D">
        <w:rPr>
          <w:rFonts w:ascii="Times New Roman" w:hAnsi="Times New Roman" w:cs="Times New Roman"/>
          <w:sz w:val="21"/>
          <w:szCs w:val="21"/>
        </w:rPr>
        <w:t xml:space="preserve">the </w:t>
      </w:r>
      <w:r w:rsidRPr="00EC356F">
        <w:rPr>
          <w:rFonts w:ascii="Times New Roman" w:hAnsi="Times New Roman" w:cs="Times New Roman"/>
          <w:sz w:val="21"/>
          <w:szCs w:val="21"/>
        </w:rPr>
        <w:t>private investment</w:t>
      </w:r>
      <w:r w:rsidR="00150D2D">
        <w:rPr>
          <w:rFonts w:ascii="Times New Roman" w:hAnsi="Times New Roman" w:cs="Times New Roman"/>
          <w:sz w:val="21"/>
          <w:szCs w:val="21"/>
        </w:rPr>
        <w:t xml:space="preserve"> gr</w:t>
      </w:r>
      <w:r w:rsidR="00705F65">
        <w:rPr>
          <w:rFonts w:ascii="Times New Roman" w:hAnsi="Times New Roman" w:cs="Times New Roman"/>
          <w:sz w:val="21"/>
          <w:szCs w:val="21"/>
        </w:rPr>
        <w:t>ow</w:t>
      </w:r>
      <w:r w:rsidRPr="00EC356F">
        <w:rPr>
          <w:rFonts w:ascii="Times New Roman" w:hAnsi="Times New Roman" w:cs="Times New Roman"/>
          <w:sz w:val="21"/>
          <w:szCs w:val="21"/>
        </w:rPr>
        <w:t xml:space="preserve"> by 1.</w:t>
      </w:r>
      <w:r w:rsidR="00705F65">
        <w:rPr>
          <w:rFonts w:ascii="Times New Roman" w:hAnsi="Times New Roman" w:cs="Times New Roman"/>
          <w:sz w:val="21"/>
          <w:szCs w:val="21"/>
        </w:rPr>
        <w:t>4</w:t>
      </w:r>
      <w:r w:rsidRPr="00EC356F">
        <w:rPr>
          <w:rFonts w:ascii="Times New Roman" w:hAnsi="Times New Roman" w:cs="Times New Roman"/>
          <w:sz w:val="21"/>
          <w:szCs w:val="21"/>
        </w:rPr>
        <w:t>%</w:t>
      </w:r>
      <w:r w:rsidR="00705F65">
        <w:rPr>
          <w:rFonts w:ascii="Times New Roman" w:hAnsi="Times New Roman" w:cs="Times New Roman"/>
          <w:sz w:val="21"/>
          <w:szCs w:val="21"/>
        </w:rPr>
        <w:t xml:space="preserve"> in 2014</w:t>
      </w:r>
      <w:r w:rsidRPr="00EC356F">
        <w:rPr>
          <w:rFonts w:ascii="Times New Roman" w:hAnsi="Times New Roman" w:cs="Times New Roman"/>
          <w:sz w:val="21"/>
          <w:szCs w:val="21"/>
        </w:rPr>
        <w:t xml:space="preserve">. In anticipation of expansionary fiscal policy during the year, the fiscal impulse is </w:t>
      </w:r>
      <w:r w:rsidR="003159D0">
        <w:rPr>
          <w:rFonts w:ascii="Times New Roman" w:hAnsi="Times New Roman" w:cs="Times New Roman"/>
          <w:sz w:val="21"/>
          <w:szCs w:val="21"/>
        </w:rPr>
        <w:t xml:space="preserve">small expansionary [in relation to the previous year]. </w:t>
      </w:r>
      <w:r w:rsidRPr="00EC356F">
        <w:rPr>
          <w:rFonts w:ascii="Times New Roman" w:hAnsi="Times New Roman" w:cs="Times New Roman"/>
          <w:sz w:val="21"/>
          <w:szCs w:val="21"/>
        </w:rPr>
        <w:t xml:space="preserve">Based on the 2014 results, the real growth of export </w:t>
      </w:r>
      <w:r w:rsidR="009826D7">
        <w:rPr>
          <w:rFonts w:ascii="Times New Roman" w:hAnsi="Times New Roman" w:cs="Times New Roman"/>
          <w:sz w:val="21"/>
          <w:szCs w:val="21"/>
        </w:rPr>
        <w:t xml:space="preserve">and import </w:t>
      </w:r>
      <w:r w:rsidRPr="00EC356F">
        <w:rPr>
          <w:rFonts w:ascii="Times New Roman" w:hAnsi="Times New Roman" w:cs="Times New Roman"/>
          <w:sz w:val="21"/>
          <w:szCs w:val="21"/>
        </w:rPr>
        <w:t xml:space="preserve">of goods and services will </w:t>
      </w:r>
      <w:r w:rsidR="009826D7">
        <w:rPr>
          <w:rFonts w:ascii="Times New Roman" w:hAnsi="Times New Roman" w:cs="Times New Roman"/>
          <w:sz w:val="21"/>
          <w:szCs w:val="21"/>
        </w:rPr>
        <w:t>stabilize around 6</w:t>
      </w:r>
      <w:r w:rsidRPr="00EC356F">
        <w:rPr>
          <w:rFonts w:ascii="Times New Roman" w:hAnsi="Times New Roman" w:cs="Times New Roman"/>
          <w:sz w:val="21"/>
          <w:szCs w:val="21"/>
        </w:rPr>
        <w:t xml:space="preserve">.0%, </w:t>
      </w:r>
      <w:r w:rsidR="009826D7">
        <w:rPr>
          <w:rFonts w:ascii="Times New Roman" w:hAnsi="Times New Roman" w:cs="Times New Roman"/>
          <w:sz w:val="21"/>
          <w:szCs w:val="21"/>
        </w:rPr>
        <w:t xml:space="preserve">while a net 3% decline in remittances of individuals is anticipated. </w:t>
      </w:r>
      <w:r w:rsidRPr="00EC356F">
        <w:rPr>
          <w:rFonts w:ascii="Times New Roman" w:hAnsi="Times New Roman" w:cs="Times New Roman"/>
          <w:sz w:val="21"/>
          <w:szCs w:val="21"/>
        </w:rPr>
        <w:t xml:space="preserve">As a result, </w:t>
      </w:r>
      <w:r w:rsidR="009826D7" w:rsidRPr="009826D7">
        <w:rPr>
          <w:rFonts w:ascii="Times New Roman" w:hAnsi="Times New Roman" w:cs="Times New Roman"/>
          <w:b/>
          <w:sz w:val="21"/>
          <w:szCs w:val="21"/>
        </w:rPr>
        <w:t xml:space="preserve">the </w:t>
      </w:r>
      <w:r w:rsidRPr="00EC356F">
        <w:rPr>
          <w:rFonts w:ascii="Times New Roman" w:hAnsi="Times New Roman" w:cs="Times New Roman"/>
          <w:b/>
          <w:sz w:val="21"/>
          <w:szCs w:val="21"/>
        </w:rPr>
        <w:t>economic growth in 2014 is estimated in the range 3.</w:t>
      </w:r>
      <w:r w:rsidR="009826D7">
        <w:rPr>
          <w:rFonts w:ascii="Times New Roman" w:hAnsi="Times New Roman" w:cs="Times New Roman"/>
          <w:b/>
          <w:sz w:val="21"/>
          <w:szCs w:val="21"/>
        </w:rPr>
        <w:t>1</w:t>
      </w:r>
      <w:r w:rsidRPr="00EC356F">
        <w:rPr>
          <w:rFonts w:ascii="Times New Roman" w:hAnsi="Times New Roman" w:cs="Times New Roman"/>
          <w:b/>
          <w:sz w:val="21"/>
          <w:szCs w:val="21"/>
        </w:rPr>
        <w:t>-</w:t>
      </w:r>
      <w:r w:rsidR="009826D7">
        <w:rPr>
          <w:rFonts w:ascii="Times New Roman" w:hAnsi="Times New Roman" w:cs="Times New Roman"/>
          <w:b/>
          <w:sz w:val="21"/>
          <w:szCs w:val="21"/>
        </w:rPr>
        <w:t>3</w:t>
      </w:r>
      <w:r w:rsidRPr="00EC356F">
        <w:rPr>
          <w:rFonts w:ascii="Times New Roman" w:hAnsi="Times New Roman" w:cs="Times New Roman"/>
          <w:b/>
          <w:sz w:val="21"/>
          <w:szCs w:val="21"/>
        </w:rPr>
        <w:t>.</w:t>
      </w:r>
      <w:r w:rsidR="009826D7">
        <w:rPr>
          <w:rFonts w:ascii="Times New Roman" w:hAnsi="Times New Roman" w:cs="Times New Roman"/>
          <w:b/>
          <w:sz w:val="21"/>
          <w:szCs w:val="21"/>
        </w:rPr>
        <w:t>6</w:t>
      </w:r>
      <w:r w:rsidRPr="00EC356F">
        <w:rPr>
          <w:rFonts w:ascii="Times New Roman" w:hAnsi="Times New Roman" w:cs="Times New Roman"/>
          <w:b/>
          <w:sz w:val="21"/>
          <w:szCs w:val="21"/>
        </w:rPr>
        <w:t xml:space="preserve">% </w:t>
      </w:r>
      <w:r w:rsidR="007D015E" w:rsidRPr="007D015E">
        <w:rPr>
          <w:rFonts w:ascii="Times New Roman" w:hAnsi="Times New Roman" w:cs="Times New Roman"/>
          <w:sz w:val="21"/>
          <w:szCs w:val="21"/>
        </w:rPr>
        <w:t>primarily due</w:t>
      </w:r>
      <w:r w:rsidRPr="00EC356F">
        <w:rPr>
          <w:rFonts w:ascii="Times New Roman" w:hAnsi="Times New Roman" w:cs="Times New Roman"/>
          <w:sz w:val="21"/>
          <w:szCs w:val="21"/>
        </w:rPr>
        <w:t xml:space="preserve"> to </w:t>
      </w:r>
      <w:r w:rsidR="005649E4">
        <w:rPr>
          <w:rFonts w:ascii="Times New Roman" w:hAnsi="Times New Roman" w:cs="Times New Roman"/>
          <w:sz w:val="21"/>
          <w:szCs w:val="21"/>
        </w:rPr>
        <w:t xml:space="preserve">the growth </w:t>
      </w:r>
      <w:r w:rsidRPr="00EC356F">
        <w:rPr>
          <w:rFonts w:ascii="Times New Roman" w:hAnsi="Times New Roman" w:cs="Times New Roman"/>
          <w:sz w:val="21"/>
          <w:szCs w:val="21"/>
        </w:rPr>
        <w:t xml:space="preserve">in the agriculture and service sectors (a total contribution of </w:t>
      </w:r>
      <w:r w:rsidR="005649E4">
        <w:rPr>
          <w:rFonts w:ascii="Times New Roman" w:hAnsi="Times New Roman" w:cs="Times New Roman"/>
          <w:sz w:val="21"/>
          <w:szCs w:val="21"/>
        </w:rPr>
        <w:t>3</w:t>
      </w:r>
      <w:r w:rsidRPr="00EC356F">
        <w:rPr>
          <w:rFonts w:ascii="Times New Roman" w:hAnsi="Times New Roman" w:cs="Times New Roman"/>
          <w:sz w:val="21"/>
          <w:szCs w:val="21"/>
        </w:rPr>
        <w:t>.</w:t>
      </w:r>
      <w:r w:rsidR="005649E4">
        <w:rPr>
          <w:rFonts w:ascii="Times New Roman" w:hAnsi="Times New Roman" w:cs="Times New Roman"/>
          <w:sz w:val="21"/>
          <w:szCs w:val="21"/>
        </w:rPr>
        <w:t>0-3.3</w:t>
      </w:r>
      <w:r w:rsidRPr="00EC356F">
        <w:rPr>
          <w:rFonts w:ascii="Times New Roman" w:hAnsi="Times New Roman" w:cs="Times New Roman"/>
          <w:sz w:val="21"/>
          <w:szCs w:val="21"/>
        </w:rPr>
        <w:t xml:space="preserve"> pp).</w:t>
      </w:r>
    </w:p>
    <w:p w14:paraId="20AFA1CD" w14:textId="77777777" w:rsidR="00CB2FFD" w:rsidRDefault="00A9653E" w:rsidP="00CB2FFD">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In the forecast horizon</w:t>
      </w:r>
      <w:r w:rsidRPr="00EC356F">
        <w:rPr>
          <w:rFonts w:ascii="Times New Roman" w:hAnsi="Times New Roman" w:cs="Times New Roman"/>
          <w:sz w:val="21"/>
          <w:szCs w:val="21"/>
        </w:rPr>
        <w:t xml:space="preserve"> the economic growth </w:t>
      </w:r>
      <w:r w:rsidR="00BB5FF2">
        <w:rPr>
          <w:rFonts w:ascii="Times New Roman" w:hAnsi="Times New Roman" w:cs="Times New Roman"/>
          <w:sz w:val="21"/>
          <w:szCs w:val="21"/>
        </w:rPr>
        <w:t>will gradually approach its long-term equilibrium</w:t>
      </w:r>
      <w:r w:rsidRPr="00EC356F">
        <w:rPr>
          <w:rFonts w:ascii="Times New Roman" w:hAnsi="Times New Roman" w:cs="Times New Roman"/>
          <w:sz w:val="21"/>
          <w:szCs w:val="21"/>
        </w:rPr>
        <w:t xml:space="preserve">, reflecting </w:t>
      </w:r>
      <w:r w:rsidR="00BB5FF2">
        <w:rPr>
          <w:rFonts w:ascii="Times New Roman" w:hAnsi="Times New Roman" w:cs="Times New Roman"/>
          <w:sz w:val="21"/>
          <w:szCs w:val="21"/>
        </w:rPr>
        <w:t xml:space="preserve">accelerating </w:t>
      </w:r>
      <w:r w:rsidRPr="00EC356F">
        <w:rPr>
          <w:rFonts w:ascii="Times New Roman" w:hAnsi="Times New Roman" w:cs="Times New Roman"/>
          <w:sz w:val="21"/>
          <w:szCs w:val="21"/>
        </w:rPr>
        <w:t xml:space="preserve">private consumption growth rates and slowly rebounding private investment. </w:t>
      </w:r>
    </w:p>
    <w:p w14:paraId="0CDEF098" w14:textId="77777777" w:rsidR="00956E2D" w:rsidRDefault="00956E2D" w:rsidP="00CB2FFD">
      <w:pPr>
        <w:spacing w:line="360" w:lineRule="auto"/>
        <w:jc w:val="both"/>
        <w:rPr>
          <w:rFonts w:ascii="Sylfaen" w:hAnsi="Sylfaen" w:cs="Times New Roman"/>
          <w:sz w:val="18"/>
          <w:szCs w:val="18"/>
          <w:lang w:val="hy-AM"/>
        </w:rPr>
      </w:pPr>
    </w:p>
    <w:p w14:paraId="5FC0B6C2" w14:textId="77777777" w:rsidR="00CB2FFD" w:rsidRPr="005D13A6" w:rsidRDefault="00CB2FFD" w:rsidP="00CB2FFD">
      <w:pPr>
        <w:spacing w:line="360" w:lineRule="auto"/>
        <w:jc w:val="both"/>
        <w:rPr>
          <w:rFonts w:ascii="Times New Roman" w:hAnsi="Times New Roman" w:cs="Times New Roman"/>
          <w:color w:val="0070C0"/>
          <w:sz w:val="18"/>
          <w:szCs w:val="18"/>
        </w:rPr>
      </w:pPr>
      <w:r w:rsidRPr="005D13A6">
        <w:rPr>
          <w:rFonts w:ascii="Times New Roman" w:hAnsi="Times New Roman" w:cs="Times New Roman"/>
          <w:color w:val="0070C0"/>
          <w:sz w:val="18"/>
          <w:szCs w:val="18"/>
        </w:rPr>
        <w:lastRenderedPageBreak/>
        <w:t>In the forecast horizon, with stabilizing private demand as well as mostly a neutral impact of the fiscal policy, the impact of the domestic economy on aggregate demand is expected to be non-inflationary…</w:t>
      </w:r>
    </w:p>
    <w:p w14:paraId="7F300B83" w14:textId="77777777" w:rsidR="00A9653E" w:rsidRPr="00EC356F" w:rsidRDefault="00A9653E" w:rsidP="00CB2FFD">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Thus, </w:t>
      </w:r>
      <w:r w:rsidRPr="00EC356F">
        <w:rPr>
          <w:rFonts w:ascii="Times New Roman" w:hAnsi="Times New Roman" w:cs="Times New Roman"/>
          <w:b/>
          <w:sz w:val="21"/>
          <w:szCs w:val="21"/>
        </w:rPr>
        <w:t>in the forecast horizon</w:t>
      </w:r>
      <w:r w:rsidRPr="00EC356F">
        <w:rPr>
          <w:rFonts w:ascii="Times New Roman" w:hAnsi="Times New Roman" w:cs="Times New Roman"/>
          <w:sz w:val="21"/>
          <w:szCs w:val="21"/>
        </w:rPr>
        <w:t>,</w:t>
      </w:r>
      <w:r w:rsidRPr="00EC356F">
        <w:rPr>
          <w:rFonts w:ascii="Times New Roman" w:hAnsi="Times New Roman" w:cs="Times New Roman"/>
          <w:b/>
          <w:sz w:val="21"/>
          <w:szCs w:val="21"/>
        </w:rPr>
        <w:t xml:space="preserve"> </w:t>
      </w:r>
      <w:r w:rsidRPr="00EC356F">
        <w:rPr>
          <w:rFonts w:ascii="Times New Roman" w:hAnsi="Times New Roman" w:cs="Times New Roman"/>
          <w:sz w:val="21"/>
          <w:szCs w:val="21"/>
        </w:rPr>
        <w:t xml:space="preserve">with stabilizing private demand as well as mostly a neutral impact of the fiscal policy, </w:t>
      </w:r>
      <w:r w:rsidR="00BB5FF2" w:rsidRPr="00BB5FF2">
        <w:rPr>
          <w:rFonts w:ascii="Times New Roman" w:hAnsi="Times New Roman" w:cs="Times New Roman"/>
          <w:sz w:val="21"/>
          <w:szCs w:val="21"/>
        </w:rPr>
        <w:t xml:space="preserve">the </w:t>
      </w:r>
      <w:r w:rsidR="00BB5FF2" w:rsidRPr="00BB5FF2">
        <w:rPr>
          <w:rFonts w:ascii="Times New Roman" w:hAnsi="Times New Roman" w:cs="Times New Roman"/>
          <w:b/>
          <w:sz w:val="21"/>
          <w:szCs w:val="21"/>
        </w:rPr>
        <w:t>impact of the domestic economy on aggrega</w:t>
      </w:r>
      <w:r w:rsidR="00CB2FFD">
        <w:rPr>
          <w:rFonts w:ascii="Times New Roman" w:hAnsi="Times New Roman" w:cs="Times New Roman"/>
          <w:b/>
          <w:sz w:val="21"/>
          <w:szCs w:val="21"/>
        </w:rPr>
        <w:t xml:space="preserve">te demand is expected to be non </w:t>
      </w:r>
      <w:r w:rsidR="00BB5FF2" w:rsidRPr="00BB5FF2">
        <w:rPr>
          <w:rFonts w:ascii="Times New Roman" w:hAnsi="Times New Roman" w:cs="Times New Roman"/>
          <w:b/>
          <w:sz w:val="21"/>
          <w:szCs w:val="21"/>
        </w:rPr>
        <w:t>inflationary</w:t>
      </w:r>
      <w:r w:rsidR="00BB5FF2">
        <w:rPr>
          <w:rFonts w:ascii="Times New Roman" w:hAnsi="Times New Roman" w:cs="Times New Roman"/>
          <w:sz w:val="21"/>
          <w:szCs w:val="21"/>
        </w:rPr>
        <w:t xml:space="preserve">. </w:t>
      </w:r>
    </w:p>
    <w:p w14:paraId="71369507"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w:t>
      </w:r>
      <w:r w:rsidR="008A1460">
        <w:rPr>
          <w:rFonts w:ascii="Times New Roman" w:hAnsi="Times New Roman" w:cs="Times New Roman"/>
          <w:sz w:val="21"/>
          <w:szCs w:val="21"/>
        </w:rPr>
        <w:t xml:space="preserve">the </w:t>
      </w:r>
      <w:r w:rsidRPr="00EC356F">
        <w:rPr>
          <w:rFonts w:ascii="Times New Roman" w:hAnsi="Times New Roman" w:cs="Times New Roman"/>
          <w:b/>
          <w:sz w:val="21"/>
          <w:szCs w:val="21"/>
        </w:rPr>
        <w:t>external sector</w:t>
      </w:r>
      <w:r w:rsidRPr="00EC356F">
        <w:rPr>
          <w:rFonts w:ascii="Times New Roman" w:hAnsi="Times New Roman" w:cs="Times New Roman"/>
          <w:sz w:val="21"/>
          <w:szCs w:val="21"/>
        </w:rPr>
        <w:t xml:space="preserve"> in the </w:t>
      </w:r>
      <w:r w:rsidR="008A1460">
        <w:rPr>
          <w:rFonts w:ascii="Times New Roman" w:hAnsi="Times New Roman" w:cs="Times New Roman"/>
          <w:sz w:val="21"/>
          <w:szCs w:val="21"/>
        </w:rPr>
        <w:t>3r</w:t>
      </w:r>
      <w:r w:rsidRPr="00EC356F">
        <w:rPr>
          <w:rFonts w:ascii="Times New Roman" w:hAnsi="Times New Roman" w:cs="Times New Roman"/>
          <w:sz w:val="21"/>
          <w:szCs w:val="21"/>
        </w:rPr>
        <w:t xml:space="preserve">d quarter of 2014, geopolitical developments </w:t>
      </w:r>
      <w:r w:rsidR="008A1460">
        <w:rPr>
          <w:rFonts w:ascii="Times New Roman" w:hAnsi="Times New Roman" w:cs="Times New Roman"/>
          <w:sz w:val="21"/>
          <w:szCs w:val="21"/>
        </w:rPr>
        <w:t xml:space="preserve">led to </w:t>
      </w:r>
      <w:r w:rsidRPr="00EC356F">
        <w:rPr>
          <w:rFonts w:ascii="Times New Roman" w:hAnsi="Times New Roman" w:cs="Times New Roman"/>
          <w:sz w:val="21"/>
          <w:szCs w:val="21"/>
        </w:rPr>
        <w:t>more uncertainties</w:t>
      </w:r>
      <w:r w:rsidR="008A1460">
        <w:rPr>
          <w:rFonts w:ascii="Times New Roman" w:hAnsi="Times New Roman" w:cs="Times New Roman"/>
          <w:sz w:val="21"/>
          <w:szCs w:val="21"/>
        </w:rPr>
        <w:t>, and the external demand remained sluggish</w:t>
      </w:r>
      <w:r w:rsidRPr="00EC356F">
        <w:rPr>
          <w:rFonts w:ascii="Times New Roman" w:hAnsi="Times New Roman" w:cs="Times New Roman"/>
          <w:sz w:val="21"/>
          <w:szCs w:val="21"/>
        </w:rPr>
        <w:t xml:space="preserve">. In such a situation, </w:t>
      </w:r>
      <w:r w:rsidR="00981FAB">
        <w:rPr>
          <w:rFonts w:ascii="Times New Roman" w:hAnsi="Times New Roman" w:cs="Times New Roman"/>
          <w:sz w:val="21"/>
          <w:szCs w:val="21"/>
        </w:rPr>
        <w:t xml:space="preserve">the </w:t>
      </w:r>
      <w:r w:rsidRPr="00EC356F">
        <w:rPr>
          <w:rFonts w:ascii="Times New Roman" w:hAnsi="Times New Roman" w:cs="Times New Roman"/>
          <w:sz w:val="21"/>
          <w:szCs w:val="21"/>
        </w:rPr>
        <w:t xml:space="preserve">deflationary patterns prevailed in </w:t>
      </w:r>
      <w:r w:rsidRPr="00EC356F">
        <w:rPr>
          <w:rFonts w:ascii="Times New Roman" w:hAnsi="Times New Roman" w:cs="Times New Roman"/>
          <w:b/>
          <w:sz w:val="21"/>
          <w:szCs w:val="21"/>
        </w:rPr>
        <w:t>international markets of basic commodities and food products</w:t>
      </w:r>
      <w:r w:rsidRPr="00EC356F">
        <w:rPr>
          <w:rFonts w:ascii="Times New Roman" w:hAnsi="Times New Roman" w:cs="Times New Roman"/>
          <w:sz w:val="21"/>
          <w:szCs w:val="21"/>
        </w:rPr>
        <w:t>.</w:t>
      </w:r>
    </w:p>
    <w:p w14:paraId="560011DF" w14:textId="77777777" w:rsidR="00A74CE9" w:rsidRDefault="00A74CE9" w:rsidP="00A9653E">
      <w:pPr>
        <w:spacing w:line="360" w:lineRule="auto"/>
        <w:jc w:val="both"/>
        <w:rPr>
          <w:rFonts w:ascii="Times New Roman" w:hAnsi="Times New Roman" w:cs="Times New Roman"/>
          <w:sz w:val="18"/>
          <w:szCs w:val="18"/>
        </w:rPr>
      </w:pPr>
    </w:p>
    <w:p w14:paraId="5BBA7A3E" w14:textId="77777777" w:rsidR="00D0294B" w:rsidRPr="005D13A6" w:rsidRDefault="00D0294B" w:rsidP="00A9653E">
      <w:pPr>
        <w:spacing w:line="360" w:lineRule="auto"/>
        <w:jc w:val="both"/>
        <w:rPr>
          <w:rFonts w:ascii="Times New Roman" w:hAnsi="Times New Roman" w:cs="Times New Roman"/>
          <w:color w:val="0070C0"/>
          <w:sz w:val="18"/>
          <w:szCs w:val="18"/>
        </w:rPr>
      </w:pPr>
      <w:r w:rsidRPr="005D13A6">
        <w:rPr>
          <w:rFonts w:ascii="Times New Roman" w:hAnsi="Times New Roman" w:cs="Times New Roman"/>
          <w:color w:val="0070C0"/>
          <w:sz w:val="18"/>
          <w:szCs w:val="18"/>
        </w:rPr>
        <w:t>In the forecast horizon, inflationary pressures from both the external demand and international markets of basic commodities and food products are not likely…</w:t>
      </w:r>
    </w:p>
    <w:p w14:paraId="1BF07B63" w14:textId="77777777" w:rsidR="00A9653E" w:rsidRPr="00EC356F" w:rsidRDefault="00A9653E" w:rsidP="00D0294B">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In the forecast horizon</w:t>
      </w:r>
      <w:r w:rsidRPr="00EC356F">
        <w:rPr>
          <w:rFonts w:ascii="Times New Roman" w:hAnsi="Times New Roman" w:cs="Times New Roman"/>
          <w:sz w:val="21"/>
          <w:szCs w:val="21"/>
        </w:rPr>
        <w:t xml:space="preserve">, global economic growth rates will continue to recover at a slow pace, under which conditions </w:t>
      </w:r>
      <w:r w:rsidRPr="00EC356F">
        <w:rPr>
          <w:rFonts w:ascii="Times New Roman" w:hAnsi="Times New Roman" w:cs="Times New Roman"/>
          <w:b/>
          <w:sz w:val="21"/>
          <w:szCs w:val="21"/>
        </w:rPr>
        <w:t xml:space="preserve">inflationary pressures </w:t>
      </w:r>
      <w:r w:rsidR="00A269DF" w:rsidRPr="00A269DF">
        <w:rPr>
          <w:rFonts w:ascii="Times New Roman" w:hAnsi="Times New Roman" w:cs="Times New Roman"/>
          <w:sz w:val="21"/>
          <w:szCs w:val="21"/>
        </w:rPr>
        <w:t>from both</w:t>
      </w:r>
      <w:r w:rsidR="00A269DF">
        <w:rPr>
          <w:rFonts w:ascii="Times New Roman" w:hAnsi="Times New Roman" w:cs="Times New Roman"/>
          <w:sz w:val="21"/>
          <w:szCs w:val="21"/>
        </w:rPr>
        <w:t xml:space="preserve"> the external demand and </w:t>
      </w:r>
      <w:r w:rsidRPr="00EC356F">
        <w:rPr>
          <w:rFonts w:ascii="Times New Roman" w:hAnsi="Times New Roman" w:cs="Times New Roman"/>
          <w:sz w:val="21"/>
          <w:szCs w:val="21"/>
        </w:rPr>
        <w:t xml:space="preserve">international markets of basic commodities and food products </w:t>
      </w:r>
      <w:r w:rsidRPr="00EC356F">
        <w:rPr>
          <w:rFonts w:ascii="Times New Roman" w:hAnsi="Times New Roman" w:cs="Times New Roman"/>
          <w:b/>
          <w:sz w:val="21"/>
          <w:szCs w:val="21"/>
        </w:rPr>
        <w:t>are not likely</w:t>
      </w:r>
      <w:r w:rsidRPr="00EC356F">
        <w:rPr>
          <w:rFonts w:ascii="Times New Roman" w:hAnsi="Times New Roman" w:cs="Times New Roman"/>
          <w:sz w:val="21"/>
          <w:szCs w:val="21"/>
        </w:rPr>
        <w:t>.</w:t>
      </w:r>
      <w:r w:rsidR="00D0294B" w:rsidRPr="00EC356F">
        <w:rPr>
          <w:rFonts w:ascii="Times New Roman" w:hAnsi="Times New Roman" w:cs="Times New Roman"/>
          <w:sz w:val="21"/>
          <w:szCs w:val="21"/>
        </w:rPr>
        <w:t xml:space="preserve"> </w:t>
      </w:r>
    </w:p>
    <w:p w14:paraId="73BA36CA" w14:textId="5196AB09"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B67DB1">
        <w:rPr>
          <w:rFonts w:ascii="Times New Roman" w:hAnsi="Times New Roman" w:cs="Times New Roman"/>
          <w:sz w:val="21"/>
          <w:szCs w:val="21"/>
        </w:rPr>
        <w:t>3r</w:t>
      </w:r>
      <w:r w:rsidRPr="00EC356F">
        <w:rPr>
          <w:rFonts w:ascii="Times New Roman" w:hAnsi="Times New Roman" w:cs="Times New Roman"/>
          <w:sz w:val="21"/>
          <w:szCs w:val="21"/>
        </w:rPr>
        <w:t xml:space="preserve">d quarter of 2014, </w:t>
      </w:r>
      <w:r w:rsidRPr="00EC356F">
        <w:rPr>
          <w:rFonts w:ascii="Times New Roman" w:hAnsi="Times New Roman" w:cs="Times New Roman"/>
          <w:b/>
          <w:sz w:val="21"/>
          <w:szCs w:val="21"/>
        </w:rPr>
        <w:t>the 12-month inflation rate</w:t>
      </w:r>
      <w:r w:rsidRPr="00EC356F">
        <w:rPr>
          <w:rFonts w:ascii="Times New Roman" w:hAnsi="Times New Roman" w:cs="Times New Roman"/>
          <w:sz w:val="21"/>
          <w:szCs w:val="21"/>
        </w:rPr>
        <w:t xml:space="preserve"> further trended down to</w:t>
      </w:r>
      <w:r w:rsidR="00B67DB1">
        <w:rPr>
          <w:rFonts w:ascii="Times New Roman" w:hAnsi="Times New Roman" w:cs="Times New Roman"/>
          <w:sz w:val="21"/>
          <w:szCs w:val="21"/>
        </w:rPr>
        <w:t xml:space="preserve"> 0.4% in</w:t>
      </w:r>
      <w:r w:rsidRPr="00EC356F">
        <w:rPr>
          <w:rFonts w:ascii="Times New Roman" w:hAnsi="Times New Roman" w:cs="Times New Roman"/>
          <w:sz w:val="21"/>
          <w:szCs w:val="21"/>
        </w:rPr>
        <w:t xml:space="preserve"> Ju</w:t>
      </w:r>
      <w:r w:rsidR="00B67DB1">
        <w:rPr>
          <w:rFonts w:ascii="Times New Roman" w:hAnsi="Times New Roman" w:cs="Times New Roman"/>
          <w:sz w:val="21"/>
          <w:szCs w:val="21"/>
        </w:rPr>
        <w:t xml:space="preserve">ly but began increasing gradually during the next two months. As a result, </w:t>
      </w:r>
      <w:r w:rsidR="00B67DB1" w:rsidRPr="00B67DB1">
        <w:rPr>
          <w:rFonts w:ascii="Times New Roman" w:hAnsi="Times New Roman" w:cs="Times New Roman"/>
          <w:b/>
          <w:sz w:val="21"/>
          <w:szCs w:val="21"/>
        </w:rPr>
        <w:t>in late September the 12-month inflation rate was 1.5%</w:t>
      </w:r>
      <w:r w:rsidR="00B67DB1">
        <w:rPr>
          <w:rFonts w:ascii="Times New Roman" w:hAnsi="Times New Roman" w:cs="Times New Roman"/>
          <w:sz w:val="21"/>
          <w:szCs w:val="21"/>
        </w:rPr>
        <w:t xml:space="preserve">, still </w:t>
      </w:r>
      <w:r w:rsidRPr="00EC356F">
        <w:rPr>
          <w:rFonts w:ascii="Times New Roman" w:hAnsi="Times New Roman" w:cs="Times New Roman"/>
          <w:sz w:val="21"/>
          <w:szCs w:val="21"/>
        </w:rPr>
        <w:t xml:space="preserve">below the lower bound of the confidence band. </w:t>
      </w:r>
      <w:r w:rsidR="00F67B30">
        <w:rPr>
          <w:rFonts w:ascii="Times New Roman" w:hAnsi="Times New Roman" w:cs="Times New Roman"/>
          <w:sz w:val="21"/>
          <w:szCs w:val="21"/>
        </w:rPr>
        <w:t>In the 3rd</w:t>
      </w:r>
      <w:r w:rsidRPr="00EC356F">
        <w:rPr>
          <w:rFonts w:ascii="Times New Roman" w:hAnsi="Times New Roman" w:cs="Times New Roman"/>
          <w:sz w:val="21"/>
          <w:szCs w:val="21"/>
        </w:rPr>
        <w:t xml:space="preserve"> quarter, core inflation </w:t>
      </w:r>
      <w:r w:rsidR="00F67B30">
        <w:rPr>
          <w:rFonts w:ascii="Times New Roman" w:hAnsi="Times New Roman" w:cs="Times New Roman"/>
          <w:sz w:val="21"/>
          <w:szCs w:val="21"/>
        </w:rPr>
        <w:t>also demonstrated a changed pattern as</w:t>
      </w:r>
      <w:r w:rsidRPr="00EC356F">
        <w:rPr>
          <w:rFonts w:ascii="Times New Roman" w:hAnsi="Times New Roman" w:cs="Times New Roman"/>
          <w:sz w:val="21"/>
          <w:szCs w:val="21"/>
        </w:rPr>
        <w:t xml:space="preserve"> its 12-month indicator </w:t>
      </w:r>
      <w:r w:rsidR="00F67B30">
        <w:rPr>
          <w:rFonts w:ascii="Times New Roman" w:hAnsi="Times New Roman" w:cs="Times New Roman"/>
          <w:sz w:val="21"/>
          <w:szCs w:val="21"/>
        </w:rPr>
        <w:t xml:space="preserve">rose by </w:t>
      </w:r>
      <w:r w:rsidRPr="00EC356F">
        <w:rPr>
          <w:rFonts w:ascii="Times New Roman" w:hAnsi="Times New Roman" w:cs="Times New Roman"/>
          <w:sz w:val="21"/>
          <w:szCs w:val="21"/>
        </w:rPr>
        <w:t>0.</w:t>
      </w:r>
      <w:r w:rsidR="008B5247">
        <w:rPr>
          <w:rFonts w:ascii="Times New Roman" w:hAnsi="Times New Roman" w:cs="Times New Roman"/>
          <w:sz w:val="21"/>
          <w:szCs w:val="21"/>
        </w:rPr>
        <w:t xml:space="preserve"> 6</w:t>
      </w:r>
      <w:r w:rsidR="00F67B30">
        <w:rPr>
          <w:rFonts w:ascii="Times New Roman" w:hAnsi="Times New Roman" w:cs="Times New Roman"/>
          <w:sz w:val="21"/>
          <w:szCs w:val="21"/>
        </w:rPr>
        <w:t xml:space="preserve"> pp to 1.0% in late September</w:t>
      </w:r>
      <w:r w:rsidRPr="00EC356F">
        <w:rPr>
          <w:rFonts w:ascii="Times New Roman" w:hAnsi="Times New Roman" w:cs="Times New Roman"/>
          <w:sz w:val="21"/>
          <w:szCs w:val="21"/>
        </w:rPr>
        <w:t xml:space="preserve">. </w:t>
      </w:r>
    </w:p>
    <w:p w14:paraId="49D4DB91" w14:textId="0558A132"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 xml:space="preserve">In the </w:t>
      </w:r>
      <w:r w:rsidR="001722E2">
        <w:rPr>
          <w:rFonts w:ascii="Times New Roman" w:hAnsi="Times New Roman" w:cs="Times New Roman"/>
          <w:b/>
          <w:sz w:val="21"/>
          <w:szCs w:val="21"/>
        </w:rPr>
        <w:t>3r</w:t>
      </w:r>
      <w:r w:rsidRPr="00EC356F">
        <w:rPr>
          <w:rFonts w:ascii="Times New Roman" w:hAnsi="Times New Roman" w:cs="Times New Roman"/>
          <w:b/>
          <w:sz w:val="21"/>
          <w:szCs w:val="21"/>
        </w:rPr>
        <w:t>d quarter of 2014, the Central Bank reduced the refinancing rate by 0.</w:t>
      </w:r>
      <w:r w:rsidR="001722E2">
        <w:rPr>
          <w:rFonts w:ascii="Times New Roman" w:hAnsi="Times New Roman" w:cs="Times New Roman"/>
          <w:b/>
          <w:sz w:val="21"/>
          <w:szCs w:val="21"/>
        </w:rPr>
        <w:t>2</w:t>
      </w:r>
      <w:r w:rsidRPr="00EC356F">
        <w:rPr>
          <w:rFonts w:ascii="Times New Roman" w:hAnsi="Times New Roman" w:cs="Times New Roman"/>
          <w:b/>
          <w:sz w:val="21"/>
          <w:szCs w:val="21"/>
        </w:rPr>
        <w:t>5 pp</w:t>
      </w:r>
      <w:r w:rsidRPr="00EC356F">
        <w:rPr>
          <w:rFonts w:ascii="Times New Roman" w:hAnsi="Times New Roman" w:cs="Times New Roman"/>
          <w:sz w:val="21"/>
          <w:szCs w:val="21"/>
        </w:rPr>
        <w:t xml:space="preserve"> to </w:t>
      </w:r>
      <w:r w:rsidR="001722E2">
        <w:rPr>
          <w:rFonts w:ascii="Times New Roman" w:hAnsi="Times New Roman" w:cs="Times New Roman"/>
          <w:sz w:val="21"/>
          <w:szCs w:val="21"/>
        </w:rPr>
        <w:t>6</w:t>
      </w:r>
      <w:r w:rsidRPr="00EC356F">
        <w:rPr>
          <w:rFonts w:ascii="Times New Roman" w:hAnsi="Times New Roman" w:cs="Times New Roman"/>
          <w:sz w:val="21"/>
          <w:szCs w:val="21"/>
        </w:rPr>
        <w:t>.</w:t>
      </w:r>
      <w:r w:rsidR="001722E2">
        <w:rPr>
          <w:rFonts w:ascii="Times New Roman" w:hAnsi="Times New Roman" w:cs="Times New Roman"/>
          <w:sz w:val="21"/>
          <w:szCs w:val="21"/>
        </w:rPr>
        <w:t>75</w:t>
      </w:r>
      <w:r w:rsidRPr="00EC356F">
        <w:rPr>
          <w:rFonts w:ascii="Times New Roman" w:hAnsi="Times New Roman" w:cs="Times New Roman"/>
          <w:sz w:val="21"/>
          <w:szCs w:val="21"/>
        </w:rPr>
        <w:t xml:space="preserve">% in late </w:t>
      </w:r>
      <w:r w:rsidR="001722E2">
        <w:rPr>
          <w:rFonts w:ascii="Times New Roman" w:hAnsi="Times New Roman" w:cs="Times New Roman"/>
          <w:sz w:val="21"/>
          <w:szCs w:val="21"/>
        </w:rPr>
        <w:t>September</w:t>
      </w:r>
      <w:r w:rsidRPr="00EC356F">
        <w:rPr>
          <w:rFonts w:ascii="Times New Roman" w:hAnsi="Times New Roman" w:cs="Times New Roman"/>
          <w:sz w:val="21"/>
          <w:szCs w:val="21"/>
        </w:rPr>
        <w:t xml:space="preserve"> (see details in section 3.1.1 Actual inflation and </w:t>
      </w:r>
      <w:r w:rsidR="00F5197E">
        <w:rPr>
          <w:rFonts w:ascii="Times New Roman" w:hAnsi="Times New Roman" w:cs="Times New Roman"/>
          <w:sz w:val="21"/>
          <w:szCs w:val="21"/>
        </w:rPr>
        <w:t xml:space="preserve">fulfilment </w:t>
      </w:r>
      <w:r w:rsidRPr="00EC356F">
        <w:rPr>
          <w:rFonts w:ascii="Times New Roman" w:hAnsi="Times New Roman" w:cs="Times New Roman"/>
          <w:sz w:val="21"/>
          <w:szCs w:val="21"/>
        </w:rPr>
        <w:t>of</w:t>
      </w:r>
      <w:r w:rsidR="00F5197E">
        <w:rPr>
          <w:rFonts w:ascii="Times New Roman" w:hAnsi="Times New Roman" w:cs="Times New Roman"/>
          <w:sz w:val="21"/>
          <w:szCs w:val="21"/>
        </w:rPr>
        <w:t xml:space="preserve"> the inflation</w:t>
      </w:r>
      <w:r w:rsidRPr="00EC356F">
        <w:rPr>
          <w:rFonts w:ascii="Times New Roman" w:hAnsi="Times New Roman" w:cs="Times New Roman"/>
          <w:sz w:val="21"/>
          <w:szCs w:val="21"/>
        </w:rPr>
        <w:t xml:space="preserve"> target). </w:t>
      </w:r>
    </w:p>
    <w:p w14:paraId="05F83101" w14:textId="6B372F44"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w:t>
      </w:r>
      <w:r w:rsidR="0076331C">
        <w:rPr>
          <w:rFonts w:ascii="Times New Roman" w:hAnsi="Times New Roman" w:cs="Times New Roman"/>
          <w:sz w:val="21"/>
          <w:szCs w:val="21"/>
        </w:rPr>
        <w:t xml:space="preserve">spite of expected low demand in both external and domestic economies, the </w:t>
      </w:r>
      <w:r w:rsidR="0076331C" w:rsidRPr="0076331C">
        <w:rPr>
          <w:rFonts w:ascii="Times New Roman" w:hAnsi="Times New Roman" w:cs="Times New Roman"/>
          <w:b/>
          <w:sz w:val="21"/>
          <w:szCs w:val="21"/>
        </w:rPr>
        <w:t>Central Bank predicts</w:t>
      </w:r>
      <w:r w:rsidR="0076331C">
        <w:rPr>
          <w:rFonts w:ascii="Times New Roman" w:hAnsi="Times New Roman" w:cs="Times New Roman"/>
          <w:sz w:val="21"/>
          <w:szCs w:val="21"/>
        </w:rPr>
        <w:t xml:space="preserve"> rebounded inflation rates in the short run as a result of </w:t>
      </w:r>
      <w:r w:rsidR="0076331C" w:rsidRPr="00EC356F">
        <w:rPr>
          <w:rFonts w:ascii="Times New Roman" w:hAnsi="Times New Roman" w:cs="Times New Roman"/>
          <w:b/>
          <w:sz w:val="21"/>
          <w:szCs w:val="21"/>
        </w:rPr>
        <w:t>stamp duty introduced</w:t>
      </w:r>
      <w:r w:rsidR="0076331C" w:rsidRPr="00EC356F">
        <w:rPr>
          <w:rFonts w:ascii="Times New Roman" w:hAnsi="Times New Roman" w:cs="Times New Roman"/>
          <w:sz w:val="21"/>
          <w:szCs w:val="21"/>
        </w:rPr>
        <w:t xml:space="preserve"> to a variety of goods starting from the 4th quarter of 2014</w:t>
      </w:r>
      <w:r w:rsidR="0076331C">
        <w:rPr>
          <w:rFonts w:ascii="Times New Roman" w:hAnsi="Times New Roman" w:cs="Times New Roman"/>
          <w:sz w:val="21"/>
          <w:szCs w:val="21"/>
        </w:rPr>
        <w:t xml:space="preserve"> as well as </w:t>
      </w:r>
      <w:r w:rsidR="0076331C" w:rsidRPr="00B76C58">
        <w:rPr>
          <w:rFonts w:ascii="Times New Roman" w:hAnsi="Times New Roman" w:cs="Times New Roman"/>
          <w:b/>
          <w:sz w:val="21"/>
          <w:szCs w:val="21"/>
        </w:rPr>
        <w:t xml:space="preserve">Armenia’s membership to the Eurasia Economic </w:t>
      </w:r>
      <w:r w:rsidR="001843F3">
        <w:rPr>
          <w:rFonts w:ascii="Times New Roman" w:hAnsi="Times New Roman" w:cs="Times New Roman"/>
          <w:b/>
          <w:sz w:val="21"/>
          <w:szCs w:val="21"/>
        </w:rPr>
        <w:t xml:space="preserve">Community </w:t>
      </w:r>
      <w:r w:rsidR="0076331C" w:rsidRPr="00B76C58">
        <w:rPr>
          <w:rFonts w:ascii="Times New Roman" w:hAnsi="Times New Roman" w:cs="Times New Roman"/>
          <w:b/>
          <w:sz w:val="21"/>
          <w:szCs w:val="21"/>
        </w:rPr>
        <w:t>due on January 2015</w:t>
      </w:r>
      <w:r w:rsidR="0076331C">
        <w:rPr>
          <w:rFonts w:ascii="Times New Roman" w:hAnsi="Times New Roman" w:cs="Times New Roman"/>
          <w:sz w:val="21"/>
          <w:szCs w:val="21"/>
        </w:rPr>
        <w:t xml:space="preserve">. </w:t>
      </w:r>
      <w:r w:rsidR="00B76C58">
        <w:rPr>
          <w:rFonts w:ascii="Times New Roman" w:hAnsi="Times New Roman" w:cs="Times New Roman"/>
          <w:sz w:val="21"/>
          <w:szCs w:val="21"/>
        </w:rPr>
        <w:t>Under these conditions, t</w:t>
      </w:r>
      <w:r w:rsidRPr="00EC356F">
        <w:rPr>
          <w:rFonts w:ascii="Times New Roman" w:hAnsi="Times New Roman" w:cs="Times New Roman"/>
          <w:sz w:val="21"/>
          <w:szCs w:val="21"/>
        </w:rPr>
        <w:t xml:space="preserve">he easing of monetary conditions to date </w:t>
      </w:r>
      <w:r w:rsidR="00B76C58">
        <w:rPr>
          <w:rFonts w:ascii="Times New Roman" w:hAnsi="Times New Roman" w:cs="Times New Roman"/>
          <w:sz w:val="21"/>
          <w:szCs w:val="21"/>
        </w:rPr>
        <w:t xml:space="preserve">is </w:t>
      </w:r>
      <w:r w:rsidR="000678A6">
        <w:rPr>
          <w:rFonts w:ascii="Times New Roman" w:hAnsi="Times New Roman" w:cs="Times New Roman"/>
          <w:sz w:val="21"/>
          <w:szCs w:val="21"/>
        </w:rPr>
        <w:t xml:space="preserve">believed to be </w:t>
      </w:r>
      <w:r w:rsidR="00B76C58">
        <w:rPr>
          <w:rFonts w:ascii="Times New Roman" w:hAnsi="Times New Roman" w:cs="Times New Roman"/>
          <w:sz w:val="21"/>
          <w:szCs w:val="21"/>
        </w:rPr>
        <w:t xml:space="preserve">enough for the </w:t>
      </w:r>
      <w:r w:rsidR="00856840">
        <w:rPr>
          <w:rFonts w:ascii="Times New Roman" w:hAnsi="Times New Roman" w:cs="Times New Roman"/>
          <w:sz w:val="21"/>
          <w:szCs w:val="21"/>
        </w:rPr>
        <w:t xml:space="preserve">fulfilment </w:t>
      </w:r>
      <w:r w:rsidR="00B76C58">
        <w:rPr>
          <w:rFonts w:ascii="Times New Roman" w:hAnsi="Times New Roman" w:cs="Times New Roman"/>
          <w:sz w:val="21"/>
          <w:szCs w:val="21"/>
        </w:rPr>
        <w:t xml:space="preserve">of the inflation target in the short run. </w:t>
      </w:r>
    </w:p>
    <w:p w14:paraId="1D7CB959" w14:textId="77777777" w:rsidR="00D4255C"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Risks to inflation deviating from the </w:t>
      </w:r>
      <w:r w:rsidRPr="00EC356F">
        <w:rPr>
          <w:rFonts w:ascii="Times New Roman" w:hAnsi="Times New Roman" w:cs="Times New Roman"/>
          <w:b/>
          <w:sz w:val="21"/>
          <w:szCs w:val="21"/>
        </w:rPr>
        <w:t>projected value</w:t>
      </w:r>
      <w:r w:rsidRPr="00EC356F">
        <w:rPr>
          <w:rFonts w:ascii="Times New Roman" w:hAnsi="Times New Roman" w:cs="Times New Roman"/>
          <w:sz w:val="21"/>
          <w:szCs w:val="21"/>
        </w:rPr>
        <w:t xml:space="preserve"> are estimated as </w:t>
      </w:r>
      <w:r w:rsidRPr="00EC356F">
        <w:rPr>
          <w:rFonts w:ascii="Times New Roman" w:hAnsi="Times New Roman" w:cs="Times New Roman"/>
          <w:b/>
          <w:sz w:val="21"/>
          <w:szCs w:val="21"/>
        </w:rPr>
        <w:t>balanced</w:t>
      </w:r>
      <w:r w:rsidRPr="00EC356F">
        <w:rPr>
          <w:rFonts w:ascii="Times New Roman" w:hAnsi="Times New Roman" w:cs="Times New Roman"/>
          <w:sz w:val="21"/>
          <w:szCs w:val="21"/>
        </w:rPr>
        <w:t xml:space="preserve"> in both short and medium-term perspectives. </w:t>
      </w:r>
      <w:r w:rsidRPr="00EC356F">
        <w:rPr>
          <w:rFonts w:ascii="Times New Roman" w:hAnsi="Times New Roman" w:cs="Times New Roman"/>
          <w:b/>
          <w:sz w:val="21"/>
          <w:szCs w:val="21"/>
        </w:rPr>
        <w:t>External sector risks</w:t>
      </w:r>
      <w:r w:rsidRPr="00EC356F">
        <w:rPr>
          <w:rFonts w:ascii="Times New Roman" w:hAnsi="Times New Roman" w:cs="Times New Roman"/>
          <w:sz w:val="21"/>
          <w:szCs w:val="21"/>
        </w:rPr>
        <w:t xml:space="preserve"> are primarily associated with </w:t>
      </w:r>
      <w:r w:rsidR="00657375">
        <w:rPr>
          <w:rFonts w:ascii="Times New Roman" w:hAnsi="Times New Roman" w:cs="Times New Roman"/>
          <w:sz w:val="21"/>
          <w:szCs w:val="21"/>
        </w:rPr>
        <w:t xml:space="preserve">global economic growth rates bouncing back as well as </w:t>
      </w:r>
      <w:r w:rsidR="000A1B80">
        <w:rPr>
          <w:rFonts w:ascii="Sylfaen" w:hAnsi="Sylfaen" w:cs="Times New Roman"/>
          <w:sz w:val="21"/>
          <w:szCs w:val="21"/>
          <w:lang w:val="hy-AM"/>
        </w:rPr>
        <w:t xml:space="preserve">տնտեսական ու աշխարհաքաղաքական </w:t>
      </w:r>
      <w:r w:rsidRPr="00EC356F">
        <w:rPr>
          <w:rFonts w:ascii="Times New Roman" w:hAnsi="Times New Roman" w:cs="Times New Roman"/>
          <w:sz w:val="21"/>
          <w:szCs w:val="21"/>
        </w:rPr>
        <w:t xml:space="preserve">development perspectives in emerging economies, and Russia in particular, and how their potential impact would be spilled over to basic commodities and food product markets. </w:t>
      </w:r>
      <w:r w:rsidRPr="00EC356F">
        <w:rPr>
          <w:rFonts w:ascii="Times New Roman" w:hAnsi="Times New Roman" w:cs="Times New Roman"/>
          <w:b/>
          <w:sz w:val="21"/>
          <w:szCs w:val="21"/>
        </w:rPr>
        <w:t xml:space="preserve">Risks deriving from the domestic </w:t>
      </w:r>
      <w:r w:rsidRPr="00EC356F">
        <w:rPr>
          <w:rFonts w:ascii="Times New Roman" w:hAnsi="Times New Roman" w:cs="Times New Roman"/>
          <w:b/>
          <w:sz w:val="21"/>
          <w:szCs w:val="21"/>
        </w:rPr>
        <w:lastRenderedPageBreak/>
        <w:t xml:space="preserve">environment </w:t>
      </w:r>
      <w:r w:rsidRPr="00EC356F">
        <w:rPr>
          <w:rFonts w:ascii="Times New Roman" w:hAnsi="Times New Roman" w:cs="Times New Roman"/>
          <w:sz w:val="21"/>
          <w:szCs w:val="21"/>
        </w:rPr>
        <w:t xml:space="preserve">are attributable to domestic demand developments, particularly </w:t>
      </w:r>
      <w:r w:rsidR="001A2C3B">
        <w:rPr>
          <w:rFonts w:ascii="Times New Roman" w:hAnsi="Times New Roman" w:cs="Times New Roman"/>
          <w:sz w:val="21"/>
          <w:szCs w:val="21"/>
        </w:rPr>
        <w:t>private consumption growth rates</w:t>
      </w:r>
      <w:r w:rsidR="00D4255C">
        <w:rPr>
          <w:rFonts w:ascii="Times New Roman" w:hAnsi="Times New Roman" w:cs="Times New Roman"/>
          <w:sz w:val="21"/>
          <w:szCs w:val="21"/>
        </w:rPr>
        <w:t xml:space="preserve">, </w:t>
      </w:r>
      <w:r w:rsidRPr="00EC356F">
        <w:rPr>
          <w:rFonts w:ascii="Times New Roman" w:hAnsi="Times New Roman" w:cs="Times New Roman"/>
          <w:sz w:val="21"/>
          <w:szCs w:val="21"/>
        </w:rPr>
        <w:t>capital investment</w:t>
      </w:r>
      <w:r w:rsidR="00D4255C" w:rsidRPr="00D4255C">
        <w:rPr>
          <w:rFonts w:ascii="Times New Roman" w:hAnsi="Times New Roman" w:cs="Times New Roman"/>
          <w:sz w:val="21"/>
          <w:szCs w:val="21"/>
        </w:rPr>
        <w:t xml:space="preserve"> </w:t>
      </w:r>
      <w:r w:rsidR="00D4255C">
        <w:rPr>
          <w:rFonts w:ascii="Times New Roman" w:hAnsi="Times New Roman" w:cs="Times New Roman"/>
          <w:sz w:val="21"/>
          <w:szCs w:val="21"/>
        </w:rPr>
        <w:t xml:space="preserve">recovery rates, the economic effects from Armenia’s membership to the Eurasia Economic </w:t>
      </w:r>
      <w:r w:rsidR="001843F3">
        <w:rPr>
          <w:rFonts w:ascii="Times New Roman" w:hAnsi="Times New Roman" w:cs="Times New Roman"/>
          <w:sz w:val="21"/>
          <w:szCs w:val="21"/>
        </w:rPr>
        <w:t>Community</w:t>
      </w:r>
      <w:r w:rsidR="00D4255C">
        <w:rPr>
          <w:rFonts w:ascii="Times New Roman" w:hAnsi="Times New Roman" w:cs="Times New Roman"/>
          <w:sz w:val="21"/>
          <w:szCs w:val="21"/>
        </w:rPr>
        <w:t>, the inflationary effects of the stamp duty and</w:t>
      </w:r>
      <w:r w:rsidRPr="00EC356F">
        <w:rPr>
          <w:rFonts w:ascii="Times New Roman" w:hAnsi="Times New Roman" w:cs="Times New Roman"/>
          <w:sz w:val="21"/>
          <w:szCs w:val="21"/>
        </w:rPr>
        <w:t xml:space="preserve"> the developments in agriculture sector which is largely reliant on climatic conditions. </w:t>
      </w:r>
    </w:p>
    <w:p w14:paraId="54DF57D5"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If such risks materialize, the Central Bank will react accordingly by maintaining the inflation target in the medium run.</w:t>
      </w:r>
    </w:p>
    <w:p w14:paraId="173971AE" w14:textId="77777777" w:rsidR="00A9653E" w:rsidRPr="00EC356F" w:rsidRDefault="00A9653E" w:rsidP="00A9653E">
      <w:pPr>
        <w:spacing w:line="360" w:lineRule="auto"/>
        <w:jc w:val="both"/>
        <w:rPr>
          <w:rStyle w:val="longtext"/>
          <w:rFonts w:ascii="Times New Roman" w:hAnsi="Times New Roman" w:cs="Times New Roman"/>
          <w:b/>
          <w:color w:val="000000"/>
          <w:sz w:val="21"/>
          <w:szCs w:val="21"/>
          <w:shd w:val="clear" w:color="auto" w:fill="FFFFFF"/>
        </w:rPr>
      </w:pPr>
      <w:r w:rsidRPr="00EC356F">
        <w:rPr>
          <w:rStyle w:val="longtext"/>
          <w:rFonts w:ascii="Times New Roman" w:hAnsi="Times New Roman" w:cs="Times New Roman"/>
          <w:b/>
          <w:color w:val="000000"/>
          <w:sz w:val="21"/>
          <w:szCs w:val="21"/>
          <w:shd w:val="clear" w:color="auto" w:fill="FFFFFF"/>
        </w:rPr>
        <w:t>2. FORECAST, FORECAST CHANGES, RISKS</w:t>
      </w:r>
    </w:p>
    <w:p w14:paraId="11CAD7E3" w14:textId="77777777" w:rsidR="00A9653E" w:rsidRPr="00EC356F" w:rsidRDefault="00A9653E" w:rsidP="00A9653E">
      <w:pPr>
        <w:spacing w:line="360" w:lineRule="auto"/>
        <w:jc w:val="both"/>
        <w:rPr>
          <w:rStyle w:val="longtext"/>
          <w:rFonts w:ascii="Times New Roman" w:hAnsi="Times New Roman" w:cs="Times New Roman"/>
          <w:b/>
          <w:color w:val="000000"/>
          <w:sz w:val="21"/>
          <w:szCs w:val="21"/>
          <w:shd w:val="clear" w:color="auto" w:fill="FFFFFF"/>
        </w:rPr>
      </w:pPr>
      <w:r w:rsidRPr="00EC356F">
        <w:rPr>
          <w:rStyle w:val="longtext"/>
          <w:rFonts w:ascii="Times New Roman" w:hAnsi="Times New Roman" w:cs="Times New Roman"/>
          <w:b/>
          <w:color w:val="000000"/>
          <w:sz w:val="21"/>
          <w:szCs w:val="21"/>
          <w:shd w:val="clear" w:color="auto" w:fill="FFFFFF"/>
        </w:rPr>
        <w:t>2.1 External environment</w:t>
      </w:r>
      <w:r w:rsidR="00F42F6B">
        <w:rPr>
          <w:rStyle w:val="FootnoteReference"/>
          <w:rFonts w:ascii="Times New Roman" w:hAnsi="Times New Roman" w:cs="Times New Roman"/>
          <w:b/>
          <w:color w:val="000000"/>
          <w:sz w:val="21"/>
          <w:szCs w:val="21"/>
          <w:shd w:val="clear" w:color="auto" w:fill="FFFFFF"/>
        </w:rPr>
        <w:footnoteReference w:customMarkFollows="1" w:id="1"/>
        <w:t>1</w:t>
      </w:r>
    </w:p>
    <w:p w14:paraId="2DC8D15E" w14:textId="77777777" w:rsidR="00A9653E" w:rsidRDefault="00A9653E" w:rsidP="00A9653E">
      <w:pPr>
        <w:spacing w:line="360" w:lineRule="auto"/>
        <w:jc w:val="both"/>
        <w:rPr>
          <w:rStyle w:val="longtext"/>
          <w:rFonts w:ascii="Times New Roman" w:hAnsi="Times New Roman" w:cs="Times New Roman"/>
          <w:b/>
          <w:color w:val="000000"/>
          <w:sz w:val="21"/>
          <w:szCs w:val="21"/>
          <w:shd w:val="clear" w:color="auto" w:fill="FFFFFF"/>
        </w:rPr>
      </w:pPr>
    </w:p>
    <w:p w14:paraId="0C14DBF1" w14:textId="77777777" w:rsidR="00655EF4" w:rsidRPr="005D13A6" w:rsidRDefault="00655EF4" w:rsidP="00A9653E">
      <w:pPr>
        <w:spacing w:line="360" w:lineRule="auto"/>
        <w:jc w:val="both"/>
        <w:rPr>
          <w:rStyle w:val="longtext"/>
          <w:rFonts w:ascii="Times New Roman" w:hAnsi="Times New Roman" w:cs="Times New Roman"/>
          <w:color w:val="0070C0"/>
          <w:sz w:val="18"/>
          <w:szCs w:val="18"/>
          <w:shd w:val="clear" w:color="auto" w:fill="FFFFFF"/>
        </w:rPr>
      </w:pPr>
      <w:r w:rsidRPr="005D13A6">
        <w:rPr>
          <w:rStyle w:val="longtext"/>
          <w:rFonts w:ascii="Times New Roman" w:hAnsi="Times New Roman" w:cs="Times New Roman"/>
          <w:color w:val="0070C0"/>
          <w:sz w:val="18"/>
          <w:szCs w:val="18"/>
          <w:shd w:val="clear" w:color="auto" w:fill="FFFFFF"/>
        </w:rPr>
        <w:t>The global economic growth slowing will lead to a certain deflationary environment in the external sector…</w:t>
      </w:r>
    </w:p>
    <w:p w14:paraId="17466965" w14:textId="77777777" w:rsidR="00A9653E" w:rsidRPr="00EC356F" w:rsidRDefault="00A9653E" w:rsidP="00A9653E">
      <w:pPr>
        <w:spacing w:line="360" w:lineRule="auto"/>
        <w:jc w:val="both"/>
        <w:rPr>
          <w:rStyle w:val="longtext"/>
          <w:rFonts w:ascii="Times New Roman" w:hAnsi="Times New Roman" w:cs="Times New Roman"/>
          <w:b/>
          <w:color w:val="000000"/>
          <w:sz w:val="21"/>
          <w:szCs w:val="21"/>
          <w:shd w:val="clear" w:color="auto" w:fill="FFFFFF"/>
        </w:rPr>
      </w:pPr>
      <w:r w:rsidRPr="00EC356F">
        <w:rPr>
          <w:rStyle w:val="longtext"/>
          <w:rFonts w:ascii="Times New Roman" w:hAnsi="Times New Roman" w:cs="Times New Roman"/>
          <w:b/>
          <w:color w:val="000000"/>
          <w:sz w:val="21"/>
          <w:szCs w:val="21"/>
          <w:shd w:val="clear" w:color="auto" w:fill="FFFFFF"/>
        </w:rPr>
        <w:t>The global econom</w:t>
      </w:r>
      <w:r w:rsidR="00A0370E">
        <w:rPr>
          <w:rStyle w:val="longtext"/>
          <w:rFonts w:ascii="Times New Roman" w:hAnsi="Times New Roman" w:cs="Times New Roman"/>
          <w:b/>
          <w:color w:val="000000"/>
          <w:sz w:val="21"/>
          <w:szCs w:val="21"/>
          <w:shd w:val="clear" w:color="auto" w:fill="FFFFFF"/>
        </w:rPr>
        <w:t xml:space="preserve">ic growth slowing </w:t>
      </w:r>
      <w:r w:rsidRPr="00EC356F">
        <w:rPr>
          <w:rStyle w:val="longtext"/>
          <w:rFonts w:ascii="Times New Roman" w:hAnsi="Times New Roman" w:cs="Times New Roman"/>
          <w:b/>
          <w:color w:val="000000"/>
          <w:sz w:val="21"/>
          <w:szCs w:val="21"/>
          <w:shd w:val="clear" w:color="auto" w:fill="FFFFFF"/>
        </w:rPr>
        <w:t xml:space="preserve">will </w:t>
      </w:r>
      <w:r w:rsidR="00A0370E">
        <w:rPr>
          <w:rStyle w:val="longtext"/>
          <w:rFonts w:ascii="Times New Roman" w:hAnsi="Times New Roman" w:cs="Times New Roman"/>
          <w:b/>
          <w:color w:val="000000"/>
          <w:sz w:val="21"/>
          <w:szCs w:val="21"/>
          <w:shd w:val="clear" w:color="auto" w:fill="FFFFFF"/>
        </w:rPr>
        <w:t xml:space="preserve">lead to a certain deflationary environment </w:t>
      </w:r>
      <w:r w:rsidRPr="00EC356F">
        <w:rPr>
          <w:rStyle w:val="longtext"/>
          <w:rFonts w:ascii="Times New Roman" w:hAnsi="Times New Roman" w:cs="Times New Roman"/>
          <w:b/>
          <w:color w:val="000000"/>
          <w:sz w:val="21"/>
          <w:szCs w:val="21"/>
          <w:shd w:val="clear" w:color="auto" w:fill="FFFFFF"/>
        </w:rPr>
        <w:t xml:space="preserve">in the external sector. </w:t>
      </w:r>
    </w:p>
    <w:p w14:paraId="03460E0E" w14:textId="45975833" w:rsidR="00A9653E" w:rsidRPr="00EC356F" w:rsidRDefault="00A9653E" w:rsidP="00A9653E">
      <w:pPr>
        <w:spacing w:line="360" w:lineRule="auto"/>
        <w:jc w:val="both"/>
        <w:rPr>
          <w:rStyle w:val="longtext"/>
          <w:rFonts w:ascii="Times New Roman" w:hAnsi="Times New Roman" w:cs="Times New Roman"/>
          <w:b/>
          <w:color w:val="000000"/>
          <w:sz w:val="21"/>
          <w:szCs w:val="21"/>
          <w:shd w:val="clear" w:color="auto" w:fill="FFFFFF"/>
        </w:rPr>
      </w:pPr>
      <w:r w:rsidRPr="00EC356F">
        <w:rPr>
          <w:rStyle w:val="longtext"/>
          <w:rFonts w:ascii="Times New Roman" w:hAnsi="Times New Roman" w:cs="Times New Roman"/>
          <w:b/>
          <w:color w:val="000000"/>
          <w:sz w:val="21"/>
          <w:szCs w:val="21"/>
          <w:shd w:val="clear" w:color="auto" w:fill="FFFFFF"/>
        </w:rPr>
        <w:t>In 2014, world economic growth as well as growth rates in  Armenia’s trade partners</w:t>
      </w:r>
      <w:r w:rsidR="00B83F0A">
        <w:rPr>
          <w:rStyle w:val="longtext"/>
          <w:rFonts w:ascii="Times New Roman" w:hAnsi="Times New Roman" w:cs="Times New Roman"/>
          <w:b/>
          <w:color w:val="000000"/>
          <w:sz w:val="21"/>
          <w:szCs w:val="21"/>
          <w:shd w:val="clear" w:color="auto" w:fill="FFFFFF"/>
        </w:rPr>
        <w:t>’ economies</w:t>
      </w:r>
      <w:r w:rsidRPr="00EC356F">
        <w:rPr>
          <w:rStyle w:val="longtext"/>
          <w:rFonts w:ascii="Times New Roman" w:hAnsi="Times New Roman" w:cs="Times New Roman"/>
          <w:b/>
          <w:color w:val="000000"/>
          <w:sz w:val="21"/>
          <w:szCs w:val="21"/>
          <w:shd w:val="clear" w:color="auto" w:fill="FFFFFF"/>
        </w:rPr>
        <w:t xml:space="preserve"> </w:t>
      </w:r>
      <w:r w:rsidR="00BB65CA">
        <w:rPr>
          <w:rStyle w:val="longtext"/>
          <w:rFonts w:ascii="Times New Roman" w:hAnsi="Times New Roman" w:cs="Times New Roman"/>
          <w:b/>
          <w:color w:val="000000"/>
          <w:sz w:val="21"/>
          <w:szCs w:val="21"/>
          <w:shd w:val="clear" w:color="auto" w:fill="FFFFFF"/>
        </w:rPr>
        <w:t>are</w:t>
      </w:r>
      <w:r w:rsidRPr="00EC356F">
        <w:rPr>
          <w:rStyle w:val="longtext"/>
          <w:rFonts w:ascii="Times New Roman" w:hAnsi="Times New Roman" w:cs="Times New Roman"/>
          <w:b/>
          <w:color w:val="000000"/>
          <w:sz w:val="21"/>
          <w:szCs w:val="21"/>
          <w:shd w:val="clear" w:color="auto" w:fill="FFFFFF"/>
        </w:rPr>
        <w:t xml:space="preserve"> expected to slow down to a certain extent in comparison with the previous forecast, which will be noticeable in both emerging and developed countries.</w:t>
      </w:r>
    </w:p>
    <w:p w14:paraId="3195D1B4" w14:textId="77777777" w:rsidR="00A9653E" w:rsidRPr="00EC356F" w:rsidRDefault="0008074C" w:rsidP="00A9653E">
      <w:pPr>
        <w:spacing w:line="360" w:lineRule="auto"/>
        <w:jc w:val="both"/>
        <w:rPr>
          <w:rStyle w:val="longtext"/>
          <w:rFonts w:ascii="Times New Roman" w:hAnsi="Times New Roman" w:cs="Times New Roman"/>
          <w:color w:val="000000"/>
          <w:sz w:val="21"/>
          <w:szCs w:val="21"/>
          <w:shd w:val="clear" w:color="auto" w:fill="FFFFFF"/>
        </w:rPr>
      </w:pPr>
      <w:r>
        <w:rPr>
          <w:rStyle w:val="longtext"/>
          <w:rFonts w:ascii="Times New Roman" w:hAnsi="Times New Roman" w:cs="Times New Roman"/>
          <w:color w:val="000000"/>
          <w:sz w:val="21"/>
          <w:szCs w:val="21"/>
          <w:shd w:val="clear" w:color="auto" w:fill="FFFFFF"/>
        </w:rPr>
        <w:t xml:space="preserve">After the end of the </w:t>
      </w:r>
      <w:r w:rsidR="00B83F0A">
        <w:rPr>
          <w:rStyle w:val="longtext"/>
          <w:rFonts w:ascii="Times New Roman" w:hAnsi="Times New Roman" w:cs="Times New Roman"/>
          <w:color w:val="000000"/>
          <w:sz w:val="21"/>
          <w:szCs w:val="21"/>
          <w:shd w:val="clear" w:color="auto" w:fill="FFFFFF"/>
        </w:rPr>
        <w:t xml:space="preserve">quantitive easing </w:t>
      </w:r>
      <w:r>
        <w:rPr>
          <w:rStyle w:val="longtext"/>
          <w:rFonts w:ascii="Times New Roman" w:hAnsi="Times New Roman" w:cs="Times New Roman"/>
          <w:color w:val="000000"/>
          <w:sz w:val="21"/>
          <w:szCs w:val="21"/>
          <w:shd w:val="clear" w:color="auto" w:fill="FFFFFF"/>
        </w:rPr>
        <w:t xml:space="preserve">stimulus program of the </w:t>
      </w:r>
      <w:r w:rsidR="00A9653E" w:rsidRPr="00EC356F">
        <w:rPr>
          <w:rStyle w:val="longtext"/>
          <w:rFonts w:ascii="Times New Roman" w:hAnsi="Times New Roman" w:cs="Times New Roman"/>
          <w:b/>
          <w:color w:val="000000"/>
          <w:sz w:val="21"/>
          <w:szCs w:val="21"/>
          <w:shd w:val="clear" w:color="auto" w:fill="FFFFFF"/>
        </w:rPr>
        <w:t>U.S. Federal Reserve System</w:t>
      </w:r>
      <w:r>
        <w:rPr>
          <w:rStyle w:val="longtext"/>
          <w:rFonts w:ascii="Times New Roman" w:hAnsi="Times New Roman" w:cs="Times New Roman"/>
          <w:b/>
          <w:color w:val="000000"/>
          <w:sz w:val="21"/>
          <w:szCs w:val="21"/>
          <w:shd w:val="clear" w:color="auto" w:fill="FFFFFF"/>
        </w:rPr>
        <w:t xml:space="preserve"> </w:t>
      </w:r>
      <w:r>
        <w:rPr>
          <w:rStyle w:val="longtext"/>
          <w:rFonts w:ascii="Times New Roman" w:hAnsi="Times New Roman" w:cs="Times New Roman"/>
          <w:color w:val="000000"/>
          <w:sz w:val="21"/>
          <w:szCs w:val="21"/>
          <w:shd w:val="clear" w:color="auto" w:fill="FFFFFF"/>
        </w:rPr>
        <w:t>in October 2014</w:t>
      </w:r>
      <w:r w:rsidRPr="0008074C">
        <w:rPr>
          <w:rStyle w:val="longtext"/>
          <w:rFonts w:ascii="Times New Roman" w:hAnsi="Times New Roman" w:cs="Times New Roman"/>
          <w:color w:val="000000"/>
          <w:sz w:val="21"/>
          <w:szCs w:val="21"/>
          <w:shd w:val="clear" w:color="auto" w:fill="FFFFFF"/>
        </w:rPr>
        <w:t>,</w:t>
      </w:r>
      <w:r w:rsidR="00A9653E" w:rsidRPr="00EC356F">
        <w:rPr>
          <w:rStyle w:val="longtext"/>
          <w:rFonts w:ascii="Times New Roman" w:hAnsi="Times New Roman" w:cs="Times New Roman"/>
          <w:color w:val="000000"/>
          <w:sz w:val="21"/>
          <w:szCs w:val="21"/>
          <w:shd w:val="clear" w:color="auto" w:fill="FFFFFF"/>
        </w:rPr>
        <w:t xml:space="preserve"> interest rates are only expected to rise in early 2016. </w:t>
      </w:r>
      <w:r w:rsidR="00087BCA">
        <w:rPr>
          <w:rStyle w:val="longtext"/>
          <w:rFonts w:ascii="Times New Roman" w:hAnsi="Times New Roman" w:cs="Times New Roman"/>
          <w:color w:val="000000"/>
          <w:sz w:val="21"/>
          <w:szCs w:val="21"/>
          <w:shd w:val="clear" w:color="auto" w:fill="FFFFFF"/>
        </w:rPr>
        <w:t>The e</w:t>
      </w:r>
      <w:r w:rsidR="00A9653E" w:rsidRPr="00EC356F">
        <w:rPr>
          <w:rStyle w:val="longtext"/>
          <w:rFonts w:ascii="Times New Roman" w:hAnsi="Times New Roman" w:cs="Times New Roman"/>
          <w:color w:val="000000"/>
          <w:sz w:val="21"/>
          <w:szCs w:val="21"/>
          <w:shd w:val="clear" w:color="auto" w:fill="FFFFFF"/>
        </w:rPr>
        <w:t xml:space="preserve">conomic growth in 2014 is estimated around </w:t>
      </w:r>
      <w:r w:rsidR="00087BCA">
        <w:rPr>
          <w:rStyle w:val="longtext"/>
          <w:rFonts w:ascii="Times New Roman" w:hAnsi="Times New Roman" w:cs="Times New Roman"/>
          <w:color w:val="000000"/>
          <w:sz w:val="21"/>
          <w:szCs w:val="21"/>
          <w:shd w:val="clear" w:color="auto" w:fill="FFFFFF"/>
        </w:rPr>
        <w:t>2</w:t>
      </w:r>
      <w:r w:rsidR="00A9653E" w:rsidRPr="00EC356F">
        <w:rPr>
          <w:rStyle w:val="longtext"/>
          <w:rFonts w:ascii="Times New Roman" w:hAnsi="Times New Roman" w:cs="Times New Roman"/>
          <w:color w:val="000000"/>
          <w:sz w:val="21"/>
          <w:szCs w:val="21"/>
          <w:shd w:val="clear" w:color="auto" w:fill="FFFFFF"/>
        </w:rPr>
        <w:t>.</w:t>
      </w:r>
      <w:r w:rsidR="00087BCA">
        <w:rPr>
          <w:rStyle w:val="longtext"/>
          <w:rFonts w:ascii="Times New Roman" w:hAnsi="Times New Roman" w:cs="Times New Roman"/>
          <w:color w:val="000000"/>
          <w:sz w:val="21"/>
          <w:szCs w:val="21"/>
          <w:shd w:val="clear" w:color="auto" w:fill="FFFFFF"/>
        </w:rPr>
        <w:t>2</w:t>
      </w:r>
      <w:r w:rsidR="00A9653E" w:rsidRPr="00EC356F">
        <w:rPr>
          <w:rStyle w:val="longtext"/>
          <w:rFonts w:ascii="Times New Roman" w:hAnsi="Times New Roman" w:cs="Times New Roman"/>
          <w:color w:val="000000"/>
          <w:sz w:val="21"/>
          <w:szCs w:val="21"/>
          <w:shd w:val="clear" w:color="auto" w:fill="FFFFFF"/>
        </w:rPr>
        <w:t xml:space="preserve">%, to reach </w:t>
      </w:r>
      <w:r w:rsidR="000050FC">
        <w:rPr>
          <w:rStyle w:val="longtext"/>
          <w:rFonts w:ascii="Times New Roman" w:hAnsi="Times New Roman" w:cs="Times New Roman"/>
          <w:color w:val="000000"/>
          <w:sz w:val="21"/>
          <w:szCs w:val="21"/>
          <w:shd w:val="clear" w:color="auto" w:fill="FFFFFF"/>
        </w:rPr>
        <w:t xml:space="preserve">roughly </w:t>
      </w:r>
      <w:r w:rsidR="00A9653E" w:rsidRPr="00EC356F">
        <w:rPr>
          <w:rStyle w:val="longtext"/>
          <w:rFonts w:ascii="Times New Roman" w:hAnsi="Times New Roman" w:cs="Times New Roman"/>
          <w:color w:val="000000"/>
          <w:sz w:val="21"/>
          <w:szCs w:val="21"/>
          <w:shd w:val="clear" w:color="auto" w:fill="FFFFFF"/>
        </w:rPr>
        <w:t xml:space="preserve">3% in 2017.      </w:t>
      </w:r>
    </w:p>
    <w:p w14:paraId="5B9ABD15" w14:textId="77777777" w:rsidR="00A9653E" w:rsidRPr="00EC356F"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Fonts w:ascii="Times New Roman" w:hAnsi="Times New Roman" w:cs="Times New Roman"/>
          <w:sz w:val="21"/>
          <w:szCs w:val="21"/>
        </w:rPr>
        <w:t xml:space="preserve">In the </w:t>
      </w:r>
      <w:r w:rsidRPr="00EC356F">
        <w:rPr>
          <w:rFonts w:ascii="Times New Roman" w:hAnsi="Times New Roman" w:cs="Times New Roman"/>
          <w:b/>
          <w:sz w:val="21"/>
          <w:szCs w:val="21"/>
        </w:rPr>
        <w:t>Euro-area</w:t>
      </w:r>
      <w:r w:rsidRPr="00EC356F">
        <w:rPr>
          <w:rFonts w:ascii="Times New Roman" w:hAnsi="Times New Roman" w:cs="Times New Roman"/>
          <w:sz w:val="21"/>
          <w:szCs w:val="21"/>
        </w:rPr>
        <w:t xml:space="preserve">, economic recovery observed since late 2013 will </w:t>
      </w:r>
      <w:r w:rsidR="00986675">
        <w:rPr>
          <w:rFonts w:ascii="Times New Roman" w:hAnsi="Times New Roman" w:cs="Times New Roman"/>
          <w:sz w:val="21"/>
          <w:szCs w:val="21"/>
        </w:rPr>
        <w:t>start slowing down</w:t>
      </w:r>
      <w:r w:rsidRPr="00EC356F">
        <w:rPr>
          <w:rFonts w:ascii="Times New Roman" w:hAnsi="Times New Roman" w:cs="Times New Roman"/>
          <w:sz w:val="21"/>
          <w:szCs w:val="21"/>
        </w:rPr>
        <w:t xml:space="preserve">, with the economic growth </w:t>
      </w:r>
      <w:r w:rsidR="00986675">
        <w:rPr>
          <w:rFonts w:ascii="Times New Roman" w:hAnsi="Times New Roman" w:cs="Times New Roman"/>
          <w:sz w:val="21"/>
          <w:szCs w:val="21"/>
        </w:rPr>
        <w:t>making up 0.7</w:t>
      </w:r>
      <w:r w:rsidRPr="00EC356F">
        <w:rPr>
          <w:rFonts w:ascii="Times New Roman" w:hAnsi="Times New Roman" w:cs="Times New Roman"/>
          <w:sz w:val="21"/>
          <w:szCs w:val="21"/>
        </w:rPr>
        <w:t>% in 2014 and reaching some 1.</w:t>
      </w:r>
      <w:r w:rsidR="00986675">
        <w:rPr>
          <w:rFonts w:ascii="Times New Roman" w:hAnsi="Times New Roman" w:cs="Times New Roman"/>
          <w:sz w:val="21"/>
          <w:szCs w:val="21"/>
        </w:rPr>
        <w:t>4</w:t>
      </w:r>
      <w:r w:rsidRPr="00EC356F">
        <w:rPr>
          <w:rFonts w:ascii="Times New Roman" w:hAnsi="Times New Roman" w:cs="Times New Roman"/>
          <w:sz w:val="21"/>
          <w:szCs w:val="21"/>
        </w:rPr>
        <w:t>% in 2017</w:t>
      </w:r>
      <w:r w:rsidR="00986675">
        <w:rPr>
          <w:rFonts w:ascii="Times New Roman" w:hAnsi="Times New Roman" w:cs="Times New Roman"/>
          <w:sz w:val="21"/>
          <w:szCs w:val="21"/>
        </w:rPr>
        <w:t>, i.e. the end of the forecast horizon</w:t>
      </w:r>
      <w:r w:rsidRPr="00EC356F">
        <w:rPr>
          <w:rFonts w:ascii="Times New Roman" w:hAnsi="Times New Roman" w:cs="Times New Roman"/>
          <w:sz w:val="21"/>
          <w:szCs w:val="21"/>
        </w:rPr>
        <w:t xml:space="preserve">. In light of a weak inflationary environment, the European Central Bank will continue </w:t>
      </w:r>
      <w:r w:rsidR="00461DFA">
        <w:rPr>
          <w:rFonts w:ascii="Times New Roman" w:hAnsi="Times New Roman" w:cs="Times New Roman"/>
          <w:sz w:val="21"/>
          <w:szCs w:val="21"/>
        </w:rPr>
        <w:t>its</w:t>
      </w:r>
      <w:r w:rsidRPr="00EC356F">
        <w:rPr>
          <w:rFonts w:ascii="Times New Roman" w:hAnsi="Times New Roman" w:cs="Times New Roman"/>
          <w:sz w:val="21"/>
          <w:szCs w:val="21"/>
        </w:rPr>
        <w:t xml:space="preserve"> low-interest-rates policy. </w:t>
      </w:r>
      <w:r w:rsidR="00461DFA">
        <w:rPr>
          <w:rFonts w:ascii="Times New Roman" w:hAnsi="Times New Roman" w:cs="Times New Roman"/>
          <w:sz w:val="21"/>
          <w:szCs w:val="21"/>
        </w:rPr>
        <w:t xml:space="preserve">In the 4th quarter, the program </w:t>
      </w:r>
      <w:r w:rsidR="00712E69">
        <w:rPr>
          <w:rFonts w:ascii="Times New Roman" w:hAnsi="Times New Roman" w:cs="Times New Roman"/>
          <w:sz w:val="21"/>
          <w:szCs w:val="21"/>
        </w:rPr>
        <w:t xml:space="preserve">to purchase </w:t>
      </w:r>
      <w:r w:rsidR="00461DFA">
        <w:rPr>
          <w:rFonts w:ascii="Times New Roman" w:hAnsi="Times New Roman" w:cs="Times New Roman"/>
          <w:sz w:val="21"/>
          <w:szCs w:val="21"/>
        </w:rPr>
        <w:t>asset-backed securities and secured bond</w:t>
      </w:r>
      <w:r w:rsidR="00712E69">
        <w:rPr>
          <w:rFonts w:ascii="Times New Roman" w:hAnsi="Times New Roman" w:cs="Times New Roman"/>
          <w:sz w:val="21"/>
          <w:szCs w:val="21"/>
        </w:rPr>
        <w:t>s</w:t>
      </w:r>
      <w:r w:rsidR="00461DFA">
        <w:rPr>
          <w:rFonts w:ascii="Times New Roman" w:hAnsi="Times New Roman" w:cs="Times New Roman"/>
          <w:sz w:val="21"/>
          <w:szCs w:val="21"/>
        </w:rPr>
        <w:t xml:space="preserve"> will commence and last up until June 2016, which will make the monetary policy more expansionary in nature. </w:t>
      </w:r>
    </w:p>
    <w:p w14:paraId="5A54C58A" w14:textId="01ADE44A" w:rsidR="00A9653E" w:rsidRPr="00EC356F"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Style w:val="longtext"/>
          <w:rFonts w:ascii="Times New Roman" w:hAnsi="Times New Roman" w:cs="Times New Roman"/>
          <w:color w:val="000000"/>
          <w:sz w:val="21"/>
          <w:szCs w:val="21"/>
          <w:shd w:val="clear" w:color="auto" w:fill="FFFFFF"/>
        </w:rPr>
        <w:t xml:space="preserve">In </w:t>
      </w:r>
      <w:r w:rsidRPr="00EC356F">
        <w:rPr>
          <w:rStyle w:val="longtext"/>
          <w:rFonts w:ascii="Times New Roman" w:hAnsi="Times New Roman" w:cs="Times New Roman"/>
          <w:b/>
          <w:color w:val="000000"/>
          <w:sz w:val="21"/>
          <w:szCs w:val="21"/>
          <w:shd w:val="clear" w:color="auto" w:fill="FFFFFF"/>
        </w:rPr>
        <w:t>Russia</w:t>
      </w:r>
      <w:r w:rsidRPr="00EC356F">
        <w:rPr>
          <w:rStyle w:val="longtext"/>
          <w:rFonts w:ascii="Times New Roman" w:hAnsi="Times New Roman" w:cs="Times New Roman"/>
          <w:color w:val="000000"/>
          <w:sz w:val="21"/>
          <w:szCs w:val="21"/>
          <w:shd w:val="clear" w:color="auto" w:fill="FFFFFF"/>
        </w:rPr>
        <w:t xml:space="preserve">, economic activity is expected to be low, with the </w:t>
      </w:r>
      <w:r w:rsidR="00B83F0A">
        <w:rPr>
          <w:rStyle w:val="longtext"/>
          <w:rFonts w:ascii="Times New Roman" w:hAnsi="Times New Roman" w:cs="Times New Roman"/>
          <w:color w:val="000000"/>
          <w:sz w:val="21"/>
          <w:szCs w:val="21"/>
          <w:shd w:val="clear" w:color="auto" w:fill="FFFFFF"/>
        </w:rPr>
        <w:t xml:space="preserve">increase of </w:t>
      </w:r>
      <w:r w:rsidRPr="00EC356F">
        <w:rPr>
          <w:rStyle w:val="longtext"/>
          <w:rFonts w:ascii="Times New Roman" w:hAnsi="Times New Roman" w:cs="Times New Roman"/>
          <w:color w:val="000000"/>
          <w:sz w:val="21"/>
          <w:szCs w:val="21"/>
          <w:shd w:val="clear" w:color="auto" w:fill="FFFFFF"/>
        </w:rPr>
        <w:t xml:space="preserve"> inflation throughout the forecast </w:t>
      </w:r>
      <w:r w:rsidRPr="00373B2A">
        <w:rPr>
          <w:rStyle w:val="longtext"/>
          <w:rFonts w:ascii="Times New Roman" w:hAnsi="Times New Roman" w:cs="Times New Roman"/>
          <w:sz w:val="21"/>
          <w:szCs w:val="21"/>
          <w:shd w:val="clear" w:color="auto" w:fill="FFFFFF"/>
        </w:rPr>
        <w:t xml:space="preserve">horizon. </w:t>
      </w:r>
      <w:r w:rsidR="00C84BF8">
        <w:rPr>
          <w:rStyle w:val="longtext"/>
          <w:rFonts w:ascii="Times New Roman" w:hAnsi="Times New Roman" w:cs="Times New Roman"/>
          <w:sz w:val="21"/>
          <w:szCs w:val="21"/>
          <w:shd w:val="clear" w:color="auto" w:fill="FFFFFF"/>
        </w:rPr>
        <w:t>Continued s</w:t>
      </w:r>
      <w:r w:rsidRPr="00373B2A">
        <w:rPr>
          <w:rStyle w:val="longtext"/>
          <w:rFonts w:ascii="Times New Roman" w:hAnsi="Times New Roman" w:cs="Times New Roman"/>
          <w:sz w:val="21"/>
          <w:szCs w:val="21"/>
          <w:shd w:val="clear" w:color="auto" w:fill="FFFFFF"/>
        </w:rPr>
        <w:t xml:space="preserve">lowing </w:t>
      </w:r>
      <w:r w:rsidR="00C84BF8">
        <w:rPr>
          <w:rStyle w:val="longtext"/>
          <w:rFonts w:ascii="Times New Roman" w:hAnsi="Times New Roman" w:cs="Times New Roman"/>
          <w:sz w:val="21"/>
          <w:szCs w:val="21"/>
          <w:shd w:val="clear" w:color="auto" w:fill="FFFFFF"/>
        </w:rPr>
        <w:t xml:space="preserve">of </w:t>
      </w:r>
      <w:r w:rsidRPr="00373B2A">
        <w:rPr>
          <w:rStyle w:val="longtext"/>
          <w:rFonts w:ascii="Times New Roman" w:hAnsi="Times New Roman" w:cs="Times New Roman"/>
          <w:sz w:val="21"/>
          <w:szCs w:val="21"/>
          <w:shd w:val="clear" w:color="auto" w:fill="FFFFFF"/>
        </w:rPr>
        <w:t xml:space="preserve">economic growth rates due to geopolitical </w:t>
      </w:r>
      <w:r w:rsidR="00B83F0A">
        <w:rPr>
          <w:rStyle w:val="longtext"/>
          <w:rFonts w:ascii="Times New Roman" w:hAnsi="Times New Roman" w:cs="Times New Roman"/>
          <w:sz w:val="21"/>
          <w:szCs w:val="21"/>
          <w:shd w:val="clear" w:color="auto" w:fill="FFFFFF"/>
        </w:rPr>
        <w:t xml:space="preserve">and domestic </w:t>
      </w:r>
      <w:r w:rsidRPr="00373B2A">
        <w:rPr>
          <w:rStyle w:val="longtext"/>
          <w:rFonts w:ascii="Times New Roman" w:hAnsi="Times New Roman" w:cs="Times New Roman"/>
          <w:sz w:val="21"/>
          <w:szCs w:val="21"/>
          <w:shd w:val="clear" w:color="auto" w:fill="FFFFFF"/>
        </w:rPr>
        <w:t>developments with  mainly be reflect</w:t>
      </w:r>
      <w:r w:rsidR="00B83F0A">
        <w:rPr>
          <w:rStyle w:val="longtext"/>
          <w:rFonts w:ascii="Times New Roman" w:hAnsi="Times New Roman" w:cs="Times New Roman"/>
          <w:sz w:val="21"/>
          <w:szCs w:val="21"/>
          <w:shd w:val="clear" w:color="auto" w:fill="FFFFFF"/>
        </w:rPr>
        <w:t>ed in</w:t>
      </w:r>
      <w:r w:rsidRPr="00373B2A">
        <w:rPr>
          <w:rStyle w:val="longtext"/>
          <w:rFonts w:ascii="Times New Roman" w:hAnsi="Times New Roman" w:cs="Times New Roman"/>
          <w:sz w:val="21"/>
          <w:szCs w:val="21"/>
          <w:shd w:val="clear" w:color="auto" w:fill="FFFFFF"/>
        </w:rPr>
        <w:t xml:space="preserve"> a weak investment activity </w:t>
      </w:r>
      <w:r w:rsidR="00063664">
        <w:rPr>
          <w:rStyle w:val="longtext"/>
          <w:rFonts w:ascii="Times New Roman" w:hAnsi="Times New Roman" w:cs="Times New Roman"/>
          <w:sz w:val="21"/>
          <w:szCs w:val="21"/>
          <w:shd w:val="clear" w:color="auto" w:fill="FFFFFF"/>
        </w:rPr>
        <w:t>and</w:t>
      </w:r>
      <w:r w:rsidR="00C84BF8">
        <w:rPr>
          <w:rStyle w:val="longtext"/>
          <w:rFonts w:ascii="Times New Roman" w:hAnsi="Times New Roman" w:cs="Times New Roman"/>
          <w:sz w:val="21"/>
          <w:szCs w:val="21"/>
          <w:shd w:val="clear" w:color="auto" w:fill="FFFFFF"/>
        </w:rPr>
        <w:t xml:space="preserve"> </w:t>
      </w:r>
      <w:r w:rsidR="00B83F0A">
        <w:rPr>
          <w:rStyle w:val="longtext"/>
          <w:rFonts w:ascii="Times New Roman" w:hAnsi="Times New Roman" w:cs="Times New Roman"/>
          <w:sz w:val="21"/>
          <w:szCs w:val="21"/>
          <w:shd w:val="clear" w:color="auto" w:fill="FFFFFF"/>
        </w:rPr>
        <w:t xml:space="preserve">will be accompanied by </w:t>
      </w:r>
      <w:r w:rsidRPr="00373B2A">
        <w:rPr>
          <w:rStyle w:val="longtext"/>
          <w:rFonts w:ascii="Times New Roman" w:hAnsi="Times New Roman" w:cs="Times New Roman"/>
          <w:sz w:val="21"/>
          <w:szCs w:val="21"/>
          <w:shd w:val="clear" w:color="auto" w:fill="FFFFFF"/>
        </w:rPr>
        <w:lastRenderedPageBreak/>
        <w:t>capital flight. The growth</w:t>
      </w:r>
      <w:r w:rsidRPr="00EC356F">
        <w:rPr>
          <w:rStyle w:val="longtext"/>
          <w:rFonts w:ascii="Times New Roman" w:hAnsi="Times New Roman" w:cs="Times New Roman"/>
          <w:color w:val="000000"/>
          <w:sz w:val="21"/>
          <w:szCs w:val="21"/>
          <w:shd w:val="clear" w:color="auto" w:fill="FFFFFF"/>
        </w:rPr>
        <w:t xml:space="preserve"> rate in 2014 is estimated to be </w:t>
      </w:r>
      <w:r w:rsidR="00063664">
        <w:rPr>
          <w:rStyle w:val="longtext"/>
          <w:rFonts w:ascii="Times New Roman" w:hAnsi="Times New Roman" w:cs="Times New Roman"/>
          <w:color w:val="000000"/>
          <w:sz w:val="21"/>
          <w:szCs w:val="21"/>
          <w:shd w:val="clear" w:color="auto" w:fill="FFFFFF"/>
        </w:rPr>
        <w:t xml:space="preserve">approximately </w:t>
      </w:r>
      <w:r w:rsidRPr="00EC356F">
        <w:rPr>
          <w:rStyle w:val="longtext"/>
          <w:rFonts w:ascii="Times New Roman" w:hAnsi="Times New Roman" w:cs="Times New Roman"/>
          <w:color w:val="000000"/>
          <w:sz w:val="21"/>
          <w:szCs w:val="21"/>
          <w:shd w:val="clear" w:color="auto" w:fill="FFFFFF"/>
        </w:rPr>
        <w:t>0.</w:t>
      </w:r>
      <w:r w:rsidR="00063664">
        <w:rPr>
          <w:rStyle w:val="longtext"/>
          <w:rFonts w:ascii="Times New Roman" w:hAnsi="Times New Roman" w:cs="Times New Roman"/>
          <w:color w:val="000000"/>
          <w:sz w:val="21"/>
          <w:szCs w:val="21"/>
          <w:shd w:val="clear" w:color="auto" w:fill="FFFFFF"/>
        </w:rPr>
        <w:t xml:space="preserve">4%. In medium term too, the economic growth will be humble, </w:t>
      </w:r>
      <w:r w:rsidRPr="00EC356F">
        <w:rPr>
          <w:rStyle w:val="longtext"/>
          <w:rFonts w:ascii="Times New Roman" w:hAnsi="Times New Roman" w:cs="Times New Roman"/>
          <w:color w:val="000000"/>
          <w:sz w:val="21"/>
          <w:szCs w:val="21"/>
          <w:shd w:val="clear" w:color="auto" w:fill="FFFFFF"/>
        </w:rPr>
        <w:t>reaching 1.</w:t>
      </w:r>
      <w:r w:rsidR="00063664">
        <w:rPr>
          <w:rStyle w:val="longtext"/>
          <w:rFonts w:ascii="Times New Roman" w:hAnsi="Times New Roman" w:cs="Times New Roman"/>
          <w:color w:val="000000"/>
          <w:sz w:val="21"/>
          <w:szCs w:val="21"/>
          <w:shd w:val="clear" w:color="auto" w:fill="FFFFFF"/>
        </w:rPr>
        <w:t>5</w:t>
      </w:r>
      <w:r w:rsidRPr="00EC356F">
        <w:rPr>
          <w:rStyle w:val="longtext"/>
          <w:rFonts w:ascii="Times New Roman" w:hAnsi="Times New Roman" w:cs="Times New Roman"/>
          <w:color w:val="000000"/>
          <w:sz w:val="21"/>
          <w:szCs w:val="21"/>
          <w:shd w:val="clear" w:color="auto" w:fill="FFFFFF"/>
        </w:rPr>
        <w:t>% in 2017.</w:t>
      </w:r>
    </w:p>
    <w:p w14:paraId="012B2317" w14:textId="77777777" w:rsidR="00A9653E" w:rsidRPr="00EC356F" w:rsidRDefault="00A9653E" w:rsidP="00A9653E">
      <w:pPr>
        <w:spacing w:line="360" w:lineRule="auto"/>
        <w:jc w:val="both"/>
        <w:rPr>
          <w:rStyle w:val="longtext"/>
          <w:rFonts w:ascii="Times New Roman" w:hAnsi="Times New Roman" w:cs="Times New Roman"/>
          <w:b/>
          <w:color w:val="000000"/>
          <w:sz w:val="21"/>
          <w:szCs w:val="21"/>
          <w:shd w:val="clear" w:color="auto" w:fill="FFFFFF"/>
        </w:rPr>
      </w:pPr>
      <w:r w:rsidRPr="00EC356F">
        <w:rPr>
          <w:rStyle w:val="longtext"/>
          <w:rFonts w:ascii="Times New Roman" w:hAnsi="Times New Roman" w:cs="Times New Roman"/>
          <w:b/>
          <w:color w:val="000000"/>
          <w:sz w:val="21"/>
          <w:szCs w:val="21"/>
          <w:shd w:val="clear" w:color="auto" w:fill="FFFFFF"/>
        </w:rPr>
        <w:t xml:space="preserve">In the </w:t>
      </w:r>
      <w:r w:rsidR="000F11F3">
        <w:rPr>
          <w:rStyle w:val="longtext"/>
          <w:rFonts w:ascii="Times New Roman" w:hAnsi="Times New Roman" w:cs="Times New Roman"/>
          <w:b/>
          <w:color w:val="000000"/>
          <w:sz w:val="21"/>
          <w:szCs w:val="21"/>
          <w:shd w:val="clear" w:color="auto" w:fill="FFFFFF"/>
        </w:rPr>
        <w:t>October</w:t>
      </w:r>
      <w:r w:rsidRPr="00EC356F">
        <w:rPr>
          <w:rStyle w:val="longtext"/>
          <w:rFonts w:ascii="Times New Roman" w:hAnsi="Times New Roman" w:cs="Times New Roman"/>
          <w:b/>
          <w:color w:val="000000"/>
          <w:sz w:val="21"/>
          <w:szCs w:val="21"/>
          <w:shd w:val="clear" w:color="auto" w:fill="FFFFFF"/>
        </w:rPr>
        <w:t xml:space="preserve"> 2014 report, the IMF predicted a 3.</w:t>
      </w:r>
      <w:r w:rsidR="000F11F3">
        <w:rPr>
          <w:rStyle w:val="longtext"/>
          <w:rFonts w:ascii="Times New Roman" w:hAnsi="Times New Roman" w:cs="Times New Roman"/>
          <w:b/>
          <w:color w:val="000000"/>
          <w:sz w:val="21"/>
          <w:szCs w:val="21"/>
          <w:shd w:val="clear" w:color="auto" w:fill="FFFFFF"/>
        </w:rPr>
        <w:t>3</w:t>
      </w:r>
      <w:r w:rsidRPr="00EC356F">
        <w:rPr>
          <w:rStyle w:val="longtext"/>
          <w:rFonts w:ascii="Times New Roman" w:hAnsi="Times New Roman" w:cs="Times New Roman"/>
          <w:b/>
          <w:color w:val="000000"/>
          <w:sz w:val="21"/>
          <w:szCs w:val="21"/>
          <w:shd w:val="clear" w:color="auto" w:fill="FFFFFF"/>
        </w:rPr>
        <w:t xml:space="preserve">% world </w:t>
      </w:r>
      <w:r w:rsidR="000F11F3">
        <w:rPr>
          <w:rStyle w:val="longtext"/>
          <w:rFonts w:ascii="Times New Roman" w:hAnsi="Times New Roman" w:cs="Times New Roman"/>
          <w:b/>
          <w:color w:val="000000"/>
          <w:sz w:val="21"/>
          <w:szCs w:val="21"/>
          <w:shd w:val="clear" w:color="auto" w:fill="FFFFFF"/>
        </w:rPr>
        <w:t xml:space="preserve">economic </w:t>
      </w:r>
      <w:r w:rsidRPr="00EC356F">
        <w:rPr>
          <w:rStyle w:val="longtext"/>
          <w:rFonts w:ascii="Times New Roman" w:hAnsi="Times New Roman" w:cs="Times New Roman"/>
          <w:b/>
          <w:color w:val="000000"/>
          <w:sz w:val="21"/>
          <w:szCs w:val="21"/>
          <w:shd w:val="clear" w:color="auto" w:fill="FFFFFF"/>
        </w:rPr>
        <w:t>growth indicator for 2014 (with downside adjustment of 0.</w:t>
      </w:r>
      <w:r w:rsidR="000F11F3">
        <w:rPr>
          <w:rStyle w:val="longtext"/>
          <w:rFonts w:ascii="Times New Roman" w:hAnsi="Times New Roman" w:cs="Times New Roman"/>
          <w:b/>
          <w:color w:val="000000"/>
          <w:sz w:val="21"/>
          <w:szCs w:val="21"/>
          <w:shd w:val="clear" w:color="auto" w:fill="FFFFFF"/>
        </w:rPr>
        <w:t>1</w:t>
      </w:r>
      <w:r w:rsidRPr="00EC356F">
        <w:rPr>
          <w:rStyle w:val="longtext"/>
          <w:rFonts w:ascii="Times New Roman" w:hAnsi="Times New Roman" w:cs="Times New Roman"/>
          <w:b/>
          <w:color w:val="000000"/>
          <w:sz w:val="21"/>
          <w:szCs w:val="21"/>
          <w:shd w:val="clear" w:color="auto" w:fill="FFFFFF"/>
        </w:rPr>
        <w:t xml:space="preserve"> pp). The adjustment was made owing to developing countries. </w:t>
      </w:r>
    </w:p>
    <w:p w14:paraId="6EEDE8AB" w14:textId="77777777" w:rsidR="00A9653E" w:rsidRPr="00EC356F"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Fonts w:ascii="Times New Roman" w:hAnsi="Times New Roman" w:cs="Times New Roman"/>
          <w:b/>
          <w:sz w:val="21"/>
          <w:szCs w:val="21"/>
        </w:rPr>
        <w:t>Uncertainties</w:t>
      </w:r>
      <w:r w:rsidRPr="00EC356F">
        <w:rPr>
          <w:rFonts w:ascii="Times New Roman" w:hAnsi="Times New Roman" w:cs="Times New Roman"/>
          <w:sz w:val="21"/>
          <w:szCs w:val="21"/>
        </w:rPr>
        <w:t xml:space="preserve"> </w:t>
      </w:r>
      <w:r w:rsidRPr="00EC356F">
        <w:rPr>
          <w:rFonts w:ascii="Times New Roman" w:hAnsi="Times New Roman" w:cs="Times New Roman"/>
          <w:b/>
          <w:sz w:val="21"/>
          <w:szCs w:val="21"/>
        </w:rPr>
        <w:t xml:space="preserve">and risks </w:t>
      </w:r>
      <w:r w:rsidRPr="00EC356F">
        <w:rPr>
          <w:rFonts w:ascii="Times New Roman" w:hAnsi="Times New Roman" w:cs="Times New Roman"/>
          <w:sz w:val="21"/>
          <w:szCs w:val="21"/>
        </w:rPr>
        <w:t xml:space="preserve">about the further pace of </w:t>
      </w:r>
      <w:r w:rsidR="00FA4F93">
        <w:rPr>
          <w:rFonts w:ascii="Times New Roman" w:hAnsi="Times New Roman" w:cs="Times New Roman"/>
          <w:sz w:val="21"/>
          <w:szCs w:val="21"/>
        </w:rPr>
        <w:t xml:space="preserve">the </w:t>
      </w:r>
      <w:r w:rsidRPr="00EC356F">
        <w:rPr>
          <w:rFonts w:ascii="Times New Roman" w:hAnsi="Times New Roman" w:cs="Times New Roman"/>
          <w:sz w:val="21"/>
          <w:szCs w:val="21"/>
        </w:rPr>
        <w:t xml:space="preserve">global economy </w:t>
      </w:r>
      <w:r w:rsidRPr="00EC356F">
        <w:rPr>
          <w:rFonts w:ascii="Times New Roman" w:hAnsi="Times New Roman" w:cs="Times New Roman"/>
          <w:b/>
          <w:sz w:val="21"/>
          <w:szCs w:val="21"/>
        </w:rPr>
        <w:t>are more essential</w:t>
      </w:r>
      <w:r w:rsidRPr="00EC356F">
        <w:rPr>
          <w:rFonts w:ascii="Times New Roman" w:hAnsi="Times New Roman" w:cs="Times New Roman"/>
          <w:sz w:val="21"/>
          <w:szCs w:val="21"/>
        </w:rPr>
        <w:t xml:space="preserve"> for developing countries. Such uncertainties are associated with capital flight to developed countries and a resultant slowing of </w:t>
      </w:r>
      <w:r w:rsidR="00373B2A">
        <w:rPr>
          <w:rFonts w:ascii="Times New Roman" w:hAnsi="Times New Roman" w:cs="Times New Roman"/>
          <w:sz w:val="21"/>
          <w:szCs w:val="21"/>
        </w:rPr>
        <w:t>e</w:t>
      </w:r>
      <w:r w:rsidRPr="00EC356F">
        <w:rPr>
          <w:rFonts w:ascii="Times New Roman" w:hAnsi="Times New Roman" w:cs="Times New Roman"/>
          <w:sz w:val="21"/>
          <w:szCs w:val="21"/>
        </w:rPr>
        <w:t xml:space="preserve">conomic activity. </w:t>
      </w:r>
      <w:r w:rsidR="00FA4F93">
        <w:rPr>
          <w:rFonts w:ascii="Times New Roman" w:hAnsi="Times New Roman" w:cs="Times New Roman"/>
          <w:sz w:val="21"/>
          <w:szCs w:val="21"/>
        </w:rPr>
        <w:t xml:space="preserve">Downside risks to the economic growth in the Euro-area due to insufficient structural improvements and geopolitical developments in EU member states are also remarkable. </w:t>
      </w:r>
      <w:r w:rsidRPr="00EC356F">
        <w:rPr>
          <w:rStyle w:val="longtext"/>
          <w:rFonts w:ascii="Times New Roman" w:hAnsi="Times New Roman" w:cs="Times New Roman"/>
          <w:color w:val="000000"/>
          <w:sz w:val="21"/>
          <w:szCs w:val="21"/>
          <w:shd w:val="clear" w:color="auto" w:fill="FFFFFF"/>
        </w:rPr>
        <w:t xml:space="preserve">  </w:t>
      </w:r>
    </w:p>
    <w:p w14:paraId="3803D49F" w14:textId="77777777" w:rsidR="00A9653E" w:rsidRPr="00EC356F"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Style w:val="longtext"/>
          <w:rFonts w:ascii="Times New Roman" w:hAnsi="Times New Roman" w:cs="Times New Roman"/>
          <w:color w:val="000000"/>
          <w:sz w:val="21"/>
          <w:szCs w:val="21"/>
          <w:shd w:val="clear" w:color="auto" w:fill="FFFFFF"/>
        </w:rPr>
        <w:t xml:space="preserve">With the global economy </w:t>
      </w:r>
      <w:r w:rsidR="00D02419">
        <w:rPr>
          <w:rStyle w:val="longtext"/>
          <w:rFonts w:ascii="Times New Roman" w:hAnsi="Times New Roman" w:cs="Times New Roman"/>
          <w:color w:val="000000"/>
          <w:sz w:val="21"/>
          <w:szCs w:val="21"/>
          <w:shd w:val="clear" w:color="auto" w:fill="FFFFFF"/>
        </w:rPr>
        <w:t>slowing down</w:t>
      </w:r>
      <w:r w:rsidRPr="00EC356F">
        <w:rPr>
          <w:rStyle w:val="longtext"/>
          <w:rFonts w:ascii="Times New Roman" w:hAnsi="Times New Roman" w:cs="Times New Roman"/>
          <w:color w:val="000000"/>
          <w:sz w:val="21"/>
          <w:szCs w:val="21"/>
          <w:shd w:val="clear" w:color="auto" w:fill="FFFFFF"/>
        </w:rPr>
        <w:t xml:space="preserve">, no inflationary trends will be observable in the world’s </w:t>
      </w:r>
      <w:r w:rsidRPr="00EC356F">
        <w:rPr>
          <w:rStyle w:val="longtext"/>
          <w:rFonts w:ascii="Times New Roman" w:hAnsi="Times New Roman" w:cs="Times New Roman"/>
          <w:b/>
          <w:color w:val="000000"/>
          <w:sz w:val="21"/>
          <w:szCs w:val="21"/>
          <w:shd w:val="clear" w:color="auto" w:fill="FFFFFF"/>
        </w:rPr>
        <w:t xml:space="preserve">basic commodity and food product markets. </w:t>
      </w:r>
      <w:r w:rsidRPr="00EC356F">
        <w:rPr>
          <w:rStyle w:val="longtext"/>
          <w:rFonts w:ascii="Times New Roman" w:hAnsi="Times New Roman" w:cs="Times New Roman"/>
          <w:color w:val="000000"/>
          <w:sz w:val="21"/>
          <w:szCs w:val="21"/>
          <w:shd w:val="clear" w:color="auto" w:fill="FFFFFF"/>
        </w:rPr>
        <w:t xml:space="preserve">In the meantime, individual commodity markets are predicted to develop under the influence of fundamental factors inherent in any such markets. Risks associated with energy price developments will be determined by geopolitical events, whereas prices of food products will depend on weather conditions.   </w:t>
      </w:r>
    </w:p>
    <w:p w14:paraId="06009761"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 xml:space="preserve">Box 1 </w:t>
      </w:r>
    </w:p>
    <w:p w14:paraId="5FBC1FE1"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Developments in commodities markets in the forecast horizon</w:t>
      </w:r>
    </w:p>
    <w:p w14:paraId="4F1FEB0E" w14:textId="77777777" w:rsidR="00A9653E" w:rsidRPr="00D776E5" w:rsidRDefault="00A9653E" w:rsidP="00A9653E">
      <w:pPr>
        <w:spacing w:line="360" w:lineRule="auto"/>
        <w:jc w:val="both"/>
        <w:rPr>
          <w:rFonts w:ascii="Times New Roman" w:hAnsi="Times New Roman" w:cs="Times New Roman"/>
          <w:i/>
          <w:sz w:val="21"/>
          <w:szCs w:val="21"/>
        </w:rPr>
      </w:pPr>
      <w:r w:rsidRPr="00D776E5">
        <w:rPr>
          <w:rFonts w:ascii="Times New Roman" w:hAnsi="Times New Roman" w:cs="Times New Roman"/>
          <w:i/>
          <w:sz w:val="21"/>
          <w:szCs w:val="21"/>
        </w:rPr>
        <w:t xml:space="preserve">According to International Energy Agency’s </w:t>
      </w:r>
      <w:r w:rsidR="00FB5E8E" w:rsidRPr="00D776E5">
        <w:rPr>
          <w:rFonts w:ascii="Times New Roman" w:hAnsi="Times New Roman" w:cs="Times New Roman"/>
          <w:i/>
          <w:sz w:val="21"/>
          <w:szCs w:val="21"/>
          <w:lang w:val="hy-AM"/>
        </w:rPr>
        <w:t xml:space="preserve">October </w:t>
      </w:r>
      <w:r w:rsidRPr="00D776E5">
        <w:rPr>
          <w:rFonts w:ascii="Times New Roman" w:hAnsi="Times New Roman" w:cs="Times New Roman"/>
          <w:i/>
          <w:sz w:val="21"/>
          <w:szCs w:val="21"/>
        </w:rPr>
        <w:t xml:space="preserve">estimates, in 2014 </w:t>
      </w:r>
      <w:r w:rsidR="00FB5E8E" w:rsidRPr="00D776E5">
        <w:rPr>
          <w:rFonts w:ascii="Times New Roman" w:hAnsi="Times New Roman" w:cs="Times New Roman"/>
          <w:i/>
          <w:sz w:val="21"/>
          <w:szCs w:val="21"/>
        </w:rPr>
        <w:t>nearly</w:t>
      </w:r>
      <w:r w:rsidRPr="00D776E5">
        <w:rPr>
          <w:rFonts w:ascii="Times New Roman" w:hAnsi="Times New Roman" w:cs="Times New Roman"/>
          <w:i/>
          <w:sz w:val="21"/>
          <w:szCs w:val="21"/>
        </w:rPr>
        <w:t xml:space="preserve"> 6</w:t>
      </w:r>
      <w:r w:rsidR="00FB5E8E" w:rsidRPr="00D776E5">
        <w:rPr>
          <w:rFonts w:ascii="Times New Roman" w:hAnsi="Times New Roman" w:cs="Times New Roman"/>
          <w:i/>
          <w:sz w:val="21"/>
          <w:szCs w:val="21"/>
        </w:rPr>
        <w:t>0.9</w:t>
      </w:r>
      <w:r w:rsidRPr="00D776E5">
        <w:rPr>
          <w:rFonts w:ascii="Times New Roman" w:hAnsi="Times New Roman" w:cs="Times New Roman"/>
          <w:i/>
          <w:sz w:val="21"/>
          <w:szCs w:val="21"/>
        </w:rPr>
        <w:t xml:space="preserve">% of global oil demand will be met by producing oil by non-OPEC countries (the growth was </w:t>
      </w:r>
      <w:r w:rsidR="00FB5E8E" w:rsidRPr="00D776E5">
        <w:rPr>
          <w:rFonts w:ascii="Times New Roman" w:hAnsi="Times New Roman" w:cs="Times New Roman"/>
          <w:i/>
          <w:sz w:val="21"/>
          <w:szCs w:val="21"/>
        </w:rPr>
        <w:t>3</w:t>
      </w:r>
      <w:r w:rsidRPr="00D776E5">
        <w:rPr>
          <w:rFonts w:ascii="Times New Roman" w:hAnsi="Times New Roman" w:cs="Times New Roman"/>
          <w:i/>
          <w:sz w:val="21"/>
          <w:szCs w:val="21"/>
        </w:rPr>
        <w:t>.</w:t>
      </w:r>
      <w:r w:rsidR="00FB5E8E" w:rsidRPr="00D776E5">
        <w:rPr>
          <w:rFonts w:ascii="Times New Roman" w:hAnsi="Times New Roman" w:cs="Times New Roman"/>
          <w:i/>
          <w:sz w:val="21"/>
          <w:szCs w:val="21"/>
        </w:rPr>
        <w:t>1</w:t>
      </w:r>
      <w:r w:rsidRPr="00D776E5">
        <w:rPr>
          <w:rFonts w:ascii="Times New Roman" w:hAnsi="Times New Roman" w:cs="Times New Roman"/>
          <w:i/>
          <w:sz w:val="21"/>
          <w:szCs w:val="21"/>
        </w:rPr>
        <w:t xml:space="preserve">% against the previous year), under which circumstance average demand for extraction of oil by OPEC countries will reach </w:t>
      </w:r>
      <w:r w:rsidR="00FB5E8E" w:rsidRPr="00D776E5">
        <w:rPr>
          <w:rFonts w:ascii="Times New Roman" w:hAnsi="Times New Roman" w:cs="Times New Roman"/>
          <w:i/>
          <w:sz w:val="21"/>
          <w:szCs w:val="21"/>
        </w:rPr>
        <w:t>29</w:t>
      </w:r>
      <w:r w:rsidRPr="00D776E5">
        <w:rPr>
          <w:rFonts w:ascii="Times New Roman" w:hAnsi="Times New Roman" w:cs="Times New Roman"/>
          <w:i/>
          <w:sz w:val="21"/>
          <w:szCs w:val="21"/>
        </w:rPr>
        <w:t>.</w:t>
      </w:r>
      <w:r w:rsidR="00FB5E8E" w:rsidRPr="00D776E5">
        <w:rPr>
          <w:rFonts w:ascii="Times New Roman" w:hAnsi="Times New Roman" w:cs="Times New Roman"/>
          <w:i/>
          <w:sz w:val="21"/>
          <w:szCs w:val="21"/>
        </w:rPr>
        <w:t>7</w:t>
      </w:r>
      <w:r w:rsidRPr="00D776E5">
        <w:rPr>
          <w:rFonts w:ascii="Times New Roman" w:hAnsi="Times New Roman" w:cs="Times New Roman"/>
          <w:i/>
          <w:sz w:val="21"/>
          <w:szCs w:val="21"/>
        </w:rPr>
        <w:t xml:space="preserve"> million b/d. In the </w:t>
      </w:r>
      <w:r w:rsidR="00FB5E8E" w:rsidRPr="00D776E5">
        <w:rPr>
          <w:rFonts w:ascii="Times New Roman" w:hAnsi="Times New Roman" w:cs="Times New Roman"/>
          <w:i/>
          <w:sz w:val="21"/>
          <w:szCs w:val="21"/>
        </w:rPr>
        <w:t>short-term perspective</w:t>
      </w:r>
      <w:r w:rsidRPr="00D776E5">
        <w:rPr>
          <w:rFonts w:ascii="Times New Roman" w:hAnsi="Times New Roman" w:cs="Times New Roman"/>
          <w:i/>
          <w:sz w:val="21"/>
          <w:szCs w:val="21"/>
        </w:rPr>
        <w:t xml:space="preserve">, international oil prices are expected to </w:t>
      </w:r>
      <w:r w:rsidR="00FB5E8E" w:rsidRPr="00D776E5">
        <w:rPr>
          <w:rFonts w:ascii="Times New Roman" w:hAnsi="Times New Roman" w:cs="Times New Roman"/>
          <w:i/>
          <w:sz w:val="21"/>
          <w:szCs w:val="21"/>
        </w:rPr>
        <w:t xml:space="preserve">fall </w:t>
      </w:r>
      <w:r w:rsidRPr="00D776E5">
        <w:rPr>
          <w:rFonts w:ascii="Times New Roman" w:hAnsi="Times New Roman" w:cs="Times New Roman"/>
          <w:i/>
          <w:sz w:val="21"/>
          <w:szCs w:val="21"/>
        </w:rPr>
        <w:t xml:space="preserve">as </w:t>
      </w:r>
      <w:r w:rsidR="00FB5E8E" w:rsidRPr="00D776E5">
        <w:rPr>
          <w:rFonts w:ascii="Times New Roman" w:hAnsi="Times New Roman" w:cs="Times New Roman"/>
          <w:i/>
          <w:sz w:val="21"/>
          <w:szCs w:val="21"/>
        </w:rPr>
        <w:t xml:space="preserve">short-term adjustment of supply will be anticipated. Afterwards, as the </w:t>
      </w:r>
      <w:r w:rsidRPr="00D776E5">
        <w:rPr>
          <w:rFonts w:ascii="Times New Roman" w:hAnsi="Times New Roman" w:cs="Times New Roman"/>
          <w:i/>
          <w:sz w:val="21"/>
          <w:szCs w:val="21"/>
        </w:rPr>
        <w:t>world economic activity rebounds</w:t>
      </w:r>
      <w:r w:rsidR="00FB5E8E" w:rsidRPr="00D776E5">
        <w:rPr>
          <w:rFonts w:ascii="Times New Roman" w:hAnsi="Times New Roman" w:cs="Times New Roman"/>
          <w:i/>
          <w:sz w:val="21"/>
          <w:szCs w:val="21"/>
        </w:rPr>
        <w:t xml:space="preserve"> in the medium run</w:t>
      </w:r>
      <w:r w:rsidRPr="00D776E5">
        <w:rPr>
          <w:rFonts w:ascii="Times New Roman" w:hAnsi="Times New Roman" w:cs="Times New Roman"/>
          <w:i/>
          <w:sz w:val="21"/>
          <w:szCs w:val="21"/>
        </w:rPr>
        <w:t xml:space="preserve">, </w:t>
      </w:r>
      <w:r w:rsidR="00FB5E8E" w:rsidRPr="00D776E5">
        <w:rPr>
          <w:rFonts w:ascii="Times New Roman" w:hAnsi="Times New Roman" w:cs="Times New Roman"/>
          <w:i/>
          <w:sz w:val="21"/>
          <w:szCs w:val="21"/>
        </w:rPr>
        <w:t xml:space="preserve">oil prices will tend to increase moderately </w:t>
      </w:r>
      <w:r w:rsidRPr="00D776E5">
        <w:rPr>
          <w:rFonts w:ascii="Times New Roman" w:hAnsi="Times New Roman" w:cs="Times New Roman"/>
          <w:i/>
          <w:sz w:val="21"/>
          <w:szCs w:val="21"/>
        </w:rPr>
        <w:t>although geopolitical developments are such that inflationary risks will persist in the global market of energy resources.</w:t>
      </w:r>
    </w:p>
    <w:p w14:paraId="16895CA4" w14:textId="071BA495" w:rsidR="00A9653E" w:rsidRPr="00D776E5" w:rsidRDefault="00A9653E" w:rsidP="00A9653E">
      <w:pPr>
        <w:spacing w:line="360" w:lineRule="auto"/>
        <w:jc w:val="both"/>
        <w:rPr>
          <w:rFonts w:ascii="Times New Roman" w:hAnsi="Times New Roman" w:cs="Times New Roman"/>
          <w:i/>
          <w:sz w:val="21"/>
          <w:szCs w:val="21"/>
        </w:rPr>
      </w:pPr>
      <w:r w:rsidRPr="00D776E5">
        <w:rPr>
          <w:rFonts w:ascii="Times New Roman" w:hAnsi="Times New Roman" w:cs="Times New Roman"/>
          <w:i/>
          <w:sz w:val="21"/>
          <w:szCs w:val="21"/>
        </w:rPr>
        <w:t xml:space="preserve">In </w:t>
      </w:r>
      <w:r w:rsidR="004D3E2A" w:rsidRPr="00D776E5">
        <w:rPr>
          <w:rFonts w:ascii="Times New Roman" w:hAnsi="Times New Roman" w:cs="Times New Roman"/>
          <w:i/>
          <w:sz w:val="21"/>
          <w:szCs w:val="21"/>
        </w:rPr>
        <w:t>the short-term perspective, certain de</w:t>
      </w:r>
      <w:r w:rsidRPr="00D776E5">
        <w:rPr>
          <w:rFonts w:ascii="Times New Roman" w:hAnsi="Times New Roman" w:cs="Times New Roman"/>
          <w:i/>
          <w:sz w:val="21"/>
          <w:szCs w:val="21"/>
        </w:rPr>
        <w:t>flationary patterns will be discernable in base metals markets</w:t>
      </w:r>
      <w:r w:rsidR="004D3E2A" w:rsidRPr="00D776E5">
        <w:rPr>
          <w:rFonts w:ascii="Times New Roman" w:hAnsi="Times New Roman" w:cs="Times New Roman"/>
          <w:i/>
          <w:sz w:val="21"/>
          <w:szCs w:val="21"/>
        </w:rPr>
        <w:t xml:space="preserve"> </w:t>
      </w:r>
      <w:r w:rsidRPr="00D776E5">
        <w:rPr>
          <w:rFonts w:ascii="Times New Roman" w:hAnsi="Times New Roman" w:cs="Times New Roman"/>
          <w:i/>
          <w:sz w:val="21"/>
          <w:szCs w:val="21"/>
        </w:rPr>
        <w:t xml:space="preserve">as the global economy </w:t>
      </w:r>
      <w:r w:rsidR="00B83F0A">
        <w:rPr>
          <w:rFonts w:ascii="Times New Roman" w:hAnsi="Times New Roman" w:cs="Times New Roman"/>
          <w:i/>
          <w:sz w:val="21"/>
          <w:szCs w:val="21"/>
        </w:rPr>
        <w:t xml:space="preserve">grows slowly </w:t>
      </w:r>
      <w:r w:rsidRPr="00D776E5">
        <w:rPr>
          <w:rFonts w:ascii="Times New Roman" w:hAnsi="Times New Roman" w:cs="Times New Roman"/>
          <w:i/>
          <w:sz w:val="21"/>
          <w:szCs w:val="21"/>
        </w:rPr>
        <w:t xml:space="preserve">. </w:t>
      </w:r>
      <w:r w:rsidR="004D3E2A" w:rsidRPr="00D776E5">
        <w:rPr>
          <w:rFonts w:ascii="Times New Roman" w:hAnsi="Times New Roman" w:cs="Times New Roman"/>
          <w:i/>
          <w:sz w:val="21"/>
          <w:szCs w:val="21"/>
        </w:rPr>
        <w:t xml:space="preserve">Later, in the medium run, prices </w:t>
      </w:r>
      <w:r w:rsidR="002E75C9" w:rsidRPr="00D776E5">
        <w:rPr>
          <w:rFonts w:ascii="Times New Roman" w:hAnsi="Times New Roman" w:cs="Times New Roman"/>
          <w:i/>
          <w:sz w:val="21"/>
          <w:szCs w:val="21"/>
        </w:rPr>
        <w:t>of</w:t>
      </w:r>
      <w:r w:rsidR="004D3E2A" w:rsidRPr="00D776E5">
        <w:rPr>
          <w:rFonts w:ascii="Times New Roman" w:hAnsi="Times New Roman" w:cs="Times New Roman"/>
          <w:i/>
          <w:sz w:val="21"/>
          <w:szCs w:val="21"/>
        </w:rPr>
        <w:t xml:space="preserve"> base metals will stabilize and</w:t>
      </w:r>
      <w:r w:rsidR="002E75C9" w:rsidRPr="00D776E5">
        <w:rPr>
          <w:rFonts w:ascii="Times New Roman" w:hAnsi="Times New Roman" w:cs="Times New Roman"/>
          <w:i/>
          <w:sz w:val="21"/>
          <w:szCs w:val="21"/>
        </w:rPr>
        <w:t xml:space="preserve"> even</w:t>
      </w:r>
      <w:r w:rsidR="004D3E2A" w:rsidRPr="00D776E5">
        <w:rPr>
          <w:rFonts w:ascii="Times New Roman" w:hAnsi="Times New Roman" w:cs="Times New Roman"/>
          <w:i/>
          <w:sz w:val="21"/>
          <w:szCs w:val="21"/>
        </w:rPr>
        <w:t xml:space="preserve"> demonstrate minor inflationary patterns. </w:t>
      </w:r>
    </w:p>
    <w:p w14:paraId="2EB3D047" w14:textId="77777777" w:rsidR="00A9653E" w:rsidRPr="00D776E5" w:rsidRDefault="00A9653E" w:rsidP="00A9653E">
      <w:pPr>
        <w:spacing w:line="360" w:lineRule="auto"/>
        <w:jc w:val="both"/>
        <w:rPr>
          <w:rFonts w:ascii="Times New Roman" w:hAnsi="Times New Roman" w:cs="Times New Roman"/>
          <w:i/>
          <w:color w:val="000000"/>
          <w:sz w:val="21"/>
          <w:szCs w:val="21"/>
        </w:rPr>
      </w:pPr>
      <w:r w:rsidRPr="00D776E5">
        <w:rPr>
          <w:rFonts w:ascii="Times New Roman" w:hAnsi="Times New Roman" w:cs="Times New Roman"/>
          <w:i/>
          <w:sz w:val="21"/>
          <w:szCs w:val="21"/>
        </w:rPr>
        <w:t xml:space="preserve">According to </w:t>
      </w:r>
      <w:r w:rsidR="00D25CDA" w:rsidRPr="00D776E5">
        <w:rPr>
          <w:rFonts w:ascii="Times New Roman" w:hAnsi="Times New Roman" w:cs="Times New Roman"/>
          <w:i/>
          <w:sz w:val="21"/>
          <w:szCs w:val="21"/>
        </w:rPr>
        <w:t>October</w:t>
      </w:r>
      <w:r w:rsidRPr="00D776E5">
        <w:rPr>
          <w:rFonts w:ascii="Times New Roman" w:hAnsi="Times New Roman" w:cs="Times New Roman"/>
          <w:i/>
          <w:sz w:val="21"/>
          <w:szCs w:val="21"/>
        </w:rPr>
        <w:t xml:space="preserve"> </w:t>
      </w:r>
      <w:r w:rsidRPr="00D776E5">
        <w:rPr>
          <w:rFonts w:ascii="Times New Roman" w:hAnsi="Times New Roman" w:cs="Times New Roman"/>
          <w:i/>
          <w:color w:val="000000"/>
          <w:sz w:val="21"/>
          <w:szCs w:val="21"/>
        </w:rPr>
        <w:t>estimates of the U.S. Department of Agriculture, in the 2014/2015 marketing year some 7</w:t>
      </w:r>
      <w:r w:rsidR="00D25CDA" w:rsidRPr="00D776E5">
        <w:rPr>
          <w:rFonts w:ascii="Times New Roman" w:hAnsi="Times New Roman" w:cs="Times New Roman"/>
          <w:i/>
          <w:color w:val="000000"/>
          <w:sz w:val="21"/>
          <w:szCs w:val="21"/>
        </w:rPr>
        <w:t>21</w:t>
      </w:r>
      <w:r w:rsidRPr="00D776E5">
        <w:rPr>
          <w:rFonts w:ascii="Times New Roman" w:hAnsi="Times New Roman" w:cs="Times New Roman"/>
          <w:i/>
          <w:color w:val="000000"/>
          <w:sz w:val="21"/>
          <w:szCs w:val="21"/>
        </w:rPr>
        <w:t>.</w:t>
      </w:r>
      <w:r w:rsidR="00D25CDA" w:rsidRPr="00D776E5">
        <w:rPr>
          <w:rFonts w:ascii="Times New Roman" w:hAnsi="Times New Roman" w:cs="Times New Roman"/>
          <w:i/>
          <w:color w:val="000000"/>
          <w:sz w:val="21"/>
          <w:szCs w:val="21"/>
        </w:rPr>
        <w:t>1</w:t>
      </w:r>
      <w:r w:rsidRPr="00D776E5">
        <w:rPr>
          <w:rFonts w:ascii="Times New Roman" w:hAnsi="Times New Roman" w:cs="Times New Roman"/>
          <w:i/>
          <w:color w:val="000000"/>
          <w:sz w:val="21"/>
          <w:szCs w:val="21"/>
        </w:rPr>
        <w:t xml:space="preserve"> million tons of wheat crops is expected (the volume of crop has reduced by about </w:t>
      </w:r>
      <w:r w:rsidR="00D25CDA" w:rsidRPr="00D776E5">
        <w:rPr>
          <w:rFonts w:ascii="Times New Roman" w:hAnsi="Times New Roman" w:cs="Times New Roman"/>
          <w:i/>
          <w:color w:val="000000"/>
          <w:sz w:val="21"/>
          <w:szCs w:val="21"/>
        </w:rPr>
        <w:t>6</w:t>
      </w:r>
      <w:r w:rsidRPr="00D776E5">
        <w:rPr>
          <w:rFonts w:ascii="Times New Roman" w:hAnsi="Times New Roman" w:cs="Times New Roman"/>
          <w:i/>
          <w:color w:val="000000"/>
          <w:sz w:val="21"/>
          <w:szCs w:val="21"/>
        </w:rPr>
        <w:t xml:space="preserve"> million tons in comparison with the previous year). Furthermore, some growth of stock is expected in the forecast horizon, reflecting faster production rates over consumption (the stock will increase by </w:t>
      </w:r>
      <w:r w:rsidRPr="00D776E5">
        <w:rPr>
          <w:rFonts w:ascii="Times New Roman" w:hAnsi="Times New Roman" w:cs="Times New Roman"/>
          <w:i/>
          <w:color w:val="000000"/>
          <w:sz w:val="21"/>
          <w:szCs w:val="21"/>
        </w:rPr>
        <w:lastRenderedPageBreak/>
        <w:t xml:space="preserve">nearly </w:t>
      </w:r>
      <w:r w:rsidR="00D25CDA" w:rsidRPr="00D776E5">
        <w:rPr>
          <w:rFonts w:ascii="Times New Roman" w:hAnsi="Times New Roman" w:cs="Times New Roman"/>
          <w:i/>
          <w:color w:val="000000"/>
          <w:sz w:val="21"/>
          <w:szCs w:val="21"/>
        </w:rPr>
        <w:t>7</w:t>
      </w:r>
      <w:r w:rsidRPr="00D776E5">
        <w:rPr>
          <w:rFonts w:ascii="Times New Roman" w:hAnsi="Times New Roman" w:cs="Times New Roman"/>
          <w:i/>
          <w:color w:val="000000"/>
          <w:sz w:val="21"/>
          <w:szCs w:val="21"/>
        </w:rPr>
        <w:t xml:space="preserve"> million ton</w:t>
      </w:r>
      <w:r w:rsidR="00D25CDA" w:rsidRPr="00D776E5">
        <w:rPr>
          <w:rFonts w:ascii="Times New Roman" w:hAnsi="Times New Roman" w:cs="Times New Roman"/>
          <w:i/>
          <w:color w:val="000000"/>
          <w:sz w:val="21"/>
          <w:szCs w:val="21"/>
        </w:rPr>
        <w:t>s</w:t>
      </w:r>
      <w:r w:rsidRPr="00D776E5">
        <w:rPr>
          <w:rFonts w:ascii="Times New Roman" w:hAnsi="Times New Roman" w:cs="Times New Roman"/>
          <w:i/>
          <w:color w:val="000000"/>
          <w:sz w:val="21"/>
          <w:szCs w:val="21"/>
        </w:rPr>
        <w:t xml:space="preserve"> against the previous year). Notwithstanding short-term deflationary patterns, </w:t>
      </w:r>
      <w:r w:rsidRPr="00D776E5">
        <w:rPr>
          <w:rFonts w:ascii="Times New Roman" w:hAnsi="Times New Roman" w:cs="Times New Roman"/>
          <w:i/>
          <w:sz w:val="21"/>
          <w:szCs w:val="21"/>
        </w:rPr>
        <w:t xml:space="preserve">average international wheat price will follow a steady path in the medium run. </w:t>
      </w:r>
    </w:p>
    <w:p w14:paraId="4349FF52" w14:textId="77777777" w:rsidR="00A9653E" w:rsidRPr="00D776E5" w:rsidRDefault="00A9653E" w:rsidP="00A9653E">
      <w:pPr>
        <w:spacing w:line="360" w:lineRule="auto"/>
        <w:jc w:val="both"/>
        <w:rPr>
          <w:rFonts w:ascii="Times New Roman" w:hAnsi="Times New Roman" w:cs="Times New Roman"/>
          <w:i/>
          <w:color w:val="000000"/>
          <w:sz w:val="21"/>
          <w:szCs w:val="21"/>
        </w:rPr>
      </w:pPr>
      <w:r w:rsidRPr="00D776E5">
        <w:rPr>
          <w:rFonts w:ascii="Times New Roman" w:hAnsi="Times New Roman" w:cs="Times New Roman"/>
          <w:i/>
          <w:color w:val="000000"/>
          <w:sz w:val="21"/>
          <w:szCs w:val="21"/>
        </w:rPr>
        <w:t xml:space="preserve">In the 2014/2015 marketing year, world production of rice will reach </w:t>
      </w:r>
      <w:r w:rsidR="004E4C71" w:rsidRPr="00D776E5">
        <w:rPr>
          <w:rFonts w:ascii="Times New Roman" w:hAnsi="Times New Roman" w:cs="Times New Roman"/>
          <w:i/>
          <w:color w:val="000000"/>
          <w:sz w:val="21"/>
          <w:szCs w:val="21"/>
        </w:rPr>
        <w:t xml:space="preserve">approximately </w:t>
      </w:r>
      <w:r w:rsidRPr="00D776E5">
        <w:rPr>
          <w:rFonts w:ascii="Times New Roman" w:hAnsi="Times New Roman" w:cs="Times New Roman"/>
          <w:i/>
          <w:color w:val="000000"/>
          <w:sz w:val="21"/>
          <w:szCs w:val="21"/>
        </w:rPr>
        <w:t>47</w:t>
      </w:r>
      <w:r w:rsidR="004E4C71" w:rsidRPr="00D776E5">
        <w:rPr>
          <w:rFonts w:ascii="Times New Roman" w:hAnsi="Times New Roman" w:cs="Times New Roman"/>
          <w:i/>
          <w:color w:val="000000"/>
          <w:sz w:val="21"/>
          <w:szCs w:val="21"/>
        </w:rPr>
        <w:t>5</w:t>
      </w:r>
      <w:r w:rsidRPr="00D776E5">
        <w:rPr>
          <w:rFonts w:ascii="Times New Roman" w:hAnsi="Times New Roman" w:cs="Times New Roman"/>
          <w:i/>
          <w:color w:val="000000"/>
          <w:sz w:val="21"/>
          <w:szCs w:val="21"/>
        </w:rPr>
        <w:t>.</w:t>
      </w:r>
      <w:r w:rsidR="004E4C71" w:rsidRPr="00D776E5">
        <w:rPr>
          <w:rFonts w:ascii="Times New Roman" w:hAnsi="Times New Roman" w:cs="Times New Roman"/>
          <w:i/>
          <w:color w:val="000000"/>
          <w:sz w:val="21"/>
          <w:szCs w:val="21"/>
        </w:rPr>
        <w:t>48</w:t>
      </w:r>
      <w:r w:rsidRPr="00D776E5">
        <w:rPr>
          <w:rFonts w:ascii="Times New Roman" w:hAnsi="Times New Roman" w:cs="Times New Roman"/>
          <w:i/>
          <w:color w:val="000000"/>
          <w:sz w:val="21"/>
          <w:szCs w:val="21"/>
        </w:rPr>
        <w:t xml:space="preserve"> million tons (</w:t>
      </w:r>
      <w:r w:rsidR="004E4C71" w:rsidRPr="00D776E5">
        <w:rPr>
          <w:rFonts w:ascii="Times New Roman" w:hAnsi="Times New Roman" w:cs="Times New Roman"/>
          <w:i/>
          <w:color w:val="000000"/>
          <w:sz w:val="21"/>
          <w:szCs w:val="21"/>
        </w:rPr>
        <w:t>roughly</w:t>
      </w:r>
      <w:r w:rsidRPr="00D776E5">
        <w:rPr>
          <w:rFonts w:ascii="Times New Roman" w:hAnsi="Times New Roman" w:cs="Times New Roman"/>
          <w:i/>
          <w:color w:val="000000"/>
          <w:sz w:val="21"/>
          <w:szCs w:val="21"/>
        </w:rPr>
        <w:t xml:space="preserve"> </w:t>
      </w:r>
      <w:r w:rsidR="004E4C71" w:rsidRPr="00D776E5">
        <w:rPr>
          <w:rFonts w:ascii="Times New Roman" w:hAnsi="Times New Roman" w:cs="Times New Roman"/>
          <w:i/>
          <w:color w:val="000000"/>
          <w:sz w:val="21"/>
          <w:szCs w:val="21"/>
        </w:rPr>
        <w:t>1</w:t>
      </w:r>
      <w:r w:rsidRPr="00D776E5">
        <w:rPr>
          <w:rFonts w:ascii="Times New Roman" w:hAnsi="Times New Roman" w:cs="Times New Roman"/>
          <w:i/>
          <w:color w:val="000000"/>
          <w:sz w:val="21"/>
          <w:szCs w:val="21"/>
        </w:rPr>
        <w:t xml:space="preserve"> million ton more compared to the previous year). On the back of increased consumption however, the world rice stock may somewhat </w:t>
      </w:r>
      <w:r w:rsidR="00951344" w:rsidRPr="00D776E5">
        <w:rPr>
          <w:rFonts w:ascii="Times New Roman" w:hAnsi="Times New Roman" w:cs="Times New Roman"/>
          <w:i/>
          <w:color w:val="000000"/>
          <w:sz w:val="21"/>
          <w:szCs w:val="21"/>
        </w:rPr>
        <w:t>decrease</w:t>
      </w:r>
      <w:r w:rsidRPr="00D776E5">
        <w:rPr>
          <w:rFonts w:ascii="Times New Roman" w:hAnsi="Times New Roman" w:cs="Times New Roman"/>
          <w:i/>
          <w:color w:val="000000"/>
          <w:sz w:val="21"/>
          <w:szCs w:val="21"/>
        </w:rPr>
        <w:t xml:space="preserve"> </w:t>
      </w:r>
      <w:r w:rsidR="00951344" w:rsidRPr="00D776E5">
        <w:rPr>
          <w:rFonts w:ascii="Times New Roman" w:hAnsi="Times New Roman" w:cs="Times New Roman"/>
          <w:i/>
          <w:color w:val="000000"/>
          <w:sz w:val="21"/>
          <w:szCs w:val="21"/>
        </w:rPr>
        <w:t>by nearly 6.2</w:t>
      </w:r>
      <w:r w:rsidRPr="00D776E5">
        <w:rPr>
          <w:rFonts w:ascii="Times New Roman" w:hAnsi="Times New Roman" w:cs="Times New Roman"/>
          <w:i/>
          <w:color w:val="000000"/>
          <w:sz w:val="21"/>
          <w:szCs w:val="21"/>
        </w:rPr>
        <w:t xml:space="preserve"> million tons in comparison with the previous year. </w:t>
      </w:r>
      <w:r w:rsidRPr="00D776E5">
        <w:rPr>
          <w:rFonts w:ascii="Times New Roman" w:hAnsi="Times New Roman" w:cs="Times New Roman"/>
          <w:i/>
          <w:sz w:val="21"/>
          <w:szCs w:val="21"/>
        </w:rPr>
        <w:t xml:space="preserve">As a result, average international rice price will mostly behave stably. </w:t>
      </w:r>
    </w:p>
    <w:p w14:paraId="08D4CA3A" w14:textId="77777777" w:rsidR="00A9653E" w:rsidRPr="00EC356F" w:rsidRDefault="00A9653E" w:rsidP="00A9653E">
      <w:pPr>
        <w:spacing w:line="360" w:lineRule="auto"/>
        <w:jc w:val="both"/>
        <w:rPr>
          <w:rFonts w:ascii="Times New Roman" w:hAnsi="Times New Roman" w:cs="Times New Roman"/>
          <w:color w:val="000000"/>
          <w:sz w:val="21"/>
          <w:szCs w:val="21"/>
        </w:rPr>
      </w:pPr>
      <w:r w:rsidRPr="00D776E5">
        <w:rPr>
          <w:rFonts w:ascii="Times New Roman" w:hAnsi="Times New Roman" w:cs="Times New Roman"/>
          <w:i/>
          <w:sz w:val="21"/>
          <w:szCs w:val="21"/>
        </w:rPr>
        <w:t xml:space="preserve">Predictable reduction of cane crop in Brazil in the 2014/2015 marketing year will be largely compensated by generous harvest expected in the EU, Australia and Mexico. As a result, </w:t>
      </w:r>
      <w:r w:rsidRPr="00D776E5">
        <w:rPr>
          <w:rFonts w:ascii="Times New Roman" w:hAnsi="Times New Roman" w:cs="Times New Roman"/>
          <w:i/>
          <w:color w:val="000000"/>
          <w:sz w:val="21"/>
          <w:szCs w:val="21"/>
        </w:rPr>
        <w:t>in the medium run</w:t>
      </w:r>
      <w:r w:rsidRPr="00D776E5">
        <w:rPr>
          <w:rFonts w:ascii="Times New Roman" w:hAnsi="Times New Roman" w:cs="Times New Roman"/>
          <w:i/>
          <w:sz w:val="21"/>
          <w:szCs w:val="21"/>
        </w:rPr>
        <w:t xml:space="preserve"> international sugar price</w:t>
      </w:r>
      <w:r w:rsidRPr="00D776E5">
        <w:rPr>
          <w:rFonts w:ascii="Times New Roman" w:hAnsi="Times New Roman" w:cs="Times New Roman"/>
          <w:i/>
          <w:color w:val="000000"/>
          <w:sz w:val="21"/>
          <w:szCs w:val="21"/>
        </w:rPr>
        <w:t xml:space="preserve"> may trend slightly up. </w:t>
      </w:r>
      <w:r w:rsidR="00951344" w:rsidRPr="00D776E5">
        <w:rPr>
          <w:rFonts w:ascii="Times New Roman" w:hAnsi="Times New Roman" w:cs="Times New Roman"/>
          <w:i/>
          <w:color w:val="000000"/>
          <w:sz w:val="21"/>
          <w:szCs w:val="21"/>
        </w:rPr>
        <w:t>It should be noted that short-term developments in the market will be greatly influenced by expectations about supply, as key industrial countries will adjust their estimations of domestic output.</w:t>
      </w:r>
      <w:r w:rsidR="00951344">
        <w:rPr>
          <w:rFonts w:ascii="Times New Roman" w:hAnsi="Times New Roman" w:cs="Times New Roman"/>
          <w:color w:val="000000"/>
          <w:sz w:val="21"/>
          <w:szCs w:val="21"/>
        </w:rPr>
        <w:t xml:space="preserve">  </w:t>
      </w:r>
    </w:p>
    <w:p w14:paraId="665ED9F3" w14:textId="77777777" w:rsidR="00A9653E" w:rsidRPr="00EC356F" w:rsidRDefault="00A9653E" w:rsidP="00A9653E">
      <w:pPr>
        <w:spacing w:line="360" w:lineRule="auto"/>
        <w:jc w:val="both"/>
        <w:rPr>
          <w:rFonts w:ascii="Times New Roman" w:hAnsi="Times New Roman" w:cs="Times New Roman"/>
          <w:b/>
          <w:sz w:val="21"/>
          <w:szCs w:val="21"/>
        </w:rPr>
      </w:pPr>
    </w:p>
    <w:p w14:paraId="5FDC3909"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2.2 Aggregate supply and Aggregate demand</w:t>
      </w:r>
    </w:p>
    <w:p w14:paraId="1E84EE7B"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Aggregate supply</w:t>
      </w:r>
    </w:p>
    <w:p w14:paraId="6CBDA0D9" w14:textId="77777777" w:rsidR="00D776E5" w:rsidRDefault="00D776E5" w:rsidP="00A9653E">
      <w:pPr>
        <w:spacing w:line="360" w:lineRule="auto"/>
        <w:jc w:val="both"/>
        <w:rPr>
          <w:rFonts w:ascii="Times New Roman" w:hAnsi="Times New Roman" w:cs="Times New Roman"/>
          <w:bCs/>
          <w:iCs/>
          <w:sz w:val="21"/>
          <w:szCs w:val="21"/>
        </w:rPr>
      </w:pPr>
    </w:p>
    <w:p w14:paraId="41D09F91" w14:textId="77777777" w:rsidR="00D776E5" w:rsidRPr="005D13A6" w:rsidRDefault="00D776E5" w:rsidP="00A9653E">
      <w:pPr>
        <w:spacing w:line="360" w:lineRule="auto"/>
        <w:jc w:val="both"/>
        <w:rPr>
          <w:rFonts w:ascii="Times New Roman" w:hAnsi="Times New Roman" w:cs="Times New Roman"/>
          <w:bCs/>
          <w:iCs/>
          <w:color w:val="0070C0"/>
          <w:sz w:val="18"/>
          <w:szCs w:val="18"/>
        </w:rPr>
      </w:pPr>
      <w:r w:rsidRPr="005D13A6">
        <w:rPr>
          <w:rFonts w:ascii="Times New Roman" w:hAnsi="Times New Roman" w:cs="Times New Roman"/>
          <w:bCs/>
          <w:iCs/>
          <w:color w:val="0070C0"/>
          <w:sz w:val="18"/>
          <w:szCs w:val="18"/>
        </w:rPr>
        <w:t>Economic growth forecasts were revised downside to amount to 3.1-3.6%...</w:t>
      </w:r>
    </w:p>
    <w:p w14:paraId="7B864587" w14:textId="77777777" w:rsidR="00A9653E" w:rsidRPr="00EC356F" w:rsidRDefault="00F21669"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F</w:t>
      </w:r>
      <w:r w:rsidRPr="00EC356F">
        <w:rPr>
          <w:rFonts w:ascii="Times New Roman" w:hAnsi="Times New Roman" w:cs="Times New Roman"/>
          <w:bCs/>
          <w:iCs/>
          <w:sz w:val="21"/>
          <w:szCs w:val="21"/>
        </w:rPr>
        <w:t xml:space="preserve">urther adversities due to negative economic </w:t>
      </w:r>
      <w:r>
        <w:rPr>
          <w:rFonts w:ascii="Times New Roman" w:hAnsi="Times New Roman" w:cs="Times New Roman"/>
          <w:bCs/>
          <w:iCs/>
          <w:sz w:val="21"/>
          <w:szCs w:val="21"/>
        </w:rPr>
        <w:t xml:space="preserve">developments </w:t>
      </w:r>
      <w:r w:rsidRPr="00EC356F">
        <w:rPr>
          <w:rFonts w:ascii="Times New Roman" w:hAnsi="Times New Roman" w:cs="Times New Roman"/>
          <w:bCs/>
          <w:iCs/>
          <w:sz w:val="21"/>
          <w:szCs w:val="21"/>
        </w:rPr>
        <w:t>in Armenia’s trade and investment partner</w:t>
      </w:r>
      <w:r>
        <w:rPr>
          <w:rFonts w:ascii="Times New Roman" w:hAnsi="Times New Roman" w:cs="Times New Roman"/>
          <w:bCs/>
          <w:iCs/>
          <w:sz w:val="21"/>
          <w:szCs w:val="21"/>
        </w:rPr>
        <w:t xml:space="preserve"> countries</w:t>
      </w:r>
      <w:r w:rsidRPr="00EC356F">
        <w:rPr>
          <w:rFonts w:ascii="Times New Roman" w:hAnsi="Times New Roman" w:cs="Times New Roman"/>
          <w:bCs/>
          <w:iCs/>
          <w:sz w:val="21"/>
          <w:szCs w:val="21"/>
        </w:rPr>
        <w:t>, a slow pace of implementation of some major construction projects</w:t>
      </w:r>
      <w:r>
        <w:rPr>
          <w:rFonts w:ascii="Times New Roman" w:hAnsi="Times New Roman" w:cs="Times New Roman"/>
          <w:bCs/>
          <w:iCs/>
          <w:sz w:val="21"/>
          <w:szCs w:val="21"/>
        </w:rPr>
        <w:t xml:space="preserve"> </w:t>
      </w:r>
      <w:r w:rsidRPr="00EC356F">
        <w:rPr>
          <w:rFonts w:ascii="Times New Roman" w:hAnsi="Times New Roman" w:cs="Times New Roman"/>
          <w:bCs/>
          <w:iCs/>
          <w:sz w:val="21"/>
          <w:szCs w:val="21"/>
        </w:rPr>
        <w:t>a</w:t>
      </w:r>
      <w:r>
        <w:rPr>
          <w:rFonts w:ascii="Times New Roman" w:hAnsi="Times New Roman" w:cs="Times New Roman"/>
          <w:bCs/>
          <w:iCs/>
          <w:sz w:val="21"/>
          <w:szCs w:val="21"/>
        </w:rPr>
        <w:t>nd a</w:t>
      </w:r>
      <w:r w:rsidRPr="00EC356F">
        <w:rPr>
          <w:rFonts w:ascii="Times New Roman" w:hAnsi="Times New Roman" w:cs="Times New Roman"/>
          <w:bCs/>
          <w:iCs/>
          <w:sz w:val="21"/>
          <w:szCs w:val="21"/>
        </w:rPr>
        <w:t xml:space="preserve"> weaker-than-anticipated expansionary fiscal policy implementation </w:t>
      </w:r>
      <w:r>
        <w:rPr>
          <w:rFonts w:ascii="Times New Roman" w:hAnsi="Times New Roman" w:cs="Times New Roman"/>
          <w:bCs/>
          <w:iCs/>
          <w:sz w:val="21"/>
          <w:szCs w:val="21"/>
        </w:rPr>
        <w:t xml:space="preserve">all prompted to </w:t>
      </w:r>
      <w:r w:rsidRPr="00F21669">
        <w:rPr>
          <w:rFonts w:ascii="Times New Roman" w:hAnsi="Times New Roman" w:cs="Times New Roman"/>
          <w:b/>
          <w:bCs/>
          <w:iCs/>
          <w:sz w:val="21"/>
          <w:szCs w:val="21"/>
        </w:rPr>
        <w:t xml:space="preserve">revise </w:t>
      </w:r>
      <w:r w:rsidR="00A9653E" w:rsidRPr="00EC356F">
        <w:rPr>
          <w:rFonts w:ascii="Times New Roman" w:hAnsi="Times New Roman" w:cs="Times New Roman"/>
          <w:b/>
          <w:bCs/>
          <w:iCs/>
          <w:sz w:val="21"/>
          <w:szCs w:val="21"/>
        </w:rPr>
        <w:t>economic growth forecasts downside</w:t>
      </w:r>
      <w:r w:rsidR="00A9653E" w:rsidRPr="00EC356F">
        <w:rPr>
          <w:rFonts w:ascii="Times New Roman" w:hAnsi="Times New Roman" w:cs="Times New Roman"/>
          <w:bCs/>
          <w:iCs/>
          <w:sz w:val="21"/>
          <w:szCs w:val="21"/>
        </w:rPr>
        <w:t>.</w:t>
      </w:r>
      <w:r w:rsidR="000E55CD">
        <w:rPr>
          <w:rFonts w:ascii="Times New Roman" w:hAnsi="Times New Roman" w:cs="Times New Roman"/>
          <w:bCs/>
          <w:iCs/>
          <w:sz w:val="21"/>
          <w:szCs w:val="21"/>
        </w:rPr>
        <w:t xml:space="preserve"> As a result, the</w:t>
      </w:r>
      <w:r w:rsidR="00A9653E" w:rsidRPr="00EC356F">
        <w:rPr>
          <w:rFonts w:ascii="Times New Roman" w:hAnsi="Times New Roman" w:cs="Times New Roman"/>
          <w:bCs/>
          <w:iCs/>
          <w:sz w:val="21"/>
          <w:szCs w:val="21"/>
        </w:rPr>
        <w:t xml:space="preserve"> </w:t>
      </w:r>
      <w:r w:rsidR="000E55CD">
        <w:rPr>
          <w:rFonts w:ascii="Times New Roman" w:hAnsi="Times New Roman" w:cs="Times New Roman"/>
          <w:bCs/>
          <w:iCs/>
          <w:sz w:val="21"/>
          <w:szCs w:val="21"/>
        </w:rPr>
        <w:t>e</w:t>
      </w:r>
      <w:r w:rsidR="000E55CD" w:rsidRPr="00EC356F">
        <w:rPr>
          <w:rFonts w:ascii="Times New Roman" w:hAnsi="Times New Roman" w:cs="Times New Roman"/>
          <w:color w:val="000000"/>
          <w:sz w:val="21"/>
          <w:szCs w:val="21"/>
        </w:rPr>
        <w:t>conomic growth in 2014 is expected in the range 3</w:t>
      </w:r>
      <w:r w:rsidR="000E55CD">
        <w:rPr>
          <w:rFonts w:ascii="Times New Roman" w:hAnsi="Times New Roman" w:cs="Times New Roman"/>
          <w:color w:val="000000"/>
          <w:sz w:val="21"/>
          <w:szCs w:val="21"/>
        </w:rPr>
        <w:t>.1</w:t>
      </w:r>
      <w:r w:rsidR="000E55CD" w:rsidRPr="00EC356F">
        <w:rPr>
          <w:rFonts w:ascii="Times New Roman" w:hAnsi="Times New Roman" w:cs="Times New Roman"/>
          <w:color w:val="000000"/>
          <w:sz w:val="21"/>
          <w:szCs w:val="21"/>
        </w:rPr>
        <w:t>-</w:t>
      </w:r>
      <w:r w:rsidR="000E55CD">
        <w:rPr>
          <w:rFonts w:ascii="Times New Roman" w:hAnsi="Times New Roman" w:cs="Times New Roman"/>
          <w:color w:val="000000"/>
          <w:sz w:val="21"/>
          <w:szCs w:val="21"/>
        </w:rPr>
        <w:t>3</w:t>
      </w:r>
      <w:r w:rsidR="000E55CD" w:rsidRPr="00EC356F">
        <w:rPr>
          <w:rFonts w:ascii="Times New Roman" w:hAnsi="Times New Roman" w:cs="Times New Roman"/>
          <w:color w:val="000000"/>
          <w:sz w:val="21"/>
          <w:szCs w:val="21"/>
        </w:rPr>
        <w:t>.</w:t>
      </w:r>
      <w:r w:rsidR="000E55CD">
        <w:rPr>
          <w:rFonts w:ascii="Times New Roman" w:hAnsi="Times New Roman" w:cs="Times New Roman"/>
          <w:color w:val="000000"/>
          <w:sz w:val="21"/>
          <w:szCs w:val="21"/>
        </w:rPr>
        <w:t>6</w:t>
      </w:r>
      <w:r w:rsidR="000E55CD" w:rsidRPr="00EC356F">
        <w:rPr>
          <w:rFonts w:ascii="Times New Roman" w:hAnsi="Times New Roman" w:cs="Times New Roman"/>
          <w:color w:val="000000"/>
          <w:sz w:val="21"/>
          <w:szCs w:val="21"/>
        </w:rPr>
        <w:t>%</w:t>
      </w:r>
      <w:r w:rsidR="00ED55C3" w:rsidRPr="00EC356F">
        <w:rPr>
          <w:rStyle w:val="FootnoteReference"/>
          <w:rFonts w:ascii="Times New Roman" w:hAnsi="Times New Roman" w:cs="Times New Roman"/>
          <w:color w:val="000000"/>
          <w:sz w:val="21"/>
          <w:szCs w:val="21"/>
        </w:rPr>
        <w:footnoteReference w:customMarkFollows="1" w:id="2"/>
        <w:t>2</w:t>
      </w:r>
      <w:r w:rsidR="00ED55C3">
        <w:rPr>
          <w:rFonts w:ascii="Times New Roman" w:hAnsi="Times New Roman" w:cs="Times New Roman"/>
          <w:color w:val="000000"/>
          <w:sz w:val="21"/>
          <w:szCs w:val="21"/>
        </w:rPr>
        <w:t>.</w:t>
      </w:r>
    </w:p>
    <w:p w14:paraId="692653A9" w14:textId="4A85965D" w:rsidR="00A9653E" w:rsidRPr="00EC356F" w:rsidRDefault="0060194A" w:rsidP="00A9653E">
      <w:pPr>
        <w:spacing w:line="360" w:lineRule="auto"/>
        <w:jc w:val="both"/>
        <w:rPr>
          <w:rFonts w:ascii="Times New Roman" w:hAnsi="Times New Roman" w:cs="Times New Roman"/>
          <w:color w:val="000000"/>
          <w:sz w:val="21"/>
          <w:szCs w:val="21"/>
        </w:rPr>
      </w:pPr>
      <w:r w:rsidRPr="0060194A">
        <w:rPr>
          <w:rFonts w:ascii="Times New Roman" w:hAnsi="Times New Roman" w:cs="Times New Roman"/>
          <w:b/>
          <w:color w:val="000000"/>
          <w:sz w:val="21"/>
          <w:szCs w:val="21"/>
        </w:rPr>
        <w:t>The level of potential economic growth was adjusted downside as well</w:t>
      </w:r>
      <w:r w:rsidR="00880178">
        <w:rPr>
          <w:rFonts w:ascii="Times New Roman" w:hAnsi="Times New Roman" w:cs="Times New Roman"/>
          <w:b/>
          <w:color w:val="000000"/>
          <w:sz w:val="21"/>
          <w:szCs w:val="21"/>
        </w:rPr>
        <w:t xml:space="preserve">. </w:t>
      </w:r>
      <w:r w:rsidR="00880178">
        <w:rPr>
          <w:rFonts w:ascii="Times New Roman" w:hAnsi="Times New Roman" w:cs="Times New Roman"/>
          <w:color w:val="000000"/>
          <w:sz w:val="21"/>
          <w:szCs w:val="21"/>
        </w:rPr>
        <w:t>This was</w:t>
      </w:r>
      <w:r w:rsidRPr="0060194A">
        <w:rPr>
          <w:rFonts w:ascii="Times New Roman" w:hAnsi="Times New Roman" w:cs="Times New Roman"/>
          <w:color w:val="000000"/>
          <w:sz w:val="21"/>
          <w:szCs w:val="21"/>
        </w:rPr>
        <w:t xml:space="preserve"> mostly influenced by </w:t>
      </w:r>
      <w:r>
        <w:rPr>
          <w:rFonts w:ascii="Times New Roman" w:hAnsi="Times New Roman" w:cs="Times New Roman"/>
          <w:color w:val="000000"/>
          <w:sz w:val="21"/>
          <w:szCs w:val="21"/>
        </w:rPr>
        <w:t>the declined levels of potential economic growth in main trade partner countries as a result of growing uncertainties over future economic developments</w:t>
      </w:r>
      <w:r w:rsidR="00880178">
        <w:rPr>
          <w:rFonts w:ascii="Times New Roman" w:hAnsi="Times New Roman" w:cs="Times New Roman"/>
          <w:color w:val="000000"/>
          <w:sz w:val="21"/>
          <w:szCs w:val="21"/>
        </w:rPr>
        <w:t xml:space="preserve"> there and </w:t>
      </w:r>
      <w:r w:rsidR="002F4019">
        <w:rPr>
          <w:rFonts w:ascii="Times New Roman" w:hAnsi="Times New Roman" w:cs="Times New Roman"/>
          <w:color w:val="000000"/>
          <w:sz w:val="21"/>
          <w:szCs w:val="21"/>
        </w:rPr>
        <w:t xml:space="preserve">deceleration of </w:t>
      </w:r>
      <w:r w:rsidR="00880178">
        <w:rPr>
          <w:rFonts w:ascii="Times New Roman" w:hAnsi="Times New Roman" w:cs="Times New Roman"/>
          <w:color w:val="000000"/>
          <w:sz w:val="21"/>
          <w:szCs w:val="21"/>
        </w:rPr>
        <w:t>foreign capital investment the Armenian economy looks ahead to,</w:t>
      </w:r>
      <w:r>
        <w:rPr>
          <w:rFonts w:ascii="Times New Roman" w:hAnsi="Times New Roman" w:cs="Times New Roman"/>
          <w:color w:val="000000"/>
          <w:sz w:val="21"/>
          <w:szCs w:val="21"/>
        </w:rPr>
        <w:t xml:space="preserve"> on the one hand</w:t>
      </w:r>
      <w:r w:rsidR="00880178">
        <w:rPr>
          <w:rFonts w:ascii="Times New Roman" w:hAnsi="Times New Roman" w:cs="Times New Roman"/>
          <w:color w:val="000000"/>
          <w:sz w:val="21"/>
          <w:szCs w:val="21"/>
        </w:rPr>
        <w:t>,</w:t>
      </w:r>
      <w:r>
        <w:rPr>
          <w:rFonts w:ascii="Times New Roman" w:hAnsi="Times New Roman" w:cs="Times New Roman"/>
          <w:color w:val="000000"/>
          <w:sz w:val="21"/>
          <w:szCs w:val="21"/>
        </w:rPr>
        <w:t xml:space="preserve"> and </w:t>
      </w:r>
      <w:r w:rsidR="00880178">
        <w:rPr>
          <w:rFonts w:ascii="Times New Roman" w:hAnsi="Times New Roman" w:cs="Times New Roman"/>
          <w:color w:val="000000"/>
          <w:sz w:val="21"/>
          <w:szCs w:val="21"/>
        </w:rPr>
        <w:t xml:space="preserve">persisting weak investment activity in the domestic economy, on the other. In the forecast horizon, the </w:t>
      </w:r>
      <w:r w:rsidR="00A9653E" w:rsidRPr="00AE5282">
        <w:rPr>
          <w:rFonts w:ascii="Times New Roman" w:hAnsi="Times New Roman" w:cs="Times New Roman"/>
          <w:color w:val="000000"/>
          <w:sz w:val="21"/>
          <w:szCs w:val="21"/>
        </w:rPr>
        <w:t xml:space="preserve">economic growth </w:t>
      </w:r>
      <w:r w:rsidR="00880178">
        <w:rPr>
          <w:rFonts w:ascii="Times New Roman" w:hAnsi="Times New Roman" w:cs="Times New Roman"/>
          <w:color w:val="000000"/>
          <w:sz w:val="21"/>
          <w:szCs w:val="21"/>
        </w:rPr>
        <w:t>is</w:t>
      </w:r>
      <w:r w:rsidR="00A9653E" w:rsidRPr="00AE5282">
        <w:rPr>
          <w:rFonts w:ascii="Times New Roman" w:hAnsi="Times New Roman" w:cs="Times New Roman"/>
          <w:color w:val="000000"/>
          <w:sz w:val="21"/>
          <w:szCs w:val="21"/>
        </w:rPr>
        <w:t xml:space="preserve"> expected </w:t>
      </w:r>
      <w:r w:rsidR="00880178">
        <w:rPr>
          <w:rFonts w:ascii="Times New Roman" w:hAnsi="Times New Roman" w:cs="Times New Roman"/>
          <w:color w:val="000000"/>
          <w:sz w:val="21"/>
          <w:szCs w:val="21"/>
        </w:rPr>
        <w:t xml:space="preserve">to approach gradually its long-term equilibrium, 5-6%. </w:t>
      </w:r>
    </w:p>
    <w:p w14:paraId="7E6471E7" w14:textId="77777777"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lastRenderedPageBreak/>
        <w:t xml:space="preserve">For </w:t>
      </w:r>
      <w:r w:rsidRPr="00EC356F">
        <w:rPr>
          <w:rFonts w:ascii="Times New Roman" w:hAnsi="Times New Roman" w:cs="Times New Roman"/>
          <w:b/>
          <w:bCs/>
          <w:iCs/>
          <w:color w:val="000000"/>
          <w:sz w:val="21"/>
          <w:szCs w:val="21"/>
        </w:rPr>
        <w:t>Industry</w:t>
      </w:r>
      <w:r w:rsidRPr="00EC356F">
        <w:rPr>
          <w:rFonts w:ascii="Times New Roman" w:hAnsi="Times New Roman" w:cs="Times New Roman"/>
          <w:bCs/>
          <w:iCs/>
          <w:color w:val="000000"/>
          <w:sz w:val="21"/>
          <w:szCs w:val="21"/>
        </w:rPr>
        <w:t xml:space="preserve">, the forecasts were revised downside, with ore mining and metallurgy </w:t>
      </w:r>
      <w:r w:rsidR="00F94771">
        <w:rPr>
          <w:rFonts w:ascii="Times New Roman" w:hAnsi="Times New Roman" w:cs="Times New Roman"/>
          <w:bCs/>
          <w:iCs/>
          <w:color w:val="000000"/>
          <w:sz w:val="21"/>
          <w:szCs w:val="21"/>
        </w:rPr>
        <w:t xml:space="preserve">growth rates </w:t>
      </w:r>
      <w:r w:rsidRPr="00EC356F">
        <w:rPr>
          <w:rFonts w:ascii="Times New Roman" w:hAnsi="Times New Roman" w:cs="Times New Roman"/>
          <w:bCs/>
          <w:iCs/>
          <w:color w:val="000000"/>
          <w:sz w:val="21"/>
          <w:szCs w:val="21"/>
        </w:rPr>
        <w:t xml:space="preserve">predicted to </w:t>
      </w:r>
      <w:r w:rsidR="00F94771">
        <w:rPr>
          <w:rFonts w:ascii="Times New Roman" w:hAnsi="Times New Roman" w:cs="Times New Roman"/>
          <w:bCs/>
          <w:iCs/>
          <w:color w:val="000000"/>
          <w:sz w:val="21"/>
          <w:szCs w:val="21"/>
        </w:rPr>
        <w:t xml:space="preserve">slow down </w:t>
      </w:r>
      <w:r w:rsidRPr="00EC356F">
        <w:rPr>
          <w:rFonts w:ascii="Times New Roman" w:hAnsi="Times New Roman" w:cs="Times New Roman"/>
          <w:bCs/>
          <w:iCs/>
          <w:color w:val="000000"/>
          <w:sz w:val="21"/>
          <w:szCs w:val="21"/>
        </w:rPr>
        <w:t xml:space="preserve">due to the falling prices of non-ferrous metals in global markets. Growth rates in production of building materials, processed food and beverage were also revised downside due to the reported slowing in growth rates in construction, external and domestic demand. As a result, in 2014 value added in industry is expected to grow in the range </w:t>
      </w:r>
      <w:r w:rsidR="00D57A5E">
        <w:rPr>
          <w:rFonts w:ascii="Times New Roman" w:hAnsi="Times New Roman" w:cs="Times New Roman"/>
          <w:bCs/>
          <w:iCs/>
          <w:color w:val="000000"/>
          <w:sz w:val="21"/>
          <w:szCs w:val="21"/>
        </w:rPr>
        <w:t>0</w:t>
      </w:r>
      <w:r w:rsidRPr="00EC356F">
        <w:rPr>
          <w:rFonts w:ascii="Times New Roman" w:hAnsi="Times New Roman" w:cs="Times New Roman"/>
          <w:bCs/>
          <w:iCs/>
          <w:color w:val="000000"/>
          <w:sz w:val="21"/>
          <w:szCs w:val="21"/>
        </w:rPr>
        <w:t>.</w:t>
      </w:r>
      <w:r w:rsidR="00D57A5E">
        <w:rPr>
          <w:rFonts w:ascii="Times New Roman" w:hAnsi="Times New Roman" w:cs="Times New Roman"/>
          <w:bCs/>
          <w:iCs/>
          <w:color w:val="000000"/>
          <w:sz w:val="21"/>
          <w:szCs w:val="21"/>
        </w:rPr>
        <w:t>7</w:t>
      </w:r>
      <w:r w:rsidRPr="00EC356F">
        <w:rPr>
          <w:rFonts w:ascii="Times New Roman" w:hAnsi="Times New Roman" w:cs="Times New Roman"/>
          <w:bCs/>
          <w:iCs/>
          <w:color w:val="000000"/>
          <w:sz w:val="21"/>
          <w:szCs w:val="21"/>
        </w:rPr>
        <w:t>-</w:t>
      </w:r>
      <w:r w:rsidR="00D57A5E">
        <w:rPr>
          <w:rFonts w:ascii="Times New Roman" w:hAnsi="Times New Roman" w:cs="Times New Roman"/>
          <w:bCs/>
          <w:iCs/>
          <w:color w:val="000000"/>
          <w:sz w:val="21"/>
          <w:szCs w:val="21"/>
        </w:rPr>
        <w:t>1</w:t>
      </w:r>
      <w:r w:rsidRPr="00EC356F">
        <w:rPr>
          <w:rFonts w:ascii="Times New Roman" w:hAnsi="Times New Roman" w:cs="Times New Roman"/>
          <w:bCs/>
          <w:iCs/>
          <w:color w:val="000000"/>
          <w:sz w:val="21"/>
          <w:szCs w:val="21"/>
        </w:rPr>
        <w:t xml:space="preserve">.3%. </w:t>
      </w:r>
    </w:p>
    <w:p w14:paraId="6E72A041" w14:textId="77777777"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In</w:t>
      </w:r>
      <w:r w:rsidRPr="00EC356F">
        <w:rPr>
          <w:rFonts w:ascii="Times New Roman" w:hAnsi="Times New Roman" w:cs="Times New Roman"/>
          <w:b/>
          <w:bCs/>
          <w:iCs/>
          <w:color w:val="000000"/>
          <w:sz w:val="21"/>
          <w:szCs w:val="21"/>
        </w:rPr>
        <w:t xml:space="preserve"> forecast horizon</w:t>
      </w:r>
      <w:r w:rsidRPr="00EC356F">
        <w:rPr>
          <w:rFonts w:ascii="Times New Roman" w:hAnsi="Times New Roman" w:cs="Times New Roman"/>
          <w:bCs/>
          <w:iCs/>
          <w:color w:val="000000"/>
          <w:sz w:val="21"/>
          <w:szCs w:val="21"/>
        </w:rPr>
        <w:t>,</w:t>
      </w:r>
      <w:r w:rsidRPr="00EC356F">
        <w:rPr>
          <w:rFonts w:ascii="Times New Roman" w:hAnsi="Times New Roman" w:cs="Times New Roman"/>
          <w:b/>
          <w:bCs/>
          <w:iCs/>
          <w:color w:val="000000"/>
          <w:sz w:val="21"/>
          <w:szCs w:val="21"/>
        </w:rPr>
        <w:t xml:space="preserve"> </w:t>
      </w:r>
      <w:r w:rsidRPr="00EC356F">
        <w:rPr>
          <w:rFonts w:ascii="Times New Roman" w:hAnsi="Times New Roman" w:cs="Times New Roman"/>
          <w:bCs/>
          <w:iCs/>
          <w:color w:val="000000"/>
          <w:sz w:val="21"/>
          <w:szCs w:val="21"/>
        </w:rPr>
        <w:t xml:space="preserve">the industry growth will stabilize </w:t>
      </w:r>
      <w:r w:rsidR="00273952">
        <w:rPr>
          <w:rFonts w:ascii="Times New Roman" w:hAnsi="Times New Roman" w:cs="Times New Roman"/>
          <w:bCs/>
          <w:iCs/>
          <w:color w:val="000000"/>
          <w:sz w:val="21"/>
          <w:szCs w:val="21"/>
        </w:rPr>
        <w:t xml:space="preserve">within 4.8-5.3%, and this development will be supported by implementation of a handful of major projects. </w:t>
      </w:r>
    </w:p>
    <w:p w14:paraId="3E7AC8D6" w14:textId="77777777"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For</w:t>
      </w:r>
      <w:r w:rsidRPr="00EC356F">
        <w:rPr>
          <w:rFonts w:ascii="Times New Roman" w:hAnsi="Times New Roman" w:cs="Times New Roman"/>
          <w:b/>
          <w:bCs/>
          <w:i/>
          <w:iCs/>
          <w:color w:val="000000"/>
          <w:sz w:val="21"/>
          <w:szCs w:val="21"/>
        </w:rPr>
        <w:t xml:space="preserve"> </w:t>
      </w:r>
      <w:r w:rsidRPr="00EC356F">
        <w:rPr>
          <w:rFonts w:ascii="Times New Roman" w:hAnsi="Times New Roman" w:cs="Times New Roman"/>
          <w:b/>
          <w:bCs/>
          <w:iCs/>
          <w:color w:val="000000"/>
          <w:sz w:val="21"/>
          <w:szCs w:val="21"/>
        </w:rPr>
        <w:t>Construction</w:t>
      </w:r>
      <w:r w:rsidRPr="00EC356F">
        <w:rPr>
          <w:rFonts w:ascii="Times New Roman" w:hAnsi="Times New Roman" w:cs="Times New Roman"/>
          <w:bCs/>
          <w:iCs/>
          <w:color w:val="000000"/>
          <w:sz w:val="21"/>
          <w:szCs w:val="21"/>
        </w:rPr>
        <w:t xml:space="preserve">, forecasts of value added were revised downside, mainly due to lower-than-expected activity in the sector </w:t>
      </w:r>
      <w:r w:rsidR="00831D26">
        <w:rPr>
          <w:rFonts w:ascii="Times New Roman" w:hAnsi="Times New Roman" w:cs="Times New Roman"/>
          <w:bCs/>
          <w:iCs/>
          <w:color w:val="000000"/>
          <w:sz w:val="21"/>
          <w:szCs w:val="21"/>
        </w:rPr>
        <w:t>and a slow pace of implementation of construction programs during</w:t>
      </w:r>
      <w:r w:rsidRPr="00EC356F">
        <w:rPr>
          <w:rFonts w:ascii="Times New Roman" w:hAnsi="Times New Roman" w:cs="Times New Roman"/>
          <w:bCs/>
          <w:iCs/>
          <w:color w:val="000000"/>
          <w:sz w:val="21"/>
          <w:szCs w:val="21"/>
        </w:rPr>
        <w:t xml:space="preserve"> the </w:t>
      </w:r>
      <w:r w:rsidR="00831D26">
        <w:rPr>
          <w:rFonts w:ascii="Times New Roman" w:hAnsi="Times New Roman" w:cs="Times New Roman"/>
          <w:bCs/>
          <w:iCs/>
          <w:color w:val="000000"/>
          <w:sz w:val="21"/>
          <w:szCs w:val="21"/>
        </w:rPr>
        <w:t>3r</w:t>
      </w:r>
      <w:r w:rsidRPr="00EC356F">
        <w:rPr>
          <w:rFonts w:ascii="Times New Roman" w:hAnsi="Times New Roman" w:cs="Times New Roman"/>
          <w:bCs/>
          <w:iCs/>
          <w:color w:val="000000"/>
          <w:sz w:val="21"/>
          <w:szCs w:val="21"/>
        </w:rPr>
        <w:t xml:space="preserve">d quarter. As a result, value added is expected to </w:t>
      </w:r>
      <w:r w:rsidR="00831D26">
        <w:rPr>
          <w:rFonts w:ascii="Times New Roman" w:hAnsi="Times New Roman" w:cs="Times New Roman"/>
          <w:bCs/>
          <w:iCs/>
          <w:color w:val="000000"/>
          <w:sz w:val="21"/>
          <w:szCs w:val="21"/>
        </w:rPr>
        <w:t xml:space="preserve">decrease in 2014 </w:t>
      </w:r>
      <w:r w:rsidRPr="00EC356F">
        <w:rPr>
          <w:rFonts w:ascii="Times New Roman" w:hAnsi="Times New Roman" w:cs="Times New Roman"/>
          <w:bCs/>
          <w:iCs/>
          <w:color w:val="000000"/>
          <w:sz w:val="21"/>
          <w:szCs w:val="21"/>
        </w:rPr>
        <w:t xml:space="preserve">in the range </w:t>
      </w:r>
      <w:r w:rsidR="00831D26">
        <w:rPr>
          <w:rFonts w:ascii="Times New Roman" w:hAnsi="Times New Roman" w:cs="Times New Roman"/>
          <w:bCs/>
          <w:iCs/>
          <w:color w:val="000000"/>
          <w:sz w:val="21"/>
          <w:szCs w:val="21"/>
        </w:rPr>
        <w:t>3</w:t>
      </w:r>
      <w:r w:rsidRPr="00EC356F">
        <w:rPr>
          <w:rFonts w:ascii="Times New Roman" w:hAnsi="Times New Roman" w:cs="Times New Roman"/>
          <w:bCs/>
          <w:iCs/>
          <w:color w:val="000000"/>
          <w:sz w:val="21"/>
          <w:szCs w:val="21"/>
        </w:rPr>
        <w:t>-</w:t>
      </w:r>
      <w:r w:rsidR="00831D26">
        <w:rPr>
          <w:rFonts w:ascii="Times New Roman" w:hAnsi="Times New Roman" w:cs="Times New Roman"/>
          <w:bCs/>
          <w:iCs/>
          <w:color w:val="000000"/>
          <w:sz w:val="21"/>
          <w:szCs w:val="21"/>
        </w:rPr>
        <w:t>3</w:t>
      </w:r>
      <w:r w:rsidRPr="00EC356F">
        <w:rPr>
          <w:rFonts w:ascii="Times New Roman" w:hAnsi="Times New Roman" w:cs="Times New Roman"/>
          <w:bCs/>
          <w:iCs/>
          <w:color w:val="000000"/>
          <w:sz w:val="21"/>
          <w:szCs w:val="21"/>
        </w:rPr>
        <w:t>.5%</w:t>
      </w:r>
      <w:r w:rsidR="00831D26">
        <w:rPr>
          <w:rFonts w:ascii="Times New Roman" w:hAnsi="Times New Roman" w:cs="Times New Roman"/>
          <w:bCs/>
          <w:iCs/>
          <w:color w:val="000000"/>
          <w:sz w:val="21"/>
          <w:szCs w:val="21"/>
        </w:rPr>
        <w:t>.</w:t>
      </w:r>
      <w:r w:rsidRPr="00EC356F">
        <w:rPr>
          <w:rFonts w:ascii="Times New Roman" w:hAnsi="Times New Roman" w:cs="Times New Roman"/>
          <w:bCs/>
          <w:iCs/>
          <w:color w:val="000000"/>
          <w:sz w:val="21"/>
          <w:szCs w:val="21"/>
        </w:rPr>
        <w:t xml:space="preserve"> </w:t>
      </w:r>
    </w:p>
    <w:p w14:paraId="077790E3" w14:textId="77777777"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In the</w:t>
      </w:r>
      <w:r w:rsidRPr="00EC356F">
        <w:rPr>
          <w:rFonts w:ascii="Times New Roman" w:hAnsi="Times New Roman" w:cs="Times New Roman"/>
          <w:b/>
          <w:bCs/>
          <w:iCs/>
          <w:color w:val="000000"/>
          <w:sz w:val="21"/>
          <w:szCs w:val="21"/>
        </w:rPr>
        <w:t xml:space="preserve"> forecast horizon</w:t>
      </w:r>
      <w:r w:rsidRPr="00EC356F">
        <w:rPr>
          <w:rFonts w:ascii="Times New Roman" w:hAnsi="Times New Roman" w:cs="Times New Roman"/>
          <w:bCs/>
          <w:iCs/>
          <w:color w:val="000000"/>
          <w:sz w:val="21"/>
          <w:szCs w:val="21"/>
        </w:rPr>
        <w:t xml:space="preserve">, the growth is expected to stabilize within 0-1% as the supply and demand disequilibrium in construction phases out. </w:t>
      </w:r>
    </w:p>
    <w:p w14:paraId="10FE1176" w14:textId="77777777" w:rsidR="00831D26" w:rsidRPr="00EC356F" w:rsidRDefault="00831D26" w:rsidP="00831D26">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For</w:t>
      </w:r>
      <w:r w:rsidRPr="00EC356F">
        <w:rPr>
          <w:rFonts w:ascii="Times New Roman" w:hAnsi="Times New Roman" w:cs="Times New Roman"/>
          <w:b/>
          <w:bCs/>
          <w:i/>
          <w:iCs/>
          <w:color w:val="000000"/>
          <w:sz w:val="21"/>
          <w:szCs w:val="21"/>
        </w:rPr>
        <w:t xml:space="preserve"> </w:t>
      </w:r>
      <w:r w:rsidRPr="00EC356F">
        <w:rPr>
          <w:rFonts w:ascii="Times New Roman" w:hAnsi="Times New Roman" w:cs="Times New Roman"/>
          <w:b/>
          <w:bCs/>
          <w:iCs/>
          <w:color w:val="000000"/>
          <w:sz w:val="21"/>
          <w:szCs w:val="21"/>
        </w:rPr>
        <w:t>Services</w:t>
      </w:r>
      <w:r w:rsidRPr="00EC356F">
        <w:rPr>
          <w:rFonts w:ascii="Times New Roman" w:hAnsi="Times New Roman" w:cs="Times New Roman"/>
          <w:bCs/>
          <w:iCs/>
          <w:color w:val="000000"/>
          <w:sz w:val="21"/>
          <w:szCs w:val="21"/>
        </w:rPr>
        <w:t xml:space="preserve">, the forecasts were </w:t>
      </w:r>
      <w:r w:rsidR="00A60001">
        <w:rPr>
          <w:rFonts w:ascii="Times New Roman" w:hAnsi="Times New Roman" w:cs="Times New Roman"/>
          <w:bCs/>
          <w:iCs/>
          <w:color w:val="000000"/>
          <w:sz w:val="21"/>
          <w:szCs w:val="21"/>
        </w:rPr>
        <w:t xml:space="preserve">also </w:t>
      </w:r>
      <w:r w:rsidRPr="00EC356F">
        <w:rPr>
          <w:rFonts w:ascii="Times New Roman" w:hAnsi="Times New Roman" w:cs="Times New Roman"/>
          <w:bCs/>
          <w:iCs/>
          <w:color w:val="000000"/>
          <w:sz w:val="21"/>
          <w:szCs w:val="21"/>
        </w:rPr>
        <w:t xml:space="preserve">revised </w:t>
      </w:r>
      <w:r w:rsidR="00A60001">
        <w:rPr>
          <w:rFonts w:ascii="Times New Roman" w:hAnsi="Times New Roman" w:cs="Times New Roman"/>
          <w:bCs/>
          <w:iCs/>
          <w:color w:val="000000"/>
          <w:sz w:val="21"/>
          <w:szCs w:val="21"/>
        </w:rPr>
        <w:t>downside in line with downside adjustment of the forecast</w:t>
      </w:r>
      <w:r w:rsidR="00C446FB">
        <w:rPr>
          <w:rFonts w:ascii="Times New Roman" w:hAnsi="Times New Roman" w:cs="Times New Roman"/>
          <w:bCs/>
          <w:iCs/>
          <w:color w:val="000000"/>
          <w:sz w:val="21"/>
          <w:szCs w:val="21"/>
        </w:rPr>
        <w:t>s</w:t>
      </w:r>
      <w:r w:rsidR="00A60001">
        <w:rPr>
          <w:rFonts w:ascii="Times New Roman" w:hAnsi="Times New Roman" w:cs="Times New Roman"/>
          <w:bCs/>
          <w:iCs/>
          <w:color w:val="000000"/>
          <w:sz w:val="21"/>
          <w:szCs w:val="21"/>
        </w:rPr>
        <w:t xml:space="preserve"> for domestic demand</w:t>
      </w:r>
      <w:r w:rsidR="00AE1CD0">
        <w:rPr>
          <w:rFonts w:ascii="Times New Roman" w:hAnsi="Times New Roman" w:cs="Times New Roman"/>
          <w:bCs/>
          <w:iCs/>
          <w:color w:val="000000"/>
          <w:sz w:val="21"/>
          <w:szCs w:val="21"/>
        </w:rPr>
        <w:t xml:space="preserve">, which will leave an influence on both the volumes of trade turnover and other services provided. </w:t>
      </w:r>
      <w:r w:rsidR="00AE1CD0" w:rsidRPr="00EC356F">
        <w:rPr>
          <w:rFonts w:ascii="Times New Roman" w:hAnsi="Times New Roman" w:cs="Times New Roman"/>
          <w:bCs/>
          <w:iCs/>
          <w:color w:val="000000"/>
          <w:sz w:val="21"/>
          <w:szCs w:val="21"/>
        </w:rPr>
        <w:t xml:space="preserve">As a result, real growth of value added in services is predicted in the range </w:t>
      </w:r>
      <w:r w:rsidR="00AE1CD0">
        <w:rPr>
          <w:rFonts w:ascii="Times New Roman" w:hAnsi="Times New Roman" w:cs="Times New Roman"/>
          <w:bCs/>
          <w:iCs/>
          <w:color w:val="000000"/>
          <w:sz w:val="21"/>
          <w:szCs w:val="21"/>
        </w:rPr>
        <w:t>4</w:t>
      </w:r>
      <w:r w:rsidR="00AE1CD0" w:rsidRPr="00EC356F">
        <w:rPr>
          <w:rFonts w:ascii="Times New Roman" w:hAnsi="Times New Roman" w:cs="Times New Roman"/>
          <w:bCs/>
          <w:iCs/>
          <w:color w:val="000000"/>
          <w:sz w:val="21"/>
          <w:szCs w:val="21"/>
        </w:rPr>
        <w:t>.2-</w:t>
      </w:r>
      <w:r w:rsidR="00AE1CD0">
        <w:rPr>
          <w:rFonts w:ascii="Times New Roman" w:hAnsi="Times New Roman" w:cs="Times New Roman"/>
          <w:bCs/>
          <w:iCs/>
          <w:color w:val="000000"/>
          <w:sz w:val="21"/>
          <w:szCs w:val="21"/>
        </w:rPr>
        <w:t>4</w:t>
      </w:r>
      <w:r w:rsidR="00AE1CD0" w:rsidRPr="00EC356F">
        <w:rPr>
          <w:rFonts w:ascii="Times New Roman" w:hAnsi="Times New Roman" w:cs="Times New Roman"/>
          <w:bCs/>
          <w:iCs/>
          <w:color w:val="000000"/>
          <w:sz w:val="21"/>
          <w:szCs w:val="21"/>
        </w:rPr>
        <w:t>.</w:t>
      </w:r>
      <w:r w:rsidR="00AE1CD0">
        <w:rPr>
          <w:rFonts w:ascii="Times New Roman" w:hAnsi="Times New Roman" w:cs="Times New Roman"/>
          <w:bCs/>
          <w:iCs/>
          <w:color w:val="000000"/>
          <w:sz w:val="21"/>
          <w:szCs w:val="21"/>
        </w:rPr>
        <w:t>7</w:t>
      </w:r>
      <w:r w:rsidR="00AE1CD0" w:rsidRPr="00EC356F">
        <w:rPr>
          <w:rFonts w:ascii="Times New Roman" w:hAnsi="Times New Roman" w:cs="Times New Roman"/>
          <w:bCs/>
          <w:iCs/>
          <w:color w:val="000000"/>
          <w:sz w:val="21"/>
          <w:szCs w:val="21"/>
        </w:rPr>
        <w:t>% for 2014.</w:t>
      </w:r>
      <w:r w:rsidR="00AE1CD0">
        <w:rPr>
          <w:rFonts w:ascii="Times New Roman" w:hAnsi="Times New Roman" w:cs="Times New Roman"/>
          <w:bCs/>
          <w:iCs/>
          <w:color w:val="000000"/>
          <w:sz w:val="21"/>
          <w:szCs w:val="21"/>
        </w:rPr>
        <w:t xml:space="preserve"> </w:t>
      </w:r>
    </w:p>
    <w:p w14:paraId="7DF089CB" w14:textId="77777777" w:rsidR="00A9653E" w:rsidRPr="00EC356F" w:rsidRDefault="00831D26" w:rsidP="00831D26">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In the</w:t>
      </w:r>
      <w:r w:rsidRPr="00EC356F">
        <w:rPr>
          <w:rFonts w:ascii="Times New Roman" w:hAnsi="Times New Roman" w:cs="Times New Roman"/>
          <w:b/>
          <w:bCs/>
          <w:iCs/>
          <w:color w:val="000000"/>
          <w:sz w:val="21"/>
          <w:szCs w:val="21"/>
        </w:rPr>
        <w:t xml:space="preserve"> forecast horizon</w:t>
      </w:r>
      <w:r w:rsidRPr="00EC356F">
        <w:rPr>
          <w:rFonts w:ascii="Times New Roman" w:hAnsi="Times New Roman" w:cs="Times New Roman"/>
          <w:bCs/>
          <w:iCs/>
          <w:color w:val="000000"/>
          <w:sz w:val="21"/>
          <w:szCs w:val="21"/>
        </w:rPr>
        <w:t>,</w:t>
      </w:r>
      <w:r w:rsidRPr="00EC356F">
        <w:rPr>
          <w:rFonts w:ascii="Times New Roman" w:hAnsi="Times New Roman" w:cs="Times New Roman"/>
          <w:b/>
          <w:bCs/>
          <w:iCs/>
          <w:color w:val="000000"/>
          <w:sz w:val="21"/>
          <w:szCs w:val="21"/>
        </w:rPr>
        <w:t xml:space="preserve"> </w:t>
      </w:r>
      <w:r w:rsidRPr="00EC356F">
        <w:rPr>
          <w:rFonts w:ascii="Times New Roman" w:hAnsi="Times New Roman" w:cs="Times New Roman"/>
          <w:bCs/>
          <w:iCs/>
          <w:color w:val="000000"/>
          <w:sz w:val="21"/>
          <w:szCs w:val="21"/>
        </w:rPr>
        <w:t xml:space="preserve">growth rates in services will stabilize </w:t>
      </w:r>
      <w:r w:rsidR="003836F9">
        <w:rPr>
          <w:rFonts w:ascii="Times New Roman" w:hAnsi="Times New Roman" w:cs="Times New Roman"/>
          <w:bCs/>
          <w:iCs/>
          <w:color w:val="000000"/>
          <w:sz w:val="21"/>
          <w:szCs w:val="21"/>
        </w:rPr>
        <w:t>within 5.3-</w:t>
      </w:r>
      <w:r w:rsidRPr="00EC356F">
        <w:rPr>
          <w:rFonts w:ascii="Times New Roman" w:hAnsi="Times New Roman" w:cs="Times New Roman"/>
          <w:bCs/>
          <w:iCs/>
          <w:color w:val="000000"/>
          <w:sz w:val="21"/>
          <w:szCs w:val="21"/>
        </w:rPr>
        <w:t>5.</w:t>
      </w:r>
      <w:r w:rsidR="003836F9">
        <w:rPr>
          <w:rFonts w:ascii="Times New Roman" w:hAnsi="Times New Roman" w:cs="Times New Roman"/>
          <w:bCs/>
          <w:iCs/>
          <w:color w:val="000000"/>
          <w:sz w:val="21"/>
          <w:szCs w:val="21"/>
        </w:rPr>
        <w:t>8</w:t>
      </w:r>
      <w:r w:rsidRPr="00EC356F">
        <w:rPr>
          <w:rFonts w:ascii="Times New Roman" w:hAnsi="Times New Roman" w:cs="Times New Roman"/>
          <w:bCs/>
          <w:iCs/>
          <w:color w:val="000000"/>
          <w:sz w:val="21"/>
          <w:szCs w:val="21"/>
        </w:rPr>
        <w:t>%, broadly in line with the medium-term domestic demand forecasts.</w:t>
      </w:r>
    </w:p>
    <w:p w14:paraId="0FE33E37" w14:textId="77777777"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For</w:t>
      </w:r>
      <w:r w:rsidRPr="00EC356F">
        <w:rPr>
          <w:rFonts w:ascii="Times New Roman" w:hAnsi="Times New Roman" w:cs="Times New Roman"/>
          <w:b/>
          <w:bCs/>
          <w:i/>
          <w:iCs/>
          <w:color w:val="000000"/>
          <w:sz w:val="21"/>
          <w:szCs w:val="21"/>
        </w:rPr>
        <w:t xml:space="preserve"> </w:t>
      </w:r>
      <w:r w:rsidRPr="00EC356F">
        <w:rPr>
          <w:rFonts w:ascii="Times New Roman" w:hAnsi="Times New Roman" w:cs="Times New Roman"/>
          <w:b/>
          <w:bCs/>
          <w:iCs/>
          <w:color w:val="000000"/>
          <w:sz w:val="21"/>
          <w:szCs w:val="21"/>
        </w:rPr>
        <w:t>Agriculture</w:t>
      </w:r>
      <w:r w:rsidRPr="00EC356F">
        <w:rPr>
          <w:rFonts w:ascii="Times New Roman" w:hAnsi="Times New Roman" w:cs="Times New Roman"/>
          <w:bCs/>
          <w:iCs/>
          <w:color w:val="000000"/>
          <w:sz w:val="21"/>
          <w:szCs w:val="21"/>
        </w:rPr>
        <w:t xml:space="preserve">, the forecasts were revised </w:t>
      </w:r>
      <w:r w:rsidR="00DA29A5">
        <w:rPr>
          <w:rFonts w:ascii="Times New Roman" w:hAnsi="Times New Roman" w:cs="Times New Roman"/>
          <w:bCs/>
          <w:iCs/>
          <w:color w:val="000000"/>
          <w:sz w:val="21"/>
          <w:szCs w:val="21"/>
        </w:rPr>
        <w:t>up</w:t>
      </w:r>
      <w:r w:rsidRPr="00EC356F">
        <w:rPr>
          <w:rFonts w:ascii="Times New Roman" w:hAnsi="Times New Roman" w:cs="Times New Roman"/>
          <w:bCs/>
          <w:iCs/>
          <w:color w:val="000000"/>
          <w:sz w:val="21"/>
          <w:szCs w:val="21"/>
        </w:rPr>
        <w:t xml:space="preserve">side, </w:t>
      </w:r>
      <w:r w:rsidR="00DA29A5" w:rsidRPr="00DA29A5">
        <w:rPr>
          <w:rFonts w:ascii="Times New Roman" w:hAnsi="Times New Roman" w:cs="Times New Roman"/>
          <w:bCs/>
          <w:iCs/>
          <w:color w:val="000000"/>
          <w:sz w:val="21"/>
          <w:szCs w:val="21"/>
        </w:rPr>
        <w:t xml:space="preserve">supported by </w:t>
      </w:r>
      <w:r w:rsidRPr="00EC356F">
        <w:rPr>
          <w:rFonts w:ascii="Times New Roman" w:hAnsi="Times New Roman" w:cs="Times New Roman"/>
          <w:bCs/>
          <w:iCs/>
          <w:color w:val="000000"/>
          <w:sz w:val="21"/>
          <w:szCs w:val="21"/>
        </w:rPr>
        <w:t xml:space="preserve">actually </w:t>
      </w:r>
      <w:r w:rsidR="00DA29A5">
        <w:rPr>
          <w:rFonts w:ascii="Times New Roman" w:hAnsi="Times New Roman" w:cs="Times New Roman"/>
          <w:bCs/>
          <w:iCs/>
          <w:color w:val="000000"/>
          <w:sz w:val="21"/>
          <w:szCs w:val="21"/>
        </w:rPr>
        <w:t xml:space="preserve">encouraging </w:t>
      </w:r>
      <w:r w:rsidRPr="00EC356F">
        <w:rPr>
          <w:rFonts w:ascii="Times New Roman" w:hAnsi="Times New Roman" w:cs="Times New Roman"/>
          <w:bCs/>
          <w:iCs/>
          <w:color w:val="000000"/>
          <w:sz w:val="21"/>
          <w:szCs w:val="21"/>
        </w:rPr>
        <w:t>developments</w:t>
      </w:r>
      <w:r w:rsidR="00DA29A5">
        <w:rPr>
          <w:rFonts w:ascii="Times New Roman" w:hAnsi="Times New Roman" w:cs="Times New Roman"/>
          <w:bCs/>
          <w:iCs/>
          <w:color w:val="000000"/>
          <w:sz w:val="21"/>
          <w:szCs w:val="21"/>
        </w:rPr>
        <w:t xml:space="preserve"> </w:t>
      </w:r>
      <w:r w:rsidR="00DA29A5" w:rsidRPr="00DA29A5">
        <w:rPr>
          <w:rFonts w:ascii="Times New Roman" w:hAnsi="Times New Roman" w:cs="Times New Roman"/>
          <w:bCs/>
          <w:iCs/>
          <w:color w:val="000000"/>
          <w:sz w:val="21"/>
          <w:szCs w:val="21"/>
        </w:rPr>
        <w:t xml:space="preserve">in the sector </w:t>
      </w:r>
      <w:r w:rsidR="00B83D28" w:rsidRPr="00B83D28">
        <w:rPr>
          <w:rFonts w:ascii="Times New Roman" w:hAnsi="Times New Roman" w:cs="Times New Roman"/>
          <w:bCs/>
          <w:iCs/>
          <w:color w:val="000000"/>
          <w:sz w:val="21"/>
          <w:szCs w:val="21"/>
        </w:rPr>
        <w:t xml:space="preserve">on the whole </w:t>
      </w:r>
      <w:r w:rsidR="00DA29A5" w:rsidRPr="00DA29A5">
        <w:rPr>
          <w:rFonts w:ascii="Times New Roman" w:hAnsi="Times New Roman" w:cs="Times New Roman"/>
          <w:bCs/>
          <w:iCs/>
          <w:color w:val="000000"/>
          <w:sz w:val="21"/>
          <w:szCs w:val="21"/>
        </w:rPr>
        <w:t xml:space="preserve">and expanded greenhouse facilities, in particular. </w:t>
      </w:r>
      <w:r w:rsidR="00DA29A5" w:rsidRPr="00EC356F">
        <w:rPr>
          <w:rFonts w:ascii="Times New Roman" w:hAnsi="Times New Roman" w:cs="Times New Roman"/>
          <w:bCs/>
          <w:iCs/>
          <w:color w:val="000000"/>
          <w:sz w:val="21"/>
          <w:szCs w:val="21"/>
        </w:rPr>
        <w:t xml:space="preserve">As a result, the real growth of value added in the sector in 2014 is predicted in the range </w:t>
      </w:r>
      <w:r w:rsidR="00B83D28" w:rsidRPr="00B83D28">
        <w:rPr>
          <w:rFonts w:ascii="Times New Roman" w:hAnsi="Times New Roman" w:cs="Times New Roman"/>
          <w:bCs/>
          <w:iCs/>
          <w:color w:val="000000"/>
          <w:sz w:val="21"/>
          <w:szCs w:val="21"/>
        </w:rPr>
        <w:t>6</w:t>
      </w:r>
      <w:r w:rsidR="00DA29A5" w:rsidRPr="00EC356F">
        <w:rPr>
          <w:rFonts w:ascii="Times New Roman" w:hAnsi="Times New Roman" w:cs="Times New Roman"/>
          <w:bCs/>
          <w:iCs/>
          <w:color w:val="000000"/>
          <w:sz w:val="21"/>
          <w:szCs w:val="21"/>
        </w:rPr>
        <w:t>-</w:t>
      </w:r>
      <w:r w:rsidR="00B83D28" w:rsidRPr="00B83D28">
        <w:rPr>
          <w:rFonts w:ascii="Times New Roman" w:hAnsi="Times New Roman" w:cs="Times New Roman"/>
          <w:bCs/>
          <w:iCs/>
          <w:color w:val="000000"/>
          <w:sz w:val="21"/>
          <w:szCs w:val="21"/>
        </w:rPr>
        <w:t>6</w:t>
      </w:r>
      <w:r w:rsidR="00DA29A5" w:rsidRPr="00EC356F">
        <w:rPr>
          <w:rFonts w:ascii="Times New Roman" w:hAnsi="Times New Roman" w:cs="Times New Roman"/>
          <w:bCs/>
          <w:iCs/>
          <w:color w:val="000000"/>
          <w:sz w:val="21"/>
          <w:szCs w:val="21"/>
        </w:rPr>
        <w:t>.</w:t>
      </w:r>
      <w:r w:rsidR="00B83D28" w:rsidRPr="00B83D28">
        <w:rPr>
          <w:rFonts w:ascii="Times New Roman" w:hAnsi="Times New Roman" w:cs="Times New Roman"/>
          <w:bCs/>
          <w:iCs/>
          <w:color w:val="000000"/>
          <w:sz w:val="21"/>
          <w:szCs w:val="21"/>
        </w:rPr>
        <w:t>5</w:t>
      </w:r>
      <w:r w:rsidR="00DA29A5" w:rsidRPr="00EC356F">
        <w:rPr>
          <w:rFonts w:ascii="Times New Roman" w:hAnsi="Times New Roman" w:cs="Times New Roman"/>
          <w:bCs/>
          <w:iCs/>
          <w:color w:val="000000"/>
          <w:sz w:val="21"/>
          <w:szCs w:val="21"/>
        </w:rPr>
        <w:t>%.</w:t>
      </w:r>
      <w:r w:rsidR="00B83D28" w:rsidRPr="00B83D28">
        <w:rPr>
          <w:rFonts w:ascii="Times New Roman" w:hAnsi="Times New Roman" w:cs="Times New Roman"/>
          <w:bCs/>
          <w:iCs/>
          <w:color w:val="000000"/>
          <w:sz w:val="21"/>
          <w:szCs w:val="21"/>
        </w:rPr>
        <w:t xml:space="preserve"> </w:t>
      </w:r>
    </w:p>
    <w:p w14:paraId="1BD67510" w14:textId="77777777"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In the</w:t>
      </w:r>
      <w:r w:rsidRPr="00EC356F">
        <w:rPr>
          <w:rFonts w:ascii="Times New Roman" w:hAnsi="Times New Roman" w:cs="Times New Roman"/>
          <w:b/>
          <w:bCs/>
          <w:iCs/>
          <w:color w:val="000000"/>
          <w:sz w:val="21"/>
          <w:szCs w:val="21"/>
        </w:rPr>
        <w:t xml:space="preserve"> forecast horizon</w:t>
      </w:r>
      <w:r w:rsidRPr="00EC356F">
        <w:rPr>
          <w:rFonts w:ascii="Times New Roman" w:hAnsi="Times New Roman" w:cs="Times New Roman"/>
          <w:bCs/>
          <w:iCs/>
          <w:color w:val="000000"/>
          <w:sz w:val="21"/>
          <w:szCs w:val="21"/>
        </w:rPr>
        <w:t>,</w:t>
      </w:r>
      <w:r w:rsidRPr="00EC356F">
        <w:rPr>
          <w:rFonts w:ascii="Times New Roman" w:hAnsi="Times New Roman" w:cs="Times New Roman"/>
          <w:b/>
          <w:bCs/>
          <w:iCs/>
          <w:color w:val="000000"/>
          <w:sz w:val="21"/>
          <w:szCs w:val="21"/>
        </w:rPr>
        <w:t xml:space="preserve"> </w:t>
      </w:r>
      <w:r w:rsidRPr="00EC356F">
        <w:rPr>
          <w:rFonts w:ascii="Times New Roman" w:hAnsi="Times New Roman" w:cs="Times New Roman"/>
          <w:bCs/>
          <w:iCs/>
          <w:color w:val="000000"/>
          <w:sz w:val="21"/>
          <w:szCs w:val="21"/>
        </w:rPr>
        <w:t>underlying growth rates in agriculture will persist within 5.2-5.8%.</w:t>
      </w:r>
    </w:p>
    <w:p w14:paraId="0D559951" w14:textId="78735082"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 xml:space="preserve">In the forecast horizon, </w:t>
      </w:r>
      <w:r w:rsidRPr="00EC356F">
        <w:rPr>
          <w:rFonts w:ascii="Times New Roman" w:hAnsi="Times New Roman" w:cs="Times New Roman"/>
          <w:b/>
          <w:bCs/>
          <w:iCs/>
          <w:color w:val="000000"/>
          <w:sz w:val="21"/>
          <w:szCs w:val="21"/>
        </w:rPr>
        <w:t>risks to the economic growth are dual sided</w:t>
      </w:r>
      <w:r w:rsidRPr="00EC356F">
        <w:rPr>
          <w:rFonts w:ascii="Times New Roman" w:hAnsi="Times New Roman" w:cs="Times New Roman"/>
          <w:bCs/>
          <w:iCs/>
          <w:color w:val="000000"/>
          <w:sz w:val="21"/>
          <w:szCs w:val="21"/>
        </w:rPr>
        <w:t xml:space="preserve"> </w:t>
      </w:r>
      <w:r w:rsidRPr="00EC356F">
        <w:rPr>
          <w:rFonts w:ascii="Times New Roman" w:hAnsi="Times New Roman" w:cs="Times New Roman"/>
          <w:sz w:val="21"/>
          <w:szCs w:val="21"/>
        </w:rPr>
        <w:t xml:space="preserve">and depend on how </w:t>
      </w:r>
      <w:r w:rsidR="005919E8" w:rsidRPr="005919E8">
        <w:rPr>
          <w:rFonts w:ascii="Times New Roman" w:hAnsi="Times New Roman" w:cs="Times New Roman"/>
          <w:sz w:val="21"/>
          <w:szCs w:val="21"/>
        </w:rPr>
        <w:t>the global ec</w:t>
      </w:r>
      <w:r w:rsidRPr="00EC356F">
        <w:rPr>
          <w:rFonts w:ascii="Times New Roman" w:hAnsi="Times New Roman" w:cs="Times New Roman"/>
          <w:sz w:val="21"/>
          <w:szCs w:val="21"/>
        </w:rPr>
        <w:t>onom</w:t>
      </w:r>
      <w:r w:rsidR="005919E8" w:rsidRPr="005919E8">
        <w:rPr>
          <w:rFonts w:ascii="Times New Roman" w:hAnsi="Times New Roman" w:cs="Times New Roman"/>
          <w:sz w:val="21"/>
          <w:szCs w:val="21"/>
        </w:rPr>
        <w:t xml:space="preserve">y </w:t>
      </w:r>
      <w:r w:rsidRPr="00EC356F">
        <w:rPr>
          <w:rFonts w:ascii="Times New Roman" w:hAnsi="Times New Roman" w:cs="Times New Roman"/>
          <w:sz w:val="21"/>
          <w:szCs w:val="21"/>
        </w:rPr>
        <w:t xml:space="preserve">would </w:t>
      </w:r>
      <w:r w:rsidR="005919E8" w:rsidRPr="005919E8">
        <w:rPr>
          <w:rFonts w:ascii="Times New Roman" w:hAnsi="Times New Roman" w:cs="Times New Roman"/>
          <w:sz w:val="21"/>
          <w:szCs w:val="21"/>
        </w:rPr>
        <w:t xml:space="preserve">develop </w:t>
      </w:r>
      <w:r w:rsidRPr="00EC356F">
        <w:rPr>
          <w:rFonts w:ascii="Times New Roman" w:hAnsi="Times New Roman" w:cs="Times New Roman"/>
          <w:sz w:val="21"/>
          <w:szCs w:val="21"/>
        </w:rPr>
        <w:t xml:space="preserve">further and </w:t>
      </w:r>
      <w:r w:rsidR="005919E8" w:rsidRPr="005919E8">
        <w:rPr>
          <w:rFonts w:ascii="Times New Roman" w:hAnsi="Times New Roman" w:cs="Times New Roman"/>
          <w:sz w:val="21"/>
          <w:szCs w:val="21"/>
        </w:rPr>
        <w:t>what economic effects could be ex</w:t>
      </w:r>
      <w:r w:rsidR="005919E8">
        <w:rPr>
          <w:rFonts w:ascii="Times New Roman" w:hAnsi="Times New Roman" w:cs="Times New Roman"/>
          <w:sz w:val="21"/>
          <w:szCs w:val="21"/>
        </w:rPr>
        <w:t>pect</w:t>
      </w:r>
      <w:r w:rsidR="005919E8" w:rsidRPr="005919E8">
        <w:rPr>
          <w:rFonts w:ascii="Times New Roman" w:hAnsi="Times New Roman" w:cs="Times New Roman"/>
          <w:sz w:val="21"/>
          <w:szCs w:val="21"/>
        </w:rPr>
        <w:t xml:space="preserve">able from </w:t>
      </w:r>
      <w:r w:rsidR="005919E8">
        <w:rPr>
          <w:rFonts w:ascii="Times New Roman" w:hAnsi="Times New Roman" w:cs="Times New Roman"/>
          <w:sz w:val="21"/>
          <w:szCs w:val="21"/>
        </w:rPr>
        <w:t>int</w:t>
      </w:r>
      <w:r w:rsidR="005919E8" w:rsidRPr="005919E8">
        <w:rPr>
          <w:rFonts w:ascii="Times New Roman" w:hAnsi="Times New Roman" w:cs="Times New Roman"/>
          <w:sz w:val="21"/>
          <w:szCs w:val="21"/>
        </w:rPr>
        <w:t xml:space="preserve">egration processes in the region, on the one hand, and on </w:t>
      </w:r>
      <w:r w:rsidRPr="00EC356F">
        <w:rPr>
          <w:rFonts w:ascii="Times New Roman" w:hAnsi="Times New Roman" w:cs="Times New Roman"/>
          <w:sz w:val="21"/>
          <w:szCs w:val="21"/>
        </w:rPr>
        <w:t xml:space="preserve">existing uncertainties over private </w:t>
      </w:r>
      <w:r w:rsidR="005919E8" w:rsidRPr="005919E8">
        <w:rPr>
          <w:rFonts w:ascii="Times New Roman" w:hAnsi="Times New Roman" w:cs="Times New Roman"/>
          <w:sz w:val="21"/>
          <w:szCs w:val="21"/>
        </w:rPr>
        <w:t>spending, on the other</w:t>
      </w:r>
      <w:r w:rsidRPr="00EC356F">
        <w:rPr>
          <w:rFonts w:ascii="Times New Roman" w:hAnsi="Times New Roman" w:cs="Times New Roman"/>
          <w:sz w:val="21"/>
          <w:szCs w:val="21"/>
        </w:rPr>
        <w:t xml:space="preserve">. </w:t>
      </w:r>
    </w:p>
    <w:tbl>
      <w:tblPr>
        <w:tblW w:w="6237" w:type="dxa"/>
        <w:tblInd w:w="108"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Look w:val="04A0" w:firstRow="1" w:lastRow="0" w:firstColumn="1" w:lastColumn="0" w:noHBand="0" w:noVBand="1"/>
      </w:tblPr>
      <w:tblGrid>
        <w:gridCol w:w="2455"/>
        <w:gridCol w:w="826"/>
        <w:gridCol w:w="985"/>
        <w:gridCol w:w="985"/>
        <w:gridCol w:w="986"/>
      </w:tblGrid>
      <w:tr w:rsidR="00A9653E" w:rsidRPr="0045325C" w14:paraId="7695F265" w14:textId="77777777" w:rsidTr="00DF2762">
        <w:trPr>
          <w:trHeight w:val="20"/>
        </w:trPr>
        <w:tc>
          <w:tcPr>
            <w:tcW w:w="6237" w:type="dxa"/>
            <w:gridSpan w:val="5"/>
            <w:tcBorders>
              <w:top w:val="single" w:sz="6" w:space="0" w:color="auto"/>
              <w:bottom w:val="single" w:sz="6" w:space="0" w:color="auto"/>
            </w:tcBorders>
            <w:shd w:val="clear" w:color="auto" w:fill="auto"/>
            <w:noWrap/>
            <w:vAlign w:val="bottom"/>
          </w:tcPr>
          <w:p w14:paraId="27E77C3D" w14:textId="77777777" w:rsidR="00A9653E" w:rsidRPr="0045325C" w:rsidRDefault="00A9653E" w:rsidP="00DF2762">
            <w:pPr>
              <w:spacing w:before="20" w:after="20"/>
              <w:contextualSpacing/>
              <w:jc w:val="center"/>
              <w:rPr>
                <w:rFonts w:ascii="Times New Roman" w:hAnsi="Times New Roman" w:cs="Times New Roman"/>
                <w:b/>
                <w:bCs/>
                <w:sz w:val="20"/>
                <w:szCs w:val="20"/>
                <w:lang w:val="hy-AM"/>
              </w:rPr>
            </w:pPr>
            <w:r w:rsidRPr="0045325C">
              <w:rPr>
                <w:rFonts w:ascii="Times New Roman" w:hAnsi="Times New Roman" w:cs="Times New Roman"/>
                <w:b/>
                <w:sz w:val="20"/>
                <w:szCs w:val="20"/>
              </w:rPr>
              <w:t>Real GDP Growth (Cumulative) Projection Probability Distribution</w:t>
            </w:r>
            <w:r w:rsidRPr="0045325C">
              <w:rPr>
                <w:rFonts w:ascii="Times New Roman" w:hAnsi="Times New Roman" w:cs="Times New Roman"/>
                <w:b/>
                <w:bCs/>
                <w:sz w:val="20"/>
                <w:szCs w:val="20"/>
                <w:lang w:val="hy-AM"/>
              </w:rPr>
              <w:t xml:space="preserve"> </w:t>
            </w:r>
          </w:p>
        </w:tc>
      </w:tr>
      <w:tr w:rsidR="00A9653E" w:rsidRPr="0045325C" w14:paraId="5538C14D" w14:textId="77777777" w:rsidTr="00DF2762">
        <w:trPr>
          <w:trHeight w:val="20"/>
        </w:trPr>
        <w:tc>
          <w:tcPr>
            <w:tcW w:w="2455" w:type="dxa"/>
            <w:vMerge w:val="restart"/>
            <w:tcBorders>
              <w:top w:val="single" w:sz="6" w:space="0" w:color="auto"/>
              <w:bottom w:val="dashed" w:sz="4" w:space="0" w:color="auto"/>
            </w:tcBorders>
            <w:shd w:val="clear" w:color="auto" w:fill="auto"/>
            <w:vAlign w:val="center"/>
          </w:tcPr>
          <w:p w14:paraId="7180FC68" w14:textId="77777777" w:rsidR="00A9653E" w:rsidRPr="0045325C" w:rsidRDefault="00A9653E" w:rsidP="00DF2762">
            <w:pPr>
              <w:spacing w:before="20" w:after="20"/>
              <w:contextualSpacing/>
              <w:jc w:val="center"/>
              <w:rPr>
                <w:rFonts w:ascii="Times New Roman" w:hAnsi="Times New Roman" w:cs="Times New Roman"/>
                <w:sz w:val="20"/>
                <w:szCs w:val="20"/>
              </w:rPr>
            </w:pPr>
            <w:r w:rsidRPr="0045325C">
              <w:rPr>
                <w:rFonts w:ascii="Times New Roman" w:hAnsi="Times New Roman" w:cs="Times New Roman"/>
                <w:sz w:val="20"/>
                <w:szCs w:val="20"/>
              </w:rPr>
              <w:t>Period</w:t>
            </w:r>
          </w:p>
        </w:tc>
        <w:tc>
          <w:tcPr>
            <w:tcW w:w="1811" w:type="dxa"/>
            <w:gridSpan w:val="2"/>
            <w:tcBorders>
              <w:top w:val="single" w:sz="6" w:space="0" w:color="auto"/>
              <w:bottom w:val="dashed" w:sz="4" w:space="0" w:color="auto"/>
            </w:tcBorders>
            <w:shd w:val="clear" w:color="auto" w:fill="auto"/>
            <w:vAlign w:val="bottom"/>
          </w:tcPr>
          <w:p w14:paraId="7C601B63" w14:textId="77777777" w:rsidR="00A9653E" w:rsidRPr="0045325C" w:rsidRDefault="00A9653E" w:rsidP="00DF2762">
            <w:pPr>
              <w:spacing w:before="40" w:after="40"/>
              <w:contextualSpacing/>
              <w:jc w:val="center"/>
              <w:rPr>
                <w:rFonts w:ascii="Times New Roman" w:hAnsi="Times New Roman" w:cs="Times New Roman"/>
                <w:sz w:val="20"/>
                <w:szCs w:val="20"/>
              </w:rPr>
            </w:pPr>
            <w:r w:rsidRPr="0045325C">
              <w:rPr>
                <w:rFonts w:ascii="Times New Roman" w:hAnsi="Times New Roman" w:cs="Times New Roman"/>
                <w:sz w:val="20"/>
                <w:szCs w:val="20"/>
              </w:rPr>
              <w:t>30% probability interval</w:t>
            </w:r>
          </w:p>
        </w:tc>
        <w:tc>
          <w:tcPr>
            <w:tcW w:w="1971" w:type="dxa"/>
            <w:gridSpan w:val="2"/>
            <w:tcBorders>
              <w:top w:val="single" w:sz="6" w:space="0" w:color="auto"/>
              <w:bottom w:val="dashed" w:sz="4" w:space="0" w:color="auto"/>
            </w:tcBorders>
            <w:shd w:val="clear" w:color="auto" w:fill="auto"/>
            <w:vAlign w:val="bottom"/>
          </w:tcPr>
          <w:p w14:paraId="0E079DAD" w14:textId="77777777" w:rsidR="00A9653E" w:rsidRPr="0045325C" w:rsidRDefault="00A9653E" w:rsidP="00DF2762">
            <w:pPr>
              <w:spacing w:before="40" w:after="40"/>
              <w:contextualSpacing/>
              <w:jc w:val="center"/>
              <w:rPr>
                <w:rFonts w:ascii="Times New Roman" w:hAnsi="Times New Roman" w:cs="Times New Roman"/>
                <w:sz w:val="20"/>
                <w:szCs w:val="20"/>
              </w:rPr>
            </w:pPr>
            <w:r w:rsidRPr="0045325C">
              <w:rPr>
                <w:rFonts w:ascii="Times New Roman" w:hAnsi="Times New Roman" w:cs="Times New Roman"/>
                <w:sz w:val="20"/>
                <w:szCs w:val="20"/>
              </w:rPr>
              <w:t>90% probability interval</w:t>
            </w:r>
          </w:p>
        </w:tc>
      </w:tr>
      <w:tr w:rsidR="00A9653E" w:rsidRPr="0045325C" w14:paraId="014A82FC" w14:textId="77777777" w:rsidTr="00DF2762">
        <w:trPr>
          <w:trHeight w:val="20"/>
        </w:trPr>
        <w:tc>
          <w:tcPr>
            <w:tcW w:w="2455" w:type="dxa"/>
            <w:vMerge/>
            <w:tcBorders>
              <w:top w:val="dashed" w:sz="4" w:space="0" w:color="auto"/>
              <w:bottom w:val="single" w:sz="6" w:space="0" w:color="auto"/>
            </w:tcBorders>
            <w:vAlign w:val="center"/>
          </w:tcPr>
          <w:p w14:paraId="7D5C7D70" w14:textId="77777777" w:rsidR="00A9653E" w:rsidRPr="0045325C" w:rsidRDefault="00A9653E" w:rsidP="00DF2762">
            <w:pPr>
              <w:spacing w:before="20" w:after="20"/>
              <w:contextualSpacing/>
              <w:rPr>
                <w:rFonts w:ascii="Times New Roman" w:hAnsi="Times New Roman" w:cs="Times New Roman"/>
                <w:sz w:val="20"/>
                <w:szCs w:val="20"/>
              </w:rPr>
            </w:pPr>
          </w:p>
        </w:tc>
        <w:tc>
          <w:tcPr>
            <w:tcW w:w="826" w:type="dxa"/>
            <w:tcBorders>
              <w:top w:val="dashed" w:sz="4" w:space="0" w:color="auto"/>
              <w:bottom w:val="single" w:sz="6" w:space="0" w:color="auto"/>
            </w:tcBorders>
            <w:shd w:val="clear" w:color="auto" w:fill="auto"/>
            <w:vAlign w:val="bottom"/>
          </w:tcPr>
          <w:p w14:paraId="6045230D" w14:textId="77777777" w:rsidR="00A9653E" w:rsidRPr="0045325C" w:rsidRDefault="00A9653E" w:rsidP="00DF2762">
            <w:pPr>
              <w:spacing w:before="20" w:after="20"/>
              <w:contextualSpacing/>
              <w:jc w:val="center"/>
              <w:rPr>
                <w:rFonts w:ascii="Times New Roman" w:hAnsi="Times New Roman" w:cs="Times New Roman"/>
                <w:sz w:val="20"/>
                <w:szCs w:val="20"/>
              </w:rPr>
            </w:pPr>
            <w:r w:rsidRPr="0045325C">
              <w:rPr>
                <w:rFonts w:ascii="Times New Roman" w:hAnsi="Times New Roman" w:cs="Times New Roman"/>
                <w:sz w:val="20"/>
                <w:szCs w:val="20"/>
              </w:rPr>
              <w:t>Min</w:t>
            </w:r>
          </w:p>
        </w:tc>
        <w:tc>
          <w:tcPr>
            <w:tcW w:w="985" w:type="dxa"/>
            <w:tcBorders>
              <w:top w:val="dashed" w:sz="4" w:space="0" w:color="auto"/>
              <w:bottom w:val="single" w:sz="6" w:space="0" w:color="auto"/>
            </w:tcBorders>
            <w:shd w:val="clear" w:color="auto" w:fill="auto"/>
            <w:vAlign w:val="bottom"/>
          </w:tcPr>
          <w:p w14:paraId="575EA32E" w14:textId="77777777" w:rsidR="00A9653E" w:rsidRPr="0045325C" w:rsidRDefault="00A9653E" w:rsidP="00DF2762">
            <w:pPr>
              <w:spacing w:before="20" w:after="20"/>
              <w:contextualSpacing/>
              <w:jc w:val="center"/>
              <w:rPr>
                <w:rFonts w:ascii="Times New Roman" w:hAnsi="Times New Roman" w:cs="Times New Roman"/>
                <w:sz w:val="20"/>
                <w:szCs w:val="20"/>
              </w:rPr>
            </w:pPr>
            <w:r w:rsidRPr="0045325C">
              <w:rPr>
                <w:rFonts w:ascii="Times New Roman" w:hAnsi="Times New Roman" w:cs="Times New Roman"/>
                <w:sz w:val="20"/>
                <w:szCs w:val="20"/>
              </w:rPr>
              <w:t>Max</w:t>
            </w:r>
          </w:p>
        </w:tc>
        <w:tc>
          <w:tcPr>
            <w:tcW w:w="985" w:type="dxa"/>
            <w:tcBorders>
              <w:top w:val="dashed" w:sz="4" w:space="0" w:color="auto"/>
              <w:bottom w:val="single" w:sz="6" w:space="0" w:color="auto"/>
            </w:tcBorders>
            <w:shd w:val="clear" w:color="auto" w:fill="auto"/>
            <w:vAlign w:val="bottom"/>
          </w:tcPr>
          <w:p w14:paraId="64A70668" w14:textId="77777777" w:rsidR="00A9653E" w:rsidRPr="0045325C" w:rsidRDefault="00A9653E" w:rsidP="00DF2762">
            <w:pPr>
              <w:spacing w:before="20" w:after="20"/>
              <w:contextualSpacing/>
              <w:jc w:val="center"/>
              <w:rPr>
                <w:rFonts w:ascii="Times New Roman" w:hAnsi="Times New Roman" w:cs="Times New Roman"/>
                <w:sz w:val="20"/>
                <w:szCs w:val="20"/>
              </w:rPr>
            </w:pPr>
            <w:r w:rsidRPr="0045325C">
              <w:rPr>
                <w:rFonts w:ascii="Times New Roman" w:hAnsi="Times New Roman" w:cs="Times New Roman"/>
                <w:sz w:val="20"/>
                <w:szCs w:val="20"/>
              </w:rPr>
              <w:t>Min</w:t>
            </w:r>
          </w:p>
        </w:tc>
        <w:tc>
          <w:tcPr>
            <w:tcW w:w="986" w:type="dxa"/>
            <w:tcBorders>
              <w:top w:val="dashed" w:sz="4" w:space="0" w:color="auto"/>
              <w:bottom w:val="single" w:sz="6" w:space="0" w:color="auto"/>
            </w:tcBorders>
            <w:shd w:val="clear" w:color="auto" w:fill="auto"/>
            <w:vAlign w:val="bottom"/>
          </w:tcPr>
          <w:p w14:paraId="76ADB6CB" w14:textId="77777777" w:rsidR="00A9653E" w:rsidRPr="0045325C" w:rsidRDefault="00A9653E" w:rsidP="00DF2762">
            <w:pPr>
              <w:spacing w:before="20" w:after="20"/>
              <w:contextualSpacing/>
              <w:jc w:val="center"/>
              <w:rPr>
                <w:rFonts w:ascii="Times New Roman" w:hAnsi="Times New Roman" w:cs="Times New Roman"/>
                <w:sz w:val="20"/>
                <w:szCs w:val="20"/>
              </w:rPr>
            </w:pPr>
            <w:r w:rsidRPr="0045325C">
              <w:rPr>
                <w:rFonts w:ascii="Times New Roman" w:hAnsi="Times New Roman" w:cs="Times New Roman"/>
                <w:sz w:val="20"/>
                <w:szCs w:val="20"/>
              </w:rPr>
              <w:t>Max</w:t>
            </w:r>
          </w:p>
        </w:tc>
      </w:tr>
      <w:tr w:rsidR="0045325C" w:rsidRPr="0045325C" w14:paraId="655D5E62" w14:textId="77777777" w:rsidTr="00DF2762">
        <w:trPr>
          <w:trHeight w:val="20"/>
        </w:trPr>
        <w:tc>
          <w:tcPr>
            <w:tcW w:w="2455" w:type="dxa"/>
            <w:shd w:val="clear" w:color="auto" w:fill="auto"/>
            <w:vAlign w:val="center"/>
          </w:tcPr>
          <w:p w14:paraId="228FAD21" w14:textId="77777777" w:rsidR="0045325C" w:rsidRPr="0045325C" w:rsidRDefault="0045325C" w:rsidP="0045325C">
            <w:pPr>
              <w:spacing w:before="40" w:after="40"/>
              <w:contextualSpacing/>
              <w:rPr>
                <w:rFonts w:ascii="Times New Roman" w:hAnsi="Times New Roman" w:cs="Times New Roman"/>
                <w:bCs/>
                <w:sz w:val="20"/>
                <w:szCs w:val="20"/>
              </w:rPr>
            </w:pPr>
            <w:r w:rsidRPr="0045325C">
              <w:rPr>
                <w:rFonts w:ascii="Times New Roman" w:hAnsi="Times New Roman" w:cs="Times New Roman"/>
                <w:bCs/>
                <w:sz w:val="20"/>
                <w:szCs w:val="20"/>
              </w:rPr>
              <w:t>January-December 2014 / January-December 2013</w:t>
            </w:r>
          </w:p>
        </w:tc>
        <w:tc>
          <w:tcPr>
            <w:tcW w:w="826" w:type="dxa"/>
            <w:shd w:val="clear" w:color="auto" w:fill="auto"/>
            <w:noWrap/>
            <w:vAlign w:val="bottom"/>
          </w:tcPr>
          <w:p w14:paraId="7CF18B93"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 xml:space="preserve">3.1%  </w:t>
            </w:r>
          </w:p>
        </w:tc>
        <w:tc>
          <w:tcPr>
            <w:tcW w:w="985" w:type="dxa"/>
            <w:shd w:val="clear" w:color="auto" w:fill="auto"/>
            <w:noWrap/>
            <w:vAlign w:val="bottom"/>
          </w:tcPr>
          <w:p w14:paraId="598481C5"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3.6%</w:t>
            </w:r>
          </w:p>
        </w:tc>
        <w:tc>
          <w:tcPr>
            <w:tcW w:w="985" w:type="dxa"/>
            <w:shd w:val="clear" w:color="auto" w:fill="auto"/>
            <w:noWrap/>
            <w:vAlign w:val="bottom"/>
          </w:tcPr>
          <w:p w14:paraId="4B73526F"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 xml:space="preserve">2.4%  </w:t>
            </w:r>
          </w:p>
        </w:tc>
        <w:tc>
          <w:tcPr>
            <w:tcW w:w="986" w:type="dxa"/>
            <w:shd w:val="clear" w:color="auto" w:fill="auto"/>
            <w:noWrap/>
            <w:vAlign w:val="bottom"/>
          </w:tcPr>
          <w:p w14:paraId="222E4D6F"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4.3%</w:t>
            </w:r>
          </w:p>
        </w:tc>
      </w:tr>
      <w:tr w:rsidR="0045325C" w:rsidRPr="0045325C" w14:paraId="2F564A44" w14:textId="77777777" w:rsidTr="00DF2762">
        <w:trPr>
          <w:trHeight w:val="20"/>
        </w:trPr>
        <w:tc>
          <w:tcPr>
            <w:tcW w:w="2455" w:type="dxa"/>
            <w:shd w:val="clear" w:color="auto" w:fill="auto"/>
            <w:vAlign w:val="center"/>
          </w:tcPr>
          <w:p w14:paraId="49FAC53F" w14:textId="77777777" w:rsidR="0045325C" w:rsidRPr="0045325C" w:rsidRDefault="0045325C" w:rsidP="0045325C">
            <w:pPr>
              <w:spacing w:before="40" w:after="40"/>
              <w:contextualSpacing/>
              <w:rPr>
                <w:rFonts w:ascii="Times New Roman" w:hAnsi="Times New Roman" w:cs="Times New Roman"/>
                <w:bCs/>
                <w:sz w:val="20"/>
                <w:szCs w:val="20"/>
              </w:rPr>
            </w:pPr>
            <w:r w:rsidRPr="0045325C">
              <w:rPr>
                <w:rFonts w:ascii="Times New Roman" w:hAnsi="Times New Roman" w:cs="Times New Roman"/>
                <w:bCs/>
                <w:sz w:val="20"/>
                <w:szCs w:val="20"/>
              </w:rPr>
              <w:lastRenderedPageBreak/>
              <w:t>January-December 2015 / January-December 2014</w:t>
            </w:r>
          </w:p>
        </w:tc>
        <w:tc>
          <w:tcPr>
            <w:tcW w:w="826" w:type="dxa"/>
            <w:shd w:val="clear" w:color="auto" w:fill="auto"/>
            <w:noWrap/>
            <w:vAlign w:val="bottom"/>
          </w:tcPr>
          <w:p w14:paraId="346DCE17"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 xml:space="preserve">3.5%  </w:t>
            </w:r>
          </w:p>
        </w:tc>
        <w:tc>
          <w:tcPr>
            <w:tcW w:w="985" w:type="dxa"/>
            <w:shd w:val="clear" w:color="auto" w:fill="auto"/>
            <w:noWrap/>
            <w:vAlign w:val="bottom"/>
          </w:tcPr>
          <w:p w14:paraId="738817C7"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4.4%</w:t>
            </w:r>
          </w:p>
        </w:tc>
        <w:tc>
          <w:tcPr>
            <w:tcW w:w="985" w:type="dxa"/>
            <w:shd w:val="clear" w:color="auto" w:fill="auto"/>
            <w:noWrap/>
            <w:vAlign w:val="bottom"/>
          </w:tcPr>
          <w:p w14:paraId="47051BD0"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1.9%</w:t>
            </w:r>
          </w:p>
        </w:tc>
        <w:tc>
          <w:tcPr>
            <w:tcW w:w="986" w:type="dxa"/>
            <w:shd w:val="clear" w:color="auto" w:fill="auto"/>
            <w:noWrap/>
            <w:vAlign w:val="bottom"/>
          </w:tcPr>
          <w:p w14:paraId="2A08D168"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6%</w:t>
            </w:r>
          </w:p>
        </w:tc>
      </w:tr>
      <w:tr w:rsidR="0045325C" w:rsidRPr="0045325C" w14:paraId="6C88C7F8" w14:textId="77777777" w:rsidTr="00DF2762">
        <w:trPr>
          <w:trHeight w:val="20"/>
        </w:trPr>
        <w:tc>
          <w:tcPr>
            <w:tcW w:w="2455" w:type="dxa"/>
            <w:shd w:val="clear" w:color="auto" w:fill="auto"/>
            <w:vAlign w:val="center"/>
          </w:tcPr>
          <w:p w14:paraId="1C6BD11F" w14:textId="77777777" w:rsidR="0045325C" w:rsidRPr="0045325C" w:rsidRDefault="0045325C" w:rsidP="0045325C">
            <w:pPr>
              <w:spacing w:before="40" w:after="40"/>
              <w:contextualSpacing/>
              <w:rPr>
                <w:rFonts w:ascii="Times New Roman" w:hAnsi="Times New Roman" w:cs="Times New Roman"/>
                <w:bCs/>
                <w:sz w:val="20"/>
                <w:szCs w:val="20"/>
              </w:rPr>
            </w:pPr>
            <w:r w:rsidRPr="0045325C">
              <w:rPr>
                <w:rFonts w:ascii="Times New Roman" w:hAnsi="Times New Roman" w:cs="Times New Roman"/>
                <w:bCs/>
                <w:sz w:val="20"/>
                <w:szCs w:val="20"/>
              </w:rPr>
              <w:t>January-December 2016 / January-December 2015</w:t>
            </w:r>
          </w:p>
        </w:tc>
        <w:tc>
          <w:tcPr>
            <w:tcW w:w="826" w:type="dxa"/>
            <w:shd w:val="clear" w:color="auto" w:fill="auto"/>
            <w:noWrap/>
            <w:vAlign w:val="bottom"/>
          </w:tcPr>
          <w:p w14:paraId="6F425180"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 xml:space="preserve">3.8%  </w:t>
            </w:r>
          </w:p>
        </w:tc>
        <w:tc>
          <w:tcPr>
            <w:tcW w:w="985" w:type="dxa"/>
            <w:shd w:val="clear" w:color="auto" w:fill="auto"/>
            <w:noWrap/>
            <w:vAlign w:val="bottom"/>
          </w:tcPr>
          <w:p w14:paraId="5E3D8107"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4.9%</w:t>
            </w:r>
          </w:p>
        </w:tc>
        <w:tc>
          <w:tcPr>
            <w:tcW w:w="985" w:type="dxa"/>
            <w:shd w:val="clear" w:color="auto" w:fill="auto"/>
            <w:noWrap/>
            <w:vAlign w:val="bottom"/>
          </w:tcPr>
          <w:p w14:paraId="788BC82D"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 xml:space="preserve">2.1%  </w:t>
            </w:r>
          </w:p>
        </w:tc>
        <w:tc>
          <w:tcPr>
            <w:tcW w:w="986" w:type="dxa"/>
            <w:shd w:val="clear" w:color="auto" w:fill="auto"/>
            <w:noWrap/>
            <w:vAlign w:val="bottom"/>
          </w:tcPr>
          <w:p w14:paraId="258B5000" w14:textId="77777777" w:rsidR="0045325C" w:rsidRPr="0045325C" w:rsidRDefault="0045325C" w:rsidP="0045325C">
            <w:pPr>
              <w:spacing w:before="60" w:after="60"/>
              <w:contextualSpacing/>
              <w:jc w:val="center"/>
              <w:rPr>
                <w:rFonts w:ascii="Times New Roman" w:hAnsi="Times New Roman" w:cs="Times New Roman"/>
                <w:sz w:val="20"/>
                <w:szCs w:val="20"/>
              </w:rPr>
            </w:pPr>
            <w:r w:rsidRPr="0045325C">
              <w:rPr>
                <w:rFonts w:ascii="Times New Roman" w:hAnsi="Times New Roman" w:cs="Times New Roman"/>
                <w:sz w:val="20"/>
                <w:szCs w:val="20"/>
              </w:rPr>
              <w:t>6.7%</w:t>
            </w:r>
          </w:p>
        </w:tc>
      </w:tr>
    </w:tbl>
    <w:p w14:paraId="566C693B" w14:textId="77777777" w:rsidR="00A9653E" w:rsidRPr="00EC356F" w:rsidRDefault="00A9653E" w:rsidP="00A9653E">
      <w:pPr>
        <w:tabs>
          <w:tab w:val="left" w:pos="600"/>
        </w:tabs>
        <w:ind w:firstLine="284"/>
        <w:jc w:val="both"/>
        <w:rPr>
          <w:rFonts w:ascii="Times New Roman" w:hAnsi="Times New Roman" w:cs="Times New Roman"/>
          <w:b/>
          <w:i/>
          <w:iCs/>
          <w:color w:val="FF0000"/>
          <w:sz w:val="21"/>
          <w:szCs w:val="21"/>
        </w:rPr>
      </w:pPr>
    </w:p>
    <w:p w14:paraId="180DEB41" w14:textId="6FFA91B4" w:rsidR="00A9653E" w:rsidRPr="004C3492"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Labor market:</w:t>
      </w:r>
      <w:r w:rsidRPr="00EC356F">
        <w:rPr>
          <w:rStyle w:val="FootnoteReference"/>
          <w:rFonts w:ascii="Times New Roman" w:hAnsi="Times New Roman" w:cs="Times New Roman"/>
          <w:sz w:val="21"/>
          <w:szCs w:val="21"/>
        </w:rPr>
        <w:footnoteReference w:customMarkFollows="1" w:id="3"/>
        <w:t>3</w:t>
      </w:r>
      <w:r w:rsidRPr="00EC356F">
        <w:rPr>
          <w:rFonts w:ascii="Times New Roman" w:hAnsi="Times New Roman" w:cs="Times New Roman"/>
          <w:sz w:val="21"/>
          <w:szCs w:val="21"/>
        </w:rPr>
        <w:t xml:space="preserve"> Forecasts of labor market indicators for 2014-201</w:t>
      </w:r>
      <w:r w:rsidR="009B4FD6" w:rsidRPr="009B4FD6">
        <w:rPr>
          <w:rFonts w:ascii="Times New Roman" w:hAnsi="Times New Roman" w:cs="Times New Roman"/>
          <w:sz w:val="21"/>
          <w:szCs w:val="21"/>
        </w:rPr>
        <w:t>7</w:t>
      </w:r>
      <w:r w:rsidRPr="00EC356F">
        <w:rPr>
          <w:rFonts w:ascii="Times New Roman" w:hAnsi="Times New Roman" w:cs="Times New Roman"/>
          <w:sz w:val="21"/>
          <w:szCs w:val="21"/>
        </w:rPr>
        <w:t xml:space="preserve"> </w:t>
      </w:r>
      <w:r w:rsidR="00F24F0A">
        <w:rPr>
          <w:rFonts w:ascii="Times New Roman" w:hAnsi="Times New Roman" w:cs="Times New Roman"/>
          <w:sz w:val="21"/>
          <w:szCs w:val="21"/>
        </w:rPr>
        <w:t xml:space="preserve"> </w:t>
      </w:r>
      <w:r w:rsidR="00F24F0A" w:rsidRPr="00F24F0A">
        <w:rPr>
          <w:rFonts w:ascii="Times New Roman" w:hAnsi="Times New Roman" w:cs="Times New Roman"/>
          <w:sz w:val="21"/>
          <w:szCs w:val="21"/>
        </w:rPr>
        <w:t>have been</w:t>
      </w:r>
      <w:r w:rsidR="00787520" w:rsidRPr="00787520">
        <w:rPr>
          <w:rFonts w:ascii="Times New Roman" w:hAnsi="Times New Roman" w:cs="Times New Roman"/>
          <w:sz w:val="21"/>
          <w:szCs w:val="21"/>
        </w:rPr>
        <w:t xml:space="preserve"> worsened compared to the previous forecasts, </w:t>
      </w:r>
      <w:r w:rsidRPr="00EC356F">
        <w:rPr>
          <w:rFonts w:ascii="Times New Roman" w:hAnsi="Times New Roman" w:cs="Times New Roman"/>
          <w:sz w:val="21"/>
          <w:szCs w:val="21"/>
        </w:rPr>
        <w:t xml:space="preserve">in response to the adjustment </w:t>
      </w:r>
      <w:r w:rsidR="00787520" w:rsidRPr="00787520">
        <w:rPr>
          <w:rFonts w:ascii="Times New Roman" w:hAnsi="Times New Roman" w:cs="Times New Roman"/>
          <w:sz w:val="21"/>
          <w:szCs w:val="21"/>
        </w:rPr>
        <w:t>of the</w:t>
      </w:r>
      <w:r w:rsidRPr="00EC356F">
        <w:rPr>
          <w:rFonts w:ascii="Times New Roman" w:hAnsi="Times New Roman" w:cs="Times New Roman"/>
          <w:sz w:val="21"/>
          <w:szCs w:val="21"/>
        </w:rPr>
        <w:t xml:space="preserve"> economic growth forecasts</w:t>
      </w:r>
      <w:r w:rsidR="00787520" w:rsidRPr="00787520">
        <w:rPr>
          <w:rFonts w:ascii="Times New Roman" w:hAnsi="Times New Roman" w:cs="Times New Roman"/>
          <w:sz w:val="21"/>
          <w:szCs w:val="21"/>
        </w:rPr>
        <w:t xml:space="preserve"> and </w:t>
      </w:r>
      <w:r w:rsidR="00787520" w:rsidRPr="00EC356F">
        <w:rPr>
          <w:rFonts w:ascii="Times New Roman" w:hAnsi="Times New Roman" w:cs="Times New Roman"/>
          <w:sz w:val="21"/>
          <w:szCs w:val="21"/>
        </w:rPr>
        <w:t>slower</w:t>
      </w:r>
      <w:r w:rsidR="00787520" w:rsidRPr="00787520">
        <w:rPr>
          <w:rFonts w:ascii="Times New Roman" w:hAnsi="Times New Roman" w:cs="Times New Roman"/>
          <w:sz w:val="21"/>
          <w:szCs w:val="21"/>
        </w:rPr>
        <w:t>-than-expected</w:t>
      </w:r>
      <w:r w:rsidR="00787520" w:rsidRPr="00EC356F">
        <w:rPr>
          <w:rFonts w:ascii="Times New Roman" w:hAnsi="Times New Roman" w:cs="Times New Roman"/>
          <w:sz w:val="21"/>
          <w:szCs w:val="21"/>
        </w:rPr>
        <w:t xml:space="preserve"> growth rates</w:t>
      </w:r>
      <w:r w:rsidR="00787520" w:rsidRPr="00787520">
        <w:rPr>
          <w:rFonts w:ascii="Times New Roman" w:hAnsi="Times New Roman" w:cs="Times New Roman"/>
          <w:sz w:val="21"/>
          <w:szCs w:val="21"/>
        </w:rPr>
        <w:t xml:space="preserve"> in wages in the public sector</w:t>
      </w:r>
      <w:r w:rsidRPr="00EC356F">
        <w:rPr>
          <w:rFonts w:ascii="Times New Roman" w:hAnsi="Times New Roman" w:cs="Times New Roman"/>
          <w:sz w:val="21"/>
          <w:szCs w:val="21"/>
        </w:rPr>
        <w:t xml:space="preserve">. Specifically, in the forecast horizon average wage is expected to have </w:t>
      </w:r>
      <w:r w:rsidR="00FD014E" w:rsidRPr="00FD014E">
        <w:rPr>
          <w:rFonts w:ascii="Times New Roman" w:hAnsi="Times New Roman" w:cs="Times New Roman"/>
          <w:sz w:val="21"/>
          <w:szCs w:val="21"/>
        </w:rPr>
        <w:t xml:space="preserve">much slower growth rate </w:t>
      </w:r>
      <w:r w:rsidRPr="00EC356F">
        <w:rPr>
          <w:rFonts w:ascii="Times New Roman" w:hAnsi="Times New Roman" w:cs="Times New Roman"/>
          <w:sz w:val="21"/>
          <w:szCs w:val="21"/>
        </w:rPr>
        <w:t xml:space="preserve">and </w:t>
      </w:r>
      <w:r w:rsidR="00F24F0A">
        <w:rPr>
          <w:rFonts w:ascii="Times New Roman" w:hAnsi="Times New Roman" w:cs="Times New Roman"/>
          <w:sz w:val="21"/>
          <w:szCs w:val="21"/>
        </w:rPr>
        <w:t xml:space="preserve">the </w:t>
      </w:r>
      <w:r w:rsidRPr="00EC356F">
        <w:rPr>
          <w:rFonts w:ascii="Times New Roman" w:hAnsi="Times New Roman" w:cs="Times New Roman"/>
          <w:sz w:val="21"/>
          <w:szCs w:val="21"/>
        </w:rPr>
        <w:t>unemployment rate</w:t>
      </w:r>
      <w:r w:rsidR="00F24F0A">
        <w:rPr>
          <w:rFonts w:ascii="Times New Roman" w:hAnsi="Times New Roman" w:cs="Times New Roman"/>
          <w:sz w:val="21"/>
          <w:szCs w:val="21"/>
        </w:rPr>
        <w:t xml:space="preserve"> is expected to be</w:t>
      </w:r>
      <w:r w:rsidR="00F24F0A" w:rsidRPr="00F24F0A">
        <w:rPr>
          <w:rFonts w:ascii="Times New Roman" w:hAnsi="Times New Roman" w:cs="Times New Roman"/>
          <w:sz w:val="21"/>
          <w:szCs w:val="21"/>
        </w:rPr>
        <w:t xml:space="preserve"> </w:t>
      </w:r>
      <w:r w:rsidR="00F24F0A" w:rsidRPr="00FD014E">
        <w:rPr>
          <w:rFonts w:ascii="Times New Roman" w:hAnsi="Times New Roman" w:cs="Times New Roman"/>
          <w:sz w:val="21"/>
          <w:szCs w:val="21"/>
        </w:rPr>
        <w:t>somewhat a higher</w:t>
      </w:r>
      <w:r w:rsidR="00F24F0A">
        <w:rPr>
          <w:rFonts w:ascii="Times New Roman" w:hAnsi="Times New Roman" w:cs="Times New Roman"/>
          <w:sz w:val="21"/>
          <w:szCs w:val="21"/>
        </w:rPr>
        <w:t xml:space="preserve"> </w:t>
      </w:r>
      <w:r w:rsidRPr="00EC356F">
        <w:rPr>
          <w:rFonts w:ascii="Times New Roman" w:hAnsi="Times New Roman" w:cs="Times New Roman"/>
          <w:sz w:val="21"/>
          <w:szCs w:val="21"/>
        </w:rPr>
        <w:t xml:space="preserve">. </w:t>
      </w:r>
    </w:p>
    <w:p w14:paraId="6906E8E3" w14:textId="77777777" w:rsidR="00977AB3" w:rsidRPr="00977AB3" w:rsidRDefault="00977AB3" w:rsidP="00A9653E">
      <w:pPr>
        <w:spacing w:line="360" w:lineRule="auto"/>
        <w:jc w:val="both"/>
        <w:rPr>
          <w:rFonts w:ascii="Times New Roman" w:hAnsi="Times New Roman" w:cs="Times New Roman"/>
          <w:sz w:val="21"/>
          <w:szCs w:val="21"/>
        </w:rPr>
      </w:pPr>
      <w:r w:rsidRPr="00977AB3">
        <w:rPr>
          <w:rFonts w:ascii="Times New Roman" w:hAnsi="Times New Roman" w:cs="Times New Roman"/>
          <w:sz w:val="21"/>
          <w:szCs w:val="21"/>
        </w:rPr>
        <w:t xml:space="preserve">Thus, </w:t>
      </w:r>
      <w:r w:rsidRPr="00EC356F">
        <w:rPr>
          <w:rFonts w:ascii="Times New Roman" w:hAnsi="Times New Roman" w:cs="Times New Roman"/>
          <w:sz w:val="21"/>
          <w:szCs w:val="21"/>
        </w:rPr>
        <w:t xml:space="preserve">average nominal wage in the economy is expected to grow </w:t>
      </w:r>
      <w:r w:rsidRPr="00C0521B">
        <w:rPr>
          <w:rFonts w:ascii="Times New Roman" w:hAnsi="Times New Roman" w:cs="Times New Roman"/>
          <w:b/>
          <w:sz w:val="21"/>
          <w:szCs w:val="21"/>
        </w:rPr>
        <w:t>by 8.2% in 2014, by 8% in 2015 and by around 7% in the period 2016-2017</w:t>
      </w:r>
      <w:r w:rsidRPr="00EC356F">
        <w:rPr>
          <w:rFonts w:ascii="Times New Roman" w:hAnsi="Times New Roman" w:cs="Times New Roman"/>
          <w:sz w:val="21"/>
          <w:szCs w:val="21"/>
        </w:rPr>
        <w:t>.</w:t>
      </w:r>
    </w:p>
    <w:p w14:paraId="49214938" w14:textId="7AB49F06" w:rsidR="00F3338C" w:rsidRDefault="007A1FFE" w:rsidP="00A9653E">
      <w:pPr>
        <w:spacing w:line="360" w:lineRule="auto"/>
        <w:jc w:val="both"/>
        <w:rPr>
          <w:rFonts w:ascii="Times New Roman" w:hAnsi="Times New Roman" w:cs="Times New Roman"/>
          <w:sz w:val="21"/>
          <w:szCs w:val="21"/>
        </w:rPr>
      </w:pPr>
      <w:r w:rsidRPr="007A1FFE">
        <w:rPr>
          <w:rFonts w:ascii="Times New Roman" w:hAnsi="Times New Roman" w:cs="Times New Roman"/>
          <w:sz w:val="21"/>
          <w:szCs w:val="21"/>
        </w:rPr>
        <w:t>The nominal wage increase expected i</w:t>
      </w:r>
      <w:r w:rsidR="00A9653E" w:rsidRPr="007A1FFE">
        <w:rPr>
          <w:rFonts w:ascii="Times New Roman" w:hAnsi="Times New Roman" w:cs="Times New Roman"/>
          <w:sz w:val="21"/>
          <w:szCs w:val="21"/>
        </w:rPr>
        <w:t>n 2014</w:t>
      </w:r>
      <w:r w:rsidRPr="007A1FFE">
        <w:rPr>
          <w:rFonts w:ascii="Times New Roman" w:hAnsi="Times New Roman" w:cs="Times New Roman"/>
          <w:sz w:val="21"/>
          <w:szCs w:val="21"/>
        </w:rPr>
        <w:t xml:space="preserve"> is higher than the average wage growth reported in recent years. </w:t>
      </w:r>
      <w:r w:rsidR="00A9653E" w:rsidRPr="00EC356F">
        <w:rPr>
          <w:rFonts w:ascii="Times New Roman" w:hAnsi="Times New Roman" w:cs="Times New Roman"/>
          <w:sz w:val="21"/>
          <w:szCs w:val="21"/>
        </w:rPr>
        <w:t xml:space="preserve">The wage increase during the year </w:t>
      </w:r>
      <w:r w:rsidRPr="007A1FFE">
        <w:rPr>
          <w:rFonts w:ascii="Times New Roman" w:hAnsi="Times New Roman" w:cs="Times New Roman"/>
          <w:sz w:val="21"/>
          <w:szCs w:val="21"/>
        </w:rPr>
        <w:t>was</w:t>
      </w:r>
      <w:r w:rsidR="00A9653E" w:rsidRPr="00EC356F">
        <w:rPr>
          <w:rFonts w:ascii="Times New Roman" w:hAnsi="Times New Roman" w:cs="Times New Roman"/>
          <w:sz w:val="21"/>
          <w:szCs w:val="21"/>
        </w:rPr>
        <w:t xml:space="preserve"> fuelled by the rising of minimum wage threshold</w:t>
      </w:r>
      <w:r w:rsidRPr="007A1FFE">
        <w:rPr>
          <w:rFonts w:ascii="Times New Roman" w:hAnsi="Times New Roman" w:cs="Times New Roman"/>
          <w:sz w:val="21"/>
          <w:szCs w:val="21"/>
        </w:rPr>
        <w:t xml:space="preserve"> up to AMD 50,000</w:t>
      </w:r>
      <w:r w:rsidR="00A9653E" w:rsidRPr="00EC356F">
        <w:rPr>
          <w:rFonts w:ascii="Times New Roman" w:hAnsi="Times New Roman" w:cs="Times New Roman"/>
          <w:sz w:val="21"/>
          <w:szCs w:val="21"/>
        </w:rPr>
        <w:t xml:space="preserve">, some rise in wages in the private sector in the context of the funded pension reform and wage increases in the public sector </w:t>
      </w:r>
      <w:r w:rsidRPr="007A1FFE">
        <w:rPr>
          <w:rFonts w:ascii="Times New Roman" w:hAnsi="Times New Roman" w:cs="Times New Roman"/>
          <w:sz w:val="21"/>
          <w:szCs w:val="21"/>
        </w:rPr>
        <w:t>taken place</w:t>
      </w:r>
      <w:r w:rsidR="004C3492">
        <w:rPr>
          <w:rFonts w:ascii="Times New Roman" w:hAnsi="Times New Roman" w:cs="Times New Roman"/>
          <w:sz w:val="21"/>
          <w:szCs w:val="21"/>
        </w:rPr>
        <w:t xml:space="preserve"> primarily in </w:t>
      </w:r>
      <w:r w:rsidR="00A9653E" w:rsidRPr="00EC356F">
        <w:rPr>
          <w:rFonts w:ascii="Times New Roman" w:hAnsi="Times New Roman" w:cs="Times New Roman"/>
          <w:sz w:val="21"/>
          <w:szCs w:val="21"/>
        </w:rPr>
        <w:t xml:space="preserve">the </w:t>
      </w:r>
      <w:r w:rsidR="001602FC" w:rsidRPr="001602FC">
        <w:rPr>
          <w:rFonts w:ascii="Times New Roman" w:hAnsi="Times New Roman" w:cs="Times New Roman"/>
          <w:sz w:val="21"/>
          <w:szCs w:val="21"/>
        </w:rPr>
        <w:t>3rd</w:t>
      </w:r>
      <w:r w:rsidR="00A9653E" w:rsidRPr="00EC356F">
        <w:rPr>
          <w:rFonts w:ascii="Times New Roman" w:hAnsi="Times New Roman" w:cs="Times New Roman"/>
          <w:sz w:val="21"/>
          <w:szCs w:val="21"/>
        </w:rPr>
        <w:t xml:space="preserve"> </w:t>
      </w:r>
      <w:r w:rsidR="001602FC" w:rsidRPr="001602FC">
        <w:rPr>
          <w:rFonts w:ascii="Times New Roman" w:hAnsi="Times New Roman" w:cs="Times New Roman"/>
          <w:sz w:val="21"/>
          <w:szCs w:val="21"/>
        </w:rPr>
        <w:t xml:space="preserve">quarter </w:t>
      </w:r>
      <w:r w:rsidR="00A9653E" w:rsidRPr="00EC356F">
        <w:rPr>
          <w:rFonts w:ascii="Times New Roman" w:hAnsi="Times New Roman" w:cs="Times New Roman"/>
          <w:sz w:val="21"/>
          <w:szCs w:val="21"/>
        </w:rPr>
        <w:t xml:space="preserve">of the year. </w:t>
      </w:r>
      <w:r w:rsidR="004C3492">
        <w:rPr>
          <w:rFonts w:ascii="Times New Roman" w:hAnsi="Times New Roman" w:cs="Times New Roman"/>
          <w:sz w:val="21"/>
          <w:szCs w:val="21"/>
        </w:rPr>
        <w:t xml:space="preserve">On the back of wage increases in the public sector </w:t>
      </w:r>
      <w:r w:rsidR="009B417A">
        <w:rPr>
          <w:rFonts w:ascii="Times New Roman" w:hAnsi="Times New Roman" w:cs="Times New Roman"/>
          <w:sz w:val="21"/>
          <w:szCs w:val="21"/>
        </w:rPr>
        <w:t xml:space="preserve">during the quarter, average wage growth rates are expected to remain strong over the first half of 2015. </w:t>
      </w:r>
      <w:r w:rsidR="0069475F">
        <w:rPr>
          <w:rFonts w:ascii="Times New Roman" w:hAnsi="Times New Roman" w:cs="Times New Roman"/>
          <w:sz w:val="21"/>
          <w:szCs w:val="21"/>
        </w:rPr>
        <w:t>In anticipat</w:t>
      </w:r>
      <w:r w:rsidR="00A70557">
        <w:rPr>
          <w:rFonts w:ascii="Times New Roman" w:hAnsi="Times New Roman" w:cs="Times New Roman"/>
          <w:sz w:val="21"/>
          <w:szCs w:val="21"/>
        </w:rPr>
        <w:t>i</w:t>
      </w:r>
      <w:r w:rsidR="0069475F">
        <w:rPr>
          <w:rFonts w:ascii="Times New Roman" w:hAnsi="Times New Roman" w:cs="Times New Roman"/>
          <w:sz w:val="21"/>
          <w:szCs w:val="21"/>
        </w:rPr>
        <w:t xml:space="preserve">on of subsequent </w:t>
      </w:r>
      <w:r w:rsidR="00F3338C">
        <w:rPr>
          <w:rFonts w:ascii="Times New Roman" w:hAnsi="Times New Roman" w:cs="Times New Roman"/>
          <w:sz w:val="21"/>
          <w:szCs w:val="21"/>
        </w:rPr>
        <w:t xml:space="preserve">rising of the </w:t>
      </w:r>
      <w:r w:rsidR="0069475F">
        <w:rPr>
          <w:rFonts w:ascii="Times New Roman" w:hAnsi="Times New Roman" w:cs="Times New Roman"/>
          <w:sz w:val="21"/>
          <w:szCs w:val="21"/>
        </w:rPr>
        <w:t xml:space="preserve">minimum </w:t>
      </w:r>
      <w:r w:rsidR="00A9653E" w:rsidRPr="004C3492">
        <w:rPr>
          <w:rFonts w:ascii="Times New Roman" w:hAnsi="Times New Roman" w:cs="Times New Roman"/>
          <w:sz w:val="21"/>
          <w:szCs w:val="21"/>
        </w:rPr>
        <w:t>wage</w:t>
      </w:r>
      <w:r w:rsidR="0069475F">
        <w:rPr>
          <w:rFonts w:ascii="Times New Roman" w:hAnsi="Times New Roman" w:cs="Times New Roman"/>
          <w:sz w:val="21"/>
          <w:szCs w:val="21"/>
        </w:rPr>
        <w:t>s</w:t>
      </w:r>
      <w:r w:rsidR="00F3338C">
        <w:rPr>
          <w:rFonts w:ascii="Times New Roman" w:hAnsi="Times New Roman" w:cs="Times New Roman"/>
          <w:sz w:val="21"/>
          <w:szCs w:val="21"/>
        </w:rPr>
        <w:t xml:space="preserve"> in 2015, the expected wage increase during the year will continue to be higher from the post-crisis average wage growth rate.</w:t>
      </w:r>
    </w:p>
    <w:p w14:paraId="1D02D3BF" w14:textId="77777777" w:rsidR="00860132" w:rsidRDefault="00F3338C"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With an economic growth expected to accelerate, an inflation rate stabilizing and the government policy further steered to wage increases, average nominal wage is predicted to grow by about 7</w:t>
      </w:r>
      <w:r w:rsidR="00004B40">
        <w:rPr>
          <w:rFonts w:ascii="Times New Roman" w:hAnsi="Times New Roman" w:cs="Times New Roman"/>
          <w:sz w:val="21"/>
          <w:szCs w:val="21"/>
        </w:rPr>
        <w:t xml:space="preserve">% in 2016-2017. </w:t>
      </w:r>
    </w:p>
    <w:p w14:paraId="1081F72B" w14:textId="77777777" w:rsidR="00C9194B" w:rsidRDefault="00860132"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Relatively high growth of wages expected for the period from the second half of 2014 through the first half of 2015 outstrips the productivity growth projected for the aforementioned period. </w:t>
      </w:r>
      <w:r w:rsidR="00BF3507">
        <w:rPr>
          <w:rFonts w:ascii="Times New Roman" w:hAnsi="Times New Roman" w:cs="Times New Roman"/>
          <w:sz w:val="21"/>
          <w:szCs w:val="21"/>
        </w:rPr>
        <w:t>These developments are expected</w:t>
      </w:r>
      <w:r w:rsidR="00A70557">
        <w:rPr>
          <w:rFonts w:ascii="Times New Roman" w:hAnsi="Times New Roman" w:cs="Times New Roman"/>
          <w:sz w:val="21"/>
          <w:szCs w:val="21"/>
        </w:rPr>
        <w:t xml:space="preserve"> to</w:t>
      </w:r>
      <w:r w:rsidR="00BF3507">
        <w:rPr>
          <w:rFonts w:ascii="Times New Roman" w:hAnsi="Times New Roman" w:cs="Times New Roman"/>
          <w:sz w:val="21"/>
          <w:szCs w:val="21"/>
        </w:rPr>
        <w:t xml:space="preserve"> push unit labor costs </w:t>
      </w:r>
      <w:r w:rsidR="00C9194B">
        <w:rPr>
          <w:rFonts w:ascii="Times New Roman" w:hAnsi="Times New Roman" w:cs="Times New Roman"/>
          <w:sz w:val="21"/>
          <w:szCs w:val="21"/>
        </w:rPr>
        <w:t xml:space="preserve">slightly </w:t>
      </w:r>
      <w:r w:rsidR="00BF3507">
        <w:rPr>
          <w:rFonts w:ascii="Times New Roman" w:hAnsi="Times New Roman" w:cs="Times New Roman"/>
          <w:sz w:val="21"/>
          <w:szCs w:val="21"/>
        </w:rPr>
        <w:t>up</w:t>
      </w:r>
      <w:r w:rsidR="00C9194B">
        <w:rPr>
          <w:rFonts w:ascii="Times New Roman" w:hAnsi="Times New Roman" w:cs="Times New Roman"/>
          <w:sz w:val="21"/>
          <w:szCs w:val="21"/>
        </w:rPr>
        <w:t xml:space="preserve"> </w:t>
      </w:r>
      <w:r w:rsidR="00BF3507">
        <w:rPr>
          <w:rFonts w:ascii="Times New Roman" w:hAnsi="Times New Roman" w:cs="Times New Roman"/>
          <w:sz w:val="21"/>
          <w:szCs w:val="21"/>
        </w:rPr>
        <w:t>at the end of 2014 and over the first half of 2015</w:t>
      </w:r>
      <w:r w:rsidR="00C9194B">
        <w:rPr>
          <w:rFonts w:ascii="Times New Roman" w:hAnsi="Times New Roman" w:cs="Times New Roman"/>
          <w:sz w:val="21"/>
          <w:szCs w:val="21"/>
        </w:rPr>
        <w:t>,</w:t>
      </w:r>
      <w:r w:rsidR="001D45A9">
        <w:rPr>
          <w:rFonts w:ascii="Times New Roman" w:hAnsi="Times New Roman" w:cs="Times New Roman"/>
          <w:sz w:val="21"/>
          <w:szCs w:val="21"/>
        </w:rPr>
        <w:t xml:space="preserve"> and the consumer market will </w:t>
      </w:r>
      <w:r w:rsidR="00C9194B">
        <w:rPr>
          <w:rFonts w:ascii="Times New Roman" w:hAnsi="Times New Roman" w:cs="Times New Roman"/>
          <w:sz w:val="21"/>
          <w:szCs w:val="21"/>
        </w:rPr>
        <w:t xml:space="preserve">incur weak inflationary pressures, 0.2 pp, from the supply side, which will phase out in the forecast horizon. </w:t>
      </w:r>
    </w:p>
    <w:p w14:paraId="64F3E99C"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In anticipation of relatively slow economic growth in 2014, average unemployment rate will amount to 16.</w:t>
      </w:r>
      <w:r w:rsidR="0001513B">
        <w:rPr>
          <w:rFonts w:ascii="Times New Roman" w:hAnsi="Times New Roman" w:cs="Times New Roman"/>
          <w:sz w:val="21"/>
          <w:szCs w:val="21"/>
        </w:rPr>
        <w:t>8</w:t>
      </w:r>
      <w:r w:rsidRPr="00EC356F">
        <w:rPr>
          <w:rFonts w:ascii="Times New Roman" w:hAnsi="Times New Roman" w:cs="Times New Roman"/>
          <w:sz w:val="21"/>
          <w:szCs w:val="21"/>
        </w:rPr>
        <w:t>%, up by 0.</w:t>
      </w:r>
      <w:r w:rsidR="0001513B">
        <w:rPr>
          <w:rFonts w:ascii="Times New Roman" w:hAnsi="Times New Roman" w:cs="Times New Roman"/>
          <w:sz w:val="21"/>
          <w:szCs w:val="21"/>
        </w:rPr>
        <w:t>6</w:t>
      </w:r>
      <w:r w:rsidRPr="00EC356F">
        <w:rPr>
          <w:rFonts w:ascii="Times New Roman" w:hAnsi="Times New Roman" w:cs="Times New Roman"/>
          <w:sz w:val="21"/>
          <w:szCs w:val="21"/>
        </w:rPr>
        <w:t xml:space="preserve"> pp in comparison with the previous year. In the period </w:t>
      </w:r>
      <w:r w:rsidRPr="00EC356F">
        <w:rPr>
          <w:rFonts w:ascii="Times New Roman" w:hAnsi="Times New Roman" w:cs="Times New Roman"/>
          <w:b/>
          <w:sz w:val="21"/>
          <w:szCs w:val="21"/>
        </w:rPr>
        <w:t xml:space="preserve">2015-2017 </w:t>
      </w:r>
      <w:r w:rsidRPr="00EC356F">
        <w:rPr>
          <w:rFonts w:ascii="Times New Roman" w:hAnsi="Times New Roman" w:cs="Times New Roman"/>
          <w:sz w:val="21"/>
          <w:szCs w:val="21"/>
        </w:rPr>
        <w:t>however, the</w:t>
      </w:r>
      <w:r w:rsidR="0001513B">
        <w:rPr>
          <w:rFonts w:ascii="Times New Roman" w:hAnsi="Times New Roman" w:cs="Times New Roman"/>
          <w:sz w:val="21"/>
          <w:szCs w:val="21"/>
        </w:rPr>
        <w:t xml:space="preserve"> </w:t>
      </w:r>
      <w:r w:rsidR="0001513B">
        <w:rPr>
          <w:rFonts w:ascii="Times New Roman" w:hAnsi="Times New Roman" w:cs="Times New Roman"/>
          <w:sz w:val="21"/>
          <w:szCs w:val="21"/>
        </w:rPr>
        <w:lastRenderedPageBreak/>
        <w:t xml:space="preserve">GDP gap, currently estimated </w:t>
      </w:r>
      <w:r w:rsidR="006521E9">
        <w:rPr>
          <w:rFonts w:ascii="Times New Roman" w:hAnsi="Times New Roman" w:cs="Times New Roman"/>
          <w:sz w:val="21"/>
          <w:szCs w:val="21"/>
        </w:rPr>
        <w:t>to be</w:t>
      </w:r>
      <w:r w:rsidRPr="00EC356F">
        <w:rPr>
          <w:rFonts w:ascii="Times New Roman" w:hAnsi="Times New Roman" w:cs="Times New Roman"/>
          <w:sz w:val="21"/>
          <w:szCs w:val="21"/>
        </w:rPr>
        <w:t xml:space="preserve"> </w:t>
      </w:r>
      <w:r w:rsidR="0001513B">
        <w:rPr>
          <w:rFonts w:ascii="Times New Roman" w:hAnsi="Times New Roman" w:cs="Times New Roman"/>
          <w:sz w:val="21"/>
          <w:szCs w:val="21"/>
        </w:rPr>
        <w:t>negative</w:t>
      </w:r>
      <w:r w:rsidR="006521E9">
        <w:rPr>
          <w:rFonts w:ascii="Times New Roman" w:hAnsi="Times New Roman" w:cs="Times New Roman"/>
          <w:sz w:val="21"/>
          <w:szCs w:val="21"/>
        </w:rPr>
        <w:t xml:space="preserve">, will vanish </w:t>
      </w:r>
      <w:r w:rsidR="006521E9" w:rsidRPr="00EC356F">
        <w:rPr>
          <w:rFonts w:ascii="Times New Roman" w:hAnsi="Times New Roman" w:cs="Times New Roman"/>
          <w:sz w:val="21"/>
          <w:szCs w:val="21"/>
        </w:rPr>
        <w:t>as economic growth rates accelerate</w:t>
      </w:r>
      <w:r w:rsidR="006521E9">
        <w:rPr>
          <w:rFonts w:ascii="Times New Roman" w:hAnsi="Times New Roman" w:cs="Times New Roman"/>
          <w:sz w:val="21"/>
          <w:szCs w:val="21"/>
        </w:rPr>
        <w:t>. As a result, the</w:t>
      </w:r>
      <w:r w:rsidR="0001513B">
        <w:rPr>
          <w:rFonts w:ascii="Times New Roman" w:hAnsi="Times New Roman" w:cs="Times New Roman"/>
          <w:sz w:val="21"/>
          <w:szCs w:val="21"/>
        </w:rPr>
        <w:t xml:space="preserve"> </w:t>
      </w:r>
      <w:r w:rsidRPr="00EC356F">
        <w:rPr>
          <w:rFonts w:ascii="Times New Roman" w:hAnsi="Times New Roman" w:cs="Times New Roman"/>
          <w:sz w:val="21"/>
          <w:szCs w:val="21"/>
        </w:rPr>
        <w:t xml:space="preserve">unemployment </w:t>
      </w:r>
      <w:r w:rsidR="006521E9">
        <w:rPr>
          <w:rFonts w:ascii="Times New Roman" w:hAnsi="Times New Roman" w:cs="Times New Roman"/>
          <w:sz w:val="21"/>
          <w:szCs w:val="21"/>
        </w:rPr>
        <w:t xml:space="preserve">rate </w:t>
      </w:r>
      <w:r w:rsidRPr="00EC356F">
        <w:rPr>
          <w:rFonts w:ascii="Times New Roman" w:hAnsi="Times New Roman" w:cs="Times New Roman"/>
          <w:sz w:val="21"/>
          <w:szCs w:val="21"/>
        </w:rPr>
        <w:t xml:space="preserve">will subside gradually.  </w:t>
      </w:r>
    </w:p>
    <w:p w14:paraId="7C560053"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 xml:space="preserve"> </w:t>
      </w:r>
    </w:p>
    <w:p w14:paraId="0A577D9F"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Aggregate demand</w:t>
      </w:r>
      <w:r w:rsidR="005E2372">
        <w:rPr>
          <w:rStyle w:val="FootnoteReference"/>
          <w:rFonts w:ascii="Times New Roman" w:hAnsi="Times New Roman" w:cs="Times New Roman"/>
          <w:sz w:val="21"/>
          <w:szCs w:val="21"/>
        </w:rPr>
        <w:footnoteReference w:customMarkFollows="1" w:id="4"/>
        <w:t>4</w:t>
      </w:r>
    </w:p>
    <w:p w14:paraId="597AEDD7" w14:textId="4E4F8B14" w:rsidR="00567275" w:rsidRDefault="00E530A0" w:rsidP="00E530A0">
      <w:pPr>
        <w:spacing w:line="360" w:lineRule="auto"/>
        <w:jc w:val="both"/>
        <w:rPr>
          <w:rFonts w:ascii="Times New Roman" w:hAnsi="Times New Roman" w:cs="Times New Roman"/>
          <w:b/>
          <w:sz w:val="21"/>
          <w:szCs w:val="21"/>
        </w:rPr>
      </w:pPr>
      <w:r>
        <w:rPr>
          <w:rFonts w:ascii="Times New Roman" w:hAnsi="Times New Roman" w:cs="Times New Roman"/>
          <w:b/>
          <w:sz w:val="21"/>
          <w:szCs w:val="21"/>
        </w:rPr>
        <w:t xml:space="preserve">The </w:t>
      </w:r>
      <w:r w:rsidR="00A70557">
        <w:rPr>
          <w:rFonts w:ascii="Times New Roman" w:hAnsi="Times New Roman" w:cs="Times New Roman"/>
          <w:b/>
          <w:sz w:val="21"/>
          <w:szCs w:val="21"/>
        </w:rPr>
        <w:t xml:space="preserve">weakening </w:t>
      </w:r>
      <w:r>
        <w:rPr>
          <w:rFonts w:ascii="Times New Roman" w:hAnsi="Times New Roman" w:cs="Times New Roman"/>
          <w:b/>
          <w:sz w:val="21"/>
          <w:szCs w:val="21"/>
        </w:rPr>
        <w:t>of economic growth in Armenia’s main trade partner countries, persisting weak investment activity in the domestic economy and lesser than planned public expenditures resulted in an estimated 1.4% decline in gross domestic spending in 2014. However, e</w:t>
      </w:r>
      <w:r w:rsidR="00A9653E" w:rsidRPr="00E530A0">
        <w:rPr>
          <w:rFonts w:ascii="Times New Roman" w:hAnsi="Times New Roman" w:cs="Times New Roman"/>
          <w:b/>
          <w:sz w:val="21"/>
          <w:szCs w:val="21"/>
        </w:rPr>
        <w:t xml:space="preserve">xpansionary </w:t>
      </w:r>
      <w:r w:rsidR="00567275" w:rsidRPr="00E530A0">
        <w:rPr>
          <w:rFonts w:ascii="Times New Roman" w:hAnsi="Times New Roman" w:cs="Times New Roman"/>
          <w:b/>
          <w:sz w:val="21"/>
          <w:szCs w:val="21"/>
        </w:rPr>
        <w:t xml:space="preserve">monetary </w:t>
      </w:r>
      <w:r w:rsidR="00567275">
        <w:rPr>
          <w:rFonts w:ascii="Times New Roman" w:hAnsi="Times New Roman" w:cs="Times New Roman"/>
          <w:b/>
          <w:sz w:val="21"/>
          <w:szCs w:val="21"/>
        </w:rPr>
        <w:t xml:space="preserve">and </w:t>
      </w:r>
      <w:r w:rsidR="00A9653E" w:rsidRPr="00E530A0">
        <w:rPr>
          <w:rFonts w:ascii="Times New Roman" w:hAnsi="Times New Roman" w:cs="Times New Roman"/>
          <w:b/>
          <w:sz w:val="21"/>
          <w:szCs w:val="21"/>
        </w:rPr>
        <w:t xml:space="preserve">fiscal </w:t>
      </w:r>
      <w:r w:rsidR="00A9653E" w:rsidRPr="00EC356F">
        <w:rPr>
          <w:rFonts w:ascii="Times New Roman" w:hAnsi="Times New Roman" w:cs="Times New Roman"/>
          <w:b/>
          <w:sz w:val="21"/>
          <w:szCs w:val="21"/>
        </w:rPr>
        <w:t>polic</w:t>
      </w:r>
      <w:r w:rsidR="00567275">
        <w:rPr>
          <w:rFonts w:ascii="Times New Roman" w:hAnsi="Times New Roman" w:cs="Times New Roman"/>
          <w:b/>
          <w:sz w:val="21"/>
          <w:szCs w:val="21"/>
        </w:rPr>
        <w:t>ies i</w:t>
      </w:r>
      <w:r w:rsidR="00A9653E" w:rsidRPr="00EC356F">
        <w:rPr>
          <w:rFonts w:ascii="Times New Roman" w:hAnsi="Times New Roman" w:cs="Times New Roman"/>
          <w:b/>
          <w:sz w:val="21"/>
          <w:szCs w:val="21"/>
        </w:rPr>
        <w:t>mplement</w:t>
      </w:r>
      <w:r w:rsidR="00567275">
        <w:rPr>
          <w:rFonts w:ascii="Times New Roman" w:hAnsi="Times New Roman" w:cs="Times New Roman"/>
          <w:b/>
          <w:sz w:val="21"/>
          <w:szCs w:val="21"/>
        </w:rPr>
        <w:t xml:space="preserve">ed during 2014 </w:t>
      </w:r>
      <w:r w:rsidR="00A9653E" w:rsidRPr="00EC356F">
        <w:rPr>
          <w:rFonts w:ascii="Times New Roman" w:hAnsi="Times New Roman" w:cs="Times New Roman"/>
          <w:b/>
          <w:sz w:val="21"/>
          <w:szCs w:val="21"/>
        </w:rPr>
        <w:t>a</w:t>
      </w:r>
      <w:r w:rsidR="00567275">
        <w:rPr>
          <w:rFonts w:ascii="Times New Roman" w:hAnsi="Times New Roman" w:cs="Times New Roman"/>
          <w:b/>
          <w:sz w:val="21"/>
          <w:szCs w:val="21"/>
        </w:rPr>
        <w:t xml:space="preserve">s well as anticipated acceleration of economic growth in main trade partner countries </w:t>
      </w:r>
      <w:r w:rsidR="00A9653E" w:rsidRPr="00EC356F">
        <w:rPr>
          <w:rFonts w:ascii="Times New Roman" w:hAnsi="Times New Roman" w:cs="Times New Roman"/>
          <w:b/>
          <w:sz w:val="21"/>
          <w:szCs w:val="21"/>
        </w:rPr>
        <w:t>will p</w:t>
      </w:r>
      <w:r w:rsidR="00567275">
        <w:rPr>
          <w:rFonts w:ascii="Times New Roman" w:hAnsi="Times New Roman" w:cs="Times New Roman"/>
          <w:b/>
          <w:sz w:val="21"/>
          <w:szCs w:val="21"/>
        </w:rPr>
        <w:t>rompt</w:t>
      </w:r>
      <w:r w:rsidR="00A9653E" w:rsidRPr="00EC356F">
        <w:rPr>
          <w:rFonts w:ascii="Times New Roman" w:hAnsi="Times New Roman" w:cs="Times New Roman"/>
          <w:b/>
          <w:sz w:val="21"/>
          <w:szCs w:val="21"/>
        </w:rPr>
        <w:t xml:space="preserve"> </w:t>
      </w:r>
      <w:r w:rsidR="00567275">
        <w:rPr>
          <w:rFonts w:ascii="Times New Roman" w:hAnsi="Times New Roman" w:cs="Times New Roman"/>
          <w:b/>
          <w:sz w:val="21"/>
          <w:szCs w:val="21"/>
        </w:rPr>
        <w:t xml:space="preserve">the aggregate domestic demand </w:t>
      </w:r>
      <w:r w:rsidR="00A9653E" w:rsidRPr="00EC356F">
        <w:rPr>
          <w:rFonts w:ascii="Times New Roman" w:hAnsi="Times New Roman" w:cs="Times New Roman"/>
          <w:b/>
          <w:sz w:val="21"/>
          <w:szCs w:val="21"/>
        </w:rPr>
        <w:t xml:space="preserve">to </w:t>
      </w:r>
      <w:r w:rsidR="00567275">
        <w:rPr>
          <w:rFonts w:ascii="Times New Roman" w:hAnsi="Times New Roman" w:cs="Times New Roman"/>
          <w:b/>
          <w:sz w:val="21"/>
          <w:szCs w:val="21"/>
        </w:rPr>
        <w:t xml:space="preserve">recover gradually </w:t>
      </w:r>
      <w:r w:rsidR="00A9653E" w:rsidRPr="00EC356F">
        <w:rPr>
          <w:rFonts w:ascii="Times New Roman" w:hAnsi="Times New Roman" w:cs="Times New Roman"/>
          <w:b/>
          <w:sz w:val="21"/>
          <w:szCs w:val="21"/>
        </w:rPr>
        <w:t>in the period 201</w:t>
      </w:r>
      <w:r w:rsidR="00DE02B0">
        <w:rPr>
          <w:rFonts w:ascii="Times New Roman" w:hAnsi="Times New Roman" w:cs="Times New Roman"/>
          <w:b/>
          <w:sz w:val="21"/>
          <w:szCs w:val="21"/>
        </w:rPr>
        <w:t>5</w:t>
      </w:r>
      <w:r w:rsidR="00567275">
        <w:rPr>
          <w:rFonts w:ascii="Times New Roman" w:hAnsi="Times New Roman" w:cs="Times New Roman"/>
          <w:b/>
          <w:sz w:val="21"/>
          <w:szCs w:val="21"/>
        </w:rPr>
        <w:t>-</w:t>
      </w:r>
      <w:r w:rsidR="00A9653E" w:rsidRPr="00EC356F">
        <w:rPr>
          <w:rFonts w:ascii="Times New Roman" w:hAnsi="Times New Roman" w:cs="Times New Roman"/>
          <w:b/>
          <w:sz w:val="21"/>
          <w:szCs w:val="21"/>
        </w:rPr>
        <w:t>201</w:t>
      </w:r>
      <w:r w:rsidR="00DE02B0">
        <w:rPr>
          <w:rFonts w:ascii="Times New Roman" w:hAnsi="Times New Roman" w:cs="Times New Roman"/>
          <w:b/>
          <w:sz w:val="21"/>
          <w:szCs w:val="21"/>
        </w:rPr>
        <w:t>7</w:t>
      </w:r>
      <w:r w:rsidR="00A9653E" w:rsidRPr="00EC356F">
        <w:rPr>
          <w:rFonts w:ascii="Times New Roman" w:hAnsi="Times New Roman" w:cs="Times New Roman"/>
          <w:b/>
          <w:sz w:val="21"/>
          <w:szCs w:val="21"/>
        </w:rPr>
        <w:t xml:space="preserve"> </w:t>
      </w:r>
      <w:r w:rsidR="00A70557">
        <w:rPr>
          <w:rFonts w:ascii="Times New Roman" w:hAnsi="Times New Roman" w:cs="Times New Roman"/>
          <w:b/>
          <w:sz w:val="21"/>
          <w:szCs w:val="21"/>
        </w:rPr>
        <w:t xml:space="preserve">,which  </w:t>
      </w:r>
      <w:r w:rsidR="00567275">
        <w:rPr>
          <w:rFonts w:ascii="Times New Roman" w:hAnsi="Times New Roman" w:cs="Times New Roman"/>
          <w:b/>
          <w:sz w:val="21"/>
          <w:szCs w:val="21"/>
        </w:rPr>
        <w:t xml:space="preserve">is predicted to grow by 3.5-4.0% </w:t>
      </w:r>
      <w:r w:rsidR="00E35050">
        <w:rPr>
          <w:rFonts w:ascii="Times New Roman" w:hAnsi="Times New Roman" w:cs="Times New Roman"/>
          <w:b/>
          <w:sz w:val="21"/>
          <w:szCs w:val="21"/>
        </w:rPr>
        <w:t>in the end</w:t>
      </w:r>
      <w:r w:rsidR="00567275">
        <w:rPr>
          <w:rFonts w:ascii="Times New Roman" w:hAnsi="Times New Roman" w:cs="Times New Roman"/>
          <w:b/>
          <w:sz w:val="21"/>
          <w:szCs w:val="21"/>
        </w:rPr>
        <w:t xml:space="preserve"> of the forecast horizon. </w:t>
      </w:r>
    </w:p>
    <w:p w14:paraId="5C0329F8" w14:textId="77777777" w:rsidR="00E10481" w:rsidRDefault="005D13A6" w:rsidP="00A9653E">
      <w:pPr>
        <w:spacing w:line="360" w:lineRule="auto"/>
        <w:jc w:val="both"/>
        <w:rPr>
          <w:rFonts w:ascii="Times New Roman" w:hAnsi="Times New Roman" w:cs="Times New Roman"/>
          <w:sz w:val="21"/>
          <w:szCs w:val="21"/>
        </w:rPr>
      </w:pPr>
      <w:r>
        <w:rPr>
          <w:rFonts w:ascii="Sylfaen" w:hAnsi="Sylfaen" w:cs="Times New Roman"/>
          <w:sz w:val="21"/>
          <w:szCs w:val="21"/>
          <w:lang w:val="hy-AM"/>
        </w:rPr>
        <w:t xml:space="preserve">In the 3rd quarter </w:t>
      </w:r>
      <w:r w:rsidR="004F21B6">
        <w:rPr>
          <w:rFonts w:ascii="Times New Roman" w:hAnsi="Times New Roman" w:cs="Times New Roman"/>
          <w:sz w:val="21"/>
          <w:szCs w:val="21"/>
        </w:rPr>
        <w:t xml:space="preserve">of 2014, private spending was considerably lower from the forecasts, which was determined by </w:t>
      </w:r>
      <w:r w:rsidR="00A9653E" w:rsidRPr="00EC356F">
        <w:rPr>
          <w:rFonts w:ascii="Times New Roman" w:hAnsi="Times New Roman" w:cs="Times New Roman"/>
          <w:sz w:val="21"/>
          <w:szCs w:val="21"/>
        </w:rPr>
        <w:t xml:space="preserve">slowing remittances from Russia as well as weaker-than-expected activity in domestic economy </w:t>
      </w:r>
      <w:r w:rsidR="004F21B6">
        <w:rPr>
          <w:rFonts w:ascii="Times New Roman" w:hAnsi="Times New Roman" w:cs="Times New Roman"/>
          <w:sz w:val="21"/>
          <w:szCs w:val="21"/>
        </w:rPr>
        <w:t xml:space="preserve">on the whole. According to the Central Bank estimates, </w:t>
      </w:r>
      <w:r w:rsidR="00A9653E" w:rsidRPr="00EC356F">
        <w:rPr>
          <w:rFonts w:ascii="Times New Roman" w:hAnsi="Times New Roman" w:cs="Times New Roman"/>
          <w:sz w:val="21"/>
          <w:szCs w:val="21"/>
        </w:rPr>
        <w:t>p</w:t>
      </w:r>
      <w:r w:rsidR="006C5B6A">
        <w:rPr>
          <w:rFonts w:ascii="Times New Roman" w:hAnsi="Times New Roman" w:cs="Times New Roman"/>
          <w:sz w:val="21"/>
          <w:szCs w:val="21"/>
        </w:rPr>
        <w:t>rivate</w:t>
      </w:r>
      <w:r w:rsidR="00A9653E" w:rsidRPr="00EC356F">
        <w:rPr>
          <w:rFonts w:ascii="Times New Roman" w:hAnsi="Times New Roman" w:cs="Times New Roman"/>
          <w:sz w:val="21"/>
          <w:szCs w:val="21"/>
        </w:rPr>
        <w:t xml:space="preserve"> spending</w:t>
      </w:r>
      <w:r w:rsidR="00E10481">
        <w:rPr>
          <w:rFonts w:ascii="Times New Roman" w:hAnsi="Times New Roman" w:cs="Times New Roman"/>
          <w:sz w:val="21"/>
          <w:szCs w:val="21"/>
        </w:rPr>
        <w:t xml:space="preserve"> will keep on reducing over the second half of the year and the reduction will be an estimated 1.7% for 2014. </w:t>
      </w:r>
    </w:p>
    <w:p w14:paraId="006DF945" w14:textId="77777777" w:rsidR="00221163" w:rsidRDefault="006C5B6A" w:rsidP="00A9653E">
      <w:pPr>
        <w:spacing w:line="360" w:lineRule="auto"/>
        <w:jc w:val="both"/>
        <w:rPr>
          <w:rFonts w:ascii="Times New Roman" w:hAnsi="Times New Roman" w:cs="Times New Roman"/>
          <w:sz w:val="21"/>
          <w:szCs w:val="21"/>
        </w:rPr>
      </w:pPr>
      <w:r w:rsidRPr="006C5B6A">
        <w:rPr>
          <w:rFonts w:ascii="Times New Roman" w:hAnsi="Times New Roman" w:cs="Times New Roman"/>
          <w:sz w:val="21"/>
          <w:szCs w:val="21"/>
        </w:rPr>
        <w:t>With expansionary monetary and fiscal policies implemented during 2014 a</w:t>
      </w:r>
      <w:r w:rsidR="00DE02B0">
        <w:rPr>
          <w:rFonts w:ascii="Times New Roman" w:hAnsi="Times New Roman" w:cs="Times New Roman"/>
          <w:sz w:val="21"/>
          <w:szCs w:val="21"/>
        </w:rPr>
        <w:t xml:space="preserve">nd </w:t>
      </w:r>
      <w:r w:rsidR="00DE02B0" w:rsidRPr="006C5B6A">
        <w:rPr>
          <w:rFonts w:ascii="Times New Roman" w:hAnsi="Times New Roman" w:cs="Times New Roman"/>
          <w:sz w:val="21"/>
          <w:szCs w:val="21"/>
        </w:rPr>
        <w:t xml:space="preserve">economic growth </w:t>
      </w:r>
      <w:r w:rsidR="00DE02B0">
        <w:rPr>
          <w:rFonts w:ascii="Times New Roman" w:hAnsi="Times New Roman" w:cs="Times New Roman"/>
          <w:sz w:val="21"/>
          <w:szCs w:val="21"/>
        </w:rPr>
        <w:t>expected to speed up i</w:t>
      </w:r>
      <w:r w:rsidRPr="006C5B6A">
        <w:rPr>
          <w:rFonts w:ascii="Times New Roman" w:hAnsi="Times New Roman" w:cs="Times New Roman"/>
          <w:sz w:val="21"/>
          <w:szCs w:val="21"/>
        </w:rPr>
        <w:t>n main trade partner countries</w:t>
      </w:r>
      <w:r w:rsidR="00A9653E" w:rsidRPr="006C5B6A">
        <w:rPr>
          <w:rFonts w:ascii="Times New Roman" w:hAnsi="Times New Roman" w:cs="Times New Roman"/>
          <w:sz w:val="21"/>
          <w:szCs w:val="21"/>
        </w:rPr>
        <w:t xml:space="preserve">, </w:t>
      </w:r>
      <w:r w:rsidR="00DE02B0">
        <w:rPr>
          <w:rFonts w:ascii="Times New Roman" w:hAnsi="Times New Roman" w:cs="Times New Roman"/>
          <w:sz w:val="21"/>
          <w:szCs w:val="21"/>
        </w:rPr>
        <w:t xml:space="preserve">domestic </w:t>
      </w:r>
      <w:r w:rsidR="00A9653E" w:rsidRPr="006C5B6A">
        <w:rPr>
          <w:rFonts w:ascii="Times New Roman" w:hAnsi="Times New Roman" w:cs="Times New Roman"/>
          <w:sz w:val="21"/>
          <w:szCs w:val="21"/>
        </w:rPr>
        <w:t xml:space="preserve">private consumption </w:t>
      </w:r>
      <w:r w:rsidR="00DE02B0">
        <w:rPr>
          <w:rFonts w:ascii="Times New Roman" w:hAnsi="Times New Roman" w:cs="Times New Roman"/>
          <w:sz w:val="21"/>
          <w:szCs w:val="21"/>
        </w:rPr>
        <w:t>is predicted to bounce back gradually in the period 2015-2017</w:t>
      </w:r>
      <w:r w:rsidR="00221163">
        <w:rPr>
          <w:rFonts w:ascii="Times New Roman" w:hAnsi="Times New Roman" w:cs="Times New Roman"/>
          <w:sz w:val="21"/>
          <w:szCs w:val="21"/>
        </w:rPr>
        <w:t xml:space="preserve"> and the growth in the meantime will amount to 3.0-3.5%, alas still much lower from the growth rate outlined in former forecasts. </w:t>
      </w:r>
    </w:p>
    <w:p w14:paraId="16008E4E" w14:textId="77777777" w:rsidR="00A9653E" w:rsidRPr="00EC356F" w:rsidRDefault="000B19BE"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It should be noted that there are significant risks in the forecast horizon, which could adversely affect expected private consumption growth rates. These risks are first and foremost attributable to less-than-expected amount of remittances from Russia and overall economic activity rebounding at a slower pace. </w:t>
      </w:r>
    </w:p>
    <w:p w14:paraId="2E600FB1" w14:textId="77777777" w:rsidR="00A9653E"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2014, </w:t>
      </w:r>
      <w:r w:rsidRPr="00EC356F">
        <w:rPr>
          <w:rFonts w:ascii="Times New Roman" w:hAnsi="Times New Roman" w:cs="Times New Roman"/>
          <w:b/>
          <w:sz w:val="21"/>
          <w:szCs w:val="21"/>
        </w:rPr>
        <w:t>investment activity</w:t>
      </w:r>
      <w:r w:rsidRPr="00EC356F">
        <w:rPr>
          <w:rFonts w:ascii="Times New Roman" w:hAnsi="Times New Roman" w:cs="Times New Roman"/>
          <w:sz w:val="21"/>
          <w:szCs w:val="21"/>
        </w:rPr>
        <w:t xml:space="preserve"> in the economy was sluggish, as was anticipated, reflecting </w:t>
      </w:r>
      <w:r w:rsidR="00855201">
        <w:rPr>
          <w:rFonts w:ascii="Times New Roman" w:hAnsi="Times New Roman" w:cs="Times New Roman"/>
          <w:sz w:val="21"/>
          <w:szCs w:val="21"/>
        </w:rPr>
        <w:t xml:space="preserve">a 2.6% </w:t>
      </w:r>
      <w:r w:rsidRPr="00EC356F">
        <w:rPr>
          <w:rFonts w:ascii="Times New Roman" w:hAnsi="Times New Roman" w:cs="Times New Roman"/>
          <w:sz w:val="21"/>
          <w:szCs w:val="21"/>
        </w:rPr>
        <w:t>contract</w:t>
      </w:r>
      <w:r w:rsidR="00855201">
        <w:rPr>
          <w:rFonts w:ascii="Times New Roman" w:hAnsi="Times New Roman" w:cs="Times New Roman"/>
          <w:sz w:val="21"/>
          <w:szCs w:val="21"/>
        </w:rPr>
        <w:t xml:space="preserve">ion in </w:t>
      </w:r>
      <w:r w:rsidRPr="00EC356F">
        <w:rPr>
          <w:rFonts w:ascii="Times New Roman" w:hAnsi="Times New Roman" w:cs="Times New Roman"/>
          <w:sz w:val="21"/>
          <w:szCs w:val="21"/>
        </w:rPr>
        <w:t>output in construction in the period January-</w:t>
      </w:r>
      <w:r w:rsidR="00855201">
        <w:rPr>
          <w:rFonts w:ascii="Times New Roman" w:hAnsi="Times New Roman" w:cs="Times New Roman"/>
          <w:sz w:val="21"/>
          <w:szCs w:val="21"/>
        </w:rPr>
        <w:t>September</w:t>
      </w:r>
      <w:r w:rsidR="00FF5A09">
        <w:rPr>
          <w:rStyle w:val="FootnoteReference"/>
          <w:rFonts w:ascii="Times New Roman" w:hAnsi="Times New Roman" w:cs="Times New Roman"/>
          <w:sz w:val="21"/>
          <w:szCs w:val="21"/>
        </w:rPr>
        <w:footnoteReference w:customMarkFollows="1" w:id="5"/>
        <w:t>5</w:t>
      </w:r>
      <w:r w:rsidRPr="00EC356F">
        <w:rPr>
          <w:rFonts w:ascii="Times New Roman" w:hAnsi="Times New Roman" w:cs="Times New Roman"/>
          <w:sz w:val="21"/>
          <w:szCs w:val="21"/>
        </w:rPr>
        <w:t xml:space="preserve">. </w:t>
      </w:r>
    </w:p>
    <w:p w14:paraId="3646D7F9" w14:textId="77777777" w:rsidR="00A9653E" w:rsidRPr="00EC356F" w:rsidRDefault="00395C96"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Under these conditions, the forecasts of private investment for </w:t>
      </w:r>
      <w:r w:rsidRPr="00395C96">
        <w:rPr>
          <w:rFonts w:ascii="Times New Roman" w:hAnsi="Times New Roman" w:cs="Times New Roman"/>
          <w:b/>
          <w:sz w:val="21"/>
          <w:szCs w:val="21"/>
        </w:rPr>
        <w:t>2014-2017</w:t>
      </w:r>
      <w:r>
        <w:rPr>
          <w:rFonts w:ascii="Times New Roman" w:hAnsi="Times New Roman" w:cs="Times New Roman"/>
          <w:sz w:val="21"/>
          <w:szCs w:val="21"/>
        </w:rPr>
        <w:t xml:space="preserve"> are much the same: </w:t>
      </w:r>
      <w:r w:rsidR="00A9653E" w:rsidRPr="00EC356F">
        <w:rPr>
          <w:rFonts w:ascii="Times New Roman" w:hAnsi="Times New Roman" w:cs="Times New Roman"/>
          <w:sz w:val="21"/>
          <w:szCs w:val="21"/>
        </w:rPr>
        <w:t xml:space="preserve">private investment </w:t>
      </w:r>
      <w:r w:rsidR="00A9653E" w:rsidRPr="00EC356F">
        <w:rPr>
          <w:rFonts w:ascii="Times New Roman" w:hAnsi="Times New Roman" w:cs="Times New Roman"/>
          <w:b/>
          <w:sz w:val="21"/>
          <w:szCs w:val="21"/>
        </w:rPr>
        <w:t>in 2014</w:t>
      </w:r>
      <w:r w:rsidR="00A9653E" w:rsidRPr="00EC356F">
        <w:rPr>
          <w:rFonts w:ascii="Times New Roman" w:hAnsi="Times New Roman" w:cs="Times New Roman"/>
          <w:sz w:val="21"/>
          <w:szCs w:val="21"/>
        </w:rPr>
        <w:t xml:space="preserve"> will only post a minor growth of 1.</w:t>
      </w:r>
      <w:r>
        <w:rPr>
          <w:rFonts w:ascii="Times New Roman" w:hAnsi="Times New Roman" w:cs="Times New Roman"/>
          <w:sz w:val="21"/>
          <w:szCs w:val="21"/>
        </w:rPr>
        <w:t>4</w:t>
      </w:r>
      <w:r w:rsidR="00A9653E" w:rsidRPr="00EC356F">
        <w:rPr>
          <w:rFonts w:ascii="Times New Roman" w:hAnsi="Times New Roman" w:cs="Times New Roman"/>
          <w:sz w:val="21"/>
          <w:szCs w:val="21"/>
        </w:rPr>
        <w:t>% compared to the previous year</w:t>
      </w:r>
      <w:r>
        <w:rPr>
          <w:rFonts w:ascii="Times New Roman" w:hAnsi="Times New Roman" w:cs="Times New Roman"/>
          <w:sz w:val="21"/>
          <w:szCs w:val="21"/>
        </w:rPr>
        <w:t xml:space="preserve">, which is </w:t>
      </w:r>
      <w:r>
        <w:rPr>
          <w:rFonts w:ascii="Times New Roman" w:hAnsi="Times New Roman" w:cs="Times New Roman"/>
          <w:sz w:val="21"/>
          <w:szCs w:val="21"/>
        </w:rPr>
        <w:lastRenderedPageBreak/>
        <w:t>notably lower from the average historic indicator recorded in the Armenian economy</w:t>
      </w:r>
      <w:r w:rsidR="00A9653E" w:rsidRPr="00EC356F">
        <w:rPr>
          <w:rFonts w:ascii="Times New Roman" w:hAnsi="Times New Roman" w:cs="Times New Roman"/>
          <w:sz w:val="21"/>
          <w:szCs w:val="21"/>
        </w:rPr>
        <w:t xml:space="preserve">. </w:t>
      </w:r>
      <w:r w:rsidR="00A9653E" w:rsidRPr="00EC356F">
        <w:rPr>
          <w:rFonts w:ascii="Times New Roman" w:hAnsi="Times New Roman" w:cs="Times New Roman"/>
          <w:b/>
          <w:sz w:val="21"/>
          <w:szCs w:val="21"/>
        </w:rPr>
        <w:t>In 2015-201</w:t>
      </w:r>
      <w:r>
        <w:rPr>
          <w:rFonts w:ascii="Times New Roman" w:hAnsi="Times New Roman" w:cs="Times New Roman"/>
          <w:b/>
          <w:sz w:val="21"/>
          <w:szCs w:val="21"/>
        </w:rPr>
        <w:t>7</w:t>
      </w:r>
      <w:r>
        <w:rPr>
          <w:rFonts w:ascii="Times New Roman" w:hAnsi="Times New Roman" w:cs="Times New Roman"/>
          <w:sz w:val="21"/>
          <w:szCs w:val="21"/>
        </w:rPr>
        <w:t>,</w:t>
      </w:r>
      <w:r w:rsidR="00A9653E" w:rsidRPr="00EC356F">
        <w:rPr>
          <w:rFonts w:ascii="Times New Roman" w:hAnsi="Times New Roman" w:cs="Times New Roman"/>
          <w:sz w:val="21"/>
          <w:szCs w:val="21"/>
        </w:rPr>
        <w:t xml:space="preserve"> private investment will </w:t>
      </w:r>
      <w:r>
        <w:rPr>
          <w:rFonts w:ascii="Times New Roman" w:hAnsi="Times New Roman" w:cs="Times New Roman"/>
          <w:sz w:val="21"/>
          <w:szCs w:val="21"/>
        </w:rPr>
        <w:t>grow to some extent (by 3.-5% annually)</w:t>
      </w:r>
      <w:r w:rsidR="00A9653E" w:rsidRPr="00EC356F">
        <w:rPr>
          <w:rFonts w:ascii="Times New Roman" w:hAnsi="Times New Roman" w:cs="Times New Roman"/>
          <w:sz w:val="21"/>
          <w:szCs w:val="21"/>
        </w:rPr>
        <w:t xml:space="preserve"> as construction activity will stabilize and some private sector projects will be implemented. Note that the investment recovery process could be boosted up by gradually increasing gross national savings as a result of the launch of </w:t>
      </w:r>
      <w:r w:rsidR="009F7802">
        <w:rPr>
          <w:rFonts w:ascii="Times New Roman" w:hAnsi="Times New Roman" w:cs="Times New Roman"/>
          <w:sz w:val="21"/>
          <w:szCs w:val="21"/>
        </w:rPr>
        <w:t xml:space="preserve">the </w:t>
      </w:r>
      <w:r w:rsidR="00A9653E" w:rsidRPr="00EC356F">
        <w:rPr>
          <w:rFonts w:ascii="Times New Roman" w:hAnsi="Times New Roman" w:cs="Times New Roman"/>
          <w:sz w:val="21"/>
          <w:szCs w:val="21"/>
        </w:rPr>
        <w:t xml:space="preserve">funded pension contribution scheme. </w:t>
      </w:r>
    </w:p>
    <w:p w14:paraId="56D84568"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With the planned membership to the Eurasia </w:t>
      </w:r>
      <w:r w:rsidR="008864D9">
        <w:rPr>
          <w:rFonts w:ascii="Times New Roman" w:hAnsi="Times New Roman" w:cs="Times New Roman"/>
          <w:sz w:val="21"/>
          <w:szCs w:val="21"/>
        </w:rPr>
        <w:t>Economic Community</w:t>
      </w:r>
      <w:r w:rsidRPr="00EC356F">
        <w:rPr>
          <w:rFonts w:ascii="Times New Roman" w:hAnsi="Times New Roman" w:cs="Times New Roman"/>
          <w:sz w:val="21"/>
          <w:szCs w:val="21"/>
        </w:rPr>
        <w:t xml:space="preserve">, Armenia could see more private investment flowing into its economy for implementation of a variety of projects to be carried out </w:t>
      </w:r>
      <w:r w:rsidR="005511FF">
        <w:rPr>
          <w:rFonts w:ascii="Times New Roman" w:hAnsi="Times New Roman" w:cs="Times New Roman"/>
          <w:sz w:val="21"/>
          <w:szCs w:val="21"/>
        </w:rPr>
        <w:t xml:space="preserve">in cooperation </w:t>
      </w:r>
      <w:r w:rsidRPr="00EC356F">
        <w:rPr>
          <w:rFonts w:ascii="Times New Roman" w:hAnsi="Times New Roman" w:cs="Times New Roman"/>
          <w:sz w:val="21"/>
          <w:szCs w:val="21"/>
        </w:rPr>
        <w:t xml:space="preserve">with </w:t>
      </w:r>
      <w:r w:rsidR="008864D9">
        <w:rPr>
          <w:rFonts w:ascii="Times New Roman" w:hAnsi="Times New Roman" w:cs="Times New Roman"/>
          <w:sz w:val="21"/>
          <w:szCs w:val="21"/>
        </w:rPr>
        <w:t xml:space="preserve">EEC </w:t>
      </w:r>
      <w:r w:rsidRPr="00EC356F">
        <w:rPr>
          <w:rFonts w:ascii="Times New Roman" w:hAnsi="Times New Roman" w:cs="Times New Roman"/>
          <w:sz w:val="21"/>
          <w:szCs w:val="21"/>
        </w:rPr>
        <w:t>member</w:t>
      </w:r>
      <w:r w:rsidR="008864D9">
        <w:rPr>
          <w:rFonts w:ascii="Times New Roman" w:hAnsi="Times New Roman" w:cs="Times New Roman"/>
          <w:sz w:val="21"/>
          <w:szCs w:val="21"/>
        </w:rPr>
        <w:t xml:space="preserve"> countries</w:t>
      </w:r>
      <w:r w:rsidRPr="00EC356F">
        <w:rPr>
          <w:rFonts w:ascii="Times New Roman" w:hAnsi="Times New Roman" w:cs="Times New Roman"/>
          <w:sz w:val="21"/>
          <w:szCs w:val="21"/>
        </w:rPr>
        <w:t>.</w:t>
      </w:r>
    </w:p>
    <w:p w14:paraId="41EB9620" w14:textId="77777777" w:rsidR="003A59CE"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view of the </w:t>
      </w:r>
      <w:r w:rsidR="00F177D5">
        <w:rPr>
          <w:rFonts w:ascii="Times New Roman" w:hAnsi="Times New Roman" w:cs="Times New Roman"/>
          <w:sz w:val="21"/>
          <w:szCs w:val="21"/>
        </w:rPr>
        <w:t xml:space="preserve">aforementioned </w:t>
      </w:r>
      <w:r w:rsidRPr="00EC356F">
        <w:rPr>
          <w:rFonts w:ascii="Times New Roman" w:hAnsi="Times New Roman" w:cs="Times New Roman"/>
          <w:sz w:val="21"/>
          <w:szCs w:val="21"/>
        </w:rPr>
        <w:t xml:space="preserve">developments with private consumption and investment, in 2014 </w:t>
      </w:r>
      <w:r w:rsidR="00F177D5">
        <w:rPr>
          <w:rFonts w:ascii="Times New Roman" w:hAnsi="Times New Roman" w:cs="Times New Roman"/>
          <w:sz w:val="21"/>
          <w:szCs w:val="21"/>
        </w:rPr>
        <w:t xml:space="preserve">the private sector expenditures </w:t>
      </w:r>
      <w:r w:rsidRPr="00EC356F">
        <w:rPr>
          <w:rFonts w:ascii="Times New Roman" w:hAnsi="Times New Roman" w:cs="Times New Roman"/>
          <w:sz w:val="21"/>
          <w:szCs w:val="21"/>
        </w:rPr>
        <w:t xml:space="preserve">will </w:t>
      </w:r>
      <w:r w:rsidR="00F177D5">
        <w:rPr>
          <w:rFonts w:ascii="Times New Roman" w:hAnsi="Times New Roman" w:cs="Times New Roman"/>
          <w:sz w:val="21"/>
          <w:szCs w:val="21"/>
        </w:rPr>
        <w:t xml:space="preserve">reduce by 1.2%. </w:t>
      </w:r>
      <w:r w:rsidR="002172D8">
        <w:rPr>
          <w:rFonts w:ascii="Times New Roman" w:hAnsi="Times New Roman" w:cs="Times New Roman"/>
          <w:sz w:val="21"/>
          <w:szCs w:val="21"/>
        </w:rPr>
        <w:t>Starting from 2015, private spending will gradually recover and</w:t>
      </w:r>
      <w:r w:rsidRPr="00EC356F">
        <w:rPr>
          <w:rFonts w:ascii="Times New Roman" w:hAnsi="Times New Roman" w:cs="Times New Roman"/>
          <w:sz w:val="21"/>
          <w:szCs w:val="21"/>
        </w:rPr>
        <w:t xml:space="preserve"> in the end of </w:t>
      </w:r>
      <w:r w:rsidR="002172D8">
        <w:rPr>
          <w:rFonts w:ascii="Times New Roman" w:hAnsi="Times New Roman" w:cs="Times New Roman"/>
          <w:sz w:val="21"/>
          <w:szCs w:val="21"/>
        </w:rPr>
        <w:t xml:space="preserve">the </w:t>
      </w:r>
      <w:r w:rsidRPr="002172D8">
        <w:rPr>
          <w:rFonts w:ascii="Times New Roman" w:hAnsi="Times New Roman" w:cs="Times New Roman"/>
          <w:sz w:val="21"/>
          <w:szCs w:val="21"/>
        </w:rPr>
        <w:t>forecast horizon</w:t>
      </w:r>
      <w:r w:rsidRPr="00EC356F">
        <w:rPr>
          <w:rFonts w:ascii="Times New Roman" w:hAnsi="Times New Roman" w:cs="Times New Roman"/>
          <w:sz w:val="21"/>
          <w:szCs w:val="21"/>
        </w:rPr>
        <w:t xml:space="preserve"> will </w:t>
      </w:r>
      <w:r w:rsidR="002172D8">
        <w:rPr>
          <w:rFonts w:ascii="Times New Roman" w:hAnsi="Times New Roman" w:cs="Times New Roman"/>
          <w:sz w:val="21"/>
          <w:szCs w:val="21"/>
        </w:rPr>
        <w:t xml:space="preserve">report some 3.5-4.0% growth, which is still below the former forecasts. </w:t>
      </w:r>
    </w:p>
    <w:p w14:paraId="05EB2052" w14:textId="77777777" w:rsidR="00A9653E" w:rsidRPr="00EC356F" w:rsidRDefault="003772D1"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T</w:t>
      </w:r>
      <w:r w:rsidR="00A9653E" w:rsidRPr="003772D1">
        <w:rPr>
          <w:rFonts w:ascii="Times New Roman" w:hAnsi="Times New Roman" w:cs="Times New Roman"/>
          <w:sz w:val="21"/>
          <w:szCs w:val="21"/>
        </w:rPr>
        <w:t xml:space="preserve">he private spending gap </w:t>
      </w:r>
      <w:r>
        <w:rPr>
          <w:rFonts w:ascii="Times New Roman" w:hAnsi="Times New Roman" w:cs="Times New Roman"/>
          <w:sz w:val="21"/>
          <w:szCs w:val="21"/>
        </w:rPr>
        <w:t>in the period 2014-2015 is estimated</w:t>
      </w:r>
      <w:r w:rsidR="00031B8F">
        <w:rPr>
          <w:rFonts w:ascii="Times New Roman" w:hAnsi="Times New Roman" w:cs="Times New Roman"/>
          <w:sz w:val="21"/>
          <w:szCs w:val="21"/>
        </w:rPr>
        <w:t xml:space="preserve"> to be </w:t>
      </w:r>
      <w:r>
        <w:rPr>
          <w:rFonts w:ascii="Times New Roman" w:hAnsi="Times New Roman" w:cs="Times New Roman"/>
          <w:sz w:val="21"/>
          <w:szCs w:val="21"/>
        </w:rPr>
        <w:t xml:space="preserve"> significantly negative. However, it </w:t>
      </w:r>
      <w:r w:rsidR="00A9653E" w:rsidRPr="003772D1">
        <w:rPr>
          <w:rFonts w:ascii="Times New Roman" w:hAnsi="Times New Roman" w:cs="Times New Roman"/>
          <w:sz w:val="21"/>
          <w:szCs w:val="21"/>
        </w:rPr>
        <w:t xml:space="preserve">will </w:t>
      </w:r>
      <w:r>
        <w:rPr>
          <w:rFonts w:ascii="Times New Roman" w:hAnsi="Times New Roman" w:cs="Times New Roman"/>
          <w:sz w:val="21"/>
          <w:szCs w:val="21"/>
        </w:rPr>
        <w:t xml:space="preserve">narrow gradually </w:t>
      </w:r>
      <w:r w:rsidR="00A9653E" w:rsidRPr="003772D1">
        <w:rPr>
          <w:rFonts w:ascii="Times New Roman" w:hAnsi="Times New Roman" w:cs="Times New Roman"/>
          <w:sz w:val="21"/>
          <w:szCs w:val="21"/>
        </w:rPr>
        <w:t xml:space="preserve">and will wane out to zero </w:t>
      </w:r>
      <w:r>
        <w:rPr>
          <w:rFonts w:ascii="Times New Roman" w:hAnsi="Times New Roman" w:cs="Times New Roman"/>
          <w:sz w:val="21"/>
          <w:szCs w:val="21"/>
        </w:rPr>
        <w:t>starting from e</w:t>
      </w:r>
      <w:r w:rsidR="00A9653E" w:rsidRPr="003772D1">
        <w:rPr>
          <w:rFonts w:ascii="Times New Roman" w:hAnsi="Times New Roman" w:cs="Times New Roman"/>
          <w:sz w:val="21"/>
          <w:szCs w:val="21"/>
        </w:rPr>
        <w:t>arly 201</w:t>
      </w:r>
      <w:r>
        <w:rPr>
          <w:rFonts w:ascii="Times New Roman" w:hAnsi="Times New Roman" w:cs="Times New Roman"/>
          <w:sz w:val="21"/>
          <w:szCs w:val="21"/>
        </w:rPr>
        <w:t>6 up until 2017 as a result of expansionary monetary and fiscal policy implementation in the domestic economy and acceleration of economic growth in main trade partner countries</w:t>
      </w:r>
      <w:r w:rsidR="00A9653E" w:rsidRPr="003772D1">
        <w:rPr>
          <w:rFonts w:ascii="Times New Roman" w:hAnsi="Times New Roman" w:cs="Times New Roman"/>
          <w:sz w:val="21"/>
          <w:szCs w:val="21"/>
        </w:rPr>
        <w:t xml:space="preserve">. </w:t>
      </w:r>
    </w:p>
    <w:p w14:paraId="2843A356" w14:textId="77777777" w:rsidR="00A9653E" w:rsidRPr="00EC356F" w:rsidRDefault="009158C0"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Starting from the 4th quarter </w:t>
      </w:r>
      <w:r w:rsidR="00A9653E" w:rsidRPr="00EC356F">
        <w:rPr>
          <w:rFonts w:ascii="Times New Roman" w:hAnsi="Times New Roman" w:cs="Times New Roman"/>
          <w:sz w:val="21"/>
          <w:szCs w:val="21"/>
        </w:rPr>
        <w:t>2014</w:t>
      </w:r>
      <w:r>
        <w:rPr>
          <w:rFonts w:ascii="Times New Roman" w:hAnsi="Times New Roman" w:cs="Times New Roman"/>
          <w:sz w:val="21"/>
          <w:szCs w:val="21"/>
        </w:rPr>
        <w:t xml:space="preserve"> to the 4th quarter 2015</w:t>
      </w:r>
      <w:r w:rsidR="00A9653E" w:rsidRPr="00EC356F">
        <w:rPr>
          <w:rFonts w:ascii="Times New Roman" w:hAnsi="Times New Roman" w:cs="Times New Roman"/>
          <w:sz w:val="21"/>
          <w:szCs w:val="21"/>
        </w:rPr>
        <w:t xml:space="preserve"> therefore, the private spending will create </w:t>
      </w:r>
      <w:r w:rsidR="002F7190">
        <w:rPr>
          <w:rFonts w:ascii="Times New Roman" w:hAnsi="Times New Roman" w:cs="Times New Roman"/>
          <w:sz w:val="21"/>
          <w:szCs w:val="21"/>
        </w:rPr>
        <w:t>a</w:t>
      </w:r>
      <w:r>
        <w:rPr>
          <w:rFonts w:ascii="Times New Roman" w:hAnsi="Times New Roman" w:cs="Times New Roman"/>
          <w:sz w:val="21"/>
          <w:szCs w:val="21"/>
        </w:rPr>
        <w:t xml:space="preserve">n average </w:t>
      </w:r>
      <w:r w:rsidR="00A9653E" w:rsidRPr="00EC356F">
        <w:rPr>
          <w:rFonts w:ascii="Times New Roman" w:hAnsi="Times New Roman" w:cs="Times New Roman"/>
          <w:sz w:val="21"/>
          <w:szCs w:val="21"/>
        </w:rPr>
        <w:t>1.</w:t>
      </w:r>
      <w:r>
        <w:rPr>
          <w:rFonts w:ascii="Times New Roman" w:hAnsi="Times New Roman" w:cs="Times New Roman"/>
          <w:sz w:val="21"/>
          <w:szCs w:val="21"/>
        </w:rPr>
        <w:t>6</w:t>
      </w:r>
      <w:r w:rsidR="00A9653E" w:rsidRPr="00EC356F">
        <w:rPr>
          <w:rFonts w:ascii="Times New Roman" w:hAnsi="Times New Roman" w:cs="Times New Roman"/>
          <w:sz w:val="21"/>
          <w:szCs w:val="21"/>
        </w:rPr>
        <w:t>-1.</w:t>
      </w:r>
      <w:r>
        <w:rPr>
          <w:rFonts w:ascii="Times New Roman" w:hAnsi="Times New Roman" w:cs="Times New Roman"/>
          <w:sz w:val="21"/>
          <w:szCs w:val="21"/>
        </w:rPr>
        <w:t>7</w:t>
      </w:r>
      <w:r w:rsidR="00A9653E" w:rsidRPr="00EC356F">
        <w:rPr>
          <w:rFonts w:ascii="Times New Roman" w:hAnsi="Times New Roman" w:cs="Times New Roman"/>
          <w:sz w:val="21"/>
          <w:szCs w:val="21"/>
        </w:rPr>
        <w:t xml:space="preserve"> pp of contractionary impact on </w:t>
      </w:r>
      <w:r w:rsidR="002F7190">
        <w:rPr>
          <w:rFonts w:ascii="Times New Roman" w:hAnsi="Times New Roman" w:cs="Times New Roman"/>
          <w:sz w:val="21"/>
          <w:szCs w:val="21"/>
        </w:rPr>
        <w:t xml:space="preserve">the </w:t>
      </w:r>
      <w:r w:rsidR="00A9653E" w:rsidRPr="00EC356F">
        <w:rPr>
          <w:rFonts w:ascii="Times New Roman" w:hAnsi="Times New Roman" w:cs="Times New Roman"/>
          <w:sz w:val="21"/>
          <w:szCs w:val="21"/>
        </w:rPr>
        <w:t xml:space="preserve">inflation. </w:t>
      </w:r>
      <w:r w:rsidR="002F7190">
        <w:rPr>
          <w:rFonts w:ascii="Times New Roman" w:hAnsi="Times New Roman" w:cs="Times New Roman"/>
          <w:sz w:val="21"/>
          <w:szCs w:val="21"/>
        </w:rPr>
        <w:t>In the period 2016-2017,</w:t>
      </w:r>
      <w:r w:rsidR="00A9653E" w:rsidRPr="00EC356F">
        <w:rPr>
          <w:rFonts w:ascii="Times New Roman" w:hAnsi="Times New Roman" w:cs="Times New Roman"/>
          <w:sz w:val="21"/>
          <w:szCs w:val="21"/>
        </w:rPr>
        <w:t xml:space="preserve"> the private spending </w:t>
      </w:r>
      <w:r w:rsidR="002F7190">
        <w:rPr>
          <w:rFonts w:ascii="Times New Roman" w:hAnsi="Times New Roman" w:cs="Times New Roman"/>
          <w:sz w:val="21"/>
          <w:szCs w:val="21"/>
        </w:rPr>
        <w:t>will leave no considerable impact on the inflation</w:t>
      </w:r>
      <w:r w:rsidR="00A9653E" w:rsidRPr="00EC356F">
        <w:rPr>
          <w:rFonts w:ascii="Times New Roman" w:hAnsi="Times New Roman" w:cs="Times New Roman"/>
          <w:sz w:val="21"/>
          <w:szCs w:val="21"/>
        </w:rPr>
        <w:t xml:space="preserve">. </w:t>
      </w:r>
    </w:p>
    <w:p w14:paraId="45DDE0E6" w14:textId="5C974BD1" w:rsidR="00A9653E" w:rsidRPr="00EC356F" w:rsidRDefault="00FB7E77"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 xml:space="preserve">In view of </w:t>
      </w:r>
      <w:r w:rsidR="00D63E29">
        <w:rPr>
          <w:rFonts w:ascii="Times New Roman" w:hAnsi="Times New Roman" w:cs="Times New Roman"/>
          <w:bCs/>
          <w:iCs/>
          <w:sz w:val="21"/>
          <w:szCs w:val="21"/>
        </w:rPr>
        <w:t>uneven</w:t>
      </w:r>
      <w:r>
        <w:rPr>
          <w:rFonts w:ascii="Times New Roman" w:hAnsi="Times New Roman" w:cs="Times New Roman"/>
          <w:bCs/>
          <w:iCs/>
          <w:sz w:val="21"/>
          <w:szCs w:val="21"/>
        </w:rPr>
        <w:t xml:space="preserve"> recovery of the global economy and expected developments in the domestic economy, the deficit of current account will reduce in the 4th quarter against the 4th quarter last year. </w:t>
      </w:r>
      <w:r w:rsidR="004B78E9">
        <w:rPr>
          <w:rFonts w:ascii="Times New Roman" w:hAnsi="Times New Roman" w:cs="Times New Roman"/>
          <w:bCs/>
          <w:iCs/>
          <w:sz w:val="21"/>
          <w:szCs w:val="21"/>
        </w:rPr>
        <w:t>It is estimated that at the end of 2014 the growth of export and import of goods a</w:t>
      </w:r>
      <w:r w:rsidR="00027CEC">
        <w:rPr>
          <w:rFonts w:ascii="Times New Roman" w:hAnsi="Times New Roman" w:cs="Times New Roman"/>
          <w:bCs/>
          <w:iCs/>
          <w:sz w:val="21"/>
          <w:szCs w:val="21"/>
        </w:rPr>
        <w:t>n</w:t>
      </w:r>
      <w:r w:rsidR="004B78E9">
        <w:rPr>
          <w:rFonts w:ascii="Times New Roman" w:hAnsi="Times New Roman" w:cs="Times New Roman"/>
          <w:bCs/>
          <w:iCs/>
          <w:sz w:val="21"/>
          <w:szCs w:val="21"/>
        </w:rPr>
        <w:t xml:space="preserve">d services in real terms </w:t>
      </w:r>
      <w:r w:rsidR="00027CEC">
        <w:rPr>
          <w:rFonts w:ascii="Times New Roman" w:hAnsi="Times New Roman" w:cs="Times New Roman"/>
          <w:bCs/>
          <w:iCs/>
          <w:sz w:val="21"/>
          <w:szCs w:val="21"/>
        </w:rPr>
        <w:t xml:space="preserve">will stabilize around 6% whereas remittances of individuals will reduce by roughly 3%. </w:t>
      </w:r>
      <w:r w:rsidR="00A805EE">
        <w:rPr>
          <w:rFonts w:ascii="Times New Roman" w:hAnsi="Times New Roman" w:cs="Times New Roman"/>
          <w:bCs/>
          <w:iCs/>
          <w:sz w:val="21"/>
          <w:szCs w:val="21"/>
        </w:rPr>
        <w:t xml:space="preserve">On the back of such developments, </w:t>
      </w:r>
      <w:r w:rsidR="00A9653E" w:rsidRPr="00EC356F">
        <w:rPr>
          <w:rFonts w:ascii="Times New Roman" w:hAnsi="Times New Roman" w:cs="Times New Roman"/>
          <w:bCs/>
          <w:iCs/>
          <w:sz w:val="21"/>
          <w:szCs w:val="21"/>
        </w:rPr>
        <w:t xml:space="preserve">the Current Account Deficit / GDP ratio will </w:t>
      </w:r>
      <w:r w:rsidR="00A805EE">
        <w:rPr>
          <w:rFonts w:ascii="Times New Roman" w:hAnsi="Times New Roman" w:cs="Times New Roman"/>
          <w:bCs/>
          <w:iCs/>
          <w:sz w:val="21"/>
          <w:szCs w:val="21"/>
        </w:rPr>
        <w:t>be around an estimated 10</w:t>
      </w:r>
      <w:r w:rsidR="00512D41">
        <w:rPr>
          <w:rFonts w:ascii="Times New Roman" w:hAnsi="Times New Roman" w:cs="Times New Roman"/>
          <w:bCs/>
          <w:iCs/>
          <w:sz w:val="21"/>
          <w:szCs w:val="21"/>
        </w:rPr>
        <w:t>.0</w:t>
      </w:r>
      <w:r w:rsidR="00A805EE">
        <w:rPr>
          <w:rFonts w:ascii="Times New Roman" w:hAnsi="Times New Roman" w:cs="Times New Roman"/>
          <w:bCs/>
          <w:iCs/>
          <w:sz w:val="21"/>
          <w:szCs w:val="21"/>
        </w:rPr>
        <w:t>%</w:t>
      </w:r>
      <w:r w:rsidR="00512D41">
        <w:rPr>
          <w:rStyle w:val="FootnoteReference"/>
          <w:rFonts w:ascii="Times New Roman" w:hAnsi="Times New Roman" w:cs="Times New Roman"/>
          <w:bCs/>
          <w:iCs/>
          <w:sz w:val="21"/>
          <w:szCs w:val="21"/>
        </w:rPr>
        <w:footnoteReference w:customMarkFollows="1" w:id="6"/>
        <w:t>6</w:t>
      </w:r>
      <w:r w:rsidR="00A805EE">
        <w:rPr>
          <w:rFonts w:ascii="Times New Roman" w:hAnsi="Times New Roman" w:cs="Times New Roman"/>
          <w:bCs/>
          <w:iCs/>
          <w:sz w:val="21"/>
          <w:szCs w:val="21"/>
        </w:rPr>
        <w:t xml:space="preserve"> against the previous year’s 8</w:t>
      </w:r>
      <w:r w:rsidR="00512D41">
        <w:rPr>
          <w:rFonts w:ascii="Times New Roman" w:hAnsi="Times New Roman" w:cs="Times New Roman"/>
          <w:bCs/>
          <w:iCs/>
          <w:sz w:val="21"/>
          <w:szCs w:val="21"/>
        </w:rPr>
        <w:t>.0</w:t>
      </w:r>
      <w:r w:rsidR="00A805EE">
        <w:rPr>
          <w:rFonts w:ascii="Times New Roman" w:hAnsi="Times New Roman" w:cs="Times New Roman"/>
          <w:bCs/>
          <w:iCs/>
          <w:sz w:val="21"/>
          <w:szCs w:val="21"/>
        </w:rPr>
        <w:t xml:space="preserve">%. </w:t>
      </w:r>
    </w:p>
    <w:p w14:paraId="6C09BC68" w14:textId="77777777" w:rsidR="00F3141C" w:rsidRDefault="00CA112C"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T</w:t>
      </w:r>
      <w:r w:rsidRPr="00EC356F">
        <w:rPr>
          <w:rFonts w:ascii="Times New Roman" w:hAnsi="Times New Roman" w:cs="Times New Roman"/>
          <w:bCs/>
          <w:iCs/>
          <w:sz w:val="21"/>
          <w:szCs w:val="21"/>
        </w:rPr>
        <w:t xml:space="preserve">he Current Account Deficit / GDP ratio </w:t>
      </w:r>
      <w:r w:rsidR="00302F5B">
        <w:rPr>
          <w:rFonts w:ascii="Times New Roman" w:hAnsi="Times New Roman" w:cs="Times New Roman"/>
          <w:bCs/>
          <w:iCs/>
          <w:sz w:val="21"/>
          <w:szCs w:val="21"/>
        </w:rPr>
        <w:t xml:space="preserve">will reduce in 2015 as global economy grows and domestic economic activity bounces back. The growth of export in real terms is predicted to be faster over the growth of import in real terms. </w:t>
      </w:r>
      <w:r w:rsidR="00532517">
        <w:rPr>
          <w:rFonts w:ascii="Times New Roman" w:hAnsi="Times New Roman" w:cs="Times New Roman"/>
          <w:bCs/>
          <w:iCs/>
          <w:sz w:val="21"/>
          <w:szCs w:val="21"/>
        </w:rPr>
        <w:t xml:space="preserve">The export growth will be fuelled primarily by increased volumes of export of goods of processing industry </w:t>
      </w:r>
      <w:r w:rsidR="009E710A">
        <w:rPr>
          <w:rFonts w:ascii="Times New Roman" w:hAnsi="Times New Roman" w:cs="Times New Roman"/>
          <w:bCs/>
          <w:iCs/>
          <w:sz w:val="21"/>
          <w:szCs w:val="21"/>
        </w:rPr>
        <w:t xml:space="preserve">and agricultural products. </w:t>
      </w:r>
      <w:r w:rsidR="00450547" w:rsidRPr="00EC356F">
        <w:rPr>
          <w:rFonts w:ascii="Times New Roman" w:hAnsi="Times New Roman" w:cs="Times New Roman"/>
          <w:bCs/>
          <w:iCs/>
          <w:sz w:val="21"/>
          <w:szCs w:val="21"/>
        </w:rPr>
        <w:t>As a result, in 201</w:t>
      </w:r>
      <w:r w:rsidR="00450547">
        <w:rPr>
          <w:rFonts w:ascii="Times New Roman" w:hAnsi="Times New Roman" w:cs="Times New Roman"/>
          <w:bCs/>
          <w:iCs/>
          <w:sz w:val="21"/>
          <w:szCs w:val="21"/>
        </w:rPr>
        <w:t>5</w:t>
      </w:r>
      <w:r w:rsidR="00450547" w:rsidRPr="00EC356F">
        <w:rPr>
          <w:rFonts w:ascii="Times New Roman" w:hAnsi="Times New Roman" w:cs="Times New Roman"/>
          <w:bCs/>
          <w:iCs/>
          <w:sz w:val="21"/>
          <w:szCs w:val="21"/>
        </w:rPr>
        <w:t xml:space="preserve"> the real </w:t>
      </w:r>
      <w:r w:rsidR="00450547">
        <w:rPr>
          <w:rFonts w:ascii="Times New Roman" w:hAnsi="Times New Roman" w:cs="Times New Roman"/>
          <w:bCs/>
          <w:iCs/>
          <w:sz w:val="21"/>
          <w:szCs w:val="21"/>
        </w:rPr>
        <w:t xml:space="preserve">growth </w:t>
      </w:r>
      <w:r w:rsidR="00450547">
        <w:rPr>
          <w:rFonts w:ascii="Times New Roman" w:hAnsi="Times New Roman" w:cs="Times New Roman"/>
          <w:bCs/>
          <w:iCs/>
          <w:sz w:val="21"/>
          <w:szCs w:val="21"/>
        </w:rPr>
        <w:lastRenderedPageBreak/>
        <w:t xml:space="preserve">of </w:t>
      </w:r>
      <w:r w:rsidR="00450547" w:rsidRPr="00EC356F">
        <w:rPr>
          <w:rFonts w:ascii="Times New Roman" w:hAnsi="Times New Roman" w:cs="Times New Roman"/>
          <w:bCs/>
          <w:iCs/>
          <w:sz w:val="21"/>
          <w:szCs w:val="21"/>
        </w:rPr>
        <w:t xml:space="preserve">export of goods and services will be in the range </w:t>
      </w:r>
      <w:r w:rsidR="00450547">
        <w:rPr>
          <w:rFonts w:ascii="Times New Roman" w:hAnsi="Times New Roman" w:cs="Times New Roman"/>
          <w:bCs/>
          <w:iCs/>
          <w:sz w:val="21"/>
          <w:szCs w:val="21"/>
        </w:rPr>
        <w:t>7</w:t>
      </w:r>
      <w:r w:rsidR="00450547" w:rsidRPr="00EC356F">
        <w:rPr>
          <w:rFonts w:ascii="Times New Roman" w:hAnsi="Times New Roman" w:cs="Times New Roman"/>
          <w:bCs/>
          <w:iCs/>
          <w:sz w:val="21"/>
          <w:szCs w:val="21"/>
        </w:rPr>
        <w:t>.0-</w:t>
      </w:r>
      <w:r w:rsidR="00450547">
        <w:rPr>
          <w:rFonts w:ascii="Times New Roman" w:hAnsi="Times New Roman" w:cs="Times New Roman"/>
          <w:bCs/>
          <w:iCs/>
          <w:sz w:val="21"/>
          <w:szCs w:val="21"/>
        </w:rPr>
        <w:t>9</w:t>
      </w:r>
      <w:r w:rsidR="00F3141C">
        <w:rPr>
          <w:rFonts w:ascii="Times New Roman" w:hAnsi="Times New Roman" w:cs="Times New Roman"/>
          <w:bCs/>
          <w:iCs/>
          <w:sz w:val="21"/>
          <w:szCs w:val="21"/>
        </w:rPr>
        <w:t xml:space="preserve">.0% and </w:t>
      </w:r>
      <w:r w:rsidR="00F3141C" w:rsidRPr="00EC356F">
        <w:rPr>
          <w:rFonts w:ascii="Times New Roman" w:hAnsi="Times New Roman" w:cs="Times New Roman"/>
          <w:bCs/>
          <w:iCs/>
          <w:sz w:val="21"/>
          <w:szCs w:val="21"/>
        </w:rPr>
        <w:t xml:space="preserve">the real </w:t>
      </w:r>
      <w:r w:rsidR="00F3141C">
        <w:rPr>
          <w:rFonts w:ascii="Times New Roman" w:hAnsi="Times New Roman" w:cs="Times New Roman"/>
          <w:bCs/>
          <w:iCs/>
          <w:sz w:val="21"/>
          <w:szCs w:val="21"/>
        </w:rPr>
        <w:t>growth of im</w:t>
      </w:r>
      <w:r w:rsidR="00F3141C" w:rsidRPr="00EC356F">
        <w:rPr>
          <w:rFonts w:ascii="Times New Roman" w:hAnsi="Times New Roman" w:cs="Times New Roman"/>
          <w:bCs/>
          <w:iCs/>
          <w:sz w:val="21"/>
          <w:szCs w:val="21"/>
        </w:rPr>
        <w:t xml:space="preserve">port of goods and services will </w:t>
      </w:r>
      <w:r w:rsidR="00F3141C">
        <w:rPr>
          <w:rFonts w:ascii="Times New Roman" w:hAnsi="Times New Roman" w:cs="Times New Roman"/>
          <w:bCs/>
          <w:iCs/>
          <w:sz w:val="21"/>
          <w:szCs w:val="21"/>
        </w:rPr>
        <w:t xml:space="preserve">slow down to some extent to 2.5-4.5%. </w:t>
      </w:r>
    </w:p>
    <w:p w14:paraId="4C8DCE5A" w14:textId="77777777" w:rsidR="008F0F4E" w:rsidRDefault="008F0F4E"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 xml:space="preserve">In consideration of the 2015 developments in the Russian economy, including base effects of the ruble’s depreciation in the second half of 2014, it is predicted that the dollar value of remittances of individuals will persist at the previous year’s level. </w:t>
      </w:r>
    </w:p>
    <w:p w14:paraId="7732342D" w14:textId="77777777" w:rsidR="008F0F4E" w:rsidRDefault="008F0F4E"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 xml:space="preserve">The aforementioned adjustments </w:t>
      </w:r>
      <w:r w:rsidR="001A38D7">
        <w:rPr>
          <w:rFonts w:ascii="Times New Roman" w:hAnsi="Times New Roman" w:cs="Times New Roman"/>
          <w:bCs/>
          <w:iCs/>
          <w:sz w:val="21"/>
          <w:szCs w:val="21"/>
        </w:rPr>
        <w:t>will drive the</w:t>
      </w:r>
      <w:r w:rsidR="001A38D7" w:rsidRPr="00EC356F">
        <w:rPr>
          <w:rFonts w:ascii="Times New Roman" w:hAnsi="Times New Roman" w:cs="Times New Roman"/>
          <w:bCs/>
          <w:iCs/>
          <w:sz w:val="21"/>
          <w:szCs w:val="21"/>
        </w:rPr>
        <w:t xml:space="preserve"> Current Account Deficit / GDP ratio </w:t>
      </w:r>
      <w:r w:rsidR="001A38D7">
        <w:rPr>
          <w:rFonts w:ascii="Times New Roman" w:hAnsi="Times New Roman" w:cs="Times New Roman"/>
          <w:bCs/>
          <w:iCs/>
          <w:sz w:val="21"/>
          <w:szCs w:val="21"/>
        </w:rPr>
        <w:t xml:space="preserve">to decrease to </w:t>
      </w:r>
      <w:r w:rsidR="00184F55">
        <w:rPr>
          <w:rFonts w:ascii="Times New Roman" w:hAnsi="Times New Roman" w:cs="Times New Roman"/>
          <w:bCs/>
          <w:iCs/>
          <w:sz w:val="21"/>
          <w:szCs w:val="21"/>
        </w:rPr>
        <w:t xml:space="preserve">the range </w:t>
      </w:r>
      <w:r w:rsidR="001A38D7">
        <w:rPr>
          <w:rFonts w:ascii="Times New Roman" w:hAnsi="Times New Roman" w:cs="Times New Roman"/>
          <w:bCs/>
          <w:iCs/>
          <w:sz w:val="21"/>
          <w:szCs w:val="21"/>
        </w:rPr>
        <w:t xml:space="preserve">7.0-8.0% in 2015. </w:t>
      </w:r>
    </w:p>
    <w:p w14:paraId="5C088840" w14:textId="77777777" w:rsidR="008F0F4E" w:rsidRDefault="0066260D"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The current account will keep on improving in the medium-term perspective as</w:t>
      </w:r>
      <w:r w:rsidRPr="0066260D">
        <w:rPr>
          <w:rFonts w:ascii="Times New Roman" w:hAnsi="Times New Roman" w:cs="Times New Roman"/>
          <w:bCs/>
          <w:iCs/>
          <w:sz w:val="21"/>
          <w:szCs w:val="21"/>
        </w:rPr>
        <w:t xml:space="preserve"> </w:t>
      </w:r>
      <w:r>
        <w:rPr>
          <w:rFonts w:ascii="Times New Roman" w:hAnsi="Times New Roman" w:cs="Times New Roman"/>
          <w:bCs/>
          <w:iCs/>
          <w:sz w:val="21"/>
          <w:szCs w:val="21"/>
        </w:rPr>
        <w:t>the</w:t>
      </w:r>
      <w:r w:rsidRPr="00EC356F">
        <w:rPr>
          <w:rFonts w:ascii="Times New Roman" w:hAnsi="Times New Roman" w:cs="Times New Roman"/>
          <w:bCs/>
          <w:iCs/>
          <w:sz w:val="21"/>
          <w:szCs w:val="21"/>
        </w:rPr>
        <w:t xml:space="preserve"> Current Account Deficit / GDP ratio</w:t>
      </w:r>
      <w:r>
        <w:rPr>
          <w:rFonts w:ascii="Times New Roman" w:hAnsi="Times New Roman" w:cs="Times New Roman"/>
          <w:bCs/>
          <w:iCs/>
          <w:sz w:val="21"/>
          <w:szCs w:val="21"/>
        </w:rPr>
        <w:t xml:space="preserve"> will reduce to 5.0-6.0%. </w:t>
      </w:r>
    </w:p>
    <w:p w14:paraId="4E5FDA4A" w14:textId="77777777" w:rsidR="00A9653E" w:rsidRPr="00EC356F" w:rsidRDefault="00A9653E"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 xml:space="preserve">In view of </w:t>
      </w:r>
      <w:r w:rsidRPr="00EC356F">
        <w:rPr>
          <w:rFonts w:ascii="Times New Roman" w:hAnsi="Times New Roman" w:cs="Times New Roman"/>
          <w:b/>
          <w:bCs/>
          <w:iCs/>
          <w:sz w:val="21"/>
          <w:szCs w:val="21"/>
        </w:rPr>
        <w:t>State Budget</w:t>
      </w:r>
      <w:r w:rsidRPr="00EC356F">
        <w:rPr>
          <w:rFonts w:ascii="Times New Roman" w:hAnsi="Times New Roman" w:cs="Times New Roman"/>
          <w:bCs/>
          <w:iCs/>
          <w:sz w:val="21"/>
          <w:szCs w:val="21"/>
        </w:rPr>
        <w:t xml:space="preserve"> performance</w:t>
      </w:r>
      <w:r w:rsidR="00C061E1">
        <w:rPr>
          <w:rFonts w:ascii="Times New Roman" w:hAnsi="Times New Roman" w:cs="Times New Roman"/>
          <w:bCs/>
          <w:iCs/>
          <w:sz w:val="21"/>
          <w:szCs w:val="21"/>
        </w:rPr>
        <w:t xml:space="preserve"> for the last 9 months of 2014</w:t>
      </w:r>
      <w:r w:rsidRPr="00EC356F">
        <w:rPr>
          <w:rFonts w:ascii="Times New Roman" w:hAnsi="Times New Roman" w:cs="Times New Roman"/>
          <w:bCs/>
          <w:iCs/>
          <w:sz w:val="21"/>
          <w:szCs w:val="21"/>
        </w:rPr>
        <w:t xml:space="preserve">, which </w:t>
      </w:r>
      <w:r w:rsidR="00C061E1">
        <w:rPr>
          <w:rFonts w:ascii="Times New Roman" w:hAnsi="Times New Roman" w:cs="Times New Roman"/>
          <w:bCs/>
          <w:iCs/>
          <w:sz w:val="21"/>
          <w:szCs w:val="21"/>
        </w:rPr>
        <w:t xml:space="preserve">reported </w:t>
      </w:r>
      <w:r w:rsidRPr="00EC356F">
        <w:rPr>
          <w:rFonts w:ascii="Times New Roman" w:hAnsi="Times New Roman" w:cs="Times New Roman"/>
          <w:bCs/>
          <w:iCs/>
          <w:sz w:val="21"/>
          <w:szCs w:val="21"/>
        </w:rPr>
        <w:t>revenue</w:t>
      </w:r>
      <w:r w:rsidR="00C061E1">
        <w:rPr>
          <w:rFonts w:ascii="Times New Roman" w:hAnsi="Times New Roman" w:cs="Times New Roman"/>
          <w:bCs/>
          <w:iCs/>
          <w:sz w:val="21"/>
          <w:szCs w:val="21"/>
        </w:rPr>
        <w:t>s</w:t>
      </w:r>
      <w:r w:rsidRPr="00EC356F">
        <w:rPr>
          <w:rFonts w:ascii="Times New Roman" w:hAnsi="Times New Roman" w:cs="Times New Roman"/>
          <w:bCs/>
          <w:iCs/>
          <w:sz w:val="21"/>
          <w:szCs w:val="21"/>
        </w:rPr>
        <w:t xml:space="preserve"> underperformed against the quarterly projections and some expenditure savings (see Section “Actual fiscal policy developments”), the annual plan was adjusted to provide for savings </w:t>
      </w:r>
      <w:r w:rsidR="005000AE">
        <w:rPr>
          <w:rFonts w:ascii="Times New Roman" w:hAnsi="Times New Roman" w:cs="Times New Roman"/>
          <w:bCs/>
          <w:iCs/>
          <w:sz w:val="21"/>
          <w:szCs w:val="21"/>
        </w:rPr>
        <w:t xml:space="preserve">of nearly </w:t>
      </w:r>
      <w:r w:rsidR="00C061E1">
        <w:rPr>
          <w:rFonts w:ascii="Times New Roman" w:hAnsi="Times New Roman" w:cs="Times New Roman"/>
          <w:bCs/>
          <w:iCs/>
          <w:sz w:val="21"/>
          <w:szCs w:val="21"/>
        </w:rPr>
        <w:t>5</w:t>
      </w:r>
      <w:r w:rsidRPr="00EC356F">
        <w:rPr>
          <w:rFonts w:ascii="Times New Roman" w:hAnsi="Times New Roman" w:cs="Times New Roman"/>
          <w:bCs/>
          <w:iCs/>
          <w:sz w:val="21"/>
          <w:szCs w:val="21"/>
        </w:rPr>
        <w:t>.</w:t>
      </w:r>
      <w:r w:rsidR="00C061E1">
        <w:rPr>
          <w:rFonts w:ascii="Times New Roman" w:hAnsi="Times New Roman" w:cs="Times New Roman"/>
          <w:bCs/>
          <w:iCs/>
          <w:sz w:val="21"/>
          <w:szCs w:val="21"/>
        </w:rPr>
        <w:t>2</w:t>
      </w:r>
      <w:r w:rsidRPr="00EC356F">
        <w:rPr>
          <w:rFonts w:ascii="Times New Roman" w:hAnsi="Times New Roman" w:cs="Times New Roman"/>
          <w:bCs/>
          <w:iCs/>
          <w:sz w:val="21"/>
          <w:szCs w:val="21"/>
        </w:rPr>
        <w:t>%</w:t>
      </w:r>
      <w:r w:rsidR="005000AE">
        <w:rPr>
          <w:rStyle w:val="FootnoteReference"/>
          <w:rFonts w:ascii="Times New Roman" w:hAnsi="Times New Roman" w:cs="Times New Roman"/>
          <w:bCs/>
          <w:iCs/>
          <w:sz w:val="21"/>
          <w:szCs w:val="21"/>
        </w:rPr>
        <w:footnoteReference w:customMarkFollows="1" w:id="7"/>
        <w:t>7</w:t>
      </w:r>
      <w:r w:rsidRPr="00EC356F">
        <w:rPr>
          <w:rFonts w:ascii="Times New Roman" w:hAnsi="Times New Roman" w:cs="Times New Roman"/>
          <w:bCs/>
          <w:iCs/>
          <w:sz w:val="21"/>
          <w:szCs w:val="21"/>
        </w:rPr>
        <w:t xml:space="preserve"> of </w:t>
      </w:r>
      <w:r w:rsidRPr="005D5D42">
        <w:rPr>
          <w:rFonts w:ascii="Times New Roman" w:hAnsi="Times New Roman" w:cs="Times New Roman"/>
          <w:bCs/>
          <w:iCs/>
          <w:sz w:val="21"/>
          <w:szCs w:val="21"/>
        </w:rPr>
        <w:t>annual public expenditures</w:t>
      </w:r>
      <w:r w:rsidR="00C061E1" w:rsidRPr="005D5D42">
        <w:rPr>
          <w:rFonts w:ascii="Times New Roman" w:hAnsi="Times New Roman" w:cs="Times New Roman"/>
          <w:bCs/>
          <w:iCs/>
          <w:sz w:val="21"/>
          <w:szCs w:val="21"/>
        </w:rPr>
        <w:t xml:space="preserve"> and underperformed revenues </w:t>
      </w:r>
      <w:r w:rsidR="002041E9" w:rsidRPr="005D5D42">
        <w:rPr>
          <w:rFonts w:ascii="Times New Roman" w:hAnsi="Times New Roman" w:cs="Times New Roman"/>
          <w:bCs/>
          <w:iCs/>
          <w:sz w:val="21"/>
          <w:szCs w:val="21"/>
        </w:rPr>
        <w:t>to the extent of 2.8%</w:t>
      </w:r>
      <w:r w:rsidR="00EF280C">
        <w:rPr>
          <w:rFonts w:ascii="Times New Roman" w:hAnsi="Times New Roman" w:cs="Times New Roman"/>
          <w:bCs/>
          <w:iCs/>
          <w:sz w:val="21"/>
          <w:szCs w:val="21"/>
        </w:rPr>
        <w:t xml:space="preserve"> </w:t>
      </w:r>
      <w:r w:rsidR="00EF280C">
        <w:rPr>
          <w:rFonts w:ascii="Sylfaen" w:hAnsi="Sylfaen" w:cs="Times New Roman"/>
          <w:bCs/>
          <w:iCs/>
          <w:sz w:val="21"/>
          <w:szCs w:val="21"/>
        </w:rPr>
        <w:t>of annual plan</w:t>
      </w:r>
      <w:r w:rsidRPr="005D5D42">
        <w:rPr>
          <w:rFonts w:ascii="Times New Roman" w:hAnsi="Times New Roman" w:cs="Times New Roman"/>
          <w:bCs/>
          <w:iCs/>
          <w:sz w:val="21"/>
          <w:szCs w:val="21"/>
        </w:rPr>
        <w:t>. In 2014, the Tax/GDP ratio is expected to have a 0.</w:t>
      </w:r>
      <w:r w:rsidR="005D5D42">
        <w:rPr>
          <w:rFonts w:ascii="Times New Roman" w:hAnsi="Times New Roman" w:cs="Times New Roman"/>
          <w:bCs/>
          <w:iCs/>
          <w:sz w:val="21"/>
          <w:szCs w:val="21"/>
        </w:rPr>
        <w:t>4</w:t>
      </w:r>
      <w:r w:rsidRPr="005D5D42">
        <w:rPr>
          <w:rFonts w:ascii="Times New Roman" w:hAnsi="Times New Roman" w:cs="Times New Roman"/>
          <w:bCs/>
          <w:iCs/>
          <w:sz w:val="21"/>
          <w:szCs w:val="21"/>
        </w:rPr>
        <w:t xml:space="preserve">% </w:t>
      </w:r>
      <w:r w:rsidR="005D5D42">
        <w:rPr>
          <w:rFonts w:ascii="Times New Roman" w:hAnsi="Times New Roman" w:cs="Times New Roman"/>
          <w:bCs/>
          <w:iCs/>
          <w:sz w:val="21"/>
          <w:szCs w:val="21"/>
        </w:rPr>
        <w:t>increase</w:t>
      </w:r>
      <w:r w:rsidRPr="005D5D42">
        <w:rPr>
          <w:rFonts w:ascii="Times New Roman" w:hAnsi="Times New Roman" w:cs="Times New Roman"/>
          <w:bCs/>
          <w:iCs/>
          <w:sz w:val="21"/>
          <w:szCs w:val="21"/>
        </w:rPr>
        <w:t xml:space="preserve"> and the Expenditures/GDP ratio to post </w:t>
      </w:r>
      <w:r w:rsidR="005D5D42">
        <w:rPr>
          <w:rFonts w:ascii="Times New Roman" w:hAnsi="Times New Roman" w:cs="Times New Roman"/>
          <w:bCs/>
          <w:iCs/>
          <w:sz w:val="21"/>
          <w:szCs w:val="21"/>
        </w:rPr>
        <w:t xml:space="preserve">about </w:t>
      </w:r>
      <w:r w:rsidRPr="005D5D42">
        <w:rPr>
          <w:rFonts w:ascii="Times New Roman" w:hAnsi="Times New Roman" w:cs="Times New Roman"/>
          <w:bCs/>
          <w:iCs/>
          <w:sz w:val="21"/>
          <w:szCs w:val="21"/>
        </w:rPr>
        <w:t xml:space="preserve">a </w:t>
      </w:r>
      <w:r w:rsidR="005D5D42">
        <w:rPr>
          <w:rFonts w:ascii="Times New Roman" w:hAnsi="Times New Roman" w:cs="Times New Roman"/>
          <w:bCs/>
          <w:iCs/>
          <w:sz w:val="21"/>
          <w:szCs w:val="21"/>
        </w:rPr>
        <w:t>1</w:t>
      </w:r>
      <w:r w:rsidRPr="005D5D42">
        <w:rPr>
          <w:rFonts w:ascii="Times New Roman" w:hAnsi="Times New Roman" w:cs="Times New Roman"/>
          <w:bCs/>
          <w:iCs/>
          <w:sz w:val="21"/>
          <w:szCs w:val="21"/>
        </w:rPr>
        <w:t>.</w:t>
      </w:r>
      <w:r w:rsidR="005D5D42">
        <w:rPr>
          <w:rFonts w:ascii="Times New Roman" w:hAnsi="Times New Roman" w:cs="Times New Roman"/>
          <w:bCs/>
          <w:iCs/>
          <w:sz w:val="21"/>
          <w:szCs w:val="21"/>
        </w:rPr>
        <w:t>7</w:t>
      </w:r>
      <w:r w:rsidR="005000AE">
        <w:rPr>
          <w:rFonts w:ascii="Times New Roman" w:hAnsi="Times New Roman" w:cs="Times New Roman"/>
          <w:bCs/>
          <w:iCs/>
          <w:sz w:val="21"/>
          <w:szCs w:val="21"/>
        </w:rPr>
        <w:t xml:space="preserve"> pp </w:t>
      </w:r>
      <w:r w:rsidRPr="005D5D42">
        <w:rPr>
          <w:rFonts w:ascii="Times New Roman" w:hAnsi="Times New Roman" w:cs="Times New Roman"/>
          <w:bCs/>
          <w:iCs/>
          <w:sz w:val="21"/>
          <w:szCs w:val="21"/>
        </w:rPr>
        <w:t>increase</w:t>
      </w:r>
      <w:r w:rsidR="005000AE">
        <w:rPr>
          <w:rStyle w:val="FootnoteReference"/>
          <w:rFonts w:ascii="Times New Roman" w:hAnsi="Times New Roman" w:cs="Times New Roman"/>
          <w:bCs/>
          <w:iCs/>
          <w:sz w:val="21"/>
          <w:szCs w:val="21"/>
        </w:rPr>
        <w:footnoteReference w:customMarkFollows="1" w:id="8"/>
        <w:t>8</w:t>
      </w:r>
      <w:r w:rsidRPr="005D5D42">
        <w:rPr>
          <w:rFonts w:ascii="Times New Roman" w:hAnsi="Times New Roman" w:cs="Times New Roman"/>
          <w:bCs/>
          <w:iCs/>
          <w:sz w:val="21"/>
          <w:szCs w:val="21"/>
        </w:rPr>
        <w:t xml:space="preserve"> in relation to previous year's actual indicators. The planned increase of expenditures is</w:t>
      </w:r>
      <w:r w:rsidR="005D5D42">
        <w:rPr>
          <w:rFonts w:ascii="Times New Roman" w:hAnsi="Times New Roman" w:cs="Times New Roman"/>
          <w:bCs/>
          <w:iCs/>
          <w:sz w:val="21"/>
          <w:szCs w:val="21"/>
        </w:rPr>
        <w:t xml:space="preserve"> primarily</w:t>
      </w:r>
      <w:r w:rsidRPr="005D5D42">
        <w:rPr>
          <w:rFonts w:ascii="Times New Roman" w:hAnsi="Times New Roman" w:cs="Times New Roman"/>
          <w:bCs/>
          <w:iCs/>
          <w:sz w:val="21"/>
          <w:szCs w:val="21"/>
        </w:rPr>
        <w:t xml:space="preserve"> due to </w:t>
      </w:r>
      <w:r w:rsidRPr="00EC356F">
        <w:rPr>
          <w:rFonts w:ascii="Times New Roman" w:hAnsi="Times New Roman" w:cs="Times New Roman"/>
          <w:bCs/>
          <w:iCs/>
          <w:sz w:val="21"/>
          <w:szCs w:val="21"/>
        </w:rPr>
        <w:t>current expenditures.</w:t>
      </w:r>
      <w:r w:rsidR="00F34105">
        <w:rPr>
          <w:rFonts w:ascii="Times New Roman" w:hAnsi="Times New Roman" w:cs="Times New Roman"/>
          <w:bCs/>
          <w:iCs/>
          <w:sz w:val="21"/>
          <w:szCs w:val="21"/>
        </w:rPr>
        <w:t xml:space="preserve"> </w:t>
      </w:r>
      <w:r w:rsidRPr="00EC356F">
        <w:rPr>
          <w:rFonts w:ascii="Times New Roman" w:hAnsi="Times New Roman" w:cs="Times New Roman"/>
          <w:b/>
          <w:bCs/>
          <w:iCs/>
          <w:sz w:val="21"/>
          <w:szCs w:val="21"/>
        </w:rPr>
        <w:t>As the above developments suggest, in 2014 the deficit is expected to be lower than the level stipulated by the Law on State Budget</w:t>
      </w:r>
      <w:r w:rsidR="00F34105">
        <w:rPr>
          <w:rFonts w:ascii="Times New Roman" w:hAnsi="Times New Roman" w:cs="Times New Roman"/>
          <w:b/>
          <w:bCs/>
          <w:iCs/>
          <w:sz w:val="21"/>
          <w:szCs w:val="21"/>
        </w:rPr>
        <w:t xml:space="preserve"> 2014</w:t>
      </w:r>
      <w:r w:rsidRPr="00EC356F">
        <w:rPr>
          <w:rFonts w:ascii="Times New Roman" w:hAnsi="Times New Roman" w:cs="Times New Roman"/>
          <w:b/>
          <w:bCs/>
          <w:iCs/>
          <w:sz w:val="21"/>
          <w:szCs w:val="21"/>
        </w:rPr>
        <w:t>.</w:t>
      </w:r>
      <w:r w:rsidRPr="00EC356F">
        <w:rPr>
          <w:rFonts w:ascii="Times New Roman" w:hAnsi="Times New Roman" w:cs="Times New Roman"/>
          <w:bCs/>
          <w:iCs/>
          <w:sz w:val="21"/>
          <w:szCs w:val="21"/>
        </w:rPr>
        <w:t xml:space="preserve">  </w:t>
      </w:r>
    </w:p>
    <w:p w14:paraId="4E4616F5" w14:textId="77777777" w:rsidR="00333EE5" w:rsidRDefault="00A9653E"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 xml:space="preserve">In 2014, relative to 2013, the fiscal policy’s impact on aggregate demand is expected to leave a </w:t>
      </w:r>
      <w:r w:rsidR="00F34105">
        <w:rPr>
          <w:rFonts w:ascii="Times New Roman" w:hAnsi="Times New Roman" w:cs="Times New Roman"/>
          <w:bCs/>
          <w:iCs/>
          <w:sz w:val="21"/>
          <w:szCs w:val="21"/>
        </w:rPr>
        <w:t xml:space="preserve">little more </w:t>
      </w:r>
      <w:r w:rsidRPr="00EC356F">
        <w:rPr>
          <w:rFonts w:ascii="Times New Roman" w:hAnsi="Times New Roman" w:cs="Times New Roman"/>
          <w:bCs/>
          <w:iCs/>
          <w:sz w:val="21"/>
          <w:szCs w:val="21"/>
        </w:rPr>
        <w:t>(0.</w:t>
      </w:r>
      <w:r w:rsidR="00F34105">
        <w:rPr>
          <w:rFonts w:ascii="Times New Roman" w:hAnsi="Times New Roman" w:cs="Times New Roman"/>
          <w:bCs/>
          <w:iCs/>
          <w:sz w:val="21"/>
          <w:szCs w:val="21"/>
        </w:rPr>
        <w:t>5</w:t>
      </w:r>
      <w:r w:rsidRPr="00EC356F">
        <w:rPr>
          <w:rFonts w:ascii="Times New Roman" w:hAnsi="Times New Roman" w:cs="Times New Roman"/>
          <w:bCs/>
          <w:iCs/>
          <w:sz w:val="21"/>
          <w:szCs w:val="21"/>
        </w:rPr>
        <w:t xml:space="preserve"> pp) expansionary impact instead of 0.</w:t>
      </w:r>
      <w:r w:rsidR="00F34105">
        <w:rPr>
          <w:rFonts w:ascii="Times New Roman" w:hAnsi="Times New Roman" w:cs="Times New Roman"/>
          <w:bCs/>
          <w:iCs/>
          <w:sz w:val="21"/>
          <w:szCs w:val="21"/>
        </w:rPr>
        <w:t>3</w:t>
      </w:r>
      <w:r w:rsidRPr="00EC356F">
        <w:rPr>
          <w:rFonts w:ascii="Times New Roman" w:hAnsi="Times New Roman" w:cs="Times New Roman"/>
          <w:bCs/>
          <w:iCs/>
          <w:sz w:val="21"/>
          <w:szCs w:val="21"/>
        </w:rPr>
        <w:t xml:space="preserve"> pp expansionary impact, as was outlined in the </w:t>
      </w:r>
      <w:r w:rsidR="00F34105">
        <w:rPr>
          <w:rFonts w:ascii="Times New Roman" w:hAnsi="Times New Roman" w:cs="Times New Roman"/>
          <w:bCs/>
          <w:iCs/>
          <w:sz w:val="21"/>
          <w:szCs w:val="21"/>
        </w:rPr>
        <w:t xml:space="preserve">3rd </w:t>
      </w:r>
      <w:r w:rsidRPr="00EC356F">
        <w:rPr>
          <w:rFonts w:ascii="Times New Roman" w:hAnsi="Times New Roman" w:cs="Times New Roman"/>
          <w:bCs/>
          <w:iCs/>
          <w:sz w:val="21"/>
          <w:szCs w:val="21"/>
        </w:rPr>
        <w:t>quarter’s monetary policy program. Due to a revised assessment of the economic growth, there will be an estimated 0.</w:t>
      </w:r>
      <w:r w:rsidR="003B4BDE">
        <w:rPr>
          <w:rFonts w:ascii="Times New Roman" w:hAnsi="Times New Roman" w:cs="Times New Roman"/>
          <w:bCs/>
          <w:iCs/>
          <w:sz w:val="21"/>
          <w:szCs w:val="21"/>
        </w:rPr>
        <w:t>2 pp</w:t>
      </w:r>
      <w:r w:rsidRPr="00EC356F">
        <w:rPr>
          <w:rFonts w:ascii="Times New Roman" w:hAnsi="Times New Roman" w:cs="Times New Roman"/>
          <w:bCs/>
          <w:iCs/>
          <w:sz w:val="21"/>
          <w:szCs w:val="21"/>
        </w:rPr>
        <w:t xml:space="preserve"> contractionary impact of revenues and 0.</w:t>
      </w:r>
      <w:r w:rsidR="003B4BDE">
        <w:rPr>
          <w:rFonts w:ascii="Times New Roman" w:hAnsi="Times New Roman" w:cs="Times New Roman"/>
          <w:bCs/>
          <w:iCs/>
          <w:sz w:val="21"/>
          <w:szCs w:val="21"/>
        </w:rPr>
        <w:t>7 pp</w:t>
      </w:r>
      <w:r w:rsidRPr="00EC356F">
        <w:rPr>
          <w:rFonts w:ascii="Times New Roman" w:hAnsi="Times New Roman" w:cs="Times New Roman"/>
          <w:bCs/>
          <w:iCs/>
          <w:sz w:val="21"/>
          <w:szCs w:val="21"/>
        </w:rPr>
        <w:t xml:space="preserve"> expansionary impact of expenditures</w:t>
      </w:r>
      <w:r w:rsidR="00333EE5">
        <w:rPr>
          <w:rFonts w:ascii="Times New Roman" w:hAnsi="Times New Roman" w:cs="Times New Roman"/>
          <w:bCs/>
          <w:iCs/>
          <w:sz w:val="21"/>
          <w:szCs w:val="21"/>
        </w:rPr>
        <w:t>.</w:t>
      </w:r>
      <w:r w:rsidRPr="00EC356F">
        <w:rPr>
          <w:rFonts w:ascii="Times New Roman" w:hAnsi="Times New Roman" w:cs="Times New Roman"/>
          <w:bCs/>
          <w:iCs/>
          <w:sz w:val="21"/>
          <w:szCs w:val="21"/>
        </w:rPr>
        <w:t xml:space="preserve"> </w:t>
      </w:r>
    </w:p>
    <w:p w14:paraId="71EB992E" w14:textId="33446AB1" w:rsidR="00A9653E" w:rsidRPr="00EC356F" w:rsidRDefault="00A9653E" w:rsidP="00A9653E">
      <w:pPr>
        <w:spacing w:line="360" w:lineRule="auto"/>
        <w:jc w:val="both"/>
        <w:rPr>
          <w:rStyle w:val="longtext"/>
          <w:rFonts w:ascii="Times New Roman" w:hAnsi="Times New Roman" w:cs="Times New Roman"/>
          <w:b/>
          <w:sz w:val="21"/>
          <w:szCs w:val="21"/>
          <w:shd w:val="clear" w:color="auto" w:fill="FFFFFF"/>
        </w:rPr>
      </w:pPr>
      <w:r w:rsidRPr="00EC356F">
        <w:rPr>
          <w:rFonts w:ascii="Times New Roman" w:hAnsi="Times New Roman" w:cs="Times New Roman"/>
          <w:bCs/>
          <w:iCs/>
          <w:color w:val="000000"/>
          <w:sz w:val="21"/>
          <w:szCs w:val="21"/>
        </w:rPr>
        <w:t xml:space="preserve">The </w:t>
      </w:r>
      <w:r w:rsidRPr="00EC356F">
        <w:rPr>
          <w:rFonts w:ascii="Times New Roman" w:hAnsi="Times New Roman" w:cs="Times New Roman"/>
          <w:b/>
          <w:bCs/>
          <w:iCs/>
          <w:color w:val="000000"/>
          <w:sz w:val="21"/>
          <w:szCs w:val="21"/>
        </w:rPr>
        <w:t xml:space="preserve">fiscal policy’s impact in the forecast horizon </w:t>
      </w:r>
      <w:r w:rsidRPr="00EC356F">
        <w:rPr>
          <w:rFonts w:ascii="Times New Roman" w:hAnsi="Times New Roman" w:cs="Times New Roman"/>
          <w:bCs/>
          <w:iCs/>
          <w:color w:val="000000"/>
          <w:sz w:val="21"/>
          <w:szCs w:val="21"/>
        </w:rPr>
        <w:t xml:space="preserve">was estimated using the macroeconomic indicators underlying the </w:t>
      </w:r>
      <w:r w:rsidRPr="00EC356F">
        <w:rPr>
          <w:rFonts w:ascii="Times New Roman" w:hAnsi="Times New Roman" w:cs="Times New Roman"/>
          <w:bCs/>
          <w:iCs/>
          <w:sz w:val="21"/>
          <w:szCs w:val="21"/>
        </w:rPr>
        <w:t>Republic of Armenia Medium-Term Public Expenditures Program, 2015-2017, which is steered to a</w:t>
      </w:r>
      <w:r w:rsidRPr="00EC356F">
        <w:rPr>
          <w:rFonts w:ascii="Times New Roman" w:hAnsi="Times New Roman" w:cs="Times New Roman"/>
          <w:bCs/>
          <w:iCs/>
          <w:color w:val="000000"/>
          <w:sz w:val="21"/>
          <w:szCs w:val="21"/>
        </w:rPr>
        <w:t xml:space="preserve">n effective debt management and a Deficit/GDP ratio to be maintained on average at the 1.9% level in the medium </w:t>
      </w:r>
      <w:r w:rsidR="00EF280C">
        <w:rPr>
          <w:rFonts w:ascii="Times New Roman" w:hAnsi="Times New Roman" w:cs="Times New Roman"/>
          <w:bCs/>
          <w:iCs/>
          <w:color w:val="000000"/>
          <w:sz w:val="21"/>
          <w:szCs w:val="21"/>
        </w:rPr>
        <w:t>term</w:t>
      </w:r>
      <w:r w:rsidRPr="00EC356F">
        <w:rPr>
          <w:rFonts w:ascii="Times New Roman" w:hAnsi="Times New Roman" w:cs="Times New Roman"/>
          <w:bCs/>
          <w:iCs/>
          <w:color w:val="000000"/>
          <w:sz w:val="21"/>
          <w:szCs w:val="21"/>
        </w:rPr>
        <w:t xml:space="preserve">. </w:t>
      </w:r>
      <w:r w:rsidR="00333EE5">
        <w:rPr>
          <w:rFonts w:ascii="Times New Roman" w:hAnsi="Times New Roman" w:cs="Times New Roman"/>
          <w:bCs/>
          <w:iCs/>
          <w:color w:val="000000"/>
          <w:sz w:val="21"/>
          <w:szCs w:val="21"/>
        </w:rPr>
        <w:t xml:space="preserve">For 2015, the fiscal policy’s impact is estimated to be minor, 0.4 pp expansionary, and for 2016 and 2017, almost a neutral impact. </w:t>
      </w:r>
      <w:r w:rsidRPr="00EC356F">
        <w:rPr>
          <w:rFonts w:ascii="Times New Roman" w:hAnsi="Times New Roman" w:cs="Times New Roman"/>
          <w:bCs/>
          <w:iCs/>
          <w:color w:val="000000"/>
          <w:sz w:val="21"/>
          <w:szCs w:val="21"/>
        </w:rPr>
        <w:t xml:space="preserve">In the outcome, </w:t>
      </w:r>
      <w:r w:rsidRPr="00EC356F">
        <w:rPr>
          <w:rFonts w:ascii="Times New Roman" w:hAnsi="Times New Roman" w:cs="Times New Roman"/>
          <w:b/>
          <w:bCs/>
          <w:iCs/>
          <w:color w:val="000000"/>
          <w:sz w:val="21"/>
          <w:szCs w:val="21"/>
        </w:rPr>
        <w:t>t</w:t>
      </w:r>
      <w:r w:rsidRPr="00EC356F">
        <w:rPr>
          <w:rStyle w:val="longtext"/>
          <w:rFonts w:ascii="Times New Roman" w:hAnsi="Times New Roman" w:cs="Times New Roman"/>
          <w:b/>
          <w:sz w:val="21"/>
          <w:szCs w:val="21"/>
          <w:shd w:val="clear" w:color="auto" w:fill="FFFFFF"/>
        </w:rPr>
        <w:t>he impact of fiscal policy in the medium run is estimated to be non-inflationary.</w:t>
      </w:r>
    </w:p>
    <w:tbl>
      <w:tblPr>
        <w:tblW w:w="625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169"/>
        <w:gridCol w:w="649"/>
        <w:gridCol w:w="608"/>
        <w:gridCol w:w="608"/>
        <w:gridCol w:w="608"/>
        <w:gridCol w:w="608"/>
      </w:tblGrid>
      <w:tr w:rsidR="00A9653E" w:rsidRPr="00EC356F" w14:paraId="6D5A4160" w14:textId="77777777" w:rsidTr="00DF2762">
        <w:trPr>
          <w:trHeight w:val="20"/>
        </w:trPr>
        <w:tc>
          <w:tcPr>
            <w:tcW w:w="6250" w:type="dxa"/>
            <w:gridSpan w:val="6"/>
            <w:tcBorders>
              <w:bottom w:val="single" w:sz="4" w:space="0" w:color="auto"/>
            </w:tcBorders>
            <w:shd w:val="clear" w:color="auto" w:fill="auto"/>
          </w:tcPr>
          <w:p w14:paraId="7660744A" w14:textId="77777777" w:rsidR="00A9653E" w:rsidRPr="00D90C86" w:rsidRDefault="00A9653E" w:rsidP="00DF2762">
            <w:pPr>
              <w:spacing w:before="20" w:after="20"/>
              <w:jc w:val="center"/>
              <w:rPr>
                <w:rFonts w:ascii="Times New Roman" w:eastAsia="Calibri" w:hAnsi="Times New Roman" w:cs="Times New Roman"/>
                <w:b/>
                <w:sz w:val="20"/>
                <w:szCs w:val="20"/>
              </w:rPr>
            </w:pPr>
            <w:r w:rsidRPr="00D90C86">
              <w:rPr>
                <w:rFonts w:ascii="Times New Roman" w:eastAsia="Calibri" w:hAnsi="Times New Roman" w:cs="Times New Roman"/>
                <w:b/>
                <w:sz w:val="20"/>
                <w:szCs w:val="20"/>
              </w:rPr>
              <w:t>Medium-term fiscal policy impact assessment</w:t>
            </w:r>
          </w:p>
        </w:tc>
      </w:tr>
      <w:tr w:rsidR="00A9653E" w:rsidRPr="00EC356F" w14:paraId="5EA38D3E" w14:textId="77777777" w:rsidTr="00DF2762">
        <w:trPr>
          <w:trHeight w:val="20"/>
        </w:trPr>
        <w:tc>
          <w:tcPr>
            <w:tcW w:w="3169" w:type="dxa"/>
            <w:tcBorders>
              <w:bottom w:val="single" w:sz="4" w:space="0" w:color="auto"/>
              <w:right w:val="dashed" w:sz="4" w:space="0" w:color="auto"/>
            </w:tcBorders>
            <w:shd w:val="clear" w:color="auto" w:fill="auto"/>
          </w:tcPr>
          <w:p w14:paraId="3A8B01E0" w14:textId="77777777" w:rsidR="00A9653E" w:rsidRPr="00D90C86" w:rsidRDefault="00A9653E" w:rsidP="00DF2762">
            <w:pPr>
              <w:spacing w:before="30" w:after="20"/>
              <w:rPr>
                <w:rFonts w:ascii="Times New Roman" w:eastAsia="Calibri" w:hAnsi="Times New Roman" w:cs="Times New Roman"/>
                <w:sz w:val="20"/>
                <w:szCs w:val="20"/>
              </w:rPr>
            </w:pPr>
            <w:r w:rsidRPr="00D90C86">
              <w:rPr>
                <w:rFonts w:ascii="Times New Roman" w:eastAsia="Calibri" w:hAnsi="Times New Roman" w:cs="Times New Roman"/>
                <w:sz w:val="20"/>
                <w:szCs w:val="20"/>
              </w:rPr>
              <w:lastRenderedPageBreak/>
              <w:t>% in GDP</w:t>
            </w:r>
          </w:p>
        </w:tc>
        <w:tc>
          <w:tcPr>
            <w:tcW w:w="649" w:type="dxa"/>
            <w:tcBorders>
              <w:left w:val="dashed" w:sz="4" w:space="0" w:color="auto"/>
              <w:bottom w:val="single" w:sz="4" w:space="0" w:color="auto"/>
              <w:right w:val="dashed" w:sz="4" w:space="0" w:color="auto"/>
            </w:tcBorders>
            <w:shd w:val="clear" w:color="auto" w:fill="auto"/>
          </w:tcPr>
          <w:p w14:paraId="01D3CDEA" w14:textId="77777777" w:rsidR="00A9653E" w:rsidRPr="00D90C86" w:rsidRDefault="00A9653E" w:rsidP="00DF2762">
            <w:pPr>
              <w:spacing w:before="20" w:after="20"/>
              <w:jc w:val="center"/>
              <w:rPr>
                <w:rFonts w:ascii="Times New Roman" w:eastAsia="Calibri" w:hAnsi="Times New Roman" w:cs="Times New Roman"/>
                <w:sz w:val="20"/>
                <w:szCs w:val="20"/>
              </w:rPr>
            </w:pPr>
            <w:r w:rsidRPr="00D90C86">
              <w:rPr>
                <w:rFonts w:ascii="Times New Roman" w:eastAsia="Calibri" w:hAnsi="Times New Roman" w:cs="Times New Roman"/>
                <w:sz w:val="20"/>
                <w:szCs w:val="20"/>
              </w:rPr>
              <w:t>2013</w:t>
            </w:r>
          </w:p>
        </w:tc>
        <w:tc>
          <w:tcPr>
            <w:tcW w:w="608" w:type="dxa"/>
            <w:tcBorders>
              <w:left w:val="dashed" w:sz="4" w:space="0" w:color="auto"/>
              <w:bottom w:val="single" w:sz="4" w:space="0" w:color="auto"/>
              <w:right w:val="dashed" w:sz="4" w:space="0" w:color="auto"/>
            </w:tcBorders>
            <w:shd w:val="clear" w:color="auto" w:fill="auto"/>
          </w:tcPr>
          <w:p w14:paraId="358F2DD3" w14:textId="77777777" w:rsidR="00A9653E" w:rsidRPr="00D90C86" w:rsidRDefault="00A9653E" w:rsidP="00DF2762">
            <w:pPr>
              <w:spacing w:before="20" w:after="20"/>
              <w:jc w:val="center"/>
              <w:rPr>
                <w:rFonts w:ascii="Times New Roman" w:eastAsia="Calibri" w:hAnsi="Times New Roman" w:cs="Times New Roman"/>
                <w:sz w:val="20"/>
                <w:szCs w:val="20"/>
              </w:rPr>
            </w:pPr>
            <w:r w:rsidRPr="00D90C86">
              <w:rPr>
                <w:rFonts w:ascii="Times New Roman" w:eastAsia="Calibri" w:hAnsi="Times New Roman" w:cs="Times New Roman"/>
                <w:sz w:val="20"/>
                <w:szCs w:val="20"/>
              </w:rPr>
              <w:t>2014</w:t>
            </w:r>
          </w:p>
        </w:tc>
        <w:tc>
          <w:tcPr>
            <w:tcW w:w="608" w:type="dxa"/>
            <w:tcBorders>
              <w:left w:val="dashed" w:sz="4" w:space="0" w:color="auto"/>
              <w:bottom w:val="single" w:sz="4" w:space="0" w:color="auto"/>
              <w:right w:val="dashed" w:sz="4" w:space="0" w:color="auto"/>
            </w:tcBorders>
            <w:shd w:val="clear" w:color="auto" w:fill="auto"/>
          </w:tcPr>
          <w:p w14:paraId="50DDCAC0" w14:textId="77777777" w:rsidR="00A9653E" w:rsidRPr="00D90C86" w:rsidRDefault="00A9653E" w:rsidP="00DF2762">
            <w:pPr>
              <w:spacing w:before="20" w:after="20"/>
              <w:jc w:val="center"/>
              <w:rPr>
                <w:rFonts w:ascii="Times New Roman" w:eastAsia="Calibri" w:hAnsi="Times New Roman" w:cs="Times New Roman"/>
                <w:sz w:val="20"/>
                <w:szCs w:val="20"/>
              </w:rPr>
            </w:pPr>
            <w:r w:rsidRPr="00D90C86">
              <w:rPr>
                <w:rFonts w:ascii="Times New Roman" w:eastAsia="Calibri" w:hAnsi="Times New Roman" w:cs="Times New Roman"/>
                <w:sz w:val="20"/>
                <w:szCs w:val="20"/>
              </w:rPr>
              <w:t>2015</w:t>
            </w:r>
          </w:p>
        </w:tc>
        <w:tc>
          <w:tcPr>
            <w:tcW w:w="608" w:type="dxa"/>
            <w:tcBorders>
              <w:left w:val="dashed" w:sz="4" w:space="0" w:color="auto"/>
              <w:bottom w:val="single" w:sz="4" w:space="0" w:color="auto"/>
              <w:right w:val="dashed" w:sz="4" w:space="0" w:color="auto"/>
            </w:tcBorders>
            <w:shd w:val="clear" w:color="auto" w:fill="auto"/>
          </w:tcPr>
          <w:p w14:paraId="67B80316" w14:textId="77777777" w:rsidR="00A9653E" w:rsidRPr="00D90C86" w:rsidRDefault="00A9653E" w:rsidP="00DF2762">
            <w:pPr>
              <w:spacing w:before="20" w:after="20"/>
              <w:jc w:val="center"/>
              <w:rPr>
                <w:rFonts w:ascii="Times New Roman" w:eastAsia="Calibri" w:hAnsi="Times New Roman" w:cs="Times New Roman"/>
                <w:sz w:val="20"/>
                <w:szCs w:val="20"/>
              </w:rPr>
            </w:pPr>
            <w:r w:rsidRPr="00D90C86">
              <w:rPr>
                <w:rFonts w:ascii="Times New Roman" w:eastAsia="Calibri" w:hAnsi="Times New Roman" w:cs="Times New Roman"/>
                <w:sz w:val="20"/>
                <w:szCs w:val="20"/>
              </w:rPr>
              <w:t>2016</w:t>
            </w:r>
          </w:p>
        </w:tc>
        <w:tc>
          <w:tcPr>
            <w:tcW w:w="608" w:type="dxa"/>
            <w:tcBorders>
              <w:left w:val="dashed" w:sz="4" w:space="0" w:color="auto"/>
              <w:bottom w:val="single" w:sz="4" w:space="0" w:color="auto"/>
            </w:tcBorders>
            <w:shd w:val="clear" w:color="auto" w:fill="auto"/>
          </w:tcPr>
          <w:p w14:paraId="195B4CF2" w14:textId="77777777" w:rsidR="00A9653E" w:rsidRPr="00D90C86" w:rsidRDefault="00A9653E" w:rsidP="00DF2762">
            <w:pPr>
              <w:spacing w:before="20" w:after="20"/>
              <w:jc w:val="center"/>
              <w:rPr>
                <w:rFonts w:ascii="Times New Roman" w:eastAsia="Calibri" w:hAnsi="Times New Roman" w:cs="Times New Roman"/>
                <w:sz w:val="20"/>
                <w:szCs w:val="20"/>
              </w:rPr>
            </w:pPr>
            <w:r w:rsidRPr="00D90C86">
              <w:rPr>
                <w:rFonts w:ascii="Times New Roman" w:eastAsia="Calibri" w:hAnsi="Times New Roman" w:cs="Times New Roman"/>
                <w:sz w:val="20"/>
                <w:szCs w:val="20"/>
              </w:rPr>
              <w:t>2017</w:t>
            </w:r>
          </w:p>
        </w:tc>
      </w:tr>
      <w:tr w:rsidR="00D90C86" w:rsidRPr="00EC356F" w14:paraId="620A3B3E" w14:textId="77777777" w:rsidTr="00A47234">
        <w:trPr>
          <w:trHeight w:val="20"/>
        </w:trPr>
        <w:tc>
          <w:tcPr>
            <w:tcW w:w="3169" w:type="dxa"/>
            <w:tcBorders>
              <w:top w:val="single" w:sz="4" w:space="0" w:color="auto"/>
              <w:bottom w:val="dashed" w:sz="4" w:space="0" w:color="auto"/>
              <w:right w:val="dashed" w:sz="4" w:space="0" w:color="auto"/>
            </w:tcBorders>
            <w:shd w:val="clear" w:color="auto" w:fill="auto"/>
          </w:tcPr>
          <w:p w14:paraId="436E7F9B" w14:textId="77777777" w:rsidR="00D90C86" w:rsidRPr="00D90C86" w:rsidRDefault="00D90C86" w:rsidP="00DF2762">
            <w:pPr>
              <w:spacing w:before="30" w:after="20"/>
              <w:rPr>
                <w:rFonts w:ascii="Times New Roman" w:eastAsia="Calibri" w:hAnsi="Times New Roman" w:cs="Times New Roman"/>
                <w:sz w:val="20"/>
                <w:szCs w:val="20"/>
              </w:rPr>
            </w:pPr>
            <w:r w:rsidRPr="00D90C86">
              <w:rPr>
                <w:rFonts w:ascii="Times New Roman" w:eastAsia="Calibri" w:hAnsi="Times New Roman" w:cs="Times New Roman"/>
                <w:sz w:val="20"/>
                <w:szCs w:val="20"/>
              </w:rPr>
              <w:t>Budget revenues</w:t>
            </w:r>
          </w:p>
        </w:tc>
        <w:tc>
          <w:tcPr>
            <w:tcW w:w="649" w:type="dxa"/>
            <w:tcBorders>
              <w:top w:val="single" w:sz="4" w:space="0" w:color="auto"/>
              <w:left w:val="dashed" w:sz="4" w:space="0" w:color="auto"/>
              <w:bottom w:val="dashed" w:sz="4" w:space="0" w:color="auto"/>
              <w:right w:val="dashed" w:sz="4" w:space="0" w:color="auto"/>
            </w:tcBorders>
            <w:shd w:val="clear" w:color="auto" w:fill="auto"/>
            <w:vAlign w:val="center"/>
          </w:tcPr>
          <w:p w14:paraId="01222F5C"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24.3</w:t>
            </w:r>
          </w:p>
        </w:tc>
        <w:tc>
          <w:tcPr>
            <w:tcW w:w="608" w:type="dxa"/>
            <w:tcBorders>
              <w:top w:val="single" w:sz="4" w:space="0" w:color="auto"/>
              <w:left w:val="dashed" w:sz="4" w:space="0" w:color="auto"/>
              <w:bottom w:val="dashed" w:sz="4" w:space="0" w:color="auto"/>
              <w:right w:val="dashed" w:sz="4" w:space="0" w:color="auto"/>
            </w:tcBorders>
            <w:shd w:val="clear" w:color="auto" w:fill="auto"/>
            <w:vAlign w:val="center"/>
          </w:tcPr>
          <w:p w14:paraId="177F8BEE"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24.7</w:t>
            </w:r>
          </w:p>
        </w:tc>
        <w:tc>
          <w:tcPr>
            <w:tcW w:w="608" w:type="dxa"/>
            <w:tcBorders>
              <w:top w:val="single" w:sz="4" w:space="0" w:color="auto"/>
              <w:left w:val="dashed" w:sz="4" w:space="0" w:color="auto"/>
              <w:bottom w:val="dashed" w:sz="4" w:space="0" w:color="auto"/>
              <w:right w:val="dashed" w:sz="4" w:space="0" w:color="auto"/>
            </w:tcBorders>
            <w:shd w:val="clear" w:color="auto" w:fill="auto"/>
            <w:vAlign w:val="center"/>
          </w:tcPr>
          <w:p w14:paraId="1327E316"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24.3</w:t>
            </w:r>
          </w:p>
        </w:tc>
        <w:tc>
          <w:tcPr>
            <w:tcW w:w="608" w:type="dxa"/>
            <w:tcBorders>
              <w:top w:val="single" w:sz="4" w:space="0" w:color="auto"/>
              <w:left w:val="dashed" w:sz="4" w:space="0" w:color="auto"/>
              <w:bottom w:val="dashed" w:sz="4" w:space="0" w:color="auto"/>
              <w:right w:val="dashed" w:sz="4" w:space="0" w:color="auto"/>
            </w:tcBorders>
            <w:shd w:val="clear" w:color="auto" w:fill="auto"/>
            <w:vAlign w:val="center"/>
          </w:tcPr>
          <w:p w14:paraId="7C3F75C1"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23.6</w:t>
            </w:r>
          </w:p>
        </w:tc>
        <w:tc>
          <w:tcPr>
            <w:tcW w:w="608" w:type="dxa"/>
            <w:tcBorders>
              <w:top w:val="single" w:sz="4" w:space="0" w:color="auto"/>
              <w:left w:val="dashed" w:sz="4" w:space="0" w:color="auto"/>
              <w:bottom w:val="dashed" w:sz="4" w:space="0" w:color="auto"/>
            </w:tcBorders>
            <w:shd w:val="clear" w:color="auto" w:fill="auto"/>
            <w:vAlign w:val="center"/>
          </w:tcPr>
          <w:p w14:paraId="29955C7F"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23.7</w:t>
            </w:r>
          </w:p>
        </w:tc>
      </w:tr>
      <w:tr w:rsidR="00D90C86" w:rsidRPr="00EC356F" w14:paraId="4C89F124" w14:textId="77777777" w:rsidTr="00A47234">
        <w:trPr>
          <w:trHeight w:val="20"/>
        </w:trPr>
        <w:tc>
          <w:tcPr>
            <w:tcW w:w="3169" w:type="dxa"/>
            <w:tcBorders>
              <w:top w:val="dashed" w:sz="4" w:space="0" w:color="auto"/>
              <w:bottom w:val="dashed" w:sz="4" w:space="0" w:color="auto"/>
              <w:right w:val="dashed" w:sz="4" w:space="0" w:color="auto"/>
            </w:tcBorders>
            <w:shd w:val="clear" w:color="auto" w:fill="auto"/>
          </w:tcPr>
          <w:p w14:paraId="3D8FA1D3" w14:textId="77777777" w:rsidR="00D90C86" w:rsidRPr="00D90C86" w:rsidRDefault="00D90C86" w:rsidP="00DF2762">
            <w:pPr>
              <w:spacing w:before="30" w:after="20"/>
              <w:rPr>
                <w:rFonts w:ascii="Times New Roman" w:eastAsia="Calibri" w:hAnsi="Times New Roman" w:cs="Times New Roman"/>
                <w:sz w:val="20"/>
                <w:szCs w:val="20"/>
              </w:rPr>
            </w:pPr>
            <w:r w:rsidRPr="00D90C86">
              <w:rPr>
                <w:rFonts w:ascii="Times New Roman" w:eastAsia="Calibri" w:hAnsi="Times New Roman" w:cs="Times New Roman"/>
                <w:sz w:val="20"/>
                <w:szCs w:val="20"/>
              </w:rPr>
              <w:t>Budget expenditures</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4A3FEF7F"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24.5</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11D3BECB"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26.2</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034B3B8E"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26.7</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783866D6"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25.4</w:t>
            </w:r>
          </w:p>
        </w:tc>
        <w:tc>
          <w:tcPr>
            <w:tcW w:w="608" w:type="dxa"/>
            <w:tcBorders>
              <w:top w:val="dashed" w:sz="4" w:space="0" w:color="auto"/>
              <w:left w:val="dashed" w:sz="4" w:space="0" w:color="auto"/>
              <w:bottom w:val="dashed" w:sz="4" w:space="0" w:color="auto"/>
            </w:tcBorders>
            <w:shd w:val="clear" w:color="auto" w:fill="auto"/>
            <w:vAlign w:val="center"/>
          </w:tcPr>
          <w:p w14:paraId="26CE1F0D"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25.5</w:t>
            </w:r>
          </w:p>
        </w:tc>
      </w:tr>
      <w:tr w:rsidR="00D90C86" w:rsidRPr="00EC356F" w14:paraId="0934A584" w14:textId="77777777" w:rsidTr="00A47234">
        <w:trPr>
          <w:trHeight w:val="20"/>
        </w:trPr>
        <w:tc>
          <w:tcPr>
            <w:tcW w:w="3169" w:type="dxa"/>
            <w:tcBorders>
              <w:top w:val="dashed" w:sz="4" w:space="0" w:color="auto"/>
              <w:bottom w:val="dashed" w:sz="4" w:space="0" w:color="auto"/>
              <w:right w:val="dashed" w:sz="4" w:space="0" w:color="auto"/>
            </w:tcBorders>
            <w:shd w:val="clear" w:color="auto" w:fill="auto"/>
          </w:tcPr>
          <w:p w14:paraId="62F4CD7D" w14:textId="77777777" w:rsidR="00D90C86" w:rsidRPr="00D90C86" w:rsidRDefault="00D90C86" w:rsidP="00DF2762">
            <w:pPr>
              <w:spacing w:before="30" w:after="20"/>
              <w:rPr>
                <w:rFonts w:ascii="Times New Roman" w:eastAsia="Calibri" w:hAnsi="Times New Roman" w:cs="Times New Roman"/>
                <w:sz w:val="20"/>
                <w:szCs w:val="20"/>
              </w:rPr>
            </w:pPr>
            <w:r w:rsidRPr="00D90C86">
              <w:rPr>
                <w:rFonts w:ascii="Times New Roman" w:eastAsia="Calibri" w:hAnsi="Times New Roman" w:cs="Times New Roman"/>
                <w:sz w:val="20"/>
                <w:szCs w:val="20"/>
              </w:rPr>
              <w:t>Debt interest payment</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647C2553"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1.1</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09B0D718"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1.4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60386372"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1.5</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6E4C014D"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1.4</w:t>
            </w:r>
          </w:p>
        </w:tc>
        <w:tc>
          <w:tcPr>
            <w:tcW w:w="608" w:type="dxa"/>
            <w:tcBorders>
              <w:top w:val="dashed" w:sz="4" w:space="0" w:color="auto"/>
              <w:left w:val="dashed" w:sz="4" w:space="0" w:color="auto"/>
              <w:bottom w:val="dashed" w:sz="4" w:space="0" w:color="auto"/>
            </w:tcBorders>
            <w:shd w:val="clear" w:color="auto" w:fill="auto"/>
            <w:vAlign w:val="center"/>
          </w:tcPr>
          <w:p w14:paraId="74DACE98"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1.4</w:t>
            </w:r>
          </w:p>
        </w:tc>
      </w:tr>
      <w:tr w:rsidR="00D90C86" w:rsidRPr="00EC356F" w14:paraId="02D36F52" w14:textId="77777777" w:rsidTr="00A47234">
        <w:trPr>
          <w:trHeight w:val="20"/>
        </w:trPr>
        <w:tc>
          <w:tcPr>
            <w:tcW w:w="3169" w:type="dxa"/>
            <w:tcBorders>
              <w:top w:val="dashed" w:sz="4" w:space="0" w:color="auto"/>
              <w:bottom w:val="dashed" w:sz="4" w:space="0" w:color="auto"/>
              <w:right w:val="dashed" w:sz="4" w:space="0" w:color="auto"/>
            </w:tcBorders>
            <w:shd w:val="clear" w:color="auto" w:fill="auto"/>
          </w:tcPr>
          <w:p w14:paraId="43BE7C04" w14:textId="77777777" w:rsidR="00D90C86" w:rsidRPr="00D90C86" w:rsidRDefault="00D90C86" w:rsidP="00DF2762">
            <w:pPr>
              <w:spacing w:before="30" w:after="20"/>
              <w:rPr>
                <w:rFonts w:ascii="Times New Roman" w:eastAsia="Calibri" w:hAnsi="Times New Roman" w:cs="Times New Roman"/>
                <w:sz w:val="20"/>
                <w:szCs w:val="20"/>
              </w:rPr>
            </w:pPr>
            <w:r w:rsidRPr="00D90C86">
              <w:rPr>
                <w:rFonts w:ascii="Times New Roman" w:eastAsia="Calibri" w:hAnsi="Times New Roman" w:cs="Times New Roman"/>
                <w:sz w:val="20"/>
                <w:szCs w:val="20"/>
              </w:rPr>
              <w:t>Budget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7DA86EBB"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-0.2</w:t>
            </w:r>
            <w:r w:rsidR="00284140">
              <w:rPr>
                <w:rStyle w:val="FootnoteReference"/>
                <w:rFonts w:ascii="Times New Roman" w:eastAsia="Calibri" w:hAnsi="Times New Roman" w:cs="Times New Roman"/>
                <w:sz w:val="20"/>
                <w:szCs w:val="20"/>
              </w:rPr>
              <w:footnoteReference w:customMarkFollows="1" w:id="9"/>
              <w:t>9</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41ACEE80"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-1.4</w:t>
            </w:r>
            <w:r w:rsidR="00284140">
              <w:rPr>
                <w:rStyle w:val="FootnoteReference"/>
                <w:rFonts w:ascii="Times New Roman" w:eastAsia="Calibri" w:hAnsi="Times New Roman" w:cs="Times New Roman"/>
                <w:sz w:val="20"/>
                <w:szCs w:val="20"/>
              </w:rPr>
              <w:footnoteReference w:customMarkFollows="1" w:id="10"/>
              <w:t>10</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22467400"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-2.3</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03DCF321"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-1.8</w:t>
            </w:r>
          </w:p>
        </w:tc>
        <w:tc>
          <w:tcPr>
            <w:tcW w:w="608" w:type="dxa"/>
            <w:tcBorders>
              <w:top w:val="dashed" w:sz="4" w:space="0" w:color="auto"/>
              <w:left w:val="dashed" w:sz="4" w:space="0" w:color="auto"/>
              <w:bottom w:val="dashed" w:sz="4" w:space="0" w:color="auto"/>
            </w:tcBorders>
            <w:shd w:val="clear" w:color="auto" w:fill="auto"/>
            <w:vAlign w:val="center"/>
          </w:tcPr>
          <w:p w14:paraId="4E67E545"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-1.8</w:t>
            </w:r>
          </w:p>
        </w:tc>
      </w:tr>
      <w:tr w:rsidR="00D90C86" w:rsidRPr="00EC356F" w14:paraId="09454409" w14:textId="77777777" w:rsidTr="00A47234">
        <w:trPr>
          <w:trHeight w:val="20"/>
        </w:trPr>
        <w:tc>
          <w:tcPr>
            <w:tcW w:w="3169" w:type="dxa"/>
            <w:tcBorders>
              <w:top w:val="dashed" w:sz="4" w:space="0" w:color="auto"/>
              <w:bottom w:val="dashed" w:sz="4" w:space="0" w:color="auto"/>
              <w:right w:val="dashed" w:sz="4" w:space="0" w:color="auto"/>
            </w:tcBorders>
            <w:shd w:val="clear" w:color="auto" w:fill="auto"/>
          </w:tcPr>
          <w:p w14:paraId="04625BCF" w14:textId="77777777" w:rsidR="00D90C86" w:rsidRPr="00D90C86" w:rsidRDefault="00D90C86" w:rsidP="00DF2762">
            <w:pPr>
              <w:spacing w:before="30" w:after="20"/>
              <w:rPr>
                <w:rFonts w:ascii="Times New Roman" w:eastAsia="Calibri" w:hAnsi="Times New Roman" w:cs="Times New Roman"/>
                <w:sz w:val="20"/>
                <w:szCs w:val="20"/>
              </w:rPr>
            </w:pPr>
            <w:r w:rsidRPr="00D90C86">
              <w:rPr>
                <w:rFonts w:ascii="Times New Roman" w:eastAsia="Calibri" w:hAnsi="Times New Roman" w:cs="Times New Roman"/>
                <w:sz w:val="20"/>
                <w:szCs w:val="20"/>
              </w:rPr>
              <w:t>Primary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4C68BE76"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0.9</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695F906B"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0.0</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12344871"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-0.8</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7ACBDC48"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-0.4</w:t>
            </w:r>
          </w:p>
        </w:tc>
        <w:tc>
          <w:tcPr>
            <w:tcW w:w="608" w:type="dxa"/>
            <w:tcBorders>
              <w:top w:val="dashed" w:sz="4" w:space="0" w:color="auto"/>
              <w:left w:val="dashed" w:sz="4" w:space="0" w:color="auto"/>
              <w:bottom w:val="dashed" w:sz="4" w:space="0" w:color="auto"/>
            </w:tcBorders>
            <w:shd w:val="clear" w:color="auto" w:fill="auto"/>
            <w:vAlign w:val="center"/>
          </w:tcPr>
          <w:p w14:paraId="79CEB010"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-0.4</w:t>
            </w:r>
          </w:p>
        </w:tc>
      </w:tr>
      <w:tr w:rsidR="00D90C86" w:rsidRPr="00EC356F" w14:paraId="448E1A7E" w14:textId="77777777" w:rsidTr="00A47234">
        <w:trPr>
          <w:trHeight w:val="20"/>
        </w:trPr>
        <w:tc>
          <w:tcPr>
            <w:tcW w:w="3169" w:type="dxa"/>
            <w:tcBorders>
              <w:top w:val="dashed" w:sz="4" w:space="0" w:color="auto"/>
              <w:bottom w:val="dashed" w:sz="4" w:space="0" w:color="auto"/>
              <w:right w:val="dashed" w:sz="4" w:space="0" w:color="auto"/>
            </w:tcBorders>
            <w:shd w:val="clear" w:color="auto" w:fill="auto"/>
          </w:tcPr>
          <w:p w14:paraId="414FC83D" w14:textId="77777777" w:rsidR="00D90C86" w:rsidRPr="00D90C86" w:rsidRDefault="00D90C86" w:rsidP="00DF2762">
            <w:pPr>
              <w:spacing w:before="30" w:after="20"/>
              <w:rPr>
                <w:rFonts w:ascii="Times New Roman" w:eastAsia="Calibri" w:hAnsi="Times New Roman" w:cs="Times New Roman"/>
                <w:sz w:val="20"/>
                <w:szCs w:val="20"/>
              </w:rPr>
            </w:pPr>
            <w:r w:rsidRPr="00D90C86">
              <w:rPr>
                <w:rFonts w:ascii="Times New Roman" w:eastAsia="Calibri" w:hAnsi="Times New Roman" w:cs="Times New Roman"/>
                <w:sz w:val="20"/>
                <w:szCs w:val="20"/>
              </w:rPr>
              <w:t>One-off flows**</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2CC1A421"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0.5</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1BC242E8"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0.1</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068D8B9C"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7F31A487"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-0.4</w:t>
            </w:r>
          </w:p>
        </w:tc>
        <w:tc>
          <w:tcPr>
            <w:tcW w:w="608" w:type="dxa"/>
            <w:tcBorders>
              <w:top w:val="dashed" w:sz="4" w:space="0" w:color="auto"/>
              <w:left w:val="dashed" w:sz="4" w:space="0" w:color="auto"/>
              <w:bottom w:val="dashed" w:sz="4" w:space="0" w:color="auto"/>
            </w:tcBorders>
            <w:shd w:val="clear" w:color="auto" w:fill="auto"/>
            <w:vAlign w:val="center"/>
          </w:tcPr>
          <w:p w14:paraId="2E81CC79"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-0.4</w:t>
            </w:r>
          </w:p>
        </w:tc>
      </w:tr>
      <w:tr w:rsidR="00D90C86" w:rsidRPr="00EC356F" w14:paraId="7324665E" w14:textId="77777777" w:rsidTr="00A47234">
        <w:trPr>
          <w:trHeight w:val="20"/>
        </w:trPr>
        <w:tc>
          <w:tcPr>
            <w:tcW w:w="3169" w:type="dxa"/>
            <w:tcBorders>
              <w:top w:val="dashed" w:sz="4" w:space="0" w:color="auto"/>
              <w:bottom w:val="dashed" w:sz="4" w:space="0" w:color="auto"/>
              <w:right w:val="dashed" w:sz="4" w:space="0" w:color="auto"/>
            </w:tcBorders>
            <w:shd w:val="clear" w:color="auto" w:fill="auto"/>
          </w:tcPr>
          <w:p w14:paraId="1A9B3A21" w14:textId="77777777" w:rsidR="00D90C86" w:rsidRPr="00D90C86" w:rsidRDefault="00D90C86" w:rsidP="00DF2762">
            <w:pPr>
              <w:spacing w:before="30" w:after="20"/>
              <w:rPr>
                <w:rFonts w:ascii="Times New Roman" w:eastAsia="Calibri" w:hAnsi="Times New Roman" w:cs="Times New Roman"/>
                <w:sz w:val="20"/>
                <w:szCs w:val="20"/>
              </w:rPr>
            </w:pPr>
            <w:r w:rsidRPr="00D90C86">
              <w:rPr>
                <w:rFonts w:ascii="Times New Roman" w:eastAsia="Calibri" w:hAnsi="Times New Roman" w:cs="Times New Roman"/>
                <w:sz w:val="20"/>
                <w:szCs w:val="20"/>
              </w:rPr>
              <w:t>Adjusted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5011BC1C"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536A59E2"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-0.1</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32071988"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556B357F"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0.0</w:t>
            </w:r>
          </w:p>
        </w:tc>
        <w:tc>
          <w:tcPr>
            <w:tcW w:w="608" w:type="dxa"/>
            <w:tcBorders>
              <w:top w:val="dashed" w:sz="4" w:space="0" w:color="auto"/>
              <w:left w:val="dashed" w:sz="4" w:space="0" w:color="auto"/>
              <w:bottom w:val="dashed" w:sz="4" w:space="0" w:color="auto"/>
            </w:tcBorders>
            <w:shd w:val="clear" w:color="auto" w:fill="auto"/>
            <w:vAlign w:val="center"/>
          </w:tcPr>
          <w:p w14:paraId="0CF020BB"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0.0</w:t>
            </w:r>
          </w:p>
        </w:tc>
      </w:tr>
      <w:tr w:rsidR="00D90C86" w:rsidRPr="00EC356F" w14:paraId="0B0108A0" w14:textId="77777777" w:rsidTr="00A47234">
        <w:trPr>
          <w:trHeight w:val="20"/>
        </w:trPr>
        <w:tc>
          <w:tcPr>
            <w:tcW w:w="3169" w:type="dxa"/>
            <w:tcBorders>
              <w:top w:val="dashed" w:sz="4" w:space="0" w:color="auto"/>
              <w:bottom w:val="dashed" w:sz="4" w:space="0" w:color="auto"/>
              <w:right w:val="dashed" w:sz="4" w:space="0" w:color="auto"/>
            </w:tcBorders>
            <w:shd w:val="clear" w:color="auto" w:fill="auto"/>
          </w:tcPr>
          <w:p w14:paraId="56782C71" w14:textId="77777777" w:rsidR="00D90C86" w:rsidRPr="00D90C86" w:rsidRDefault="00D90C86" w:rsidP="00DF2762">
            <w:pPr>
              <w:spacing w:before="30" w:after="20"/>
              <w:rPr>
                <w:rFonts w:ascii="Times New Roman" w:eastAsia="Calibri" w:hAnsi="Times New Roman" w:cs="Times New Roman"/>
                <w:sz w:val="20"/>
                <w:szCs w:val="20"/>
              </w:rPr>
            </w:pPr>
            <w:r w:rsidRPr="00D90C86">
              <w:rPr>
                <w:rFonts w:ascii="Times New Roman" w:eastAsia="Calibri" w:hAnsi="Times New Roman" w:cs="Times New Roman"/>
                <w:sz w:val="20"/>
                <w:szCs w:val="20"/>
              </w:rPr>
              <w:t>Cyclical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5B4DD479"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-0.3</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53DD1599"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-0.3</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63928125"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-0.2</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06715E3C"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-0.1</w:t>
            </w:r>
          </w:p>
        </w:tc>
        <w:tc>
          <w:tcPr>
            <w:tcW w:w="608" w:type="dxa"/>
            <w:tcBorders>
              <w:top w:val="dashed" w:sz="4" w:space="0" w:color="auto"/>
              <w:left w:val="dashed" w:sz="4" w:space="0" w:color="auto"/>
              <w:bottom w:val="dashed" w:sz="4" w:space="0" w:color="auto"/>
            </w:tcBorders>
            <w:shd w:val="clear" w:color="auto" w:fill="auto"/>
            <w:vAlign w:val="center"/>
          </w:tcPr>
          <w:p w14:paraId="4638C597"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0.0</w:t>
            </w:r>
          </w:p>
        </w:tc>
      </w:tr>
      <w:tr w:rsidR="00D90C86" w:rsidRPr="00EC356F" w14:paraId="69223F07" w14:textId="77777777" w:rsidTr="00A47234">
        <w:trPr>
          <w:trHeight w:val="20"/>
        </w:trPr>
        <w:tc>
          <w:tcPr>
            <w:tcW w:w="3169" w:type="dxa"/>
            <w:tcBorders>
              <w:top w:val="dashed" w:sz="4" w:space="0" w:color="auto"/>
              <w:bottom w:val="dashed" w:sz="4" w:space="0" w:color="auto"/>
              <w:right w:val="dashed" w:sz="4" w:space="0" w:color="auto"/>
            </w:tcBorders>
            <w:shd w:val="clear" w:color="auto" w:fill="auto"/>
          </w:tcPr>
          <w:p w14:paraId="41B4A2A3" w14:textId="77777777" w:rsidR="00D90C86" w:rsidRPr="00D90C86" w:rsidRDefault="00D90C86" w:rsidP="00DF2762">
            <w:pPr>
              <w:spacing w:before="30" w:after="20"/>
              <w:rPr>
                <w:rFonts w:ascii="Times New Roman" w:eastAsia="Calibri" w:hAnsi="Times New Roman" w:cs="Times New Roman"/>
                <w:sz w:val="20"/>
                <w:szCs w:val="20"/>
              </w:rPr>
            </w:pPr>
            <w:r w:rsidRPr="00D90C86">
              <w:rPr>
                <w:rFonts w:ascii="Times New Roman" w:eastAsia="Calibri" w:hAnsi="Times New Roman" w:cs="Times New Roman"/>
                <w:sz w:val="20"/>
                <w:szCs w:val="20"/>
              </w:rPr>
              <w:t>Cyclically adjusted primary balance (structural balance sheet)</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49D0301D"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0.7</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52D2ADC3"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0.2</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7760FAE3"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-0.2</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5E85C9A1"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0.1</w:t>
            </w:r>
          </w:p>
        </w:tc>
        <w:tc>
          <w:tcPr>
            <w:tcW w:w="608" w:type="dxa"/>
            <w:tcBorders>
              <w:top w:val="dashed" w:sz="4" w:space="0" w:color="auto"/>
              <w:left w:val="dashed" w:sz="4" w:space="0" w:color="auto"/>
              <w:bottom w:val="dashed" w:sz="4" w:space="0" w:color="auto"/>
            </w:tcBorders>
            <w:shd w:val="clear" w:color="auto" w:fill="auto"/>
            <w:vAlign w:val="center"/>
          </w:tcPr>
          <w:p w14:paraId="4D95065F"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0.0</w:t>
            </w:r>
          </w:p>
        </w:tc>
      </w:tr>
      <w:tr w:rsidR="00D90C86" w:rsidRPr="00EC356F" w14:paraId="527E993F" w14:textId="77777777" w:rsidTr="00A47234">
        <w:trPr>
          <w:trHeight w:val="20"/>
        </w:trPr>
        <w:tc>
          <w:tcPr>
            <w:tcW w:w="3169" w:type="dxa"/>
            <w:tcBorders>
              <w:top w:val="dashed" w:sz="4" w:space="0" w:color="auto"/>
              <w:right w:val="dashed" w:sz="4" w:space="0" w:color="auto"/>
            </w:tcBorders>
            <w:shd w:val="clear" w:color="auto" w:fill="auto"/>
          </w:tcPr>
          <w:p w14:paraId="61D8EB8C" w14:textId="77777777" w:rsidR="00D90C86" w:rsidRPr="00D90C86" w:rsidRDefault="00D90C86" w:rsidP="00DF2762">
            <w:pPr>
              <w:spacing w:before="30" w:after="20"/>
              <w:rPr>
                <w:rFonts w:ascii="Times New Roman" w:eastAsia="Calibri" w:hAnsi="Times New Roman" w:cs="Times New Roman"/>
                <w:sz w:val="20"/>
                <w:szCs w:val="20"/>
              </w:rPr>
            </w:pPr>
            <w:r w:rsidRPr="00D90C86">
              <w:rPr>
                <w:rFonts w:ascii="Times New Roman" w:eastAsia="Calibri" w:hAnsi="Times New Roman" w:cs="Times New Roman"/>
                <w:sz w:val="20"/>
                <w:szCs w:val="20"/>
              </w:rPr>
              <w:t>Fiscal stance*****</w:t>
            </w:r>
          </w:p>
        </w:tc>
        <w:tc>
          <w:tcPr>
            <w:tcW w:w="649" w:type="dxa"/>
            <w:tcBorders>
              <w:top w:val="dashed" w:sz="4" w:space="0" w:color="auto"/>
              <w:left w:val="dashed" w:sz="4" w:space="0" w:color="auto"/>
              <w:right w:val="dashed" w:sz="4" w:space="0" w:color="auto"/>
            </w:tcBorders>
            <w:shd w:val="clear" w:color="auto" w:fill="auto"/>
            <w:vAlign w:val="center"/>
          </w:tcPr>
          <w:p w14:paraId="59D14B4D" w14:textId="77777777" w:rsidR="00D90C86" w:rsidRPr="00D90C86" w:rsidRDefault="00D90C86" w:rsidP="00A47234">
            <w:pPr>
              <w:spacing w:before="20" w:after="20"/>
              <w:jc w:val="right"/>
              <w:rPr>
                <w:rFonts w:ascii="Times New Roman" w:eastAsia="Calibri" w:hAnsi="Times New Roman" w:cs="Times New Roman"/>
                <w:sz w:val="20"/>
                <w:szCs w:val="20"/>
              </w:rPr>
            </w:pPr>
          </w:p>
        </w:tc>
        <w:tc>
          <w:tcPr>
            <w:tcW w:w="608" w:type="dxa"/>
            <w:tcBorders>
              <w:top w:val="dashed" w:sz="4" w:space="0" w:color="auto"/>
              <w:left w:val="dashed" w:sz="4" w:space="0" w:color="auto"/>
              <w:right w:val="dashed" w:sz="4" w:space="0" w:color="auto"/>
            </w:tcBorders>
            <w:shd w:val="clear" w:color="auto" w:fill="auto"/>
            <w:vAlign w:val="center"/>
          </w:tcPr>
          <w:p w14:paraId="4D42A2F6"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0.5</w:t>
            </w:r>
          </w:p>
        </w:tc>
        <w:tc>
          <w:tcPr>
            <w:tcW w:w="608" w:type="dxa"/>
            <w:tcBorders>
              <w:top w:val="dashed" w:sz="4" w:space="0" w:color="auto"/>
              <w:left w:val="dashed" w:sz="4" w:space="0" w:color="auto"/>
              <w:right w:val="dashed" w:sz="4" w:space="0" w:color="auto"/>
            </w:tcBorders>
            <w:shd w:val="clear" w:color="auto" w:fill="auto"/>
            <w:vAlign w:val="center"/>
          </w:tcPr>
          <w:p w14:paraId="107296FB"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0.4</w:t>
            </w:r>
          </w:p>
        </w:tc>
        <w:tc>
          <w:tcPr>
            <w:tcW w:w="608" w:type="dxa"/>
            <w:tcBorders>
              <w:top w:val="dashed" w:sz="4" w:space="0" w:color="auto"/>
              <w:left w:val="dashed" w:sz="4" w:space="0" w:color="auto"/>
              <w:right w:val="dashed" w:sz="4" w:space="0" w:color="auto"/>
            </w:tcBorders>
            <w:shd w:val="clear" w:color="auto" w:fill="auto"/>
            <w:vAlign w:val="center"/>
          </w:tcPr>
          <w:p w14:paraId="1716C5F8"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-0.3</w:t>
            </w:r>
          </w:p>
        </w:tc>
        <w:tc>
          <w:tcPr>
            <w:tcW w:w="608" w:type="dxa"/>
            <w:tcBorders>
              <w:top w:val="dashed" w:sz="4" w:space="0" w:color="auto"/>
              <w:left w:val="dashed" w:sz="4" w:space="0" w:color="auto"/>
            </w:tcBorders>
            <w:shd w:val="clear" w:color="auto" w:fill="auto"/>
            <w:vAlign w:val="center"/>
          </w:tcPr>
          <w:p w14:paraId="5FB58A11" w14:textId="77777777" w:rsidR="00D90C86" w:rsidRPr="00D90C86" w:rsidRDefault="00D90C86" w:rsidP="00A47234">
            <w:pPr>
              <w:spacing w:before="20" w:after="20"/>
              <w:jc w:val="right"/>
              <w:rPr>
                <w:rFonts w:ascii="Times New Roman" w:eastAsia="Calibri" w:hAnsi="Times New Roman" w:cs="Times New Roman"/>
                <w:sz w:val="20"/>
                <w:szCs w:val="20"/>
              </w:rPr>
            </w:pPr>
            <w:r w:rsidRPr="00D90C86">
              <w:rPr>
                <w:rFonts w:ascii="Times New Roman" w:eastAsia="Calibri" w:hAnsi="Times New Roman" w:cs="Times New Roman"/>
                <w:sz w:val="20"/>
                <w:szCs w:val="20"/>
              </w:rPr>
              <w:t>0.1</w:t>
            </w:r>
          </w:p>
        </w:tc>
      </w:tr>
      <w:tr w:rsidR="00A9653E" w:rsidRPr="00EC356F" w14:paraId="776A3429" w14:textId="77777777" w:rsidTr="00DF2762">
        <w:trPr>
          <w:trHeight w:val="20"/>
        </w:trPr>
        <w:tc>
          <w:tcPr>
            <w:tcW w:w="6250" w:type="dxa"/>
            <w:gridSpan w:val="6"/>
            <w:shd w:val="clear" w:color="auto" w:fill="auto"/>
          </w:tcPr>
          <w:p w14:paraId="5DC9F561" w14:textId="77777777" w:rsidR="00A9653E" w:rsidRPr="00D90C86" w:rsidRDefault="00A9653E" w:rsidP="00DF2762">
            <w:pPr>
              <w:pStyle w:val="FootnoteText"/>
              <w:spacing w:before="30" w:after="20"/>
              <w:rPr>
                <w:i/>
              </w:rPr>
            </w:pPr>
            <w:r w:rsidRPr="00D90C86">
              <w:rPr>
                <w:i/>
              </w:rPr>
              <w:t>* Budget balance minus debt interest payments.</w:t>
            </w:r>
          </w:p>
          <w:p w14:paraId="27D76EDE" w14:textId="62BDD301" w:rsidR="00A9653E" w:rsidRPr="00D90C86" w:rsidRDefault="00A9653E" w:rsidP="00DF2762">
            <w:pPr>
              <w:pStyle w:val="FootnoteText"/>
              <w:spacing w:before="30" w:after="20"/>
              <w:rPr>
                <w:i/>
              </w:rPr>
            </w:pPr>
            <w:r w:rsidRPr="00D90C86">
              <w:rPr>
                <w:i/>
              </w:rPr>
              <w:t xml:space="preserve">** Temporary or one-off budget entries. In this case net </w:t>
            </w:r>
            <w:r w:rsidR="00EF280C">
              <w:rPr>
                <w:i/>
              </w:rPr>
              <w:t xml:space="preserve">lending </w:t>
            </w:r>
            <w:r w:rsidRPr="00D90C86">
              <w:rPr>
                <w:i/>
              </w:rPr>
              <w:t>is considered; the sign “+” means resources allocated and the sign “-” means resources repaid.</w:t>
            </w:r>
          </w:p>
          <w:p w14:paraId="0EC51251" w14:textId="77777777" w:rsidR="00A9653E" w:rsidRPr="00D90C86" w:rsidRDefault="00A9653E" w:rsidP="00DF2762">
            <w:pPr>
              <w:pStyle w:val="EndnoteText"/>
              <w:spacing w:before="30" w:after="20"/>
              <w:rPr>
                <w:i/>
              </w:rPr>
            </w:pPr>
            <w:r w:rsidRPr="00D90C86">
              <w:rPr>
                <w:i/>
              </w:rPr>
              <w:t xml:space="preserve">*** Primary balance sheet adjusted by one-off entries. </w:t>
            </w:r>
          </w:p>
          <w:p w14:paraId="395C74D5" w14:textId="77777777" w:rsidR="00A9653E" w:rsidRPr="00D90C86" w:rsidRDefault="00A9653E" w:rsidP="00DF2762">
            <w:pPr>
              <w:pStyle w:val="EndnoteText"/>
              <w:spacing w:before="30" w:after="20"/>
              <w:rPr>
                <w:i/>
              </w:rPr>
            </w:pPr>
            <w:r w:rsidRPr="00D90C86">
              <w:rPr>
                <w:i/>
              </w:rPr>
              <w:t>**** Central Bank estimate: a part of the budget balance which depends directly on the business cycles. The latter’s components depend on the GDP gap and revenues and expenditures elasticity coefficients on GDP gap.</w:t>
            </w:r>
          </w:p>
          <w:p w14:paraId="2AFAED31" w14:textId="77777777" w:rsidR="00A9653E" w:rsidRPr="00D90C86" w:rsidRDefault="00A9653E" w:rsidP="00EF280C">
            <w:pPr>
              <w:jc w:val="both"/>
              <w:rPr>
                <w:rFonts w:ascii="Times New Roman" w:eastAsia="Calibri" w:hAnsi="Times New Roman" w:cs="Times New Roman"/>
                <w:color w:val="FF0000"/>
                <w:sz w:val="20"/>
                <w:szCs w:val="20"/>
              </w:rPr>
            </w:pPr>
            <w:r w:rsidRPr="00D90C86">
              <w:rPr>
                <w:rFonts w:ascii="Times New Roman" w:hAnsi="Times New Roman" w:cs="Times New Roman"/>
                <w:i/>
                <w:sz w:val="20"/>
                <w:szCs w:val="20"/>
              </w:rPr>
              <w:t>***** Central Bank estimate: y/y change in the structural budget balance that reflects a discretionary nature of the fiscal policy (the positive sign denotes fiscal expansion and the negative sign denotes fiscal contraction).</w:t>
            </w:r>
          </w:p>
        </w:tc>
      </w:tr>
    </w:tbl>
    <w:p w14:paraId="405FEE0C" w14:textId="77777777" w:rsidR="00A9653E" w:rsidRPr="00EC356F" w:rsidRDefault="00A9653E" w:rsidP="00A9653E">
      <w:pPr>
        <w:spacing w:line="360" w:lineRule="auto"/>
        <w:jc w:val="both"/>
        <w:rPr>
          <w:rFonts w:ascii="Times New Roman" w:hAnsi="Times New Roman" w:cs="Times New Roman"/>
          <w:b/>
          <w:bCs/>
          <w:iCs/>
          <w:sz w:val="21"/>
          <w:szCs w:val="21"/>
        </w:rPr>
      </w:pPr>
      <w:r w:rsidRPr="00EC356F">
        <w:rPr>
          <w:rFonts w:ascii="Times New Roman" w:hAnsi="Times New Roman" w:cs="Times New Roman"/>
          <w:bCs/>
          <w:iCs/>
          <w:color w:val="000000"/>
          <w:sz w:val="21"/>
          <w:szCs w:val="21"/>
        </w:rPr>
        <w:t xml:space="preserve"> </w:t>
      </w:r>
    </w:p>
    <w:p w14:paraId="3B3C2497" w14:textId="77777777" w:rsidR="00A9653E" w:rsidRPr="00EC356F" w:rsidRDefault="00A9653E" w:rsidP="00A9653E">
      <w:pPr>
        <w:spacing w:line="360" w:lineRule="auto"/>
        <w:jc w:val="both"/>
        <w:rPr>
          <w:rFonts w:ascii="Times New Roman" w:hAnsi="Times New Roman" w:cs="Times New Roman"/>
          <w:b/>
          <w:bCs/>
          <w:iCs/>
          <w:sz w:val="21"/>
          <w:szCs w:val="21"/>
        </w:rPr>
      </w:pPr>
      <w:r w:rsidRPr="00EC356F">
        <w:rPr>
          <w:rFonts w:ascii="Times New Roman" w:hAnsi="Times New Roman" w:cs="Times New Roman"/>
          <w:b/>
          <w:bCs/>
          <w:iCs/>
          <w:sz w:val="21"/>
          <w:szCs w:val="21"/>
        </w:rPr>
        <w:t xml:space="preserve">To sum-up, the combined impact of the fiscal sector, private demand and labor market on domestic prices </w:t>
      </w:r>
      <w:r w:rsidR="00C7028F">
        <w:rPr>
          <w:rFonts w:ascii="Times New Roman" w:hAnsi="Times New Roman" w:cs="Times New Roman"/>
          <w:b/>
          <w:bCs/>
          <w:iCs/>
          <w:sz w:val="21"/>
          <w:szCs w:val="21"/>
        </w:rPr>
        <w:t>for the period from the 4th</w:t>
      </w:r>
      <w:r w:rsidRPr="00EC356F">
        <w:rPr>
          <w:rFonts w:ascii="Times New Roman" w:hAnsi="Times New Roman" w:cs="Times New Roman"/>
          <w:b/>
          <w:bCs/>
          <w:iCs/>
          <w:sz w:val="21"/>
          <w:szCs w:val="21"/>
        </w:rPr>
        <w:t xml:space="preserve"> </w:t>
      </w:r>
      <w:r w:rsidR="00C7028F">
        <w:rPr>
          <w:rFonts w:ascii="Times New Roman" w:hAnsi="Times New Roman" w:cs="Times New Roman"/>
          <w:b/>
          <w:bCs/>
          <w:iCs/>
          <w:sz w:val="21"/>
          <w:szCs w:val="21"/>
        </w:rPr>
        <w:t xml:space="preserve">quarter </w:t>
      </w:r>
      <w:r w:rsidRPr="00EC356F">
        <w:rPr>
          <w:rFonts w:ascii="Times New Roman" w:hAnsi="Times New Roman" w:cs="Times New Roman"/>
          <w:b/>
          <w:bCs/>
          <w:iCs/>
          <w:sz w:val="21"/>
          <w:szCs w:val="21"/>
        </w:rPr>
        <w:t xml:space="preserve">2014 </w:t>
      </w:r>
      <w:r w:rsidR="00C7028F">
        <w:rPr>
          <w:rFonts w:ascii="Times New Roman" w:hAnsi="Times New Roman" w:cs="Times New Roman"/>
          <w:b/>
          <w:bCs/>
          <w:iCs/>
          <w:sz w:val="21"/>
          <w:szCs w:val="21"/>
        </w:rPr>
        <w:t xml:space="preserve">up until late 2015 will </w:t>
      </w:r>
      <w:r w:rsidRPr="00EC356F">
        <w:rPr>
          <w:rFonts w:ascii="Times New Roman" w:hAnsi="Times New Roman" w:cs="Times New Roman"/>
          <w:b/>
          <w:bCs/>
          <w:iCs/>
          <w:sz w:val="21"/>
          <w:szCs w:val="21"/>
        </w:rPr>
        <w:t>be deflationary, 1.</w:t>
      </w:r>
      <w:r w:rsidR="00C7028F">
        <w:rPr>
          <w:rFonts w:ascii="Times New Roman" w:hAnsi="Times New Roman" w:cs="Times New Roman"/>
          <w:b/>
          <w:bCs/>
          <w:iCs/>
          <w:sz w:val="21"/>
          <w:szCs w:val="21"/>
        </w:rPr>
        <w:t>2</w:t>
      </w:r>
      <w:r w:rsidRPr="00EC356F">
        <w:rPr>
          <w:rFonts w:ascii="Times New Roman" w:hAnsi="Times New Roman" w:cs="Times New Roman"/>
          <w:b/>
          <w:bCs/>
          <w:iCs/>
          <w:sz w:val="21"/>
          <w:szCs w:val="21"/>
        </w:rPr>
        <w:t>-1.</w:t>
      </w:r>
      <w:r w:rsidR="00C7028F">
        <w:rPr>
          <w:rFonts w:ascii="Times New Roman" w:hAnsi="Times New Roman" w:cs="Times New Roman"/>
          <w:b/>
          <w:bCs/>
          <w:iCs/>
          <w:sz w:val="21"/>
          <w:szCs w:val="21"/>
        </w:rPr>
        <w:t>5</w:t>
      </w:r>
      <w:r w:rsidRPr="00EC356F">
        <w:rPr>
          <w:rFonts w:ascii="Times New Roman" w:hAnsi="Times New Roman" w:cs="Times New Roman"/>
          <w:b/>
          <w:bCs/>
          <w:iCs/>
          <w:sz w:val="21"/>
          <w:szCs w:val="21"/>
        </w:rPr>
        <w:t xml:space="preserve"> pp, which will phase out in early 201</w:t>
      </w:r>
      <w:r w:rsidR="00C7028F">
        <w:rPr>
          <w:rFonts w:ascii="Times New Roman" w:hAnsi="Times New Roman" w:cs="Times New Roman"/>
          <w:b/>
          <w:bCs/>
          <w:iCs/>
          <w:sz w:val="21"/>
          <w:szCs w:val="21"/>
        </w:rPr>
        <w:t>6</w:t>
      </w:r>
      <w:r w:rsidRPr="00EC356F">
        <w:rPr>
          <w:rFonts w:ascii="Times New Roman" w:hAnsi="Times New Roman" w:cs="Times New Roman"/>
          <w:b/>
          <w:bCs/>
          <w:iCs/>
          <w:sz w:val="21"/>
          <w:szCs w:val="21"/>
        </w:rPr>
        <w:t xml:space="preserve">. In the </w:t>
      </w:r>
      <w:r w:rsidR="00735665">
        <w:rPr>
          <w:rFonts w:ascii="Times New Roman" w:hAnsi="Times New Roman" w:cs="Times New Roman"/>
          <w:b/>
          <w:bCs/>
          <w:iCs/>
          <w:sz w:val="21"/>
          <w:szCs w:val="21"/>
        </w:rPr>
        <w:t xml:space="preserve">period </w:t>
      </w:r>
      <w:r w:rsidRPr="00EC356F">
        <w:rPr>
          <w:rFonts w:ascii="Times New Roman" w:hAnsi="Times New Roman" w:cs="Times New Roman"/>
          <w:b/>
          <w:bCs/>
          <w:iCs/>
          <w:sz w:val="21"/>
          <w:szCs w:val="21"/>
        </w:rPr>
        <w:t>201</w:t>
      </w:r>
      <w:r w:rsidR="00735665">
        <w:rPr>
          <w:rFonts w:ascii="Times New Roman" w:hAnsi="Times New Roman" w:cs="Times New Roman"/>
          <w:b/>
          <w:bCs/>
          <w:iCs/>
          <w:sz w:val="21"/>
          <w:szCs w:val="21"/>
        </w:rPr>
        <w:t>6-2017</w:t>
      </w:r>
      <w:r w:rsidRPr="00EC356F">
        <w:rPr>
          <w:rFonts w:ascii="Times New Roman" w:hAnsi="Times New Roman" w:cs="Times New Roman"/>
          <w:b/>
          <w:bCs/>
          <w:iCs/>
          <w:sz w:val="21"/>
          <w:szCs w:val="21"/>
        </w:rPr>
        <w:t xml:space="preserve">, </w:t>
      </w:r>
      <w:r w:rsidR="00735665" w:rsidRPr="00EC356F">
        <w:rPr>
          <w:rFonts w:ascii="Times New Roman" w:hAnsi="Times New Roman" w:cs="Times New Roman"/>
          <w:b/>
          <w:bCs/>
          <w:iCs/>
          <w:sz w:val="21"/>
          <w:szCs w:val="21"/>
        </w:rPr>
        <w:t xml:space="preserve">the impact of domestic demand and labor market on </w:t>
      </w:r>
      <w:r w:rsidR="00735665">
        <w:rPr>
          <w:rFonts w:ascii="Times New Roman" w:hAnsi="Times New Roman" w:cs="Times New Roman"/>
          <w:b/>
          <w:bCs/>
          <w:iCs/>
          <w:sz w:val="21"/>
          <w:szCs w:val="21"/>
        </w:rPr>
        <w:t xml:space="preserve">the </w:t>
      </w:r>
      <w:r w:rsidR="00735665" w:rsidRPr="00EC356F">
        <w:rPr>
          <w:rFonts w:ascii="Times New Roman" w:hAnsi="Times New Roman" w:cs="Times New Roman"/>
          <w:b/>
          <w:bCs/>
          <w:iCs/>
          <w:sz w:val="21"/>
          <w:szCs w:val="21"/>
        </w:rPr>
        <w:t>inflation is estimated to be neutral.</w:t>
      </w:r>
      <w:r w:rsidR="00735665">
        <w:rPr>
          <w:rFonts w:ascii="Times New Roman" w:hAnsi="Times New Roman" w:cs="Times New Roman"/>
          <w:b/>
          <w:bCs/>
          <w:iCs/>
          <w:sz w:val="21"/>
          <w:szCs w:val="21"/>
        </w:rPr>
        <w:t xml:space="preserve"> </w:t>
      </w:r>
    </w:p>
    <w:p w14:paraId="0D5493B8" w14:textId="77777777" w:rsidR="00A12A53" w:rsidRDefault="00A12A53" w:rsidP="00A9653E">
      <w:pPr>
        <w:spacing w:line="360" w:lineRule="auto"/>
        <w:jc w:val="both"/>
        <w:rPr>
          <w:rFonts w:ascii="Times New Roman" w:hAnsi="Times New Roman" w:cs="Times New Roman"/>
          <w:b/>
          <w:bCs/>
          <w:iCs/>
          <w:color w:val="000000"/>
          <w:sz w:val="21"/>
          <w:szCs w:val="21"/>
        </w:rPr>
      </w:pPr>
    </w:p>
    <w:p w14:paraId="00B3ABAD" w14:textId="77777777" w:rsidR="00A9653E" w:rsidRPr="00EC356F" w:rsidRDefault="00A9653E" w:rsidP="00A9653E">
      <w:pPr>
        <w:spacing w:line="360" w:lineRule="auto"/>
        <w:jc w:val="both"/>
        <w:rPr>
          <w:rFonts w:ascii="Times New Roman" w:hAnsi="Times New Roman" w:cs="Times New Roman"/>
          <w:b/>
          <w:bCs/>
          <w:iCs/>
          <w:color w:val="000000"/>
          <w:sz w:val="21"/>
          <w:szCs w:val="21"/>
        </w:rPr>
      </w:pPr>
      <w:r w:rsidRPr="00EC356F">
        <w:rPr>
          <w:rFonts w:ascii="Times New Roman" w:hAnsi="Times New Roman" w:cs="Times New Roman"/>
          <w:b/>
          <w:bCs/>
          <w:iCs/>
          <w:color w:val="000000"/>
          <w:sz w:val="21"/>
          <w:szCs w:val="21"/>
        </w:rPr>
        <w:t>2.3 Inflation forecasts and monetary policy directions in 3-year forecast horizon</w:t>
      </w:r>
    </w:p>
    <w:p w14:paraId="07CDB74F" w14:textId="16037D59" w:rsidR="00BC3AA7" w:rsidRDefault="00373136" w:rsidP="00A9653E">
      <w:pPr>
        <w:spacing w:line="360" w:lineRule="auto"/>
        <w:jc w:val="both"/>
        <w:rPr>
          <w:rFonts w:ascii="Times New Roman" w:hAnsi="Times New Roman" w:cs="Times New Roman"/>
          <w:iCs/>
          <w:sz w:val="21"/>
          <w:szCs w:val="21"/>
        </w:rPr>
      </w:pPr>
      <w:r>
        <w:rPr>
          <w:rFonts w:ascii="Times New Roman" w:hAnsi="Times New Roman" w:cs="Times New Roman"/>
          <w:iCs/>
          <w:sz w:val="21"/>
          <w:szCs w:val="21"/>
        </w:rPr>
        <w:t>In the external sector, economic activity slowed down to a certain extent. This, coupled with</w:t>
      </w:r>
      <w:r w:rsidR="00391333">
        <w:rPr>
          <w:rFonts w:ascii="Times New Roman" w:hAnsi="Times New Roman" w:cs="Times New Roman"/>
          <w:iCs/>
          <w:sz w:val="21"/>
          <w:szCs w:val="21"/>
        </w:rPr>
        <w:t xml:space="preserve"> supply </w:t>
      </w:r>
      <w:r>
        <w:rPr>
          <w:rFonts w:ascii="Times New Roman" w:hAnsi="Times New Roman" w:cs="Times New Roman"/>
          <w:iCs/>
          <w:sz w:val="21"/>
          <w:szCs w:val="21"/>
        </w:rPr>
        <w:t xml:space="preserve"> factors has </w:t>
      </w:r>
      <w:r w:rsidR="00391333">
        <w:rPr>
          <w:rFonts w:ascii="Times New Roman" w:hAnsi="Times New Roman" w:cs="Times New Roman"/>
          <w:iCs/>
          <w:sz w:val="21"/>
          <w:szCs w:val="21"/>
        </w:rPr>
        <w:t xml:space="preserve">generated </w:t>
      </w:r>
      <w:r>
        <w:rPr>
          <w:rFonts w:ascii="Times New Roman" w:hAnsi="Times New Roman" w:cs="Times New Roman"/>
          <w:iCs/>
          <w:sz w:val="21"/>
          <w:szCs w:val="21"/>
        </w:rPr>
        <w:t xml:space="preserve">more </w:t>
      </w:r>
      <w:r w:rsidR="00391333">
        <w:rPr>
          <w:rFonts w:ascii="Times New Roman" w:hAnsi="Times New Roman" w:cs="Times New Roman"/>
          <w:iCs/>
          <w:sz w:val="21"/>
          <w:szCs w:val="21"/>
        </w:rPr>
        <w:t xml:space="preserve">than expected </w:t>
      </w:r>
      <w:r>
        <w:rPr>
          <w:rFonts w:ascii="Times New Roman" w:hAnsi="Times New Roman" w:cs="Times New Roman"/>
          <w:iCs/>
          <w:sz w:val="21"/>
          <w:szCs w:val="21"/>
        </w:rPr>
        <w:t xml:space="preserve">deflationary patterns in </w:t>
      </w:r>
      <w:r w:rsidR="00391333">
        <w:rPr>
          <w:rFonts w:ascii="Times New Roman" w:hAnsi="Times New Roman" w:cs="Times New Roman"/>
          <w:iCs/>
          <w:sz w:val="21"/>
          <w:szCs w:val="21"/>
        </w:rPr>
        <w:t xml:space="preserve">commodities </w:t>
      </w:r>
      <w:r>
        <w:rPr>
          <w:rFonts w:ascii="Times New Roman" w:hAnsi="Times New Roman" w:cs="Times New Roman"/>
          <w:iCs/>
          <w:sz w:val="21"/>
          <w:szCs w:val="21"/>
        </w:rPr>
        <w:t xml:space="preserve">and food product markets.  </w:t>
      </w:r>
    </w:p>
    <w:p w14:paraId="79FE12A9" w14:textId="7105B4F8" w:rsidR="00A9653E" w:rsidRPr="00EC356F" w:rsidRDefault="00A9653E" w:rsidP="00BC3AA7">
      <w:pPr>
        <w:spacing w:line="360" w:lineRule="auto"/>
        <w:jc w:val="both"/>
        <w:rPr>
          <w:rFonts w:ascii="Times New Roman" w:hAnsi="Times New Roman" w:cs="Times New Roman"/>
          <w:sz w:val="21"/>
          <w:szCs w:val="21"/>
        </w:rPr>
      </w:pPr>
      <w:r w:rsidRPr="00BC3AA7">
        <w:rPr>
          <w:rFonts w:ascii="Times New Roman" w:hAnsi="Times New Roman" w:cs="Times New Roman"/>
          <w:iCs/>
          <w:sz w:val="21"/>
          <w:szCs w:val="21"/>
        </w:rPr>
        <w:lastRenderedPageBreak/>
        <w:t xml:space="preserve">In the forecast horizon, </w:t>
      </w:r>
      <w:r w:rsidR="00BC3AA7">
        <w:rPr>
          <w:rFonts w:ascii="Times New Roman" w:hAnsi="Times New Roman" w:cs="Times New Roman"/>
          <w:iCs/>
          <w:sz w:val="21"/>
          <w:szCs w:val="21"/>
        </w:rPr>
        <w:t xml:space="preserve">global </w:t>
      </w:r>
      <w:r w:rsidRPr="00BC3AA7">
        <w:rPr>
          <w:rFonts w:ascii="Times New Roman" w:hAnsi="Times New Roman" w:cs="Times New Roman"/>
          <w:iCs/>
          <w:sz w:val="21"/>
          <w:szCs w:val="21"/>
        </w:rPr>
        <w:t>econom</w:t>
      </w:r>
      <w:r w:rsidR="00BC3AA7">
        <w:rPr>
          <w:rFonts w:ascii="Times New Roman" w:hAnsi="Times New Roman" w:cs="Times New Roman"/>
          <w:iCs/>
          <w:sz w:val="21"/>
          <w:szCs w:val="21"/>
        </w:rPr>
        <w:t>y</w:t>
      </w:r>
      <w:r w:rsidRPr="00BC3AA7">
        <w:rPr>
          <w:rFonts w:ascii="Times New Roman" w:hAnsi="Times New Roman" w:cs="Times New Roman"/>
          <w:iCs/>
          <w:sz w:val="21"/>
          <w:szCs w:val="21"/>
        </w:rPr>
        <w:t xml:space="preserve"> will recover </w:t>
      </w:r>
      <w:r w:rsidR="00BC3AA7">
        <w:rPr>
          <w:rFonts w:ascii="Times New Roman" w:hAnsi="Times New Roman" w:cs="Times New Roman"/>
          <w:iCs/>
          <w:sz w:val="21"/>
          <w:szCs w:val="21"/>
        </w:rPr>
        <w:t xml:space="preserve">at a slower pace than expected, and this will be observed in both developing and developed countries, except for the U.S.A. In the meanwhile, </w:t>
      </w:r>
      <w:r w:rsidRPr="00BC3AA7">
        <w:rPr>
          <w:rFonts w:ascii="Times New Roman" w:hAnsi="Times New Roman" w:cs="Times New Roman"/>
          <w:iCs/>
          <w:sz w:val="21"/>
          <w:szCs w:val="21"/>
        </w:rPr>
        <w:t xml:space="preserve">uncertainties about </w:t>
      </w:r>
      <w:r w:rsidR="00BC3AA7">
        <w:rPr>
          <w:rFonts w:ascii="Times New Roman" w:hAnsi="Times New Roman" w:cs="Times New Roman"/>
          <w:iCs/>
          <w:sz w:val="21"/>
          <w:szCs w:val="21"/>
        </w:rPr>
        <w:t xml:space="preserve">economic prospects in main trade partner countries as well as commodities markets will persist amidst </w:t>
      </w:r>
      <w:r w:rsidRPr="00BC3AA7">
        <w:rPr>
          <w:rFonts w:ascii="Times New Roman" w:hAnsi="Times New Roman" w:cs="Times New Roman"/>
          <w:iCs/>
          <w:sz w:val="21"/>
          <w:szCs w:val="21"/>
        </w:rPr>
        <w:t xml:space="preserve">geopolitical </w:t>
      </w:r>
      <w:r w:rsidR="00BC3AA7">
        <w:rPr>
          <w:rFonts w:ascii="Times New Roman" w:hAnsi="Times New Roman" w:cs="Times New Roman"/>
          <w:iCs/>
          <w:sz w:val="21"/>
          <w:szCs w:val="21"/>
        </w:rPr>
        <w:t xml:space="preserve">developments.  </w:t>
      </w:r>
    </w:p>
    <w:p w14:paraId="231ED53F"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With the global economy recovering at a slow</w:t>
      </w:r>
      <w:r w:rsidR="00323532">
        <w:rPr>
          <w:rFonts w:ascii="Times New Roman" w:hAnsi="Times New Roman" w:cs="Times New Roman"/>
          <w:sz w:val="21"/>
          <w:szCs w:val="21"/>
        </w:rPr>
        <w:t>er</w:t>
      </w:r>
      <w:r w:rsidRPr="00EC356F">
        <w:rPr>
          <w:rFonts w:ascii="Times New Roman" w:hAnsi="Times New Roman" w:cs="Times New Roman"/>
          <w:sz w:val="21"/>
          <w:szCs w:val="21"/>
        </w:rPr>
        <w:t xml:space="preserve"> pace, </w:t>
      </w:r>
      <w:r w:rsidR="00323532">
        <w:rPr>
          <w:rFonts w:ascii="Times New Roman" w:hAnsi="Times New Roman" w:cs="Times New Roman"/>
          <w:sz w:val="21"/>
          <w:szCs w:val="21"/>
        </w:rPr>
        <w:t>in</w:t>
      </w:r>
      <w:r w:rsidRPr="00EC356F">
        <w:rPr>
          <w:rFonts w:ascii="Times New Roman" w:hAnsi="Times New Roman" w:cs="Times New Roman"/>
          <w:sz w:val="21"/>
          <w:szCs w:val="21"/>
        </w:rPr>
        <w:t xml:space="preserve">flationary pressures </w:t>
      </w:r>
      <w:r w:rsidR="00323532" w:rsidRPr="00EC356F">
        <w:rPr>
          <w:rFonts w:ascii="Times New Roman" w:hAnsi="Times New Roman" w:cs="Times New Roman"/>
          <w:b/>
          <w:sz w:val="21"/>
          <w:szCs w:val="21"/>
        </w:rPr>
        <w:t>in the world’s main commodity and food product markets</w:t>
      </w:r>
      <w:r w:rsidR="00323532">
        <w:rPr>
          <w:rFonts w:ascii="Times New Roman" w:hAnsi="Times New Roman" w:cs="Times New Roman"/>
          <w:sz w:val="21"/>
          <w:szCs w:val="21"/>
        </w:rPr>
        <w:t xml:space="preserve"> will not be expected.</w:t>
      </w:r>
      <w:r w:rsidRPr="00EC356F">
        <w:rPr>
          <w:rFonts w:ascii="Times New Roman" w:hAnsi="Times New Roman" w:cs="Times New Roman"/>
          <w:sz w:val="21"/>
          <w:szCs w:val="21"/>
        </w:rPr>
        <w:t xml:space="preserve"> However, individual product markets may run into certain supply-driven issues attributable primarily to geopolitical, climatic and other events. </w:t>
      </w:r>
    </w:p>
    <w:p w14:paraId="7D27D020" w14:textId="77777777" w:rsidR="00A82D54" w:rsidRPr="000553AD" w:rsidRDefault="00A82D54" w:rsidP="00A9653E">
      <w:pPr>
        <w:spacing w:line="360" w:lineRule="auto"/>
        <w:jc w:val="both"/>
        <w:rPr>
          <w:rFonts w:ascii="Times New Roman" w:hAnsi="Times New Roman" w:cs="Times New Roman"/>
          <w:color w:val="0070C0"/>
          <w:sz w:val="18"/>
          <w:szCs w:val="18"/>
        </w:rPr>
      </w:pPr>
      <w:r w:rsidRPr="000553AD">
        <w:rPr>
          <w:rFonts w:ascii="Times New Roman" w:hAnsi="Times New Roman" w:cs="Times New Roman"/>
          <w:color w:val="0070C0"/>
          <w:sz w:val="18"/>
          <w:szCs w:val="18"/>
        </w:rPr>
        <w:t>In the 3rd quarter of 2014, economic activity grew to some extent, though growth rates were recovering at a slower pace…</w:t>
      </w:r>
    </w:p>
    <w:p w14:paraId="7B685DEC" w14:textId="77777777" w:rsidR="00924D41" w:rsidRPr="000553AD" w:rsidRDefault="00924D41" w:rsidP="00A9653E">
      <w:pPr>
        <w:spacing w:line="360" w:lineRule="auto"/>
        <w:jc w:val="both"/>
        <w:rPr>
          <w:rFonts w:ascii="Times New Roman" w:hAnsi="Times New Roman" w:cs="Times New Roman"/>
          <w:color w:val="0070C0"/>
          <w:sz w:val="18"/>
          <w:szCs w:val="18"/>
        </w:rPr>
      </w:pPr>
      <w:r w:rsidRPr="000553AD">
        <w:rPr>
          <w:rFonts w:ascii="Times New Roman" w:hAnsi="Times New Roman" w:cs="Times New Roman"/>
          <w:color w:val="0070C0"/>
          <w:sz w:val="18"/>
          <w:szCs w:val="18"/>
        </w:rPr>
        <w:t>Economic growth in the period January-September will be in the range 3.5-3.8%...</w:t>
      </w:r>
    </w:p>
    <w:p w14:paraId="6DE82224" w14:textId="02FC9259" w:rsidR="00995406"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 xml:space="preserve">In the </w:t>
      </w:r>
      <w:r w:rsidR="00AD641E">
        <w:rPr>
          <w:rFonts w:ascii="Times New Roman" w:hAnsi="Times New Roman" w:cs="Times New Roman"/>
          <w:b/>
          <w:sz w:val="21"/>
          <w:szCs w:val="21"/>
        </w:rPr>
        <w:t>3r</w:t>
      </w:r>
      <w:r w:rsidRPr="00EC356F">
        <w:rPr>
          <w:rFonts w:ascii="Times New Roman" w:hAnsi="Times New Roman" w:cs="Times New Roman"/>
          <w:b/>
          <w:sz w:val="21"/>
          <w:szCs w:val="21"/>
        </w:rPr>
        <w:t xml:space="preserve">d quarter of 2014, economic activity </w:t>
      </w:r>
      <w:r w:rsidR="00AD641E">
        <w:rPr>
          <w:rFonts w:ascii="Times New Roman" w:hAnsi="Times New Roman" w:cs="Times New Roman"/>
          <w:b/>
          <w:sz w:val="21"/>
          <w:szCs w:val="21"/>
        </w:rPr>
        <w:t xml:space="preserve">grew to some extent, with growth rates recovering </w:t>
      </w:r>
      <w:r w:rsidR="00FE306F">
        <w:rPr>
          <w:rFonts w:ascii="Times New Roman" w:hAnsi="Times New Roman" w:cs="Times New Roman"/>
          <w:b/>
          <w:sz w:val="21"/>
          <w:szCs w:val="21"/>
        </w:rPr>
        <w:t xml:space="preserve">more </w:t>
      </w:r>
      <w:r w:rsidR="00AD641E">
        <w:rPr>
          <w:rFonts w:ascii="Times New Roman" w:hAnsi="Times New Roman" w:cs="Times New Roman"/>
          <w:b/>
          <w:sz w:val="21"/>
          <w:szCs w:val="21"/>
        </w:rPr>
        <w:t>slowly</w:t>
      </w:r>
      <w:r w:rsidR="00FE306F">
        <w:rPr>
          <w:rFonts w:ascii="Times New Roman" w:hAnsi="Times New Roman" w:cs="Times New Roman"/>
          <w:b/>
          <w:sz w:val="21"/>
          <w:szCs w:val="21"/>
        </w:rPr>
        <w:t xml:space="preserve"> than expected</w:t>
      </w:r>
      <w:r w:rsidR="00AD641E">
        <w:rPr>
          <w:rFonts w:ascii="Times New Roman" w:hAnsi="Times New Roman" w:cs="Times New Roman"/>
          <w:sz w:val="21"/>
          <w:szCs w:val="21"/>
        </w:rPr>
        <w:t xml:space="preserve">. This was due to the developments in all sectors of the economy, except for agriculture which reported higher-than-expected growth rates. </w:t>
      </w:r>
      <w:r w:rsidR="00CE08A6">
        <w:rPr>
          <w:rFonts w:ascii="Times New Roman" w:hAnsi="Times New Roman" w:cs="Times New Roman"/>
          <w:sz w:val="21"/>
          <w:szCs w:val="21"/>
        </w:rPr>
        <w:t xml:space="preserve">As a result, economic growth in the </w:t>
      </w:r>
      <w:r w:rsidRPr="00EC356F">
        <w:rPr>
          <w:rFonts w:ascii="Times New Roman" w:hAnsi="Times New Roman" w:cs="Times New Roman"/>
          <w:sz w:val="21"/>
          <w:szCs w:val="21"/>
        </w:rPr>
        <w:t>period January-</w:t>
      </w:r>
      <w:r w:rsidR="00CE08A6">
        <w:rPr>
          <w:rFonts w:ascii="Times New Roman" w:hAnsi="Times New Roman" w:cs="Times New Roman"/>
          <w:sz w:val="21"/>
          <w:szCs w:val="21"/>
        </w:rPr>
        <w:t xml:space="preserve">September will be in the range </w:t>
      </w:r>
      <w:r w:rsidR="00CE08A6" w:rsidRPr="00C3092C">
        <w:rPr>
          <w:rFonts w:ascii="Times New Roman" w:hAnsi="Times New Roman" w:cs="Times New Roman"/>
          <w:b/>
          <w:sz w:val="21"/>
          <w:szCs w:val="21"/>
        </w:rPr>
        <w:t>3.5-3.8%</w:t>
      </w:r>
      <w:r w:rsidR="00C3092C">
        <w:rPr>
          <w:rFonts w:ascii="Times New Roman" w:hAnsi="Times New Roman" w:cs="Times New Roman"/>
          <w:sz w:val="21"/>
          <w:szCs w:val="21"/>
        </w:rPr>
        <w:t>, with agriculture and services as the</w:t>
      </w:r>
      <w:r w:rsidR="00C3092C" w:rsidRPr="00EC356F">
        <w:rPr>
          <w:rFonts w:ascii="Times New Roman" w:hAnsi="Times New Roman" w:cs="Times New Roman"/>
          <w:sz w:val="21"/>
          <w:szCs w:val="21"/>
        </w:rPr>
        <w:t xml:space="preserve"> main driver to </w:t>
      </w:r>
      <w:r w:rsidR="00C3092C">
        <w:rPr>
          <w:rFonts w:ascii="Times New Roman" w:hAnsi="Times New Roman" w:cs="Times New Roman"/>
          <w:sz w:val="21"/>
          <w:szCs w:val="21"/>
        </w:rPr>
        <w:t xml:space="preserve">the </w:t>
      </w:r>
      <w:r w:rsidR="00C3092C" w:rsidRPr="00EC356F">
        <w:rPr>
          <w:rFonts w:ascii="Times New Roman" w:hAnsi="Times New Roman" w:cs="Times New Roman"/>
          <w:sz w:val="21"/>
          <w:szCs w:val="21"/>
        </w:rPr>
        <w:t>economic growth</w:t>
      </w:r>
      <w:r w:rsidR="00C3092C">
        <w:rPr>
          <w:rFonts w:ascii="Times New Roman" w:hAnsi="Times New Roman" w:cs="Times New Roman"/>
          <w:sz w:val="21"/>
          <w:szCs w:val="21"/>
        </w:rPr>
        <w:t>.</w:t>
      </w:r>
    </w:p>
    <w:p w14:paraId="3152B641" w14:textId="29F1452C" w:rsidR="00150450" w:rsidRDefault="009704B3"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The slowing of economic activity in Russia, the </w:t>
      </w:r>
      <w:r w:rsidR="00E371EB">
        <w:rPr>
          <w:rFonts w:ascii="Times New Roman" w:hAnsi="Times New Roman" w:cs="Times New Roman"/>
          <w:sz w:val="21"/>
          <w:szCs w:val="21"/>
        </w:rPr>
        <w:t xml:space="preserve">main </w:t>
      </w:r>
      <w:r>
        <w:rPr>
          <w:rFonts w:ascii="Times New Roman" w:hAnsi="Times New Roman" w:cs="Times New Roman"/>
          <w:sz w:val="21"/>
          <w:szCs w:val="21"/>
        </w:rPr>
        <w:t>trad</w:t>
      </w:r>
      <w:r w:rsidR="00E371EB">
        <w:rPr>
          <w:rFonts w:ascii="Times New Roman" w:hAnsi="Times New Roman" w:cs="Times New Roman"/>
          <w:sz w:val="21"/>
          <w:szCs w:val="21"/>
        </w:rPr>
        <w:t>ing</w:t>
      </w:r>
      <w:r>
        <w:rPr>
          <w:rFonts w:ascii="Times New Roman" w:hAnsi="Times New Roman" w:cs="Times New Roman"/>
          <w:sz w:val="21"/>
          <w:szCs w:val="21"/>
        </w:rPr>
        <w:t xml:space="preserve"> and investment partner, and t</w:t>
      </w:r>
      <w:r w:rsidR="00A9653E" w:rsidRPr="00EC356F">
        <w:rPr>
          <w:rFonts w:ascii="Times New Roman" w:hAnsi="Times New Roman" w:cs="Times New Roman"/>
          <w:sz w:val="21"/>
          <w:szCs w:val="21"/>
        </w:rPr>
        <w:t>he</w:t>
      </w:r>
      <w:r>
        <w:rPr>
          <w:rFonts w:ascii="Times New Roman" w:hAnsi="Times New Roman" w:cs="Times New Roman"/>
          <w:sz w:val="21"/>
          <w:szCs w:val="21"/>
        </w:rPr>
        <w:t xml:space="preserve"> ruble </w:t>
      </w:r>
      <w:r w:rsidR="00E371EB">
        <w:rPr>
          <w:rFonts w:ascii="Times New Roman" w:hAnsi="Times New Roman" w:cs="Times New Roman"/>
          <w:sz w:val="21"/>
          <w:szCs w:val="21"/>
        </w:rPr>
        <w:t>depreciating</w:t>
      </w:r>
      <w:r>
        <w:rPr>
          <w:rFonts w:ascii="Times New Roman" w:hAnsi="Times New Roman" w:cs="Times New Roman"/>
          <w:sz w:val="21"/>
          <w:szCs w:val="21"/>
        </w:rPr>
        <w:t xml:space="preserve"> against the U.S. dollar</w:t>
      </w:r>
      <w:r w:rsidR="00A9653E" w:rsidRPr="00EC356F">
        <w:rPr>
          <w:rFonts w:ascii="Times New Roman" w:hAnsi="Times New Roman" w:cs="Times New Roman"/>
          <w:sz w:val="21"/>
          <w:szCs w:val="21"/>
        </w:rPr>
        <w:t xml:space="preserve"> </w:t>
      </w:r>
      <w:r w:rsidR="001529D1">
        <w:rPr>
          <w:rFonts w:ascii="Times New Roman" w:hAnsi="Times New Roman" w:cs="Times New Roman"/>
          <w:sz w:val="21"/>
          <w:szCs w:val="21"/>
        </w:rPr>
        <w:t xml:space="preserve">led to the </w:t>
      </w:r>
      <w:r w:rsidR="00E371EB">
        <w:rPr>
          <w:rFonts w:ascii="Times New Roman" w:hAnsi="Times New Roman" w:cs="Times New Roman"/>
          <w:sz w:val="21"/>
          <w:szCs w:val="21"/>
        </w:rPr>
        <w:t xml:space="preserve">decline in the net </w:t>
      </w:r>
      <w:r w:rsidR="001529D1">
        <w:rPr>
          <w:rFonts w:ascii="Times New Roman" w:hAnsi="Times New Roman" w:cs="Times New Roman"/>
          <w:sz w:val="21"/>
          <w:szCs w:val="21"/>
        </w:rPr>
        <w:t>inflow of private remittances of individuals and seasonal worker</w:t>
      </w:r>
      <w:r w:rsidR="00E371EB">
        <w:rPr>
          <w:rFonts w:ascii="Times New Roman" w:hAnsi="Times New Roman" w:cs="Times New Roman"/>
          <w:sz w:val="21"/>
          <w:szCs w:val="21"/>
        </w:rPr>
        <w:t>s</w:t>
      </w:r>
      <w:r w:rsidR="001529D1">
        <w:rPr>
          <w:rFonts w:ascii="Times New Roman" w:hAnsi="Times New Roman" w:cs="Times New Roman"/>
          <w:sz w:val="21"/>
          <w:szCs w:val="21"/>
        </w:rPr>
        <w:t xml:space="preserve"> income during the quarter, which reaches an estimated 7.8% y/y. Declined private transfers, combined with sluggish economic activity and mounting debt burden of households, has brought in a considerably lower level of private consumption. </w:t>
      </w:r>
    </w:p>
    <w:p w14:paraId="61E66AFB" w14:textId="77777777" w:rsidR="009B0B48" w:rsidRPr="000553AD" w:rsidRDefault="009B0B48" w:rsidP="00A9653E">
      <w:pPr>
        <w:spacing w:line="360" w:lineRule="auto"/>
        <w:jc w:val="both"/>
        <w:rPr>
          <w:rFonts w:ascii="Times New Roman" w:hAnsi="Times New Roman" w:cs="Times New Roman"/>
          <w:color w:val="0070C0"/>
          <w:sz w:val="18"/>
          <w:szCs w:val="18"/>
        </w:rPr>
      </w:pPr>
      <w:r w:rsidRPr="000553AD">
        <w:rPr>
          <w:rFonts w:ascii="Times New Roman" w:hAnsi="Times New Roman" w:cs="Times New Roman"/>
          <w:color w:val="0070C0"/>
          <w:sz w:val="18"/>
          <w:szCs w:val="18"/>
        </w:rPr>
        <w:t>Economic growth in 2014 is estimated in the range 3.1-3.6%...</w:t>
      </w:r>
    </w:p>
    <w:p w14:paraId="5FA318A4" w14:textId="77777777" w:rsidR="00D729BE" w:rsidRDefault="00150450" w:rsidP="00A9653E">
      <w:pPr>
        <w:spacing w:line="360" w:lineRule="auto"/>
        <w:jc w:val="both"/>
        <w:rPr>
          <w:rFonts w:ascii="Times New Roman" w:hAnsi="Times New Roman" w:cs="Times New Roman"/>
          <w:sz w:val="21"/>
          <w:szCs w:val="21"/>
        </w:rPr>
      </w:pPr>
      <w:r w:rsidRPr="00150450">
        <w:rPr>
          <w:rFonts w:ascii="Times New Roman" w:hAnsi="Times New Roman" w:cs="Times New Roman"/>
          <w:b/>
          <w:color w:val="000000"/>
          <w:sz w:val="21"/>
          <w:szCs w:val="21"/>
        </w:rPr>
        <w:t xml:space="preserve">The level of potential economic growth </w:t>
      </w:r>
      <w:r>
        <w:rPr>
          <w:rFonts w:ascii="Times New Roman" w:hAnsi="Times New Roman" w:cs="Times New Roman"/>
          <w:b/>
          <w:color w:val="000000"/>
          <w:sz w:val="21"/>
          <w:szCs w:val="21"/>
        </w:rPr>
        <w:t xml:space="preserve">in Armenia </w:t>
      </w:r>
      <w:r w:rsidRPr="00150450">
        <w:rPr>
          <w:rFonts w:ascii="Times New Roman" w:hAnsi="Times New Roman" w:cs="Times New Roman"/>
          <w:b/>
          <w:color w:val="000000"/>
          <w:sz w:val="21"/>
          <w:szCs w:val="21"/>
        </w:rPr>
        <w:t xml:space="preserve">was adjusted downside </w:t>
      </w:r>
      <w:r w:rsidR="00373BA3" w:rsidRPr="00373BA3">
        <w:rPr>
          <w:rFonts w:ascii="Times New Roman" w:hAnsi="Times New Roman" w:cs="Times New Roman"/>
          <w:color w:val="000000"/>
          <w:sz w:val="21"/>
          <w:szCs w:val="21"/>
        </w:rPr>
        <w:t xml:space="preserve">mainly due </w:t>
      </w:r>
      <w:r w:rsidR="00373BA3" w:rsidRPr="00F06BC6">
        <w:rPr>
          <w:rFonts w:ascii="Times New Roman" w:hAnsi="Times New Roman" w:cs="Times New Roman"/>
          <w:color w:val="000000"/>
          <w:sz w:val="21"/>
          <w:szCs w:val="21"/>
        </w:rPr>
        <w:t xml:space="preserve">to </w:t>
      </w:r>
      <w:r w:rsidR="00F06BC6" w:rsidRPr="00F06BC6">
        <w:rPr>
          <w:rFonts w:ascii="Times New Roman" w:hAnsi="Times New Roman" w:cs="Times New Roman"/>
          <w:color w:val="000000"/>
          <w:sz w:val="21"/>
          <w:szCs w:val="21"/>
        </w:rPr>
        <w:t>a weak investment activity in the dom</w:t>
      </w:r>
      <w:r w:rsidR="00F06BC6">
        <w:rPr>
          <w:rFonts w:ascii="Times New Roman" w:hAnsi="Times New Roman" w:cs="Times New Roman"/>
          <w:color w:val="000000"/>
          <w:sz w:val="21"/>
          <w:szCs w:val="21"/>
        </w:rPr>
        <w:t>e</w:t>
      </w:r>
      <w:r w:rsidR="00F06BC6" w:rsidRPr="00F06BC6">
        <w:rPr>
          <w:rFonts w:ascii="Times New Roman" w:hAnsi="Times New Roman" w:cs="Times New Roman"/>
          <w:color w:val="000000"/>
          <w:sz w:val="21"/>
          <w:szCs w:val="21"/>
        </w:rPr>
        <w:t>sti</w:t>
      </w:r>
      <w:r w:rsidR="00F06BC6">
        <w:rPr>
          <w:rFonts w:ascii="Times New Roman" w:hAnsi="Times New Roman" w:cs="Times New Roman"/>
          <w:color w:val="000000"/>
          <w:sz w:val="21"/>
          <w:szCs w:val="21"/>
        </w:rPr>
        <w:t>c</w:t>
      </w:r>
      <w:r w:rsidR="00F06BC6" w:rsidRPr="00F06BC6">
        <w:rPr>
          <w:rFonts w:ascii="Times New Roman" w:hAnsi="Times New Roman" w:cs="Times New Roman"/>
          <w:color w:val="000000"/>
          <w:sz w:val="21"/>
          <w:szCs w:val="21"/>
        </w:rPr>
        <w:t xml:space="preserve"> economy </w:t>
      </w:r>
      <w:r w:rsidR="00F06BC6">
        <w:rPr>
          <w:rFonts w:ascii="Times New Roman" w:hAnsi="Times New Roman" w:cs="Times New Roman"/>
          <w:color w:val="000000"/>
          <w:sz w:val="21"/>
          <w:szCs w:val="21"/>
        </w:rPr>
        <w:t xml:space="preserve">as well as </w:t>
      </w:r>
      <w:r w:rsidRPr="00F06BC6">
        <w:rPr>
          <w:rFonts w:ascii="Times New Roman" w:hAnsi="Times New Roman" w:cs="Times New Roman"/>
          <w:color w:val="000000"/>
          <w:sz w:val="21"/>
          <w:szCs w:val="21"/>
        </w:rPr>
        <w:t xml:space="preserve">declined levels of potential economic </w:t>
      </w:r>
      <w:r>
        <w:rPr>
          <w:rFonts w:ascii="Times New Roman" w:hAnsi="Times New Roman" w:cs="Times New Roman"/>
          <w:color w:val="000000"/>
          <w:sz w:val="21"/>
          <w:szCs w:val="21"/>
        </w:rPr>
        <w:t>growth in main trade partner countries</w:t>
      </w:r>
      <w:r w:rsidR="00F06BC6">
        <w:rPr>
          <w:rFonts w:ascii="Times New Roman" w:hAnsi="Times New Roman" w:cs="Times New Roman"/>
          <w:color w:val="000000"/>
          <w:sz w:val="21"/>
          <w:szCs w:val="21"/>
        </w:rPr>
        <w:t>.</w:t>
      </w:r>
      <w:r>
        <w:rPr>
          <w:rFonts w:ascii="Times New Roman" w:hAnsi="Times New Roman" w:cs="Times New Roman"/>
          <w:color w:val="000000"/>
          <w:sz w:val="21"/>
          <w:szCs w:val="21"/>
        </w:rPr>
        <w:t xml:space="preserve"> </w:t>
      </w:r>
      <w:r w:rsidR="005A6743">
        <w:rPr>
          <w:rFonts w:ascii="Times New Roman" w:hAnsi="Times New Roman" w:cs="Times New Roman"/>
          <w:color w:val="000000"/>
          <w:sz w:val="21"/>
          <w:szCs w:val="21"/>
        </w:rPr>
        <w:t>G</w:t>
      </w:r>
      <w:r w:rsidR="001843F3">
        <w:rPr>
          <w:rFonts w:ascii="Times New Roman" w:hAnsi="Times New Roman" w:cs="Times New Roman"/>
          <w:color w:val="000000"/>
          <w:sz w:val="21"/>
          <w:szCs w:val="21"/>
        </w:rPr>
        <w:t>iven more expansionary fiscal policy implementation (1.0 pp expansionary instead of neutral) during the quarter, the negative GDP gap proved smaller in the 3rd</w:t>
      </w:r>
      <w:r w:rsidRPr="001843F3">
        <w:rPr>
          <w:rFonts w:ascii="Times New Roman" w:hAnsi="Times New Roman" w:cs="Times New Roman"/>
          <w:color w:val="000000"/>
          <w:sz w:val="21"/>
          <w:szCs w:val="21"/>
        </w:rPr>
        <w:t xml:space="preserve"> </w:t>
      </w:r>
      <w:r w:rsidR="001843F3">
        <w:rPr>
          <w:rFonts w:ascii="Times New Roman" w:hAnsi="Times New Roman" w:cs="Times New Roman"/>
          <w:color w:val="000000"/>
          <w:sz w:val="21"/>
          <w:szCs w:val="21"/>
        </w:rPr>
        <w:t xml:space="preserve">quarter of 2014 thus </w:t>
      </w:r>
      <w:r w:rsidR="005A6743">
        <w:rPr>
          <w:rFonts w:ascii="Times New Roman" w:hAnsi="Times New Roman" w:cs="Times New Roman"/>
          <w:color w:val="000000"/>
          <w:sz w:val="21"/>
          <w:szCs w:val="21"/>
        </w:rPr>
        <w:t>facilitating the inflation rates to rebound faster:</w:t>
      </w:r>
      <w:r w:rsidR="001843F3">
        <w:rPr>
          <w:rFonts w:ascii="Times New Roman" w:hAnsi="Times New Roman" w:cs="Times New Roman"/>
          <w:sz w:val="21"/>
          <w:szCs w:val="21"/>
        </w:rPr>
        <w:t xml:space="preserve"> </w:t>
      </w:r>
      <w:r w:rsidR="001843F3" w:rsidRPr="00B67DB1">
        <w:rPr>
          <w:rFonts w:ascii="Times New Roman" w:hAnsi="Times New Roman" w:cs="Times New Roman"/>
          <w:b/>
          <w:sz w:val="21"/>
          <w:szCs w:val="21"/>
        </w:rPr>
        <w:t>in</w:t>
      </w:r>
      <w:r w:rsidR="005A6743">
        <w:rPr>
          <w:rFonts w:ascii="Times New Roman" w:hAnsi="Times New Roman" w:cs="Times New Roman"/>
          <w:b/>
          <w:sz w:val="21"/>
          <w:szCs w:val="21"/>
        </w:rPr>
        <w:t xml:space="preserve"> </w:t>
      </w:r>
      <w:r w:rsidR="001843F3" w:rsidRPr="00B67DB1">
        <w:rPr>
          <w:rFonts w:ascii="Times New Roman" w:hAnsi="Times New Roman" w:cs="Times New Roman"/>
          <w:b/>
          <w:sz w:val="21"/>
          <w:szCs w:val="21"/>
        </w:rPr>
        <w:t>September the 12-month inflation rate was 1.5%</w:t>
      </w:r>
      <w:r w:rsidR="005A6743">
        <w:rPr>
          <w:rFonts w:ascii="Times New Roman" w:hAnsi="Times New Roman" w:cs="Times New Roman"/>
          <w:b/>
          <w:sz w:val="21"/>
          <w:szCs w:val="21"/>
        </w:rPr>
        <w:t xml:space="preserve"> y/y</w:t>
      </w:r>
      <w:r w:rsidR="005A6743">
        <w:rPr>
          <w:rFonts w:ascii="Times New Roman" w:hAnsi="Times New Roman" w:cs="Times New Roman"/>
          <w:sz w:val="21"/>
          <w:szCs w:val="21"/>
        </w:rPr>
        <w:t xml:space="preserve">. </w:t>
      </w:r>
    </w:p>
    <w:p w14:paraId="0EF53648" w14:textId="54A6C481" w:rsidR="002C07D3" w:rsidRPr="00EC356F" w:rsidRDefault="00D729BE" w:rsidP="002C07D3">
      <w:pPr>
        <w:spacing w:line="360" w:lineRule="auto"/>
        <w:jc w:val="both"/>
        <w:rPr>
          <w:rFonts w:ascii="Times New Roman" w:hAnsi="Times New Roman" w:cs="Times New Roman"/>
          <w:sz w:val="21"/>
          <w:szCs w:val="21"/>
        </w:rPr>
      </w:pPr>
      <w:r w:rsidRPr="00D729BE">
        <w:rPr>
          <w:rFonts w:ascii="Times New Roman" w:hAnsi="Times New Roman" w:cs="Times New Roman"/>
          <w:sz w:val="21"/>
          <w:szCs w:val="21"/>
        </w:rPr>
        <w:t>Actual developments in the domestic economy</w:t>
      </w:r>
      <w:r>
        <w:rPr>
          <w:rFonts w:ascii="Times New Roman" w:hAnsi="Times New Roman" w:cs="Times New Roman"/>
          <w:sz w:val="21"/>
          <w:szCs w:val="21"/>
        </w:rPr>
        <w:t xml:space="preserve">, </w:t>
      </w:r>
      <w:r w:rsidR="002C07D3">
        <w:rPr>
          <w:rFonts w:ascii="Times New Roman" w:hAnsi="Times New Roman" w:cs="Times New Roman"/>
          <w:sz w:val="21"/>
          <w:szCs w:val="21"/>
        </w:rPr>
        <w:t xml:space="preserve">a slow pace of implementation of planned construction projects and negative developments spilled over from Russia all have prompted to revise </w:t>
      </w:r>
      <w:r w:rsidR="002C07D3" w:rsidRPr="002C07D3">
        <w:rPr>
          <w:rFonts w:ascii="Times New Roman" w:hAnsi="Times New Roman" w:cs="Times New Roman"/>
          <w:b/>
          <w:sz w:val="21"/>
          <w:szCs w:val="21"/>
        </w:rPr>
        <w:t>A</w:t>
      </w:r>
      <w:r>
        <w:rPr>
          <w:rFonts w:ascii="Times New Roman" w:hAnsi="Times New Roman" w:cs="Times New Roman"/>
          <w:b/>
          <w:sz w:val="21"/>
          <w:szCs w:val="21"/>
        </w:rPr>
        <w:t>rmenia’s economic growth downside in 2014</w:t>
      </w:r>
      <w:r w:rsidR="00B25388">
        <w:rPr>
          <w:rFonts w:ascii="Times New Roman" w:hAnsi="Times New Roman" w:cs="Times New Roman"/>
          <w:b/>
          <w:sz w:val="21"/>
          <w:szCs w:val="21"/>
        </w:rPr>
        <w:t xml:space="preserve"> which is </w:t>
      </w:r>
      <w:r w:rsidR="002C07D3" w:rsidRPr="002C07D3">
        <w:rPr>
          <w:rFonts w:ascii="Times New Roman" w:hAnsi="Times New Roman" w:cs="Times New Roman"/>
          <w:sz w:val="21"/>
          <w:szCs w:val="21"/>
        </w:rPr>
        <w:t xml:space="preserve"> </w:t>
      </w:r>
      <w:r w:rsidRPr="00D729BE">
        <w:rPr>
          <w:rFonts w:ascii="Times New Roman" w:hAnsi="Times New Roman" w:cs="Times New Roman"/>
          <w:sz w:val="21"/>
          <w:szCs w:val="21"/>
        </w:rPr>
        <w:t>estimated to be in the range</w:t>
      </w:r>
      <w:r>
        <w:rPr>
          <w:rFonts w:ascii="Times New Roman" w:hAnsi="Times New Roman" w:cs="Times New Roman"/>
          <w:b/>
          <w:sz w:val="21"/>
          <w:szCs w:val="21"/>
        </w:rPr>
        <w:t xml:space="preserve"> 3.1-3.6%. </w:t>
      </w:r>
      <w:r w:rsidR="002C07D3" w:rsidRPr="002C07D3">
        <w:rPr>
          <w:rFonts w:ascii="Times New Roman" w:hAnsi="Times New Roman" w:cs="Times New Roman"/>
          <w:sz w:val="21"/>
          <w:szCs w:val="21"/>
        </w:rPr>
        <w:lastRenderedPageBreak/>
        <w:t xml:space="preserve">Agriculture and </w:t>
      </w:r>
      <w:r w:rsidR="002C07D3" w:rsidRPr="00EC356F">
        <w:rPr>
          <w:rFonts w:ascii="Times New Roman" w:hAnsi="Times New Roman" w:cs="Times New Roman"/>
          <w:sz w:val="21"/>
          <w:szCs w:val="21"/>
        </w:rPr>
        <w:t>services sector</w:t>
      </w:r>
      <w:r w:rsidR="002C07D3">
        <w:rPr>
          <w:rFonts w:ascii="Times New Roman" w:hAnsi="Times New Roman" w:cs="Times New Roman"/>
          <w:sz w:val="21"/>
          <w:szCs w:val="21"/>
        </w:rPr>
        <w:t>s</w:t>
      </w:r>
      <w:r w:rsidR="002C07D3" w:rsidRPr="00EC356F">
        <w:rPr>
          <w:rFonts w:ascii="Times New Roman" w:hAnsi="Times New Roman" w:cs="Times New Roman"/>
          <w:sz w:val="21"/>
          <w:szCs w:val="21"/>
        </w:rPr>
        <w:t xml:space="preserve"> will remain the main driver to </w:t>
      </w:r>
      <w:r w:rsidR="002C07D3">
        <w:rPr>
          <w:rFonts w:ascii="Times New Roman" w:hAnsi="Times New Roman" w:cs="Times New Roman"/>
          <w:sz w:val="21"/>
          <w:szCs w:val="21"/>
        </w:rPr>
        <w:t xml:space="preserve">the </w:t>
      </w:r>
      <w:r w:rsidR="002C07D3" w:rsidRPr="00EC356F">
        <w:rPr>
          <w:rFonts w:ascii="Times New Roman" w:hAnsi="Times New Roman" w:cs="Times New Roman"/>
          <w:sz w:val="21"/>
          <w:szCs w:val="21"/>
        </w:rPr>
        <w:t>economic growth, with an estimated contribution of 3</w:t>
      </w:r>
      <w:r w:rsidR="002C07D3">
        <w:rPr>
          <w:rFonts w:ascii="Times New Roman" w:hAnsi="Times New Roman" w:cs="Times New Roman"/>
          <w:sz w:val="21"/>
          <w:szCs w:val="21"/>
        </w:rPr>
        <w:t xml:space="preserve">.0-3.3 </w:t>
      </w:r>
      <w:r w:rsidR="002C07D3" w:rsidRPr="00EC356F">
        <w:rPr>
          <w:rFonts w:ascii="Times New Roman" w:hAnsi="Times New Roman" w:cs="Times New Roman"/>
          <w:sz w:val="21"/>
          <w:szCs w:val="21"/>
        </w:rPr>
        <w:t xml:space="preserve">pp. </w:t>
      </w:r>
    </w:p>
    <w:p w14:paraId="70300E71" w14:textId="547563DD" w:rsidR="009A55F5" w:rsidRDefault="00A9653E" w:rsidP="00A9653E">
      <w:pPr>
        <w:spacing w:line="360" w:lineRule="auto"/>
        <w:jc w:val="both"/>
        <w:rPr>
          <w:rFonts w:ascii="Times New Roman" w:hAnsi="Times New Roman" w:cs="Times New Roman"/>
          <w:sz w:val="21"/>
          <w:szCs w:val="21"/>
        </w:rPr>
      </w:pPr>
      <w:r w:rsidRPr="00967F70">
        <w:rPr>
          <w:rFonts w:ascii="Times New Roman" w:hAnsi="Times New Roman" w:cs="Times New Roman"/>
          <w:b/>
          <w:sz w:val="21"/>
          <w:szCs w:val="21"/>
        </w:rPr>
        <w:t>According to the Central Bank forecasts</w:t>
      </w:r>
      <w:r w:rsidRPr="00967F70">
        <w:rPr>
          <w:rFonts w:ascii="Times New Roman" w:hAnsi="Times New Roman" w:cs="Times New Roman"/>
          <w:sz w:val="21"/>
          <w:szCs w:val="21"/>
        </w:rPr>
        <w:t>,</w:t>
      </w:r>
      <w:r w:rsidRPr="00967F70">
        <w:rPr>
          <w:rFonts w:ascii="Times New Roman" w:hAnsi="Times New Roman" w:cs="Times New Roman"/>
          <w:b/>
          <w:sz w:val="21"/>
          <w:szCs w:val="21"/>
        </w:rPr>
        <w:t xml:space="preserve"> </w:t>
      </w:r>
      <w:r w:rsidR="009A55F5" w:rsidRPr="009A55F5">
        <w:rPr>
          <w:rFonts w:ascii="Times New Roman" w:hAnsi="Times New Roman" w:cs="Times New Roman"/>
          <w:sz w:val="21"/>
          <w:szCs w:val="21"/>
        </w:rPr>
        <w:t>in s</w:t>
      </w:r>
      <w:r w:rsidR="009A55F5">
        <w:rPr>
          <w:rFonts w:ascii="Times New Roman" w:hAnsi="Times New Roman" w:cs="Times New Roman"/>
          <w:sz w:val="21"/>
          <w:szCs w:val="21"/>
        </w:rPr>
        <w:t>pite of expected low demand in both external and domestic economies,</w:t>
      </w:r>
      <w:r w:rsidR="009A55F5" w:rsidRPr="00967F70">
        <w:rPr>
          <w:rFonts w:ascii="Times New Roman" w:hAnsi="Times New Roman" w:cs="Times New Roman"/>
          <w:sz w:val="21"/>
          <w:szCs w:val="21"/>
        </w:rPr>
        <w:t xml:space="preserve"> </w:t>
      </w:r>
      <w:r w:rsidR="00967F70" w:rsidRPr="00967F70">
        <w:rPr>
          <w:rFonts w:ascii="Times New Roman" w:hAnsi="Times New Roman" w:cs="Times New Roman"/>
          <w:sz w:val="21"/>
          <w:szCs w:val="21"/>
        </w:rPr>
        <w:t>the inflation rates are predicted to rebound as a result of</w:t>
      </w:r>
      <w:r w:rsidR="00B25388">
        <w:rPr>
          <w:rFonts w:ascii="Times New Roman" w:hAnsi="Times New Roman" w:cs="Times New Roman"/>
          <w:sz w:val="21"/>
          <w:szCs w:val="21"/>
        </w:rPr>
        <w:t xml:space="preserve"> labels</w:t>
      </w:r>
      <w:r w:rsidR="00967F70" w:rsidRPr="00EC356F">
        <w:rPr>
          <w:rFonts w:ascii="Times New Roman" w:hAnsi="Times New Roman" w:cs="Times New Roman"/>
          <w:b/>
          <w:sz w:val="21"/>
          <w:szCs w:val="21"/>
        </w:rPr>
        <w:t xml:space="preserve"> introduced</w:t>
      </w:r>
      <w:r w:rsidR="00967F70" w:rsidRPr="00EC356F">
        <w:rPr>
          <w:rFonts w:ascii="Times New Roman" w:hAnsi="Times New Roman" w:cs="Times New Roman"/>
          <w:sz w:val="21"/>
          <w:szCs w:val="21"/>
        </w:rPr>
        <w:t xml:space="preserve"> to a variety of goods </w:t>
      </w:r>
      <w:r w:rsidR="00967F70">
        <w:rPr>
          <w:rFonts w:ascii="Times New Roman" w:hAnsi="Times New Roman" w:cs="Times New Roman"/>
          <w:sz w:val="21"/>
          <w:szCs w:val="21"/>
        </w:rPr>
        <w:t xml:space="preserve">(making up 12% of the consumer basket) </w:t>
      </w:r>
      <w:r w:rsidR="00967F70" w:rsidRPr="00EC356F">
        <w:rPr>
          <w:rFonts w:ascii="Times New Roman" w:hAnsi="Times New Roman" w:cs="Times New Roman"/>
          <w:sz w:val="21"/>
          <w:szCs w:val="21"/>
        </w:rPr>
        <w:t>starting from the 4th quarter of 2014</w:t>
      </w:r>
      <w:r w:rsidR="00967F70">
        <w:rPr>
          <w:rFonts w:ascii="Times New Roman" w:hAnsi="Times New Roman" w:cs="Times New Roman"/>
          <w:sz w:val="21"/>
          <w:szCs w:val="21"/>
        </w:rPr>
        <w:t xml:space="preserve"> as well as </w:t>
      </w:r>
      <w:r w:rsidR="00967F70" w:rsidRPr="00B76C58">
        <w:rPr>
          <w:rFonts w:ascii="Times New Roman" w:hAnsi="Times New Roman" w:cs="Times New Roman"/>
          <w:b/>
          <w:sz w:val="21"/>
          <w:szCs w:val="21"/>
        </w:rPr>
        <w:t xml:space="preserve">Armenia’s membership to the Eurasia Economic </w:t>
      </w:r>
      <w:r w:rsidR="00967F70">
        <w:rPr>
          <w:rFonts w:ascii="Times New Roman" w:hAnsi="Times New Roman" w:cs="Times New Roman"/>
          <w:b/>
          <w:sz w:val="21"/>
          <w:szCs w:val="21"/>
        </w:rPr>
        <w:t xml:space="preserve">Community </w:t>
      </w:r>
      <w:r w:rsidR="00967F70" w:rsidRPr="00B76C58">
        <w:rPr>
          <w:rFonts w:ascii="Times New Roman" w:hAnsi="Times New Roman" w:cs="Times New Roman"/>
          <w:b/>
          <w:sz w:val="21"/>
          <w:szCs w:val="21"/>
        </w:rPr>
        <w:t>due on January 2015</w:t>
      </w:r>
      <w:r w:rsidR="00967F70">
        <w:rPr>
          <w:rFonts w:ascii="Times New Roman" w:hAnsi="Times New Roman" w:cs="Times New Roman"/>
          <w:b/>
          <w:sz w:val="21"/>
          <w:szCs w:val="21"/>
        </w:rPr>
        <w:t xml:space="preserve"> (primary influence on the inflation in the period 2015-2017 is estimated</w:t>
      </w:r>
      <w:r w:rsidR="00B25388">
        <w:rPr>
          <w:rFonts w:ascii="Times New Roman" w:hAnsi="Times New Roman" w:cs="Times New Roman"/>
          <w:b/>
          <w:sz w:val="21"/>
          <w:szCs w:val="21"/>
        </w:rPr>
        <w:t xml:space="preserve"> at most</w:t>
      </w:r>
      <w:r w:rsidR="00967F70">
        <w:rPr>
          <w:rFonts w:ascii="Times New Roman" w:hAnsi="Times New Roman" w:cs="Times New Roman"/>
          <w:b/>
          <w:sz w:val="21"/>
          <w:szCs w:val="21"/>
        </w:rPr>
        <w:t xml:space="preserve"> 0.4 pp)</w:t>
      </w:r>
      <w:r w:rsidR="003C35F6">
        <w:rPr>
          <w:rStyle w:val="FootnoteReference"/>
          <w:rFonts w:ascii="Times New Roman" w:hAnsi="Times New Roman" w:cs="Times New Roman"/>
          <w:b/>
          <w:sz w:val="21"/>
          <w:szCs w:val="21"/>
        </w:rPr>
        <w:footnoteReference w:customMarkFollows="1" w:id="11"/>
        <w:t>11</w:t>
      </w:r>
      <w:r w:rsidR="00967F70">
        <w:rPr>
          <w:rFonts w:ascii="Times New Roman" w:hAnsi="Times New Roman" w:cs="Times New Roman"/>
          <w:sz w:val="21"/>
          <w:szCs w:val="21"/>
        </w:rPr>
        <w:t>. Under these conditions, t</w:t>
      </w:r>
      <w:r w:rsidR="00967F70" w:rsidRPr="00EC356F">
        <w:rPr>
          <w:rFonts w:ascii="Times New Roman" w:hAnsi="Times New Roman" w:cs="Times New Roman"/>
          <w:sz w:val="21"/>
          <w:szCs w:val="21"/>
        </w:rPr>
        <w:t xml:space="preserve">he easing of monetary conditions to date </w:t>
      </w:r>
      <w:r w:rsidR="00967F70">
        <w:rPr>
          <w:rFonts w:ascii="Times New Roman" w:hAnsi="Times New Roman" w:cs="Times New Roman"/>
          <w:sz w:val="21"/>
          <w:szCs w:val="21"/>
        </w:rPr>
        <w:t xml:space="preserve">is believed to be enough for the attainment of the inflation target in the short run. </w:t>
      </w:r>
    </w:p>
    <w:p w14:paraId="7EA6FE48" w14:textId="77777777" w:rsidR="001A65F0" w:rsidRPr="001A65F0" w:rsidRDefault="001A65F0" w:rsidP="00A9653E">
      <w:pPr>
        <w:spacing w:line="360" w:lineRule="auto"/>
        <w:jc w:val="both"/>
        <w:rPr>
          <w:rFonts w:ascii="Times New Roman" w:hAnsi="Times New Roman" w:cs="Times New Roman"/>
          <w:sz w:val="21"/>
          <w:szCs w:val="21"/>
        </w:rPr>
      </w:pPr>
    </w:p>
    <w:p w14:paraId="67760C76" w14:textId="77777777" w:rsidR="001A65F0" w:rsidRPr="000553AD" w:rsidRDefault="001A65F0" w:rsidP="00A9653E">
      <w:pPr>
        <w:spacing w:line="360" w:lineRule="auto"/>
        <w:jc w:val="both"/>
        <w:rPr>
          <w:rFonts w:ascii="Times New Roman" w:hAnsi="Times New Roman" w:cs="Times New Roman"/>
          <w:color w:val="0070C0"/>
          <w:sz w:val="18"/>
          <w:szCs w:val="18"/>
        </w:rPr>
      </w:pPr>
      <w:r w:rsidRPr="000553AD">
        <w:rPr>
          <w:rFonts w:ascii="Times New Roman" w:hAnsi="Times New Roman" w:cs="Times New Roman"/>
          <w:color w:val="0070C0"/>
          <w:sz w:val="18"/>
          <w:szCs w:val="18"/>
        </w:rPr>
        <w:t>Inflation will continue to rise during the 4th quarter, as the refinancing rate persists at the current level, and will reach its target, making up 3.2% at the end of the year. In 2015 and the rest part of the forecast horizon, the inflation will be close to the target, varying within the confidence band…</w:t>
      </w:r>
    </w:p>
    <w:p w14:paraId="36C8F1E5" w14:textId="23805FB0" w:rsidR="006E1A9A" w:rsidRDefault="006A6D1D"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The Board of the Central Bank estimates that </w:t>
      </w:r>
      <w:r w:rsidR="006E1A9A">
        <w:rPr>
          <w:rFonts w:ascii="Times New Roman" w:hAnsi="Times New Roman" w:cs="Times New Roman"/>
          <w:sz w:val="21"/>
          <w:szCs w:val="21"/>
        </w:rPr>
        <w:t xml:space="preserve">the inflation will continue to rise </w:t>
      </w:r>
      <w:r w:rsidR="001A65F0">
        <w:rPr>
          <w:rFonts w:ascii="Times New Roman" w:hAnsi="Times New Roman" w:cs="Times New Roman"/>
          <w:sz w:val="21"/>
          <w:szCs w:val="21"/>
        </w:rPr>
        <w:t>during</w:t>
      </w:r>
      <w:r w:rsidR="006E1A9A">
        <w:rPr>
          <w:rFonts w:ascii="Times New Roman" w:hAnsi="Times New Roman" w:cs="Times New Roman"/>
          <w:sz w:val="21"/>
          <w:szCs w:val="21"/>
        </w:rPr>
        <w:t xml:space="preserve"> the 4th</w:t>
      </w:r>
      <w:r w:rsidR="006E1A9A" w:rsidRPr="00EC356F">
        <w:rPr>
          <w:rFonts w:ascii="Times New Roman" w:hAnsi="Times New Roman" w:cs="Times New Roman"/>
          <w:sz w:val="21"/>
          <w:szCs w:val="21"/>
        </w:rPr>
        <w:t xml:space="preserve"> </w:t>
      </w:r>
      <w:r w:rsidR="006E1A9A">
        <w:rPr>
          <w:rFonts w:ascii="Times New Roman" w:hAnsi="Times New Roman" w:cs="Times New Roman"/>
          <w:sz w:val="21"/>
          <w:szCs w:val="21"/>
        </w:rPr>
        <w:t xml:space="preserve">quarter, </w:t>
      </w:r>
      <w:r w:rsidR="006E1A9A" w:rsidRPr="006E1A9A">
        <w:rPr>
          <w:rFonts w:ascii="Times New Roman" w:hAnsi="Times New Roman" w:cs="Times New Roman"/>
          <w:b/>
          <w:sz w:val="21"/>
          <w:szCs w:val="21"/>
        </w:rPr>
        <w:t xml:space="preserve">as the refinancing rate persists at </w:t>
      </w:r>
      <w:r w:rsidR="001A65F0">
        <w:rPr>
          <w:rFonts w:ascii="Times New Roman" w:hAnsi="Times New Roman" w:cs="Times New Roman"/>
          <w:b/>
          <w:sz w:val="21"/>
          <w:szCs w:val="21"/>
        </w:rPr>
        <w:t xml:space="preserve">the </w:t>
      </w:r>
      <w:r w:rsidR="00221186">
        <w:rPr>
          <w:rFonts w:ascii="Times New Roman" w:hAnsi="Times New Roman" w:cs="Times New Roman"/>
          <w:b/>
          <w:sz w:val="21"/>
          <w:szCs w:val="21"/>
        </w:rPr>
        <w:t xml:space="preserve">current level </w:t>
      </w:r>
      <w:r w:rsidR="006E1A9A">
        <w:rPr>
          <w:rFonts w:ascii="Times New Roman" w:hAnsi="Times New Roman" w:cs="Times New Roman"/>
          <w:sz w:val="21"/>
          <w:szCs w:val="21"/>
        </w:rPr>
        <w:t xml:space="preserve">, and will reach its target, making up </w:t>
      </w:r>
      <w:r w:rsidR="006E1A9A" w:rsidRPr="006E1A9A">
        <w:rPr>
          <w:rFonts w:ascii="Times New Roman" w:hAnsi="Times New Roman" w:cs="Times New Roman"/>
          <w:b/>
          <w:sz w:val="21"/>
          <w:szCs w:val="21"/>
        </w:rPr>
        <w:t>3.2% at the end of the year</w:t>
      </w:r>
      <w:r w:rsidR="006E1A9A">
        <w:rPr>
          <w:rFonts w:ascii="Times New Roman" w:hAnsi="Times New Roman" w:cs="Times New Roman"/>
          <w:sz w:val="21"/>
          <w:szCs w:val="21"/>
        </w:rPr>
        <w:t xml:space="preserve">. In 2015 and the rest part of the forecast horizon, the inflation will be close to the target, varying within the confidence band. </w:t>
      </w:r>
    </w:p>
    <w:p w14:paraId="55F4AEAA" w14:textId="77777777" w:rsidR="00A9653E" w:rsidRPr="00EC356F" w:rsidRDefault="00D40444"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highlight w:val="yellow"/>
        </w:rPr>
        <w:t>T</w:t>
      </w:r>
      <w:r w:rsidR="00A9653E" w:rsidRPr="00EC356F">
        <w:rPr>
          <w:rFonts w:ascii="Times New Roman" w:hAnsi="Times New Roman" w:cs="Times New Roman"/>
          <w:sz w:val="21"/>
          <w:szCs w:val="21"/>
          <w:highlight w:val="yellow"/>
        </w:rPr>
        <w:t>able</w:t>
      </w:r>
    </w:p>
    <w:p w14:paraId="26DD8CBF" w14:textId="7E4D4AE9" w:rsidR="0029403D" w:rsidRDefault="00A9653E" w:rsidP="0029403D">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 xml:space="preserve">Risks to inflation deviating from the projected </w:t>
      </w:r>
      <w:r w:rsidR="00221186">
        <w:rPr>
          <w:rFonts w:ascii="Times New Roman" w:hAnsi="Times New Roman" w:cs="Times New Roman"/>
          <w:b/>
          <w:sz w:val="21"/>
          <w:szCs w:val="21"/>
        </w:rPr>
        <w:t xml:space="preserve">central </w:t>
      </w:r>
      <w:r w:rsidRPr="00EC356F">
        <w:rPr>
          <w:rFonts w:ascii="Times New Roman" w:hAnsi="Times New Roman" w:cs="Times New Roman"/>
          <w:b/>
          <w:sz w:val="21"/>
          <w:szCs w:val="21"/>
        </w:rPr>
        <w:t>value are estimated as balanced</w:t>
      </w:r>
      <w:r w:rsidRPr="00EC356F">
        <w:rPr>
          <w:rFonts w:ascii="Times New Roman" w:hAnsi="Times New Roman" w:cs="Times New Roman"/>
          <w:sz w:val="21"/>
          <w:szCs w:val="21"/>
        </w:rPr>
        <w:t xml:space="preserve"> in both short and medium-term perspectives. </w:t>
      </w:r>
      <w:r w:rsidRPr="00D40444">
        <w:rPr>
          <w:rFonts w:ascii="Times New Roman" w:hAnsi="Times New Roman" w:cs="Times New Roman"/>
          <w:b/>
          <w:sz w:val="21"/>
          <w:szCs w:val="21"/>
        </w:rPr>
        <w:t>Risks deriving from the external sector</w:t>
      </w:r>
      <w:r w:rsidRPr="00EC356F">
        <w:rPr>
          <w:rFonts w:ascii="Times New Roman" w:hAnsi="Times New Roman" w:cs="Times New Roman"/>
          <w:sz w:val="21"/>
          <w:szCs w:val="21"/>
        </w:rPr>
        <w:t xml:space="preserve"> are primarily associated with</w:t>
      </w:r>
      <w:r w:rsidR="00221186">
        <w:rPr>
          <w:rFonts w:ascii="Times New Roman" w:hAnsi="Times New Roman" w:cs="Times New Roman"/>
          <w:sz w:val="21"/>
          <w:szCs w:val="21"/>
        </w:rPr>
        <w:t xml:space="preserve"> recovery of </w:t>
      </w:r>
      <w:r w:rsidRPr="00EC356F">
        <w:rPr>
          <w:rFonts w:ascii="Times New Roman" w:hAnsi="Times New Roman" w:cs="Times New Roman"/>
          <w:sz w:val="21"/>
          <w:szCs w:val="21"/>
        </w:rPr>
        <w:t xml:space="preserve"> </w:t>
      </w:r>
      <w:r w:rsidR="00221186">
        <w:rPr>
          <w:rFonts w:ascii="Times New Roman" w:hAnsi="Times New Roman" w:cs="Times New Roman"/>
          <w:sz w:val="21"/>
          <w:szCs w:val="21"/>
        </w:rPr>
        <w:t xml:space="preserve">world </w:t>
      </w:r>
      <w:r w:rsidR="00D40444">
        <w:rPr>
          <w:rFonts w:ascii="Times New Roman" w:hAnsi="Times New Roman" w:cs="Times New Roman"/>
          <w:sz w:val="21"/>
          <w:szCs w:val="21"/>
        </w:rPr>
        <w:t xml:space="preserve">economic growth and </w:t>
      </w:r>
      <w:r w:rsidR="004F6D63">
        <w:rPr>
          <w:rFonts w:ascii="Times New Roman" w:hAnsi="Times New Roman" w:cs="Times New Roman"/>
          <w:sz w:val="21"/>
          <w:szCs w:val="21"/>
        </w:rPr>
        <w:t xml:space="preserve">economic and geopolitical </w:t>
      </w:r>
      <w:r w:rsidRPr="00EC356F">
        <w:rPr>
          <w:rFonts w:ascii="Times New Roman" w:hAnsi="Times New Roman" w:cs="Times New Roman"/>
          <w:sz w:val="21"/>
          <w:szCs w:val="21"/>
        </w:rPr>
        <w:t xml:space="preserve">perspectives in emerging economies (Russia, in particular) and a spillover of their possible effects onto commodities and food product markets. </w:t>
      </w:r>
      <w:r w:rsidRPr="00D40444">
        <w:rPr>
          <w:rFonts w:ascii="Times New Roman" w:hAnsi="Times New Roman" w:cs="Times New Roman"/>
          <w:b/>
          <w:sz w:val="21"/>
          <w:szCs w:val="21"/>
        </w:rPr>
        <w:t>Risks coming from the domestic economy</w:t>
      </w:r>
      <w:r w:rsidRPr="00EC356F">
        <w:rPr>
          <w:rFonts w:ascii="Times New Roman" w:hAnsi="Times New Roman" w:cs="Times New Roman"/>
          <w:sz w:val="21"/>
          <w:szCs w:val="21"/>
        </w:rPr>
        <w:t xml:space="preserve"> </w:t>
      </w:r>
      <w:r w:rsidR="0029403D" w:rsidRPr="00EC356F">
        <w:rPr>
          <w:rFonts w:ascii="Times New Roman" w:hAnsi="Times New Roman" w:cs="Times New Roman"/>
          <w:sz w:val="21"/>
          <w:szCs w:val="21"/>
        </w:rPr>
        <w:t xml:space="preserve">are attributable to domestic demand developments, particularly </w:t>
      </w:r>
      <w:r w:rsidR="0029403D">
        <w:rPr>
          <w:rFonts w:ascii="Times New Roman" w:hAnsi="Times New Roman" w:cs="Times New Roman"/>
          <w:sz w:val="21"/>
          <w:szCs w:val="21"/>
        </w:rPr>
        <w:t xml:space="preserve">private consumption growth rates, </w:t>
      </w:r>
      <w:r w:rsidR="0029403D" w:rsidRPr="00EC356F">
        <w:rPr>
          <w:rFonts w:ascii="Times New Roman" w:hAnsi="Times New Roman" w:cs="Times New Roman"/>
          <w:sz w:val="21"/>
          <w:szCs w:val="21"/>
        </w:rPr>
        <w:t>capital investment</w:t>
      </w:r>
      <w:r w:rsidR="0029403D" w:rsidRPr="00D4255C">
        <w:rPr>
          <w:rFonts w:ascii="Times New Roman" w:hAnsi="Times New Roman" w:cs="Times New Roman"/>
          <w:sz w:val="21"/>
          <w:szCs w:val="21"/>
        </w:rPr>
        <w:t xml:space="preserve"> </w:t>
      </w:r>
      <w:r w:rsidR="0029403D">
        <w:rPr>
          <w:rFonts w:ascii="Times New Roman" w:hAnsi="Times New Roman" w:cs="Times New Roman"/>
          <w:sz w:val="21"/>
          <w:szCs w:val="21"/>
        </w:rPr>
        <w:t>recovery rates, the economic</w:t>
      </w:r>
      <w:r w:rsidR="00221186">
        <w:rPr>
          <w:rFonts w:ascii="Times New Roman" w:hAnsi="Times New Roman" w:cs="Times New Roman"/>
          <w:sz w:val="21"/>
          <w:szCs w:val="21"/>
        </w:rPr>
        <w:t xml:space="preserve"> </w:t>
      </w:r>
      <w:r w:rsidR="0029403D">
        <w:rPr>
          <w:rFonts w:ascii="Times New Roman" w:hAnsi="Times New Roman" w:cs="Times New Roman"/>
          <w:sz w:val="21"/>
          <w:szCs w:val="21"/>
        </w:rPr>
        <w:t xml:space="preserve">effects from Armenia’s membership to the Eurasia Economic Community, the inflationary effects of the </w:t>
      </w:r>
      <w:r w:rsidR="00221186">
        <w:rPr>
          <w:rFonts w:ascii="Times New Roman" w:hAnsi="Times New Roman" w:cs="Times New Roman"/>
          <w:sz w:val="21"/>
          <w:szCs w:val="21"/>
        </w:rPr>
        <w:t>labels</w:t>
      </w:r>
      <w:r w:rsidR="0029403D">
        <w:rPr>
          <w:rFonts w:ascii="Times New Roman" w:hAnsi="Times New Roman" w:cs="Times New Roman"/>
          <w:sz w:val="21"/>
          <w:szCs w:val="21"/>
        </w:rPr>
        <w:t xml:space="preserve"> and</w:t>
      </w:r>
      <w:r w:rsidR="0029403D" w:rsidRPr="00EC356F">
        <w:rPr>
          <w:rFonts w:ascii="Times New Roman" w:hAnsi="Times New Roman" w:cs="Times New Roman"/>
          <w:sz w:val="21"/>
          <w:szCs w:val="21"/>
        </w:rPr>
        <w:t xml:space="preserve"> the developments in agriculture sector which is largely reliant on climatic conditions. </w:t>
      </w:r>
    </w:p>
    <w:p w14:paraId="1C6D3ED3" w14:textId="06131012" w:rsidR="00A9653E" w:rsidRPr="00EC356F" w:rsidRDefault="0029403D" w:rsidP="0029403D">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If such risks materialize, the Central Bank will react accordingly by maintaining the inflation target </w:t>
      </w:r>
      <w:r w:rsidR="00221186">
        <w:rPr>
          <w:rFonts w:ascii="Times New Roman" w:hAnsi="Times New Roman" w:cs="Times New Roman"/>
          <w:sz w:val="21"/>
          <w:szCs w:val="21"/>
        </w:rPr>
        <w:t>over the medium-term</w:t>
      </w:r>
    </w:p>
    <w:p w14:paraId="260FEA6A"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lastRenderedPageBreak/>
        <w:t xml:space="preserve">In the </w:t>
      </w:r>
      <w:r w:rsidRPr="00EC356F">
        <w:rPr>
          <w:rFonts w:ascii="Times New Roman" w:hAnsi="Times New Roman" w:cs="Times New Roman"/>
          <w:b/>
          <w:sz w:val="21"/>
          <w:szCs w:val="21"/>
        </w:rPr>
        <w:t>forecast horizon</w:t>
      </w:r>
      <w:r w:rsidRPr="00EC356F">
        <w:rPr>
          <w:rFonts w:ascii="Times New Roman" w:hAnsi="Times New Roman" w:cs="Times New Roman"/>
          <w:sz w:val="21"/>
          <w:szCs w:val="21"/>
        </w:rPr>
        <w:t xml:space="preserve">, credit growth rates will </w:t>
      </w:r>
      <w:r w:rsidR="00810C95">
        <w:rPr>
          <w:rFonts w:ascii="Times New Roman" w:hAnsi="Times New Roman" w:cs="Times New Roman"/>
          <w:sz w:val="21"/>
          <w:szCs w:val="21"/>
        </w:rPr>
        <w:t>remain at a steady level</w:t>
      </w:r>
      <w:r w:rsidRPr="00EC356F">
        <w:rPr>
          <w:rFonts w:ascii="Times New Roman" w:hAnsi="Times New Roman" w:cs="Times New Roman"/>
          <w:sz w:val="21"/>
          <w:szCs w:val="21"/>
        </w:rPr>
        <w:t xml:space="preserve"> due mainly to </w:t>
      </w:r>
      <w:r w:rsidR="00810C95">
        <w:rPr>
          <w:rFonts w:ascii="Times New Roman" w:hAnsi="Times New Roman" w:cs="Times New Roman"/>
          <w:sz w:val="21"/>
          <w:szCs w:val="21"/>
        </w:rPr>
        <w:t>gradually recovering and stabilizing a</w:t>
      </w:r>
      <w:r w:rsidRPr="00EC356F">
        <w:rPr>
          <w:rFonts w:ascii="Times New Roman" w:hAnsi="Times New Roman" w:cs="Times New Roman"/>
          <w:sz w:val="21"/>
          <w:szCs w:val="21"/>
        </w:rPr>
        <w:t>ggregate demand. The Central Bank will look to the target level of the policy rate to adequately react to any shifts in liquidity to make sure money supply is consistent with the demand.</w:t>
      </w:r>
    </w:p>
    <w:p w14:paraId="6B91891A" w14:textId="3FC8C4D2" w:rsidR="0065338F" w:rsidRPr="003A59CE" w:rsidRDefault="003A59CE" w:rsidP="003A59CE">
      <w:pPr>
        <w:jc w:val="both"/>
        <w:rPr>
          <w:rFonts w:ascii="Times New Roman" w:hAnsi="Times New Roman" w:cs="Times New Roman"/>
          <w:b/>
          <w:sz w:val="21"/>
          <w:szCs w:val="21"/>
        </w:rPr>
      </w:pPr>
      <w:r w:rsidRPr="003A59CE">
        <w:rPr>
          <w:rFonts w:ascii="Times New Roman" w:hAnsi="Times New Roman" w:cs="Times New Roman"/>
          <w:b/>
          <w:sz w:val="21"/>
          <w:szCs w:val="21"/>
        </w:rPr>
        <w:t>Box 2</w:t>
      </w:r>
      <w:r w:rsidR="0065338F">
        <w:rPr>
          <w:rFonts w:ascii="Times New Roman" w:hAnsi="Times New Roman" w:cs="Times New Roman"/>
          <w:b/>
          <w:sz w:val="21"/>
          <w:szCs w:val="21"/>
        </w:rPr>
        <w:t xml:space="preserve">Impact of Armenia membership to </w:t>
      </w:r>
      <w:r w:rsidR="0065338F" w:rsidRPr="0065338F">
        <w:rPr>
          <w:rFonts w:ascii="Times New Roman" w:hAnsi="Times New Roman" w:cs="Times New Roman"/>
          <w:b/>
          <w:sz w:val="21"/>
          <w:szCs w:val="21"/>
        </w:rPr>
        <w:t xml:space="preserve">the Eurasia Economic </w:t>
      </w:r>
      <w:r w:rsidR="007E3A51">
        <w:rPr>
          <w:rFonts w:ascii="Times New Roman" w:hAnsi="Times New Roman" w:cs="Times New Roman"/>
          <w:b/>
          <w:sz w:val="21"/>
          <w:szCs w:val="21"/>
        </w:rPr>
        <w:t>Union</w:t>
      </w:r>
      <w:r w:rsidR="0065338F">
        <w:rPr>
          <w:rFonts w:ascii="Times New Roman" w:hAnsi="Times New Roman" w:cs="Times New Roman"/>
          <w:b/>
          <w:sz w:val="21"/>
          <w:szCs w:val="21"/>
        </w:rPr>
        <w:t>on the inflation in 2015-2017</w:t>
      </w:r>
    </w:p>
    <w:p w14:paraId="4945ADB8" w14:textId="3626C446" w:rsidR="003A59CE" w:rsidRPr="006A239A" w:rsidRDefault="003A59CE" w:rsidP="003A59CE">
      <w:pPr>
        <w:jc w:val="both"/>
        <w:rPr>
          <w:rFonts w:ascii="Times New Roman" w:hAnsi="Times New Roman" w:cs="Times New Roman"/>
          <w:i/>
          <w:sz w:val="21"/>
          <w:szCs w:val="21"/>
        </w:rPr>
      </w:pPr>
      <w:r w:rsidRPr="006A239A">
        <w:rPr>
          <w:rFonts w:ascii="Times New Roman" w:hAnsi="Times New Roman" w:cs="Times New Roman"/>
          <w:i/>
          <w:sz w:val="21"/>
          <w:szCs w:val="21"/>
        </w:rPr>
        <w:t xml:space="preserve">Starting from January 1, 2015, Armenia will join the Eurasia Economic </w:t>
      </w:r>
      <w:r w:rsidR="007E3A51">
        <w:rPr>
          <w:rFonts w:ascii="Times New Roman" w:hAnsi="Times New Roman" w:cs="Times New Roman"/>
          <w:i/>
          <w:sz w:val="21"/>
          <w:szCs w:val="21"/>
        </w:rPr>
        <w:t>Union</w:t>
      </w:r>
      <w:r w:rsidRPr="006A239A">
        <w:rPr>
          <w:rFonts w:ascii="Times New Roman" w:hAnsi="Times New Roman" w:cs="Times New Roman"/>
          <w:i/>
          <w:sz w:val="21"/>
          <w:szCs w:val="21"/>
        </w:rPr>
        <w:t xml:space="preserve"> (EE</w:t>
      </w:r>
      <w:r w:rsidR="007E3A51">
        <w:rPr>
          <w:rFonts w:ascii="Times New Roman" w:hAnsi="Times New Roman" w:cs="Times New Roman"/>
          <w:i/>
          <w:sz w:val="21"/>
          <w:szCs w:val="21"/>
        </w:rPr>
        <w:t>U</w:t>
      </w:r>
      <w:r w:rsidRPr="006A239A">
        <w:rPr>
          <w:rFonts w:ascii="Times New Roman" w:hAnsi="Times New Roman" w:cs="Times New Roman"/>
          <w:i/>
          <w:sz w:val="21"/>
          <w:szCs w:val="21"/>
        </w:rPr>
        <w:t>). This means that current customs duties applied to imported goods will be aligned to the ones applicable in the EE</w:t>
      </w:r>
      <w:r w:rsidR="00AF11E0">
        <w:rPr>
          <w:rFonts w:ascii="Times New Roman" w:hAnsi="Times New Roman" w:cs="Times New Roman"/>
          <w:i/>
          <w:sz w:val="21"/>
          <w:szCs w:val="21"/>
        </w:rPr>
        <w:t>U</w:t>
      </w:r>
      <w:r w:rsidRPr="006A239A">
        <w:rPr>
          <w:rFonts w:ascii="Times New Roman" w:hAnsi="Times New Roman" w:cs="Times New Roman"/>
          <w:i/>
          <w:sz w:val="21"/>
          <w:szCs w:val="21"/>
        </w:rPr>
        <w:t xml:space="preserve">, which might lead to </w:t>
      </w:r>
      <w:r w:rsidR="0065338F" w:rsidRPr="006A239A">
        <w:rPr>
          <w:rFonts w:ascii="Times New Roman" w:hAnsi="Times New Roman" w:cs="Times New Roman"/>
          <w:i/>
          <w:sz w:val="21"/>
          <w:szCs w:val="21"/>
        </w:rPr>
        <w:t xml:space="preserve">some </w:t>
      </w:r>
      <w:r w:rsidR="007E3A51" w:rsidRPr="006A239A">
        <w:rPr>
          <w:rFonts w:ascii="Times New Roman" w:hAnsi="Times New Roman" w:cs="Times New Roman"/>
          <w:i/>
          <w:sz w:val="21"/>
          <w:szCs w:val="21"/>
        </w:rPr>
        <w:t>expan</w:t>
      </w:r>
      <w:r w:rsidR="007E3A51">
        <w:rPr>
          <w:rFonts w:ascii="Times New Roman" w:hAnsi="Times New Roman" w:cs="Times New Roman"/>
          <w:i/>
          <w:sz w:val="21"/>
          <w:szCs w:val="21"/>
        </w:rPr>
        <w:t>sion</w:t>
      </w:r>
      <w:r w:rsidR="007E3A51" w:rsidRPr="006A239A">
        <w:rPr>
          <w:rFonts w:ascii="Times New Roman" w:hAnsi="Times New Roman" w:cs="Times New Roman"/>
          <w:i/>
          <w:sz w:val="21"/>
          <w:szCs w:val="21"/>
        </w:rPr>
        <w:t xml:space="preserve"> </w:t>
      </w:r>
      <w:r w:rsidR="0065338F" w:rsidRPr="006A239A">
        <w:rPr>
          <w:rFonts w:ascii="Times New Roman" w:hAnsi="Times New Roman" w:cs="Times New Roman"/>
          <w:i/>
          <w:sz w:val="21"/>
          <w:szCs w:val="21"/>
        </w:rPr>
        <w:t xml:space="preserve">of the </w:t>
      </w:r>
      <w:r w:rsidRPr="006A239A">
        <w:rPr>
          <w:rFonts w:ascii="Times New Roman" w:hAnsi="Times New Roman" w:cs="Times New Roman"/>
          <w:i/>
          <w:sz w:val="21"/>
          <w:szCs w:val="21"/>
        </w:rPr>
        <w:t xml:space="preserve">inflation environment. </w:t>
      </w:r>
      <w:r w:rsidR="0065338F" w:rsidRPr="006A239A">
        <w:rPr>
          <w:rFonts w:ascii="Times New Roman" w:hAnsi="Times New Roman" w:cs="Times New Roman"/>
          <w:i/>
          <w:sz w:val="21"/>
          <w:szCs w:val="21"/>
        </w:rPr>
        <w:t xml:space="preserve">Furthermore, new customs duties might influence the inflation rate </w:t>
      </w:r>
      <w:r w:rsidR="00847D59" w:rsidRPr="006A239A">
        <w:rPr>
          <w:rFonts w:ascii="Times New Roman" w:hAnsi="Times New Roman" w:cs="Times New Roman"/>
          <w:i/>
          <w:sz w:val="21"/>
          <w:szCs w:val="21"/>
        </w:rPr>
        <w:t xml:space="preserve">through both </w:t>
      </w:r>
      <w:r w:rsidR="00766712" w:rsidRPr="006A239A">
        <w:rPr>
          <w:rFonts w:ascii="Times New Roman" w:hAnsi="Times New Roman" w:cs="Times New Roman"/>
          <w:i/>
          <w:sz w:val="21"/>
          <w:szCs w:val="21"/>
        </w:rPr>
        <w:t>primary</w:t>
      </w:r>
      <w:r w:rsidR="00847D59" w:rsidRPr="006A239A">
        <w:rPr>
          <w:rFonts w:ascii="Times New Roman" w:hAnsi="Times New Roman" w:cs="Times New Roman"/>
          <w:i/>
          <w:sz w:val="21"/>
          <w:szCs w:val="21"/>
        </w:rPr>
        <w:t xml:space="preserve"> and second-round effects</w:t>
      </w:r>
      <w:r w:rsidR="007A2E3D" w:rsidRPr="006A239A">
        <w:rPr>
          <w:rFonts w:ascii="Times New Roman" w:hAnsi="Times New Roman" w:cs="Times New Roman"/>
          <w:i/>
          <w:sz w:val="21"/>
          <w:szCs w:val="21"/>
        </w:rPr>
        <w:t xml:space="preserve">. The estimations </w:t>
      </w:r>
      <w:r w:rsidR="0092320B" w:rsidRPr="006A239A">
        <w:rPr>
          <w:rFonts w:ascii="Times New Roman" w:hAnsi="Times New Roman" w:cs="Times New Roman"/>
          <w:i/>
          <w:sz w:val="21"/>
          <w:szCs w:val="21"/>
        </w:rPr>
        <w:t>for the 2015-2017 developments are pr</w:t>
      </w:r>
      <w:r w:rsidRPr="006A239A">
        <w:rPr>
          <w:rFonts w:ascii="Times New Roman" w:hAnsi="Times New Roman" w:cs="Times New Roman"/>
          <w:i/>
          <w:sz w:val="21"/>
          <w:szCs w:val="21"/>
        </w:rPr>
        <w:t>esented below:</w:t>
      </w:r>
    </w:p>
    <w:p w14:paraId="11264EAD" w14:textId="57AA8456" w:rsidR="004A3E9A" w:rsidRPr="006A239A" w:rsidRDefault="003A59CE" w:rsidP="003A59CE">
      <w:pPr>
        <w:jc w:val="both"/>
        <w:rPr>
          <w:rFonts w:ascii="Times New Roman" w:hAnsi="Times New Roman" w:cs="Times New Roman"/>
          <w:i/>
          <w:sz w:val="21"/>
          <w:szCs w:val="21"/>
        </w:rPr>
      </w:pPr>
      <w:r w:rsidRPr="006A239A">
        <w:rPr>
          <w:rFonts w:ascii="Times New Roman" w:hAnsi="Times New Roman" w:cs="Times New Roman"/>
          <w:i/>
          <w:sz w:val="21"/>
          <w:szCs w:val="21"/>
        </w:rPr>
        <w:t>T</w:t>
      </w:r>
      <w:r w:rsidR="0092320B" w:rsidRPr="006A239A">
        <w:rPr>
          <w:rFonts w:ascii="Times New Roman" w:hAnsi="Times New Roman" w:cs="Times New Roman"/>
          <w:i/>
          <w:sz w:val="21"/>
          <w:szCs w:val="21"/>
        </w:rPr>
        <w:t>o measure t</w:t>
      </w:r>
      <w:r w:rsidRPr="006A239A">
        <w:rPr>
          <w:rFonts w:ascii="Times New Roman" w:hAnsi="Times New Roman" w:cs="Times New Roman"/>
          <w:i/>
          <w:sz w:val="21"/>
          <w:szCs w:val="21"/>
        </w:rPr>
        <w:t>h</w:t>
      </w:r>
      <w:r w:rsidR="0092320B" w:rsidRPr="006A239A">
        <w:rPr>
          <w:rFonts w:ascii="Times New Roman" w:hAnsi="Times New Roman" w:cs="Times New Roman"/>
          <w:i/>
          <w:sz w:val="21"/>
          <w:szCs w:val="21"/>
        </w:rPr>
        <w:t>e possible first-round effect on the inflation after Armenia joins the EE</w:t>
      </w:r>
      <w:r w:rsidR="007E3A51">
        <w:rPr>
          <w:rFonts w:ascii="Times New Roman" w:hAnsi="Times New Roman" w:cs="Times New Roman"/>
          <w:i/>
          <w:sz w:val="21"/>
          <w:szCs w:val="21"/>
        </w:rPr>
        <w:t>U</w:t>
      </w:r>
      <w:r w:rsidR="0092320B" w:rsidRPr="006A239A">
        <w:rPr>
          <w:rFonts w:ascii="Times New Roman" w:hAnsi="Times New Roman" w:cs="Times New Roman"/>
          <w:i/>
          <w:sz w:val="21"/>
          <w:szCs w:val="21"/>
        </w:rPr>
        <w:t xml:space="preserve">, all import goods to which new customs duties will apply </w:t>
      </w:r>
      <w:r w:rsidR="00E62EC4" w:rsidRPr="006A239A">
        <w:rPr>
          <w:rFonts w:ascii="Times New Roman" w:hAnsi="Times New Roman" w:cs="Times New Roman"/>
          <w:i/>
          <w:sz w:val="21"/>
          <w:szCs w:val="21"/>
        </w:rPr>
        <w:t>were</w:t>
      </w:r>
      <w:r w:rsidR="0092320B" w:rsidRPr="006A239A">
        <w:rPr>
          <w:rFonts w:ascii="Times New Roman" w:hAnsi="Times New Roman" w:cs="Times New Roman"/>
          <w:i/>
          <w:sz w:val="21"/>
          <w:szCs w:val="21"/>
        </w:rPr>
        <w:t xml:space="preserve"> </w:t>
      </w:r>
      <w:r w:rsidR="00FB1480">
        <w:rPr>
          <w:rFonts w:ascii="Times New Roman" w:hAnsi="Times New Roman" w:cs="Times New Roman"/>
          <w:i/>
          <w:sz w:val="21"/>
          <w:szCs w:val="21"/>
        </w:rPr>
        <w:t>sorted</w:t>
      </w:r>
      <w:r w:rsidR="0092320B" w:rsidRPr="006A239A">
        <w:rPr>
          <w:rFonts w:ascii="Times New Roman" w:hAnsi="Times New Roman" w:cs="Times New Roman"/>
          <w:i/>
          <w:sz w:val="21"/>
          <w:szCs w:val="21"/>
        </w:rPr>
        <w:t xml:space="preserve">in the </w:t>
      </w:r>
      <w:r w:rsidR="00E62EC4" w:rsidRPr="006A239A">
        <w:rPr>
          <w:rFonts w:ascii="Times New Roman" w:hAnsi="Times New Roman" w:cs="Times New Roman"/>
          <w:i/>
          <w:sz w:val="21"/>
          <w:szCs w:val="21"/>
        </w:rPr>
        <w:t xml:space="preserve">domestic </w:t>
      </w:r>
      <w:r w:rsidRPr="006A239A">
        <w:rPr>
          <w:rFonts w:ascii="Times New Roman" w:hAnsi="Times New Roman" w:cs="Times New Roman"/>
          <w:i/>
          <w:sz w:val="21"/>
          <w:szCs w:val="21"/>
        </w:rPr>
        <w:t>consumer basket</w:t>
      </w:r>
      <w:r w:rsidR="0092320B" w:rsidRPr="006A239A">
        <w:rPr>
          <w:rFonts w:ascii="Times New Roman" w:hAnsi="Times New Roman" w:cs="Times New Roman"/>
          <w:i/>
          <w:sz w:val="21"/>
          <w:szCs w:val="21"/>
        </w:rPr>
        <w:t xml:space="preserve"> </w:t>
      </w:r>
      <w:r w:rsidR="00E62EC4" w:rsidRPr="006A239A">
        <w:rPr>
          <w:rFonts w:ascii="Times New Roman" w:hAnsi="Times New Roman" w:cs="Times New Roman"/>
          <w:i/>
          <w:sz w:val="21"/>
          <w:szCs w:val="21"/>
        </w:rPr>
        <w:t xml:space="preserve">in the first place. </w:t>
      </w:r>
      <w:r w:rsidRPr="006A239A">
        <w:rPr>
          <w:rFonts w:ascii="Times New Roman" w:hAnsi="Times New Roman" w:cs="Times New Roman"/>
          <w:i/>
          <w:sz w:val="21"/>
          <w:szCs w:val="21"/>
        </w:rPr>
        <w:t>The</w:t>
      </w:r>
      <w:r w:rsidR="00E62EC4" w:rsidRPr="006A239A">
        <w:rPr>
          <w:rFonts w:ascii="Times New Roman" w:hAnsi="Times New Roman" w:cs="Times New Roman"/>
          <w:i/>
          <w:sz w:val="21"/>
          <w:szCs w:val="21"/>
        </w:rPr>
        <w:t xml:space="preserve"> share of the</w:t>
      </w:r>
      <w:r w:rsidRPr="006A239A">
        <w:rPr>
          <w:rFonts w:ascii="Times New Roman" w:hAnsi="Times New Roman" w:cs="Times New Roman"/>
          <w:i/>
          <w:sz w:val="21"/>
          <w:szCs w:val="21"/>
        </w:rPr>
        <w:t xml:space="preserve">se </w:t>
      </w:r>
      <w:r w:rsidR="00E62EC4" w:rsidRPr="006A239A">
        <w:rPr>
          <w:rFonts w:ascii="Times New Roman" w:hAnsi="Times New Roman" w:cs="Times New Roman"/>
          <w:i/>
          <w:sz w:val="21"/>
          <w:szCs w:val="21"/>
        </w:rPr>
        <w:t>goods in the domestic</w:t>
      </w:r>
      <w:r w:rsidRPr="006A239A">
        <w:rPr>
          <w:rFonts w:ascii="Times New Roman" w:hAnsi="Times New Roman" w:cs="Times New Roman"/>
          <w:i/>
          <w:sz w:val="21"/>
          <w:szCs w:val="21"/>
        </w:rPr>
        <w:t xml:space="preserve"> consumer basket</w:t>
      </w:r>
      <w:r w:rsidR="00E62EC4" w:rsidRPr="006A239A">
        <w:rPr>
          <w:rFonts w:ascii="Times New Roman" w:hAnsi="Times New Roman" w:cs="Times New Roman"/>
          <w:i/>
          <w:sz w:val="21"/>
          <w:szCs w:val="21"/>
        </w:rPr>
        <w:t xml:space="preserve"> is roughly 30.0%</w:t>
      </w:r>
      <w:r w:rsidRPr="006A239A">
        <w:rPr>
          <w:rFonts w:ascii="Times New Roman" w:hAnsi="Times New Roman" w:cs="Times New Roman"/>
          <w:i/>
          <w:sz w:val="21"/>
          <w:szCs w:val="21"/>
        </w:rPr>
        <w:t>,</w:t>
      </w:r>
      <w:r w:rsidR="002E308F" w:rsidRPr="006A239A">
        <w:rPr>
          <w:rFonts w:ascii="Times New Roman" w:hAnsi="Times New Roman" w:cs="Times New Roman"/>
          <w:i/>
          <w:sz w:val="21"/>
          <w:szCs w:val="21"/>
        </w:rPr>
        <w:t xml:space="preserve"> if we </w:t>
      </w:r>
      <w:r w:rsidR="00187D83" w:rsidRPr="006A239A">
        <w:rPr>
          <w:rFonts w:ascii="Times New Roman" w:hAnsi="Times New Roman" w:cs="Times New Roman"/>
          <w:i/>
          <w:sz w:val="21"/>
          <w:szCs w:val="21"/>
        </w:rPr>
        <w:t xml:space="preserve">ignore the </w:t>
      </w:r>
      <w:r w:rsidR="002E308F" w:rsidRPr="006A239A">
        <w:rPr>
          <w:rFonts w:ascii="Times New Roman" w:hAnsi="Times New Roman" w:cs="Times New Roman"/>
          <w:i/>
          <w:sz w:val="21"/>
          <w:szCs w:val="21"/>
        </w:rPr>
        <w:t xml:space="preserve">custom </w:t>
      </w:r>
      <w:r w:rsidR="007E3A51">
        <w:rPr>
          <w:rFonts w:ascii="Times New Roman" w:hAnsi="Times New Roman" w:cs="Times New Roman"/>
          <w:i/>
          <w:sz w:val="21"/>
          <w:szCs w:val="21"/>
        </w:rPr>
        <w:t>exemptionsapplied</w:t>
      </w:r>
      <w:r w:rsidR="00187D83" w:rsidRPr="006A239A">
        <w:rPr>
          <w:rFonts w:ascii="Times New Roman" w:hAnsi="Times New Roman" w:cs="Times New Roman"/>
          <w:i/>
          <w:sz w:val="21"/>
          <w:szCs w:val="21"/>
        </w:rPr>
        <w:t xml:space="preserve"> </w:t>
      </w:r>
      <w:r w:rsidR="002E308F" w:rsidRPr="006A239A">
        <w:rPr>
          <w:rFonts w:ascii="Times New Roman" w:hAnsi="Times New Roman" w:cs="Times New Roman"/>
          <w:i/>
          <w:sz w:val="21"/>
          <w:szCs w:val="21"/>
        </w:rPr>
        <w:t xml:space="preserve">to </w:t>
      </w:r>
      <w:r w:rsidR="007E3A51">
        <w:rPr>
          <w:rFonts w:ascii="Times New Roman" w:hAnsi="Times New Roman" w:cs="Times New Roman"/>
          <w:i/>
          <w:sz w:val="21"/>
          <w:szCs w:val="21"/>
        </w:rPr>
        <w:t>several</w:t>
      </w:r>
      <w:r w:rsidR="002E308F" w:rsidRPr="006A239A">
        <w:rPr>
          <w:rFonts w:ascii="Times New Roman" w:hAnsi="Times New Roman" w:cs="Times New Roman"/>
          <w:i/>
          <w:sz w:val="21"/>
          <w:szCs w:val="21"/>
        </w:rPr>
        <w:t xml:space="preserve"> goods for the years ahead </w:t>
      </w:r>
      <w:r w:rsidR="00187D83" w:rsidRPr="006A239A">
        <w:rPr>
          <w:rFonts w:ascii="Times New Roman" w:hAnsi="Times New Roman" w:cs="Times New Roman"/>
          <w:i/>
          <w:sz w:val="21"/>
          <w:szCs w:val="21"/>
        </w:rPr>
        <w:t>as a result of the Armenian Government's negotiations</w:t>
      </w:r>
      <w:r w:rsidRPr="006A239A">
        <w:rPr>
          <w:rFonts w:ascii="Times New Roman" w:hAnsi="Times New Roman" w:cs="Times New Roman"/>
          <w:i/>
          <w:sz w:val="21"/>
          <w:szCs w:val="21"/>
        </w:rPr>
        <w:t xml:space="preserve">. </w:t>
      </w:r>
      <w:r w:rsidR="00791FF8" w:rsidRPr="006A239A">
        <w:rPr>
          <w:rFonts w:ascii="Times New Roman" w:hAnsi="Times New Roman" w:cs="Times New Roman"/>
          <w:i/>
          <w:sz w:val="21"/>
          <w:szCs w:val="21"/>
        </w:rPr>
        <w:t xml:space="preserve">Since customs </w:t>
      </w:r>
      <w:r w:rsidR="007E3A51">
        <w:rPr>
          <w:rFonts w:ascii="Times New Roman" w:hAnsi="Times New Roman" w:cs="Times New Roman"/>
          <w:i/>
          <w:sz w:val="21"/>
          <w:szCs w:val="21"/>
        </w:rPr>
        <w:t>exemptions</w:t>
      </w:r>
      <w:r w:rsidR="00EC4324" w:rsidRPr="006A239A">
        <w:rPr>
          <w:rFonts w:ascii="Times New Roman" w:hAnsi="Times New Roman" w:cs="Times New Roman"/>
          <w:i/>
          <w:sz w:val="21"/>
          <w:szCs w:val="21"/>
        </w:rPr>
        <w:t xml:space="preserve">were </w:t>
      </w:r>
      <w:r w:rsidR="00791FF8" w:rsidRPr="006A239A">
        <w:rPr>
          <w:rFonts w:ascii="Times New Roman" w:hAnsi="Times New Roman" w:cs="Times New Roman"/>
          <w:i/>
          <w:sz w:val="21"/>
          <w:szCs w:val="21"/>
        </w:rPr>
        <w:t xml:space="preserve">granted </w:t>
      </w:r>
      <w:r w:rsidR="00EC4324" w:rsidRPr="006A239A">
        <w:rPr>
          <w:rFonts w:ascii="Times New Roman" w:hAnsi="Times New Roman" w:cs="Times New Roman"/>
          <w:i/>
          <w:sz w:val="21"/>
          <w:szCs w:val="21"/>
        </w:rPr>
        <w:t xml:space="preserve">to </w:t>
      </w:r>
      <w:r w:rsidR="00791FF8" w:rsidRPr="006A239A">
        <w:rPr>
          <w:rFonts w:ascii="Times New Roman" w:hAnsi="Times New Roman" w:cs="Times New Roman"/>
          <w:i/>
          <w:sz w:val="21"/>
          <w:szCs w:val="21"/>
        </w:rPr>
        <w:t xml:space="preserve">a number of import goods </w:t>
      </w:r>
      <w:r w:rsidR="00EC4324" w:rsidRPr="006A239A">
        <w:rPr>
          <w:rFonts w:ascii="Times New Roman" w:hAnsi="Times New Roman" w:cs="Times New Roman"/>
          <w:i/>
          <w:sz w:val="21"/>
          <w:szCs w:val="21"/>
        </w:rPr>
        <w:t>(</w:t>
      </w:r>
      <w:r w:rsidR="00B31760" w:rsidRPr="006A239A">
        <w:rPr>
          <w:rFonts w:ascii="Times New Roman" w:hAnsi="Times New Roman" w:cs="Times New Roman"/>
          <w:i/>
          <w:sz w:val="21"/>
          <w:szCs w:val="21"/>
        </w:rPr>
        <w:t>such as</w:t>
      </w:r>
      <w:r w:rsidR="00791FF8" w:rsidRPr="006A239A">
        <w:rPr>
          <w:rFonts w:ascii="Times New Roman" w:hAnsi="Times New Roman" w:cs="Times New Roman"/>
          <w:i/>
          <w:sz w:val="21"/>
          <w:szCs w:val="21"/>
        </w:rPr>
        <w:t xml:space="preserve"> </w:t>
      </w:r>
      <w:r w:rsidRPr="006A239A">
        <w:rPr>
          <w:rFonts w:ascii="Times New Roman" w:hAnsi="Times New Roman" w:cs="Times New Roman"/>
          <w:i/>
          <w:sz w:val="21"/>
          <w:szCs w:val="21"/>
        </w:rPr>
        <w:t>grain, rice, sugar, certain types of oils</w:t>
      </w:r>
      <w:r w:rsidR="007E3A51">
        <w:rPr>
          <w:rFonts w:ascii="Times New Roman" w:hAnsi="Times New Roman" w:cs="Times New Roman"/>
          <w:i/>
          <w:sz w:val="21"/>
          <w:szCs w:val="21"/>
        </w:rPr>
        <w:t xml:space="preserve"> and fats</w:t>
      </w:r>
      <w:r w:rsidRPr="006A239A">
        <w:rPr>
          <w:rFonts w:ascii="Times New Roman" w:hAnsi="Times New Roman" w:cs="Times New Roman"/>
          <w:i/>
          <w:sz w:val="21"/>
          <w:szCs w:val="21"/>
        </w:rPr>
        <w:t xml:space="preserve">, petrol, </w:t>
      </w:r>
      <w:r w:rsidR="00EC4324" w:rsidRPr="006A239A">
        <w:rPr>
          <w:rFonts w:ascii="Times New Roman" w:hAnsi="Times New Roman" w:cs="Times New Roman"/>
          <w:i/>
          <w:sz w:val="21"/>
          <w:szCs w:val="21"/>
        </w:rPr>
        <w:t>motor vehicles</w:t>
      </w:r>
      <w:r w:rsidRPr="006A239A">
        <w:rPr>
          <w:rFonts w:ascii="Times New Roman" w:hAnsi="Times New Roman" w:cs="Times New Roman"/>
          <w:i/>
          <w:sz w:val="21"/>
          <w:szCs w:val="21"/>
        </w:rPr>
        <w:t>, some medications as well as a variety of detergents</w:t>
      </w:r>
      <w:r w:rsidR="006872B3" w:rsidRPr="006A239A">
        <w:rPr>
          <w:rFonts w:ascii="Times New Roman" w:hAnsi="Times New Roman" w:cs="Times New Roman"/>
          <w:i/>
          <w:sz w:val="21"/>
          <w:szCs w:val="21"/>
        </w:rPr>
        <w:t xml:space="preserve"> – liquid soap</w:t>
      </w:r>
      <w:r w:rsidRPr="006A239A">
        <w:rPr>
          <w:rFonts w:ascii="Times New Roman" w:hAnsi="Times New Roman" w:cs="Times New Roman"/>
          <w:i/>
          <w:sz w:val="21"/>
          <w:szCs w:val="21"/>
        </w:rPr>
        <w:t>, soap, washing powder, dishwasher liquids</w:t>
      </w:r>
      <w:r w:rsidR="006872B3" w:rsidRPr="006A239A">
        <w:rPr>
          <w:rFonts w:ascii="Times New Roman" w:hAnsi="Times New Roman" w:cs="Times New Roman"/>
          <w:i/>
          <w:sz w:val="21"/>
          <w:szCs w:val="21"/>
        </w:rPr>
        <w:t>)</w:t>
      </w:r>
      <w:r w:rsidRPr="006A239A">
        <w:rPr>
          <w:rFonts w:ascii="Times New Roman" w:hAnsi="Times New Roman" w:cs="Times New Roman"/>
          <w:i/>
          <w:sz w:val="21"/>
          <w:szCs w:val="21"/>
        </w:rPr>
        <w:t xml:space="preserve"> </w:t>
      </w:r>
      <w:r w:rsidR="006872B3" w:rsidRPr="006A239A">
        <w:rPr>
          <w:rFonts w:ascii="Times New Roman" w:hAnsi="Times New Roman" w:cs="Times New Roman"/>
          <w:i/>
          <w:sz w:val="21"/>
          <w:szCs w:val="21"/>
        </w:rPr>
        <w:t>of the consumer basket</w:t>
      </w:r>
      <w:r w:rsidR="00B31760" w:rsidRPr="006A239A">
        <w:rPr>
          <w:rFonts w:ascii="Times New Roman" w:hAnsi="Times New Roman" w:cs="Times New Roman"/>
          <w:i/>
          <w:sz w:val="21"/>
          <w:szCs w:val="21"/>
        </w:rPr>
        <w:t>,</w:t>
      </w:r>
      <w:r w:rsidR="006872B3" w:rsidRPr="006A239A">
        <w:rPr>
          <w:rFonts w:ascii="Times New Roman" w:hAnsi="Times New Roman" w:cs="Times New Roman"/>
          <w:i/>
          <w:sz w:val="21"/>
          <w:szCs w:val="21"/>
        </w:rPr>
        <w:t xml:space="preserve"> </w:t>
      </w:r>
      <w:r w:rsidRPr="006A239A">
        <w:rPr>
          <w:rFonts w:ascii="Times New Roman" w:hAnsi="Times New Roman" w:cs="Times New Roman"/>
          <w:i/>
          <w:sz w:val="21"/>
          <w:szCs w:val="21"/>
        </w:rPr>
        <w:t xml:space="preserve">which implies that the new rates </w:t>
      </w:r>
      <w:r w:rsidR="006872B3" w:rsidRPr="006A239A">
        <w:rPr>
          <w:rFonts w:ascii="Times New Roman" w:hAnsi="Times New Roman" w:cs="Times New Roman"/>
          <w:i/>
          <w:sz w:val="21"/>
          <w:szCs w:val="21"/>
        </w:rPr>
        <w:t xml:space="preserve">will only be </w:t>
      </w:r>
      <w:r w:rsidR="00FB1480">
        <w:rPr>
          <w:rFonts w:ascii="Times New Roman" w:hAnsi="Times New Roman" w:cs="Times New Roman"/>
          <w:i/>
          <w:sz w:val="21"/>
          <w:szCs w:val="21"/>
        </w:rPr>
        <w:t>in place</w:t>
      </w:r>
      <w:r w:rsidR="00FB1480" w:rsidRPr="006A239A">
        <w:rPr>
          <w:rFonts w:ascii="Times New Roman" w:hAnsi="Times New Roman" w:cs="Times New Roman"/>
          <w:i/>
          <w:sz w:val="21"/>
          <w:szCs w:val="21"/>
        </w:rPr>
        <w:t xml:space="preserve"> </w:t>
      </w:r>
      <w:r w:rsidRPr="006A239A">
        <w:rPr>
          <w:rFonts w:ascii="Times New Roman" w:hAnsi="Times New Roman" w:cs="Times New Roman"/>
          <w:i/>
          <w:sz w:val="21"/>
          <w:szCs w:val="21"/>
        </w:rPr>
        <w:t>a few years</w:t>
      </w:r>
      <w:r w:rsidR="006872B3" w:rsidRPr="006A239A">
        <w:rPr>
          <w:rFonts w:ascii="Times New Roman" w:hAnsi="Times New Roman" w:cs="Times New Roman"/>
          <w:i/>
          <w:sz w:val="21"/>
          <w:szCs w:val="21"/>
        </w:rPr>
        <w:t xml:space="preserve"> later</w:t>
      </w:r>
      <w:r w:rsidRPr="006A239A">
        <w:rPr>
          <w:rFonts w:ascii="Times New Roman" w:hAnsi="Times New Roman" w:cs="Times New Roman"/>
          <w:i/>
          <w:sz w:val="21"/>
          <w:szCs w:val="21"/>
        </w:rPr>
        <w:t xml:space="preserve">, </w:t>
      </w:r>
      <w:r w:rsidR="00B31760" w:rsidRPr="006A239A">
        <w:rPr>
          <w:rFonts w:ascii="Times New Roman" w:hAnsi="Times New Roman" w:cs="Times New Roman"/>
          <w:i/>
          <w:sz w:val="21"/>
          <w:szCs w:val="21"/>
        </w:rPr>
        <w:t xml:space="preserve">it is </w:t>
      </w:r>
      <w:r w:rsidRPr="006A239A">
        <w:rPr>
          <w:rFonts w:ascii="Times New Roman" w:hAnsi="Times New Roman" w:cs="Times New Roman"/>
          <w:i/>
          <w:sz w:val="21"/>
          <w:szCs w:val="21"/>
        </w:rPr>
        <w:t xml:space="preserve">estimated that the change </w:t>
      </w:r>
      <w:r w:rsidR="00B31760" w:rsidRPr="006A239A">
        <w:rPr>
          <w:rFonts w:ascii="Times New Roman" w:hAnsi="Times New Roman" w:cs="Times New Roman"/>
          <w:i/>
          <w:sz w:val="21"/>
          <w:szCs w:val="21"/>
        </w:rPr>
        <w:t xml:space="preserve">in the rates will </w:t>
      </w:r>
      <w:r w:rsidRPr="006A239A">
        <w:rPr>
          <w:rFonts w:ascii="Times New Roman" w:hAnsi="Times New Roman" w:cs="Times New Roman"/>
          <w:i/>
          <w:sz w:val="21"/>
          <w:szCs w:val="21"/>
        </w:rPr>
        <w:t>influenc</w:t>
      </w:r>
      <w:r w:rsidR="00B31760" w:rsidRPr="006A239A">
        <w:rPr>
          <w:rFonts w:ascii="Times New Roman" w:hAnsi="Times New Roman" w:cs="Times New Roman"/>
          <w:i/>
          <w:sz w:val="21"/>
          <w:szCs w:val="21"/>
        </w:rPr>
        <w:t>e 15.0% of the goods in</w:t>
      </w:r>
      <w:r w:rsidRPr="006A239A">
        <w:rPr>
          <w:rFonts w:ascii="Times New Roman" w:hAnsi="Times New Roman" w:cs="Times New Roman"/>
          <w:i/>
          <w:sz w:val="21"/>
          <w:szCs w:val="21"/>
        </w:rPr>
        <w:t xml:space="preserve"> the consumer basket </w:t>
      </w:r>
      <w:r w:rsidR="00B31760" w:rsidRPr="006A239A">
        <w:rPr>
          <w:rFonts w:ascii="Times New Roman" w:hAnsi="Times New Roman" w:cs="Times New Roman"/>
          <w:i/>
          <w:sz w:val="21"/>
          <w:szCs w:val="21"/>
        </w:rPr>
        <w:t>in 2015-2017, which makes almost half of the</w:t>
      </w:r>
      <w:r w:rsidRPr="006A239A">
        <w:rPr>
          <w:rFonts w:ascii="Times New Roman" w:hAnsi="Times New Roman" w:cs="Times New Roman"/>
          <w:i/>
          <w:sz w:val="21"/>
          <w:szCs w:val="21"/>
        </w:rPr>
        <w:t xml:space="preserve"> goods </w:t>
      </w:r>
      <w:r w:rsidR="00B31760" w:rsidRPr="006A239A">
        <w:rPr>
          <w:rFonts w:ascii="Times New Roman" w:hAnsi="Times New Roman" w:cs="Times New Roman"/>
          <w:i/>
          <w:sz w:val="21"/>
          <w:szCs w:val="21"/>
        </w:rPr>
        <w:t xml:space="preserve">preliminarily listed </w:t>
      </w:r>
      <w:r w:rsidRPr="006A239A">
        <w:rPr>
          <w:rFonts w:ascii="Times New Roman" w:hAnsi="Times New Roman" w:cs="Times New Roman"/>
          <w:i/>
          <w:sz w:val="21"/>
          <w:szCs w:val="21"/>
        </w:rPr>
        <w:t xml:space="preserve">for </w:t>
      </w:r>
      <w:r w:rsidR="00B31760" w:rsidRPr="006A239A">
        <w:rPr>
          <w:rFonts w:ascii="Times New Roman" w:hAnsi="Times New Roman" w:cs="Times New Roman"/>
          <w:i/>
          <w:sz w:val="21"/>
          <w:szCs w:val="21"/>
        </w:rPr>
        <w:t xml:space="preserve">the </w:t>
      </w:r>
      <w:r w:rsidRPr="006A239A">
        <w:rPr>
          <w:rFonts w:ascii="Times New Roman" w:hAnsi="Times New Roman" w:cs="Times New Roman"/>
          <w:i/>
          <w:sz w:val="21"/>
          <w:szCs w:val="21"/>
        </w:rPr>
        <w:t>consumer basket</w:t>
      </w:r>
      <w:r w:rsidR="00B31760" w:rsidRPr="006A239A">
        <w:rPr>
          <w:rFonts w:ascii="Times New Roman" w:hAnsi="Times New Roman" w:cs="Times New Roman"/>
          <w:i/>
          <w:sz w:val="21"/>
          <w:szCs w:val="21"/>
        </w:rPr>
        <w:t xml:space="preserve">. </w:t>
      </w:r>
      <w:r w:rsidR="0091655B" w:rsidRPr="006A239A">
        <w:rPr>
          <w:rFonts w:ascii="Times New Roman" w:hAnsi="Times New Roman" w:cs="Times New Roman"/>
          <w:i/>
          <w:sz w:val="21"/>
          <w:szCs w:val="21"/>
        </w:rPr>
        <w:t>The list of main import goods in the consumer basket</w:t>
      </w:r>
      <w:r w:rsidRPr="006A239A">
        <w:rPr>
          <w:rFonts w:ascii="Times New Roman" w:hAnsi="Times New Roman" w:cs="Times New Roman"/>
          <w:i/>
          <w:sz w:val="21"/>
          <w:szCs w:val="21"/>
        </w:rPr>
        <w:t xml:space="preserve"> for which a new set of tariffs </w:t>
      </w:r>
      <w:r w:rsidR="0091655B" w:rsidRPr="006A239A">
        <w:rPr>
          <w:rFonts w:ascii="Times New Roman" w:hAnsi="Times New Roman" w:cs="Times New Roman"/>
          <w:i/>
          <w:sz w:val="21"/>
          <w:szCs w:val="21"/>
        </w:rPr>
        <w:t xml:space="preserve">will apply starting </w:t>
      </w:r>
      <w:r w:rsidRPr="006A239A">
        <w:rPr>
          <w:rFonts w:ascii="Times New Roman" w:hAnsi="Times New Roman" w:cs="Times New Roman"/>
          <w:i/>
          <w:sz w:val="21"/>
          <w:szCs w:val="21"/>
        </w:rPr>
        <w:t>from 2015 include</w:t>
      </w:r>
      <w:r w:rsidR="0091655B" w:rsidRPr="006A239A">
        <w:rPr>
          <w:rFonts w:ascii="Times New Roman" w:hAnsi="Times New Roman" w:cs="Times New Roman"/>
          <w:i/>
          <w:sz w:val="21"/>
          <w:szCs w:val="21"/>
        </w:rPr>
        <w:t>s</w:t>
      </w:r>
      <w:r w:rsidRPr="006A239A">
        <w:rPr>
          <w:rFonts w:ascii="Times New Roman" w:hAnsi="Times New Roman" w:cs="Times New Roman"/>
          <w:i/>
          <w:sz w:val="21"/>
          <w:szCs w:val="21"/>
        </w:rPr>
        <w:t xml:space="preserve"> lentils, peas (</w:t>
      </w:r>
      <w:r w:rsidR="0091655B" w:rsidRPr="006A239A">
        <w:rPr>
          <w:rFonts w:ascii="Times New Roman" w:hAnsi="Times New Roman" w:cs="Times New Roman"/>
          <w:i/>
          <w:sz w:val="21"/>
          <w:szCs w:val="21"/>
        </w:rPr>
        <w:t>the current du</w:t>
      </w:r>
      <w:r w:rsidRPr="006A239A">
        <w:rPr>
          <w:rFonts w:ascii="Times New Roman" w:hAnsi="Times New Roman" w:cs="Times New Roman"/>
          <w:i/>
          <w:sz w:val="21"/>
          <w:szCs w:val="21"/>
        </w:rPr>
        <w:t xml:space="preserve">ty </w:t>
      </w:r>
      <w:r w:rsidR="0091655B" w:rsidRPr="006A239A">
        <w:rPr>
          <w:rFonts w:ascii="Times New Roman" w:hAnsi="Times New Roman" w:cs="Times New Roman"/>
          <w:i/>
          <w:sz w:val="21"/>
          <w:szCs w:val="21"/>
        </w:rPr>
        <w:t xml:space="preserve">of </w:t>
      </w:r>
      <w:r w:rsidRPr="006A239A">
        <w:rPr>
          <w:rFonts w:ascii="Times New Roman" w:hAnsi="Times New Roman" w:cs="Times New Roman"/>
          <w:i/>
          <w:sz w:val="21"/>
          <w:szCs w:val="21"/>
        </w:rPr>
        <w:t xml:space="preserve">10.0% </w:t>
      </w:r>
      <w:r w:rsidR="0091655B" w:rsidRPr="006A239A">
        <w:rPr>
          <w:rFonts w:ascii="Times New Roman" w:hAnsi="Times New Roman" w:cs="Times New Roman"/>
          <w:i/>
          <w:sz w:val="21"/>
          <w:szCs w:val="21"/>
        </w:rPr>
        <w:t>will rise to</w:t>
      </w:r>
      <w:r w:rsidRPr="006A239A">
        <w:rPr>
          <w:rFonts w:ascii="Times New Roman" w:hAnsi="Times New Roman" w:cs="Times New Roman"/>
          <w:i/>
          <w:sz w:val="21"/>
          <w:szCs w:val="21"/>
        </w:rPr>
        <w:t xml:space="preserve"> 15.0%), chicken thighs (10.0% to be 25.0%), </w:t>
      </w:r>
      <w:r w:rsidR="004A3E9A" w:rsidRPr="006A239A">
        <w:rPr>
          <w:rFonts w:ascii="Times New Roman" w:hAnsi="Times New Roman" w:cs="Times New Roman"/>
          <w:i/>
          <w:sz w:val="21"/>
          <w:szCs w:val="21"/>
        </w:rPr>
        <w:t xml:space="preserve">canned </w:t>
      </w:r>
      <w:r w:rsidRPr="006A239A">
        <w:rPr>
          <w:rFonts w:ascii="Times New Roman" w:hAnsi="Times New Roman" w:cs="Times New Roman"/>
          <w:i/>
          <w:sz w:val="21"/>
          <w:szCs w:val="21"/>
        </w:rPr>
        <w:t xml:space="preserve">beef stew (10.0% to be 23.3%), condensed milk (10.0% to be 22.5%), corn oil (10.0% to be 15.0%), tea (10.0% to be 17.5%, 18.0% </w:t>
      </w:r>
      <w:r w:rsidR="004A3E9A" w:rsidRPr="006A239A">
        <w:rPr>
          <w:rFonts w:ascii="Times New Roman" w:hAnsi="Times New Roman" w:cs="Times New Roman"/>
          <w:i/>
          <w:sz w:val="21"/>
          <w:szCs w:val="21"/>
        </w:rPr>
        <w:t>or</w:t>
      </w:r>
      <w:r w:rsidRPr="006A239A">
        <w:rPr>
          <w:rFonts w:ascii="Times New Roman" w:hAnsi="Times New Roman" w:cs="Times New Roman"/>
          <w:i/>
          <w:sz w:val="21"/>
          <w:szCs w:val="21"/>
        </w:rPr>
        <w:t xml:space="preserve"> 18.1%</w:t>
      </w:r>
      <w:r w:rsidR="004A3E9A" w:rsidRPr="006A239A">
        <w:rPr>
          <w:rFonts w:ascii="Times New Roman" w:hAnsi="Times New Roman" w:cs="Times New Roman"/>
          <w:i/>
          <w:sz w:val="21"/>
          <w:szCs w:val="21"/>
        </w:rPr>
        <w:t>,</w:t>
      </w:r>
      <w:r w:rsidRPr="006A239A">
        <w:rPr>
          <w:rFonts w:ascii="Times New Roman" w:hAnsi="Times New Roman" w:cs="Times New Roman"/>
          <w:i/>
          <w:sz w:val="21"/>
          <w:szCs w:val="21"/>
        </w:rPr>
        <w:t xml:space="preserve"> depending on the type), tobacco (10.0% to </w:t>
      </w:r>
      <w:r w:rsidR="004A3E9A" w:rsidRPr="006A239A">
        <w:rPr>
          <w:rFonts w:ascii="Times New Roman" w:hAnsi="Times New Roman" w:cs="Times New Roman"/>
          <w:i/>
          <w:sz w:val="21"/>
          <w:szCs w:val="21"/>
        </w:rPr>
        <w:t xml:space="preserve">be </w:t>
      </w:r>
      <w:r w:rsidRPr="006A239A">
        <w:rPr>
          <w:rFonts w:ascii="Times New Roman" w:hAnsi="Times New Roman" w:cs="Times New Roman"/>
          <w:i/>
          <w:sz w:val="21"/>
          <w:szCs w:val="21"/>
        </w:rPr>
        <w:t>23.3% or 27.5%</w:t>
      </w:r>
      <w:r w:rsidR="004A3E9A" w:rsidRPr="006A239A">
        <w:rPr>
          <w:rFonts w:ascii="Times New Roman" w:hAnsi="Times New Roman" w:cs="Times New Roman"/>
          <w:i/>
          <w:sz w:val="21"/>
          <w:szCs w:val="21"/>
        </w:rPr>
        <w:t>,</w:t>
      </w:r>
      <w:r w:rsidRPr="006A239A">
        <w:rPr>
          <w:rFonts w:ascii="Times New Roman" w:hAnsi="Times New Roman" w:cs="Times New Roman"/>
          <w:i/>
          <w:sz w:val="21"/>
          <w:szCs w:val="21"/>
        </w:rPr>
        <w:t xml:space="preserve"> depend</w:t>
      </w:r>
      <w:r w:rsidR="004A3E9A" w:rsidRPr="006A239A">
        <w:rPr>
          <w:rFonts w:ascii="Times New Roman" w:hAnsi="Times New Roman" w:cs="Times New Roman"/>
          <w:i/>
          <w:sz w:val="21"/>
          <w:szCs w:val="21"/>
        </w:rPr>
        <w:t>ing</w:t>
      </w:r>
      <w:r w:rsidRPr="006A239A">
        <w:rPr>
          <w:rFonts w:ascii="Times New Roman" w:hAnsi="Times New Roman" w:cs="Times New Roman"/>
          <w:i/>
          <w:sz w:val="21"/>
          <w:szCs w:val="21"/>
        </w:rPr>
        <w:t xml:space="preserve"> on the type), raw material </w:t>
      </w:r>
      <w:r w:rsidR="004A3E9A" w:rsidRPr="006A239A">
        <w:rPr>
          <w:rFonts w:ascii="Times New Roman" w:hAnsi="Times New Roman" w:cs="Times New Roman"/>
          <w:i/>
          <w:sz w:val="21"/>
          <w:szCs w:val="21"/>
        </w:rPr>
        <w:t xml:space="preserve">of tobacco </w:t>
      </w:r>
      <w:r w:rsidRPr="006A239A">
        <w:rPr>
          <w:rFonts w:ascii="Times New Roman" w:hAnsi="Times New Roman" w:cs="Times New Roman"/>
          <w:i/>
          <w:sz w:val="21"/>
          <w:szCs w:val="21"/>
        </w:rPr>
        <w:t>(0% to be 5.0%), which c</w:t>
      </w:r>
      <w:r w:rsidR="004A3E9A" w:rsidRPr="006A239A">
        <w:rPr>
          <w:rFonts w:ascii="Times New Roman" w:hAnsi="Times New Roman" w:cs="Times New Roman"/>
          <w:i/>
          <w:sz w:val="21"/>
          <w:szCs w:val="21"/>
        </w:rPr>
        <w:t xml:space="preserve">ould </w:t>
      </w:r>
      <w:r w:rsidRPr="006A239A">
        <w:rPr>
          <w:rFonts w:ascii="Times New Roman" w:hAnsi="Times New Roman" w:cs="Times New Roman"/>
          <w:i/>
          <w:sz w:val="21"/>
          <w:szCs w:val="21"/>
        </w:rPr>
        <w:t>affect the price of locally produced cigarettes, perfume (0% to be 12.9%), toilet paper (</w:t>
      </w:r>
      <w:r w:rsidR="004A3E9A" w:rsidRPr="006A239A">
        <w:rPr>
          <w:rFonts w:ascii="Times New Roman" w:hAnsi="Times New Roman" w:cs="Times New Roman"/>
          <w:i/>
          <w:sz w:val="21"/>
          <w:szCs w:val="21"/>
        </w:rPr>
        <w:t>0</w:t>
      </w:r>
      <w:r w:rsidRPr="006A239A">
        <w:rPr>
          <w:rFonts w:ascii="Times New Roman" w:hAnsi="Times New Roman" w:cs="Times New Roman"/>
          <w:i/>
          <w:sz w:val="21"/>
          <w:szCs w:val="21"/>
        </w:rPr>
        <w:t xml:space="preserve">% to be 18.5%) and some other products </w:t>
      </w:r>
    </w:p>
    <w:p w14:paraId="05A50CBB" w14:textId="77777777" w:rsidR="003A59CE" w:rsidRPr="006A239A" w:rsidRDefault="003A59CE" w:rsidP="003A59CE">
      <w:pPr>
        <w:jc w:val="both"/>
        <w:rPr>
          <w:rFonts w:ascii="Times New Roman" w:hAnsi="Times New Roman" w:cs="Times New Roman"/>
          <w:i/>
          <w:sz w:val="21"/>
          <w:szCs w:val="21"/>
        </w:rPr>
      </w:pPr>
      <w:r w:rsidRPr="006A239A">
        <w:rPr>
          <w:rFonts w:ascii="Times New Roman" w:hAnsi="Times New Roman" w:cs="Times New Roman"/>
          <w:i/>
          <w:sz w:val="21"/>
          <w:szCs w:val="21"/>
        </w:rPr>
        <w:t>(source</w:t>
      </w:r>
      <w:r w:rsidR="004A3E9A" w:rsidRPr="006A239A">
        <w:rPr>
          <w:rFonts w:ascii="Times New Roman" w:hAnsi="Times New Roman" w:cs="Times New Roman"/>
          <w:i/>
          <w:sz w:val="21"/>
          <w:szCs w:val="21"/>
        </w:rPr>
        <w:t>:</w:t>
      </w:r>
      <w:r w:rsidRPr="006A239A">
        <w:rPr>
          <w:rFonts w:ascii="Times New Roman" w:hAnsi="Times New Roman" w:cs="Times New Roman"/>
          <w:i/>
          <w:sz w:val="21"/>
          <w:szCs w:val="21"/>
        </w:rPr>
        <w:t xml:space="preserve"> http: //www.mineconomy.am/</w:t>
      </w:r>
      <w:r w:rsidR="004A3E9A" w:rsidRPr="006A239A">
        <w:rPr>
          <w:rFonts w:ascii="Times New Roman" w:hAnsi="Times New Roman" w:cs="Times New Roman"/>
          <w:i/>
          <w:sz w:val="21"/>
          <w:szCs w:val="21"/>
        </w:rPr>
        <w:t>uploades/20143001103804709.pdf).</w:t>
      </w:r>
    </w:p>
    <w:p w14:paraId="27E61928" w14:textId="52FAC176" w:rsidR="00766712" w:rsidRPr="00041058" w:rsidRDefault="003A59CE" w:rsidP="003A59CE">
      <w:pPr>
        <w:jc w:val="both"/>
        <w:rPr>
          <w:rFonts w:ascii="Times New Roman" w:hAnsi="Times New Roman" w:cs="Times New Roman"/>
          <w:i/>
          <w:sz w:val="21"/>
          <w:szCs w:val="21"/>
        </w:rPr>
      </w:pPr>
      <w:r w:rsidRPr="006A239A">
        <w:rPr>
          <w:rFonts w:ascii="Times New Roman" w:hAnsi="Times New Roman" w:cs="Times New Roman"/>
          <w:i/>
          <w:sz w:val="21"/>
          <w:szCs w:val="21"/>
        </w:rPr>
        <w:t xml:space="preserve">Given the </w:t>
      </w:r>
      <w:r w:rsidR="0014260C" w:rsidRPr="006A239A">
        <w:rPr>
          <w:rFonts w:ascii="Times New Roman" w:hAnsi="Times New Roman" w:cs="Times New Roman"/>
          <w:i/>
          <w:sz w:val="21"/>
          <w:szCs w:val="21"/>
        </w:rPr>
        <w:t xml:space="preserve">change in tariffs on each of </w:t>
      </w:r>
      <w:r w:rsidRPr="006A239A">
        <w:rPr>
          <w:rFonts w:ascii="Times New Roman" w:hAnsi="Times New Roman" w:cs="Times New Roman"/>
          <w:i/>
          <w:sz w:val="21"/>
          <w:szCs w:val="21"/>
        </w:rPr>
        <w:t xml:space="preserve">import </w:t>
      </w:r>
      <w:r w:rsidR="0014260C" w:rsidRPr="006A239A">
        <w:rPr>
          <w:rFonts w:ascii="Times New Roman" w:hAnsi="Times New Roman" w:cs="Times New Roman"/>
          <w:i/>
          <w:sz w:val="21"/>
          <w:szCs w:val="21"/>
        </w:rPr>
        <w:t>goods</w:t>
      </w:r>
      <w:r w:rsidRPr="006A239A">
        <w:rPr>
          <w:rFonts w:ascii="Times New Roman" w:hAnsi="Times New Roman" w:cs="Times New Roman"/>
          <w:i/>
          <w:sz w:val="21"/>
          <w:szCs w:val="21"/>
        </w:rPr>
        <w:t xml:space="preserve"> a</w:t>
      </w:r>
      <w:r w:rsidR="0014260C" w:rsidRPr="006A239A">
        <w:rPr>
          <w:rFonts w:ascii="Times New Roman" w:hAnsi="Times New Roman" w:cs="Times New Roman"/>
          <w:i/>
          <w:sz w:val="21"/>
          <w:szCs w:val="21"/>
        </w:rPr>
        <w:t>s well as the share of non-EE</w:t>
      </w:r>
      <w:r w:rsidR="00FB1480">
        <w:rPr>
          <w:rFonts w:ascii="Times New Roman" w:hAnsi="Times New Roman" w:cs="Times New Roman"/>
          <w:i/>
          <w:sz w:val="21"/>
          <w:szCs w:val="21"/>
        </w:rPr>
        <w:t>U</w:t>
      </w:r>
      <w:r w:rsidR="0014260C" w:rsidRPr="006A239A">
        <w:rPr>
          <w:rFonts w:ascii="Times New Roman" w:hAnsi="Times New Roman" w:cs="Times New Roman"/>
          <w:i/>
          <w:sz w:val="21"/>
          <w:szCs w:val="21"/>
        </w:rPr>
        <w:t xml:space="preserve"> countries in Armenia’s </w:t>
      </w:r>
      <w:r w:rsidRPr="006A239A">
        <w:rPr>
          <w:rFonts w:ascii="Times New Roman" w:hAnsi="Times New Roman" w:cs="Times New Roman"/>
          <w:i/>
          <w:sz w:val="21"/>
          <w:szCs w:val="21"/>
        </w:rPr>
        <w:t xml:space="preserve">import structure, </w:t>
      </w:r>
      <w:r w:rsidR="0014260C" w:rsidRPr="006A239A">
        <w:rPr>
          <w:rFonts w:ascii="Times New Roman" w:hAnsi="Times New Roman" w:cs="Times New Roman"/>
          <w:i/>
          <w:sz w:val="21"/>
          <w:szCs w:val="21"/>
        </w:rPr>
        <w:t xml:space="preserve">the possible price change has been </w:t>
      </w:r>
      <w:r w:rsidRPr="006A239A">
        <w:rPr>
          <w:rFonts w:ascii="Times New Roman" w:hAnsi="Times New Roman" w:cs="Times New Roman"/>
          <w:i/>
          <w:sz w:val="21"/>
          <w:szCs w:val="21"/>
        </w:rPr>
        <w:t>calculated</w:t>
      </w:r>
      <w:r w:rsidR="0014260C" w:rsidRPr="006A239A">
        <w:rPr>
          <w:rFonts w:ascii="Times New Roman" w:hAnsi="Times New Roman" w:cs="Times New Roman"/>
          <w:i/>
          <w:sz w:val="21"/>
          <w:szCs w:val="21"/>
        </w:rPr>
        <w:t xml:space="preserve"> as a product of the two factors mentioned above. </w:t>
      </w:r>
      <w:r w:rsidR="00A410CC" w:rsidRPr="006A239A">
        <w:rPr>
          <w:rFonts w:ascii="Times New Roman" w:hAnsi="Times New Roman" w:cs="Times New Roman"/>
          <w:i/>
          <w:sz w:val="21"/>
          <w:szCs w:val="21"/>
        </w:rPr>
        <w:t xml:space="preserve">The </w:t>
      </w:r>
      <w:r w:rsidRPr="006A239A">
        <w:rPr>
          <w:rFonts w:ascii="Times New Roman" w:hAnsi="Times New Roman" w:cs="Times New Roman"/>
          <w:i/>
          <w:sz w:val="21"/>
          <w:szCs w:val="21"/>
        </w:rPr>
        <w:t xml:space="preserve">weight </w:t>
      </w:r>
      <w:r w:rsidR="00A410CC" w:rsidRPr="006A239A">
        <w:rPr>
          <w:rFonts w:ascii="Times New Roman" w:hAnsi="Times New Roman" w:cs="Times New Roman"/>
          <w:i/>
          <w:sz w:val="21"/>
          <w:szCs w:val="21"/>
        </w:rPr>
        <w:t xml:space="preserve">of import goods </w:t>
      </w:r>
      <w:r w:rsidRPr="006A239A">
        <w:rPr>
          <w:rFonts w:ascii="Times New Roman" w:hAnsi="Times New Roman" w:cs="Times New Roman"/>
          <w:i/>
          <w:sz w:val="21"/>
          <w:szCs w:val="21"/>
        </w:rPr>
        <w:t xml:space="preserve">in the consumer basket </w:t>
      </w:r>
      <w:r w:rsidR="00A410CC" w:rsidRPr="006A239A">
        <w:rPr>
          <w:rFonts w:ascii="Times New Roman" w:hAnsi="Times New Roman" w:cs="Times New Roman"/>
          <w:i/>
          <w:sz w:val="21"/>
          <w:szCs w:val="21"/>
        </w:rPr>
        <w:t>was used to measure</w:t>
      </w:r>
      <w:r w:rsidRPr="006A239A">
        <w:rPr>
          <w:rFonts w:ascii="Times New Roman" w:hAnsi="Times New Roman" w:cs="Times New Roman"/>
          <w:i/>
          <w:sz w:val="21"/>
          <w:szCs w:val="21"/>
        </w:rPr>
        <w:t xml:space="preserve"> </w:t>
      </w:r>
      <w:r w:rsidR="00A410CC" w:rsidRPr="006A239A">
        <w:rPr>
          <w:rFonts w:ascii="Times New Roman" w:hAnsi="Times New Roman" w:cs="Times New Roman"/>
          <w:i/>
          <w:sz w:val="21"/>
          <w:szCs w:val="21"/>
        </w:rPr>
        <w:t xml:space="preserve">the contribution </w:t>
      </w:r>
      <w:r w:rsidRPr="006A239A">
        <w:rPr>
          <w:rFonts w:ascii="Times New Roman" w:hAnsi="Times New Roman" w:cs="Times New Roman"/>
          <w:i/>
          <w:sz w:val="21"/>
          <w:szCs w:val="21"/>
        </w:rPr>
        <w:t xml:space="preserve">each of them </w:t>
      </w:r>
      <w:r w:rsidR="00A410CC" w:rsidRPr="006A239A">
        <w:rPr>
          <w:rFonts w:ascii="Times New Roman" w:hAnsi="Times New Roman" w:cs="Times New Roman"/>
          <w:i/>
          <w:sz w:val="21"/>
          <w:szCs w:val="21"/>
        </w:rPr>
        <w:t>will make to the headline inflation as a product of the weight and expected change in price of any particular product. T</w:t>
      </w:r>
      <w:r w:rsidRPr="006A239A">
        <w:rPr>
          <w:rFonts w:ascii="Times New Roman" w:hAnsi="Times New Roman" w:cs="Times New Roman"/>
          <w:i/>
          <w:sz w:val="21"/>
          <w:szCs w:val="21"/>
        </w:rPr>
        <w:t>he</w:t>
      </w:r>
      <w:r w:rsidR="00A410CC" w:rsidRPr="006A239A">
        <w:rPr>
          <w:rFonts w:ascii="Times New Roman" w:hAnsi="Times New Roman" w:cs="Times New Roman"/>
          <w:i/>
          <w:sz w:val="21"/>
          <w:szCs w:val="21"/>
        </w:rPr>
        <w:t xml:space="preserve">n, the </w:t>
      </w:r>
      <w:r w:rsidR="00FB1480">
        <w:rPr>
          <w:rFonts w:ascii="Times New Roman" w:hAnsi="Times New Roman" w:cs="Times New Roman"/>
          <w:i/>
          <w:sz w:val="21"/>
          <w:szCs w:val="21"/>
        </w:rPr>
        <w:t>total sum</w:t>
      </w:r>
      <w:r w:rsidR="00A410CC" w:rsidRPr="006A239A">
        <w:rPr>
          <w:rFonts w:ascii="Times New Roman" w:hAnsi="Times New Roman" w:cs="Times New Roman"/>
          <w:i/>
          <w:sz w:val="21"/>
          <w:szCs w:val="21"/>
        </w:rPr>
        <w:t xml:space="preserve"> of contributions of import goods was used to assess </w:t>
      </w:r>
      <w:r w:rsidR="00204822" w:rsidRPr="006A239A">
        <w:rPr>
          <w:rFonts w:ascii="Times New Roman" w:hAnsi="Times New Roman" w:cs="Times New Roman"/>
          <w:i/>
          <w:sz w:val="21"/>
          <w:szCs w:val="21"/>
        </w:rPr>
        <w:t xml:space="preserve">the primary impact of </w:t>
      </w:r>
      <w:r w:rsidR="00FB1480">
        <w:rPr>
          <w:rFonts w:ascii="Times New Roman" w:hAnsi="Times New Roman" w:cs="Times New Roman"/>
          <w:i/>
          <w:sz w:val="21"/>
          <w:szCs w:val="21"/>
        </w:rPr>
        <w:t>revised</w:t>
      </w:r>
      <w:r w:rsidR="00FB1480" w:rsidRPr="006A239A">
        <w:rPr>
          <w:rFonts w:ascii="Times New Roman" w:hAnsi="Times New Roman" w:cs="Times New Roman"/>
          <w:i/>
          <w:sz w:val="21"/>
          <w:szCs w:val="21"/>
        </w:rPr>
        <w:t xml:space="preserve"> </w:t>
      </w:r>
      <w:r w:rsidR="00204822" w:rsidRPr="006A239A">
        <w:rPr>
          <w:rFonts w:ascii="Times New Roman" w:hAnsi="Times New Roman" w:cs="Times New Roman"/>
          <w:i/>
          <w:sz w:val="21"/>
          <w:szCs w:val="21"/>
        </w:rPr>
        <w:t>customs duties on the inflation. So</w:t>
      </w:r>
      <w:r w:rsidR="00204822" w:rsidRPr="006A239A">
        <w:rPr>
          <w:rFonts w:ascii="Times New Roman" w:hAnsi="Times New Roman" w:cs="Times New Roman"/>
          <w:b/>
          <w:i/>
          <w:sz w:val="21"/>
          <w:szCs w:val="21"/>
        </w:rPr>
        <w:t>, the primary impact of Armenia's membership to EEC on the inflation for 2015 i</w:t>
      </w:r>
      <w:r w:rsidRPr="006A239A">
        <w:rPr>
          <w:rFonts w:ascii="Times New Roman" w:hAnsi="Times New Roman" w:cs="Times New Roman"/>
          <w:b/>
          <w:i/>
          <w:sz w:val="21"/>
          <w:szCs w:val="21"/>
        </w:rPr>
        <w:t xml:space="preserve">s estimated </w:t>
      </w:r>
      <w:r w:rsidR="00FB1480">
        <w:rPr>
          <w:rFonts w:ascii="Times New Roman" w:hAnsi="Times New Roman" w:cs="Times New Roman"/>
          <w:b/>
          <w:i/>
          <w:sz w:val="21"/>
          <w:szCs w:val="21"/>
        </w:rPr>
        <w:t>at most</w:t>
      </w:r>
      <w:r w:rsidRPr="006A239A">
        <w:rPr>
          <w:rFonts w:ascii="Times New Roman" w:hAnsi="Times New Roman" w:cs="Times New Roman"/>
          <w:b/>
          <w:i/>
          <w:sz w:val="21"/>
          <w:szCs w:val="21"/>
        </w:rPr>
        <w:t>0.4 p</w:t>
      </w:r>
      <w:r w:rsidR="00204822" w:rsidRPr="006A239A">
        <w:rPr>
          <w:rFonts w:ascii="Times New Roman" w:hAnsi="Times New Roman" w:cs="Times New Roman"/>
          <w:b/>
          <w:i/>
          <w:sz w:val="21"/>
          <w:szCs w:val="21"/>
        </w:rPr>
        <w:t>p</w:t>
      </w:r>
      <w:r w:rsidR="0000486E" w:rsidRPr="006A239A">
        <w:rPr>
          <w:rFonts w:ascii="Times New Roman" w:hAnsi="Times New Roman" w:cs="Times New Roman"/>
          <w:i/>
          <w:sz w:val="21"/>
          <w:szCs w:val="21"/>
        </w:rPr>
        <w:t>. Exclusive of customs</w:t>
      </w:r>
      <w:r w:rsidR="005C0D4E">
        <w:rPr>
          <w:rFonts w:ascii="Times New Roman" w:hAnsi="Times New Roman" w:cs="Times New Roman"/>
          <w:i/>
          <w:sz w:val="21"/>
          <w:szCs w:val="21"/>
        </w:rPr>
        <w:t>exemptions</w:t>
      </w:r>
      <w:r w:rsidR="0000486E" w:rsidRPr="006A239A">
        <w:rPr>
          <w:rFonts w:ascii="Times New Roman" w:hAnsi="Times New Roman" w:cs="Times New Roman"/>
          <w:i/>
          <w:sz w:val="21"/>
          <w:szCs w:val="21"/>
        </w:rPr>
        <w:t>,</w:t>
      </w:r>
      <w:r w:rsidR="00E0359D" w:rsidRPr="006A239A">
        <w:rPr>
          <w:rFonts w:ascii="Times New Roman" w:hAnsi="Times New Roman" w:cs="Times New Roman"/>
          <w:i/>
          <w:sz w:val="21"/>
          <w:szCs w:val="21"/>
        </w:rPr>
        <w:t xml:space="preserve"> this estimation would vary within 1</w:t>
      </w:r>
      <w:r w:rsidR="00E0359D" w:rsidRPr="00041058">
        <w:rPr>
          <w:rFonts w:ascii="Times New Roman" w:hAnsi="Times New Roman" w:cs="Times New Roman"/>
          <w:i/>
          <w:sz w:val="21"/>
          <w:szCs w:val="21"/>
        </w:rPr>
        <w:t>.</w:t>
      </w:r>
      <w:r w:rsidR="00E0359D" w:rsidRPr="006A239A">
        <w:rPr>
          <w:rFonts w:ascii="Times New Roman" w:hAnsi="Times New Roman" w:cs="Times New Roman"/>
          <w:i/>
          <w:sz w:val="21"/>
          <w:szCs w:val="21"/>
        </w:rPr>
        <w:t>0-1</w:t>
      </w:r>
      <w:r w:rsidR="00E0359D" w:rsidRPr="00041058">
        <w:rPr>
          <w:rFonts w:ascii="Times New Roman" w:hAnsi="Times New Roman" w:cs="Times New Roman"/>
          <w:i/>
          <w:sz w:val="21"/>
          <w:szCs w:val="21"/>
        </w:rPr>
        <w:t>.</w:t>
      </w:r>
      <w:r w:rsidR="00E0359D" w:rsidRPr="006A239A">
        <w:rPr>
          <w:rFonts w:ascii="Times New Roman" w:hAnsi="Times New Roman" w:cs="Times New Roman"/>
          <w:i/>
          <w:sz w:val="21"/>
          <w:szCs w:val="21"/>
        </w:rPr>
        <w:t xml:space="preserve">5%. </w:t>
      </w:r>
    </w:p>
    <w:p w14:paraId="415FE85A" w14:textId="36474F9F" w:rsidR="00327B27" w:rsidRPr="00327B27" w:rsidRDefault="00766712" w:rsidP="00327B27">
      <w:pPr>
        <w:jc w:val="both"/>
        <w:rPr>
          <w:rFonts w:ascii="Times New Roman" w:hAnsi="Times New Roman" w:cs="Times New Roman"/>
          <w:sz w:val="21"/>
          <w:szCs w:val="21"/>
        </w:rPr>
      </w:pPr>
      <w:r w:rsidRPr="006A239A">
        <w:rPr>
          <w:rFonts w:ascii="Times New Roman" w:hAnsi="Times New Roman" w:cs="Times New Roman"/>
          <w:i/>
          <w:sz w:val="21"/>
          <w:szCs w:val="21"/>
        </w:rPr>
        <w:t xml:space="preserve">The increased customs duties may </w:t>
      </w:r>
      <w:r w:rsidR="005C0D4E">
        <w:rPr>
          <w:rFonts w:ascii="Times New Roman" w:hAnsi="Times New Roman" w:cs="Times New Roman"/>
          <w:i/>
          <w:sz w:val="21"/>
          <w:szCs w:val="21"/>
        </w:rPr>
        <w:t>expand</w:t>
      </w:r>
      <w:r w:rsidR="005C0D4E" w:rsidRPr="006A239A">
        <w:rPr>
          <w:rFonts w:ascii="Times New Roman" w:hAnsi="Times New Roman" w:cs="Times New Roman"/>
          <w:i/>
          <w:sz w:val="21"/>
          <w:szCs w:val="21"/>
        </w:rPr>
        <w:t xml:space="preserve"> </w:t>
      </w:r>
      <w:r w:rsidRPr="006A239A">
        <w:rPr>
          <w:rFonts w:ascii="Times New Roman" w:hAnsi="Times New Roman" w:cs="Times New Roman"/>
          <w:i/>
          <w:sz w:val="21"/>
          <w:szCs w:val="21"/>
        </w:rPr>
        <w:t xml:space="preserve">the inflation environment not only through the primary but </w:t>
      </w:r>
      <w:r w:rsidR="00963AAC" w:rsidRPr="006A239A">
        <w:rPr>
          <w:rFonts w:ascii="Times New Roman" w:hAnsi="Times New Roman" w:cs="Times New Roman"/>
          <w:i/>
          <w:sz w:val="21"/>
          <w:szCs w:val="21"/>
        </w:rPr>
        <w:t xml:space="preserve">also </w:t>
      </w:r>
      <w:r w:rsidRPr="006A239A">
        <w:rPr>
          <w:rFonts w:ascii="Times New Roman" w:hAnsi="Times New Roman" w:cs="Times New Roman"/>
          <w:i/>
          <w:sz w:val="21"/>
          <w:szCs w:val="21"/>
        </w:rPr>
        <w:t xml:space="preserve">second-round effects </w:t>
      </w:r>
      <w:r w:rsidR="00963AAC" w:rsidRPr="006A239A">
        <w:rPr>
          <w:rFonts w:ascii="Times New Roman" w:hAnsi="Times New Roman" w:cs="Times New Roman"/>
          <w:i/>
          <w:sz w:val="21"/>
          <w:szCs w:val="21"/>
        </w:rPr>
        <w:t>since</w:t>
      </w:r>
      <w:r w:rsidR="00727217" w:rsidRPr="006A239A">
        <w:rPr>
          <w:rFonts w:ascii="Times New Roman" w:hAnsi="Times New Roman" w:cs="Times New Roman"/>
          <w:i/>
          <w:sz w:val="21"/>
          <w:szCs w:val="21"/>
        </w:rPr>
        <w:t xml:space="preserve"> consumers </w:t>
      </w:r>
      <w:r w:rsidR="00963AAC" w:rsidRPr="006A239A">
        <w:rPr>
          <w:rFonts w:ascii="Times New Roman" w:hAnsi="Times New Roman" w:cs="Times New Roman"/>
          <w:i/>
          <w:sz w:val="21"/>
          <w:szCs w:val="21"/>
        </w:rPr>
        <w:t xml:space="preserve">would </w:t>
      </w:r>
      <w:r w:rsidR="00727217" w:rsidRPr="006A239A">
        <w:rPr>
          <w:rFonts w:ascii="Times New Roman" w:hAnsi="Times New Roman" w:cs="Times New Roman"/>
          <w:i/>
          <w:sz w:val="21"/>
          <w:szCs w:val="21"/>
        </w:rPr>
        <w:t xml:space="preserve">gradually substitute the </w:t>
      </w:r>
      <w:r w:rsidR="003A59CE" w:rsidRPr="006A239A">
        <w:rPr>
          <w:rFonts w:ascii="Times New Roman" w:hAnsi="Times New Roman" w:cs="Times New Roman"/>
          <w:i/>
          <w:sz w:val="21"/>
          <w:szCs w:val="21"/>
        </w:rPr>
        <w:t xml:space="preserve">import goods </w:t>
      </w:r>
      <w:r w:rsidR="00727217" w:rsidRPr="006A239A">
        <w:rPr>
          <w:rFonts w:ascii="Times New Roman" w:hAnsi="Times New Roman" w:cs="Times New Roman"/>
          <w:i/>
          <w:sz w:val="21"/>
          <w:szCs w:val="21"/>
        </w:rPr>
        <w:t xml:space="preserve">for </w:t>
      </w:r>
      <w:r w:rsidR="000814A8">
        <w:rPr>
          <w:rFonts w:ascii="Times New Roman" w:hAnsi="Times New Roman" w:cs="Times New Roman"/>
          <w:i/>
          <w:sz w:val="21"/>
          <w:szCs w:val="21"/>
        </w:rPr>
        <w:t>domestic</w:t>
      </w:r>
      <w:r w:rsidR="003A59CE" w:rsidRPr="006A239A">
        <w:rPr>
          <w:rFonts w:ascii="Times New Roman" w:hAnsi="Times New Roman" w:cs="Times New Roman"/>
          <w:i/>
          <w:sz w:val="21"/>
          <w:szCs w:val="21"/>
        </w:rPr>
        <w:t>goods</w:t>
      </w:r>
      <w:r w:rsidR="00963AAC" w:rsidRPr="006A239A">
        <w:rPr>
          <w:rFonts w:ascii="Times New Roman" w:hAnsi="Times New Roman" w:cs="Times New Roman"/>
          <w:i/>
          <w:sz w:val="21"/>
          <w:szCs w:val="21"/>
        </w:rPr>
        <w:t xml:space="preserve"> in consideration of relative advantage of domestic prices. At this moment however, making a clear judgment on the second-round effects </w:t>
      </w:r>
      <w:r w:rsidR="003A59CE" w:rsidRPr="006A239A">
        <w:rPr>
          <w:rFonts w:ascii="Times New Roman" w:hAnsi="Times New Roman" w:cs="Times New Roman"/>
          <w:i/>
          <w:sz w:val="21"/>
          <w:szCs w:val="21"/>
        </w:rPr>
        <w:t xml:space="preserve">is quite difficult </w:t>
      </w:r>
      <w:r w:rsidR="00963AAC" w:rsidRPr="006A239A">
        <w:rPr>
          <w:rFonts w:ascii="Times New Roman" w:hAnsi="Times New Roman" w:cs="Times New Roman"/>
          <w:i/>
          <w:sz w:val="21"/>
          <w:szCs w:val="21"/>
        </w:rPr>
        <w:t>as</w:t>
      </w:r>
      <w:r w:rsidR="003A59CE" w:rsidRPr="006A239A">
        <w:rPr>
          <w:rFonts w:ascii="Times New Roman" w:hAnsi="Times New Roman" w:cs="Times New Roman"/>
          <w:i/>
          <w:sz w:val="21"/>
          <w:szCs w:val="21"/>
        </w:rPr>
        <w:t xml:space="preserve"> it depends on several factors, </w:t>
      </w:r>
      <w:r w:rsidR="00963AAC" w:rsidRPr="006A239A">
        <w:rPr>
          <w:rFonts w:ascii="Times New Roman" w:hAnsi="Times New Roman" w:cs="Times New Roman"/>
          <w:i/>
          <w:sz w:val="21"/>
          <w:szCs w:val="21"/>
        </w:rPr>
        <w:lastRenderedPageBreak/>
        <w:t>such as</w:t>
      </w:r>
      <w:r w:rsidR="003A59CE" w:rsidRPr="006A239A">
        <w:rPr>
          <w:rFonts w:ascii="Times New Roman" w:hAnsi="Times New Roman" w:cs="Times New Roman"/>
          <w:i/>
          <w:sz w:val="21"/>
          <w:szCs w:val="21"/>
        </w:rPr>
        <w:t xml:space="preserve"> </w:t>
      </w:r>
      <w:r w:rsidR="00963AAC" w:rsidRPr="006A239A">
        <w:rPr>
          <w:rFonts w:ascii="Times New Roman" w:hAnsi="Times New Roman" w:cs="Times New Roman"/>
          <w:i/>
          <w:sz w:val="21"/>
          <w:szCs w:val="21"/>
        </w:rPr>
        <w:t>substitution of goods imported from non-</w:t>
      </w:r>
      <w:r w:rsidR="003A59CE" w:rsidRPr="006A239A">
        <w:rPr>
          <w:rFonts w:ascii="Times New Roman" w:hAnsi="Times New Roman" w:cs="Times New Roman"/>
          <w:i/>
          <w:sz w:val="21"/>
          <w:szCs w:val="21"/>
        </w:rPr>
        <w:t>EE</w:t>
      </w:r>
      <w:r w:rsidR="005C0D4E">
        <w:rPr>
          <w:rFonts w:ascii="Times New Roman" w:hAnsi="Times New Roman" w:cs="Times New Roman"/>
          <w:i/>
          <w:sz w:val="21"/>
          <w:szCs w:val="21"/>
        </w:rPr>
        <w:t>U</w:t>
      </w:r>
      <w:r w:rsidR="003A59CE" w:rsidRPr="006A239A">
        <w:rPr>
          <w:rFonts w:ascii="Times New Roman" w:hAnsi="Times New Roman" w:cs="Times New Roman"/>
          <w:i/>
          <w:sz w:val="21"/>
          <w:szCs w:val="21"/>
        </w:rPr>
        <w:t xml:space="preserve"> countries</w:t>
      </w:r>
      <w:r w:rsidR="00963AAC" w:rsidRPr="006A239A">
        <w:rPr>
          <w:rFonts w:ascii="Times New Roman" w:hAnsi="Times New Roman" w:cs="Times New Roman"/>
          <w:i/>
          <w:sz w:val="21"/>
          <w:szCs w:val="21"/>
        </w:rPr>
        <w:t xml:space="preserve"> for </w:t>
      </w:r>
      <w:r w:rsidR="005C0D4E">
        <w:rPr>
          <w:rFonts w:ascii="Times New Roman" w:hAnsi="Times New Roman" w:cs="Times New Roman"/>
          <w:i/>
          <w:sz w:val="21"/>
          <w:szCs w:val="21"/>
        </w:rPr>
        <w:t>domestic</w:t>
      </w:r>
      <w:r w:rsidR="00963AAC" w:rsidRPr="006A239A">
        <w:rPr>
          <w:rFonts w:ascii="Times New Roman" w:hAnsi="Times New Roman" w:cs="Times New Roman"/>
          <w:i/>
          <w:sz w:val="21"/>
          <w:szCs w:val="21"/>
        </w:rPr>
        <w:t xml:space="preserve"> products and goods imported from the EE</w:t>
      </w:r>
      <w:r w:rsidR="005C0D4E">
        <w:rPr>
          <w:rFonts w:ascii="Times New Roman" w:hAnsi="Times New Roman" w:cs="Times New Roman"/>
          <w:i/>
          <w:sz w:val="21"/>
          <w:szCs w:val="21"/>
        </w:rPr>
        <w:t>U</w:t>
      </w:r>
      <w:r w:rsidR="00963AAC" w:rsidRPr="006A239A">
        <w:rPr>
          <w:rFonts w:ascii="Times New Roman" w:hAnsi="Times New Roman" w:cs="Times New Roman"/>
          <w:i/>
          <w:sz w:val="21"/>
          <w:szCs w:val="21"/>
        </w:rPr>
        <w:t xml:space="preserve"> countries, a</w:t>
      </w:r>
      <w:r w:rsidR="005C0D4E">
        <w:rPr>
          <w:rFonts w:ascii="Times New Roman" w:hAnsi="Times New Roman" w:cs="Times New Roman"/>
          <w:i/>
          <w:sz w:val="21"/>
          <w:szCs w:val="21"/>
        </w:rPr>
        <w:t xml:space="preserve"> particular</w:t>
      </w:r>
      <w:r w:rsidR="003A59CE" w:rsidRPr="006A239A">
        <w:rPr>
          <w:rFonts w:ascii="Times New Roman" w:hAnsi="Times New Roman" w:cs="Times New Roman"/>
          <w:i/>
          <w:sz w:val="21"/>
          <w:szCs w:val="21"/>
        </w:rPr>
        <w:t xml:space="preserve"> product market structure, pric</w:t>
      </w:r>
      <w:r w:rsidR="005C0D4E">
        <w:rPr>
          <w:rFonts w:ascii="Times New Roman" w:hAnsi="Times New Roman" w:cs="Times New Roman"/>
          <w:i/>
          <w:sz w:val="21"/>
          <w:szCs w:val="21"/>
        </w:rPr>
        <w:t>e setting</w:t>
      </w:r>
      <w:r w:rsidR="003A59CE" w:rsidRPr="006A239A">
        <w:rPr>
          <w:rFonts w:ascii="Times New Roman" w:hAnsi="Times New Roman" w:cs="Times New Roman"/>
          <w:i/>
          <w:sz w:val="21"/>
          <w:szCs w:val="21"/>
        </w:rPr>
        <w:t xml:space="preserve"> mechanisms,</w:t>
      </w:r>
      <w:r w:rsidR="00963AAC" w:rsidRPr="006A239A">
        <w:rPr>
          <w:rFonts w:ascii="Times New Roman" w:hAnsi="Times New Roman" w:cs="Times New Roman"/>
          <w:i/>
          <w:sz w:val="21"/>
          <w:szCs w:val="21"/>
        </w:rPr>
        <w:t xml:space="preserve"> and</w:t>
      </w:r>
      <w:r w:rsidR="003A59CE" w:rsidRPr="006A239A">
        <w:rPr>
          <w:rFonts w:ascii="Times New Roman" w:hAnsi="Times New Roman" w:cs="Times New Roman"/>
          <w:i/>
          <w:sz w:val="21"/>
          <w:szCs w:val="21"/>
        </w:rPr>
        <w:t xml:space="preserve"> etc. </w:t>
      </w:r>
      <w:r w:rsidR="00963AAC" w:rsidRPr="006A239A">
        <w:rPr>
          <w:rFonts w:ascii="Times New Roman" w:hAnsi="Times New Roman" w:cs="Times New Roman"/>
          <w:i/>
          <w:sz w:val="21"/>
          <w:szCs w:val="21"/>
        </w:rPr>
        <w:t xml:space="preserve">Currently, </w:t>
      </w:r>
      <w:r w:rsidR="005C0D4E">
        <w:rPr>
          <w:rFonts w:ascii="Times New Roman" w:hAnsi="Times New Roman" w:cs="Times New Roman"/>
          <w:i/>
          <w:sz w:val="21"/>
          <w:szCs w:val="21"/>
        </w:rPr>
        <w:t>the</w:t>
      </w:r>
      <w:r w:rsidR="00963AAC" w:rsidRPr="006A239A">
        <w:rPr>
          <w:rFonts w:ascii="Times New Roman" w:hAnsi="Times New Roman" w:cs="Times New Roman"/>
          <w:i/>
          <w:sz w:val="21"/>
          <w:szCs w:val="21"/>
        </w:rPr>
        <w:t xml:space="preserve"> second-round impact </w:t>
      </w:r>
      <w:r w:rsidR="005C0D4E">
        <w:rPr>
          <w:rFonts w:ascii="Times New Roman" w:hAnsi="Times New Roman" w:cs="Times New Roman"/>
          <w:i/>
          <w:sz w:val="21"/>
          <w:szCs w:val="21"/>
        </w:rPr>
        <w:t xml:space="preserve">of custom duties change on inflation is estimated to be </w:t>
      </w:r>
      <w:r w:rsidR="005C0D4E" w:rsidRPr="005C0D4E">
        <w:rPr>
          <w:rFonts w:ascii="Times New Roman" w:hAnsi="Times New Roman" w:cs="Times New Roman"/>
          <w:i/>
          <w:sz w:val="21"/>
          <w:szCs w:val="21"/>
        </w:rPr>
        <w:t>negligible</w:t>
      </w:r>
      <w:r w:rsidR="005C0D4E">
        <w:rPr>
          <w:rFonts w:ascii="Times New Roman" w:hAnsi="Times New Roman" w:cs="Times New Roman"/>
          <w:i/>
          <w:sz w:val="21"/>
          <w:szCs w:val="21"/>
        </w:rPr>
        <w:t>.</w:t>
      </w:r>
      <w:r w:rsidR="00327B27" w:rsidRPr="006A239A">
        <w:rPr>
          <w:rFonts w:ascii="Times New Roman" w:hAnsi="Times New Roman" w:cs="Times New Roman"/>
          <w:i/>
          <w:sz w:val="21"/>
          <w:szCs w:val="21"/>
        </w:rPr>
        <w:t>. T</w:t>
      </w:r>
      <w:r w:rsidR="003A59CE" w:rsidRPr="006A239A">
        <w:rPr>
          <w:rFonts w:ascii="Times New Roman" w:hAnsi="Times New Roman" w:cs="Times New Roman"/>
          <w:i/>
          <w:sz w:val="21"/>
          <w:szCs w:val="21"/>
        </w:rPr>
        <w:t>he C</w:t>
      </w:r>
      <w:r w:rsidR="00327B27" w:rsidRPr="006A239A">
        <w:rPr>
          <w:rFonts w:ascii="Times New Roman" w:hAnsi="Times New Roman" w:cs="Times New Roman"/>
          <w:i/>
          <w:sz w:val="21"/>
          <w:szCs w:val="21"/>
        </w:rPr>
        <w:t xml:space="preserve">entral Bank </w:t>
      </w:r>
      <w:r w:rsidR="003A59CE" w:rsidRPr="006A239A">
        <w:rPr>
          <w:rFonts w:ascii="Times New Roman" w:hAnsi="Times New Roman" w:cs="Times New Roman"/>
          <w:i/>
          <w:sz w:val="21"/>
          <w:szCs w:val="21"/>
        </w:rPr>
        <w:t xml:space="preserve">will </w:t>
      </w:r>
      <w:r w:rsidR="00327B27" w:rsidRPr="006A239A">
        <w:rPr>
          <w:rFonts w:ascii="Times New Roman" w:hAnsi="Times New Roman" w:cs="Times New Roman"/>
          <w:i/>
          <w:sz w:val="21"/>
          <w:szCs w:val="21"/>
        </w:rPr>
        <w:t xml:space="preserve">further </w:t>
      </w:r>
      <w:r w:rsidR="003A59CE" w:rsidRPr="006A239A">
        <w:rPr>
          <w:rFonts w:ascii="Times New Roman" w:hAnsi="Times New Roman" w:cs="Times New Roman"/>
          <w:i/>
          <w:sz w:val="21"/>
          <w:szCs w:val="21"/>
        </w:rPr>
        <w:t xml:space="preserve">be </w:t>
      </w:r>
      <w:r w:rsidR="00327B27" w:rsidRPr="006A239A">
        <w:rPr>
          <w:rFonts w:ascii="Times New Roman" w:hAnsi="Times New Roman" w:cs="Times New Roman"/>
          <w:i/>
          <w:sz w:val="21"/>
          <w:szCs w:val="21"/>
        </w:rPr>
        <w:t>consistent in giving more</w:t>
      </w:r>
      <w:r w:rsidR="003A59CE" w:rsidRPr="006A239A">
        <w:rPr>
          <w:rFonts w:ascii="Times New Roman" w:hAnsi="Times New Roman" w:cs="Times New Roman"/>
          <w:i/>
          <w:sz w:val="21"/>
          <w:szCs w:val="21"/>
        </w:rPr>
        <w:t xml:space="preserve"> accurate assessments </w:t>
      </w:r>
      <w:r w:rsidR="00327B27" w:rsidRPr="006A239A">
        <w:rPr>
          <w:rFonts w:ascii="Times New Roman" w:hAnsi="Times New Roman" w:cs="Times New Roman"/>
          <w:i/>
          <w:sz w:val="21"/>
          <w:szCs w:val="21"/>
        </w:rPr>
        <w:t>to</w:t>
      </w:r>
      <w:r w:rsidR="003A59CE" w:rsidRPr="006A239A">
        <w:rPr>
          <w:rFonts w:ascii="Times New Roman" w:hAnsi="Times New Roman" w:cs="Times New Roman"/>
          <w:i/>
          <w:sz w:val="21"/>
          <w:szCs w:val="21"/>
        </w:rPr>
        <w:t xml:space="preserve"> future developments </w:t>
      </w:r>
      <w:r w:rsidR="00327B27" w:rsidRPr="006A239A">
        <w:rPr>
          <w:rFonts w:ascii="Times New Roman" w:hAnsi="Times New Roman" w:cs="Times New Roman"/>
          <w:i/>
          <w:sz w:val="21"/>
          <w:szCs w:val="21"/>
        </w:rPr>
        <w:t>and communicating these assessments to the general public.</w:t>
      </w:r>
    </w:p>
    <w:p w14:paraId="14D858CB" w14:textId="77777777" w:rsidR="00A9653E" w:rsidRPr="00EC356F" w:rsidRDefault="00A9653E" w:rsidP="00327B27">
      <w:pPr>
        <w:jc w:val="both"/>
        <w:rPr>
          <w:rStyle w:val="longtext"/>
          <w:rFonts w:ascii="Times New Roman" w:hAnsi="Times New Roman" w:cs="Times New Roman"/>
          <w:b/>
          <w:color w:val="000000"/>
          <w:sz w:val="21"/>
          <w:szCs w:val="21"/>
        </w:rPr>
      </w:pPr>
      <w:r w:rsidRPr="00EC356F">
        <w:rPr>
          <w:rStyle w:val="longtext"/>
          <w:rFonts w:ascii="Times New Roman" w:hAnsi="Times New Roman" w:cs="Times New Roman"/>
          <w:b/>
          <w:color w:val="000000"/>
          <w:sz w:val="21"/>
          <w:szCs w:val="21"/>
        </w:rPr>
        <w:t>3. ACTUAL DEVELOPMENTS IN Q</w:t>
      </w:r>
      <w:r w:rsidR="00327B27" w:rsidRPr="00A47234">
        <w:rPr>
          <w:rStyle w:val="longtext"/>
          <w:rFonts w:ascii="Times New Roman" w:hAnsi="Times New Roman" w:cs="Times New Roman"/>
          <w:b/>
          <w:color w:val="000000"/>
          <w:sz w:val="21"/>
          <w:szCs w:val="21"/>
        </w:rPr>
        <w:t>3</w:t>
      </w:r>
      <w:r w:rsidRPr="00EC356F">
        <w:rPr>
          <w:rStyle w:val="longtext"/>
          <w:rFonts w:ascii="Times New Roman" w:hAnsi="Times New Roman" w:cs="Times New Roman"/>
          <w:b/>
          <w:color w:val="000000"/>
          <w:sz w:val="21"/>
          <w:szCs w:val="21"/>
        </w:rPr>
        <w:t xml:space="preserve"> 2014</w:t>
      </w:r>
    </w:p>
    <w:p w14:paraId="4AD318DF" w14:textId="77777777" w:rsidR="00A9653E" w:rsidRPr="00EC356F" w:rsidRDefault="00A9653E" w:rsidP="00A9653E">
      <w:pPr>
        <w:spacing w:line="360" w:lineRule="auto"/>
        <w:jc w:val="both"/>
        <w:rPr>
          <w:rStyle w:val="longtext"/>
          <w:rFonts w:ascii="Times New Roman" w:hAnsi="Times New Roman" w:cs="Times New Roman"/>
          <w:b/>
          <w:color w:val="000000"/>
          <w:sz w:val="21"/>
          <w:szCs w:val="21"/>
        </w:rPr>
      </w:pPr>
      <w:r w:rsidRPr="00EC356F">
        <w:rPr>
          <w:rStyle w:val="longtext"/>
          <w:rFonts w:ascii="Times New Roman" w:hAnsi="Times New Roman" w:cs="Times New Roman"/>
          <w:b/>
          <w:color w:val="000000"/>
          <w:sz w:val="21"/>
          <w:szCs w:val="21"/>
        </w:rPr>
        <w:t>3.1 Inflation</w:t>
      </w:r>
    </w:p>
    <w:p w14:paraId="1F6DF489" w14:textId="68C65D3A" w:rsidR="00A9653E" w:rsidRPr="00EC356F" w:rsidRDefault="00A9653E" w:rsidP="00A9653E">
      <w:pPr>
        <w:spacing w:line="360" w:lineRule="auto"/>
        <w:jc w:val="both"/>
        <w:rPr>
          <w:rStyle w:val="longtext"/>
          <w:rFonts w:ascii="Times New Roman" w:hAnsi="Times New Roman" w:cs="Times New Roman"/>
          <w:b/>
          <w:color w:val="000000"/>
          <w:sz w:val="21"/>
          <w:szCs w:val="21"/>
        </w:rPr>
      </w:pPr>
      <w:r w:rsidRPr="00EC356F">
        <w:rPr>
          <w:rStyle w:val="longtext"/>
          <w:rFonts w:ascii="Times New Roman" w:hAnsi="Times New Roman" w:cs="Times New Roman"/>
          <w:b/>
          <w:color w:val="000000"/>
          <w:sz w:val="21"/>
          <w:szCs w:val="21"/>
        </w:rPr>
        <w:t xml:space="preserve">3.1.1 Actual inflation and </w:t>
      </w:r>
      <w:r w:rsidR="00AA57DF">
        <w:rPr>
          <w:rStyle w:val="longtext"/>
          <w:rFonts w:ascii="Times New Roman" w:hAnsi="Times New Roman" w:cs="Times New Roman"/>
          <w:b/>
          <w:color w:val="000000"/>
          <w:sz w:val="21"/>
          <w:szCs w:val="21"/>
        </w:rPr>
        <w:t>fulfilment</w:t>
      </w:r>
      <w:r w:rsidR="00AA57DF" w:rsidRPr="00EC356F">
        <w:rPr>
          <w:rStyle w:val="longtext"/>
          <w:rFonts w:ascii="Times New Roman" w:hAnsi="Times New Roman" w:cs="Times New Roman"/>
          <w:b/>
          <w:color w:val="000000"/>
          <w:sz w:val="21"/>
          <w:szCs w:val="21"/>
        </w:rPr>
        <w:t xml:space="preserve"> </w:t>
      </w:r>
      <w:r w:rsidRPr="00EC356F">
        <w:rPr>
          <w:rStyle w:val="longtext"/>
          <w:rFonts w:ascii="Times New Roman" w:hAnsi="Times New Roman" w:cs="Times New Roman"/>
          <w:b/>
          <w:color w:val="000000"/>
          <w:sz w:val="21"/>
          <w:szCs w:val="21"/>
        </w:rPr>
        <w:t>of</w:t>
      </w:r>
      <w:r w:rsidR="00AA57DF">
        <w:rPr>
          <w:rStyle w:val="longtext"/>
          <w:rFonts w:ascii="Times New Roman" w:hAnsi="Times New Roman" w:cs="Times New Roman"/>
          <w:b/>
          <w:color w:val="000000"/>
          <w:sz w:val="21"/>
          <w:szCs w:val="21"/>
        </w:rPr>
        <w:t xml:space="preserve"> the inflation</w:t>
      </w:r>
      <w:r w:rsidRPr="00EC356F">
        <w:rPr>
          <w:rStyle w:val="longtext"/>
          <w:rFonts w:ascii="Times New Roman" w:hAnsi="Times New Roman" w:cs="Times New Roman"/>
          <w:b/>
          <w:color w:val="000000"/>
          <w:sz w:val="21"/>
          <w:szCs w:val="21"/>
        </w:rPr>
        <w:t xml:space="preserve"> target</w:t>
      </w:r>
    </w:p>
    <w:p w14:paraId="584AF739" w14:textId="77777777" w:rsidR="00A9653E" w:rsidRDefault="00A9653E" w:rsidP="00A9653E">
      <w:pPr>
        <w:spacing w:line="360" w:lineRule="auto"/>
        <w:jc w:val="both"/>
        <w:rPr>
          <w:rStyle w:val="longtext"/>
          <w:rFonts w:ascii="Times New Roman" w:hAnsi="Times New Roman" w:cs="Times New Roman"/>
          <w:color w:val="000000"/>
          <w:sz w:val="21"/>
          <w:szCs w:val="21"/>
        </w:rPr>
      </w:pPr>
    </w:p>
    <w:p w14:paraId="4EFB1C2C" w14:textId="77777777" w:rsidR="00F51525" w:rsidRPr="000553AD" w:rsidRDefault="00F51525" w:rsidP="00A9653E">
      <w:pPr>
        <w:spacing w:line="360" w:lineRule="auto"/>
        <w:jc w:val="both"/>
        <w:rPr>
          <w:rStyle w:val="longtext"/>
          <w:rFonts w:ascii="Times New Roman" w:hAnsi="Times New Roman" w:cs="Times New Roman"/>
          <w:color w:val="0070C0"/>
          <w:sz w:val="18"/>
          <w:szCs w:val="18"/>
        </w:rPr>
      </w:pPr>
      <w:r w:rsidRPr="000553AD">
        <w:rPr>
          <w:rStyle w:val="longtext"/>
          <w:rFonts w:ascii="Times New Roman" w:hAnsi="Times New Roman" w:cs="Times New Roman"/>
          <w:color w:val="0070C0"/>
          <w:sz w:val="18"/>
          <w:szCs w:val="18"/>
        </w:rPr>
        <w:t>At the end of September, the 12-month inflation rate was 1.5%...</w:t>
      </w:r>
    </w:p>
    <w:p w14:paraId="1274B55B" w14:textId="1CF36B70" w:rsidR="00A9653E" w:rsidRPr="00EC356F" w:rsidRDefault="00A9653E" w:rsidP="00A9653E">
      <w:pPr>
        <w:spacing w:line="360" w:lineRule="auto"/>
        <w:jc w:val="both"/>
        <w:rPr>
          <w:rStyle w:val="longtext"/>
          <w:rFonts w:ascii="Times New Roman" w:hAnsi="Times New Roman" w:cs="Times New Roman"/>
          <w:sz w:val="21"/>
          <w:szCs w:val="21"/>
        </w:rPr>
      </w:pPr>
      <w:r w:rsidRPr="00F07FA1">
        <w:rPr>
          <w:rStyle w:val="longtext"/>
          <w:rFonts w:ascii="Times New Roman" w:hAnsi="Times New Roman" w:cs="Times New Roman"/>
          <w:sz w:val="21"/>
          <w:szCs w:val="21"/>
        </w:rPr>
        <w:t xml:space="preserve">In the </w:t>
      </w:r>
      <w:r w:rsidR="00F07FA1" w:rsidRPr="00F07FA1">
        <w:rPr>
          <w:rStyle w:val="longtext"/>
          <w:rFonts w:ascii="Times New Roman" w:hAnsi="Times New Roman" w:cs="Times New Roman"/>
          <w:sz w:val="21"/>
          <w:szCs w:val="21"/>
          <w:lang w:val="hy-AM"/>
        </w:rPr>
        <w:t>opening</w:t>
      </w:r>
      <w:r w:rsidR="00F07FA1">
        <w:rPr>
          <w:rStyle w:val="longtext"/>
          <w:rFonts w:ascii="Times New Roman" w:hAnsi="Times New Roman" w:cs="Times New Roman"/>
          <w:sz w:val="21"/>
          <w:szCs w:val="21"/>
        </w:rPr>
        <w:t xml:space="preserve"> month of the</w:t>
      </w:r>
      <w:r w:rsidR="00F07FA1" w:rsidRPr="00F07FA1">
        <w:rPr>
          <w:rStyle w:val="longtext"/>
          <w:rFonts w:ascii="Times New Roman" w:hAnsi="Times New Roman" w:cs="Times New Roman"/>
          <w:sz w:val="21"/>
          <w:szCs w:val="21"/>
          <w:lang w:val="hy-AM"/>
        </w:rPr>
        <w:t xml:space="preserve"> </w:t>
      </w:r>
      <w:r w:rsidR="00D67F35" w:rsidRPr="00F07FA1">
        <w:rPr>
          <w:rStyle w:val="longtext"/>
          <w:rFonts w:ascii="Times New Roman" w:hAnsi="Times New Roman" w:cs="Times New Roman"/>
          <w:sz w:val="21"/>
          <w:szCs w:val="21"/>
        </w:rPr>
        <w:t>3r</w:t>
      </w:r>
      <w:r w:rsidRPr="00F07FA1">
        <w:rPr>
          <w:rStyle w:val="longtext"/>
          <w:rFonts w:ascii="Times New Roman" w:hAnsi="Times New Roman" w:cs="Times New Roman"/>
          <w:sz w:val="21"/>
          <w:szCs w:val="21"/>
        </w:rPr>
        <w:t xml:space="preserve">d quarter of 2014, </w:t>
      </w:r>
      <w:r w:rsidR="00A47234" w:rsidRPr="00F07FA1">
        <w:rPr>
          <w:rStyle w:val="longtext"/>
          <w:rFonts w:ascii="Times New Roman" w:hAnsi="Times New Roman" w:cs="Times New Roman"/>
          <w:sz w:val="21"/>
          <w:szCs w:val="21"/>
        </w:rPr>
        <w:t xml:space="preserve">as was expected, </w:t>
      </w:r>
      <w:r w:rsidRPr="00F07FA1">
        <w:rPr>
          <w:rStyle w:val="longtext"/>
          <w:rFonts w:ascii="Times New Roman" w:hAnsi="Times New Roman" w:cs="Times New Roman"/>
          <w:sz w:val="21"/>
          <w:szCs w:val="21"/>
        </w:rPr>
        <w:t xml:space="preserve">the 12-month inflation rate </w:t>
      </w:r>
      <w:r w:rsidR="00A47234" w:rsidRPr="00F07FA1">
        <w:rPr>
          <w:rStyle w:val="longtext"/>
          <w:rFonts w:ascii="Times New Roman" w:hAnsi="Times New Roman" w:cs="Times New Roman"/>
          <w:sz w:val="21"/>
          <w:szCs w:val="21"/>
        </w:rPr>
        <w:t xml:space="preserve">kept on </w:t>
      </w:r>
      <w:r w:rsidRPr="00F07FA1">
        <w:rPr>
          <w:rStyle w:val="longtext"/>
          <w:rFonts w:ascii="Times New Roman" w:hAnsi="Times New Roman" w:cs="Times New Roman"/>
          <w:sz w:val="21"/>
          <w:szCs w:val="21"/>
        </w:rPr>
        <w:t xml:space="preserve">falling </w:t>
      </w:r>
      <w:r w:rsidR="00A47234" w:rsidRPr="00F07FA1">
        <w:rPr>
          <w:rStyle w:val="longtext"/>
          <w:rFonts w:ascii="Times New Roman" w:hAnsi="Times New Roman" w:cs="Times New Roman"/>
          <w:sz w:val="21"/>
          <w:szCs w:val="21"/>
        </w:rPr>
        <w:t xml:space="preserve">to </w:t>
      </w:r>
      <w:r w:rsidR="00D12D4C" w:rsidRPr="00F07FA1">
        <w:rPr>
          <w:rStyle w:val="longtext"/>
          <w:rFonts w:ascii="Times New Roman" w:hAnsi="Times New Roman" w:cs="Times New Roman"/>
          <w:sz w:val="21"/>
          <w:szCs w:val="21"/>
        </w:rPr>
        <w:t>0.4% in July but started to increase gradually in</w:t>
      </w:r>
      <w:r w:rsidR="00D12D4C">
        <w:rPr>
          <w:rStyle w:val="longtext"/>
          <w:rFonts w:ascii="Times New Roman" w:hAnsi="Times New Roman" w:cs="Times New Roman"/>
          <w:sz w:val="21"/>
          <w:szCs w:val="21"/>
        </w:rPr>
        <w:t xml:space="preserve"> the next two months.</w:t>
      </w:r>
      <w:r w:rsidR="00DD5A8B">
        <w:rPr>
          <w:rStyle w:val="longtext"/>
          <w:rFonts w:ascii="Times New Roman" w:hAnsi="Times New Roman" w:cs="Times New Roman"/>
          <w:sz w:val="21"/>
          <w:szCs w:val="21"/>
        </w:rPr>
        <w:t xml:space="preserve"> The quarter saw 0.2% inflation, and </w:t>
      </w:r>
      <w:r w:rsidRPr="00A47234">
        <w:rPr>
          <w:rStyle w:val="longtext"/>
          <w:rFonts w:ascii="Times New Roman" w:hAnsi="Times New Roman" w:cs="Times New Roman"/>
          <w:b/>
          <w:sz w:val="21"/>
          <w:szCs w:val="21"/>
        </w:rPr>
        <w:t>the 12-month inflation rate amounted to 1.</w:t>
      </w:r>
      <w:r w:rsidR="00DD5A8B">
        <w:rPr>
          <w:rStyle w:val="longtext"/>
          <w:rFonts w:ascii="Times New Roman" w:hAnsi="Times New Roman" w:cs="Times New Roman"/>
          <w:b/>
          <w:sz w:val="21"/>
          <w:szCs w:val="21"/>
        </w:rPr>
        <w:t>5</w:t>
      </w:r>
      <w:r w:rsidRPr="00A47234">
        <w:rPr>
          <w:rStyle w:val="longtext"/>
          <w:rFonts w:ascii="Times New Roman" w:hAnsi="Times New Roman" w:cs="Times New Roman"/>
          <w:b/>
          <w:sz w:val="21"/>
          <w:szCs w:val="21"/>
        </w:rPr>
        <w:t xml:space="preserve">% in late </w:t>
      </w:r>
      <w:r w:rsidR="004835AF" w:rsidRPr="004835AF">
        <w:rPr>
          <w:rStyle w:val="longtext"/>
          <w:rFonts w:ascii="Times New Roman" w:hAnsi="Times New Roman" w:cs="Times New Roman"/>
          <w:sz w:val="21"/>
          <w:szCs w:val="21"/>
        </w:rPr>
        <w:t>September</w:t>
      </w:r>
      <w:r w:rsidR="004835AF">
        <w:rPr>
          <w:rStyle w:val="longtext"/>
          <w:rFonts w:ascii="Times New Roman" w:hAnsi="Times New Roman" w:cs="Times New Roman"/>
          <w:sz w:val="21"/>
          <w:szCs w:val="21"/>
        </w:rPr>
        <w:t>, which was still below the lower bound of the confidence band. T</w:t>
      </w:r>
      <w:r w:rsidRPr="00A47234">
        <w:rPr>
          <w:rStyle w:val="longtext"/>
          <w:rFonts w:ascii="Times New Roman" w:hAnsi="Times New Roman" w:cs="Times New Roman"/>
          <w:sz w:val="21"/>
          <w:szCs w:val="21"/>
        </w:rPr>
        <w:t xml:space="preserve">he </w:t>
      </w:r>
      <w:r w:rsidR="004835AF">
        <w:rPr>
          <w:rStyle w:val="longtext"/>
          <w:rFonts w:ascii="Times New Roman" w:hAnsi="Times New Roman" w:cs="Times New Roman"/>
          <w:sz w:val="21"/>
          <w:szCs w:val="21"/>
        </w:rPr>
        <w:t xml:space="preserve">reporting </w:t>
      </w:r>
      <w:r w:rsidRPr="00A47234">
        <w:rPr>
          <w:rStyle w:val="longtext"/>
          <w:rFonts w:ascii="Times New Roman" w:hAnsi="Times New Roman" w:cs="Times New Roman"/>
          <w:sz w:val="21"/>
          <w:szCs w:val="21"/>
        </w:rPr>
        <w:t>quarter’s inflation was fuelled by</w:t>
      </w:r>
      <w:r w:rsidRPr="00EC356F">
        <w:rPr>
          <w:rStyle w:val="longtext"/>
          <w:rFonts w:ascii="Times New Roman" w:hAnsi="Times New Roman" w:cs="Times New Roman"/>
          <w:sz w:val="21"/>
          <w:szCs w:val="21"/>
        </w:rPr>
        <w:t xml:space="preserve"> </w:t>
      </w:r>
      <w:r w:rsidR="004835AF">
        <w:rPr>
          <w:rStyle w:val="longtext"/>
          <w:rFonts w:ascii="Times New Roman" w:hAnsi="Times New Roman" w:cs="Times New Roman"/>
          <w:sz w:val="21"/>
          <w:szCs w:val="21"/>
        </w:rPr>
        <w:t xml:space="preserve">the shift in service tariffs, particularly the electricity price change </w:t>
      </w:r>
      <w:r w:rsidR="009F5350">
        <w:rPr>
          <w:rStyle w:val="longtext"/>
          <w:rFonts w:ascii="Times New Roman" w:hAnsi="Times New Roman" w:cs="Times New Roman"/>
          <w:sz w:val="21"/>
          <w:szCs w:val="21"/>
        </w:rPr>
        <w:t>w</w:t>
      </w:r>
      <w:r w:rsidR="004835AF">
        <w:rPr>
          <w:rStyle w:val="longtext"/>
          <w:rFonts w:ascii="Times New Roman" w:hAnsi="Times New Roman" w:cs="Times New Roman"/>
          <w:sz w:val="21"/>
          <w:szCs w:val="21"/>
        </w:rPr>
        <w:t xml:space="preserve">ith </w:t>
      </w:r>
      <w:r w:rsidR="009F5350">
        <w:rPr>
          <w:rStyle w:val="longtext"/>
          <w:rFonts w:ascii="Times New Roman" w:hAnsi="Times New Roman" w:cs="Times New Roman"/>
          <w:sz w:val="21"/>
          <w:szCs w:val="21"/>
        </w:rPr>
        <w:t xml:space="preserve">its </w:t>
      </w:r>
      <w:r w:rsidR="004835AF">
        <w:rPr>
          <w:rStyle w:val="longtext"/>
          <w:rFonts w:ascii="Times New Roman" w:hAnsi="Times New Roman" w:cs="Times New Roman"/>
          <w:sz w:val="21"/>
          <w:szCs w:val="21"/>
        </w:rPr>
        <w:t>0</w:t>
      </w:r>
      <w:r w:rsidRPr="00EC356F">
        <w:rPr>
          <w:rStyle w:val="longtext"/>
          <w:rFonts w:ascii="Times New Roman" w:hAnsi="Times New Roman" w:cs="Times New Roman"/>
          <w:sz w:val="21"/>
          <w:szCs w:val="21"/>
        </w:rPr>
        <w:t>.</w:t>
      </w:r>
      <w:r w:rsidR="004835AF">
        <w:rPr>
          <w:rStyle w:val="longtext"/>
          <w:rFonts w:ascii="Times New Roman" w:hAnsi="Times New Roman" w:cs="Times New Roman"/>
          <w:sz w:val="21"/>
          <w:szCs w:val="21"/>
        </w:rPr>
        <w:t xml:space="preserve">8 pp </w:t>
      </w:r>
      <w:r w:rsidRPr="00EC356F">
        <w:rPr>
          <w:rStyle w:val="longtext"/>
          <w:rFonts w:ascii="Times New Roman" w:hAnsi="Times New Roman" w:cs="Times New Roman"/>
          <w:sz w:val="21"/>
          <w:szCs w:val="21"/>
        </w:rPr>
        <w:t>contribution</w:t>
      </w:r>
      <w:r w:rsidR="009F5350">
        <w:rPr>
          <w:rStyle w:val="longtext"/>
          <w:rFonts w:ascii="Times New Roman" w:hAnsi="Times New Roman" w:cs="Times New Roman"/>
          <w:sz w:val="21"/>
          <w:szCs w:val="21"/>
        </w:rPr>
        <w:t>.</w:t>
      </w:r>
      <w:r w:rsidRPr="00EC356F">
        <w:rPr>
          <w:rStyle w:val="longtext"/>
          <w:rFonts w:ascii="Times New Roman" w:hAnsi="Times New Roman" w:cs="Times New Roman"/>
          <w:sz w:val="21"/>
          <w:szCs w:val="21"/>
        </w:rPr>
        <w:t xml:space="preserve"> </w:t>
      </w:r>
      <w:r w:rsidR="00186196">
        <w:rPr>
          <w:rStyle w:val="longtext"/>
          <w:rFonts w:ascii="Times New Roman" w:hAnsi="Times New Roman" w:cs="Times New Roman"/>
          <w:sz w:val="21"/>
          <w:szCs w:val="21"/>
        </w:rPr>
        <w:t>In the 3rd quarter</w:t>
      </w:r>
      <w:r w:rsidR="00A173E6">
        <w:rPr>
          <w:rStyle w:val="longtext"/>
          <w:rFonts w:ascii="Times New Roman" w:hAnsi="Times New Roman" w:cs="Times New Roman"/>
          <w:sz w:val="21"/>
          <w:szCs w:val="21"/>
        </w:rPr>
        <w:t>,</w:t>
      </w:r>
      <w:r w:rsidR="00186196">
        <w:rPr>
          <w:rStyle w:val="longtext"/>
          <w:rFonts w:ascii="Times New Roman" w:hAnsi="Times New Roman" w:cs="Times New Roman"/>
          <w:sz w:val="21"/>
          <w:szCs w:val="21"/>
        </w:rPr>
        <w:t xml:space="preserve"> however, </w:t>
      </w:r>
      <w:r w:rsidR="00A173E6">
        <w:rPr>
          <w:rStyle w:val="longtext"/>
          <w:rFonts w:ascii="Times New Roman" w:hAnsi="Times New Roman" w:cs="Times New Roman"/>
          <w:sz w:val="21"/>
          <w:szCs w:val="21"/>
        </w:rPr>
        <w:t xml:space="preserve">food </w:t>
      </w:r>
      <w:r w:rsidR="00186196">
        <w:rPr>
          <w:rStyle w:val="longtext"/>
          <w:rFonts w:ascii="Times New Roman" w:hAnsi="Times New Roman" w:cs="Times New Roman"/>
          <w:sz w:val="21"/>
          <w:szCs w:val="21"/>
        </w:rPr>
        <w:t xml:space="preserve">prices </w:t>
      </w:r>
      <w:r w:rsidR="00A173E6">
        <w:rPr>
          <w:rStyle w:val="longtext"/>
          <w:rFonts w:ascii="Times New Roman" w:hAnsi="Times New Roman" w:cs="Times New Roman"/>
          <w:sz w:val="21"/>
          <w:szCs w:val="21"/>
        </w:rPr>
        <w:t xml:space="preserve">posted a 1.2% decrease with their -0.6 pp contribution to headline inflation. </w:t>
      </w:r>
      <w:r w:rsidR="00783A61">
        <w:rPr>
          <w:rStyle w:val="longtext"/>
          <w:rFonts w:ascii="Times New Roman" w:hAnsi="Times New Roman" w:cs="Times New Roman"/>
          <w:sz w:val="21"/>
          <w:szCs w:val="21"/>
        </w:rPr>
        <w:t xml:space="preserve">Specifically, </w:t>
      </w:r>
      <w:r w:rsidRPr="00EC356F">
        <w:rPr>
          <w:rStyle w:val="longtext"/>
          <w:rFonts w:ascii="Times New Roman" w:hAnsi="Times New Roman" w:cs="Times New Roman"/>
          <w:sz w:val="21"/>
          <w:szCs w:val="21"/>
        </w:rPr>
        <w:t xml:space="preserve">prices in item </w:t>
      </w:r>
      <w:r w:rsidR="00783A61">
        <w:rPr>
          <w:rStyle w:val="longtext"/>
          <w:rFonts w:ascii="Times New Roman" w:hAnsi="Times New Roman" w:cs="Times New Roman"/>
          <w:sz w:val="21"/>
          <w:szCs w:val="21"/>
        </w:rPr>
        <w:t xml:space="preserve">‘fruits’ and </w:t>
      </w:r>
      <w:r w:rsidRPr="00EC356F">
        <w:rPr>
          <w:rStyle w:val="longtext"/>
          <w:rFonts w:ascii="Times New Roman" w:hAnsi="Times New Roman" w:cs="Times New Roman"/>
          <w:sz w:val="21"/>
          <w:szCs w:val="21"/>
        </w:rPr>
        <w:t>‘vegetable and potato’ hav</w:t>
      </w:r>
      <w:r w:rsidR="00783A61">
        <w:rPr>
          <w:rStyle w:val="longtext"/>
          <w:rFonts w:ascii="Times New Roman" w:hAnsi="Times New Roman" w:cs="Times New Roman"/>
          <w:sz w:val="21"/>
          <w:szCs w:val="21"/>
        </w:rPr>
        <w:t>e</w:t>
      </w:r>
      <w:r w:rsidRPr="00EC356F">
        <w:rPr>
          <w:rStyle w:val="longtext"/>
          <w:rFonts w:ascii="Times New Roman" w:hAnsi="Times New Roman" w:cs="Times New Roman"/>
          <w:sz w:val="21"/>
          <w:szCs w:val="21"/>
        </w:rPr>
        <w:t xml:space="preserve"> </w:t>
      </w:r>
      <w:r w:rsidR="00783A61">
        <w:rPr>
          <w:rStyle w:val="longtext"/>
          <w:rFonts w:ascii="Times New Roman" w:hAnsi="Times New Roman" w:cs="Times New Roman"/>
          <w:sz w:val="21"/>
          <w:szCs w:val="21"/>
        </w:rPr>
        <w:t>dropped</w:t>
      </w:r>
      <w:r w:rsidRPr="00EC356F">
        <w:rPr>
          <w:rStyle w:val="longtext"/>
          <w:rFonts w:ascii="Times New Roman" w:hAnsi="Times New Roman" w:cs="Times New Roman"/>
          <w:sz w:val="21"/>
          <w:szCs w:val="21"/>
        </w:rPr>
        <w:t xml:space="preserve"> </w:t>
      </w:r>
      <w:r w:rsidR="00783A61">
        <w:rPr>
          <w:rStyle w:val="longtext"/>
          <w:rFonts w:ascii="Times New Roman" w:hAnsi="Times New Roman" w:cs="Times New Roman"/>
          <w:sz w:val="21"/>
          <w:szCs w:val="21"/>
        </w:rPr>
        <w:t xml:space="preserve">notably, </w:t>
      </w:r>
      <w:r w:rsidRPr="00EC356F">
        <w:rPr>
          <w:rStyle w:val="longtext"/>
          <w:rFonts w:ascii="Times New Roman" w:hAnsi="Times New Roman" w:cs="Times New Roman"/>
          <w:sz w:val="21"/>
          <w:szCs w:val="21"/>
        </w:rPr>
        <w:t xml:space="preserve">by </w:t>
      </w:r>
      <w:r w:rsidR="00783A61">
        <w:rPr>
          <w:rStyle w:val="longtext"/>
          <w:rFonts w:ascii="Times New Roman" w:hAnsi="Times New Roman" w:cs="Times New Roman"/>
          <w:sz w:val="21"/>
          <w:szCs w:val="21"/>
        </w:rPr>
        <w:t>15</w:t>
      </w:r>
      <w:r w:rsidRPr="00EC356F">
        <w:rPr>
          <w:rStyle w:val="longtext"/>
          <w:rFonts w:ascii="Times New Roman" w:hAnsi="Times New Roman" w:cs="Times New Roman"/>
          <w:sz w:val="21"/>
          <w:szCs w:val="21"/>
        </w:rPr>
        <w:t>.</w:t>
      </w:r>
      <w:r w:rsidR="00783A61">
        <w:rPr>
          <w:rStyle w:val="longtext"/>
          <w:rFonts w:ascii="Times New Roman" w:hAnsi="Times New Roman" w:cs="Times New Roman"/>
          <w:sz w:val="21"/>
          <w:szCs w:val="21"/>
        </w:rPr>
        <w:t>9</w:t>
      </w:r>
      <w:r w:rsidRPr="00EC356F">
        <w:rPr>
          <w:rStyle w:val="longtext"/>
          <w:rFonts w:ascii="Times New Roman" w:hAnsi="Times New Roman" w:cs="Times New Roman"/>
          <w:sz w:val="21"/>
          <w:szCs w:val="21"/>
        </w:rPr>
        <w:t xml:space="preserve">% and </w:t>
      </w:r>
      <w:r w:rsidR="00783A61">
        <w:rPr>
          <w:rStyle w:val="longtext"/>
          <w:rFonts w:ascii="Times New Roman" w:hAnsi="Times New Roman" w:cs="Times New Roman"/>
          <w:sz w:val="21"/>
          <w:szCs w:val="21"/>
        </w:rPr>
        <w:t xml:space="preserve">14.6%, respectively, with </w:t>
      </w:r>
      <w:r w:rsidR="00FC3245">
        <w:rPr>
          <w:rStyle w:val="longtext"/>
          <w:rFonts w:ascii="Times New Roman" w:hAnsi="Times New Roman" w:cs="Times New Roman"/>
          <w:sz w:val="21"/>
          <w:szCs w:val="21"/>
        </w:rPr>
        <w:t xml:space="preserve">a total </w:t>
      </w:r>
      <w:r w:rsidR="00783A61">
        <w:rPr>
          <w:rStyle w:val="longtext"/>
          <w:rFonts w:ascii="Times New Roman" w:hAnsi="Times New Roman" w:cs="Times New Roman"/>
          <w:sz w:val="21"/>
          <w:szCs w:val="21"/>
        </w:rPr>
        <w:t>-1.5</w:t>
      </w:r>
      <w:r w:rsidR="00B5350F">
        <w:rPr>
          <w:rStyle w:val="longtext"/>
          <w:rFonts w:ascii="Times New Roman" w:hAnsi="Times New Roman" w:cs="Times New Roman"/>
          <w:sz w:val="21"/>
          <w:szCs w:val="21"/>
        </w:rPr>
        <w:t>pp</w:t>
      </w:r>
      <w:r w:rsidR="00783A61">
        <w:rPr>
          <w:rStyle w:val="longtext"/>
          <w:rFonts w:ascii="Times New Roman" w:hAnsi="Times New Roman" w:cs="Times New Roman"/>
          <w:sz w:val="21"/>
          <w:szCs w:val="21"/>
        </w:rPr>
        <w:t xml:space="preserve"> </w:t>
      </w:r>
      <w:r w:rsidRPr="00EC356F">
        <w:rPr>
          <w:rStyle w:val="longtext"/>
          <w:rFonts w:ascii="Times New Roman" w:hAnsi="Times New Roman" w:cs="Times New Roman"/>
          <w:sz w:val="21"/>
          <w:szCs w:val="21"/>
        </w:rPr>
        <w:t xml:space="preserve">contribution to </w:t>
      </w:r>
      <w:r w:rsidR="00783A61">
        <w:rPr>
          <w:rStyle w:val="longtext"/>
          <w:rFonts w:ascii="Times New Roman" w:hAnsi="Times New Roman" w:cs="Times New Roman"/>
          <w:sz w:val="21"/>
          <w:szCs w:val="21"/>
        </w:rPr>
        <w:t>in</w:t>
      </w:r>
      <w:r w:rsidRPr="00EC356F">
        <w:rPr>
          <w:rStyle w:val="longtext"/>
          <w:rFonts w:ascii="Times New Roman" w:hAnsi="Times New Roman" w:cs="Times New Roman"/>
          <w:sz w:val="21"/>
          <w:szCs w:val="21"/>
        </w:rPr>
        <w:t xml:space="preserve">flation. </w:t>
      </w:r>
      <w:r w:rsidR="00FC3245">
        <w:rPr>
          <w:rStyle w:val="longtext"/>
          <w:rFonts w:ascii="Times New Roman" w:hAnsi="Times New Roman" w:cs="Times New Roman"/>
          <w:sz w:val="21"/>
          <w:szCs w:val="21"/>
        </w:rPr>
        <w:t>On the other hand, i</w:t>
      </w:r>
      <w:r w:rsidRPr="00EC356F">
        <w:rPr>
          <w:rStyle w:val="longtext"/>
          <w:rFonts w:ascii="Times New Roman" w:hAnsi="Times New Roman" w:cs="Times New Roman"/>
          <w:sz w:val="21"/>
          <w:szCs w:val="21"/>
        </w:rPr>
        <w:t xml:space="preserve">n the </w:t>
      </w:r>
      <w:r w:rsidR="00FC3245">
        <w:rPr>
          <w:rStyle w:val="longtext"/>
          <w:rFonts w:ascii="Times New Roman" w:hAnsi="Times New Roman" w:cs="Times New Roman"/>
          <w:sz w:val="21"/>
          <w:szCs w:val="21"/>
        </w:rPr>
        <w:t>3r</w:t>
      </w:r>
      <w:r w:rsidRPr="00EC356F">
        <w:rPr>
          <w:rStyle w:val="longtext"/>
          <w:rFonts w:ascii="Times New Roman" w:hAnsi="Times New Roman" w:cs="Times New Roman"/>
          <w:sz w:val="21"/>
          <w:szCs w:val="21"/>
        </w:rPr>
        <w:t xml:space="preserve">d quarter egg prices </w:t>
      </w:r>
      <w:r w:rsidR="00FC3245">
        <w:rPr>
          <w:rStyle w:val="longtext"/>
          <w:rFonts w:ascii="Times New Roman" w:hAnsi="Times New Roman" w:cs="Times New Roman"/>
          <w:sz w:val="21"/>
          <w:szCs w:val="21"/>
        </w:rPr>
        <w:t>rose</w:t>
      </w:r>
      <w:r w:rsidRPr="00EC356F">
        <w:rPr>
          <w:rStyle w:val="longtext"/>
          <w:rFonts w:ascii="Times New Roman" w:hAnsi="Times New Roman" w:cs="Times New Roman"/>
          <w:sz w:val="21"/>
          <w:szCs w:val="21"/>
        </w:rPr>
        <w:t xml:space="preserve"> by 1</w:t>
      </w:r>
      <w:r w:rsidR="00FC3245">
        <w:rPr>
          <w:rStyle w:val="longtext"/>
          <w:rFonts w:ascii="Times New Roman" w:hAnsi="Times New Roman" w:cs="Times New Roman"/>
          <w:sz w:val="21"/>
          <w:szCs w:val="21"/>
        </w:rPr>
        <w:t>0</w:t>
      </w:r>
      <w:r w:rsidRPr="00EC356F">
        <w:rPr>
          <w:rStyle w:val="longtext"/>
          <w:rFonts w:ascii="Times New Roman" w:hAnsi="Times New Roman" w:cs="Times New Roman"/>
          <w:sz w:val="21"/>
          <w:szCs w:val="21"/>
        </w:rPr>
        <w:t>.</w:t>
      </w:r>
      <w:r w:rsidR="00FC3245">
        <w:rPr>
          <w:rStyle w:val="longtext"/>
          <w:rFonts w:ascii="Times New Roman" w:hAnsi="Times New Roman" w:cs="Times New Roman"/>
          <w:sz w:val="21"/>
          <w:szCs w:val="21"/>
        </w:rPr>
        <w:t>2</w:t>
      </w:r>
      <w:r w:rsidRPr="00EC356F">
        <w:rPr>
          <w:rStyle w:val="longtext"/>
          <w:rFonts w:ascii="Times New Roman" w:hAnsi="Times New Roman" w:cs="Times New Roman"/>
          <w:sz w:val="21"/>
          <w:szCs w:val="21"/>
        </w:rPr>
        <w:t>%, making 0.</w:t>
      </w:r>
      <w:r w:rsidR="00FC3245">
        <w:rPr>
          <w:rStyle w:val="longtext"/>
          <w:rFonts w:ascii="Times New Roman" w:hAnsi="Times New Roman" w:cs="Times New Roman"/>
          <w:sz w:val="21"/>
          <w:szCs w:val="21"/>
        </w:rPr>
        <w:t>1</w:t>
      </w:r>
      <w:r w:rsidRPr="00EC356F">
        <w:rPr>
          <w:rStyle w:val="longtext"/>
          <w:rFonts w:ascii="Times New Roman" w:hAnsi="Times New Roman" w:cs="Times New Roman"/>
          <w:sz w:val="21"/>
          <w:szCs w:val="21"/>
        </w:rPr>
        <w:t xml:space="preserve"> pp contribution to </w:t>
      </w:r>
      <w:r w:rsidR="00FC3245">
        <w:rPr>
          <w:rStyle w:val="longtext"/>
          <w:rFonts w:ascii="Times New Roman" w:hAnsi="Times New Roman" w:cs="Times New Roman"/>
          <w:sz w:val="21"/>
          <w:szCs w:val="21"/>
        </w:rPr>
        <w:t>in</w:t>
      </w:r>
      <w:r w:rsidRPr="00EC356F">
        <w:rPr>
          <w:rStyle w:val="longtext"/>
          <w:rFonts w:ascii="Times New Roman" w:hAnsi="Times New Roman" w:cs="Times New Roman"/>
          <w:sz w:val="21"/>
          <w:szCs w:val="21"/>
        </w:rPr>
        <w:t>flation.</w:t>
      </w:r>
    </w:p>
    <w:p w14:paraId="225E10B8" w14:textId="77777777" w:rsidR="00A9653E" w:rsidRPr="00EC356F" w:rsidRDefault="00A9653E" w:rsidP="00A9653E">
      <w:pPr>
        <w:spacing w:line="360" w:lineRule="auto"/>
        <w:jc w:val="both"/>
        <w:rPr>
          <w:rStyle w:val="longtext"/>
          <w:rFonts w:ascii="Times New Roman" w:hAnsi="Times New Roman" w:cs="Times New Roman"/>
          <w:sz w:val="21"/>
          <w:szCs w:val="21"/>
        </w:rPr>
      </w:pPr>
      <w:r w:rsidRPr="00D43B35">
        <w:rPr>
          <w:rStyle w:val="longtext"/>
          <w:rFonts w:ascii="Times New Roman" w:hAnsi="Times New Roman" w:cs="Times New Roman"/>
          <w:sz w:val="21"/>
          <w:szCs w:val="21"/>
        </w:rPr>
        <w:t>Table</w:t>
      </w:r>
    </w:p>
    <w:p w14:paraId="0DB42037" w14:textId="77777777" w:rsidR="00A9653E" w:rsidRPr="00EC356F" w:rsidRDefault="00A9653E" w:rsidP="00A9653E">
      <w:pPr>
        <w:spacing w:line="360" w:lineRule="auto"/>
        <w:jc w:val="both"/>
        <w:rPr>
          <w:rStyle w:val="longtext"/>
          <w:rFonts w:ascii="Times New Roman" w:hAnsi="Times New Roman" w:cs="Times New Roman"/>
          <w:color w:val="000000"/>
          <w:sz w:val="21"/>
          <w:szCs w:val="21"/>
        </w:rPr>
      </w:pPr>
      <w:r w:rsidRPr="00EC356F">
        <w:rPr>
          <w:rStyle w:val="longtext"/>
          <w:rFonts w:ascii="Times New Roman" w:hAnsi="Times New Roman" w:cs="Times New Roman"/>
          <w:color w:val="000000"/>
          <w:sz w:val="21"/>
          <w:szCs w:val="21"/>
        </w:rPr>
        <w:t xml:space="preserve">In the </w:t>
      </w:r>
      <w:r w:rsidR="00863C70">
        <w:rPr>
          <w:rStyle w:val="longtext"/>
          <w:rFonts w:ascii="Times New Roman" w:hAnsi="Times New Roman" w:cs="Times New Roman"/>
          <w:color w:val="000000"/>
          <w:sz w:val="21"/>
          <w:szCs w:val="21"/>
        </w:rPr>
        <w:t>3r</w:t>
      </w:r>
      <w:r w:rsidRPr="00EC356F">
        <w:rPr>
          <w:rStyle w:val="longtext"/>
          <w:rFonts w:ascii="Times New Roman" w:hAnsi="Times New Roman" w:cs="Times New Roman"/>
          <w:color w:val="000000"/>
          <w:sz w:val="21"/>
          <w:szCs w:val="21"/>
        </w:rPr>
        <w:t xml:space="preserve">d quarter of 2014, </w:t>
      </w:r>
      <w:r w:rsidRPr="00EC356F">
        <w:rPr>
          <w:rStyle w:val="longtext"/>
          <w:rFonts w:ascii="Times New Roman" w:hAnsi="Times New Roman" w:cs="Times New Roman"/>
          <w:b/>
          <w:color w:val="000000"/>
          <w:sz w:val="21"/>
          <w:szCs w:val="21"/>
        </w:rPr>
        <w:t>the 12-month core inflation</w:t>
      </w:r>
      <w:r w:rsidRPr="00EC356F">
        <w:rPr>
          <w:rStyle w:val="longtext"/>
          <w:rFonts w:ascii="Times New Roman" w:hAnsi="Times New Roman" w:cs="Times New Roman"/>
          <w:color w:val="000000"/>
          <w:sz w:val="21"/>
          <w:szCs w:val="21"/>
        </w:rPr>
        <w:t xml:space="preserve"> </w:t>
      </w:r>
      <w:r w:rsidR="00863C70">
        <w:rPr>
          <w:rStyle w:val="longtext"/>
          <w:rFonts w:ascii="Times New Roman" w:hAnsi="Times New Roman" w:cs="Times New Roman"/>
          <w:color w:val="000000"/>
          <w:sz w:val="21"/>
          <w:szCs w:val="21"/>
        </w:rPr>
        <w:t xml:space="preserve">expanded by around 0.6 pp after a yearlong </w:t>
      </w:r>
      <w:r w:rsidRPr="00EC356F">
        <w:rPr>
          <w:rStyle w:val="longtext"/>
          <w:rFonts w:ascii="Times New Roman" w:hAnsi="Times New Roman" w:cs="Times New Roman"/>
          <w:color w:val="000000"/>
          <w:sz w:val="21"/>
          <w:szCs w:val="21"/>
        </w:rPr>
        <w:t>down-trending path</w:t>
      </w:r>
      <w:r w:rsidR="001A1DAF">
        <w:rPr>
          <w:rStyle w:val="longtext"/>
          <w:rFonts w:ascii="Times New Roman" w:hAnsi="Times New Roman" w:cs="Times New Roman"/>
          <w:color w:val="000000"/>
          <w:sz w:val="21"/>
          <w:szCs w:val="21"/>
        </w:rPr>
        <w:t xml:space="preserve"> to </w:t>
      </w:r>
      <w:r w:rsidRPr="00EC356F">
        <w:rPr>
          <w:rStyle w:val="longtext"/>
          <w:rFonts w:ascii="Times New Roman" w:hAnsi="Times New Roman" w:cs="Times New Roman"/>
          <w:color w:val="000000"/>
          <w:sz w:val="21"/>
          <w:szCs w:val="21"/>
        </w:rPr>
        <w:t>1.</w:t>
      </w:r>
      <w:r w:rsidR="001A1DAF">
        <w:rPr>
          <w:rStyle w:val="longtext"/>
          <w:rFonts w:ascii="Times New Roman" w:hAnsi="Times New Roman" w:cs="Times New Roman"/>
          <w:color w:val="000000"/>
          <w:sz w:val="21"/>
          <w:szCs w:val="21"/>
        </w:rPr>
        <w:t>0</w:t>
      </w:r>
      <w:r w:rsidRPr="00EC356F">
        <w:rPr>
          <w:rStyle w:val="longtext"/>
          <w:rFonts w:ascii="Times New Roman" w:hAnsi="Times New Roman" w:cs="Times New Roman"/>
          <w:color w:val="000000"/>
          <w:sz w:val="21"/>
          <w:szCs w:val="21"/>
        </w:rPr>
        <w:t xml:space="preserve">% </w:t>
      </w:r>
      <w:r w:rsidR="001A1DAF">
        <w:rPr>
          <w:rStyle w:val="longtext"/>
          <w:rFonts w:ascii="Times New Roman" w:hAnsi="Times New Roman" w:cs="Times New Roman"/>
          <w:color w:val="000000"/>
          <w:sz w:val="21"/>
          <w:szCs w:val="21"/>
        </w:rPr>
        <w:t>in late September</w:t>
      </w:r>
      <w:r w:rsidRPr="00EC356F">
        <w:rPr>
          <w:rStyle w:val="longtext"/>
          <w:rFonts w:ascii="Times New Roman" w:hAnsi="Times New Roman" w:cs="Times New Roman"/>
          <w:color w:val="000000"/>
          <w:sz w:val="21"/>
          <w:szCs w:val="21"/>
        </w:rPr>
        <w:t xml:space="preserve">. </w:t>
      </w:r>
    </w:p>
    <w:p w14:paraId="52448864" w14:textId="416D7AB5" w:rsidR="005E57F4" w:rsidRDefault="00A9653E" w:rsidP="00A9653E">
      <w:pPr>
        <w:spacing w:line="360" w:lineRule="auto"/>
        <w:jc w:val="both"/>
        <w:rPr>
          <w:rStyle w:val="longtext"/>
          <w:rFonts w:ascii="Times New Roman" w:hAnsi="Times New Roman" w:cs="Times New Roman"/>
          <w:sz w:val="21"/>
          <w:szCs w:val="21"/>
          <w:shd w:val="clear" w:color="auto" w:fill="FFFFFF"/>
        </w:rPr>
      </w:pPr>
      <w:r w:rsidRPr="001A1DAF">
        <w:rPr>
          <w:rStyle w:val="longtext"/>
          <w:rFonts w:ascii="Times New Roman" w:hAnsi="Times New Roman" w:cs="Times New Roman"/>
          <w:sz w:val="21"/>
          <w:szCs w:val="21"/>
          <w:shd w:val="clear" w:color="auto" w:fill="FFFFFF"/>
        </w:rPr>
        <w:t xml:space="preserve">At the start of </w:t>
      </w:r>
      <w:r w:rsidR="001A1DAF" w:rsidRPr="001A1DAF">
        <w:rPr>
          <w:rStyle w:val="longtext"/>
          <w:rFonts w:ascii="Times New Roman" w:hAnsi="Times New Roman" w:cs="Times New Roman"/>
          <w:sz w:val="21"/>
          <w:szCs w:val="21"/>
          <w:shd w:val="clear" w:color="auto" w:fill="FFFFFF"/>
        </w:rPr>
        <w:t xml:space="preserve">short-term horizon of </w:t>
      </w:r>
      <w:r w:rsidRPr="001A1DAF">
        <w:rPr>
          <w:rStyle w:val="longtext"/>
          <w:rFonts w:ascii="Times New Roman" w:hAnsi="Times New Roman" w:cs="Times New Roman"/>
          <w:sz w:val="21"/>
          <w:szCs w:val="21"/>
          <w:shd w:val="clear" w:color="auto" w:fill="FFFFFF"/>
        </w:rPr>
        <w:t>the previous year,</w:t>
      </w:r>
      <w:r w:rsidRPr="00EC356F">
        <w:rPr>
          <w:rStyle w:val="longtext"/>
          <w:rFonts w:ascii="Times New Roman" w:hAnsi="Times New Roman" w:cs="Times New Roman"/>
          <w:b/>
          <w:sz w:val="21"/>
          <w:szCs w:val="21"/>
          <w:shd w:val="clear" w:color="auto" w:fill="FFFFFF"/>
        </w:rPr>
        <w:t xml:space="preserve"> i.e. the </w:t>
      </w:r>
      <w:r w:rsidR="001A1DAF">
        <w:rPr>
          <w:rStyle w:val="longtext"/>
          <w:rFonts w:ascii="Times New Roman" w:hAnsi="Times New Roman" w:cs="Times New Roman"/>
          <w:b/>
          <w:sz w:val="21"/>
          <w:szCs w:val="21"/>
          <w:shd w:val="clear" w:color="auto" w:fill="FFFFFF"/>
        </w:rPr>
        <w:t>4th</w:t>
      </w:r>
      <w:r w:rsidRPr="00EC356F">
        <w:rPr>
          <w:rStyle w:val="longtext"/>
          <w:rFonts w:ascii="Times New Roman" w:hAnsi="Times New Roman" w:cs="Times New Roman"/>
          <w:b/>
          <w:sz w:val="21"/>
          <w:szCs w:val="21"/>
          <w:shd w:val="clear" w:color="auto" w:fill="FFFFFF"/>
        </w:rPr>
        <w:t xml:space="preserve"> quarter of 2013</w:t>
      </w:r>
      <w:r w:rsidRPr="001A1DAF">
        <w:rPr>
          <w:rStyle w:val="longtext"/>
          <w:rFonts w:ascii="Times New Roman" w:hAnsi="Times New Roman" w:cs="Times New Roman"/>
          <w:sz w:val="21"/>
          <w:szCs w:val="21"/>
          <w:shd w:val="clear" w:color="auto" w:fill="FFFFFF"/>
        </w:rPr>
        <w:t xml:space="preserve">, the inflation environment </w:t>
      </w:r>
      <w:r w:rsidR="00A65E6B">
        <w:rPr>
          <w:rStyle w:val="longtext"/>
          <w:rFonts w:ascii="Times New Roman" w:hAnsi="Times New Roman" w:cs="Times New Roman"/>
          <w:sz w:val="21"/>
          <w:szCs w:val="21"/>
          <w:shd w:val="clear" w:color="auto" w:fill="FFFFFF"/>
        </w:rPr>
        <w:t xml:space="preserve">was expected to come down rapidly </w:t>
      </w:r>
      <w:r w:rsidR="00F77F45">
        <w:rPr>
          <w:rStyle w:val="longtext"/>
          <w:rFonts w:ascii="Times New Roman" w:hAnsi="Times New Roman" w:cs="Times New Roman"/>
          <w:sz w:val="21"/>
          <w:szCs w:val="21"/>
          <w:shd w:val="clear" w:color="auto" w:fill="FFFFFF"/>
        </w:rPr>
        <w:t xml:space="preserve">owing to weak demand and </w:t>
      </w:r>
      <w:r w:rsidR="00A65E6B">
        <w:rPr>
          <w:rStyle w:val="longtext"/>
          <w:rFonts w:ascii="Times New Roman" w:hAnsi="Times New Roman" w:cs="Times New Roman"/>
          <w:sz w:val="21"/>
          <w:szCs w:val="21"/>
          <w:shd w:val="clear" w:color="auto" w:fill="FFFFFF"/>
        </w:rPr>
        <w:t xml:space="preserve">contractionary monetary policy </w:t>
      </w:r>
      <w:r w:rsidR="00F77F45">
        <w:rPr>
          <w:rStyle w:val="longtext"/>
          <w:rFonts w:ascii="Times New Roman" w:hAnsi="Times New Roman" w:cs="Times New Roman"/>
          <w:sz w:val="21"/>
          <w:szCs w:val="21"/>
          <w:shd w:val="clear" w:color="auto" w:fill="FFFFFF"/>
        </w:rPr>
        <w:t xml:space="preserve">of the Central Bank that time, under which circumstances however the 12-month inflation rate would have to run above the upper bound of the </w:t>
      </w:r>
      <w:r w:rsidR="00086B9E">
        <w:rPr>
          <w:rStyle w:val="longtext"/>
          <w:rFonts w:ascii="Times New Roman" w:hAnsi="Times New Roman" w:cs="Times New Roman"/>
          <w:sz w:val="21"/>
          <w:szCs w:val="21"/>
          <w:shd w:val="clear" w:color="auto" w:fill="FFFFFF"/>
        </w:rPr>
        <w:t xml:space="preserve">confidence band </w:t>
      </w:r>
      <w:r w:rsidR="00F77F45">
        <w:rPr>
          <w:rStyle w:val="longtext"/>
          <w:rFonts w:ascii="Times New Roman" w:hAnsi="Times New Roman" w:cs="Times New Roman"/>
          <w:sz w:val="21"/>
          <w:szCs w:val="21"/>
          <w:shd w:val="clear" w:color="auto" w:fill="FFFFFF"/>
        </w:rPr>
        <w:t xml:space="preserve">later year but keep on falling in the course of the first half of 2014 to return to the target. </w:t>
      </w:r>
      <w:r w:rsidR="005E57F4">
        <w:rPr>
          <w:rStyle w:val="longtext"/>
          <w:rFonts w:ascii="Times New Roman" w:hAnsi="Times New Roman" w:cs="Times New Roman"/>
          <w:sz w:val="21"/>
          <w:szCs w:val="21"/>
          <w:shd w:val="clear" w:color="auto" w:fill="FFFFFF"/>
        </w:rPr>
        <w:t>In such a situation in the 4th</w:t>
      </w:r>
      <w:r w:rsidR="00F77F45">
        <w:rPr>
          <w:rStyle w:val="longtext"/>
          <w:rFonts w:ascii="Times New Roman" w:hAnsi="Times New Roman" w:cs="Times New Roman"/>
          <w:sz w:val="21"/>
          <w:szCs w:val="21"/>
          <w:shd w:val="clear" w:color="auto" w:fill="FFFFFF"/>
        </w:rPr>
        <w:t xml:space="preserve"> </w:t>
      </w:r>
      <w:r w:rsidR="005E57F4">
        <w:rPr>
          <w:rStyle w:val="longtext"/>
          <w:rFonts w:ascii="Times New Roman" w:hAnsi="Times New Roman" w:cs="Times New Roman"/>
          <w:sz w:val="21"/>
          <w:szCs w:val="21"/>
          <w:shd w:val="clear" w:color="auto" w:fill="FFFFFF"/>
        </w:rPr>
        <w:t xml:space="preserve">quarter of 2013, the </w:t>
      </w:r>
      <w:r w:rsidR="005E57F4" w:rsidRPr="005E57F4">
        <w:rPr>
          <w:rStyle w:val="longtext"/>
          <w:rFonts w:ascii="Times New Roman" w:hAnsi="Times New Roman" w:cs="Times New Roman"/>
          <w:b/>
          <w:sz w:val="21"/>
          <w:szCs w:val="21"/>
          <w:shd w:val="clear" w:color="auto" w:fill="FFFFFF"/>
        </w:rPr>
        <w:t xml:space="preserve">Central Bank was planning to ease the monetary conditions which would be appropriate for a weak economic activity and moderate inflationary environment, while further monetary policy directions would </w:t>
      </w:r>
      <w:r w:rsidR="005E57F4">
        <w:rPr>
          <w:rStyle w:val="longtext"/>
          <w:rFonts w:ascii="Times New Roman" w:hAnsi="Times New Roman" w:cs="Times New Roman"/>
          <w:b/>
          <w:sz w:val="21"/>
          <w:szCs w:val="21"/>
          <w:shd w:val="clear" w:color="auto" w:fill="FFFFFF"/>
        </w:rPr>
        <w:t xml:space="preserve">also </w:t>
      </w:r>
      <w:r w:rsidR="005E57F4" w:rsidRPr="005E57F4">
        <w:rPr>
          <w:rStyle w:val="longtext"/>
          <w:rFonts w:ascii="Times New Roman" w:hAnsi="Times New Roman" w:cs="Times New Roman"/>
          <w:b/>
          <w:sz w:val="21"/>
          <w:szCs w:val="21"/>
          <w:shd w:val="clear" w:color="auto" w:fill="FFFFFF"/>
        </w:rPr>
        <w:t>be determined by the pace of the fiscal policy</w:t>
      </w:r>
      <w:r w:rsidR="005E57F4">
        <w:rPr>
          <w:rStyle w:val="longtext"/>
          <w:rFonts w:ascii="Times New Roman" w:hAnsi="Times New Roman" w:cs="Times New Roman"/>
          <w:sz w:val="21"/>
          <w:szCs w:val="21"/>
          <w:shd w:val="clear" w:color="auto" w:fill="FFFFFF"/>
        </w:rPr>
        <w:t xml:space="preserve">. </w:t>
      </w:r>
    </w:p>
    <w:p w14:paraId="2A3136D3" w14:textId="77777777" w:rsidR="000B06F7" w:rsidRDefault="000B06F7" w:rsidP="00A9653E">
      <w:pPr>
        <w:spacing w:line="360" w:lineRule="auto"/>
        <w:jc w:val="both"/>
        <w:rPr>
          <w:rStyle w:val="longtext"/>
          <w:rFonts w:ascii="Times New Roman" w:hAnsi="Times New Roman" w:cs="Times New Roman"/>
          <w:sz w:val="21"/>
          <w:szCs w:val="21"/>
          <w:shd w:val="clear" w:color="auto" w:fill="FFFFFF"/>
        </w:rPr>
      </w:pPr>
      <w:r>
        <w:rPr>
          <w:rStyle w:val="longtext"/>
          <w:rFonts w:ascii="Times New Roman" w:hAnsi="Times New Roman" w:cs="Times New Roman"/>
          <w:sz w:val="21"/>
          <w:szCs w:val="21"/>
          <w:shd w:val="clear" w:color="auto" w:fill="FFFFFF"/>
        </w:rPr>
        <w:t>However, the</w:t>
      </w:r>
      <w:r w:rsidR="00A9653E" w:rsidRPr="00EC356F">
        <w:rPr>
          <w:rStyle w:val="longtext"/>
          <w:rFonts w:ascii="Times New Roman" w:hAnsi="Times New Roman" w:cs="Times New Roman"/>
          <w:sz w:val="21"/>
          <w:szCs w:val="21"/>
          <w:shd w:val="clear" w:color="auto" w:fill="FFFFFF"/>
        </w:rPr>
        <w:t xml:space="preserve"> </w:t>
      </w:r>
      <w:r w:rsidR="00591023">
        <w:rPr>
          <w:rStyle w:val="longtext"/>
          <w:rFonts w:ascii="Times New Roman" w:hAnsi="Times New Roman" w:cs="Times New Roman"/>
          <w:sz w:val="21"/>
          <w:szCs w:val="21"/>
          <w:shd w:val="clear" w:color="auto" w:fill="FFFFFF"/>
        </w:rPr>
        <w:t xml:space="preserve">inflation </w:t>
      </w:r>
      <w:r w:rsidR="00A9653E" w:rsidRPr="00EC356F">
        <w:rPr>
          <w:rStyle w:val="longtext"/>
          <w:rFonts w:ascii="Times New Roman" w:hAnsi="Times New Roman" w:cs="Times New Roman"/>
          <w:sz w:val="21"/>
          <w:szCs w:val="21"/>
          <w:shd w:val="clear" w:color="auto" w:fill="FFFFFF"/>
        </w:rPr>
        <w:t xml:space="preserve">developments </w:t>
      </w:r>
      <w:r w:rsidR="00591023">
        <w:rPr>
          <w:rStyle w:val="longtext"/>
          <w:rFonts w:ascii="Times New Roman" w:hAnsi="Times New Roman" w:cs="Times New Roman"/>
          <w:sz w:val="21"/>
          <w:szCs w:val="21"/>
          <w:shd w:val="clear" w:color="auto" w:fill="FFFFFF"/>
        </w:rPr>
        <w:t xml:space="preserve">showed that not only in the 4th quarter of 2013 but also throughout the three quarters of 2014 the 12-month inflation rate </w:t>
      </w:r>
      <w:r w:rsidR="00421828">
        <w:rPr>
          <w:rStyle w:val="longtext"/>
          <w:rFonts w:ascii="Times New Roman" w:hAnsi="Times New Roman" w:cs="Times New Roman"/>
          <w:sz w:val="21"/>
          <w:szCs w:val="21"/>
          <w:shd w:val="clear" w:color="auto" w:fill="FFFFFF"/>
        </w:rPr>
        <w:t xml:space="preserve">has declined faster than anticipated, </w:t>
      </w:r>
      <w:r w:rsidR="00421828">
        <w:rPr>
          <w:rStyle w:val="longtext"/>
          <w:rFonts w:ascii="Times New Roman" w:hAnsi="Times New Roman" w:cs="Times New Roman"/>
          <w:sz w:val="21"/>
          <w:szCs w:val="21"/>
          <w:shd w:val="clear" w:color="auto" w:fill="FFFFFF"/>
        </w:rPr>
        <w:lastRenderedPageBreak/>
        <w:t>primarily reflecting the downside adjustments to demand in both external and domestic sectors.</w:t>
      </w:r>
      <w:r>
        <w:rPr>
          <w:rStyle w:val="longtext"/>
          <w:rFonts w:ascii="Times New Roman" w:hAnsi="Times New Roman" w:cs="Times New Roman"/>
          <w:sz w:val="21"/>
          <w:szCs w:val="21"/>
          <w:shd w:val="clear" w:color="auto" w:fill="FFFFFF"/>
        </w:rPr>
        <w:t xml:space="preserve"> Based on the aforementioned, the Central Bank chose a down-trending path for inflation in each of its forecast for the quarters ahead. </w:t>
      </w:r>
    </w:p>
    <w:p w14:paraId="3D1115F8" w14:textId="77777777" w:rsidR="00A9653E" w:rsidRPr="002C2BCA" w:rsidRDefault="000B06F7" w:rsidP="00A9653E">
      <w:pPr>
        <w:spacing w:line="360" w:lineRule="auto"/>
        <w:jc w:val="both"/>
        <w:rPr>
          <w:rFonts w:ascii="Times New Roman" w:hAnsi="Times New Roman" w:cs="Times New Roman"/>
          <w:sz w:val="21"/>
          <w:szCs w:val="21"/>
          <w:shd w:val="clear" w:color="auto" w:fill="FFFFFF"/>
        </w:rPr>
      </w:pPr>
      <w:r>
        <w:rPr>
          <w:rStyle w:val="longtext"/>
          <w:rFonts w:ascii="Times New Roman" w:hAnsi="Times New Roman" w:cs="Times New Roman"/>
          <w:sz w:val="21"/>
          <w:szCs w:val="21"/>
          <w:shd w:val="clear" w:color="auto" w:fill="FFFFFF"/>
        </w:rPr>
        <w:t xml:space="preserve">Actually, </w:t>
      </w:r>
      <w:r w:rsidR="00AF72AC">
        <w:rPr>
          <w:rStyle w:val="longtext"/>
          <w:rFonts w:ascii="Times New Roman" w:hAnsi="Times New Roman" w:cs="Times New Roman"/>
          <w:sz w:val="21"/>
          <w:szCs w:val="21"/>
          <w:shd w:val="clear" w:color="auto" w:fill="FFFFFF"/>
        </w:rPr>
        <w:t>determined by tightened monetary conditions in an earlier period as well as smaller seasonal increase of prices of some products, at the end of 2013 the 12-month inflation rate was near the upper bound of the confidence band, amounting to 5.6%.</w:t>
      </w:r>
      <w:r w:rsidR="002C2BCA">
        <w:rPr>
          <w:rStyle w:val="longtext"/>
          <w:rFonts w:ascii="Times New Roman" w:hAnsi="Times New Roman" w:cs="Times New Roman"/>
          <w:sz w:val="21"/>
          <w:szCs w:val="21"/>
          <w:shd w:val="clear" w:color="auto" w:fill="FFFFFF"/>
        </w:rPr>
        <w:t xml:space="preserve"> </w:t>
      </w:r>
      <w:r w:rsidR="00A9653E" w:rsidRPr="00EC356F">
        <w:rPr>
          <w:rFonts w:ascii="Times New Roman" w:hAnsi="Times New Roman" w:cs="Times New Roman"/>
          <w:sz w:val="21"/>
          <w:szCs w:val="21"/>
        </w:rPr>
        <w:t xml:space="preserve">In view of a moderate inflation environment and anchored inflationary expectations, the </w:t>
      </w:r>
      <w:r w:rsidR="00A9653E" w:rsidRPr="00EC356F">
        <w:rPr>
          <w:rFonts w:ascii="Times New Roman" w:hAnsi="Times New Roman" w:cs="Times New Roman"/>
          <w:b/>
          <w:sz w:val="21"/>
          <w:szCs w:val="21"/>
        </w:rPr>
        <w:t>Central Bank gradually loosened the monetary conditions in the 4th quarter of 2013</w:t>
      </w:r>
      <w:r w:rsidR="00A9653E" w:rsidRPr="00EC356F">
        <w:rPr>
          <w:rFonts w:ascii="Times New Roman" w:hAnsi="Times New Roman" w:cs="Times New Roman"/>
          <w:sz w:val="21"/>
          <w:szCs w:val="21"/>
        </w:rPr>
        <w:t xml:space="preserve"> by cutting the refinancing rate by 0.75 pp to </w:t>
      </w:r>
      <w:r w:rsidR="00A9653E" w:rsidRPr="00EC356F">
        <w:rPr>
          <w:rFonts w:ascii="Times New Roman" w:hAnsi="Times New Roman" w:cs="Times New Roman"/>
          <w:b/>
          <w:sz w:val="21"/>
          <w:szCs w:val="21"/>
        </w:rPr>
        <w:t>7.75%</w:t>
      </w:r>
      <w:r w:rsidR="00A9653E" w:rsidRPr="00EC356F">
        <w:rPr>
          <w:rFonts w:ascii="Times New Roman" w:hAnsi="Times New Roman" w:cs="Times New Roman"/>
          <w:sz w:val="21"/>
          <w:szCs w:val="21"/>
        </w:rPr>
        <w:t xml:space="preserve"> at the end of the year.</w:t>
      </w:r>
    </w:p>
    <w:p w14:paraId="5384925A" w14:textId="14A6B8CA" w:rsidR="00423EAE"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first </w:t>
      </w:r>
      <w:r w:rsidR="0092403F">
        <w:rPr>
          <w:rFonts w:ascii="Times New Roman" w:hAnsi="Times New Roman" w:cs="Times New Roman"/>
          <w:sz w:val="21"/>
          <w:szCs w:val="21"/>
        </w:rPr>
        <w:t xml:space="preserve">three quarters </w:t>
      </w:r>
      <w:r w:rsidRPr="00EC356F">
        <w:rPr>
          <w:rFonts w:ascii="Times New Roman" w:hAnsi="Times New Roman" w:cs="Times New Roman"/>
          <w:sz w:val="21"/>
          <w:szCs w:val="21"/>
        </w:rPr>
        <w:t xml:space="preserve">of 2014, the </w:t>
      </w:r>
      <w:r w:rsidRPr="00EC356F">
        <w:rPr>
          <w:rFonts w:ascii="Times New Roman" w:hAnsi="Times New Roman" w:cs="Times New Roman"/>
          <w:b/>
          <w:sz w:val="21"/>
          <w:szCs w:val="21"/>
        </w:rPr>
        <w:t>12-month inflation continued to decline rapidly</w:t>
      </w:r>
      <w:r w:rsidRPr="00EC356F">
        <w:rPr>
          <w:rFonts w:ascii="Times New Roman" w:hAnsi="Times New Roman" w:cs="Times New Roman"/>
          <w:sz w:val="21"/>
          <w:szCs w:val="21"/>
        </w:rPr>
        <w:t xml:space="preserve"> which was largely attributable to </w:t>
      </w:r>
      <w:r w:rsidRPr="00EC356F">
        <w:rPr>
          <w:rFonts w:ascii="Times New Roman" w:hAnsi="Times New Roman" w:cs="Times New Roman"/>
          <w:b/>
          <w:sz w:val="21"/>
          <w:szCs w:val="21"/>
        </w:rPr>
        <w:t xml:space="preserve">sluggish economic growth </w:t>
      </w:r>
      <w:r w:rsidRPr="00EC356F">
        <w:rPr>
          <w:rFonts w:ascii="Times New Roman" w:hAnsi="Times New Roman" w:cs="Times New Roman"/>
          <w:sz w:val="21"/>
          <w:szCs w:val="21"/>
        </w:rPr>
        <w:t>amidst a low level of investment and slowing private consumption growth rates</w:t>
      </w:r>
      <w:r w:rsidR="000730AE" w:rsidRPr="000730AE">
        <w:rPr>
          <w:rFonts w:ascii="Times New Roman" w:hAnsi="Times New Roman" w:cs="Times New Roman"/>
          <w:b/>
          <w:sz w:val="21"/>
          <w:szCs w:val="21"/>
        </w:rPr>
        <w:t xml:space="preserve"> </w:t>
      </w:r>
      <w:r w:rsidR="000730AE" w:rsidRPr="00EC356F">
        <w:rPr>
          <w:rFonts w:ascii="Times New Roman" w:hAnsi="Times New Roman" w:cs="Times New Roman"/>
          <w:b/>
          <w:sz w:val="21"/>
          <w:szCs w:val="21"/>
        </w:rPr>
        <w:t>and notable decrease in some food prices</w:t>
      </w:r>
      <w:r w:rsidRPr="00EC356F">
        <w:rPr>
          <w:rFonts w:ascii="Times New Roman" w:hAnsi="Times New Roman" w:cs="Times New Roman"/>
          <w:sz w:val="21"/>
          <w:szCs w:val="21"/>
        </w:rPr>
        <w:t xml:space="preserve">. </w:t>
      </w:r>
      <w:r w:rsidR="00FF4963" w:rsidRPr="00FF4963">
        <w:rPr>
          <w:rFonts w:ascii="Times New Roman" w:hAnsi="Times New Roman" w:cs="Times New Roman"/>
          <w:b/>
          <w:sz w:val="21"/>
          <w:szCs w:val="21"/>
        </w:rPr>
        <w:t>In the first three quarters of 2014, there was 0.8% deflation</w:t>
      </w:r>
      <w:r w:rsidR="00FF4963">
        <w:rPr>
          <w:rFonts w:ascii="Times New Roman" w:hAnsi="Times New Roman" w:cs="Times New Roman"/>
          <w:sz w:val="21"/>
          <w:szCs w:val="21"/>
        </w:rPr>
        <w:t xml:space="preserve"> against </w:t>
      </w:r>
      <w:r w:rsidR="00FF4963" w:rsidRPr="00FF4963">
        <w:rPr>
          <w:rFonts w:ascii="Times New Roman" w:hAnsi="Times New Roman" w:cs="Times New Roman"/>
          <w:b/>
          <w:sz w:val="21"/>
          <w:szCs w:val="21"/>
        </w:rPr>
        <w:t>3.2% inflation</w:t>
      </w:r>
      <w:r w:rsidR="00FF4963">
        <w:rPr>
          <w:rFonts w:ascii="Times New Roman" w:hAnsi="Times New Roman" w:cs="Times New Roman"/>
          <w:sz w:val="21"/>
          <w:szCs w:val="21"/>
        </w:rPr>
        <w:t xml:space="preserve"> of the same reference period last year. </w:t>
      </w:r>
      <w:r w:rsidRPr="00EC356F">
        <w:rPr>
          <w:rFonts w:ascii="Times New Roman" w:hAnsi="Times New Roman" w:cs="Times New Roman"/>
          <w:sz w:val="21"/>
          <w:szCs w:val="21"/>
        </w:rPr>
        <w:t xml:space="preserve">So, </w:t>
      </w:r>
      <w:r w:rsidR="00FF4963" w:rsidRPr="00EC356F">
        <w:rPr>
          <w:rFonts w:ascii="Times New Roman" w:hAnsi="Times New Roman" w:cs="Times New Roman"/>
          <w:sz w:val="21"/>
          <w:szCs w:val="21"/>
        </w:rPr>
        <w:t xml:space="preserve">in </w:t>
      </w:r>
      <w:r w:rsidR="00FF4963">
        <w:rPr>
          <w:rFonts w:ascii="Times New Roman" w:hAnsi="Times New Roman" w:cs="Times New Roman"/>
          <w:sz w:val="21"/>
          <w:szCs w:val="21"/>
        </w:rPr>
        <w:t xml:space="preserve">late September of 2014 the 12-month inflation rate </w:t>
      </w:r>
      <w:r w:rsidR="00FF4963" w:rsidRPr="00041058">
        <w:rPr>
          <w:rFonts w:ascii="Times New Roman" w:hAnsi="Times New Roman" w:cs="Times New Roman"/>
          <w:sz w:val="21"/>
          <w:szCs w:val="21"/>
          <w:highlight w:val="yellow"/>
        </w:rPr>
        <w:t>subdued</w:t>
      </w:r>
      <w:r w:rsidR="00FF4963">
        <w:rPr>
          <w:rFonts w:ascii="Times New Roman" w:hAnsi="Times New Roman" w:cs="Times New Roman"/>
          <w:sz w:val="21"/>
          <w:szCs w:val="21"/>
        </w:rPr>
        <w:t xml:space="preserve"> to </w:t>
      </w:r>
      <w:r w:rsidR="00FF4963" w:rsidRPr="00FF4963">
        <w:rPr>
          <w:rFonts w:ascii="Times New Roman" w:hAnsi="Times New Roman" w:cs="Times New Roman"/>
          <w:b/>
          <w:sz w:val="21"/>
          <w:szCs w:val="21"/>
        </w:rPr>
        <w:t>1.5%</w:t>
      </w:r>
      <w:r w:rsidR="00FF4963">
        <w:rPr>
          <w:rFonts w:ascii="Times New Roman" w:hAnsi="Times New Roman" w:cs="Times New Roman"/>
          <w:sz w:val="21"/>
          <w:szCs w:val="21"/>
        </w:rPr>
        <w:t xml:space="preserve"> stepping below the lower bound of the </w:t>
      </w:r>
      <w:r w:rsidR="00086B9E">
        <w:rPr>
          <w:rFonts w:ascii="Times New Roman" w:hAnsi="Times New Roman" w:cs="Times New Roman"/>
          <w:sz w:val="21"/>
          <w:szCs w:val="21"/>
        </w:rPr>
        <w:t xml:space="preserve"> confidence band</w:t>
      </w:r>
      <w:r w:rsidR="00FF4963">
        <w:rPr>
          <w:rFonts w:ascii="Times New Roman" w:hAnsi="Times New Roman" w:cs="Times New Roman"/>
          <w:sz w:val="21"/>
          <w:szCs w:val="21"/>
        </w:rPr>
        <w:t xml:space="preserve">. </w:t>
      </w:r>
      <w:r w:rsidR="00423EAE">
        <w:rPr>
          <w:rFonts w:ascii="Times New Roman" w:hAnsi="Times New Roman" w:cs="Times New Roman"/>
          <w:sz w:val="21"/>
          <w:szCs w:val="21"/>
        </w:rPr>
        <w:t xml:space="preserve">In the meantime though, the </w:t>
      </w:r>
      <w:r w:rsidR="00423EAE" w:rsidRPr="00423EAE">
        <w:rPr>
          <w:rFonts w:ascii="Times New Roman" w:hAnsi="Times New Roman" w:cs="Times New Roman"/>
          <w:b/>
          <w:sz w:val="21"/>
          <w:szCs w:val="21"/>
        </w:rPr>
        <w:t>12-month core inflation rate</w:t>
      </w:r>
      <w:r w:rsidR="00423EAE">
        <w:rPr>
          <w:rFonts w:ascii="Times New Roman" w:hAnsi="Times New Roman" w:cs="Times New Roman"/>
          <w:sz w:val="21"/>
          <w:szCs w:val="21"/>
        </w:rPr>
        <w:t xml:space="preserve"> declined consistently from </w:t>
      </w:r>
      <w:r w:rsidR="00423EAE" w:rsidRPr="00423EAE">
        <w:rPr>
          <w:rFonts w:ascii="Times New Roman" w:hAnsi="Times New Roman" w:cs="Times New Roman"/>
          <w:b/>
          <w:sz w:val="21"/>
          <w:szCs w:val="21"/>
        </w:rPr>
        <w:t>3.7%</w:t>
      </w:r>
      <w:r w:rsidR="00423EAE">
        <w:rPr>
          <w:rFonts w:ascii="Times New Roman" w:hAnsi="Times New Roman" w:cs="Times New Roman"/>
          <w:sz w:val="21"/>
          <w:szCs w:val="21"/>
        </w:rPr>
        <w:t xml:space="preserve"> in late 2013 to </w:t>
      </w:r>
      <w:r w:rsidR="00423EAE" w:rsidRPr="00423EAE">
        <w:rPr>
          <w:rFonts w:ascii="Times New Roman" w:hAnsi="Times New Roman" w:cs="Times New Roman"/>
          <w:b/>
          <w:sz w:val="21"/>
          <w:szCs w:val="21"/>
        </w:rPr>
        <w:t>1.0%</w:t>
      </w:r>
      <w:r w:rsidR="00423EAE">
        <w:rPr>
          <w:rFonts w:ascii="Times New Roman" w:hAnsi="Times New Roman" w:cs="Times New Roman"/>
          <w:sz w:val="21"/>
          <w:szCs w:val="21"/>
        </w:rPr>
        <w:t xml:space="preserve"> in late September of 2014.  </w:t>
      </w:r>
    </w:p>
    <w:p w14:paraId="1FEF5692" w14:textId="77777777" w:rsidR="00321EAB" w:rsidRDefault="00321EAB" w:rsidP="00A9653E">
      <w:pPr>
        <w:spacing w:line="360" w:lineRule="auto"/>
        <w:jc w:val="both"/>
        <w:rPr>
          <w:rFonts w:ascii="Times New Roman" w:hAnsi="Times New Roman" w:cs="Times New Roman"/>
          <w:bCs/>
          <w:iCs/>
          <w:sz w:val="21"/>
          <w:szCs w:val="21"/>
        </w:rPr>
      </w:pPr>
    </w:p>
    <w:p w14:paraId="3BD8EAA4" w14:textId="77777777" w:rsidR="00321EAB" w:rsidRPr="00321EAB" w:rsidRDefault="00321EAB" w:rsidP="00A9653E">
      <w:pPr>
        <w:spacing w:line="360" w:lineRule="auto"/>
        <w:jc w:val="both"/>
        <w:rPr>
          <w:rFonts w:ascii="Times New Roman" w:hAnsi="Times New Roman" w:cs="Times New Roman"/>
          <w:bCs/>
          <w:iCs/>
          <w:sz w:val="18"/>
          <w:szCs w:val="18"/>
        </w:rPr>
      </w:pPr>
      <w:r w:rsidRPr="00321EAB">
        <w:rPr>
          <w:rFonts w:ascii="Times New Roman" w:hAnsi="Times New Roman" w:cs="Times New Roman"/>
          <w:sz w:val="18"/>
          <w:szCs w:val="18"/>
        </w:rPr>
        <w:t>In the past nine months of 2014 the refinancing rate was lowered a total of 1.0 pp to 6.75% in late September</w:t>
      </w:r>
      <w:r>
        <w:rPr>
          <w:rFonts w:ascii="Times New Roman" w:hAnsi="Times New Roman" w:cs="Times New Roman"/>
          <w:sz w:val="18"/>
          <w:szCs w:val="18"/>
        </w:rPr>
        <w:t>…</w:t>
      </w:r>
    </w:p>
    <w:p w14:paraId="0BAE79FC" w14:textId="77777777" w:rsidR="00000C7A" w:rsidRDefault="00000C7A" w:rsidP="00A9653E">
      <w:pPr>
        <w:spacing w:line="360" w:lineRule="auto"/>
        <w:jc w:val="both"/>
        <w:rPr>
          <w:rFonts w:ascii="Times New Roman" w:hAnsi="Times New Roman" w:cs="Times New Roman"/>
          <w:sz w:val="21"/>
          <w:szCs w:val="21"/>
        </w:rPr>
      </w:pPr>
      <w:r>
        <w:rPr>
          <w:rFonts w:ascii="Times New Roman" w:hAnsi="Times New Roman" w:cs="Times New Roman"/>
          <w:bCs/>
          <w:iCs/>
          <w:sz w:val="21"/>
          <w:szCs w:val="21"/>
        </w:rPr>
        <w:t xml:space="preserve">In consideration of phased out </w:t>
      </w:r>
      <w:r w:rsidRPr="00EC356F">
        <w:rPr>
          <w:rFonts w:ascii="Times New Roman" w:hAnsi="Times New Roman" w:cs="Times New Roman"/>
          <w:bCs/>
          <w:iCs/>
          <w:sz w:val="21"/>
          <w:szCs w:val="21"/>
        </w:rPr>
        <w:t xml:space="preserve">effect of </w:t>
      </w:r>
      <w:r>
        <w:rPr>
          <w:rFonts w:ascii="Times New Roman" w:hAnsi="Times New Roman" w:cs="Times New Roman"/>
          <w:bCs/>
          <w:iCs/>
          <w:sz w:val="21"/>
          <w:szCs w:val="21"/>
        </w:rPr>
        <w:t xml:space="preserve">the 2013 energy </w:t>
      </w:r>
      <w:r w:rsidRPr="00EC356F">
        <w:rPr>
          <w:rFonts w:ascii="Times New Roman" w:hAnsi="Times New Roman" w:cs="Times New Roman"/>
          <w:bCs/>
          <w:iCs/>
          <w:sz w:val="21"/>
          <w:szCs w:val="21"/>
        </w:rPr>
        <w:t>price increase</w:t>
      </w:r>
      <w:r>
        <w:rPr>
          <w:rFonts w:ascii="Times New Roman" w:hAnsi="Times New Roman" w:cs="Times New Roman"/>
          <w:bCs/>
          <w:iCs/>
          <w:sz w:val="21"/>
          <w:szCs w:val="21"/>
        </w:rPr>
        <w:t>s</w:t>
      </w:r>
      <w:r w:rsidRPr="00EC356F">
        <w:rPr>
          <w:rFonts w:ascii="Times New Roman" w:hAnsi="Times New Roman" w:cs="Times New Roman"/>
          <w:bCs/>
          <w:iCs/>
          <w:sz w:val="21"/>
          <w:szCs w:val="21"/>
        </w:rPr>
        <w:t xml:space="preserve"> </w:t>
      </w:r>
      <w:r>
        <w:rPr>
          <w:rFonts w:ascii="Times New Roman" w:hAnsi="Times New Roman" w:cs="Times New Roman"/>
          <w:bCs/>
          <w:iCs/>
          <w:sz w:val="21"/>
          <w:szCs w:val="21"/>
        </w:rPr>
        <w:t xml:space="preserve">on the domestic prices as well as expectations of non-inflationary pressures from the external and domestic sectors in the medium run, </w:t>
      </w:r>
      <w:r w:rsidRPr="0004161E">
        <w:rPr>
          <w:rFonts w:ascii="Times New Roman" w:hAnsi="Times New Roman" w:cs="Times New Roman"/>
          <w:sz w:val="21"/>
          <w:szCs w:val="21"/>
        </w:rPr>
        <w:t>the Central Bank</w:t>
      </w:r>
      <w:r w:rsidR="0004161E">
        <w:rPr>
          <w:rFonts w:ascii="Times New Roman" w:hAnsi="Times New Roman" w:cs="Times New Roman"/>
          <w:b/>
          <w:sz w:val="21"/>
          <w:szCs w:val="21"/>
        </w:rPr>
        <w:t xml:space="preserve"> </w:t>
      </w:r>
      <w:r w:rsidR="0004161E" w:rsidRPr="0004161E">
        <w:rPr>
          <w:rFonts w:ascii="Times New Roman" w:hAnsi="Times New Roman" w:cs="Times New Roman"/>
          <w:sz w:val="21"/>
          <w:szCs w:val="21"/>
        </w:rPr>
        <w:t>further loosened</w:t>
      </w:r>
      <w:r w:rsidR="0004161E">
        <w:rPr>
          <w:rFonts w:ascii="Times New Roman" w:hAnsi="Times New Roman" w:cs="Times New Roman"/>
          <w:sz w:val="21"/>
          <w:szCs w:val="21"/>
        </w:rPr>
        <w:t xml:space="preserve"> the monetary conditions: </w:t>
      </w:r>
      <w:r w:rsidR="0004161E" w:rsidRPr="0004161E">
        <w:rPr>
          <w:rFonts w:ascii="Times New Roman" w:hAnsi="Times New Roman" w:cs="Times New Roman"/>
          <w:b/>
          <w:sz w:val="21"/>
          <w:szCs w:val="21"/>
        </w:rPr>
        <w:t>in the past nine months of 2014</w:t>
      </w:r>
      <w:r w:rsidR="0004161E">
        <w:rPr>
          <w:rFonts w:ascii="Times New Roman" w:hAnsi="Times New Roman" w:cs="Times New Roman"/>
          <w:sz w:val="21"/>
          <w:szCs w:val="21"/>
        </w:rPr>
        <w:t xml:space="preserve"> the refinancing rate was lowered a total of 1.0 pp to </w:t>
      </w:r>
      <w:r w:rsidRPr="0004161E">
        <w:rPr>
          <w:rFonts w:ascii="Times New Roman" w:hAnsi="Times New Roman" w:cs="Times New Roman"/>
          <w:b/>
          <w:sz w:val="21"/>
          <w:szCs w:val="21"/>
        </w:rPr>
        <w:t>6.75%</w:t>
      </w:r>
      <w:r w:rsidRPr="00EC356F">
        <w:rPr>
          <w:rFonts w:ascii="Times New Roman" w:hAnsi="Times New Roman" w:cs="Times New Roman"/>
          <w:sz w:val="21"/>
          <w:szCs w:val="21"/>
        </w:rPr>
        <w:t xml:space="preserve"> in late </w:t>
      </w:r>
      <w:r>
        <w:rPr>
          <w:rFonts w:ascii="Times New Roman" w:hAnsi="Times New Roman" w:cs="Times New Roman"/>
          <w:sz w:val="21"/>
          <w:szCs w:val="21"/>
        </w:rPr>
        <w:t>September</w:t>
      </w:r>
      <w:r w:rsidR="0004161E">
        <w:rPr>
          <w:rFonts w:ascii="Times New Roman" w:hAnsi="Times New Roman" w:cs="Times New Roman"/>
          <w:sz w:val="21"/>
          <w:szCs w:val="21"/>
        </w:rPr>
        <w:t>.</w:t>
      </w:r>
      <w:r w:rsidRPr="00EC356F">
        <w:rPr>
          <w:rFonts w:ascii="Times New Roman" w:hAnsi="Times New Roman" w:cs="Times New Roman"/>
          <w:sz w:val="21"/>
          <w:szCs w:val="21"/>
        </w:rPr>
        <w:t xml:space="preserve"> </w:t>
      </w:r>
    </w:p>
    <w:p w14:paraId="3F8A7B4F" w14:textId="77777777" w:rsidR="00A9653E" w:rsidRPr="00EC356F" w:rsidRDefault="00A265D4"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In the past one-year period, t</w:t>
      </w:r>
      <w:r w:rsidR="00A9653E" w:rsidRPr="00EC356F">
        <w:rPr>
          <w:rFonts w:ascii="Times New Roman" w:hAnsi="Times New Roman" w:cs="Times New Roman"/>
          <w:sz w:val="21"/>
          <w:szCs w:val="21"/>
        </w:rPr>
        <w:t xml:space="preserve">he </w:t>
      </w:r>
      <w:r w:rsidR="00A9653E" w:rsidRPr="000768E1">
        <w:rPr>
          <w:rFonts w:ascii="Times New Roman" w:hAnsi="Times New Roman" w:cs="Times New Roman"/>
          <w:b/>
          <w:sz w:val="21"/>
          <w:szCs w:val="21"/>
        </w:rPr>
        <w:t>dram reserve requirement ratio lowered from</w:t>
      </w:r>
      <w:r w:rsidR="00A9653E" w:rsidRPr="00EC356F">
        <w:rPr>
          <w:rFonts w:ascii="Times New Roman" w:hAnsi="Times New Roman" w:cs="Times New Roman"/>
          <w:sz w:val="21"/>
          <w:szCs w:val="21"/>
        </w:rPr>
        <w:t xml:space="preserve"> </w:t>
      </w:r>
      <w:r w:rsidR="00A9653E" w:rsidRPr="00A265D4">
        <w:rPr>
          <w:rFonts w:ascii="Times New Roman" w:hAnsi="Times New Roman" w:cs="Times New Roman"/>
          <w:b/>
          <w:sz w:val="21"/>
          <w:szCs w:val="21"/>
        </w:rPr>
        <w:t>4%</w:t>
      </w:r>
      <w:r w:rsidR="00A9653E" w:rsidRPr="00EC356F">
        <w:rPr>
          <w:rFonts w:ascii="Times New Roman" w:hAnsi="Times New Roman" w:cs="Times New Roman"/>
          <w:sz w:val="21"/>
          <w:szCs w:val="21"/>
        </w:rPr>
        <w:t xml:space="preserve"> to </w:t>
      </w:r>
      <w:r w:rsidR="00A9653E" w:rsidRPr="00A265D4">
        <w:rPr>
          <w:rFonts w:ascii="Times New Roman" w:hAnsi="Times New Roman" w:cs="Times New Roman"/>
          <w:b/>
          <w:sz w:val="21"/>
          <w:szCs w:val="21"/>
        </w:rPr>
        <w:t>2%</w:t>
      </w:r>
      <w:r w:rsidR="00A9653E" w:rsidRPr="00EC356F">
        <w:rPr>
          <w:rFonts w:ascii="Times New Roman" w:hAnsi="Times New Roman" w:cs="Times New Roman"/>
          <w:sz w:val="21"/>
          <w:szCs w:val="21"/>
        </w:rPr>
        <w:t xml:space="preserve"> </w:t>
      </w:r>
      <w:r w:rsidRPr="00041058">
        <w:rPr>
          <w:rFonts w:ascii="Times New Roman" w:hAnsi="Times New Roman" w:cs="Times New Roman"/>
          <w:sz w:val="21"/>
          <w:szCs w:val="21"/>
          <w:highlight w:val="yellow"/>
        </w:rPr>
        <w:t>effective</w:t>
      </w:r>
      <w:r>
        <w:rPr>
          <w:rFonts w:ascii="Times New Roman" w:hAnsi="Times New Roman" w:cs="Times New Roman"/>
          <w:sz w:val="21"/>
          <w:szCs w:val="21"/>
        </w:rPr>
        <w:t xml:space="preserve"> </w:t>
      </w:r>
      <w:r w:rsidR="00A9653E" w:rsidRPr="00EC356F">
        <w:rPr>
          <w:rFonts w:ascii="Times New Roman" w:hAnsi="Times New Roman" w:cs="Times New Roman"/>
          <w:sz w:val="21"/>
          <w:szCs w:val="21"/>
        </w:rPr>
        <w:t>February 2014, which caused reduction in short-term interest rates in the financial market, was another easing-driven measure.</w:t>
      </w:r>
    </w:p>
    <w:p w14:paraId="3EA95978" w14:textId="77777777" w:rsidR="00A9653E" w:rsidRPr="00EC356F" w:rsidRDefault="00A9653E" w:rsidP="00A9653E">
      <w:pPr>
        <w:spacing w:line="360" w:lineRule="auto"/>
        <w:jc w:val="both"/>
        <w:rPr>
          <w:rStyle w:val="longtext"/>
          <w:rFonts w:ascii="Times New Roman" w:hAnsi="Times New Roman" w:cs="Times New Roman"/>
          <w:b/>
          <w:sz w:val="21"/>
          <w:szCs w:val="21"/>
          <w:shd w:val="clear" w:color="auto" w:fill="FFFFFF"/>
        </w:rPr>
      </w:pPr>
      <w:r w:rsidRPr="00EC356F">
        <w:rPr>
          <w:rStyle w:val="longtext"/>
          <w:rFonts w:ascii="Times New Roman" w:hAnsi="Times New Roman" w:cs="Times New Roman"/>
          <w:b/>
          <w:sz w:val="21"/>
          <w:szCs w:val="21"/>
          <w:shd w:val="clear" w:color="auto" w:fill="FFFFFF"/>
        </w:rPr>
        <w:t>3.1.2 Import prices and producer prices</w:t>
      </w:r>
    </w:p>
    <w:p w14:paraId="01DA2D49" w14:textId="6F443A7F" w:rsidR="00A9653E" w:rsidRPr="00EC356F" w:rsidRDefault="00A9653E" w:rsidP="00A9653E">
      <w:pPr>
        <w:spacing w:line="360" w:lineRule="auto"/>
        <w:jc w:val="both"/>
        <w:rPr>
          <w:rStyle w:val="longtext"/>
          <w:rFonts w:ascii="Times New Roman" w:hAnsi="Times New Roman" w:cs="Times New Roman"/>
          <w:sz w:val="21"/>
          <w:szCs w:val="21"/>
          <w:shd w:val="clear" w:color="auto" w:fill="FFFFFF"/>
        </w:rPr>
      </w:pPr>
      <w:r w:rsidRPr="00EC356F">
        <w:rPr>
          <w:rStyle w:val="longtext"/>
          <w:rFonts w:ascii="Times New Roman" w:hAnsi="Times New Roman" w:cs="Times New Roman"/>
          <w:b/>
          <w:sz w:val="21"/>
          <w:szCs w:val="21"/>
          <w:shd w:val="clear" w:color="auto" w:fill="FFFFFF"/>
        </w:rPr>
        <w:t xml:space="preserve">Import prices: </w:t>
      </w:r>
      <w:r w:rsidRPr="00EC356F">
        <w:rPr>
          <w:rStyle w:val="longtext"/>
          <w:rFonts w:ascii="Times New Roman" w:hAnsi="Times New Roman" w:cs="Times New Roman"/>
          <w:sz w:val="21"/>
          <w:szCs w:val="21"/>
          <w:shd w:val="clear" w:color="auto" w:fill="FFFFFF"/>
        </w:rPr>
        <w:t xml:space="preserve">in the </w:t>
      </w:r>
      <w:r w:rsidR="004F76CD">
        <w:rPr>
          <w:rStyle w:val="longtext"/>
          <w:rFonts w:ascii="Times New Roman" w:hAnsi="Times New Roman" w:cs="Times New Roman"/>
          <w:sz w:val="21"/>
          <w:szCs w:val="21"/>
          <w:shd w:val="clear" w:color="auto" w:fill="FFFFFF"/>
        </w:rPr>
        <w:t>3r</w:t>
      </w:r>
      <w:r w:rsidRPr="00EC356F">
        <w:rPr>
          <w:rStyle w:val="longtext"/>
          <w:rFonts w:ascii="Times New Roman" w:hAnsi="Times New Roman" w:cs="Times New Roman"/>
          <w:sz w:val="21"/>
          <w:szCs w:val="21"/>
          <w:shd w:val="clear" w:color="auto" w:fill="FFFFFF"/>
        </w:rPr>
        <w:t xml:space="preserve">d quarter of 2014, the dollar prices of import of goods and services </w:t>
      </w:r>
      <w:r w:rsidR="00820C54">
        <w:rPr>
          <w:rStyle w:val="longtext"/>
          <w:rFonts w:ascii="Times New Roman" w:hAnsi="Times New Roman" w:cs="Times New Roman"/>
          <w:sz w:val="21"/>
          <w:szCs w:val="21"/>
          <w:shd w:val="clear" w:color="auto" w:fill="FFFFFF"/>
        </w:rPr>
        <w:t xml:space="preserve">decreased </w:t>
      </w:r>
      <w:r w:rsidRPr="00EC356F">
        <w:rPr>
          <w:rStyle w:val="longtext"/>
          <w:rFonts w:ascii="Times New Roman" w:hAnsi="Times New Roman" w:cs="Times New Roman"/>
          <w:sz w:val="21"/>
          <w:szCs w:val="21"/>
          <w:shd w:val="clear" w:color="auto" w:fill="FFFFFF"/>
        </w:rPr>
        <w:t xml:space="preserve">by </w:t>
      </w:r>
      <w:r w:rsidR="00820C54">
        <w:rPr>
          <w:rStyle w:val="longtext"/>
          <w:rFonts w:ascii="Times New Roman" w:hAnsi="Times New Roman" w:cs="Times New Roman"/>
          <w:sz w:val="21"/>
          <w:szCs w:val="21"/>
          <w:shd w:val="clear" w:color="auto" w:fill="FFFFFF"/>
        </w:rPr>
        <w:t>1</w:t>
      </w:r>
      <w:r w:rsidRPr="00EC356F">
        <w:rPr>
          <w:rStyle w:val="longtext"/>
          <w:rFonts w:ascii="Times New Roman" w:hAnsi="Times New Roman" w:cs="Times New Roman"/>
          <w:sz w:val="21"/>
          <w:szCs w:val="21"/>
          <w:shd w:val="clear" w:color="auto" w:fill="FFFFFF"/>
        </w:rPr>
        <w:t>.</w:t>
      </w:r>
      <w:r w:rsidR="00820C54">
        <w:rPr>
          <w:rStyle w:val="longtext"/>
          <w:rFonts w:ascii="Times New Roman" w:hAnsi="Times New Roman" w:cs="Times New Roman"/>
          <w:sz w:val="21"/>
          <w:szCs w:val="21"/>
          <w:shd w:val="clear" w:color="auto" w:fill="FFFFFF"/>
        </w:rPr>
        <w:t xml:space="preserve">9% q/q, with </w:t>
      </w:r>
      <w:r w:rsidRPr="00EC356F">
        <w:rPr>
          <w:rStyle w:val="longtext"/>
          <w:rFonts w:ascii="Times New Roman" w:hAnsi="Times New Roman" w:cs="Times New Roman"/>
          <w:sz w:val="21"/>
          <w:szCs w:val="21"/>
          <w:shd w:val="clear" w:color="auto" w:fill="FFFFFF"/>
        </w:rPr>
        <w:t xml:space="preserve">y/y </w:t>
      </w:r>
      <w:r w:rsidR="00820C54">
        <w:rPr>
          <w:rStyle w:val="longtext"/>
          <w:rFonts w:ascii="Times New Roman" w:hAnsi="Times New Roman" w:cs="Times New Roman"/>
          <w:sz w:val="21"/>
          <w:szCs w:val="21"/>
          <w:shd w:val="clear" w:color="auto" w:fill="FFFFFF"/>
        </w:rPr>
        <w:t xml:space="preserve">reduction of 1.7%. This </w:t>
      </w:r>
      <w:r w:rsidR="005E0E7D" w:rsidRPr="00EC356F">
        <w:rPr>
          <w:rStyle w:val="longtext"/>
          <w:rFonts w:ascii="Times New Roman" w:hAnsi="Times New Roman" w:cs="Times New Roman"/>
          <w:sz w:val="21"/>
          <w:szCs w:val="21"/>
          <w:shd w:val="clear" w:color="auto" w:fill="FFFFFF"/>
        </w:rPr>
        <w:t xml:space="preserve">y/y </w:t>
      </w:r>
      <w:r w:rsidR="00820C54">
        <w:rPr>
          <w:rStyle w:val="longtext"/>
          <w:rFonts w:ascii="Times New Roman" w:hAnsi="Times New Roman" w:cs="Times New Roman"/>
          <w:sz w:val="21"/>
          <w:szCs w:val="21"/>
          <w:shd w:val="clear" w:color="auto" w:fill="FFFFFF"/>
        </w:rPr>
        <w:t xml:space="preserve">decrement in dollar prices was </w:t>
      </w:r>
      <w:r w:rsidR="005E0E7D">
        <w:rPr>
          <w:rStyle w:val="longtext"/>
          <w:rFonts w:ascii="Times New Roman" w:hAnsi="Times New Roman" w:cs="Times New Roman"/>
          <w:sz w:val="21"/>
          <w:szCs w:val="21"/>
          <w:shd w:val="clear" w:color="auto" w:fill="FFFFFF"/>
        </w:rPr>
        <w:t xml:space="preserve">contributed </w:t>
      </w:r>
      <w:r w:rsidR="00820C54">
        <w:rPr>
          <w:rStyle w:val="longtext"/>
          <w:rFonts w:ascii="Times New Roman" w:hAnsi="Times New Roman" w:cs="Times New Roman"/>
          <w:sz w:val="21"/>
          <w:szCs w:val="21"/>
          <w:shd w:val="clear" w:color="auto" w:fill="FFFFFF"/>
        </w:rPr>
        <w:t xml:space="preserve"> by 1.5 pp drop in prices of goods and 0.2 pp reduction of service </w:t>
      </w:r>
      <w:r w:rsidR="005E0E7D">
        <w:rPr>
          <w:rStyle w:val="longtext"/>
          <w:rFonts w:ascii="Times New Roman" w:hAnsi="Times New Roman" w:cs="Times New Roman"/>
          <w:sz w:val="21"/>
          <w:szCs w:val="21"/>
          <w:shd w:val="clear" w:color="auto" w:fill="FFFFFF"/>
        </w:rPr>
        <w:t>prices</w:t>
      </w:r>
      <w:r w:rsidR="00820C54">
        <w:rPr>
          <w:rStyle w:val="longtext"/>
          <w:rFonts w:ascii="Times New Roman" w:hAnsi="Times New Roman" w:cs="Times New Roman"/>
          <w:sz w:val="21"/>
          <w:szCs w:val="21"/>
          <w:shd w:val="clear" w:color="auto" w:fill="FFFFFF"/>
        </w:rPr>
        <w:t xml:space="preserve"> (in the 3rd quarter, </w:t>
      </w:r>
      <w:r w:rsidR="00820C54" w:rsidRPr="00EC356F">
        <w:rPr>
          <w:rStyle w:val="longtext"/>
          <w:rFonts w:ascii="Times New Roman" w:hAnsi="Times New Roman" w:cs="Times New Roman"/>
          <w:sz w:val="21"/>
          <w:szCs w:val="21"/>
          <w:shd w:val="clear" w:color="auto" w:fill="FFFFFF"/>
        </w:rPr>
        <w:t>the dollar prices of import of services</w:t>
      </w:r>
      <w:r w:rsidR="00820C54">
        <w:rPr>
          <w:rStyle w:val="longtext"/>
          <w:rFonts w:ascii="Times New Roman" w:hAnsi="Times New Roman" w:cs="Times New Roman"/>
          <w:sz w:val="21"/>
          <w:szCs w:val="21"/>
          <w:shd w:val="clear" w:color="auto" w:fill="FFFFFF"/>
        </w:rPr>
        <w:t xml:space="preserve"> and import of goods fell by 1.7% q/q and 2.1% q/q, respectively). </w:t>
      </w:r>
      <w:r w:rsidRPr="00EC356F">
        <w:rPr>
          <w:rStyle w:val="longtext"/>
          <w:rFonts w:ascii="Times New Roman" w:hAnsi="Times New Roman" w:cs="Times New Roman"/>
          <w:sz w:val="21"/>
          <w:szCs w:val="21"/>
          <w:shd w:val="clear" w:color="auto" w:fill="FFFFFF"/>
        </w:rPr>
        <w:t xml:space="preserve">The </w:t>
      </w:r>
      <w:r w:rsidR="006D6B9D">
        <w:rPr>
          <w:rStyle w:val="longtext"/>
          <w:rFonts w:ascii="Times New Roman" w:hAnsi="Times New Roman" w:cs="Times New Roman"/>
          <w:sz w:val="21"/>
          <w:szCs w:val="21"/>
          <w:shd w:val="clear" w:color="auto" w:fill="FFFFFF"/>
        </w:rPr>
        <w:t>decrease in prices of intermediate goods</w:t>
      </w:r>
      <w:r w:rsidR="00007015">
        <w:rPr>
          <w:rStyle w:val="longtext"/>
          <w:rFonts w:ascii="Times New Roman" w:hAnsi="Times New Roman" w:cs="Times New Roman"/>
          <w:sz w:val="21"/>
          <w:szCs w:val="21"/>
          <w:shd w:val="clear" w:color="auto" w:fill="FFFFFF"/>
        </w:rPr>
        <w:t>, which was mostly driven by reduced prices of iron, oil and wheat,</w:t>
      </w:r>
      <w:r w:rsidR="006D6B9D">
        <w:rPr>
          <w:rStyle w:val="longtext"/>
          <w:rFonts w:ascii="Times New Roman" w:hAnsi="Times New Roman" w:cs="Times New Roman"/>
          <w:sz w:val="21"/>
          <w:szCs w:val="21"/>
          <w:shd w:val="clear" w:color="auto" w:fill="FFFFFF"/>
        </w:rPr>
        <w:t xml:space="preserve"> was the main cause for falling dollar prices of import of goods. </w:t>
      </w:r>
      <w:r w:rsidR="00C95CEB">
        <w:rPr>
          <w:rStyle w:val="longtext"/>
          <w:rFonts w:ascii="Times New Roman" w:hAnsi="Times New Roman" w:cs="Times New Roman"/>
          <w:sz w:val="21"/>
          <w:szCs w:val="21"/>
          <w:shd w:val="clear" w:color="auto" w:fill="FFFFFF"/>
        </w:rPr>
        <w:t xml:space="preserve">In the meanwhile though, the third quarter </w:t>
      </w:r>
      <w:r w:rsidR="00C95CEB">
        <w:rPr>
          <w:rStyle w:val="longtext"/>
          <w:rFonts w:ascii="Times New Roman" w:hAnsi="Times New Roman" w:cs="Times New Roman"/>
          <w:sz w:val="21"/>
          <w:szCs w:val="21"/>
          <w:shd w:val="clear" w:color="auto" w:fill="FFFFFF"/>
        </w:rPr>
        <w:lastRenderedPageBreak/>
        <w:t xml:space="preserve">saw a rise in aluminum and sugar prices. The y/y decrease in dollar prices of consumer goods in Ukraine and Russia has been offset by the y/y dollar price increases reported in China and Korea. As a result, consumer prices made as little as 0.1 pp negative contribution. </w:t>
      </w:r>
    </w:p>
    <w:p w14:paraId="2A07F115" w14:textId="27851060"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Producer prices</w:t>
      </w:r>
      <w:r w:rsidRPr="00EC356F">
        <w:rPr>
          <w:rStyle w:val="FootnoteReference"/>
          <w:rFonts w:ascii="Times New Roman" w:hAnsi="Times New Roman" w:cs="Times New Roman"/>
          <w:sz w:val="21"/>
          <w:szCs w:val="21"/>
        </w:rPr>
        <w:footnoteReference w:customMarkFollows="1" w:id="12"/>
        <w:t>12</w:t>
      </w:r>
      <w:r w:rsidRPr="00EC356F">
        <w:rPr>
          <w:rFonts w:ascii="Times New Roman" w:hAnsi="Times New Roman" w:cs="Times New Roman"/>
          <w:sz w:val="21"/>
          <w:szCs w:val="21"/>
        </w:rPr>
        <w:t xml:space="preserve">: in the </w:t>
      </w:r>
      <w:r w:rsidR="001A046A">
        <w:rPr>
          <w:rFonts w:ascii="Times New Roman" w:hAnsi="Times New Roman" w:cs="Times New Roman"/>
          <w:sz w:val="21"/>
          <w:szCs w:val="21"/>
        </w:rPr>
        <w:t>3r</w:t>
      </w:r>
      <w:r w:rsidRPr="00EC356F">
        <w:rPr>
          <w:rFonts w:ascii="Times New Roman" w:hAnsi="Times New Roman" w:cs="Times New Roman"/>
          <w:sz w:val="21"/>
          <w:szCs w:val="21"/>
        </w:rPr>
        <w:t>d quarter of 2014, all sectors of the economy</w:t>
      </w:r>
      <w:r w:rsidR="001A046A">
        <w:rPr>
          <w:rFonts w:ascii="Times New Roman" w:hAnsi="Times New Roman" w:cs="Times New Roman"/>
          <w:sz w:val="21"/>
          <w:szCs w:val="21"/>
        </w:rPr>
        <w:t>, except for agriculture,</w:t>
      </w:r>
      <w:r w:rsidRPr="00EC356F">
        <w:rPr>
          <w:rFonts w:ascii="Times New Roman" w:hAnsi="Times New Roman" w:cs="Times New Roman"/>
          <w:sz w:val="21"/>
          <w:szCs w:val="21"/>
        </w:rPr>
        <w:t xml:space="preserve"> posted increased price indices, </w:t>
      </w:r>
      <w:r w:rsidR="001A046A">
        <w:rPr>
          <w:rFonts w:ascii="Times New Roman" w:hAnsi="Times New Roman" w:cs="Times New Roman"/>
          <w:sz w:val="21"/>
          <w:szCs w:val="21"/>
        </w:rPr>
        <w:t>with</w:t>
      </w:r>
      <w:r w:rsidRPr="00EC356F">
        <w:rPr>
          <w:rFonts w:ascii="Times New Roman" w:hAnsi="Times New Roman" w:cs="Times New Roman"/>
          <w:sz w:val="21"/>
          <w:szCs w:val="21"/>
        </w:rPr>
        <w:t xml:space="preserve"> the GDP deflator in the period January-</w:t>
      </w:r>
      <w:r w:rsidR="001A046A">
        <w:rPr>
          <w:rFonts w:ascii="Times New Roman" w:hAnsi="Times New Roman" w:cs="Times New Roman"/>
          <w:sz w:val="21"/>
          <w:szCs w:val="21"/>
        </w:rPr>
        <w:t>September</w:t>
      </w:r>
      <w:r w:rsidRPr="00EC356F">
        <w:rPr>
          <w:rFonts w:ascii="Times New Roman" w:hAnsi="Times New Roman" w:cs="Times New Roman"/>
          <w:sz w:val="21"/>
          <w:szCs w:val="21"/>
        </w:rPr>
        <w:t xml:space="preserve"> </w:t>
      </w:r>
      <w:r w:rsidR="001A046A">
        <w:rPr>
          <w:rFonts w:ascii="Times New Roman" w:hAnsi="Times New Roman" w:cs="Times New Roman"/>
          <w:sz w:val="21"/>
          <w:szCs w:val="21"/>
        </w:rPr>
        <w:t xml:space="preserve">having </w:t>
      </w:r>
      <w:r w:rsidR="002F4019">
        <w:rPr>
          <w:rFonts w:ascii="Times New Roman" w:hAnsi="Times New Roman" w:cs="Times New Roman"/>
          <w:sz w:val="21"/>
          <w:szCs w:val="21"/>
        </w:rPr>
        <w:t xml:space="preserve">estimated </w:t>
      </w:r>
      <w:r w:rsidR="001A046A">
        <w:rPr>
          <w:rFonts w:ascii="Times New Roman" w:hAnsi="Times New Roman" w:cs="Times New Roman"/>
          <w:sz w:val="21"/>
          <w:szCs w:val="21"/>
        </w:rPr>
        <w:t>102.3</w:t>
      </w:r>
      <w:r w:rsidR="00F47A57" w:rsidRPr="00EC356F">
        <w:rPr>
          <w:rFonts w:ascii="Times New Roman" w:hAnsi="Times New Roman" w:cs="Times New Roman"/>
          <w:sz w:val="21"/>
          <w:szCs w:val="21"/>
        </w:rPr>
        <w:t xml:space="preserve"> </w:t>
      </w:r>
      <w:r w:rsidRPr="00EC356F">
        <w:rPr>
          <w:rFonts w:ascii="Times New Roman" w:hAnsi="Times New Roman" w:cs="Times New Roman"/>
          <w:sz w:val="21"/>
          <w:szCs w:val="21"/>
        </w:rPr>
        <w:t xml:space="preserve">y/y. </w:t>
      </w:r>
    </w:p>
    <w:p w14:paraId="0DB888E1"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 xml:space="preserve">Industry </w:t>
      </w:r>
      <w:r w:rsidRPr="00EC356F">
        <w:rPr>
          <w:rFonts w:ascii="Times New Roman" w:hAnsi="Times New Roman" w:cs="Times New Roman"/>
          <w:sz w:val="21"/>
          <w:szCs w:val="21"/>
        </w:rPr>
        <w:t xml:space="preserve">posted a quarterly </w:t>
      </w:r>
      <w:r w:rsidR="006F5797">
        <w:rPr>
          <w:rFonts w:ascii="Times New Roman" w:hAnsi="Times New Roman" w:cs="Times New Roman"/>
          <w:sz w:val="21"/>
          <w:szCs w:val="21"/>
        </w:rPr>
        <w:t xml:space="preserve">price rise </w:t>
      </w:r>
      <w:r w:rsidRPr="00EC356F">
        <w:rPr>
          <w:rFonts w:ascii="Times New Roman" w:hAnsi="Times New Roman" w:cs="Times New Roman"/>
          <w:sz w:val="21"/>
          <w:szCs w:val="21"/>
        </w:rPr>
        <w:t>of 1</w:t>
      </w:r>
      <w:r w:rsidR="006F5797">
        <w:rPr>
          <w:rFonts w:ascii="Times New Roman" w:hAnsi="Times New Roman" w:cs="Times New Roman"/>
          <w:sz w:val="21"/>
          <w:szCs w:val="21"/>
        </w:rPr>
        <w:t>0</w:t>
      </w:r>
      <w:r w:rsidRPr="00EC356F">
        <w:rPr>
          <w:rFonts w:ascii="Times New Roman" w:hAnsi="Times New Roman" w:cs="Times New Roman"/>
          <w:sz w:val="21"/>
          <w:szCs w:val="21"/>
        </w:rPr>
        <w:t>.</w:t>
      </w:r>
      <w:r w:rsidR="006F5797">
        <w:rPr>
          <w:rFonts w:ascii="Times New Roman" w:hAnsi="Times New Roman" w:cs="Times New Roman"/>
          <w:sz w:val="21"/>
          <w:szCs w:val="21"/>
        </w:rPr>
        <w:t>7</w:t>
      </w:r>
      <w:r w:rsidRPr="00EC356F">
        <w:rPr>
          <w:rFonts w:ascii="Times New Roman" w:hAnsi="Times New Roman" w:cs="Times New Roman"/>
          <w:sz w:val="21"/>
          <w:szCs w:val="21"/>
        </w:rPr>
        <w:t>% y/y, with the January-</w:t>
      </w:r>
      <w:r w:rsidR="006F5797">
        <w:rPr>
          <w:rFonts w:ascii="Times New Roman" w:hAnsi="Times New Roman" w:cs="Times New Roman"/>
          <w:sz w:val="21"/>
          <w:szCs w:val="21"/>
        </w:rPr>
        <w:t>September</w:t>
      </w:r>
      <w:r w:rsidRPr="00EC356F">
        <w:rPr>
          <w:rFonts w:ascii="Times New Roman" w:hAnsi="Times New Roman" w:cs="Times New Roman"/>
          <w:sz w:val="21"/>
          <w:szCs w:val="21"/>
        </w:rPr>
        <w:t xml:space="preserve"> </w:t>
      </w:r>
      <w:r w:rsidR="006F5797">
        <w:rPr>
          <w:rFonts w:ascii="Times New Roman" w:hAnsi="Times New Roman" w:cs="Times New Roman"/>
          <w:sz w:val="21"/>
          <w:szCs w:val="21"/>
        </w:rPr>
        <w:t>increase</w:t>
      </w:r>
      <w:r w:rsidRPr="00EC356F">
        <w:rPr>
          <w:rFonts w:ascii="Times New Roman" w:hAnsi="Times New Roman" w:cs="Times New Roman"/>
          <w:sz w:val="21"/>
          <w:szCs w:val="21"/>
        </w:rPr>
        <w:t xml:space="preserve"> having amounted to </w:t>
      </w:r>
      <w:r w:rsidR="006F5797">
        <w:rPr>
          <w:rFonts w:ascii="Times New Roman" w:hAnsi="Times New Roman" w:cs="Times New Roman"/>
          <w:sz w:val="21"/>
          <w:szCs w:val="21"/>
        </w:rPr>
        <w:t>9</w:t>
      </w:r>
      <w:r w:rsidRPr="00EC356F">
        <w:rPr>
          <w:rFonts w:ascii="Times New Roman" w:hAnsi="Times New Roman" w:cs="Times New Roman"/>
          <w:sz w:val="21"/>
          <w:szCs w:val="21"/>
        </w:rPr>
        <w:t>.</w:t>
      </w:r>
      <w:r w:rsidR="006F5797">
        <w:rPr>
          <w:rFonts w:ascii="Times New Roman" w:hAnsi="Times New Roman" w:cs="Times New Roman"/>
          <w:sz w:val="21"/>
          <w:szCs w:val="21"/>
        </w:rPr>
        <w:t>4</w:t>
      </w:r>
      <w:r w:rsidRPr="00EC356F">
        <w:rPr>
          <w:rFonts w:ascii="Times New Roman" w:hAnsi="Times New Roman" w:cs="Times New Roman"/>
          <w:sz w:val="21"/>
          <w:szCs w:val="21"/>
        </w:rPr>
        <w:t xml:space="preserve">% y/y, owing to growths in </w:t>
      </w:r>
      <w:r w:rsidRPr="00EC356F">
        <w:rPr>
          <w:rFonts w:ascii="Times New Roman" w:hAnsi="Times New Roman" w:cs="Times New Roman"/>
          <w:i/>
          <w:sz w:val="21"/>
          <w:szCs w:val="21"/>
        </w:rPr>
        <w:t>ore mining</w:t>
      </w:r>
      <w:r w:rsidRPr="00EC356F">
        <w:rPr>
          <w:rFonts w:ascii="Times New Roman" w:hAnsi="Times New Roman" w:cs="Times New Roman"/>
          <w:sz w:val="21"/>
          <w:szCs w:val="21"/>
        </w:rPr>
        <w:t xml:space="preserve"> (</w:t>
      </w:r>
      <w:r w:rsidR="006F5797">
        <w:rPr>
          <w:rFonts w:ascii="Times New Roman" w:hAnsi="Times New Roman" w:cs="Times New Roman"/>
          <w:sz w:val="21"/>
          <w:szCs w:val="21"/>
        </w:rPr>
        <w:t>6</w:t>
      </w:r>
      <w:r w:rsidRPr="00EC356F">
        <w:rPr>
          <w:rFonts w:ascii="Times New Roman" w:hAnsi="Times New Roman" w:cs="Times New Roman"/>
          <w:sz w:val="21"/>
          <w:szCs w:val="21"/>
        </w:rPr>
        <w:t>.</w:t>
      </w:r>
      <w:r w:rsidR="006F5797">
        <w:rPr>
          <w:rFonts w:ascii="Times New Roman" w:hAnsi="Times New Roman" w:cs="Times New Roman"/>
          <w:sz w:val="21"/>
          <w:szCs w:val="21"/>
        </w:rPr>
        <w:t>7</w:t>
      </w:r>
      <w:r w:rsidRPr="00EC356F">
        <w:rPr>
          <w:rFonts w:ascii="Times New Roman" w:hAnsi="Times New Roman" w:cs="Times New Roman"/>
          <w:sz w:val="21"/>
          <w:szCs w:val="21"/>
        </w:rPr>
        <w:t xml:space="preserve">%), </w:t>
      </w:r>
      <w:r w:rsidRPr="00EC356F">
        <w:rPr>
          <w:rFonts w:ascii="Times New Roman" w:hAnsi="Times New Roman" w:cs="Times New Roman"/>
          <w:i/>
          <w:sz w:val="21"/>
          <w:szCs w:val="21"/>
        </w:rPr>
        <w:t>processing industry</w:t>
      </w:r>
      <w:r w:rsidRPr="00EC356F">
        <w:rPr>
          <w:rFonts w:ascii="Times New Roman" w:hAnsi="Times New Roman" w:cs="Times New Roman"/>
          <w:sz w:val="21"/>
          <w:szCs w:val="21"/>
        </w:rPr>
        <w:t xml:space="preserve"> (</w:t>
      </w:r>
      <w:r w:rsidR="006F5797">
        <w:rPr>
          <w:rFonts w:ascii="Times New Roman" w:hAnsi="Times New Roman" w:cs="Times New Roman"/>
          <w:sz w:val="21"/>
          <w:szCs w:val="21"/>
        </w:rPr>
        <w:t>2</w:t>
      </w:r>
      <w:r w:rsidRPr="00EC356F">
        <w:rPr>
          <w:rFonts w:ascii="Times New Roman" w:hAnsi="Times New Roman" w:cs="Times New Roman"/>
          <w:sz w:val="21"/>
          <w:szCs w:val="21"/>
        </w:rPr>
        <w:t>.</w:t>
      </w:r>
      <w:r w:rsidR="006F5797">
        <w:rPr>
          <w:rFonts w:ascii="Times New Roman" w:hAnsi="Times New Roman" w:cs="Times New Roman"/>
          <w:sz w:val="21"/>
          <w:szCs w:val="21"/>
        </w:rPr>
        <w:t>3</w:t>
      </w:r>
      <w:r w:rsidRPr="00EC356F">
        <w:rPr>
          <w:rFonts w:ascii="Times New Roman" w:hAnsi="Times New Roman" w:cs="Times New Roman"/>
          <w:sz w:val="21"/>
          <w:szCs w:val="21"/>
        </w:rPr>
        <w:t xml:space="preserve">%) and </w:t>
      </w:r>
      <w:r w:rsidRPr="00EC356F">
        <w:rPr>
          <w:rFonts w:ascii="Times New Roman" w:hAnsi="Times New Roman" w:cs="Times New Roman"/>
          <w:i/>
          <w:sz w:val="21"/>
          <w:szCs w:val="21"/>
        </w:rPr>
        <w:t xml:space="preserve">energy and gas production and distribution </w:t>
      </w:r>
      <w:r w:rsidRPr="00EC356F">
        <w:rPr>
          <w:rFonts w:ascii="Times New Roman" w:hAnsi="Times New Roman" w:cs="Times New Roman"/>
          <w:sz w:val="21"/>
          <w:szCs w:val="21"/>
        </w:rPr>
        <w:t>(</w:t>
      </w:r>
      <w:r w:rsidR="006F5797">
        <w:rPr>
          <w:rFonts w:ascii="Times New Roman" w:hAnsi="Times New Roman" w:cs="Times New Roman"/>
          <w:sz w:val="21"/>
          <w:szCs w:val="21"/>
        </w:rPr>
        <w:t>39</w:t>
      </w:r>
      <w:r w:rsidRPr="00EC356F">
        <w:rPr>
          <w:rFonts w:ascii="Times New Roman" w:hAnsi="Times New Roman" w:cs="Times New Roman"/>
          <w:sz w:val="21"/>
          <w:szCs w:val="21"/>
        </w:rPr>
        <w:t>.6%). Note that the latter is a result of e</w:t>
      </w:r>
      <w:r w:rsidR="008D0B35">
        <w:rPr>
          <w:rFonts w:ascii="Times New Roman" w:hAnsi="Times New Roman" w:cs="Times New Roman"/>
          <w:sz w:val="21"/>
          <w:szCs w:val="21"/>
        </w:rPr>
        <w:t>lectricity</w:t>
      </w:r>
      <w:r w:rsidRPr="00EC356F">
        <w:rPr>
          <w:rFonts w:ascii="Times New Roman" w:hAnsi="Times New Roman" w:cs="Times New Roman"/>
          <w:sz w:val="21"/>
          <w:szCs w:val="21"/>
        </w:rPr>
        <w:t xml:space="preserve"> price increase since </w:t>
      </w:r>
      <w:r w:rsidR="006F5797">
        <w:rPr>
          <w:rFonts w:ascii="Times New Roman" w:hAnsi="Times New Roman" w:cs="Times New Roman"/>
          <w:sz w:val="21"/>
          <w:szCs w:val="21"/>
        </w:rPr>
        <w:t>August</w:t>
      </w:r>
      <w:r w:rsidRPr="00EC356F">
        <w:rPr>
          <w:rFonts w:ascii="Times New Roman" w:hAnsi="Times New Roman" w:cs="Times New Roman"/>
          <w:sz w:val="21"/>
          <w:szCs w:val="21"/>
        </w:rPr>
        <w:t xml:space="preserve"> 1, 201</w:t>
      </w:r>
      <w:r w:rsidR="006F5797">
        <w:rPr>
          <w:rFonts w:ascii="Times New Roman" w:hAnsi="Times New Roman" w:cs="Times New Roman"/>
          <w:sz w:val="21"/>
          <w:szCs w:val="21"/>
        </w:rPr>
        <w:t>4</w:t>
      </w:r>
      <w:r w:rsidRPr="00EC356F">
        <w:rPr>
          <w:rFonts w:ascii="Times New Roman" w:hAnsi="Times New Roman" w:cs="Times New Roman"/>
          <w:sz w:val="21"/>
          <w:szCs w:val="21"/>
        </w:rPr>
        <w:t xml:space="preserve">.        </w:t>
      </w:r>
    </w:p>
    <w:p w14:paraId="7B67C679"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Agriculture</w:t>
      </w:r>
      <w:r w:rsidRPr="00EC356F">
        <w:rPr>
          <w:rFonts w:ascii="Times New Roman" w:hAnsi="Times New Roman" w:cs="Times New Roman"/>
          <w:sz w:val="21"/>
          <w:szCs w:val="21"/>
        </w:rPr>
        <w:t xml:space="preserve"> reported 3.</w:t>
      </w:r>
      <w:r w:rsidR="00DA230B">
        <w:rPr>
          <w:rFonts w:ascii="Times New Roman" w:hAnsi="Times New Roman" w:cs="Times New Roman"/>
          <w:sz w:val="21"/>
          <w:szCs w:val="21"/>
        </w:rPr>
        <w:t>6</w:t>
      </w:r>
      <w:r w:rsidRPr="00EC356F">
        <w:rPr>
          <w:rFonts w:ascii="Times New Roman" w:hAnsi="Times New Roman" w:cs="Times New Roman"/>
          <w:sz w:val="21"/>
          <w:szCs w:val="21"/>
        </w:rPr>
        <w:t xml:space="preserve">% y/y </w:t>
      </w:r>
      <w:r w:rsidR="00DA230B">
        <w:rPr>
          <w:rFonts w:ascii="Times New Roman" w:hAnsi="Times New Roman" w:cs="Times New Roman"/>
          <w:sz w:val="21"/>
          <w:szCs w:val="21"/>
        </w:rPr>
        <w:t>de</w:t>
      </w:r>
      <w:r w:rsidRPr="00EC356F">
        <w:rPr>
          <w:rFonts w:ascii="Times New Roman" w:hAnsi="Times New Roman" w:cs="Times New Roman"/>
          <w:sz w:val="21"/>
          <w:szCs w:val="21"/>
        </w:rPr>
        <w:t>crease in prices</w:t>
      </w:r>
      <w:r w:rsidRPr="00EC356F">
        <w:rPr>
          <w:rStyle w:val="FootnoteReference"/>
          <w:rFonts w:ascii="Times New Roman" w:hAnsi="Times New Roman" w:cs="Times New Roman"/>
          <w:sz w:val="21"/>
          <w:szCs w:val="21"/>
        </w:rPr>
        <w:footnoteReference w:customMarkFollows="1" w:id="13"/>
        <w:t>13</w:t>
      </w:r>
      <w:r w:rsidRPr="00EC356F">
        <w:rPr>
          <w:rFonts w:ascii="Times New Roman" w:hAnsi="Times New Roman" w:cs="Times New Roman"/>
          <w:sz w:val="21"/>
          <w:szCs w:val="21"/>
        </w:rPr>
        <w:t xml:space="preserve"> during the </w:t>
      </w:r>
      <w:r w:rsidR="00DA230B">
        <w:rPr>
          <w:rFonts w:ascii="Times New Roman" w:hAnsi="Times New Roman" w:cs="Times New Roman"/>
          <w:sz w:val="21"/>
          <w:szCs w:val="21"/>
        </w:rPr>
        <w:t>3r</w:t>
      </w:r>
      <w:r w:rsidRPr="00EC356F">
        <w:rPr>
          <w:rFonts w:ascii="Times New Roman" w:hAnsi="Times New Roman" w:cs="Times New Roman"/>
          <w:sz w:val="21"/>
          <w:szCs w:val="21"/>
        </w:rPr>
        <w:t>d quarter, with the January-</w:t>
      </w:r>
      <w:r w:rsidR="00DA230B">
        <w:rPr>
          <w:rFonts w:ascii="Times New Roman" w:hAnsi="Times New Roman" w:cs="Times New Roman"/>
          <w:sz w:val="21"/>
          <w:szCs w:val="21"/>
        </w:rPr>
        <w:t>September</w:t>
      </w:r>
      <w:r w:rsidRPr="00EC356F">
        <w:rPr>
          <w:rFonts w:ascii="Times New Roman" w:hAnsi="Times New Roman" w:cs="Times New Roman"/>
          <w:sz w:val="21"/>
          <w:szCs w:val="21"/>
        </w:rPr>
        <w:t xml:space="preserve"> </w:t>
      </w:r>
      <w:r w:rsidR="00DA230B">
        <w:rPr>
          <w:rFonts w:ascii="Times New Roman" w:hAnsi="Times New Roman" w:cs="Times New Roman"/>
          <w:sz w:val="21"/>
          <w:szCs w:val="21"/>
        </w:rPr>
        <w:t xml:space="preserve">price falling </w:t>
      </w:r>
      <w:r w:rsidRPr="00EC356F">
        <w:rPr>
          <w:rFonts w:ascii="Times New Roman" w:hAnsi="Times New Roman" w:cs="Times New Roman"/>
          <w:sz w:val="21"/>
          <w:szCs w:val="21"/>
        </w:rPr>
        <w:t xml:space="preserve">of </w:t>
      </w:r>
      <w:r w:rsidR="00DA230B">
        <w:rPr>
          <w:rFonts w:ascii="Times New Roman" w:hAnsi="Times New Roman" w:cs="Times New Roman"/>
          <w:sz w:val="21"/>
          <w:szCs w:val="21"/>
        </w:rPr>
        <w:t>0</w:t>
      </w:r>
      <w:r w:rsidRPr="00EC356F">
        <w:rPr>
          <w:rFonts w:ascii="Times New Roman" w:hAnsi="Times New Roman" w:cs="Times New Roman"/>
          <w:sz w:val="21"/>
          <w:szCs w:val="21"/>
        </w:rPr>
        <w:t>.</w:t>
      </w:r>
      <w:r w:rsidR="00DA230B">
        <w:rPr>
          <w:rFonts w:ascii="Times New Roman" w:hAnsi="Times New Roman" w:cs="Times New Roman"/>
          <w:sz w:val="21"/>
          <w:szCs w:val="21"/>
        </w:rPr>
        <w:t>6</w:t>
      </w:r>
      <w:r w:rsidRPr="00EC356F">
        <w:rPr>
          <w:rFonts w:ascii="Times New Roman" w:hAnsi="Times New Roman" w:cs="Times New Roman"/>
          <w:sz w:val="21"/>
          <w:szCs w:val="21"/>
        </w:rPr>
        <w:t xml:space="preserve">% y/y, </w:t>
      </w:r>
      <w:r w:rsidR="00DA230B">
        <w:rPr>
          <w:rFonts w:ascii="Times New Roman" w:hAnsi="Times New Roman" w:cs="Times New Roman"/>
          <w:sz w:val="21"/>
          <w:szCs w:val="21"/>
        </w:rPr>
        <w:t>driven by 6.9% y/y reduction in prices in</w:t>
      </w:r>
      <w:r w:rsidRPr="00EC356F">
        <w:rPr>
          <w:rFonts w:ascii="Times New Roman" w:hAnsi="Times New Roman" w:cs="Times New Roman"/>
          <w:sz w:val="21"/>
          <w:szCs w:val="21"/>
        </w:rPr>
        <w:t xml:space="preserve"> </w:t>
      </w:r>
      <w:r w:rsidRPr="00DA230B">
        <w:rPr>
          <w:rFonts w:ascii="Times New Roman" w:hAnsi="Times New Roman" w:cs="Times New Roman"/>
          <w:i/>
          <w:sz w:val="21"/>
          <w:szCs w:val="21"/>
        </w:rPr>
        <w:t>plant growing</w:t>
      </w:r>
      <w:r w:rsidRPr="00EC356F">
        <w:rPr>
          <w:rFonts w:ascii="Times New Roman" w:hAnsi="Times New Roman" w:cs="Times New Roman"/>
          <w:sz w:val="21"/>
          <w:szCs w:val="21"/>
        </w:rPr>
        <w:t xml:space="preserve"> and </w:t>
      </w:r>
      <w:r w:rsidR="00DA230B" w:rsidRPr="00EC356F">
        <w:rPr>
          <w:rFonts w:ascii="Times New Roman" w:hAnsi="Times New Roman" w:cs="Times New Roman"/>
          <w:sz w:val="21"/>
          <w:szCs w:val="21"/>
        </w:rPr>
        <w:t xml:space="preserve">2.7% </w:t>
      </w:r>
      <w:r w:rsidR="00DA230B">
        <w:rPr>
          <w:rFonts w:ascii="Times New Roman" w:hAnsi="Times New Roman" w:cs="Times New Roman"/>
          <w:sz w:val="21"/>
          <w:szCs w:val="21"/>
        </w:rPr>
        <w:t xml:space="preserve">and 3.1% y/y </w:t>
      </w:r>
      <w:r w:rsidR="00DA230B" w:rsidRPr="00EC356F">
        <w:rPr>
          <w:rFonts w:ascii="Times New Roman" w:hAnsi="Times New Roman" w:cs="Times New Roman"/>
          <w:sz w:val="21"/>
          <w:szCs w:val="21"/>
        </w:rPr>
        <w:t xml:space="preserve">price increases </w:t>
      </w:r>
      <w:r w:rsidR="00DA230B">
        <w:rPr>
          <w:rFonts w:ascii="Times New Roman" w:hAnsi="Times New Roman" w:cs="Times New Roman"/>
          <w:sz w:val="21"/>
          <w:szCs w:val="21"/>
        </w:rPr>
        <w:t xml:space="preserve">in </w:t>
      </w:r>
      <w:r w:rsidRPr="00DA230B">
        <w:rPr>
          <w:rFonts w:ascii="Times New Roman" w:hAnsi="Times New Roman" w:cs="Times New Roman"/>
          <w:i/>
          <w:sz w:val="21"/>
          <w:szCs w:val="21"/>
        </w:rPr>
        <w:t>animal breeding</w:t>
      </w:r>
      <w:r w:rsidR="00DA230B">
        <w:rPr>
          <w:rFonts w:ascii="Times New Roman" w:hAnsi="Times New Roman" w:cs="Times New Roman"/>
          <w:i/>
          <w:sz w:val="21"/>
          <w:szCs w:val="21"/>
        </w:rPr>
        <w:t>.</w:t>
      </w:r>
      <w:r w:rsidRPr="00EC356F">
        <w:rPr>
          <w:rFonts w:ascii="Times New Roman" w:hAnsi="Times New Roman" w:cs="Times New Roman"/>
          <w:sz w:val="21"/>
          <w:szCs w:val="21"/>
        </w:rPr>
        <w:t xml:space="preserve"> The price </w:t>
      </w:r>
      <w:r w:rsidR="00131467">
        <w:rPr>
          <w:rFonts w:ascii="Times New Roman" w:hAnsi="Times New Roman" w:cs="Times New Roman"/>
          <w:sz w:val="21"/>
          <w:szCs w:val="21"/>
        </w:rPr>
        <w:t>drop</w:t>
      </w:r>
      <w:r w:rsidRPr="00EC356F">
        <w:rPr>
          <w:rFonts w:ascii="Times New Roman" w:hAnsi="Times New Roman" w:cs="Times New Roman"/>
          <w:sz w:val="21"/>
          <w:szCs w:val="21"/>
        </w:rPr>
        <w:t xml:space="preserve"> in plant growing is due to </w:t>
      </w:r>
      <w:r w:rsidR="00131467">
        <w:rPr>
          <w:rFonts w:ascii="Times New Roman" w:hAnsi="Times New Roman" w:cs="Times New Roman"/>
          <w:sz w:val="21"/>
          <w:szCs w:val="21"/>
        </w:rPr>
        <w:t>dec</w:t>
      </w:r>
      <w:r w:rsidRPr="00EC356F">
        <w:rPr>
          <w:rFonts w:ascii="Times New Roman" w:hAnsi="Times New Roman" w:cs="Times New Roman"/>
          <w:sz w:val="21"/>
          <w:szCs w:val="21"/>
        </w:rPr>
        <w:t xml:space="preserve">reased prices in </w:t>
      </w:r>
      <w:r w:rsidR="00131467" w:rsidRPr="00131467">
        <w:rPr>
          <w:rFonts w:ascii="Times New Roman" w:hAnsi="Times New Roman" w:cs="Times New Roman"/>
          <w:sz w:val="21"/>
          <w:szCs w:val="21"/>
        </w:rPr>
        <w:t>groups</w:t>
      </w:r>
      <w:r w:rsidRPr="00EC356F">
        <w:rPr>
          <w:rFonts w:ascii="Times New Roman" w:hAnsi="Times New Roman" w:cs="Times New Roman"/>
          <w:sz w:val="21"/>
          <w:szCs w:val="21"/>
        </w:rPr>
        <w:t xml:space="preserve"> “potato </w:t>
      </w:r>
      <w:r w:rsidRPr="00131467">
        <w:rPr>
          <w:rFonts w:ascii="Times New Roman" w:hAnsi="Times New Roman" w:cs="Times New Roman"/>
          <w:sz w:val="21"/>
          <w:szCs w:val="21"/>
        </w:rPr>
        <w:t>and vegetables” (</w:t>
      </w:r>
      <w:r w:rsidR="00131467" w:rsidRPr="00131467">
        <w:rPr>
          <w:rFonts w:ascii="Times New Roman" w:hAnsi="Times New Roman" w:cs="Times New Roman"/>
          <w:sz w:val="21"/>
          <w:szCs w:val="21"/>
        </w:rPr>
        <w:t>9</w:t>
      </w:r>
      <w:r w:rsidRPr="00131467">
        <w:rPr>
          <w:rFonts w:ascii="Times New Roman" w:hAnsi="Times New Roman" w:cs="Times New Roman"/>
          <w:sz w:val="21"/>
          <w:szCs w:val="21"/>
        </w:rPr>
        <w:t>.4%), “</w:t>
      </w:r>
      <w:r w:rsidR="00131467" w:rsidRPr="00131467">
        <w:rPr>
          <w:rFonts w:ascii="Times New Roman" w:hAnsi="Times New Roman" w:cs="Times New Roman"/>
          <w:sz w:val="21"/>
          <w:szCs w:val="21"/>
        </w:rPr>
        <w:t>gourds</w:t>
      </w:r>
      <w:r w:rsidRPr="00EC356F">
        <w:rPr>
          <w:rFonts w:ascii="Times New Roman" w:hAnsi="Times New Roman" w:cs="Times New Roman"/>
          <w:sz w:val="21"/>
          <w:szCs w:val="21"/>
        </w:rPr>
        <w:t>” (</w:t>
      </w:r>
      <w:r w:rsidR="00131467" w:rsidRPr="00131467">
        <w:rPr>
          <w:rFonts w:ascii="Times New Roman" w:hAnsi="Times New Roman" w:cs="Times New Roman"/>
          <w:sz w:val="21"/>
          <w:szCs w:val="21"/>
        </w:rPr>
        <w:t>44</w:t>
      </w:r>
      <w:r w:rsidRPr="00EC356F">
        <w:rPr>
          <w:rFonts w:ascii="Times New Roman" w:hAnsi="Times New Roman" w:cs="Times New Roman"/>
          <w:sz w:val="21"/>
          <w:szCs w:val="21"/>
        </w:rPr>
        <w:t>.</w:t>
      </w:r>
      <w:r w:rsidR="00131467" w:rsidRPr="00131467">
        <w:rPr>
          <w:rFonts w:ascii="Times New Roman" w:hAnsi="Times New Roman" w:cs="Times New Roman"/>
          <w:sz w:val="21"/>
          <w:szCs w:val="21"/>
        </w:rPr>
        <w:t>4</w:t>
      </w:r>
      <w:r w:rsidRPr="00EC356F">
        <w:rPr>
          <w:rFonts w:ascii="Times New Roman" w:hAnsi="Times New Roman" w:cs="Times New Roman"/>
          <w:sz w:val="21"/>
          <w:szCs w:val="21"/>
        </w:rPr>
        <w:t>%), “</w:t>
      </w:r>
      <w:r w:rsidR="00131467" w:rsidRPr="00131467">
        <w:rPr>
          <w:rFonts w:ascii="Times New Roman" w:hAnsi="Times New Roman" w:cs="Times New Roman"/>
          <w:sz w:val="21"/>
          <w:szCs w:val="21"/>
        </w:rPr>
        <w:t>grains</w:t>
      </w:r>
      <w:r w:rsidRPr="00EC356F">
        <w:rPr>
          <w:rFonts w:ascii="Times New Roman" w:hAnsi="Times New Roman" w:cs="Times New Roman"/>
          <w:sz w:val="21"/>
          <w:szCs w:val="21"/>
        </w:rPr>
        <w:t>” (</w:t>
      </w:r>
      <w:r w:rsidR="00131467" w:rsidRPr="00131467">
        <w:rPr>
          <w:rFonts w:ascii="Times New Roman" w:hAnsi="Times New Roman" w:cs="Times New Roman"/>
          <w:sz w:val="21"/>
          <w:szCs w:val="21"/>
        </w:rPr>
        <w:t>14</w:t>
      </w:r>
      <w:r w:rsidRPr="00EC356F">
        <w:rPr>
          <w:rFonts w:ascii="Times New Roman" w:hAnsi="Times New Roman" w:cs="Times New Roman"/>
          <w:sz w:val="21"/>
          <w:szCs w:val="21"/>
        </w:rPr>
        <w:t>.</w:t>
      </w:r>
      <w:r w:rsidR="00131467" w:rsidRPr="00131467">
        <w:rPr>
          <w:rFonts w:ascii="Times New Roman" w:hAnsi="Times New Roman" w:cs="Times New Roman"/>
          <w:sz w:val="21"/>
          <w:szCs w:val="21"/>
        </w:rPr>
        <w:t>1</w:t>
      </w:r>
      <w:r w:rsidRPr="00EC356F">
        <w:rPr>
          <w:rFonts w:ascii="Times New Roman" w:hAnsi="Times New Roman" w:cs="Times New Roman"/>
          <w:sz w:val="21"/>
          <w:szCs w:val="21"/>
        </w:rPr>
        <w:t>%)</w:t>
      </w:r>
      <w:r w:rsidR="00131467">
        <w:rPr>
          <w:rFonts w:ascii="Times New Roman" w:hAnsi="Times New Roman" w:cs="Times New Roman"/>
          <w:sz w:val="21"/>
          <w:szCs w:val="21"/>
        </w:rPr>
        <w:t xml:space="preserve">, whereas </w:t>
      </w:r>
      <w:r w:rsidRPr="00EC356F">
        <w:rPr>
          <w:rFonts w:ascii="Times New Roman" w:hAnsi="Times New Roman" w:cs="Times New Roman"/>
          <w:sz w:val="21"/>
          <w:szCs w:val="21"/>
        </w:rPr>
        <w:t>increased prices in animal breeding were mainly attributable to 10.</w:t>
      </w:r>
      <w:r w:rsidR="00131467" w:rsidRPr="00131467">
        <w:rPr>
          <w:rFonts w:ascii="Times New Roman" w:hAnsi="Times New Roman" w:cs="Times New Roman"/>
          <w:sz w:val="21"/>
          <w:szCs w:val="21"/>
        </w:rPr>
        <w:t>7</w:t>
      </w:r>
      <w:r w:rsidRPr="00EC356F">
        <w:rPr>
          <w:rFonts w:ascii="Times New Roman" w:hAnsi="Times New Roman" w:cs="Times New Roman"/>
          <w:sz w:val="21"/>
          <w:szCs w:val="21"/>
        </w:rPr>
        <w:t xml:space="preserve">% and </w:t>
      </w:r>
      <w:r w:rsidR="00131467" w:rsidRPr="00131467">
        <w:rPr>
          <w:rFonts w:ascii="Times New Roman" w:hAnsi="Times New Roman" w:cs="Times New Roman"/>
          <w:sz w:val="21"/>
          <w:szCs w:val="21"/>
        </w:rPr>
        <w:t>9</w:t>
      </w:r>
      <w:r w:rsidRPr="00EC356F">
        <w:rPr>
          <w:rFonts w:ascii="Times New Roman" w:hAnsi="Times New Roman" w:cs="Times New Roman"/>
          <w:sz w:val="21"/>
          <w:szCs w:val="21"/>
        </w:rPr>
        <w:t xml:space="preserve">% rise in </w:t>
      </w:r>
      <w:r w:rsidRPr="00EC356F">
        <w:rPr>
          <w:rFonts w:ascii="Times New Roman" w:hAnsi="Times New Roman" w:cs="Times New Roman"/>
          <w:i/>
          <w:sz w:val="21"/>
          <w:szCs w:val="21"/>
        </w:rPr>
        <w:t>milk and dairy products</w:t>
      </w:r>
      <w:r w:rsidRPr="00EC356F">
        <w:rPr>
          <w:rFonts w:ascii="Times New Roman" w:hAnsi="Times New Roman" w:cs="Times New Roman"/>
          <w:sz w:val="21"/>
          <w:szCs w:val="21"/>
        </w:rPr>
        <w:t xml:space="preserve"> and </w:t>
      </w:r>
      <w:r w:rsidRPr="00EC356F">
        <w:rPr>
          <w:rFonts w:ascii="Times New Roman" w:hAnsi="Times New Roman" w:cs="Times New Roman"/>
          <w:i/>
          <w:sz w:val="21"/>
          <w:szCs w:val="21"/>
        </w:rPr>
        <w:t>egg</w:t>
      </w:r>
      <w:r w:rsidRPr="00EC356F">
        <w:rPr>
          <w:rFonts w:ascii="Times New Roman" w:hAnsi="Times New Roman" w:cs="Times New Roman"/>
          <w:sz w:val="21"/>
          <w:szCs w:val="21"/>
        </w:rPr>
        <w:t xml:space="preserve">, respectively. </w:t>
      </w:r>
    </w:p>
    <w:p w14:paraId="57360CA3"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 xml:space="preserve">Construction </w:t>
      </w:r>
      <w:r w:rsidRPr="00EC356F">
        <w:rPr>
          <w:rFonts w:ascii="Times New Roman" w:hAnsi="Times New Roman" w:cs="Times New Roman"/>
          <w:sz w:val="21"/>
          <w:szCs w:val="21"/>
        </w:rPr>
        <w:t xml:space="preserve">reported </w:t>
      </w:r>
      <w:r w:rsidR="00716934" w:rsidRPr="00716934">
        <w:rPr>
          <w:rFonts w:ascii="Times New Roman" w:hAnsi="Times New Roman" w:cs="Times New Roman"/>
          <w:sz w:val="21"/>
          <w:szCs w:val="21"/>
        </w:rPr>
        <w:t>2</w:t>
      </w:r>
      <w:r w:rsidRPr="00EC356F">
        <w:rPr>
          <w:rFonts w:ascii="Times New Roman" w:hAnsi="Times New Roman" w:cs="Times New Roman"/>
          <w:sz w:val="21"/>
          <w:szCs w:val="21"/>
        </w:rPr>
        <w:t>.</w:t>
      </w:r>
      <w:r w:rsidR="00716934" w:rsidRPr="00716934">
        <w:rPr>
          <w:rFonts w:ascii="Times New Roman" w:hAnsi="Times New Roman" w:cs="Times New Roman"/>
          <w:sz w:val="21"/>
          <w:szCs w:val="21"/>
        </w:rPr>
        <w:t>8</w:t>
      </w:r>
      <w:r w:rsidRPr="00EC356F">
        <w:rPr>
          <w:rFonts w:ascii="Times New Roman" w:hAnsi="Times New Roman" w:cs="Times New Roman"/>
          <w:sz w:val="21"/>
          <w:szCs w:val="21"/>
        </w:rPr>
        <w:t xml:space="preserve">% y/y price </w:t>
      </w:r>
      <w:r w:rsidR="00716934" w:rsidRPr="00716934">
        <w:rPr>
          <w:rFonts w:ascii="Times New Roman" w:hAnsi="Times New Roman" w:cs="Times New Roman"/>
          <w:sz w:val="21"/>
          <w:szCs w:val="21"/>
        </w:rPr>
        <w:t>increase</w:t>
      </w:r>
      <w:r w:rsidRPr="00EC356F">
        <w:rPr>
          <w:rFonts w:ascii="Times New Roman" w:hAnsi="Times New Roman" w:cs="Times New Roman"/>
          <w:sz w:val="21"/>
          <w:szCs w:val="21"/>
        </w:rPr>
        <w:t xml:space="preserve"> during the </w:t>
      </w:r>
      <w:r w:rsidR="00716934" w:rsidRPr="00716934">
        <w:rPr>
          <w:rFonts w:ascii="Times New Roman" w:hAnsi="Times New Roman" w:cs="Times New Roman"/>
          <w:sz w:val="21"/>
          <w:szCs w:val="21"/>
        </w:rPr>
        <w:t>3r</w:t>
      </w:r>
      <w:r w:rsidRPr="00EC356F">
        <w:rPr>
          <w:rFonts w:ascii="Times New Roman" w:hAnsi="Times New Roman" w:cs="Times New Roman"/>
          <w:sz w:val="21"/>
          <w:szCs w:val="21"/>
        </w:rPr>
        <w:t>d quarter, with the January-</w:t>
      </w:r>
      <w:r w:rsidR="00716934" w:rsidRPr="00716934">
        <w:rPr>
          <w:rFonts w:ascii="Times New Roman" w:hAnsi="Times New Roman" w:cs="Times New Roman"/>
          <w:sz w:val="21"/>
          <w:szCs w:val="21"/>
        </w:rPr>
        <w:t>September</w:t>
      </w:r>
      <w:r w:rsidRPr="00EC356F">
        <w:rPr>
          <w:rFonts w:ascii="Times New Roman" w:hAnsi="Times New Roman" w:cs="Times New Roman"/>
          <w:sz w:val="21"/>
          <w:szCs w:val="21"/>
        </w:rPr>
        <w:t xml:space="preserve"> </w:t>
      </w:r>
      <w:r w:rsidR="00716934" w:rsidRPr="00716934">
        <w:rPr>
          <w:rFonts w:ascii="Times New Roman" w:hAnsi="Times New Roman" w:cs="Times New Roman"/>
          <w:sz w:val="21"/>
          <w:szCs w:val="21"/>
        </w:rPr>
        <w:t xml:space="preserve">price rise </w:t>
      </w:r>
      <w:r w:rsidRPr="00EC356F">
        <w:rPr>
          <w:rFonts w:ascii="Times New Roman" w:hAnsi="Times New Roman" w:cs="Times New Roman"/>
          <w:sz w:val="21"/>
          <w:szCs w:val="21"/>
        </w:rPr>
        <w:t xml:space="preserve">of </w:t>
      </w:r>
      <w:r w:rsidR="00716934" w:rsidRPr="00716934">
        <w:rPr>
          <w:rFonts w:ascii="Times New Roman" w:hAnsi="Times New Roman" w:cs="Times New Roman"/>
          <w:sz w:val="21"/>
          <w:szCs w:val="21"/>
        </w:rPr>
        <w:t>2</w:t>
      </w:r>
      <w:r w:rsidRPr="00EC356F">
        <w:rPr>
          <w:rFonts w:ascii="Times New Roman" w:hAnsi="Times New Roman" w:cs="Times New Roman"/>
          <w:sz w:val="21"/>
          <w:szCs w:val="21"/>
        </w:rPr>
        <w:t xml:space="preserve">% y/y, mainly attributable to the wage increases in the branch. </w:t>
      </w:r>
    </w:p>
    <w:p w14:paraId="4F8FACA5" w14:textId="77777777" w:rsidR="00A9653E" w:rsidRPr="00EC356F" w:rsidRDefault="00A9653E" w:rsidP="00A9653E">
      <w:pPr>
        <w:spacing w:before="240" w:line="360" w:lineRule="auto"/>
        <w:jc w:val="both"/>
        <w:rPr>
          <w:rFonts w:ascii="Times New Roman" w:hAnsi="Times New Roman" w:cs="Times New Roman"/>
          <w:sz w:val="21"/>
          <w:szCs w:val="21"/>
        </w:rPr>
      </w:pPr>
      <w:r w:rsidRPr="00EC356F">
        <w:rPr>
          <w:rFonts w:ascii="Times New Roman" w:hAnsi="Times New Roman" w:cs="Times New Roman"/>
          <w:b/>
          <w:sz w:val="21"/>
          <w:szCs w:val="21"/>
        </w:rPr>
        <w:t xml:space="preserve">Carriage </w:t>
      </w:r>
      <w:r w:rsidRPr="00EC356F">
        <w:rPr>
          <w:rFonts w:ascii="Times New Roman" w:hAnsi="Times New Roman" w:cs="Times New Roman"/>
          <w:sz w:val="21"/>
          <w:szCs w:val="21"/>
        </w:rPr>
        <w:t>reported 1.</w:t>
      </w:r>
      <w:r w:rsidR="006C5E46" w:rsidRPr="006C5E46">
        <w:rPr>
          <w:rFonts w:ascii="Times New Roman" w:hAnsi="Times New Roman" w:cs="Times New Roman"/>
          <w:sz w:val="21"/>
          <w:szCs w:val="21"/>
        </w:rPr>
        <w:t>1</w:t>
      </w:r>
      <w:r w:rsidRPr="00EC356F">
        <w:rPr>
          <w:rFonts w:ascii="Times New Roman" w:hAnsi="Times New Roman" w:cs="Times New Roman"/>
          <w:sz w:val="21"/>
          <w:szCs w:val="21"/>
        </w:rPr>
        <w:t xml:space="preserve">% y/y rise in prices in the </w:t>
      </w:r>
      <w:r w:rsidR="006C5E46" w:rsidRPr="006C5E46">
        <w:rPr>
          <w:rFonts w:ascii="Times New Roman" w:hAnsi="Times New Roman" w:cs="Times New Roman"/>
          <w:sz w:val="21"/>
          <w:szCs w:val="21"/>
        </w:rPr>
        <w:t>3r</w:t>
      </w:r>
      <w:r w:rsidRPr="00EC356F">
        <w:rPr>
          <w:rFonts w:ascii="Times New Roman" w:hAnsi="Times New Roman" w:cs="Times New Roman"/>
          <w:sz w:val="21"/>
          <w:szCs w:val="21"/>
        </w:rPr>
        <w:t>d quarter, with the January-</w:t>
      </w:r>
      <w:r w:rsidR="006C5E46" w:rsidRPr="006C5E46">
        <w:rPr>
          <w:rFonts w:ascii="Times New Roman" w:hAnsi="Times New Roman" w:cs="Times New Roman"/>
          <w:sz w:val="21"/>
          <w:szCs w:val="21"/>
        </w:rPr>
        <w:t>September</w:t>
      </w:r>
      <w:r w:rsidRPr="00EC356F">
        <w:rPr>
          <w:rFonts w:ascii="Times New Roman" w:hAnsi="Times New Roman" w:cs="Times New Roman"/>
          <w:sz w:val="21"/>
          <w:szCs w:val="21"/>
        </w:rPr>
        <w:t xml:space="preserve"> price </w:t>
      </w:r>
      <w:r w:rsidR="006C5E46" w:rsidRPr="006C5E46">
        <w:rPr>
          <w:rFonts w:ascii="Times New Roman" w:hAnsi="Times New Roman" w:cs="Times New Roman"/>
          <w:sz w:val="21"/>
          <w:szCs w:val="21"/>
        </w:rPr>
        <w:t xml:space="preserve">rise </w:t>
      </w:r>
      <w:r w:rsidRPr="00EC356F">
        <w:rPr>
          <w:rFonts w:ascii="Times New Roman" w:hAnsi="Times New Roman" w:cs="Times New Roman"/>
          <w:sz w:val="21"/>
          <w:szCs w:val="21"/>
        </w:rPr>
        <w:t xml:space="preserve">having amounted to </w:t>
      </w:r>
      <w:r w:rsidR="006C5E46" w:rsidRPr="006C5E46">
        <w:rPr>
          <w:rFonts w:ascii="Times New Roman" w:hAnsi="Times New Roman" w:cs="Times New Roman"/>
          <w:sz w:val="21"/>
          <w:szCs w:val="21"/>
        </w:rPr>
        <w:t>10</w:t>
      </w:r>
      <w:r w:rsidRPr="00EC356F">
        <w:rPr>
          <w:rFonts w:ascii="Times New Roman" w:hAnsi="Times New Roman" w:cs="Times New Roman"/>
          <w:sz w:val="21"/>
          <w:szCs w:val="21"/>
        </w:rPr>
        <w:t>.</w:t>
      </w:r>
      <w:r w:rsidR="006C5E46" w:rsidRPr="006C5E46">
        <w:rPr>
          <w:rFonts w:ascii="Times New Roman" w:hAnsi="Times New Roman" w:cs="Times New Roman"/>
          <w:sz w:val="21"/>
          <w:szCs w:val="21"/>
        </w:rPr>
        <w:t>3</w:t>
      </w:r>
      <w:r w:rsidRPr="00EC356F">
        <w:rPr>
          <w:rFonts w:ascii="Times New Roman" w:hAnsi="Times New Roman" w:cs="Times New Roman"/>
          <w:sz w:val="21"/>
          <w:szCs w:val="21"/>
        </w:rPr>
        <w:t xml:space="preserve">% y/y, owing to </w:t>
      </w:r>
      <w:r w:rsidR="006C5E46" w:rsidRPr="006C5E46">
        <w:rPr>
          <w:rFonts w:ascii="Times New Roman" w:hAnsi="Times New Roman" w:cs="Times New Roman"/>
          <w:sz w:val="21"/>
          <w:szCs w:val="21"/>
        </w:rPr>
        <w:t>increased</w:t>
      </w:r>
      <w:r w:rsidRPr="00EC356F">
        <w:rPr>
          <w:rFonts w:ascii="Times New Roman" w:hAnsi="Times New Roman" w:cs="Times New Roman"/>
          <w:sz w:val="21"/>
          <w:szCs w:val="21"/>
        </w:rPr>
        <w:t xml:space="preserve"> tariffs </w:t>
      </w:r>
      <w:r w:rsidR="006C5E46" w:rsidRPr="006C5E46">
        <w:rPr>
          <w:rFonts w:ascii="Times New Roman" w:hAnsi="Times New Roman" w:cs="Times New Roman"/>
          <w:sz w:val="21"/>
          <w:szCs w:val="21"/>
        </w:rPr>
        <w:t>for</w:t>
      </w:r>
      <w:r w:rsidRPr="00EC356F">
        <w:rPr>
          <w:rFonts w:ascii="Times New Roman" w:hAnsi="Times New Roman" w:cs="Times New Roman"/>
          <w:sz w:val="21"/>
          <w:szCs w:val="21"/>
        </w:rPr>
        <w:t xml:space="preserve"> </w:t>
      </w:r>
      <w:r w:rsidRPr="00EC356F">
        <w:rPr>
          <w:rFonts w:ascii="Times New Roman" w:hAnsi="Times New Roman" w:cs="Times New Roman"/>
          <w:i/>
          <w:sz w:val="21"/>
          <w:szCs w:val="21"/>
        </w:rPr>
        <w:t>railroad transport</w:t>
      </w:r>
      <w:r w:rsidRPr="00EC356F">
        <w:rPr>
          <w:rFonts w:ascii="Times New Roman" w:hAnsi="Times New Roman" w:cs="Times New Roman"/>
          <w:sz w:val="21"/>
          <w:szCs w:val="21"/>
        </w:rPr>
        <w:t xml:space="preserve"> (1</w:t>
      </w:r>
      <w:r w:rsidR="006C5E46" w:rsidRPr="006C5E46">
        <w:rPr>
          <w:rFonts w:ascii="Times New Roman" w:hAnsi="Times New Roman" w:cs="Times New Roman"/>
          <w:sz w:val="21"/>
          <w:szCs w:val="21"/>
        </w:rPr>
        <w:t>3</w:t>
      </w:r>
      <w:r w:rsidRPr="00EC356F">
        <w:rPr>
          <w:rFonts w:ascii="Times New Roman" w:hAnsi="Times New Roman" w:cs="Times New Roman"/>
          <w:sz w:val="21"/>
          <w:szCs w:val="21"/>
        </w:rPr>
        <w:t xml:space="preserve">%), </w:t>
      </w:r>
      <w:r w:rsidRPr="00EC356F">
        <w:rPr>
          <w:rFonts w:ascii="Times New Roman" w:hAnsi="Times New Roman" w:cs="Times New Roman"/>
          <w:i/>
          <w:sz w:val="21"/>
          <w:szCs w:val="21"/>
        </w:rPr>
        <w:t xml:space="preserve">pipeline transportation </w:t>
      </w:r>
      <w:r w:rsidRPr="00EC356F">
        <w:rPr>
          <w:rFonts w:ascii="Times New Roman" w:hAnsi="Times New Roman" w:cs="Times New Roman"/>
          <w:sz w:val="21"/>
          <w:szCs w:val="21"/>
        </w:rPr>
        <w:t>(</w:t>
      </w:r>
      <w:r w:rsidR="006C5E46" w:rsidRPr="006C5E46">
        <w:rPr>
          <w:rFonts w:ascii="Times New Roman" w:hAnsi="Times New Roman" w:cs="Times New Roman"/>
          <w:sz w:val="21"/>
          <w:szCs w:val="21"/>
        </w:rPr>
        <w:t>23</w:t>
      </w:r>
      <w:r w:rsidRPr="00EC356F">
        <w:rPr>
          <w:rFonts w:ascii="Times New Roman" w:hAnsi="Times New Roman" w:cs="Times New Roman"/>
          <w:sz w:val="21"/>
          <w:szCs w:val="21"/>
        </w:rPr>
        <w:t>.</w:t>
      </w:r>
      <w:r w:rsidR="006C5E46" w:rsidRPr="006C5E46">
        <w:rPr>
          <w:rFonts w:ascii="Times New Roman" w:hAnsi="Times New Roman" w:cs="Times New Roman"/>
          <w:sz w:val="21"/>
          <w:szCs w:val="21"/>
        </w:rPr>
        <w:t>9</w:t>
      </w:r>
      <w:r w:rsidRPr="00EC356F">
        <w:rPr>
          <w:rFonts w:ascii="Times New Roman" w:hAnsi="Times New Roman" w:cs="Times New Roman"/>
          <w:sz w:val="21"/>
          <w:szCs w:val="21"/>
        </w:rPr>
        <w:t xml:space="preserve">%) and </w:t>
      </w:r>
      <w:r w:rsidRPr="00EC356F">
        <w:rPr>
          <w:rFonts w:ascii="Times New Roman" w:hAnsi="Times New Roman" w:cs="Times New Roman"/>
          <w:i/>
          <w:sz w:val="21"/>
          <w:szCs w:val="21"/>
        </w:rPr>
        <w:t xml:space="preserve">air transport </w:t>
      </w:r>
      <w:r w:rsidRPr="00EC356F">
        <w:rPr>
          <w:rFonts w:ascii="Times New Roman" w:hAnsi="Times New Roman" w:cs="Times New Roman"/>
          <w:sz w:val="21"/>
          <w:szCs w:val="21"/>
        </w:rPr>
        <w:t>(0.1%). Note that much higher rates in pipeline transportation are mainly due to the increase in energy prices.</w:t>
      </w:r>
    </w:p>
    <w:p w14:paraId="55DF1134"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3.1.3 Inflation and interest rate expectations</w:t>
      </w:r>
    </w:p>
    <w:p w14:paraId="69A3DADE"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The results of the </w:t>
      </w:r>
      <w:r w:rsidR="006C5E46" w:rsidRPr="006C5E46">
        <w:rPr>
          <w:rFonts w:ascii="Times New Roman" w:hAnsi="Times New Roman" w:cs="Times New Roman"/>
          <w:sz w:val="21"/>
          <w:szCs w:val="21"/>
        </w:rPr>
        <w:t>3r</w:t>
      </w:r>
      <w:r w:rsidRPr="00EC356F">
        <w:rPr>
          <w:rFonts w:ascii="Times New Roman" w:hAnsi="Times New Roman" w:cs="Times New Roman"/>
          <w:sz w:val="21"/>
          <w:szCs w:val="21"/>
        </w:rPr>
        <w:t xml:space="preserve">d quarter 2014 surveys </w:t>
      </w:r>
      <w:r w:rsidR="006C5E46" w:rsidRPr="006C5E46">
        <w:rPr>
          <w:rFonts w:ascii="Times New Roman" w:hAnsi="Times New Roman" w:cs="Times New Roman"/>
          <w:sz w:val="21"/>
          <w:szCs w:val="21"/>
        </w:rPr>
        <w:t xml:space="preserve">of the Central Bank </w:t>
      </w:r>
      <w:r w:rsidRPr="00EC356F">
        <w:rPr>
          <w:rFonts w:ascii="Times New Roman" w:hAnsi="Times New Roman" w:cs="Times New Roman"/>
          <w:sz w:val="21"/>
          <w:szCs w:val="21"/>
        </w:rPr>
        <w:t>on financial sector and household expectations of selected macroeconomic indicators suggest that inflationary expectations for an upcoming one-year horizon</w:t>
      </w:r>
      <w:r w:rsidR="006C5E46" w:rsidRPr="006C5E46">
        <w:rPr>
          <w:rFonts w:ascii="Times New Roman" w:hAnsi="Times New Roman" w:cs="Times New Roman"/>
          <w:sz w:val="21"/>
          <w:szCs w:val="21"/>
        </w:rPr>
        <w:t xml:space="preserve"> have not changed much</w:t>
      </w:r>
      <w:r w:rsidR="004B35EC" w:rsidRPr="004B35EC">
        <w:rPr>
          <w:rFonts w:ascii="Times New Roman" w:hAnsi="Times New Roman" w:cs="Times New Roman"/>
          <w:sz w:val="21"/>
          <w:szCs w:val="21"/>
        </w:rPr>
        <w:t xml:space="preserve"> but remained in the 4,5-5,0% range,</w:t>
      </w:r>
      <w:r w:rsidRPr="00EC356F">
        <w:rPr>
          <w:rFonts w:ascii="Times New Roman" w:hAnsi="Times New Roman" w:cs="Times New Roman"/>
          <w:sz w:val="21"/>
          <w:szCs w:val="21"/>
        </w:rPr>
        <w:t xml:space="preserve"> </w:t>
      </w:r>
      <w:r w:rsidR="004B35EC" w:rsidRPr="004B35EC">
        <w:rPr>
          <w:rFonts w:ascii="Times New Roman" w:hAnsi="Times New Roman" w:cs="Times New Roman"/>
          <w:sz w:val="21"/>
          <w:szCs w:val="21"/>
        </w:rPr>
        <w:t>i</w:t>
      </w:r>
      <w:r w:rsidRPr="00EC356F">
        <w:rPr>
          <w:rFonts w:ascii="Times New Roman" w:hAnsi="Times New Roman" w:cs="Times New Roman"/>
          <w:sz w:val="21"/>
          <w:szCs w:val="21"/>
        </w:rPr>
        <w:t>ndeed</w:t>
      </w:r>
      <w:r w:rsidR="004B35EC" w:rsidRPr="004B35EC">
        <w:rPr>
          <w:rFonts w:ascii="Times New Roman" w:hAnsi="Times New Roman" w:cs="Times New Roman"/>
          <w:sz w:val="21"/>
          <w:szCs w:val="21"/>
        </w:rPr>
        <w:t>.</w:t>
      </w:r>
      <w:r w:rsidRPr="00EC356F">
        <w:rPr>
          <w:rFonts w:ascii="Times New Roman" w:hAnsi="Times New Roman" w:cs="Times New Roman"/>
          <w:sz w:val="21"/>
          <w:szCs w:val="21"/>
        </w:rPr>
        <w:t xml:space="preserve"> Thus, most banks anchored their expectations of the 12-month inflation </w:t>
      </w:r>
      <w:r w:rsidR="00473E52" w:rsidRPr="00473E52">
        <w:rPr>
          <w:rFonts w:ascii="Times New Roman" w:hAnsi="Times New Roman" w:cs="Times New Roman"/>
          <w:sz w:val="21"/>
          <w:szCs w:val="21"/>
        </w:rPr>
        <w:t xml:space="preserve">rate </w:t>
      </w:r>
      <w:r w:rsidRPr="00EC356F">
        <w:rPr>
          <w:rFonts w:ascii="Times New Roman" w:hAnsi="Times New Roman" w:cs="Times New Roman"/>
          <w:sz w:val="21"/>
          <w:szCs w:val="21"/>
        </w:rPr>
        <w:t>around a 5</w:t>
      </w:r>
      <w:r w:rsidR="00473E52" w:rsidRPr="00473E52">
        <w:rPr>
          <w:rFonts w:ascii="Times New Roman" w:hAnsi="Times New Roman" w:cs="Times New Roman"/>
          <w:sz w:val="21"/>
          <w:szCs w:val="21"/>
        </w:rPr>
        <w:t>%</w:t>
      </w:r>
      <w:r w:rsidRPr="00EC356F">
        <w:rPr>
          <w:rFonts w:ascii="Times New Roman" w:hAnsi="Times New Roman" w:cs="Times New Roman"/>
          <w:sz w:val="21"/>
          <w:szCs w:val="21"/>
        </w:rPr>
        <w:t xml:space="preserve"> range </w:t>
      </w:r>
      <w:r w:rsidR="00473E52" w:rsidRPr="00473E52">
        <w:rPr>
          <w:rFonts w:ascii="Times New Roman" w:hAnsi="Times New Roman" w:cs="Times New Roman"/>
          <w:sz w:val="21"/>
          <w:szCs w:val="21"/>
        </w:rPr>
        <w:t xml:space="preserve">and </w:t>
      </w:r>
      <w:r w:rsidRPr="00EC356F">
        <w:rPr>
          <w:rFonts w:ascii="Times New Roman" w:hAnsi="Times New Roman" w:cs="Times New Roman"/>
          <w:sz w:val="21"/>
          <w:szCs w:val="21"/>
        </w:rPr>
        <w:t>credit organizations in the region of 4.</w:t>
      </w:r>
      <w:r w:rsidR="00473E52" w:rsidRPr="00473E52">
        <w:rPr>
          <w:rFonts w:ascii="Times New Roman" w:hAnsi="Times New Roman" w:cs="Times New Roman"/>
          <w:sz w:val="21"/>
          <w:szCs w:val="21"/>
        </w:rPr>
        <w:t>5</w:t>
      </w:r>
      <w:r w:rsidRPr="00EC356F">
        <w:rPr>
          <w:rFonts w:ascii="Times New Roman" w:hAnsi="Times New Roman" w:cs="Times New Roman"/>
          <w:sz w:val="21"/>
          <w:szCs w:val="21"/>
        </w:rPr>
        <w:t>%</w:t>
      </w:r>
      <w:r w:rsidR="00473E52" w:rsidRPr="00473E52">
        <w:rPr>
          <w:rFonts w:ascii="Times New Roman" w:hAnsi="Times New Roman" w:cs="Times New Roman"/>
          <w:sz w:val="21"/>
          <w:szCs w:val="21"/>
        </w:rPr>
        <w:t>.</w:t>
      </w:r>
      <w:r w:rsidRPr="00EC356F">
        <w:rPr>
          <w:rFonts w:ascii="Times New Roman" w:hAnsi="Times New Roman" w:cs="Times New Roman"/>
          <w:sz w:val="21"/>
          <w:szCs w:val="21"/>
        </w:rPr>
        <w:t xml:space="preserve"> </w:t>
      </w:r>
      <w:r w:rsidR="00473E52" w:rsidRPr="00473E52">
        <w:rPr>
          <w:rFonts w:ascii="Times New Roman" w:hAnsi="Times New Roman" w:cs="Times New Roman"/>
          <w:sz w:val="21"/>
          <w:szCs w:val="21"/>
        </w:rPr>
        <w:t>The results of the survey show that</w:t>
      </w:r>
      <w:r w:rsidRPr="00EC356F">
        <w:rPr>
          <w:rFonts w:ascii="Times New Roman" w:hAnsi="Times New Roman" w:cs="Times New Roman"/>
          <w:sz w:val="21"/>
          <w:szCs w:val="21"/>
        </w:rPr>
        <w:t xml:space="preserve"> households’ inflationary </w:t>
      </w:r>
      <w:r w:rsidRPr="00EC356F">
        <w:rPr>
          <w:rFonts w:ascii="Times New Roman" w:hAnsi="Times New Roman" w:cs="Times New Roman"/>
          <w:sz w:val="21"/>
          <w:szCs w:val="21"/>
        </w:rPr>
        <w:lastRenderedPageBreak/>
        <w:t>expectations</w:t>
      </w:r>
      <w:r w:rsidR="00473E52" w:rsidRPr="00473E52">
        <w:rPr>
          <w:rFonts w:ascii="Times New Roman" w:hAnsi="Times New Roman" w:cs="Times New Roman"/>
          <w:sz w:val="21"/>
          <w:szCs w:val="21"/>
        </w:rPr>
        <w:t xml:space="preserve"> again moved</w:t>
      </w:r>
      <w:r w:rsidRPr="00EC356F">
        <w:rPr>
          <w:rFonts w:ascii="Times New Roman" w:hAnsi="Times New Roman" w:cs="Times New Roman"/>
          <w:sz w:val="21"/>
          <w:szCs w:val="21"/>
        </w:rPr>
        <w:t xml:space="preserve"> downward</w:t>
      </w:r>
      <w:r w:rsidR="00473E52" w:rsidRPr="00473E52">
        <w:rPr>
          <w:rFonts w:ascii="Times New Roman" w:hAnsi="Times New Roman" w:cs="Times New Roman"/>
          <w:sz w:val="21"/>
          <w:szCs w:val="21"/>
        </w:rPr>
        <w:t xml:space="preserve">, </w:t>
      </w:r>
      <w:r w:rsidRPr="00EC356F">
        <w:rPr>
          <w:rFonts w:ascii="Times New Roman" w:hAnsi="Times New Roman" w:cs="Times New Roman"/>
          <w:sz w:val="21"/>
          <w:szCs w:val="21"/>
        </w:rPr>
        <w:t xml:space="preserve">to </w:t>
      </w:r>
      <w:r w:rsidR="00473E52" w:rsidRPr="00473E52">
        <w:rPr>
          <w:rFonts w:ascii="Times New Roman" w:hAnsi="Times New Roman" w:cs="Times New Roman"/>
          <w:sz w:val="21"/>
          <w:szCs w:val="21"/>
        </w:rPr>
        <w:t xml:space="preserve">an average </w:t>
      </w:r>
      <w:r w:rsidRPr="00EC356F">
        <w:rPr>
          <w:rFonts w:ascii="Times New Roman" w:hAnsi="Times New Roman" w:cs="Times New Roman"/>
          <w:sz w:val="21"/>
          <w:szCs w:val="21"/>
        </w:rPr>
        <w:t>4.</w:t>
      </w:r>
      <w:r w:rsidR="00473E52" w:rsidRPr="00473E52">
        <w:rPr>
          <w:rFonts w:ascii="Times New Roman" w:hAnsi="Times New Roman" w:cs="Times New Roman"/>
          <w:sz w:val="21"/>
          <w:szCs w:val="21"/>
        </w:rPr>
        <w:t>0</w:t>
      </w:r>
      <w:r w:rsidRPr="00EC356F">
        <w:rPr>
          <w:rFonts w:ascii="Times New Roman" w:hAnsi="Times New Roman" w:cs="Times New Roman"/>
          <w:sz w:val="21"/>
          <w:szCs w:val="21"/>
        </w:rPr>
        <w:t xml:space="preserve">% </w:t>
      </w:r>
      <w:r w:rsidR="00473E52" w:rsidRPr="00473E52">
        <w:rPr>
          <w:rFonts w:ascii="Times New Roman" w:hAnsi="Times New Roman" w:cs="Times New Roman"/>
          <w:sz w:val="21"/>
          <w:szCs w:val="21"/>
        </w:rPr>
        <w:t xml:space="preserve">inflation for the 3rd quarter of 2015 versus 4.6% </w:t>
      </w:r>
      <w:r w:rsidR="00432FBB" w:rsidRPr="00432FBB">
        <w:rPr>
          <w:rFonts w:ascii="Times New Roman" w:hAnsi="Times New Roman" w:cs="Times New Roman"/>
          <w:sz w:val="21"/>
          <w:szCs w:val="21"/>
        </w:rPr>
        <w:t xml:space="preserve">reported by </w:t>
      </w:r>
      <w:r w:rsidR="00473E52" w:rsidRPr="00473E52">
        <w:rPr>
          <w:rFonts w:ascii="Times New Roman" w:hAnsi="Times New Roman" w:cs="Times New Roman"/>
          <w:sz w:val="21"/>
          <w:szCs w:val="21"/>
        </w:rPr>
        <w:t>the previous survey</w:t>
      </w:r>
      <w:r w:rsidRPr="00EC356F">
        <w:rPr>
          <w:rFonts w:ascii="Times New Roman" w:hAnsi="Times New Roman" w:cs="Times New Roman"/>
          <w:sz w:val="21"/>
          <w:szCs w:val="21"/>
        </w:rPr>
        <w:t xml:space="preserve">.  </w:t>
      </w:r>
    </w:p>
    <w:p w14:paraId="4E1074D4"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According to the survey results, expectations of market rates for a one-year horizon </w:t>
      </w:r>
      <w:r w:rsidR="004F5351" w:rsidRPr="004F5351">
        <w:rPr>
          <w:rFonts w:ascii="Times New Roman" w:hAnsi="Times New Roman" w:cs="Times New Roman"/>
          <w:sz w:val="21"/>
          <w:szCs w:val="21"/>
        </w:rPr>
        <w:t>moved slightly downside</w:t>
      </w:r>
      <w:r w:rsidRPr="00EC356F">
        <w:rPr>
          <w:rFonts w:ascii="Times New Roman" w:hAnsi="Times New Roman" w:cs="Times New Roman"/>
          <w:sz w:val="21"/>
          <w:szCs w:val="21"/>
        </w:rPr>
        <w:t xml:space="preserve">.   </w:t>
      </w:r>
    </w:p>
    <w:p w14:paraId="685EBE5B"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3.2 Aggregate supply and Aggregate demand</w:t>
      </w:r>
    </w:p>
    <w:p w14:paraId="15B9A4FE"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3.2.1 Aggregate supply</w:t>
      </w:r>
      <w:r w:rsidRPr="00EC356F">
        <w:rPr>
          <w:rStyle w:val="FootnoteReference"/>
          <w:rFonts w:ascii="Times New Roman" w:hAnsi="Times New Roman" w:cs="Times New Roman"/>
          <w:b/>
          <w:sz w:val="21"/>
          <w:szCs w:val="21"/>
        </w:rPr>
        <w:footnoteReference w:customMarkFollows="1" w:id="14"/>
        <w:t>14</w:t>
      </w:r>
    </w:p>
    <w:p w14:paraId="0DFB6863" w14:textId="77777777" w:rsidR="009068AE" w:rsidRPr="00C57C3E"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Style w:val="longtext"/>
          <w:rFonts w:ascii="Times New Roman" w:hAnsi="Times New Roman" w:cs="Times New Roman"/>
          <w:color w:val="000000"/>
          <w:sz w:val="21"/>
          <w:szCs w:val="21"/>
          <w:shd w:val="clear" w:color="auto" w:fill="FFFFFF"/>
        </w:rPr>
        <w:t xml:space="preserve">The </w:t>
      </w:r>
      <w:r w:rsidRPr="00EC356F">
        <w:rPr>
          <w:rStyle w:val="longtext"/>
          <w:rFonts w:ascii="Times New Roman" w:hAnsi="Times New Roman" w:cs="Times New Roman"/>
          <w:b/>
          <w:color w:val="000000"/>
          <w:sz w:val="21"/>
          <w:szCs w:val="21"/>
          <w:shd w:val="clear" w:color="auto" w:fill="FFFFFF"/>
        </w:rPr>
        <w:t xml:space="preserve">economic growth indicator </w:t>
      </w:r>
      <w:r w:rsidRPr="00EC356F">
        <w:rPr>
          <w:rStyle w:val="longtext"/>
          <w:rFonts w:ascii="Times New Roman" w:hAnsi="Times New Roman" w:cs="Times New Roman"/>
          <w:color w:val="000000"/>
          <w:sz w:val="21"/>
          <w:szCs w:val="21"/>
          <w:shd w:val="clear" w:color="auto" w:fill="FFFFFF"/>
        </w:rPr>
        <w:t xml:space="preserve">published for the </w:t>
      </w:r>
      <w:r w:rsidR="00616BCD" w:rsidRPr="00616BCD">
        <w:rPr>
          <w:rStyle w:val="longtext"/>
          <w:rFonts w:ascii="Times New Roman" w:hAnsi="Times New Roman" w:cs="Times New Roman"/>
          <w:color w:val="000000"/>
          <w:sz w:val="21"/>
          <w:szCs w:val="21"/>
          <w:shd w:val="clear" w:color="auto" w:fill="FFFFFF"/>
        </w:rPr>
        <w:t>2nd</w:t>
      </w:r>
      <w:r w:rsidRPr="00EC356F">
        <w:rPr>
          <w:rStyle w:val="longtext"/>
          <w:rFonts w:ascii="Times New Roman" w:hAnsi="Times New Roman" w:cs="Times New Roman"/>
          <w:color w:val="000000"/>
          <w:sz w:val="21"/>
          <w:szCs w:val="21"/>
          <w:shd w:val="clear" w:color="auto" w:fill="FFFFFF"/>
        </w:rPr>
        <w:t xml:space="preserve"> quarter of 2014 was </w:t>
      </w:r>
      <w:r w:rsidR="00616BCD" w:rsidRPr="00616BCD">
        <w:rPr>
          <w:rStyle w:val="longtext"/>
          <w:rFonts w:ascii="Times New Roman" w:hAnsi="Times New Roman" w:cs="Times New Roman"/>
          <w:color w:val="000000"/>
          <w:sz w:val="21"/>
          <w:szCs w:val="21"/>
          <w:shd w:val="clear" w:color="auto" w:fill="FFFFFF"/>
        </w:rPr>
        <w:t>2</w:t>
      </w:r>
      <w:r w:rsidRPr="00EC356F">
        <w:rPr>
          <w:rStyle w:val="longtext"/>
          <w:rFonts w:ascii="Times New Roman" w:hAnsi="Times New Roman" w:cs="Times New Roman"/>
          <w:color w:val="000000"/>
          <w:sz w:val="21"/>
          <w:szCs w:val="21"/>
          <w:shd w:val="clear" w:color="auto" w:fill="FFFFFF"/>
        </w:rPr>
        <w:t>.</w:t>
      </w:r>
      <w:r w:rsidR="00616BCD" w:rsidRPr="00616BCD">
        <w:rPr>
          <w:rStyle w:val="longtext"/>
          <w:rFonts w:ascii="Times New Roman" w:hAnsi="Times New Roman" w:cs="Times New Roman"/>
          <w:color w:val="000000"/>
          <w:sz w:val="21"/>
          <w:szCs w:val="21"/>
          <w:shd w:val="clear" w:color="auto" w:fill="FFFFFF"/>
        </w:rPr>
        <w:t>3</w:t>
      </w:r>
      <w:r w:rsidRPr="00EC356F">
        <w:rPr>
          <w:rStyle w:val="longtext"/>
          <w:rFonts w:ascii="Times New Roman" w:hAnsi="Times New Roman" w:cs="Times New Roman"/>
          <w:color w:val="000000"/>
          <w:sz w:val="21"/>
          <w:szCs w:val="21"/>
          <w:shd w:val="clear" w:color="auto" w:fill="FFFFFF"/>
        </w:rPr>
        <w:t>% y/y, w</w:t>
      </w:r>
      <w:r w:rsidR="00616BCD" w:rsidRPr="00616BCD">
        <w:rPr>
          <w:rStyle w:val="longtext"/>
          <w:rFonts w:ascii="Times New Roman" w:hAnsi="Times New Roman" w:cs="Times New Roman"/>
          <w:color w:val="000000"/>
          <w:sz w:val="21"/>
          <w:szCs w:val="21"/>
          <w:shd w:val="clear" w:color="auto" w:fill="FFFFFF"/>
        </w:rPr>
        <w:t>ith the GDP growth of</w:t>
      </w:r>
      <w:r w:rsidR="001833AA" w:rsidRPr="001833AA">
        <w:rPr>
          <w:rStyle w:val="longtext"/>
          <w:rFonts w:ascii="Times New Roman" w:hAnsi="Times New Roman" w:cs="Times New Roman"/>
          <w:color w:val="000000"/>
          <w:sz w:val="21"/>
          <w:szCs w:val="21"/>
          <w:shd w:val="clear" w:color="auto" w:fill="FFFFFF"/>
        </w:rPr>
        <w:t xml:space="preserve"> 2.6% y/y </w:t>
      </w:r>
      <w:r w:rsidR="00616BCD" w:rsidRPr="00616BCD">
        <w:rPr>
          <w:rStyle w:val="longtext"/>
          <w:rFonts w:ascii="Times New Roman" w:hAnsi="Times New Roman" w:cs="Times New Roman"/>
          <w:color w:val="000000"/>
          <w:sz w:val="21"/>
          <w:szCs w:val="21"/>
          <w:shd w:val="clear" w:color="auto" w:fill="FFFFFF"/>
        </w:rPr>
        <w:t>in the period January-September</w:t>
      </w:r>
      <w:r w:rsidRPr="00EC356F">
        <w:rPr>
          <w:rStyle w:val="longtext"/>
          <w:rFonts w:ascii="Times New Roman" w:hAnsi="Times New Roman" w:cs="Times New Roman"/>
          <w:color w:val="000000"/>
          <w:sz w:val="21"/>
          <w:szCs w:val="21"/>
          <w:shd w:val="clear" w:color="auto" w:fill="FFFFFF"/>
        </w:rPr>
        <w:t>.</w:t>
      </w:r>
      <w:r w:rsidR="00E7102B" w:rsidRPr="00E7102B">
        <w:rPr>
          <w:rStyle w:val="longtext"/>
          <w:rFonts w:ascii="Times New Roman" w:hAnsi="Times New Roman" w:cs="Times New Roman"/>
          <w:color w:val="000000"/>
          <w:sz w:val="21"/>
          <w:szCs w:val="21"/>
          <w:shd w:val="clear" w:color="auto" w:fill="FFFFFF"/>
        </w:rPr>
        <w:t xml:space="preserve"> The e</w:t>
      </w:r>
      <w:r w:rsidRPr="00EC356F">
        <w:rPr>
          <w:rStyle w:val="longtext"/>
          <w:rFonts w:ascii="Times New Roman" w:hAnsi="Times New Roman" w:cs="Times New Roman"/>
          <w:color w:val="000000"/>
          <w:sz w:val="21"/>
          <w:szCs w:val="21"/>
          <w:shd w:val="clear" w:color="auto" w:fill="FFFFFF"/>
        </w:rPr>
        <w:t xml:space="preserve">conomic </w:t>
      </w:r>
      <w:r w:rsidR="00E7102B" w:rsidRPr="00E7102B">
        <w:rPr>
          <w:rStyle w:val="longtext"/>
          <w:rFonts w:ascii="Times New Roman" w:hAnsi="Times New Roman" w:cs="Times New Roman"/>
          <w:color w:val="000000"/>
          <w:sz w:val="21"/>
          <w:szCs w:val="21"/>
          <w:shd w:val="clear" w:color="auto" w:fill="FFFFFF"/>
        </w:rPr>
        <w:t xml:space="preserve">growth indicator 0.9 pp lower from the Central Bank forecast was a result of faster growing intermediate expenditures over output growth. The latter was more pronounced in industry </w:t>
      </w:r>
      <w:r w:rsidR="00E7102B">
        <w:rPr>
          <w:rStyle w:val="longtext"/>
          <w:rFonts w:ascii="Times New Roman" w:hAnsi="Times New Roman" w:cs="Times New Roman"/>
          <w:color w:val="000000"/>
          <w:sz w:val="21"/>
          <w:szCs w:val="21"/>
          <w:shd w:val="clear" w:color="auto" w:fill="FFFFFF"/>
        </w:rPr>
        <w:t>when value added reported 0.8</w:t>
      </w:r>
      <w:r w:rsidR="00E7102B" w:rsidRPr="00E7102B">
        <w:rPr>
          <w:rStyle w:val="longtext"/>
          <w:rFonts w:ascii="Times New Roman" w:hAnsi="Times New Roman" w:cs="Times New Roman"/>
          <w:color w:val="000000"/>
          <w:sz w:val="21"/>
          <w:szCs w:val="21"/>
          <w:shd w:val="clear" w:color="auto" w:fill="FFFFFF"/>
        </w:rPr>
        <w:t>% y/y decline</w:t>
      </w:r>
      <w:r w:rsidR="009068AE" w:rsidRPr="009068AE">
        <w:rPr>
          <w:rStyle w:val="longtext"/>
          <w:rFonts w:ascii="Times New Roman" w:hAnsi="Times New Roman" w:cs="Times New Roman"/>
          <w:color w:val="000000"/>
          <w:sz w:val="21"/>
          <w:szCs w:val="21"/>
          <w:shd w:val="clear" w:color="auto" w:fill="FFFFFF"/>
        </w:rPr>
        <w:t xml:space="preserve"> instead of an anticipated 1.2-1.7% growth for the first half of the year. </w:t>
      </w:r>
      <w:r w:rsidR="00E7102B" w:rsidRPr="00E7102B">
        <w:rPr>
          <w:rStyle w:val="longtext"/>
          <w:rFonts w:ascii="Times New Roman" w:hAnsi="Times New Roman" w:cs="Times New Roman"/>
          <w:color w:val="000000"/>
          <w:sz w:val="21"/>
          <w:szCs w:val="21"/>
          <w:shd w:val="clear" w:color="auto" w:fill="FFFFFF"/>
        </w:rPr>
        <w:t xml:space="preserve"> </w:t>
      </w:r>
    </w:p>
    <w:p w14:paraId="00E055B7" w14:textId="77777777" w:rsidR="00A9653E" w:rsidRPr="00EC356F" w:rsidRDefault="009068AE" w:rsidP="00A9653E">
      <w:pPr>
        <w:spacing w:line="360" w:lineRule="auto"/>
        <w:jc w:val="both"/>
        <w:rPr>
          <w:rStyle w:val="longtext"/>
          <w:rFonts w:ascii="Times New Roman" w:hAnsi="Times New Roman" w:cs="Times New Roman"/>
          <w:color w:val="000000"/>
          <w:sz w:val="21"/>
          <w:szCs w:val="21"/>
          <w:shd w:val="clear" w:color="auto" w:fill="FFFFFF"/>
        </w:rPr>
      </w:pPr>
      <w:r w:rsidRPr="009068AE">
        <w:rPr>
          <w:rStyle w:val="longtext"/>
          <w:rFonts w:ascii="Times New Roman" w:hAnsi="Times New Roman" w:cs="Times New Roman"/>
          <w:color w:val="000000"/>
          <w:sz w:val="21"/>
          <w:szCs w:val="21"/>
          <w:shd w:val="clear" w:color="auto" w:fill="FFFFFF"/>
        </w:rPr>
        <w:t xml:space="preserve">The economic </w:t>
      </w:r>
      <w:r w:rsidR="00A9653E" w:rsidRPr="00EC356F">
        <w:rPr>
          <w:rStyle w:val="longtext"/>
          <w:rFonts w:ascii="Times New Roman" w:hAnsi="Times New Roman" w:cs="Times New Roman"/>
          <w:color w:val="000000"/>
          <w:sz w:val="21"/>
          <w:szCs w:val="21"/>
          <w:shd w:val="clear" w:color="auto" w:fill="FFFFFF"/>
        </w:rPr>
        <w:t xml:space="preserve">activity </w:t>
      </w:r>
      <w:r w:rsidRPr="009068AE">
        <w:rPr>
          <w:rStyle w:val="longtext"/>
          <w:rFonts w:ascii="Times New Roman" w:hAnsi="Times New Roman" w:cs="Times New Roman"/>
          <w:color w:val="000000"/>
          <w:sz w:val="21"/>
          <w:szCs w:val="21"/>
          <w:shd w:val="clear" w:color="auto" w:fill="FFFFFF"/>
        </w:rPr>
        <w:t xml:space="preserve">accelerated </w:t>
      </w:r>
      <w:r w:rsidR="00A9653E" w:rsidRPr="00EC356F">
        <w:rPr>
          <w:rStyle w:val="longtext"/>
          <w:rFonts w:ascii="Times New Roman" w:hAnsi="Times New Roman" w:cs="Times New Roman"/>
          <w:color w:val="000000"/>
          <w:sz w:val="21"/>
          <w:szCs w:val="21"/>
          <w:shd w:val="clear" w:color="auto" w:fill="FFFFFF"/>
        </w:rPr>
        <w:t xml:space="preserve">in the </w:t>
      </w:r>
      <w:r w:rsidRPr="009068AE">
        <w:rPr>
          <w:rStyle w:val="longtext"/>
          <w:rFonts w:ascii="Times New Roman" w:hAnsi="Times New Roman" w:cs="Times New Roman"/>
          <w:color w:val="000000"/>
          <w:sz w:val="21"/>
          <w:szCs w:val="21"/>
          <w:shd w:val="clear" w:color="auto" w:fill="FFFFFF"/>
        </w:rPr>
        <w:t>3rd</w:t>
      </w:r>
      <w:r w:rsidR="00A9653E" w:rsidRPr="00EC356F">
        <w:rPr>
          <w:rStyle w:val="longtext"/>
          <w:rFonts w:ascii="Times New Roman" w:hAnsi="Times New Roman" w:cs="Times New Roman"/>
          <w:color w:val="000000"/>
          <w:sz w:val="21"/>
          <w:szCs w:val="21"/>
          <w:shd w:val="clear" w:color="auto" w:fill="FFFFFF"/>
        </w:rPr>
        <w:t xml:space="preserve"> quarter, </w:t>
      </w:r>
      <w:r w:rsidRPr="009068AE">
        <w:rPr>
          <w:rStyle w:val="longtext"/>
          <w:rFonts w:ascii="Times New Roman" w:hAnsi="Times New Roman" w:cs="Times New Roman"/>
          <w:color w:val="000000"/>
          <w:sz w:val="21"/>
          <w:szCs w:val="21"/>
          <w:shd w:val="clear" w:color="auto" w:fill="FFFFFF"/>
        </w:rPr>
        <w:t>with the activity indicator having grown by 4</w:t>
      </w:r>
      <w:r w:rsidR="00A9653E" w:rsidRPr="00EC356F">
        <w:rPr>
          <w:rStyle w:val="longtext"/>
          <w:rFonts w:ascii="Times New Roman" w:hAnsi="Times New Roman" w:cs="Times New Roman"/>
          <w:color w:val="000000"/>
          <w:sz w:val="21"/>
          <w:szCs w:val="21"/>
          <w:shd w:val="clear" w:color="auto" w:fill="FFFFFF"/>
        </w:rPr>
        <w:t>.</w:t>
      </w:r>
      <w:r w:rsidRPr="009068AE">
        <w:rPr>
          <w:rStyle w:val="longtext"/>
          <w:rFonts w:ascii="Times New Roman" w:hAnsi="Times New Roman" w:cs="Times New Roman"/>
          <w:color w:val="000000"/>
          <w:sz w:val="21"/>
          <w:szCs w:val="21"/>
          <w:shd w:val="clear" w:color="auto" w:fill="FFFFFF"/>
        </w:rPr>
        <w:t>3</w:t>
      </w:r>
      <w:r w:rsidR="00A9653E" w:rsidRPr="00EC356F">
        <w:rPr>
          <w:rStyle w:val="longtext"/>
          <w:rFonts w:ascii="Times New Roman" w:hAnsi="Times New Roman" w:cs="Times New Roman"/>
          <w:color w:val="000000"/>
          <w:sz w:val="21"/>
          <w:szCs w:val="21"/>
          <w:shd w:val="clear" w:color="auto" w:fill="FFFFFF"/>
        </w:rPr>
        <w:t xml:space="preserve">% </w:t>
      </w:r>
      <w:r w:rsidRPr="009068AE">
        <w:rPr>
          <w:rStyle w:val="longtext"/>
          <w:rFonts w:ascii="Times New Roman" w:hAnsi="Times New Roman" w:cs="Times New Roman"/>
          <w:color w:val="000000"/>
          <w:sz w:val="21"/>
          <w:szCs w:val="21"/>
          <w:shd w:val="clear" w:color="auto" w:fill="FFFFFF"/>
        </w:rPr>
        <w:t xml:space="preserve">in the course of the past nine months against </w:t>
      </w:r>
      <w:r w:rsidR="00A9653E" w:rsidRPr="00EC356F">
        <w:rPr>
          <w:rStyle w:val="longtext"/>
          <w:rFonts w:ascii="Times New Roman" w:hAnsi="Times New Roman" w:cs="Times New Roman"/>
          <w:color w:val="000000"/>
          <w:sz w:val="21"/>
          <w:szCs w:val="21"/>
          <w:shd w:val="clear" w:color="auto" w:fill="FFFFFF"/>
        </w:rPr>
        <w:t>3.</w:t>
      </w:r>
      <w:r w:rsidRPr="009068AE">
        <w:rPr>
          <w:rStyle w:val="longtext"/>
          <w:rFonts w:ascii="Times New Roman" w:hAnsi="Times New Roman" w:cs="Times New Roman"/>
          <w:color w:val="000000"/>
          <w:sz w:val="21"/>
          <w:szCs w:val="21"/>
          <w:shd w:val="clear" w:color="auto" w:fill="FFFFFF"/>
        </w:rPr>
        <w:t>4</w:t>
      </w:r>
      <w:r w:rsidR="00A9653E" w:rsidRPr="00EC356F">
        <w:rPr>
          <w:rStyle w:val="longtext"/>
          <w:rFonts w:ascii="Times New Roman" w:hAnsi="Times New Roman" w:cs="Times New Roman"/>
          <w:color w:val="000000"/>
          <w:sz w:val="21"/>
          <w:szCs w:val="21"/>
          <w:shd w:val="clear" w:color="auto" w:fill="FFFFFF"/>
        </w:rPr>
        <w:t>% y/y recorded in the period January-</w:t>
      </w:r>
      <w:r w:rsidRPr="009068AE">
        <w:rPr>
          <w:rStyle w:val="longtext"/>
          <w:rFonts w:ascii="Times New Roman" w:hAnsi="Times New Roman" w:cs="Times New Roman"/>
          <w:color w:val="000000"/>
          <w:sz w:val="21"/>
          <w:szCs w:val="21"/>
          <w:shd w:val="clear" w:color="auto" w:fill="FFFFFF"/>
        </w:rPr>
        <w:t>September</w:t>
      </w:r>
      <w:r w:rsidR="00A9653E" w:rsidRPr="00EC356F">
        <w:rPr>
          <w:rStyle w:val="longtext"/>
          <w:rFonts w:ascii="Times New Roman" w:hAnsi="Times New Roman" w:cs="Times New Roman"/>
          <w:color w:val="000000"/>
          <w:sz w:val="21"/>
          <w:szCs w:val="21"/>
          <w:shd w:val="clear" w:color="auto" w:fill="FFFFFF"/>
        </w:rPr>
        <w:t xml:space="preserve">. </w:t>
      </w:r>
    </w:p>
    <w:p w14:paraId="3945065A" w14:textId="77777777" w:rsidR="00A9653E" w:rsidRPr="00EC356F"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Style w:val="longtext"/>
          <w:rFonts w:ascii="Times New Roman" w:hAnsi="Times New Roman" w:cs="Times New Roman"/>
          <w:color w:val="000000"/>
          <w:sz w:val="21"/>
          <w:szCs w:val="21"/>
          <w:shd w:val="clear" w:color="auto" w:fill="FFFFFF"/>
        </w:rPr>
        <w:t xml:space="preserve">Thus, taking into account a lower-than-expected output growth in industry and </w:t>
      </w:r>
      <w:r w:rsidR="006656DF" w:rsidRPr="006656DF">
        <w:rPr>
          <w:rStyle w:val="longtext"/>
          <w:rFonts w:ascii="Times New Roman" w:hAnsi="Times New Roman" w:cs="Times New Roman"/>
          <w:color w:val="000000"/>
          <w:sz w:val="21"/>
          <w:szCs w:val="21"/>
          <w:shd w:val="clear" w:color="auto" w:fill="FFFFFF"/>
        </w:rPr>
        <w:t>services</w:t>
      </w:r>
      <w:r w:rsidRPr="00EC356F">
        <w:rPr>
          <w:rStyle w:val="longtext"/>
          <w:rFonts w:ascii="Times New Roman" w:hAnsi="Times New Roman" w:cs="Times New Roman"/>
          <w:color w:val="000000"/>
          <w:sz w:val="21"/>
          <w:szCs w:val="21"/>
          <w:shd w:val="clear" w:color="auto" w:fill="FFFFFF"/>
        </w:rPr>
        <w:t xml:space="preserve"> and negative developments in construction in the </w:t>
      </w:r>
      <w:r w:rsidR="006656DF" w:rsidRPr="006656DF">
        <w:rPr>
          <w:rStyle w:val="longtext"/>
          <w:rFonts w:ascii="Times New Roman" w:hAnsi="Times New Roman" w:cs="Times New Roman"/>
          <w:color w:val="000000"/>
          <w:sz w:val="21"/>
          <w:szCs w:val="21"/>
          <w:shd w:val="clear" w:color="auto" w:fill="FFFFFF"/>
        </w:rPr>
        <w:t>3r</w:t>
      </w:r>
      <w:r w:rsidRPr="00EC356F">
        <w:rPr>
          <w:rStyle w:val="longtext"/>
          <w:rFonts w:ascii="Times New Roman" w:hAnsi="Times New Roman" w:cs="Times New Roman"/>
          <w:color w:val="000000"/>
          <w:sz w:val="21"/>
          <w:szCs w:val="21"/>
          <w:shd w:val="clear" w:color="auto" w:fill="FFFFFF"/>
        </w:rPr>
        <w:t xml:space="preserve">d quarter of 2014, the economic growth estimates were revised </w:t>
      </w:r>
      <w:r w:rsidR="006656DF" w:rsidRPr="006656DF">
        <w:rPr>
          <w:rStyle w:val="longtext"/>
          <w:rFonts w:ascii="Times New Roman" w:hAnsi="Times New Roman" w:cs="Times New Roman"/>
          <w:color w:val="000000"/>
          <w:sz w:val="21"/>
          <w:szCs w:val="21"/>
          <w:shd w:val="clear" w:color="auto" w:fill="FFFFFF"/>
        </w:rPr>
        <w:t xml:space="preserve">somewhat </w:t>
      </w:r>
      <w:r w:rsidRPr="00EC356F">
        <w:rPr>
          <w:rStyle w:val="longtext"/>
          <w:rFonts w:ascii="Times New Roman" w:hAnsi="Times New Roman" w:cs="Times New Roman"/>
          <w:color w:val="000000"/>
          <w:sz w:val="21"/>
          <w:szCs w:val="21"/>
          <w:shd w:val="clear" w:color="auto" w:fill="FFFFFF"/>
        </w:rPr>
        <w:t xml:space="preserve">downside. As a result, </w:t>
      </w:r>
      <w:r w:rsidR="006656DF" w:rsidRPr="006656DF">
        <w:rPr>
          <w:rStyle w:val="longtext"/>
          <w:rFonts w:ascii="Times New Roman" w:hAnsi="Times New Roman" w:cs="Times New Roman"/>
          <w:color w:val="000000"/>
          <w:sz w:val="21"/>
          <w:szCs w:val="21"/>
          <w:shd w:val="clear" w:color="auto" w:fill="FFFFFF"/>
        </w:rPr>
        <w:t xml:space="preserve">the </w:t>
      </w:r>
      <w:r w:rsidRPr="00EC356F">
        <w:rPr>
          <w:rStyle w:val="longtext"/>
          <w:rFonts w:ascii="Times New Roman" w:hAnsi="Times New Roman" w:cs="Times New Roman"/>
          <w:color w:val="000000"/>
          <w:sz w:val="21"/>
          <w:szCs w:val="21"/>
          <w:shd w:val="clear" w:color="auto" w:fill="FFFFFF"/>
        </w:rPr>
        <w:t xml:space="preserve">economic growth </w:t>
      </w:r>
      <w:r w:rsidR="006656DF" w:rsidRPr="007A7683">
        <w:rPr>
          <w:rStyle w:val="longtext"/>
          <w:rFonts w:ascii="Times New Roman" w:hAnsi="Times New Roman" w:cs="Times New Roman"/>
          <w:color w:val="000000"/>
          <w:sz w:val="21"/>
          <w:szCs w:val="21"/>
          <w:shd w:val="clear" w:color="auto" w:fill="FFFFFF"/>
        </w:rPr>
        <w:t>for</w:t>
      </w:r>
      <w:r w:rsidRPr="00EC356F">
        <w:rPr>
          <w:rStyle w:val="longtext"/>
          <w:rFonts w:ascii="Times New Roman" w:hAnsi="Times New Roman" w:cs="Times New Roman"/>
          <w:color w:val="000000"/>
          <w:sz w:val="21"/>
          <w:szCs w:val="21"/>
          <w:shd w:val="clear" w:color="auto" w:fill="FFFFFF"/>
        </w:rPr>
        <w:t xml:space="preserve"> the first </w:t>
      </w:r>
      <w:r w:rsidR="006656DF" w:rsidRPr="007A7683">
        <w:rPr>
          <w:rStyle w:val="longtext"/>
          <w:rFonts w:ascii="Times New Roman" w:hAnsi="Times New Roman" w:cs="Times New Roman"/>
          <w:color w:val="000000"/>
          <w:sz w:val="21"/>
          <w:szCs w:val="21"/>
          <w:shd w:val="clear" w:color="auto" w:fill="FFFFFF"/>
        </w:rPr>
        <w:t>nine months</w:t>
      </w:r>
      <w:r w:rsidRPr="00EC356F">
        <w:rPr>
          <w:rStyle w:val="longtext"/>
          <w:rFonts w:ascii="Times New Roman" w:hAnsi="Times New Roman" w:cs="Times New Roman"/>
          <w:color w:val="000000"/>
          <w:sz w:val="21"/>
          <w:szCs w:val="21"/>
          <w:shd w:val="clear" w:color="auto" w:fill="FFFFFF"/>
        </w:rPr>
        <w:t xml:space="preserve"> of 2014 will be expected in the range 3.</w:t>
      </w:r>
      <w:r w:rsidR="007A7683" w:rsidRPr="007A7683">
        <w:rPr>
          <w:rStyle w:val="longtext"/>
          <w:rFonts w:ascii="Times New Roman" w:hAnsi="Times New Roman" w:cs="Times New Roman"/>
          <w:color w:val="000000"/>
          <w:sz w:val="21"/>
          <w:szCs w:val="21"/>
          <w:shd w:val="clear" w:color="auto" w:fill="FFFFFF"/>
        </w:rPr>
        <w:t>5</w:t>
      </w:r>
      <w:r w:rsidRPr="00EC356F">
        <w:rPr>
          <w:rStyle w:val="longtext"/>
          <w:rFonts w:ascii="Times New Roman" w:hAnsi="Times New Roman" w:cs="Times New Roman"/>
          <w:color w:val="000000"/>
          <w:sz w:val="21"/>
          <w:szCs w:val="21"/>
          <w:shd w:val="clear" w:color="auto" w:fill="FFFFFF"/>
        </w:rPr>
        <w:t>-3.</w:t>
      </w:r>
      <w:r w:rsidR="007A7683" w:rsidRPr="007A7683">
        <w:rPr>
          <w:rStyle w:val="longtext"/>
          <w:rFonts w:ascii="Times New Roman" w:hAnsi="Times New Roman" w:cs="Times New Roman"/>
          <w:color w:val="000000"/>
          <w:sz w:val="21"/>
          <w:szCs w:val="21"/>
          <w:shd w:val="clear" w:color="auto" w:fill="FFFFFF"/>
        </w:rPr>
        <w:t>8</w:t>
      </w:r>
      <w:r w:rsidRPr="00EC356F">
        <w:rPr>
          <w:rStyle w:val="longtext"/>
          <w:rFonts w:ascii="Times New Roman" w:hAnsi="Times New Roman" w:cs="Times New Roman"/>
          <w:color w:val="000000"/>
          <w:sz w:val="21"/>
          <w:szCs w:val="21"/>
          <w:shd w:val="clear" w:color="auto" w:fill="FFFFFF"/>
        </w:rPr>
        <w:t>%</w:t>
      </w:r>
      <w:r w:rsidRPr="00EC356F">
        <w:rPr>
          <w:rStyle w:val="FootnoteReference"/>
          <w:rFonts w:ascii="Times New Roman" w:hAnsi="Times New Roman" w:cs="Times New Roman"/>
          <w:color w:val="000000"/>
          <w:sz w:val="21"/>
          <w:szCs w:val="21"/>
          <w:shd w:val="clear" w:color="auto" w:fill="FFFFFF"/>
        </w:rPr>
        <w:footnoteReference w:customMarkFollows="1" w:id="15"/>
        <w:t>15</w:t>
      </w:r>
      <w:r w:rsidRPr="00EC356F">
        <w:rPr>
          <w:rStyle w:val="longtext"/>
          <w:rFonts w:ascii="Times New Roman" w:hAnsi="Times New Roman" w:cs="Times New Roman"/>
          <w:color w:val="000000"/>
          <w:sz w:val="21"/>
          <w:szCs w:val="21"/>
          <w:shd w:val="clear" w:color="auto" w:fill="FFFFFF"/>
        </w:rPr>
        <w:t xml:space="preserve">. </w:t>
      </w:r>
    </w:p>
    <w:p w14:paraId="28117F5E" w14:textId="77777777" w:rsidR="00CA2684" w:rsidRDefault="00CA2684" w:rsidP="00A9653E">
      <w:pPr>
        <w:spacing w:line="360" w:lineRule="auto"/>
        <w:jc w:val="both"/>
        <w:rPr>
          <w:rStyle w:val="longtext"/>
          <w:rFonts w:ascii="Times New Roman" w:hAnsi="Times New Roman" w:cs="Times New Roman"/>
          <w:color w:val="000000"/>
          <w:sz w:val="18"/>
          <w:szCs w:val="18"/>
          <w:shd w:val="clear" w:color="auto" w:fill="FFFFFF"/>
        </w:rPr>
      </w:pPr>
    </w:p>
    <w:p w14:paraId="425001D4" w14:textId="77777777" w:rsidR="00A9653E" w:rsidRPr="000553AD" w:rsidRDefault="003B7F41" w:rsidP="00A9653E">
      <w:pPr>
        <w:spacing w:line="360" w:lineRule="auto"/>
        <w:jc w:val="both"/>
        <w:rPr>
          <w:rFonts w:ascii="Times New Roman" w:hAnsi="Times New Roman" w:cs="Times New Roman"/>
          <w:color w:val="0070C0"/>
          <w:sz w:val="18"/>
          <w:szCs w:val="18"/>
        </w:rPr>
      </w:pPr>
      <w:r w:rsidRPr="000553AD">
        <w:rPr>
          <w:rStyle w:val="longtext"/>
          <w:rFonts w:ascii="Times New Roman" w:hAnsi="Times New Roman" w:cs="Times New Roman"/>
          <w:color w:val="0070C0"/>
          <w:sz w:val="18"/>
          <w:szCs w:val="18"/>
          <w:shd w:val="clear" w:color="auto" w:fill="FFFFFF"/>
        </w:rPr>
        <w:t>Economic growth for the first nine months of 2014 will be expected in the range 3.5-3.8%...</w:t>
      </w:r>
    </w:p>
    <w:p w14:paraId="12630333" w14:textId="77777777" w:rsidR="00A9653E" w:rsidRPr="00EC356F" w:rsidRDefault="00A9653E" w:rsidP="00A9653E">
      <w:pPr>
        <w:spacing w:line="360" w:lineRule="auto"/>
        <w:jc w:val="both"/>
        <w:rPr>
          <w:rStyle w:val="longtext"/>
          <w:rFonts w:ascii="Times New Roman" w:hAnsi="Times New Roman" w:cs="Times New Roman"/>
          <w:color w:val="000000"/>
          <w:sz w:val="21"/>
          <w:szCs w:val="21"/>
        </w:rPr>
      </w:pPr>
      <w:r w:rsidRPr="00EC356F">
        <w:rPr>
          <w:rFonts w:ascii="Times New Roman" w:hAnsi="Times New Roman" w:cs="Times New Roman"/>
          <w:sz w:val="21"/>
          <w:szCs w:val="21"/>
        </w:rPr>
        <w:t xml:space="preserve">In </w:t>
      </w:r>
      <w:r w:rsidRPr="00EC356F">
        <w:rPr>
          <w:rFonts w:ascii="Times New Roman" w:hAnsi="Times New Roman" w:cs="Times New Roman"/>
          <w:b/>
          <w:sz w:val="21"/>
          <w:szCs w:val="21"/>
        </w:rPr>
        <w:t xml:space="preserve">Industry </w:t>
      </w:r>
      <w:r w:rsidRPr="00EC356F">
        <w:rPr>
          <w:rFonts w:ascii="Times New Roman" w:hAnsi="Times New Roman" w:cs="Times New Roman"/>
          <w:sz w:val="21"/>
          <w:szCs w:val="21"/>
        </w:rPr>
        <w:t xml:space="preserve">in the first </w:t>
      </w:r>
      <w:r w:rsidR="0031610B" w:rsidRPr="0031610B">
        <w:rPr>
          <w:rFonts w:ascii="Times New Roman" w:hAnsi="Times New Roman" w:cs="Times New Roman"/>
          <w:sz w:val="21"/>
          <w:szCs w:val="21"/>
        </w:rPr>
        <w:t>nine months</w:t>
      </w:r>
      <w:r w:rsidRPr="00EC356F">
        <w:rPr>
          <w:rFonts w:ascii="Times New Roman" w:hAnsi="Times New Roman" w:cs="Times New Roman"/>
          <w:sz w:val="21"/>
          <w:szCs w:val="21"/>
        </w:rPr>
        <w:t xml:space="preserve"> of 2014, the growth of value added is estimated in the range </w:t>
      </w:r>
      <w:r w:rsidR="0031610B" w:rsidRPr="0031610B">
        <w:rPr>
          <w:rFonts w:ascii="Times New Roman" w:hAnsi="Times New Roman" w:cs="Times New Roman"/>
          <w:sz w:val="21"/>
          <w:szCs w:val="21"/>
        </w:rPr>
        <w:t>0</w:t>
      </w:r>
      <w:r w:rsidRPr="00EC356F">
        <w:rPr>
          <w:rFonts w:ascii="Times New Roman" w:hAnsi="Times New Roman" w:cs="Times New Roman"/>
          <w:sz w:val="21"/>
          <w:szCs w:val="21"/>
        </w:rPr>
        <w:t>.</w:t>
      </w:r>
      <w:r w:rsidR="0031610B" w:rsidRPr="0031610B">
        <w:rPr>
          <w:rFonts w:ascii="Times New Roman" w:hAnsi="Times New Roman" w:cs="Times New Roman"/>
          <w:sz w:val="21"/>
          <w:szCs w:val="21"/>
        </w:rPr>
        <w:t>5</w:t>
      </w:r>
      <w:r w:rsidRPr="00EC356F">
        <w:rPr>
          <w:rFonts w:ascii="Times New Roman" w:hAnsi="Times New Roman" w:cs="Times New Roman"/>
          <w:sz w:val="21"/>
          <w:szCs w:val="21"/>
        </w:rPr>
        <w:t xml:space="preserve">-1% y/y, mainly due to increased output in </w:t>
      </w:r>
      <w:r w:rsidRPr="00EC356F">
        <w:rPr>
          <w:rFonts w:ascii="Times New Roman" w:hAnsi="Times New Roman" w:cs="Times New Roman"/>
          <w:i/>
          <w:sz w:val="21"/>
          <w:szCs w:val="21"/>
        </w:rPr>
        <w:t>food products</w:t>
      </w:r>
      <w:r w:rsidRPr="00EC356F">
        <w:rPr>
          <w:rFonts w:ascii="Times New Roman" w:hAnsi="Times New Roman" w:cs="Times New Roman"/>
          <w:sz w:val="21"/>
          <w:szCs w:val="21"/>
        </w:rPr>
        <w:t xml:space="preserve"> (</w:t>
      </w:r>
      <w:r w:rsidR="0031610B" w:rsidRPr="0031610B">
        <w:rPr>
          <w:rFonts w:ascii="Times New Roman" w:hAnsi="Times New Roman" w:cs="Times New Roman"/>
          <w:sz w:val="21"/>
          <w:szCs w:val="21"/>
        </w:rPr>
        <w:t>6</w:t>
      </w:r>
      <w:r w:rsidRPr="00EC356F">
        <w:rPr>
          <w:rFonts w:ascii="Times New Roman" w:hAnsi="Times New Roman" w:cs="Times New Roman"/>
          <w:sz w:val="21"/>
          <w:szCs w:val="21"/>
        </w:rPr>
        <w:t>.</w:t>
      </w:r>
      <w:r w:rsidR="0031610B" w:rsidRPr="0031610B">
        <w:rPr>
          <w:rFonts w:ascii="Times New Roman" w:hAnsi="Times New Roman" w:cs="Times New Roman"/>
          <w:sz w:val="21"/>
          <w:szCs w:val="21"/>
        </w:rPr>
        <w:t>9</w:t>
      </w:r>
      <w:r w:rsidRPr="00EC356F">
        <w:rPr>
          <w:rFonts w:ascii="Times New Roman" w:hAnsi="Times New Roman" w:cs="Times New Roman"/>
          <w:sz w:val="21"/>
          <w:szCs w:val="21"/>
        </w:rPr>
        <w:t>%)</w:t>
      </w:r>
      <w:r w:rsidR="0031610B" w:rsidRPr="0031610B">
        <w:rPr>
          <w:rStyle w:val="FootnoteReference"/>
          <w:rFonts w:ascii="Times New Roman" w:hAnsi="Times New Roman" w:cs="Times New Roman"/>
          <w:sz w:val="21"/>
          <w:szCs w:val="21"/>
        </w:rPr>
        <w:footnoteReference w:customMarkFollows="1" w:id="16"/>
        <w:t>16</w:t>
      </w:r>
      <w:r w:rsidRPr="00EC356F">
        <w:rPr>
          <w:rFonts w:ascii="Times New Roman" w:hAnsi="Times New Roman" w:cs="Times New Roman"/>
          <w:sz w:val="21"/>
          <w:szCs w:val="21"/>
        </w:rPr>
        <w:t xml:space="preserve">, </w:t>
      </w:r>
      <w:r w:rsidRPr="00EC356F">
        <w:rPr>
          <w:rFonts w:ascii="Times New Roman" w:hAnsi="Times New Roman" w:cs="Times New Roman"/>
          <w:i/>
          <w:sz w:val="21"/>
          <w:szCs w:val="21"/>
        </w:rPr>
        <w:t xml:space="preserve">metallurgy </w:t>
      </w:r>
      <w:r w:rsidRPr="00EC356F">
        <w:rPr>
          <w:rFonts w:ascii="Times New Roman" w:hAnsi="Times New Roman" w:cs="Times New Roman"/>
          <w:sz w:val="21"/>
          <w:szCs w:val="21"/>
        </w:rPr>
        <w:t>(</w:t>
      </w:r>
      <w:r w:rsidR="0031610B" w:rsidRPr="0031610B">
        <w:rPr>
          <w:rFonts w:ascii="Times New Roman" w:hAnsi="Times New Roman" w:cs="Times New Roman"/>
          <w:sz w:val="21"/>
          <w:szCs w:val="21"/>
        </w:rPr>
        <w:t>11</w:t>
      </w:r>
      <w:r w:rsidRPr="00EC356F">
        <w:rPr>
          <w:rFonts w:ascii="Times New Roman" w:hAnsi="Times New Roman" w:cs="Times New Roman"/>
          <w:sz w:val="21"/>
          <w:szCs w:val="21"/>
        </w:rPr>
        <w:t>.</w:t>
      </w:r>
      <w:r w:rsidR="0031610B" w:rsidRPr="0031610B">
        <w:rPr>
          <w:rFonts w:ascii="Times New Roman" w:hAnsi="Times New Roman" w:cs="Times New Roman"/>
          <w:sz w:val="21"/>
          <w:szCs w:val="21"/>
        </w:rPr>
        <w:t>2</w:t>
      </w:r>
      <w:r w:rsidRPr="00EC356F">
        <w:rPr>
          <w:rFonts w:ascii="Times New Roman" w:hAnsi="Times New Roman" w:cs="Times New Roman"/>
          <w:sz w:val="21"/>
          <w:szCs w:val="21"/>
        </w:rPr>
        <w:t xml:space="preserve">%), </w:t>
      </w:r>
      <w:r w:rsidRPr="00EC356F">
        <w:rPr>
          <w:rFonts w:ascii="Times New Roman" w:hAnsi="Times New Roman" w:cs="Times New Roman"/>
          <w:i/>
          <w:sz w:val="21"/>
          <w:szCs w:val="21"/>
        </w:rPr>
        <w:t xml:space="preserve">tobacco production </w:t>
      </w:r>
      <w:r w:rsidRPr="00EC356F">
        <w:rPr>
          <w:rFonts w:ascii="Times New Roman" w:hAnsi="Times New Roman" w:cs="Times New Roman"/>
          <w:sz w:val="21"/>
          <w:szCs w:val="21"/>
        </w:rPr>
        <w:t>(</w:t>
      </w:r>
      <w:r w:rsidR="0031610B" w:rsidRPr="0031610B">
        <w:rPr>
          <w:rFonts w:ascii="Times New Roman" w:hAnsi="Times New Roman" w:cs="Times New Roman"/>
          <w:sz w:val="21"/>
          <w:szCs w:val="21"/>
        </w:rPr>
        <w:t>26</w:t>
      </w:r>
      <w:r w:rsidRPr="00EC356F">
        <w:rPr>
          <w:rFonts w:ascii="Times New Roman" w:hAnsi="Times New Roman" w:cs="Times New Roman"/>
          <w:sz w:val="21"/>
          <w:szCs w:val="21"/>
        </w:rPr>
        <w:t>.3%)</w:t>
      </w:r>
      <w:r w:rsidR="0031610B" w:rsidRPr="0031610B">
        <w:rPr>
          <w:rFonts w:ascii="Times New Roman" w:hAnsi="Times New Roman" w:cs="Times New Roman"/>
          <w:sz w:val="21"/>
          <w:szCs w:val="21"/>
        </w:rPr>
        <w:t xml:space="preserve">, </w:t>
      </w:r>
      <w:r w:rsidR="0031610B" w:rsidRPr="0031610B">
        <w:rPr>
          <w:rFonts w:ascii="Times New Roman" w:hAnsi="Times New Roman" w:cs="Times New Roman"/>
          <w:i/>
          <w:sz w:val="21"/>
          <w:szCs w:val="21"/>
        </w:rPr>
        <w:t>beverage</w:t>
      </w:r>
      <w:r w:rsidR="0031610B" w:rsidRPr="0031610B">
        <w:rPr>
          <w:rFonts w:ascii="Times New Roman" w:hAnsi="Times New Roman" w:cs="Times New Roman"/>
          <w:sz w:val="21"/>
          <w:szCs w:val="21"/>
        </w:rPr>
        <w:t xml:space="preserve"> (1.2%)</w:t>
      </w:r>
      <w:r w:rsidR="0031610B">
        <w:rPr>
          <w:rStyle w:val="FootnoteReference"/>
          <w:rFonts w:ascii="Times New Roman" w:hAnsi="Times New Roman" w:cs="Times New Roman"/>
          <w:sz w:val="21"/>
          <w:szCs w:val="21"/>
        </w:rPr>
        <w:footnoteReference w:customMarkFollows="1" w:id="17"/>
        <w:t>17</w:t>
      </w:r>
      <w:r w:rsidRPr="00EC356F">
        <w:rPr>
          <w:rFonts w:ascii="Times New Roman" w:hAnsi="Times New Roman" w:cs="Times New Roman"/>
          <w:sz w:val="21"/>
          <w:szCs w:val="21"/>
        </w:rPr>
        <w:t xml:space="preserve"> and </w:t>
      </w:r>
      <w:r w:rsidRPr="00EC356F">
        <w:rPr>
          <w:rFonts w:ascii="Times New Roman" w:hAnsi="Times New Roman" w:cs="Times New Roman"/>
          <w:i/>
          <w:sz w:val="21"/>
          <w:szCs w:val="21"/>
        </w:rPr>
        <w:t>water supply and sewage</w:t>
      </w:r>
      <w:r w:rsidRPr="00EC356F">
        <w:rPr>
          <w:rFonts w:ascii="Times New Roman" w:hAnsi="Times New Roman" w:cs="Times New Roman"/>
          <w:sz w:val="21"/>
          <w:szCs w:val="21"/>
        </w:rPr>
        <w:t xml:space="preserve"> (</w:t>
      </w:r>
      <w:r w:rsidR="0031610B" w:rsidRPr="0031610B">
        <w:rPr>
          <w:rFonts w:ascii="Times New Roman" w:hAnsi="Times New Roman" w:cs="Times New Roman"/>
          <w:sz w:val="21"/>
          <w:szCs w:val="21"/>
        </w:rPr>
        <w:t>4</w:t>
      </w:r>
      <w:r w:rsidRPr="00EC356F">
        <w:rPr>
          <w:rFonts w:ascii="Times New Roman" w:hAnsi="Times New Roman" w:cs="Times New Roman"/>
          <w:sz w:val="21"/>
          <w:szCs w:val="21"/>
        </w:rPr>
        <w:t>.</w:t>
      </w:r>
      <w:r w:rsidR="0031610B" w:rsidRPr="0031610B">
        <w:rPr>
          <w:rFonts w:ascii="Times New Roman" w:hAnsi="Times New Roman" w:cs="Times New Roman"/>
          <w:sz w:val="21"/>
          <w:szCs w:val="21"/>
        </w:rPr>
        <w:t>6</w:t>
      </w:r>
      <w:r w:rsidRPr="00EC356F">
        <w:rPr>
          <w:rFonts w:ascii="Times New Roman" w:hAnsi="Times New Roman" w:cs="Times New Roman"/>
          <w:sz w:val="21"/>
          <w:szCs w:val="21"/>
        </w:rPr>
        <w:t xml:space="preserve">%). A reduced growth rate in the sector is primarily a result of slowdown in domestic and external demand.  </w:t>
      </w:r>
    </w:p>
    <w:p w14:paraId="7B7E858E" w14:textId="77777777" w:rsidR="00A9653E" w:rsidRPr="00EC356F" w:rsidRDefault="00A9653E" w:rsidP="00A9653E">
      <w:pPr>
        <w:spacing w:before="240" w:line="360" w:lineRule="auto"/>
        <w:jc w:val="both"/>
        <w:rPr>
          <w:rFonts w:ascii="Times New Roman" w:hAnsi="Times New Roman" w:cs="Times New Roman"/>
          <w:sz w:val="21"/>
          <w:szCs w:val="21"/>
        </w:rPr>
      </w:pPr>
      <w:r w:rsidRPr="00EC356F">
        <w:rPr>
          <w:rFonts w:ascii="Times New Roman" w:hAnsi="Times New Roman" w:cs="Times New Roman"/>
          <w:sz w:val="21"/>
          <w:szCs w:val="21"/>
        </w:rPr>
        <w:lastRenderedPageBreak/>
        <w:t xml:space="preserve">In view of actual developments in </w:t>
      </w:r>
      <w:r w:rsidRPr="00EC356F">
        <w:rPr>
          <w:rFonts w:ascii="Times New Roman" w:hAnsi="Times New Roman" w:cs="Times New Roman"/>
          <w:b/>
          <w:sz w:val="21"/>
          <w:szCs w:val="21"/>
        </w:rPr>
        <w:t>Construction</w:t>
      </w:r>
      <w:r w:rsidRPr="00EC356F">
        <w:rPr>
          <w:rFonts w:ascii="Times New Roman" w:hAnsi="Times New Roman" w:cs="Times New Roman"/>
          <w:sz w:val="21"/>
          <w:szCs w:val="21"/>
        </w:rPr>
        <w:t xml:space="preserve"> reported for the first </w:t>
      </w:r>
      <w:r w:rsidR="007E116F" w:rsidRPr="007E116F">
        <w:rPr>
          <w:rFonts w:ascii="Times New Roman" w:hAnsi="Times New Roman" w:cs="Times New Roman"/>
          <w:sz w:val="21"/>
          <w:szCs w:val="21"/>
        </w:rPr>
        <w:t>nine months</w:t>
      </w:r>
      <w:r w:rsidRPr="00EC356F">
        <w:rPr>
          <w:rFonts w:ascii="Times New Roman" w:hAnsi="Times New Roman" w:cs="Times New Roman"/>
          <w:sz w:val="21"/>
          <w:szCs w:val="21"/>
        </w:rPr>
        <w:t xml:space="preserve"> of 2014, the decline of value added is estimated within </w:t>
      </w:r>
      <w:r w:rsidR="007E116F" w:rsidRPr="007E116F">
        <w:rPr>
          <w:rFonts w:ascii="Times New Roman" w:hAnsi="Times New Roman" w:cs="Times New Roman"/>
          <w:sz w:val="21"/>
          <w:szCs w:val="21"/>
        </w:rPr>
        <w:t>0</w:t>
      </w:r>
      <w:r w:rsidRPr="00EC356F">
        <w:rPr>
          <w:rFonts w:ascii="Times New Roman" w:hAnsi="Times New Roman" w:cs="Times New Roman"/>
          <w:sz w:val="21"/>
          <w:szCs w:val="21"/>
        </w:rPr>
        <w:t>.</w:t>
      </w:r>
      <w:r w:rsidR="007E116F" w:rsidRPr="007E116F">
        <w:rPr>
          <w:rFonts w:ascii="Times New Roman" w:hAnsi="Times New Roman" w:cs="Times New Roman"/>
          <w:sz w:val="21"/>
          <w:szCs w:val="21"/>
        </w:rPr>
        <w:t>4</w:t>
      </w:r>
      <w:r w:rsidRPr="00EC356F">
        <w:rPr>
          <w:rFonts w:ascii="Times New Roman" w:hAnsi="Times New Roman" w:cs="Times New Roman"/>
          <w:sz w:val="21"/>
          <w:szCs w:val="21"/>
        </w:rPr>
        <w:t>-</w:t>
      </w:r>
      <w:r w:rsidR="007E116F" w:rsidRPr="007E116F">
        <w:rPr>
          <w:rFonts w:ascii="Times New Roman" w:hAnsi="Times New Roman" w:cs="Times New Roman"/>
          <w:sz w:val="21"/>
          <w:szCs w:val="21"/>
        </w:rPr>
        <w:t>0.9</w:t>
      </w:r>
      <w:r w:rsidRPr="00EC356F">
        <w:rPr>
          <w:rFonts w:ascii="Times New Roman" w:hAnsi="Times New Roman" w:cs="Times New Roman"/>
          <w:sz w:val="21"/>
          <w:szCs w:val="21"/>
        </w:rPr>
        <w:t xml:space="preserve">% y/y. </w:t>
      </w:r>
      <w:r w:rsidR="00333FEC" w:rsidRPr="004514E6">
        <w:rPr>
          <w:rFonts w:ascii="Times New Roman" w:hAnsi="Times New Roman" w:cs="Times New Roman"/>
          <w:sz w:val="21"/>
          <w:szCs w:val="21"/>
        </w:rPr>
        <w:t>Exclusive of</w:t>
      </w:r>
      <w:r w:rsidRPr="00EC356F">
        <w:rPr>
          <w:rFonts w:ascii="Times New Roman" w:hAnsi="Times New Roman" w:cs="Times New Roman"/>
          <w:sz w:val="21"/>
          <w:szCs w:val="21"/>
        </w:rPr>
        <w:t xml:space="preserve"> reduced volumes of construction financed by </w:t>
      </w:r>
      <w:r w:rsidRPr="00EC356F">
        <w:rPr>
          <w:rFonts w:ascii="Times New Roman" w:hAnsi="Times New Roman" w:cs="Times New Roman"/>
          <w:i/>
          <w:sz w:val="21"/>
          <w:szCs w:val="21"/>
        </w:rPr>
        <w:t>households</w:t>
      </w:r>
      <w:r w:rsidRPr="00EC356F">
        <w:rPr>
          <w:rFonts w:ascii="Times New Roman" w:hAnsi="Times New Roman" w:cs="Times New Roman"/>
          <w:sz w:val="21"/>
          <w:szCs w:val="21"/>
        </w:rPr>
        <w:t xml:space="preserve"> (</w:t>
      </w:r>
      <w:r w:rsidR="004514E6" w:rsidRPr="004514E6">
        <w:rPr>
          <w:rFonts w:ascii="Times New Roman" w:hAnsi="Times New Roman" w:cs="Times New Roman"/>
          <w:sz w:val="21"/>
          <w:szCs w:val="21"/>
        </w:rPr>
        <w:t xml:space="preserve">by </w:t>
      </w:r>
      <w:r w:rsidRPr="00EC356F">
        <w:rPr>
          <w:rFonts w:ascii="Times New Roman" w:hAnsi="Times New Roman" w:cs="Times New Roman"/>
          <w:sz w:val="21"/>
          <w:szCs w:val="21"/>
        </w:rPr>
        <w:t>2</w:t>
      </w:r>
      <w:r w:rsidR="004514E6" w:rsidRPr="004514E6">
        <w:rPr>
          <w:rFonts w:ascii="Times New Roman" w:hAnsi="Times New Roman" w:cs="Times New Roman"/>
          <w:sz w:val="21"/>
          <w:szCs w:val="21"/>
        </w:rPr>
        <w:t>3</w:t>
      </w:r>
      <w:r w:rsidRPr="00EC356F">
        <w:rPr>
          <w:rFonts w:ascii="Times New Roman" w:hAnsi="Times New Roman" w:cs="Times New Roman"/>
          <w:sz w:val="21"/>
          <w:szCs w:val="21"/>
        </w:rPr>
        <w:t>.</w:t>
      </w:r>
      <w:r w:rsidR="004514E6" w:rsidRPr="004514E6">
        <w:rPr>
          <w:rFonts w:ascii="Times New Roman" w:hAnsi="Times New Roman" w:cs="Times New Roman"/>
          <w:sz w:val="21"/>
          <w:szCs w:val="21"/>
        </w:rPr>
        <w:t>7</w:t>
      </w:r>
      <w:r w:rsidRPr="00EC356F">
        <w:rPr>
          <w:rFonts w:ascii="Times New Roman" w:hAnsi="Times New Roman" w:cs="Times New Roman"/>
          <w:sz w:val="21"/>
          <w:szCs w:val="21"/>
        </w:rPr>
        <w:t>%)</w:t>
      </w:r>
      <w:r w:rsidR="004514E6" w:rsidRPr="004514E6">
        <w:rPr>
          <w:rFonts w:ascii="Times New Roman" w:hAnsi="Times New Roman" w:cs="Times New Roman"/>
          <w:sz w:val="21"/>
          <w:szCs w:val="21"/>
        </w:rPr>
        <w:t>,</w:t>
      </w:r>
      <w:r w:rsidRPr="00EC356F">
        <w:rPr>
          <w:rFonts w:ascii="Times New Roman" w:hAnsi="Times New Roman" w:cs="Times New Roman"/>
          <w:sz w:val="21"/>
          <w:szCs w:val="21"/>
        </w:rPr>
        <w:t xml:space="preserve"> </w:t>
      </w:r>
      <w:r w:rsidR="004514E6" w:rsidRPr="00EC356F">
        <w:rPr>
          <w:rFonts w:ascii="Times New Roman" w:hAnsi="Times New Roman" w:cs="Times New Roman"/>
          <w:i/>
          <w:sz w:val="21"/>
          <w:szCs w:val="21"/>
        </w:rPr>
        <w:t xml:space="preserve">state budget </w:t>
      </w:r>
      <w:r w:rsidR="004514E6" w:rsidRPr="00EC356F">
        <w:rPr>
          <w:rFonts w:ascii="Times New Roman" w:hAnsi="Times New Roman" w:cs="Times New Roman"/>
          <w:sz w:val="21"/>
          <w:szCs w:val="21"/>
        </w:rPr>
        <w:t>(</w:t>
      </w:r>
      <w:r w:rsidR="004514E6" w:rsidRPr="004514E6">
        <w:rPr>
          <w:rFonts w:ascii="Times New Roman" w:hAnsi="Times New Roman" w:cs="Times New Roman"/>
          <w:sz w:val="21"/>
          <w:szCs w:val="21"/>
        </w:rPr>
        <w:t>by 1</w:t>
      </w:r>
      <w:r w:rsidR="004514E6" w:rsidRPr="00EC356F">
        <w:rPr>
          <w:rFonts w:ascii="Times New Roman" w:hAnsi="Times New Roman" w:cs="Times New Roman"/>
          <w:sz w:val="21"/>
          <w:szCs w:val="21"/>
        </w:rPr>
        <w:t>.</w:t>
      </w:r>
      <w:r w:rsidR="004514E6" w:rsidRPr="004514E6">
        <w:rPr>
          <w:rFonts w:ascii="Times New Roman" w:hAnsi="Times New Roman" w:cs="Times New Roman"/>
          <w:sz w:val="21"/>
          <w:szCs w:val="21"/>
        </w:rPr>
        <w:t>5</w:t>
      </w:r>
      <w:r w:rsidR="004514E6" w:rsidRPr="00EC356F">
        <w:rPr>
          <w:rFonts w:ascii="Times New Roman" w:hAnsi="Times New Roman" w:cs="Times New Roman"/>
          <w:sz w:val="21"/>
          <w:szCs w:val="21"/>
        </w:rPr>
        <w:t xml:space="preserve">%) </w:t>
      </w:r>
      <w:r w:rsidRPr="00EC356F">
        <w:rPr>
          <w:rFonts w:ascii="Times New Roman" w:hAnsi="Times New Roman" w:cs="Times New Roman"/>
          <w:sz w:val="21"/>
          <w:szCs w:val="21"/>
        </w:rPr>
        <w:t>and</w:t>
      </w:r>
      <w:r w:rsidRPr="00EC356F">
        <w:rPr>
          <w:rFonts w:ascii="Times New Roman" w:hAnsi="Times New Roman" w:cs="Times New Roman"/>
          <w:i/>
          <w:sz w:val="21"/>
          <w:szCs w:val="21"/>
        </w:rPr>
        <w:t xml:space="preserve"> humanitarian aid</w:t>
      </w:r>
      <w:r w:rsidRPr="00EC356F">
        <w:rPr>
          <w:rFonts w:ascii="Times New Roman" w:hAnsi="Times New Roman" w:cs="Times New Roman"/>
          <w:sz w:val="21"/>
          <w:szCs w:val="21"/>
        </w:rPr>
        <w:t xml:space="preserve"> (</w:t>
      </w:r>
      <w:r w:rsidR="004514E6" w:rsidRPr="004514E6">
        <w:rPr>
          <w:rFonts w:ascii="Times New Roman" w:hAnsi="Times New Roman" w:cs="Times New Roman"/>
          <w:sz w:val="21"/>
          <w:szCs w:val="21"/>
        </w:rPr>
        <w:t xml:space="preserve">by </w:t>
      </w:r>
      <w:r w:rsidRPr="00EC356F">
        <w:rPr>
          <w:rFonts w:ascii="Times New Roman" w:hAnsi="Times New Roman" w:cs="Times New Roman"/>
          <w:sz w:val="21"/>
          <w:szCs w:val="21"/>
        </w:rPr>
        <w:t>3</w:t>
      </w:r>
      <w:r w:rsidR="004514E6" w:rsidRPr="004514E6">
        <w:rPr>
          <w:rFonts w:ascii="Times New Roman" w:hAnsi="Times New Roman" w:cs="Times New Roman"/>
          <w:sz w:val="21"/>
          <w:szCs w:val="21"/>
        </w:rPr>
        <w:t>2</w:t>
      </w:r>
      <w:r w:rsidRPr="00EC356F">
        <w:rPr>
          <w:rFonts w:ascii="Times New Roman" w:hAnsi="Times New Roman" w:cs="Times New Roman"/>
          <w:sz w:val="21"/>
          <w:szCs w:val="21"/>
        </w:rPr>
        <w:t>.</w:t>
      </w:r>
      <w:r w:rsidR="004514E6" w:rsidRPr="004514E6">
        <w:rPr>
          <w:rFonts w:ascii="Times New Roman" w:hAnsi="Times New Roman" w:cs="Times New Roman"/>
          <w:sz w:val="21"/>
          <w:szCs w:val="21"/>
        </w:rPr>
        <w:t>7</w:t>
      </w:r>
      <w:r w:rsidRPr="00EC356F">
        <w:rPr>
          <w:rFonts w:ascii="Times New Roman" w:hAnsi="Times New Roman" w:cs="Times New Roman"/>
          <w:sz w:val="21"/>
          <w:szCs w:val="21"/>
        </w:rPr>
        <w:t xml:space="preserve">%), all other sources of construction financing posted growths, as follows: </w:t>
      </w:r>
      <w:r w:rsidRPr="00EC356F">
        <w:rPr>
          <w:rFonts w:ascii="Times New Roman" w:hAnsi="Times New Roman" w:cs="Times New Roman"/>
          <w:i/>
          <w:sz w:val="21"/>
          <w:szCs w:val="21"/>
        </w:rPr>
        <w:t>organizations</w:t>
      </w:r>
      <w:r w:rsidRPr="00EC356F">
        <w:rPr>
          <w:rFonts w:ascii="Times New Roman" w:hAnsi="Times New Roman" w:cs="Times New Roman"/>
          <w:sz w:val="21"/>
          <w:szCs w:val="21"/>
        </w:rPr>
        <w:t xml:space="preserve"> (</w:t>
      </w:r>
      <w:r w:rsidR="004514E6" w:rsidRPr="004514E6">
        <w:rPr>
          <w:rFonts w:ascii="Times New Roman" w:hAnsi="Times New Roman" w:cs="Times New Roman"/>
          <w:sz w:val="21"/>
          <w:szCs w:val="21"/>
        </w:rPr>
        <w:t>by 1</w:t>
      </w:r>
      <w:r w:rsidRPr="00EC356F">
        <w:rPr>
          <w:rFonts w:ascii="Times New Roman" w:hAnsi="Times New Roman" w:cs="Times New Roman"/>
          <w:sz w:val="21"/>
          <w:szCs w:val="21"/>
        </w:rPr>
        <w:t>.</w:t>
      </w:r>
      <w:r w:rsidR="004514E6" w:rsidRPr="004514E6">
        <w:rPr>
          <w:rFonts w:ascii="Times New Roman" w:hAnsi="Times New Roman" w:cs="Times New Roman"/>
          <w:sz w:val="21"/>
          <w:szCs w:val="21"/>
        </w:rPr>
        <w:t>7</w:t>
      </w:r>
      <w:r w:rsidRPr="00EC356F">
        <w:rPr>
          <w:rFonts w:ascii="Times New Roman" w:hAnsi="Times New Roman" w:cs="Times New Roman"/>
          <w:sz w:val="21"/>
          <w:szCs w:val="21"/>
        </w:rPr>
        <w:t xml:space="preserve">%), </w:t>
      </w:r>
      <w:r w:rsidRPr="00EC356F">
        <w:rPr>
          <w:rFonts w:ascii="Times New Roman" w:hAnsi="Times New Roman" w:cs="Times New Roman"/>
          <w:i/>
          <w:sz w:val="21"/>
          <w:szCs w:val="21"/>
        </w:rPr>
        <w:t xml:space="preserve">international credit </w:t>
      </w:r>
      <w:r w:rsidRPr="00EC356F">
        <w:rPr>
          <w:rFonts w:ascii="Times New Roman" w:hAnsi="Times New Roman" w:cs="Times New Roman"/>
          <w:sz w:val="21"/>
          <w:szCs w:val="21"/>
        </w:rPr>
        <w:t>(</w:t>
      </w:r>
      <w:r w:rsidR="004514E6" w:rsidRPr="004514E6">
        <w:rPr>
          <w:rFonts w:ascii="Times New Roman" w:hAnsi="Times New Roman" w:cs="Times New Roman"/>
          <w:sz w:val="21"/>
          <w:szCs w:val="21"/>
        </w:rPr>
        <w:t>by 32</w:t>
      </w:r>
      <w:r w:rsidRPr="00EC356F">
        <w:rPr>
          <w:rFonts w:ascii="Times New Roman" w:hAnsi="Times New Roman" w:cs="Times New Roman"/>
          <w:sz w:val="21"/>
          <w:szCs w:val="21"/>
        </w:rPr>
        <w:t>.</w:t>
      </w:r>
      <w:r w:rsidR="004514E6" w:rsidRPr="004514E6">
        <w:rPr>
          <w:rFonts w:ascii="Times New Roman" w:hAnsi="Times New Roman" w:cs="Times New Roman"/>
          <w:sz w:val="21"/>
          <w:szCs w:val="21"/>
        </w:rPr>
        <w:t>3</w:t>
      </w:r>
      <w:r w:rsidRPr="00EC356F">
        <w:rPr>
          <w:rFonts w:ascii="Times New Roman" w:hAnsi="Times New Roman" w:cs="Times New Roman"/>
          <w:sz w:val="21"/>
          <w:szCs w:val="21"/>
        </w:rPr>
        <w:t xml:space="preserve">%) and </w:t>
      </w:r>
      <w:r w:rsidRPr="00EC356F">
        <w:rPr>
          <w:rFonts w:ascii="Times New Roman" w:hAnsi="Times New Roman" w:cs="Times New Roman"/>
          <w:i/>
          <w:sz w:val="21"/>
          <w:szCs w:val="21"/>
        </w:rPr>
        <w:t>local community budgets</w:t>
      </w:r>
      <w:r w:rsidRPr="00EC356F">
        <w:rPr>
          <w:rFonts w:ascii="Times New Roman" w:hAnsi="Times New Roman" w:cs="Times New Roman"/>
          <w:sz w:val="21"/>
          <w:szCs w:val="21"/>
        </w:rPr>
        <w:t xml:space="preserve"> (</w:t>
      </w:r>
      <w:r w:rsidR="004514E6" w:rsidRPr="004514E6">
        <w:rPr>
          <w:rFonts w:ascii="Times New Roman" w:hAnsi="Times New Roman" w:cs="Times New Roman"/>
          <w:sz w:val="21"/>
          <w:szCs w:val="21"/>
        </w:rPr>
        <w:t>by 78</w:t>
      </w:r>
      <w:r w:rsidRPr="00EC356F">
        <w:rPr>
          <w:rFonts w:ascii="Times New Roman" w:hAnsi="Times New Roman" w:cs="Times New Roman"/>
          <w:sz w:val="21"/>
          <w:szCs w:val="21"/>
        </w:rPr>
        <w:t>.</w:t>
      </w:r>
      <w:r w:rsidR="004514E6" w:rsidRPr="004514E6">
        <w:rPr>
          <w:rFonts w:ascii="Times New Roman" w:hAnsi="Times New Roman" w:cs="Times New Roman"/>
          <w:sz w:val="21"/>
          <w:szCs w:val="21"/>
        </w:rPr>
        <w:t>8</w:t>
      </w:r>
      <w:r w:rsidRPr="00EC356F">
        <w:rPr>
          <w:rFonts w:ascii="Times New Roman" w:hAnsi="Times New Roman" w:cs="Times New Roman"/>
          <w:sz w:val="21"/>
          <w:szCs w:val="21"/>
        </w:rPr>
        <w:t xml:space="preserve">%).    </w:t>
      </w:r>
    </w:p>
    <w:p w14:paraId="3FD6841C" w14:textId="77777777" w:rsidR="00A9653E" w:rsidRPr="00EC356F" w:rsidRDefault="00A9653E" w:rsidP="00A9653E">
      <w:pPr>
        <w:spacing w:line="360" w:lineRule="auto"/>
        <w:jc w:val="both"/>
        <w:rPr>
          <w:rStyle w:val="longtext"/>
          <w:rFonts w:ascii="Times New Roman" w:hAnsi="Times New Roman" w:cs="Times New Roman"/>
          <w:color w:val="000000"/>
          <w:sz w:val="21"/>
          <w:szCs w:val="21"/>
        </w:rPr>
      </w:pPr>
      <w:r w:rsidRPr="00EC356F">
        <w:rPr>
          <w:rFonts w:ascii="Times New Roman" w:hAnsi="Times New Roman" w:cs="Times New Roman"/>
          <w:sz w:val="21"/>
          <w:szCs w:val="21"/>
        </w:rPr>
        <w:t xml:space="preserve">In </w:t>
      </w:r>
      <w:r w:rsidRPr="00EC356F">
        <w:rPr>
          <w:rFonts w:ascii="Times New Roman" w:hAnsi="Times New Roman" w:cs="Times New Roman"/>
          <w:b/>
          <w:sz w:val="21"/>
          <w:szCs w:val="21"/>
        </w:rPr>
        <w:t>Services</w:t>
      </w:r>
      <w:r w:rsidRPr="00EC356F">
        <w:rPr>
          <w:rFonts w:ascii="Times New Roman" w:hAnsi="Times New Roman" w:cs="Times New Roman"/>
          <w:sz w:val="21"/>
          <w:szCs w:val="21"/>
        </w:rPr>
        <w:t xml:space="preserve">, the growth of value added </w:t>
      </w:r>
      <w:r w:rsidR="004F6F44" w:rsidRPr="004F6F44">
        <w:rPr>
          <w:rFonts w:ascii="Times New Roman" w:hAnsi="Times New Roman" w:cs="Times New Roman"/>
          <w:sz w:val="21"/>
          <w:szCs w:val="21"/>
        </w:rPr>
        <w:t xml:space="preserve">in the period January-September </w:t>
      </w:r>
      <w:r w:rsidRPr="00EC356F">
        <w:rPr>
          <w:rFonts w:ascii="Times New Roman" w:hAnsi="Times New Roman" w:cs="Times New Roman"/>
          <w:sz w:val="21"/>
          <w:szCs w:val="21"/>
        </w:rPr>
        <w:t>is estimated in the r</w:t>
      </w:r>
      <w:r w:rsidR="004F6F44" w:rsidRPr="004F6F44">
        <w:rPr>
          <w:rFonts w:ascii="Times New Roman" w:hAnsi="Times New Roman" w:cs="Times New Roman"/>
          <w:sz w:val="21"/>
          <w:szCs w:val="21"/>
        </w:rPr>
        <w:t>ange 3</w:t>
      </w:r>
      <w:r w:rsidRPr="00EC356F">
        <w:rPr>
          <w:rFonts w:ascii="Times New Roman" w:hAnsi="Times New Roman" w:cs="Times New Roman"/>
          <w:sz w:val="21"/>
          <w:szCs w:val="21"/>
        </w:rPr>
        <w:t>.9-</w:t>
      </w:r>
      <w:r w:rsidR="004F6F44" w:rsidRPr="004F6F44">
        <w:rPr>
          <w:rFonts w:ascii="Times New Roman" w:hAnsi="Times New Roman" w:cs="Times New Roman"/>
          <w:sz w:val="21"/>
          <w:szCs w:val="21"/>
        </w:rPr>
        <w:t>4</w:t>
      </w:r>
      <w:r w:rsidRPr="00EC356F">
        <w:rPr>
          <w:rFonts w:ascii="Times New Roman" w:hAnsi="Times New Roman" w:cs="Times New Roman"/>
          <w:sz w:val="21"/>
          <w:szCs w:val="21"/>
        </w:rPr>
        <w:t>.</w:t>
      </w:r>
      <w:r w:rsidR="004F6F44" w:rsidRPr="004F6F44">
        <w:rPr>
          <w:rFonts w:ascii="Times New Roman" w:hAnsi="Times New Roman" w:cs="Times New Roman"/>
          <w:sz w:val="21"/>
          <w:szCs w:val="21"/>
        </w:rPr>
        <w:t>4</w:t>
      </w:r>
      <w:r w:rsidRPr="00EC356F">
        <w:rPr>
          <w:rFonts w:ascii="Times New Roman" w:hAnsi="Times New Roman" w:cs="Times New Roman"/>
          <w:sz w:val="21"/>
          <w:szCs w:val="21"/>
        </w:rPr>
        <w:t xml:space="preserve">% y/y as a result of volumes of services rendered and trade turnover having increased by </w:t>
      </w:r>
      <w:r w:rsidR="004F6F44" w:rsidRPr="004F6F44">
        <w:rPr>
          <w:rFonts w:ascii="Times New Roman" w:hAnsi="Times New Roman" w:cs="Times New Roman"/>
          <w:sz w:val="21"/>
          <w:szCs w:val="21"/>
        </w:rPr>
        <w:t>6.8</w:t>
      </w:r>
      <w:r w:rsidRPr="00EC356F">
        <w:rPr>
          <w:rFonts w:ascii="Times New Roman" w:hAnsi="Times New Roman" w:cs="Times New Roman"/>
          <w:sz w:val="21"/>
          <w:szCs w:val="21"/>
        </w:rPr>
        <w:t>% and 5.</w:t>
      </w:r>
      <w:r w:rsidR="004F6F44" w:rsidRPr="004F6F44">
        <w:rPr>
          <w:rFonts w:ascii="Times New Roman" w:hAnsi="Times New Roman" w:cs="Times New Roman"/>
          <w:sz w:val="21"/>
          <w:szCs w:val="21"/>
        </w:rPr>
        <w:t>2</w:t>
      </w:r>
      <w:r w:rsidRPr="00EC356F">
        <w:rPr>
          <w:rFonts w:ascii="Times New Roman" w:hAnsi="Times New Roman" w:cs="Times New Roman"/>
          <w:sz w:val="21"/>
          <w:szCs w:val="21"/>
        </w:rPr>
        <w:t xml:space="preserve">%, respectively. The increase in the volume of services rendered was driven </w:t>
      </w:r>
      <w:r w:rsidR="004F6F44" w:rsidRPr="004F6F44">
        <w:rPr>
          <w:rFonts w:ascii="Times New Roman" w:hAnsi="Times New Roman" w:cs="Times New Roman"/>
          <w:sz w:val="21"/>
          <w:szCs w:val="21"/>
        </w:rPr>
        <w:t xml:space="preserve">largely </w:t>
      </w:r>
      <w:r w:rsidRPr="00EC356F">
        <w:rPr>
          <w:rFonts w:ascii="Times New Roman" w:hAnsi="Times New Roman" w:cs="Times New Roman"/>
          <w:sz w:val="21"/>
          <w:szCs w:val="21"/>
        </w:rPr>
        <w:t xml:space="preserve">by growth in </w:t>
      </w:r>
      <w:r w:rsidR="004F6F44" w:rsidRPr="004F6F44">
        <w:rPr>
          <w:rFonts w:ascii="Times New Roman" w:hAnsi="Times New Roman" w:cs="Times New Roman"/>
          <w:sz w:val="21"/>
          <w:szCs w:val="21"/>
        </w:rPr>
        <w:t xml:space="preserve">air </w:t>
      </w:r>
      <w:r w:rsidRPr="00EC356F">
        <w:rPr>
          <w:rFonts w:ascii="Times New Roman" w:hAnsi="Times New Roman" w:cs="Times New Roman"/>
          <w:sz w:val="21"/>
          <w:szCs w:val="21"/>
        </w:rPr>
        <w:t>transport (</w:t>
      </w:r>
      <w:r w:rsidR="004F6F44" w:rsidRPr="004F6F44">
        <w:rPr>
          <w:rFonts w:ascii="Times New Roman" w:hAnsi="Times New Roman" w:cs="Times New Roman"/>
          <w:sz w:val="21"/>
          <w:szCs w:val="21"/>
        </w:rPr>
        <w:t>about 1.34-fold)</w:t>
      </w:r>
      <w:r w:rsidRPr="00EC356F">
        <w:rPr>
          <w:rFonts w:ascii="Times New Roman" w:hAnsi="Times New Roman" w:cs="Times New Roman"/>
          <w:sz w:val="21"/>
          <w:szCs w:val="21"/>
        </w:rPr>
        <w:t>, banking services (0.</w:t>
      </w:r>
      <w:r w:rsidR="00F73A13" w:rsidRPr="00F73A13">
        <w:rPr>
          <w:rFonts w:ascii="Times New Roman" w:hAnsi="Times New Roman" w:cs="Times New Roman"/>
          <w:sz w:val="21"/>
          <w:szCs w:val="21"/>
        </w:rPr>
        <w:t>6</w:t>
      </w:r>
      <w:r w:rsidRPr="00EC356F">
        <w:rPr>
          <w:rFonts w:ascii="Times New Roman" w:hAnsi="Times New Roman" w:cs="Times New Roman"/>
          <w:sz w:val="21"/>
          <w:szCs w:val="21"/>
        </w:rPr>
        <w:t>%), events, leisure and rest (</w:t>
      </w:r>
      <w:r w:rsidR="00F73A13" w:rsidRPr="00F73A13">
        <w:rPr>
          <w:rFonts w:ascii="Times New Roman" w:hAnsi="Times New Roman" w:cs="Times New Roman"/>
          <w:sz w:val="21"/>
          <w:szCs w:val="21"/>
        </w:rPr>
        <w:t>4</w:t>
      </w:r>
      <w:r w:rsidRPr="00EC356F">
        <w:rPr>
          <w:rFonts w:ascii="Times New Roman" w:hAnsi="Times New Roman" w:cs="Times New Roman"/>
          <w:sz w:val="21"/>
          <w:szCs w:val="21"/>
        </w:rPr>
        <w:t>7.</w:t>
      </w:r>
      <w:r w:rsidR="00F73A13" w:rsidRPr="00F73A13">
        <w:rPr>
          <w:rFonts w:ascii="Times New Roman" w:hAnsi="Times New Roman" w:cs="Times New Roman"/>
          <w:sz w:val="21"/>
          <w:szCs w:val="21"/>
        </w:rPr>
        <w:t>4</w:t>
      </w:r>
      <w:r w:rsidRPr="00EC356F">
        <w:rPr>
          <w:rFonts w:ascii="Times New Roman" w:hAnsi="Times New Roman" w:cs="Times New Roman"/>
          <w:sz w:val="21"/>
          <w:szCs w:val="21"/>
        </w:rPr>
        <w:t>%), real estate transactions (1</w:t>
      </w:r>
      <w:r w:rsidR="00F73A13" w:rsidRPr="00F73A13">
        <w:rPr>
          <w:rFonts w:ascii="Times New Roman" w:hAnsi="Times New Roman" w:cs="Times New Roman"/>
          <w:sz w:val="21"/>
          <w:szCs w:val="21"/>
        </w:rPr>
        <w:t>0</w:t>
      </w:r>
      <w:r w:rsidRPr="00EC356F">
        <w:rPr>
          <w:rFonts w:ascii="Times New Roman" w:hAnsi="Times New Roman" w:cs="Times New Roman"/>
          <w:sz w:val="21"/>
          <w:szCs w:val="21"/>
        </w:rPr>
        <w:t>.</w:t>
      </w:r>
      <w:r w:rsidR="00F73A13" w:rsidRPr="00F73A13">
        <w:rPr>
          <w:rFonts w:ascii="Times New Roman" w:hAnsi="Times New Roman" w:cs="Times New Roman"/>
          <w:sz w:val="21"/>
          <w:szCs w:val="21"/>
        </w:rPr>
        <w:t>8</w:t>
      </w:r>
      <w:r w:rsidRPr="00EC356F">
        <w:rPr>
          <w:rFonts w:ascii="Times New Roman" w:hAnsi="Times New Roman" w:cs="Times New Roman"/>
          <w:sz w:val="21"/>
          <w:szCs w:val="21"/>
        </w:rPr>
        <w:t>%), travel services (</w:t>
      </w:r>
      <w:r w:rsidR="00F73A13" w:rsidRPr="00F73A13">
        <w:rPr>
          <w:rFonts w:ascii="Times New Roman" w:hAnsi="Times New Roman" w:cs="Times New Roman"/>
          <w:sz w:val="21"/>
          <w:szCs w:val="21"/>
        </w:rPr>
        <w:t>1</w:t>
      </w:r>
      <w:r w:rsidRPr="00EC356F">
        <w:rPr>
          <w:rFonts w:ascii="Times New Roman" w:hAnsi="Times New Roman" w:cs="Times New Roman"/>
          <w:sz w:val="21"/>
          <w:szCs w:val="21"/>
        </w:rPr>
        <w:t>4.</w:t>
      </w:r>
      <w:r w:rsidR="00F73A13" w:rsidRPr="00F73A13">
        <w:rPr>
          <w:rFonts w:ascii="Times New Roman" w:hAnsi="Times New Roman" w:cs="Times New Roman"/>
          <w:sz w:val="21"/>
          <w:szCs w:val="21"/>
        </w:rPr>
        <w:t>5</w:t>
      </w:r>
      <w:r w:rsidRPr="00EC356F">
        <w:rPr>
          <w:rFonts w:ascii="Times New Roman" w:hAnsi="Times New Roman" w:cs="Times New Roman"/>
          <w:sz w:val="21"/>
          <w:szCs w:val="21"/>
        </w:rPr>
        <w:t xml:space="preserve">%), </w:t>
      </w:r>
      <w:r w:rsidR="00F73A13" w:rsidRPr="00F73A13">
        <w:rPr>
          <w:rFonts w:ascii="Times New Roman" w:hAnsi="Times New Roman" w:cs="Times New Roman"/>
          <w:sz w:val="21"/>
          <w:szCs w:val="21"/>
        </w:rPr>
        <w:t xml:space="preserve">public catering (12.9%), </w:t>
      </w:r>
      <w:r w:rsidR="00121511" w:rsidRPr="00121511">
        <w:rPr>
          <w:rFonts w:ascii="Times New Roman" w:hAnsi="Times New Roman" w:cs="Times New Roman"/>
          <w:sz w:val="21"/>
          <w:szCs w:val="21"/>
        </w:rPr>
        <w:t>information technologies (3.8%)</w:t>
      </w:r>
      <w:r w:rsidRPr="00EC356F">
        <w:rPr>
          <w:rFonts w:ascii="Times New Roman" w:hAnsi="Times New Roman" w:cs="Times New Roman"/>
          <w:sz w:val="21"/>
          <w:szCs w:val="21"/>
        </w:rPr>
        <w:t xml:space="preserve"> and healthcare (</w:t>
      </w:r>
      <w:r w:rsidR="00121511" w:rsidRPr="00121511">
        <w:rPr>
          <w:rFonts w:ascii="Times New Roman" w:hAnsi="Times New Roman" w:cs="Times New Roman"/>
          <w:sz w:val="21"/>
          <w:szCs w:val="21"/>
        </w:rPr>
        <w:t>2</w:t>
      </w:r>
      <w:r w:rsidRPr="00EC356F">
        <w:rPr>
          <w:rFonts w:ascii="Times New Roman" w:hAnsi="Times New Roman" w:cs="Times New Roman"/>
          <w:sz w:val="21"/>
          <w:szCs w:val="21"/>
        </w:rPr>
        <w:t>.</w:t>
      </w:r>
      <w:r w:rsidR="00121511" w:rsidRPr="00121511">
        <w:rPr>
          <w:rFonts w:ascii="Times New Roman" w:hAnsi="Times New Roman" w:cs="Times New Roman"/>
          <w:sz w:val="21"/>
          <w:szCs w:val="21"/>
        </w:rPr>
        <w:t>7</w:t>
      </w:r>
      <w:r w:rsidRPr="00EC356F">
        <w:rPr>
          <w:rFonts w:ascii="Times New Roman" w:hAnsi="Times New Roman" w:cs="Times New Roman"/>
          <w:sz w:val="21"/>
          <w:szCs w:val="21"/>
        </w:rPr>
        <w:t>%), respectively.</w:t>
      </w:r>
      <w:r w:rsidR="004C5805" w:rsidRPr="004C5805">
        <w:rPr>
          <w:rFonts w:ascii="Times New Roman" w:hAnsi="Times New Roman" w:cs="Times New Roman"/>
          <w:sz w:val="21"/>
          <w:szCs w:val="21"/>
        </w:rPr>
        <w:t xml:space="preserve"> The trade growth was a result of increased turnover in retail, wholesale and passenger car trade, by 3.2%, 9.1% and 2.4%, respectively. </w:t>
      </w:r>
    </w:p>
    <w:p w14:paraId="2396F2D3"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w:t>
      </w:r>
      <w:r w:rsidRPr="00EC356F">
        <w:rPr>
          <w:rFonts w:ascii="Times New Roman" w:hAnsi="Times New Roman" w:cs="Times New Roman"/>
          <w:b/>
          <w:sz w:val="21"/>
          <w:szCs w:val="21"/>
        </w:rPr>
        <w:t>Agriculture</w:t>
      </w:r>
      <w:r w:rsidRPr="00EC356F">
        <w:rPr>
          <w:rFonts w:ascii="Times New Roman" w:hAnsi="Times New Roman" w:cs="Times New Roman"/>
          <w:sz w:val="21"/>
          <w:szCs w:val="21"/>
        </w:rPr>
        <w:t>,</w:t>
      </w:r>
      <w:r w:rsidRPr="00EC356F">
        <w:rPr>
          <w:rFonts w:ascii="Times New Roman" w:hAnsi="Times New Roman" w:cs="Times New Roman"/>
          <w:b/>
          <w:sz w:val="21"/>
          <w:szCs w:val="21"/>
        </w:rPr>
        <w:t xml:space="preserve"> </w:t>
      </w:r>
      <w:r w:rsidRPr="00EC356F">
        <w:rPr>
          <w:rFonts w:ascii="Times New Roman" w:hAnsi="Times New Roman" w:cs="Times New Roman"/>
          <w:sz w:val="21"/>
          <w:szCs w:val="21"/>
        </w:rPr>
        <w:t xml:space="preserve">the growth of value added for the first </w:t>
      </w:r>
      <w:r w:rsidR="006432D2" w:rsidRPr="006432D2">
        <w:rPr>
          <w:rFonts w:ascii="Times New Roman" w:hAnsi="Times New Roman" w:cs="Times New Roman"/>
          <w:sz w:val="21"/>
          <w:szCs w:val="21"/>
        </w:rPr>
        <w:t>three quarters</w:t>
      </w:r>
      <w:r w:rsidRPr="00EC356F">
        <w:rPr>
          <w:rFonts w:ascii="Times New Roman" w:hAnsi="Times New Roman" w:cs="Times New Roman"/>
          <w:sz w:val="21"/>
          <w:szCs w:val="21"/>
        </w:rPr>
        <w:t xml:space="preserve"> of 2014 is estimated in the range </w:t>
      </w:r>
      <w:r w:rsidR="006432D2" w:rsidRPr="006432D2">
        <w:rPr>
          <w:rFonts w:ascii="Times New Roman" w:hAnsi="Times New Roman" w:cs="Times New Roman"/>
          <w:sz w:val="21"/>
          <w:szCs w:val="21"/>
        </w:rPr>
        <w:t>6.6</w:t>
      </w:r>
      <w:r w:rsidRPr="00EC356F">
        <w:rPr>
          <w:rFonts w:ascii="Times New Roman" w:hAnsi="Times New Roman" w:cs="Times New Roman"/>
          <w:sz w:val="21"/>
          <w:szCs w:val="21"/>
        </w:rPr>
        <w:t>-</w:t>
      </w:r>
      <w:r w:rsidR="006432D2" w:rsidRPr="006432D2">
        <w:rPr>
          <w:rFonts w:ascii="Times New Roman" w:hAnsi="Times New Roman" w:cs="Times New Roman"/>
          <w:sz w:val="21"/>
          <w:szCs w:val="21"/>
        </w:rPr>
        <w:t>7</w:t>
      </w:r>
      <w:r w:rsidRPr="00EC356F">
        <w:rPr>
          <w:rFonts w:ascii="Times New Roman" w:hAnsi="Times New Roman" w:cs="Times New Roman"/>
          <w:sz w:val="21"/>
          <w:szCs w:val="21"/>
        </w:rPr>
        <w:t>.</w:t>
      </w:r>
      <w:r w:rsidR="006432D2" w:rsidRPr="006432D2">
        <w:rPr>
          <w:rFonts w:ascii="Times New Roman" w:hAnsi="Times New Roman" w:cs="Times New Roman"/>
          <w:sz w:val="21"/>
          <w:szCs w:val="21"/>
        </w:rPr>
        <w:t>1</w:t>
      </w:r>
      <w:r w:rsidRPr="00EC356F">
        <w:rPr>
          <w:rFonts w:ascii="Times New Roman" w:hAnsi="Times New Roman" w:cs="Times New Roman"/>
          <w:sz w:val="21"/>
          <w:szCs w:val="21"/>
        </w:rPr>
        <w:t>% y/y, due to increased outputs in animal breeding</w:t>
      </w:r>
      <w:r w:rsidR="006432D2" w:rsidRPr="006432D2">
        <w:rPr>
          <w:rFonts w:ascii="Times New Roman" w:hAnsi="Times New Roman" w:cs="Times New Roman"/>
          <w:sz w:val="21"/>
          <w:szCs w:val="21"/>
        </w:rPr>
        <w:t>, plant growing</w:t>
      </w:r>
      <w:r w:rsidRPr="00EC356F">
        <w:rPr>
          <w:rFonts w:ascii="Times New Roman" w:hAnsi="Times New Roman" w:cs="Times New Roman"/>
          <w:sz w:val="21"/>
          <w:szCs w:val="21"/>
        </w:rPr>
        <w:t xml:space="preserve"> and fishing by 5.</w:t>
      </w:r>
      <w:r w:rsidR="006432D2" w:rsidRPr="006432D2">
        <w:rPr>
          <w:rFonts w:ascii="Times New Roman" w:hAnsi="Times New Roman" w:cs="Times New Roman"/>
          <w:sz w:val="21"/>
          <w:szCs w:val="21"/>
        </w:rPr>
        <w:t>7</w:t>
      </w:r>
      <w:r w:rsidRPr="00EC356F">
        <w:rPr>
          <w:rFonts w:ascii="Times New Roman" w:hAnsi="Times New Roman" w:cs="Times New Roman"/>
          <w:sz w:val="21"/>
          <w:szCs w:val="21"/>
        </w:rPr>
        <w:t xml:space="preserve">%, </w:t>
      </w:r>
      <w:r w:rsidR="006432D2" w:rsidRPr="006432D2">
        <w:rPr>
          <w:rFonts w:ascii="Times New Roman" w:hAnsi="Times New Roman" w:cs="Times New Roman"/>
          <w:sz w:val="21"/>
          <w:szCs w:val="21"/>
        </w:rPr>
        <w:t>7</w:t>
      </w:r>
      <w:r w:rsidRPr="00EC356F">
        <w:rPr>
          <w:rFonts w:ascii="Times New Roman" w:hAnsi="Times New Roman" w:cs="Times New Roman"/>
          <w:sz w:val="21"/>
          <w:szCs w:val="21"/>
        </w:rPr>
        <w:t>.</w:t>
      </w:r>
      <w:r w:rsidR="006432D2" w:rsidRPr="006432D2">
        <w:rPr>
          <w:rFonts w:ascii="Times New Roman" w:hAnsi="Times New Roman" w:cs="Times New Roman"/>
          <w:sz w:val="21"/>
          <w:szCs w:val="21"/>
        </w:rPr>
        <w:t>5</w:t>
      </w:r>
      <w:r w:rsidRPr="00EC356F">
        <w:rPr>
          <w:rFonts w:ascii="Times New Roman" w:hAnsi="Times New Roman" w:cs="Times New Roman"/>
          <w:sz w:val="21"/>
          <w:szCs w:val="21"/>
        </w:rPr>
        <w:t xml:space="preserve">% and </w:t>
      </w:r>
      <w:r w:rsidR="006432D2" w:rsidRPr="006432D2">
        <w:rPr>
          <w:rFonts w:ascii="Times New Roman" w:hAnsi="Times New Roman" w:cs="Times New Roman"/>
          <w:sz w:val="21"/>
          <w:szCs w:val="21"/>
        </w:rPr>
        <w:t>22</w:t>
      </w:r>
      <w:r w:rsidRPr="00EC356F">
        <w:rPr>
          <w:rFonts w:ascii="Times New Roman" w:hAnsi="Times New Roman" w:cs="Times New Roman"/>
          <w:sz w:val="21"/>
          <w:szCs w:val="21"/>
        </w:rPr>
        <w:t>.</w:t>
      </w:r>
      <w:r w:rsidR="006432D2" w:rsidRPr="006432D2">
        <w:rPr>
          <w:rFonts w:ascii="Times New Roman" w:hAnsi="Times New Roman" w:cs="Times New Roman"/>
          <w:sz w:val="21"/>
          <w:szCs w:val="21"/>
        </w:rPr>
        <w:t>5</w:t>
      </w:r>
      <w:r w:rsidRPr="00EC356F">
        <w:rPr>
          <w:rFonts w:ascii="Times New Roman" w:hAnsi="Times New Roman" w:cs="Times New Roman"/>
          <w:sz w:val="21"/>
          <w:szCs w:val="21"/>
        </w:rPr>
        <w:t xml:space="preserve">%, respectively. Reported increases in </w:t>
      </w:r>
      <w:r w:rsidRPr="00EC356F">
        <w:rPr>
          <w:rFonts w:ascii="Times New Roman" w:hAnsi="Times New Roman" w:cs="Times New Roman"/>
          <w:i/>
          <w:sz w:val="21"/>
          <w:szCs w:val="21"/>
        </w:rPr>
        <w:t>milk production</w:t>
      </w:r>
      <w:r w:rsidRPr="00EC356F">
        <w:rPr>
          <w:rFonts w:ascii="Times New Roman" w:hAnsi="Times New Roman" w:cs="Times New Roman"/>
          <w:sz w:val="21"/>
          <w:szCs w:val="21"/>
        </w:rPr>
        <w:t xml:space="preserve">, </w:t>
      </w:r>
      <w:r w:rsidRPr="00EC356F">
        <w:rPr>
          <w:rFonts w:ascii="Times New Roman" w:hAnsi="Times New Roman" w:cs="Times New Roman"/>
          <w:i/>
          <w:sz w:val="21"/>
          <w:szCs w:val="21"/>
        </w:rPr>
        <w:t>egg production</w:t>
      </w:r>
      <w:r w:rsidRPr="00EC356F">
        <w:rPr>
          <w:rFonts w:ascii="Times New Roman" w:hAnsi="Times New Roman" w:cs="Times New Roman"/>
          <w:sz w:val="21"/>
          <w:szCs w:val="21"/>
        </w:rPr>
        <w:t xml:space="preserve"> and </w:t>
      </w:r>
      <w:r w:rsidRPr="00EC356F">
        <w:rPr>
          <w:rFonts w:ascii="Times New Roman" w:hAnsi="Times New Roman" w:cs="Times New Roman"/>
          <w:i/>
          <w:sz w:val="21"/>
          <w:szCs w:val="21"/>
        </w:rPr>
        <w:t>slaughtered animal and poultry production</w:t>
      </w:r>
      <w:r w:rsidRPr="00EC356F">
        <w:rPr>
          <w:rFonts w:ascii="Times New Roman" w:hAnsi="Times New Roman" w:cs="Times New Roman"/>
          <w:sz w:val="21"/>
          <w:szCs w:val="21"/>
        </w:rPr>
        <w:t xml:space="preserve"> by </w:t>
      </w:r>
      <w:r w:rsidR="007B2DDE" w:rsidRPr="007B2DDE">
        <w:rPr>
          <w:rFonts w:ascii="Times New Roman" w:hAnsi="Times New Roman" w:cs="Times New Roman"/>
          <w:sz w:val="21"/>
          <w:szCs w:val="21"/>
        </w:rPr>
        <w:t>6</w:t>
      </w:r>
      <w:r w:rsidRPr="00EC356F">
        <w:rPr>
          <w:rFonts w:ascii="Times New Roman" w:hAnsi="Times New Roman" w:cs="Times New Roman"/>
          <w:sz w:val="21"/>
          <w:szCs w:val="21"/>
        </w:rPr>
        <w:t xml:space="preserve">%, </w:t>
      </w:r>
      <w:r w:rsidR="007B2DDE" w:rsidRPr="007B2DDE">
        <w:rPr>
          <w:rFonts w:ascii="Times New Roman" w:hAnsi="Times New Roman" w:cs="Times New Roman"/>
          <w:sz w:val="21"/>
          <w:szCs w:val="21"/>
        </w:rPr>
        <w:t>3</w:t>
      </w:r>
      <w:r w:rsidRPr="00EC356F">
        <w:rPr>
          <w:rFonts w:ascii="Times New Roman" w:hAnsi="Times New Roman" w:cs="Times New Roman"/>
          <w:sz w:val="21"/>
          <w:szCs w:val="21"/>
        </w:rPr>
        <w:t xml:space="preserve">% and </w:t>
      </w:r>
      <w:r w:rsidR="007B2DDE" w:rsidRPr="007B2DDE">
        <w:rPr>
          <w:rFonts w:ascii="Times New Roman" w:hAnsi="Times New Roman" w:cs="Times New Roman"/>
          <w:sz w:val="21"/>
          <w:szCs w:val="21"/>
        </w:rPr>
        <w:t>10</w:t>
      </w:r>
      <w:r w:rsidRPr="00EC356F">
        <w:rPr>
          <w:rFonts w:ascii="Times New Roman" w:hAnsi="Times New Roman" w:cs="Times New Roman"/>
          <w:sz w:val="21"/>
          <w:szCs w:val="21"/>
        </w:rPr>
        <w:t>.</w:t>
      </w:r>
      <w:r w:rsidR="007B2DDE" w:rsidRPr="007B2DDE">
        <w:rPr>
          <w:rFonts w:ascii="Times New Roman" w:hAnsi="Times New Roman" w:cs="Times New Roman"/>
          <w:sz w:val="21"/>
          <w:szCs w:val="21"/>
        </w:rPr>
        <w:t>7</w:t>
      </w:r>
      <w:r w:rsidRPr="00EC356F">
        <w:rPr>
          <w:rFonts w:ascii="Times New Roman" w:hAnsi="Times New Roman" w:cs="Times New Roman"/>
          <w:sz w:val="21"/>
          <w:szCs w:val="21"/>
        </w:rPr>
        <w:t xml:space="preserve">%, respectively, contributed to the overall growth in </w:t>
      </w:r>
      <w:r w:rsidRPr="00EC356F">
        <w:rPr>
          <w:rFonts w:ascii="Times New Roman" w:hAnsi="Times New Roman" w:cs="Times New Roman"/>
          <w:i/>
          <w:sz w:val="21"/>
          <w:szCs w:val="21"/>
        </w:rPr>
        <w:t>animal breeding</w:t>
      </w:r>
      <w:r w:rsidRPr="00EC356F">
        <w:rPr>
          <w:rFonts w:ascii="Times New Roman" w:hAnsi="Times New Roman" w:cs="Times New Roman"/>
          <w:sz w:val="21"/>
          <w:szCs w:val="21"/>
        </w:rPr>
        <w:t xml:space="preserve">. </w:t>
      </w:r>
      <w:r w:rsidR="007B2DDE" w:rsidRPr="007B2DDE">
        <w:rPr>
          <w:rFonts w:ascii="Times New Roman" w:hAnsi="Times New Roman" w:cs="Times New Roman"/>
          <w:sz w:val="21"/>
          <w:szCs w:val="21"/>
        </w:rPr>
        <w:t>Similarly, increased production of potato (4.3%), wheat (4.2%), vegetables (21.4%)</w:t>
      </w:r>
      <w:r w:rsidR="007E59CF" w:rsidRPr="007E59CF">
        <w:rPr>
          <w:rFonts w:ascii="Times New Roman" w:hAnsi="Times New Roman" w:cs="Times New Roman"/>
          <w:sz w:val="21"/>
          <w:szCs w:val="21"/>
        </w:rPr>
        <w:t xml:space="preserve">, gourds and melons (24.5%) and grapes (29.2%) contributed positively to </w:t>
      </w:r>
      <w:r w:rsidR="007E59CF" w:rsidRPr="007E59CF">
        <w:rPr>
          <w:rFonts w:ascii="Times New Roman" w:hAnsi="Times New Roman" w:cs="Times New Roman"/>
          <w:i/>
          <w:sz w:val="21"/>
          <w:szCs w:val="21"/>
        </w:rPr>
        <w:t>plant growing</w:t>
      </w:r>
      <w:r w:rsidR="007E59CF" w:rsidRPr="007E59CF">
        <w:rPr>
          <w:rFonts w:ascii="Times New Roman" w:hAnsi="Times New Roman" w:cs="Times New Roman"/>
          <w:sz w:val="21"/>
          <w:szCs w:val="21"/>
        </w:rPr>
        <w:t>.</w:t>
      </w:r>
      <w:r w:rsidRPr="00EC356F">
        <w:rPr>
          <w:rFonts w:ascii="Times New Roman" w:hAnsi="Times New Roman" w:cs="Times New Roman"/>
          <w:sz w:val="21"/>
          <w:szCs w:val="21"/>
        </w:rPr>
        <w:t xml:space="preserve">  </w:t>
      </w:r>
    </w:p>
    <w:p w14:paraId="70EE5B85" w14:textId="77777777" w:rsidR="00E021BB" w:rsidRDefault="00E021BB" w:rsidP="00A9653E">
      <w:pPr>
        <w:spacing w:line="360" w:lineRule="auto"/>
        <w:jc w:val="both"/>
        <w:rPr>
          <w:rFonts w:ascii="Times New Roman" w:hAnsi="Times New Roman" w:cs="Times New Roman"/>
          <w:b/>
          <w:sz w:val="21"/>
          <w:szCs w:val="21"/>
        </w:rPr>
      </w:pPr>
    </w:p>
    <w:p w14:paraId="0339F97A"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3.2.2 Aggregate demand</w:t>
      </w:r>
      <w:r w:rsidR="00561357">
        <w:rPr>
          <w:rStyle w:val="FootnoteReference"/>
          <w:rFonts w:ascii="Times New Roman" w:hAnsi="Times New Roman" w:cs="Times New Roman"/>
          <w:b/>
          <w:sz w:val="21"/>
          <w:szCs w:val="21"/>
        </w:rPr>
        <w:footnoteReference w:customMarkFollows="1" w:id="18"/>
        <w:t>18</w:t>
      </w:r>
    </w:p>
    <w:p w14:paraId="6224700C" w14:textId="77777777" w:rsidR="00C83007" w:rsidRPr="00C57C3E" w:rsidRDefault="00C83007" w:rsidP="00A9653E">
      <w:pPr>
        <w:spacing w:line="360" w:lineRule="auto"/>
        <w:jc w:val="both"/>
        <w:rPr>
          <w:rFonts w:ascii="Times New Roman" w:hAnsi="Times New Roman" w:cs="Times New Roman"/>
          <w:bCs/>
          <w:iCs/>
          <w:sz w:val="21"/>
          <w:szCs w:val="21"/>
        </w:rPr>
      </w:pPr>
      <w:r w:rsidRPr="00C83007">
        <w:rPr>
          <w:rFonts w:ascii="Times New Roman" w:hAnsi="Times New Roman" w:cs="Times New Roman"/>
          <w:bCs/>
          <w:iCs/>
          <w:sz w:val="21"/>
          <w:szCs w:val="21"/>
        </w:rPr>
        <w:t>P</w:t>
      </w:r>
      <w:r w:rsidR="00A9653E" w:rsidRPr="00EC356F">
        <w:rPr>
          <w:rFonts w:ascii="Times New Roman" w:hAnsi="Times New Roman" w:cs="Times New Roman"/>
          <w:bCs/>
          <w:iCs/>
          <w:sz w:val="21"/>
          <w:szCs w:val="21"/>
        </w:rPr>
        <w:t xml:space="preserve">rivate consumption in the </w:t>
      </w:r>
      <w:r w:rsidRPr="00C83007">
        <w:rPr>
          <w:rFonts w:ascii="Times New Roman" w:hAnsi="Times New Roman" w:cs="Times New Roman"/>
          <w:bCs/>
          <w:iCs/>
          <w:sz w:val="21"/>
          <w:szCs w:val="21"/>
        </w:rPr>
        <w:t>3r</w:t>
      </w:r>
      <w:r w:rsidR="00A9653E" w:rsidRPr="00EC356F">
        <w:rPr>
          <w:rFonts w:ascii="Times New Roman" w:hAnsi="Times New Roman" w:cs="Times New Roman"/>
          <w:bCs/>
          <w:iCs/>
          <w:sz w:val="21"/>
          <w:szCs w:val="21"/>
        </w:rPr>
        <w:t xml:space="preserve">d quarter of 2014 </w:t>
      </w:r>
      <w:r w:rsidRPr="00C83007">
        <w:rPr>
          <w:rFonts w:ascii="Times New Roman" w:hAnsi="Times New Roman" w:cs="Times New Roman"/>
          <w:bCs/>
          <w:iCs/>
          <w:sz w:val="21"/>
          <w:szCs w:val="21"/>
        </w:rPr>
        <w:t>was remarkably lower from the projections, with an estimated decl</w:t>
      </w:r>
      <w:r>
        <w:rPr>
          <w:rFonts w:ascii="Times New Roman" w:hAnsi="Times New Roman" w:cs="Times New Roman"/>
          <w:bCs/>
          <w:iCs/>
          <w:sz w:val="21"/>
          <w:szCs w:val="21"/>
        </w:rPr>
        <w:t>ine of 1.0% during</w:t>
      </w:r>
      <w:r w:rsidRPr="00C83007">
        <w:rPr>
          <w:rFonts w:ascii="Times New Roman" w:hAnsi="Times New Roman" w:cs="Times New Roman"/>
          <w:bCs/>
          <w:iCs/>
          <w:sz w:val="21"/>
          <w:szCs w:val="21"/>
        </w:rPr>
        <w:t xml:space="preserve"> the quarter. </w:t>
      </w:r>
    </w:p>
    <w:p w14:paraId="2AEB5514" w14:textId="77777777" w:rsidR="00912A65" w:rsidRPr="00C57C3E" w:rsidRDefault="00C83007" w:rsidP="00A9653E">
      <w:pPr>
        <w:spacing w:line="360" w:lineRule="auto"/>
        <w:jc w:val="both"/>
        <w:rPr>
          <w:rFonts w:ascii="Times New Roman" w:hAnsi="Times New Roman" w:cs="Times New Roman"/>
          <w:bCs/>
          <w:iCs/>
          <w:sz w:val="21"/>
          <w:szCs w:val="21"/>
        </w:rPr>
      </w:pPr>
      <w:r w:rsidRPr="00C83007">
        <w:rPr>
          <w:rFonts w:ascii="Times New Roman" w:hAnsi="Times New Roman" w:cs="Times New Roman"/>
          <w:bCs/>
          <w:iCs/>
          <w:sz w:val="21"/>
          <w:szCs w:val="21"/>
        </w:rPr>
        <w:t xml:space="preserve">Reduced </w:t>
      </w:r>
      <w:r>
        <w:rPr>
          <w:rFonts w:ascii="Times New Roman" w:hAnsi="Times New Roman" w:cs="Times New Roman"/>
          <w:sz w:val="21"/>
          <w:szCs w:val="21"/>
        </w:rPr>
        <w:t>private transfers</w:t>
      </w:r>
      <w:r w:rsidRPr="00C83007">
        <w:rPr>
          <w:rFonts w:ascii="Times New Roman" w:hAnsi="Times New Roman" w:cs="Times New Roman"/>
          <w:sz w:val="21"/>
          <w:szCs w:val="21"/>
        </w:rPr>
        <w:t xml:space="preserve"> from Russia</w:t>
      </w:r>
      <w:r>
        <w:rPr>
          <w:rFonts w:ascii="Times New Roman" w:hAnsi="Times New Roman" w:cs="Times New Roman"/>
          <w:sz w:val="21"/>
          <w:szCs w:val="21"/>
        </w:rPr>
        <w:t xml:space="preserve">, </w:t>
      </w:r>
      <w:r w:rsidR="00946355" w:rsidRPr="00946355">
        <w:rPr>
          <w:rFonts w:ascii="Times New Roman" w:hAnsi="Times New Roman" w:cs="Times New Roman"/>
          <w:sz w:val="21"/>
          <w:szCs w:val="21"/>
        </w:rPr>
        <w:t xml:space="preserve">an overall </w:t>
      </w:r>
      <w:r>
        <w:rPr>
          <w:rFonts w:ascii="Times New Roman" w:hAnsi="Times New Roman" w:cs="Times New Roman"/>
          <w:sz w:val="21"/>
          <w:szCs w:val="21"/>
        </w:rPr>
        <w:t xml:space="preserve">sluggish economic activity and </w:t>
      </w:r>
      <w:r w:rsidR="00946355" w:rsidRPr="00946355">
        <w:rPr>
          <w:rFonts w:ascii="Times New Roman" w:hAnsi="Times New Roman" w:cs="Times New Roman"/>
          <w:sz w:val="21"/>
          <w:szCs w:val="21"/>
        </w:rPr>
        <w:t>increasing</w:t>
      </w:r>
      <w:r>
        <w:rPr>
          <w:rFonts w:ascii="Times New Roman" w:hAnsi="Times New Roman" w:cs="Times New Roman"/>
          <w:sz w:val="21"/>
          <w:szCs w:val="21"/>
        </w:rPr>
        <w:t xml:space="preserve"> debt burden of households </w:t>
      </w:r>
      <w:r w:rsidR="00946355" w:rsidRPr="00946355">
        <w:rPr>
          <w:rFonts w:ascii="Times New Roman" w:hAnsi="Times New Roman" w:cs="Times New Roman"/>
          <w:sz w:val="21"/>
          <w:szCs w:val="21"/>
        </w:rPr>
        <w:t xml:space="preserve">are those principal factors which have adversely affected the </w:t>
      </w:r>
      <w:r>
        <w:rPr>
          <w:rFonts w:ascii="Times New Roman" w:hAnsi="Times New Roman" w:cs="Times New Roman"/>
          <w:sz w:val="21"/>
          <w:szCs w:val="21"/>
        </w:rPr>
        <w:t>level of private consumption</w:t>
      </w:r>
      <w:r w:rsidR="00946355" w:rsidRPr="00946355">
        <w:rPr>
          <w:rFonts w:ascii="Times New Roman" w:hAnsi="Times New Roman" w:cs="Times New Roman"/>
          <w:sz w:val="21"/>
          <w:szCs w:val="21"/>
        </w:rPr>
        <w:t xml:space="preserve"> in the 3rd</w:t>
      </w:r>
      <w:r w:rsidR="00A9653E" w:rsidRPr="00EC356F">
        <w:rPr>
          <w:rFonts w:ascii="Times New Roman" w:hAnsi="Times New Roman" w:cs="Times New Roman"/>
          <w:bCs/>
          <w:iCs/>
          <w:sz w:val="21"/>
          <w:szCs w:val="21"/>
        </w:rPr>
        <w:t xml:space="preserve"> </w:t>
      </w:r>
      <w:r w:rsidR="00946355">
        <w:rPr>
          <w:rFonts w:ascii="Times New Roman" w:hAnsi="Times New Roman" w:cs="Times New Roman"/>
          <w:bCs/>
          <w:iCs/>
          <w:sz w:val="21"/>
          <w:szCs w:val="21"/>
        </w:rPr>
        <w:t>quarter</w:t>
      </w:r>
      <w:r w:rsidR="00946355" w:rsidRPr="00946355">
        <w:rPr>
          <w:rFonts w:ascii="Times New Roman" w:hAnsi="Times New Roman" w:cs="Times New Roman"/>
          <w:bCs/>
          <w:iCs/>
          <w:sz w:val="21"/>
          <w:szCs w:val="21"/>
        </w:rPr>
        <w:t xml:space="preserve">. </w:t>
      </w:r>
      <w:r w:rsidR="00F045F1" w:rsidRPr="00F045F1">
        <w:rPr>
          <w:rFonts w:ascii="Times New Roman" w:hAnsi="Times New Roman" w:cs="Times New Roman"/>
          <w:bCs/>
          <w:iCs/>
          <w:sz w:val="21"/>
          <w:szCs w:val="21"/>
        </w:rPr>
        <w:t xml:space="preserve">It should be noted, however, that the negative impact of the above-mentioned factors somehow diminished thanks to expansionary monetary and fiscal policy implementation. In particular, </w:t>
      </w:r>
      <w:r w:rsidR="00CE5E30" w:rsidRPr="00F045F1">
        <w:rPr>
          <w:rFonts w:ascii="Times New Roman" w:hAnsi="Times New Roman" w:cs="Times New Roman"/>
          <w:bCs/>
          <w:iCs/>
          <w:sz w:val="21"/>
          <w:szCs w:val="21"/>
        </w:rPr>
        <w:t xml:space="preserve">during the 3rd quarter </w:t>
      </w:r>
      <w:r w:rsidR="00F045F1" w:rsidRPr="00F045F1">
        <w:rPr>
          <w:rFonts w:ascii="Times New Roman" w:hAnsi="Times New Roman" w:cs="Times New Roman"/>
          <w:bCs/>
          <w:iCs/>
          <w:sz w:val="21"/>
          <w:szCs w:val="21"/>
        </w:rPr>
        <w:t>total credit to the economy grew by about 12% y/y and consumer loans, by 22% y/y as part of an expansionary monetary policy.</w:t>
      </w:r>
      <w:r w:rsidR="00CE5E30" w:rsidRPr="00CE5E30">
        <w:rPr>
          <w:rFonts w:ascii="Times New Roman" w:hAnsi="Times New Roman" w:cs="Times New Roman"/>
          <w:bCs/>
          <w:iCs/>
          <w:sz w:val="21"/>
          <w:szCs w:val="21"/>
        </w:rPr>
        <w:t xml:space="preserve"> </w:t>
      </w:r>
      <w:r w:rsidR="00D22F97">
        <w:rPr>
          <w:rFonts w:ascii="Times New Roman" w:hAnsi="Times New Roman" w:cs="Times New Roman"/>
          <w:bCs/>
          <w:iCs/>
          <w:sz w:val="21"/>
          <w:szCs w:val="21"/>
        </w:rPr>
        <w:t xml:space="preserve"> </w:t>
      </w:r>
    </w:p>
    <w:p w14:paraId="212BAD25" w14:textId="77777777" w:rsidR="00912A65" w:rsidRPr="00655418" w:rsidRDefault="00912A65" w:rsidP="00A9653E">
      <w:pPr>
        <w:spacing w:line="360" w:lineRule="auto"/>
        <w:jc w:val="both"/>
        <w:rPr>
          <w:rFonts w:ascii="Times New Roman" w:hAnsi="Times New Roman" w:cs="Times New Roman"/>
          <w:sz w:val="21"/>
          <w:szCs w:val="21"/>
        </w:rPr>
      </w:pPr>
      <w:r w:rsidRPr="00EC356F">
        <w:rPr>
          <w:rFonts w:ascii="Times New Roman" w:hAnsi="Times New Roman" w:cs="Times New Roman"/>
          <w:bCs/>
          <w:iCs/>
          <w:sz w:val="21"/>
          <w:szCs w:val="21"/>
        </w:rPr>
        <w:lastRenderedPageBreak/>
        <w:t>The results of the Central Bank</w:t>
      </w:r>
      <w:r w:rsidRPr="00912A65">
        <w:rPr>
          <w:rFonts w:ascii="Times New Roman" w:hAnsi="Times New Roman" w:cs="Times New Roman"/>
          <w:bCs/>
          <w:iCs/>
          <w:sz w:val="21"/>
          <w:szCs w:val="21"/>
        </w:rPr>
        <w:t xml:space="preserve"> s</w:t>
      </w:r>
      <w:r w:rsidRPr="00EC356F">
        <w:rPr>
          <w:rFonts w:ascii="Times New Roman" w:hAnsi="Times New Roman" w:cs="Times New Roman"/>
          <w:bCs/>
          <w:iCs/>
          <w:sz w:val="21"/>
          <w:szCs w:val="21"/>
        </w:rPr>
        <w:t>urveys</w:t>
      </w:r>
      <w:r w:rsidR="00D22F97">
        <w:rPr>
          <w:rStyle w:val="FootnoteReference"/>
          <w:rFonts w:ascii="Times New Roman" w:hAnsi="Times New Roman" w:cs="Times New Roman"/>
          <w:bCs/>
          <w:iCs/>
          <w:sz w:val="21"/>
          <w:szCs w:val="21"/>
        </w:rPr>
        <w:footnoteReference w:customMarkFollows="1" w:id="19"/>
        <w:t>19</w:t>
      </w:r>
      <w:r w:rsidRPr="00912A65">
        <w:rPr>
          <w:rFonts w:ascii="Times New Roman" w:hAnsi="Times New Roman" w:cs="Times New Roman"/>
          <w:bCs/>
          <w:iCs/>
          <w:sz w:val="21"/>
          <w:szCs w:val="21"/>
        </w:rPr>
        <w:t xml:space="preserve"> also point to the above developments with private consumption. </w:t>
      </w:r>
      <w:r w:rsidR="00655418" w:rsidRPr="00655418">
        <w:rPr>
          <w:rFonts w:ascii="Times New Roman" w:hAnsi="Times New Roman" w:cs="Times New Roman"/>
          <w:bCs/>
          <w:iCs/>
          <w:sz w:val="21"/>
          <w:szCs w:val="21"/>
        </w:rPr>
        <w:t xml:space="preserve">Thus, in </w:t>
      </w:r>
      <w:r w:rsidR="00655418" w:rsidRPr="00EC356F">
        <w:rPr>
          <w:rFonts w:ascii="Times New Roman" w:hAnsi="Times New Roman" w:cs="Times New Roman"/>
          <w:sz w:val="21"/>
          <w:szCs w:val="21"/>
        </w:rPr>
        <w:t xml:space="preserve">the </w:t>
      </w:r>
      <w:r w:rsidR="00655418" w:rsidRPr="00655418">
        <w:rPr>
          <w:rFonts w:ascii="Times New Roman" w:hAnsi="Times New Roman" w:cs="Times New Roman"/>
          <w:sz w:val="21"/>
          <w:szCs w:val="21"/>
        </w:rPr>
        <w:t>3r</w:t>
      </w:r>
      <w:r w:rsidR="00655418" w:rsidRPr="00EC356F">
        <w:rPr>
          <w:rFonts w:ascii="Times New Roman" w:hAnsi="Times New Roman" w:cs="Times New Roman"/>
          <w:sz w:val="21"/>
          <w:szCs w:val="21"/>
        </w:rPr>
        <w:t xml:space="preserve">d quarter of 2014, relative to the same </w:t>
      </w:r>
      <w:r w:rsidR="00655418" w:rsidRPr="00655418">
        <w:rPr>
          <w:rFonts w:ascii="Times New Roman" w:hAnsi="Times New Roman" w:cs="Times New Roman"/>
          <w:sz w:val="21"/>
          <w:szCs w:val="21"/>
        </w:rPr>
        <w:t xml:space="preserve">reference </w:t>
      </w:r>
      <w:r w:rsidR="00655418" w:rsidRPr="00EC356F">
        <w:rPr>
          <w:rFonts w:ascii="Times New Roman" w:hAnsi="Times New Roman" w:cs="Times New Roman"/>
          <w:sz w:val="21"/>
          <w:szCs w:val="21"/>
        </w:rPr>
        <w:t xml:space="preserve">period </w:t>
      </w:r>
      <w:r w:rsidR="00655418" w:rsidRPr="00655418">
        <w:rPr>
          <w:rFonts w:ascii="Times New Roman" w:hAnsi="Times New Roman" w:cs="Times New Roman"/>
          <w:sz w:val="21"/>
          <w:szCs w:val="21"/>
        </w:rPr>
        <w:t xml:space="preserve">last year, </w:t>
      </w:r>
      <w:r w:rsidR="00C57C3E">
        <w:rPr>
          <w:rFonts w:ascii="Times New Roman" w:hAnsi="Times New Roman" w:cs="Times New Roman"/>
          <w:sz w:val="21"/>
          <w:szCs w:val="21"/>
        </w:rPr>
        <w:t>the indices of households’ estimation of overall domestic economic situation and major private spending have dropped by 13% and 0.8%, respectively, reflecting reduced expenditures of households</w:t>
      </w:r>
      <w:r w:rsidR="009D0C9B">
        <w:rPr>
          <w:rFonts w:ascii="Times New Roman" w:hAnsi="Times New Roman" w:cs="Times New Roman"/>
          <w:sz w:val="21"/>
          <w:szCs w:val="21"/>
        </w:rPr>
        <w:t xml:space="preserve"> in the reporting period</w:t>
      </w:r>
      <w:r w:rsidR="00C57C3E">
        <w:rPr>
          <w:rFonts w:ascii="Times New Roman" w:hAnsi="Times New Roman" w:cs="Times New Roman"/>
          <w:sz w:val="21"/>
          <w:szCs w:val="21"/>
        </w:rPr>
        <w:t xml:space="preserve">.  </w:t>
      </w:r>
    </w:p>
    <w:p w14:paraId="239E25DB" w14:textId="77777777" w:rsidR="00A9653E" w:rsidRPr="00EC356F" w:rsidRDefault="00A9653E"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 xml:space="preserve">In the </w:t>
      </w:r>
      <w:r w:rsidR="00AA51B2">
        <w:rPr>
          <w:rFonts w:ascii="Times New Roman" w:hAnsi="Times New Roman" w:cs="Times New Roman"/>
          <w:bCs/>
          <w:iCs/>
          <w:sz w:val="21"/>
          <w:szCs w:val="21"/>
        </w:rPr>
        <w:t>3r</w:t>
      </w:r>
      <w:r w:rsidRPr="00EC356F">
        <w:rPr>
          <w:rFonts w:ascii="Times New Roman" w:hAnsi="Times New Roman" w:cs="Times New Roman"/>
          <w:bCs/>
          <w:iCs/>
          <w:sz w:val="21"/>
          <w:szCs w:val="21"/>
        </w:rPr>
        <w:t xml:space="preserve">d quarter of 2014, the </w:t>
      </w:r>
      <w:r w:rsidRPr="00AA51B2">
        <w:rPr>
          <w:rFonts w:ascii="Times New Roman" w:hAnsi="Times New Roman" w:cs="Times New Roman"/>
          <w:bCs/>
          <w:iCs/>
          <w:sz w:val="21"/>
          <w:szCs w:val="21"/>
        </w:rPr>
        <w:t>investment climate i</w:t>
      </w:r>
      <w:r w:rsidRPr="00EC356F">
        <w:rPr>
          <w:rFonts w:ascii="Times New Roman" w:hAnsi="Times New Roman" w:cs="Times New Roman"/>
          <w:bCs/>
          <w:iCs/>
          <w:sz w:val="21"/>
          <w:szCs w:val="21"/>
        </w:rPr>
        <w:t>n the economy was weak</w:t>
      </w:r>
      <w:r w:rsidR="00AA51B2">
        <w:rPr>
          <w:rFonts w:ascii="Times New Roman" w:hAnsi="Times New Roman" w:cs="Times New Roman"/>
          <w:bCs/>
          <w:iCs/>
          <w:sz w:val="21"/>
          <w:szCs w:val="21"/>
        </w:rPr>
        <w:t xml:space="preserve">, in line with the forecast, </w:t>
      </w:r>
      <w:r w:rsidR="00BB7280" w:rsidRPr="00EC356F">
        <w:rPr>
          <w:rFonts w:ascii="Times New Roman" w:hAnsi="Times New Roman" w:cs="Times New Roman"/>
          <w:bCs/>
          <w:iCs/>
          <w:sz w:val="21"/>
          <w:szCs w:val="21"/>
        </w:rPr>
        <w:t xml:space="preserve">so </w:t>
      </w:r>
      <w:r w:rsidR="00BB7280">
        <w:rPr>
          <w:rFonts w:ascii="Times New Roman" w:hAnsi="Times New Roman" w:cs="Times New Roman"/>
          <w:bCs/>
          <w:iCs/>
          <w:sz w:val="21"/>
          <w:szCs w:val="21"/>
        </w:rPr>
        <w:t xml:space="preserve">the </w:t>
      </w:r>
      <w:r w:rsidR="00BB7280" w:rsidRPr="00EC356F">
        <w:rPr>
          <w:rFonts w:ascii="Times New Roman" w:hAnsi="Times New Roman" w:cs="Times New Roman"/>
          <w:bCs/>
          <w:iCs/>
          <w:sz w:val="21"/>
          <w:szCs w:val="21"/>
        </w:rPr>
        <w:t xml:space="preserve">private investment growth </w:t>
      </w:r>
      <w:r w:rsidR="00BB7280">
        <w:rPr>
          <w:rFonts w:ascii="Times New Roman" w:hAnsi="Times New Roman" w:cs="Times New Roman"/>
          <w:bCs/>
          <w:iCs/>
          <w:sz w:val="21"/>
          <w:szCs w:val="21"/>
        </w:rPr>
        <w:t>was</w:t>
      </w:r>
      <w:r w:rsidR="00BB7280" w:rsidRPr="00EC356F">
        <w:rPr>
          <w:rFonts w:ascii="Times New Roman" w:hAnsi="Times New Roman" w:cs="Times New Roman"/>
          <w:bCs/>
          <w:iCs/>
          <w:sz w:val="21"/>
          <w:szCs w:val="21"/>
        </w:rPr>
        <w:t xml:space="preserve"> </w:t>
      </w:r>
      <w:r w:rsidR="00BB7280">
        <w:rPr>
          <w:rFonts w:ascii="Times New Roman" w:hAnsi="Times New Roman" w:cs="Times New Roman"/>
          <w:bCs/>
          <w:iCs/>
          <w:sz w:val="21"/>
          <w:szCs w:val="21"/>
        </w:rPr>
        <w:t xml:space="preserve">an </w:t>
      </w:r>
      <w:r w:rsidR="00BB7280" w:rsidRPr="00EC356F">
        <w:rPr>
          <w:rFonts w:ascii="Times New Roman" w:hAnsi="Times New Roman" w:cs="Times New Roman"/>
          <w:bCs/>
          <w:iCs/>
          <w:sz w:val="21"/>
          <w:szCs w:val="21"/>
        </w:rPr>
        <w:t xml:space="preserve">estimated </w:t>
      </w:r>
      <w:r w:rsidR="00BB7280">
        <w:rPr>
          <w:rFonts w:ascii="Times New Roman" w:hAnsi="Times New Roman" w:cs="Times New Roman"/>
          <w:bCs/>
          <w:iCs/>
          <w:sz w:val="21"/>
          <w:szCs w:val="21"/>
        </w:rPr>
        <w:t>2</w:t>
      </w:r>
      <w:r w:rsidR="00BB7280" w:rsidRPr="00EC356F">
        <w:rPr>
          <w:rFonts w:ascii="Times New Roman" w:hAnsi="Times New Roman" w:cs="Times New Roman"/>
          <w:bCs/>
          <w:iCs/>
          <w:sz w:val="21"/>
          <w:szCs w:val="21"/>
        </w:rPr>
        <w:t>.</w:t>
      </w:r>
      <w:r w:rsidR="00BB7280">
        <w:rPr>
          <w:rFonts w:ascii="Times New Roman" w:hAnsi="Times New Roman" w:cs="Times New Roman"/>
          <w:bCs/>
          <w:iCs/>
          <w:sz w:val="21"/>
          <w:szCs w:val="21"/>
        </w:rPr>
        <w:t>0</w:t>
      </w:r>
      <w:r w:rsidR="00BB7280" w:rsidRPr="00EC356F">
        <w:rPr>
          <w:rFonts w:ascii="Times New Roman" w:hAnsi="Times New Roman" w:cs="Times New Roman"/>
          <w:bCs/>
          <w:iCs/>
          <w:sz w:val="21"/>
          <w:szCs w:val="21"/>
        </w:rPr>
        <w:t>%</w:t>
      </w:r>
      <w:r w:rsidR="00BB7280">
        <w:rPr>
          <w:rFonts w:ascii="Times New Roman" w:hAnsi="Times New Roman" w:cs="Times New Roman"/>
          <w:bCs/>
          <w:iCs/>
          <w:sz w:val="21"/>
          <w:szCs w:val="21"/>
        </w:rPr>
        <w:t xml:space="preserve"> in relation to the same period last year</w:t>
      </w:r>
      <w:r w:rsidR="00BB7280" w:rsidRPr="00EC356F">
        <w:rPr>
          <w:rFonts w:ascii="Times New Roman" w:hAnsi="Times New Roman" w:cs="Times New Roman"/>
          <w:bCs/>
          <w:iCs/>
          <w:sz w:val="21"/>
          <w:szCs w:val="21"/>
        </w:rPr>
        <w:t xml:space="preserve">. </w:t>
      </w:r>
      <w:r w:rsidR="00BB7280">
        <w:rPr>
          <w:rFonts w:ascii="Times New Roman" w:hAnsi="Times New Roman" w:cs="Times New Roman"/>
          <w:bCs/>
          <w:iCs/>
          <w:sz w:val="21"/>
          <w:szCs w:val="21"/>
        </w:rPr>
        <w:t>Weak investment climate observable since the start of the year was due to</w:t>
      </w:r>
      <w:r w:rsidRPr="00EC356F">
        <w:rPr>
          <w:rFonts w:ascii="Times New Roman" w:hAnsi="Times New Roman" w:cs="Times New Roman"/>
          <w:bCs/>
          <w:iCs/>
          <w:sz w:val="21"/>
          <w:szCs w:val="21"/>
        </w:rPr>
        <w:t xml:space="preserve"> </w:t>
      </w:r>
      <w:r w:rsidR="00BB7280">
        <w:rPr>
          <w:rFonts w:ascii="Times New Roman" w:hAnsi="Times New Roman" w:cs="Times New Roman"/>
          <w:bCs/>
          <w:iCs/>
          <w:sz w:val="21"/>
          <w:szCs w:val="21"/>
        </w:rPr>
        <w:t xml:space="preserve">a </w:t>
      </w:r>
      <w:r w:rsidRPr="00EC356F">
        <w:rPr>
          <w:rFonts w:ascii="Times New Roman" w:hAnsi="Times New Roman" w:cs="Times New Roman"/>
          <w:bCs/>
          <w:iCs/>
          <w:sz w:val="21"/>
          <w:szCs w:val="21"/>
        </w:rPr>
        <w:t>decline in construction and sluggish economic activity</w:t>
      </w:r>
      <w:r w:rsidR="00BB7280">
        <w:rPr>
          <w:rFonts w:ascii="Times New Roman" w:hAnsi="Times New Roman" w:cs="Times New Roman"/>
          <w:bCs/>
          <w:iCs/>
          <w:sz w:val="21"/>
          <w:szCs w:val="21"/>
        </w:rPr>
        <w:t xml:space="preserve"> on the whole</w:t>
      </w:r>
      <w:r w:rsidRPr="00EC356F">
        <w:rPr>
          <w:rFonts w:ascii="Times New Roman" w:hAnsi="Times New Roman" w:cs="Times New Roman"/>
          <w:bCs/>
          <w:iCs/>
          <w:sz w:val="21"/>
          <w:szCs w:val="21"/>
        </w:rPr>
        <w:t xml:space="preserve">. </w:t>
      </w:r>
    </w:p>
    <w:p w14:paraId="051F0BFE" w14:textId="77777777" w:rsidR="00A9653E" w:rsidRPr="00BB7280" w:rsidRDefault="00A9653E"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The results of the Central Bank investment surveys</w:t>
      </w:r>
      <w:r w:rsidR="00D22F97">
        <w:rPr>
          <w:rStyle w:val="FootnoteReference"/>
          <w:rFonts w:ascii="Times New Roman" w:hAnsi="Times New Roman" w:cs="Times New Roman"/>
          <w:bCs/>
          <w:iCs/>
          <w:sz w:val="21"/>
          <w:szCs w:val="21"/>
        </w:rPr>
        <w:footnoteReference w:customMarkFollows="1" w:id="20"/>
        <w:t>20</w:t>
      </w:r>
      <w:r w:rsidRPr="00EC356F">
        <w:rPr>
          <w:rFonts w:ascii="Times New Roman" w:hAnsi="Times New Roman" w:cs="Times New Roman"/>
          <w:bCs/>
          <w:iCs/>
          <w:sz w:val="21"/>
          <w:szCs w:val="21"/>
        </w:rPr>
        <w:t xml:space="preserve"> of Armenian companies point to </w:t>
      </w:r>
      <w:r w:rsidR="00BB7280">
        <w:rPr>
          <w:rFonts w:ascii="Times New Roman" w:hAnsi="Times New Roman" w:cs="Times New Roman"/>
          <w:bCs/>
          <w:iCs/>
          <w:sz w:val="21"/>
          <w:szCs w:val="21"/>
        </w:rPr>
        <w:t>a</w:t>
      </w:r>
      <w:r w:rsidRPr="00EC356F">
        <w:rPr>
          <w:rFonts w:ascii="Times New Roman" w:hAnsi="Times New Roman" w:cs="Times New Roman"/>
          <w:bCs/>
          <w:iCs/>
          <w:sz w:val="21"/>
          <w:szCs w:val="21"/>
        </w:rPr>
        <w:t xml:space="preserve"> low investment activity during the </w:t>
      </w:r>
      <w:r w:rsidR="00BB7280">
        <w:rPr>
          <w:rFonts w:ascii="Times New Roman" w:hAnsi="Times New Roman" w:cs="Times New Roman"/>
          <w:bCs/>
          <w:iCs/>
          <w:sz w:val="21"/>
          <w:szCs w:val="21"/>
        </w:rPr>
        <w:t>3r</w:t>
      </w:r>
      <w:r w:rsidRPr="00EC356F">
        <w:rPr>
          <w:rFonts w:ascii="Times New Roman" w:hAnsi="Times New Roman" w:cs="Times New Roman"/>
          <w:bCs/>
          <w:iCs/>
          <w:sz w:val="21"/>
          <w:szCs w:val="21"/>
        </w:rPr>
        <w:t>d quarter.</w:t>
      </w:r>
      <w:r w:rsidR="00BB7280">
        <w:rPr>
          <w:rFonts w:ascii="Times New Roman" w:hAnsi="Times New Roman" w:cs="Times New Roman"/>
          <w:bCs/>
          <w:iCs/>
          <w:sz w:val="21"/>
          <w:szCs w:val="21"/>
        </w:rPr>
        <w:t xml:space="preserve"> The share of t</w:t>
      </w:r>
      <w:r w:rsidRPr="00EC356F">
        <w:rPr>
          <w:rFonts w:ascii="Times New Roman" w:hAnsi="Times New Roman" w:cs="Times New Roman"/>
          <w:sz w:val="21"/>
          <w:szCs w:val="21"/>
        </w:rPr>
        <w:t xml:space="preserve">he companies </w:t>
      </w:r>
      <w:r w:rsidR="00BB7280">
        <w:rPr>
          <w:rFonts w:ascii="Times New Roman" w:hAnsi="Times New Roman" w:cs="Times New Roman"/>
          <w:sz w:val="21"/>
          <w:szCs w:val="21"/>
        </w:rPr>
        <w:t xml:space="preserve">having invested was much the same, 21% of respondents of the survey, in relation to the previous reference period. This </w:t>
      </w:r>
      <w:r w:rsidR="00312E16">
        <w:rPr>
          <w:rFonts w:ascii="Times New Roman" w:hAnsi="Times New Roman" w:cs="Times New Roman"/>
          <w:sz w:val="21"/>
          <w:szCs w:val="21"/>
        </w:rPr>
        <w:t xml:space="preserve">is much below the average historical indicator.  </w:t>
      </w:r>
      <w:r w:rsidR="00BB7280">
        <w:rPr>
          <w:rFonts w:ascii="Times New Roman" w:hAnsi="Times New Roman" w:cs="Times New Roman"/>
          <w:sz w:val="21"/>
          <w:szCs w:val="21"/>
        </w:rPr>
        <w:t xml:space="preserve"> </w:t>
      </w:r>
    </w:p>
    <w:p w14:paraId="131BC30D"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According to the survey, the number of investor companies is relatively large in industry and </w:t>
      </w:r>
      <w:r w:rsidR="00312E16">
        <w:rPr>
          <w:rFonts w:ascii="Times New Roman" w:hAnsi="Times New Roman" w:cs="Times New Roman"/>
          <w:sz w:val="21"/>
          <w:szCs w:val="21"/>
        </w:rPr>
        <w:t xml:space="preserve">services </w:t>
      </w:r>
      <w:r w:rsidRPr="00EC356F">
        <w:rPr>
          <w:rFonts w:ascii="Times New Roman" w:hAnsi="Times New Roman" w:cs="Times New Roman"/>
          <w:sz w:val="21"/>
          <w:szCs w:val="21"/>
        </w:rPr>
        <w:t xml:space="preserve">sectors, whereas the number of companies investing in construction </w:t>
      </w:r>
      <w:r w:rsidR="00312E16">
        <w:rPr>
          <w:rFonts w:ascii="Times New Roman" w:hAnsi="Times New Roman" w:cs="Times New Roman"/>
          <w:sz w:val="21"/>
          <w:szCs w:val="21"/>
        </w:rPr>
        <w:t xml:space="preserve">and trade </w:t>
      </w:r>
      <w:r w:rsidRPr="00EC356F">
        <w:rPr>
          <w:rFonts w:ascii="Times New Roman" w:hAnsi="Times New Roman" w:cs="Times New Roman"/>
          <w:sz w:val="21"/>
          <w:szCs w:val="21"/>
        </w:rPr>
        <w:t>trended downward.</w:t>
      </w:r>
    </w:p>
    <w:p w14:paraId="2B1690E8" w14:textId="77777777" w:rsidR="00A9653E" w:rsidRPr="00EC356F" w:rsidRDefault="00AC2891"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I</w:t>
      </w:r>
      <w:r w:rsidR="00A9653E" w:rsidRPr="00EC356F">
        <w:rPr>
          <w:rFonts w:ascii="Times New Roman" w:hAnsi="Times New Roman" w:cs="Times New Roman"/>
          <w:bCs/>
          <w:iCs/>
          <w:sz w:val="21"/>
          <w:szCs w:val="21"/>
        </w:rPr>
        <w:t xml:space="preserve">n the </w:t>
      </w:r>
      <w:r>
        <w:rPr>
          <w:rFonts w:ascii="Times New Roman" w:hAnsi="Times New Roman" w:cs="Times New Roman"/>
          <w:bCs/>
          <w:iCs/>
          <w:sz w:val="21"/>
          <w:szCs w:val="21"/>
        </w:rPr>
        <w:t>3r</w:t>
      </w:r>
      <w:r w:rsidR="00A9653E" w:rsidRPr="00EC356F">
        <w:rPr>
          <w:rFonts w:ascii="Times New Roman" w:hAnsi="Times New Roman" w:cs="Times New Roman"/>
          <w:bCs/>
          <w:iCs/>
          <w:sz w:val="21"/>
          <w:szCs w:val="21"/>
        </w:rPr>
        <w:t>d quarter of 2014</w:t>
      </w:r>
      <w:r>
        <w:rPr>
          <w:rFonts w:ascii="Times New Roman" w:hAnsi="Times New Roman" w:cs="Times New Roman"/>
          <w:bCs/>
          <w:iCs/>
          <w:sz w:val="21"/>
          <w:szCs w:val="21"/>
        </w:rPr>
        <w:t>,</w:t>
      </w:r>
      <w:r w:rsidR="00A9653E" w:rsidRPr="00EC356F">
        <w:rPr>
          <w:rFonts w:ascii="Times New Roman" w:hAnsi="Times New Roman" w:cs="Times New Roman"/>
          <w:bCs/>
          <w:iCs/>
          <w:sz w:val="21"/>
          <w:szCs w:val="21"/>
        </w:rPr>
        <w:t xml:space="preserve"> </w:t>
      </w:r>
      <w:r w:rsidR="00A9653E" w:rsidRPr="00EC356F">
        <w:rPr>
          <w:rFonts w:ascii="Times New Roman" w:hAnsi="Times New Roman" w:cs="Times New Roman"/>
          <w:b/>
          <w:bCs/>
          <w:iCs/>
          <w:sz w:val="21"/>
          <w:szCs w:val="21"/>
        </w:rPr>
        <w:t>private spending</w:t>
      </w:r>
      <w:r w:rsidR="00A9653E" w:rsidRPr="00EC356F">
        <w:rPr>
          <w:rFonts w:ascii="Times New Roman" w:hAnsi="Times New Roman" w:cs="Times New Roman"/>
          <w:bCs/>
          <w:iCs/>
          <w:sz w:val="21"/>
          <w:szCs w:val="21"/>
        </w:rPr>
        <w:t xml:space="preserve"> posted </w:t>
      </w:r>
      <w:r>
        <w:rPr>
          <w:rFonts w:ascii="Times New Roman" w:hAnsi="Times New Roman" w:cs="Times New Roman"/>
          <w:bCs/>
          <w:iCs/>
          <w:sz w:val="21"/>
          <w:szCs w:val="21"/>
        </w:rPr>
        <w:t>0</w:t>
      </w:r>
      <w:r w:rsidR="00A9653E" w:rsidRPr="00EC356F">
        <w:rPr>
          <w:rFonts w:ascii="Times New Roman" w:hAnsi="Times New Roman" w:cs="Times New Roman"/>
          <w:bCs/>
          <w:iCs/>
          <w:sz w:val="21"/>
          <w:szCs w:val="21"/>
        </w:rPr>
        <w:t>.</w:t>
      </w:r>
      <w:r>
        <w:rPr>
          <w:rFonts w:ascii="Times New Roman" w:hAnsi="Times New Roman" w:cs="Times New Roman"/>
          <w:bCs/>
          <w:iCs/>
          <w:sz w:val="21"/>
          <w:szCs w:val="21"/>
        </w:rPr>
        <w:t>6</w:t>
      </w:r>
      <w:r w:rsidR="00A9653E" w:rsidRPr="00EC356F">
        <w:rPr>
          <w:rFonts w:ascii="Times New Roman" w:hAnsi="Times New Roman" w:cs="Times New Roman"/>
          <w:bCs/>
          <w:iCs/>
          <w:sz w:val="21"/>
          <w:szCs w:val="21"/>
        </w:rPr>
        <w:t xml:space="preserve">% </w:t>
      </w:r>
      <w:r>
        <w:rPr>
          <w:rFonts w:ascii="Times New Roman" w:hAnsi="Times New Roman" w:cs="Times New Roman"/>
          <w:bCs/>
          <w:iCs/>
          <w:sz w:val="21"/>
          <w:szCs w:val="21"/>
        </w:rPr>
        <w:t>decline</w:t>
      </w:r>
      <w:r w:rsidR="00A9653E" w:rsidRPr="00EC356F">
        <w:rPr>
          <w:rFonts w:ascii="Times New Roman" w:hAnsi="Times New Roman" w:cs="Times New Roman"/>
          <w:bCs/>
          <w:iCs/>
          <w:sz w:val="21"/>
          <w:szCs w:val="21"/>
        </w:rPr>
        <w:t xml:space="preserve"> in relation to the </w:t>
      </w:r>
      <w:r>
        <w:rPr>
          <w:rFonts w:ascii="Times New Roman" w:hAnsi="Times New Roman" w:cs="Times New Roman"/>
          <w:bCs/>
          <w:iCs/>
          <w:sz w:val="21"/>
          <w:szCs w:val="21"/>
        </w:rPr>
        <w:t>3rd</w:t>
      </w:r>
      <w:r w:rsidR="00A9653E" w:rsidRPr="00EC356F">
        <w:rPr>
          <w:rFonts w:ascii="Times New Roman" w:hAnsi="Times New Roman" w:cs="Times New Roman"/>
          <w:bCs/>
          <w:iCs/>
          <w:sz w:val="21"/>
          <w:szCs w:val="21"/>
        </w:rPr>
        <w:t xml:space="preserve"> quarter of the previous year. </w:t>
      </w:r>
    </w:p>
    <w:p w14:paraId="1BC1DD30" w14:textId="77777777" w:rsidR="00A9653E" w:rsidRPr="00EC356F" w:rsidRDefault="00A9653E"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sz w:val="21"/>
          <w:szCs w:val="21"/>
        </w:rPr>
        <w:t xml:space="preserve">On the back of the aforementioned developments with private consumption and investment, the private spending gap in the </w:t>
      </w:r>
      <w:r w:rsidR="00595B06">
        <w:rPr>
          <w:rFonts w:ascii="Times New Roman" w:hAnsi="Times New Roman" w:cs="Times New Roman"/>
          <w:sz w:val="21"/>
          <w:szCs w:val="21"/>
        </w:rPr>
        <w:t>3r</w:t>
      </w:r>
      <w:r w:rsidRPr="00EC356F">
        <w:rPr>
          <w:rFonts w:ascii="Times New Roman" w:hAnsi="Times New Roman" w:cs="Times New Roman"/>
          <w:sz w:val="21"/>
          <w:szCs w:val="21"/>
        </w:rPr>
        <w:t xml:space="preserve">d quarter of 2014 is estimated largely negative, </w:t>
      </w:r>
      <w:r w:rsidR="00595B06">
        <w:rPr>
          <w:rFonts w:ascii="Times New Roman" w:hAnsi="Times New Roman" w:cs="Times New Roman"/>
          <w:sz w:val="21"/>
          <w:szCs w:val="21"/>
        </w:rPr>
        <w:t xml:space="preserve">leaving </w:t>
      </w:r>
      <w:r w:rsidRPr="00EC356F">
        <w:rPr>
          <w:rFonts w:ascii="Times New Roman" w:hAnsi="Times New Roman" w:cs="Times New Roman"/>
          <w:sz w:val="21"/>
          <w:szCs w:val="21"/>
        </w:rPr>
        <w:t>1.</w:t>
      </w:r>
      <w:r w:rsidR="00595B06">
        <w:rPr>
          <w:rFonts w:ascii="Times New Roman" w:hAnsi="Times New Roman" w:cs="Times New Roman"/>
          <w:sz w:val="21"/>
          <w:szCs w:val="21"/>
        </w:rPr>
        <w:t>8</w:t>
      </w:r>
      <w:r w:rsidRPr="00EC356F">
        <w:rPr>
          <w:rFonts w:ascii="Times New Roman" w:hAnsi="Times New Roman" w:cs="Times New Roman"/>
          <w:sz w:val="21"/>
          <w:szCs w:val="21"/>
        </w:rPr>
        <w:t>-</w:t>
      </w:r>
      <w:r w:rsidR="00595B06">
        <w:rPr>
          <w:rFonts w:ascii="Times New Roman" w:hAnsi="Times New Roman" w:cs="Times New Roman"/>
          <w:sz w:val="21"/>
          <w:szCs w:val="21"/>
        </w:rPr>
        <w:t>2</w:t>
      </w:r>
      <w:r w:rsidRPr="00EC356F">
        <w:rPr>
          <w:rFonts w:ascii="Times New Roman" w:hAnsi="Times New Roman" w:cs="Times New Roman"/>
          <w:sz w:val="21"/>
          <w:szCs w:val="21"/>
        </w:rPr>
        <w:t>.</w:t>
      </w:r>
      <w:r w:rsidR="00595B06">
        <w:rPr>
          <w:rFonts w:ascii="Times New Roman" w:hAnsi="Times New Roman" w:cs="Times New Roman"/>
          <w:sz w:val="21"/>
          <w:szCs w:val="21"/>
        </w:rPr>
        <w:t>0</w:t>
      </w:r>
      <w:r w:rsidRPr="00EC356F">
        <w:rPr>
          <w:rFonts w:ascii="Times New Roman" w:hAnsi="Times New Roman" w:cs="Times New Roman"/>
          <w:sz w:val="21"/>
          <w:szCs w:val="21"/>
        </w:rPr>
        <w:t xml:space="preserve"> pp of contractionary impact on the inflation.</w:t>
      </w:r>
    </w:p>
    <w:p w14:paraId="774F4A28" w14:textId="77777777" w:rsidR="00A9653E" w:rsidRPr="00EC356F" w:rsidRDefault="00052637"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According to the Central Bank estimates, i</w:t>
      </w:r>
      <w:r w:rsidR="00A9653E" w:rsidRPr="00EC356F">
        <w:rPr>
          <w:rFonts w:ascii="Times New Roman" w:hAnsi="Times New Roman" w:cs="Times New Roman"/>
          <w:sz w:val="21"/>
          <w:szCs w:val="21"/>
        </w:rPr>
        <w:t xml:space="preserve">n the </w:t>
      </w:r>
      <w:r w:rsidR="00DA2527">
        <w:rPr>
          <w:rFonts w:ascii="Times New Roman" w:hAnsi="Times New Roman" w:cs="Times New Roman"/>
          <w:sz w:val="21"/>
          <w:szCs w:val="21"/>
        </w:rPr>
        <w:t>3r</w:t>
      </w:r>
      <w:r w:rsidR="00A9653E" w:rsidRPr="00EC356F">
        <w:rPr>
          <w:rFonts w:ascii="Times New Roman" w:hAnsi="Times New Roman" w:cs="Times New Roman"/>
          <w:sz w:val="21"/>
          <w:szCs w:val="21"/>
        </w:rPr>
        <w:t>d quarter of 2014</w:t>
      </w:r>
      <w:r>
        <w:rPr>
          <w:rFonts w:ascii="Times New Roman" w:hAnsi="Times New Roman" w:cs="Times New Roman"/>
          <w:sz w:val="21"/>
          <w:szCs w:val="21"/>
        </w:rPr>
        <w:t xml:space="preserve"> the negative balance of net export in real terms deteriorated. </w:t>
      </w:r>
      <w:r w:rsidR="00634E66">
        <w:rPr>
          <w:rFonts w:ascii="Times New Roman" w:hAnsi="Times New Roman" w:cs="Times New Roman"/>
          <w:sz w:val="21"/>
          <w:szCs w:val="21"/>
        </w:rPr>
        <w:t>Thus, t</w:t>
      </w:r>
      <w:r w:rsidR="00A9653E" w:rsidRPr="00EC356F">
        <w:rPr>
          <w:rFonts w:ascii="Times New Roman" w:hAnsi="Times New Roman" w:cs="Times New Roman"/>
          <w:sz w:val="21"/>
          <w:szCs w:val="21"/>
        </w:rPr>
        <w:t xml:space="preserve">he growth rates of export of goods and services in real terms amounted to </w:t>
      </w:r>
      <w:r w:rsidR="00634E66">
        <w:rPr>
          <w:rFonts w:ascii="Times New Roman" w:hAnsi="Times New Roman" w:cs="Times New Roman"/>
          <w:sz w:val="21"/>
          <w:szCs w:val="21"/>
        </w:rPr>
        <w:t>2</w:t>
      </w:r>
      <w:r w:rsidR="00A9653E" w:rsidRPr="00EC356F">
        <w:rPr>
          <w:rFonts w:ascii="Times New Roman" w:hAnsi="Times New Roman" w:cs="Times New Roman"/>
          <w:sz w:val="21"/>
          <w:szCs w:val="21"/>
        </w:rPr>
        <w:t>.2% y/y</w:t>
      </w:r>
      <w:r w:rsidR="00634E66">
        <w:rPr>
          <w:rFonts w:ascii="Times New Roman" w:hAnsi="Times New Roman" w:cs="Times New Roman"/>
          <w:sz w:val="21"/>
          <w:szCs w:val="21"/>
        </w:rPr>
        <w:t xml:space="preserve"> and t</w:t>
      </w:r>
      <w:r w:rsidR="00A9653E" w:rsidRPr="00EC356F">
        <w:rPr>
          <w:rFonts w:ascii="Times New Roman" w:hAnsi="Times New Roman" w:cs="Times New Roman"/>
          <w:sz w:val="21"/>
          <w:szCs w:val="21"/>
        </w:rPr>
        <w:t>he growth rates</w:t>
      </w:r>
      <w:r w:rsidR="00A9653E" w:rsidRPr="00EC356F">
        <w:rPr>
          <w:rStyle w:val="FootnoteReference"/>
          <w:rFonts w:ascii="Times New Roman" w:hAnsi="Times New Roman" w:cs="Times New Roman"/>
          <w:sz w:val="21"/>
          <w:szCs w:val="21"/>
        </w:rPr>
        <w:footnoteReference w:customMarkFollows="1" w:id="21"/>
        <w:t>21</w:t>
      </w:r>
      <w:r w:rsidR="00A9653E" w:rsidRPr="00EC356F">
        <w:rPr>
          <w:rFonts w:ascii="Times New Roman" w:hAnsi="Times New Roman" w:cs="Times New Roman"/>
          <w:sz w:val="21"/>
          <w:szCs w:val="21"/>
        </w:rPr>
        <w:t xml:space="preserve"> of import of goods and services in real terms </w:t>
      </w:r>
      <w:r w:rsidR="00634E66">
        <w:rPr>
          <w:rFonts w:ascii="Times New Roman" w:hAnsi="Times New Roman" w:cs="Times New Roman"/>
          <w:sz w:val="21"/>
          <w:szCs w:val="21"/>
        </w:rPr>
        <w:t>reached 13.0% y/y</w:t>
      </w:r>
      <w:r w:rsidR="00A9653E" w:rsidRPr="00EC356F">
        <w:rPr>
          <w:rStyle w:val="FootnoteReference"/>
          <w:rFonts w:ascii="Times New Roman" w:hAnsi="Times New Roman" w:cs="Times New Roman"/>
          <w:sz w:val="21"/>
          <w:szCs w:val="21"/>
        </w:rPr>
        <w:footnoteReference w:customMarkFollows="1" w:id="22"/>
        <w:t>22</w:t>
      </w:r>
      <w:r w:rsidR="00A9653E" w:rsidRPr="00EC356F">
        <w:rPr>
          <w:rFonts w:ascii="Times New Roman" w:hAnsi="Times New Roman" w:cs="Times New Roman"/>
          <w:sz w:val="21"/>
          <w:szCs w:val="21"/>
        </w:rPr>
        <w:t>.</w:t>
      </w:r>
      <w:r w:rsidR="00C70768">
        <w:rPr>
          <w:rFonts w:ascii="Times New Roman" w:hAnsi="Times New Roman" w:cs="Times New Roman"/>
          <w:sz w:val="21"/>
          <w:szCs w:val="21"/>
        </w:rPr>
        <w:t xml:space="preserve"> Despite a sluggish external demand, the export developments created inflationary pressures driven by extra export volumes of agricultural product.  </w:t>
      </w:r>
    </w:p>
    <w:p w14:paraId="37DCEAED" w14:textId="36D1FEA1" w:rsidR="00A9653E" w:rsidRPr="00EC356F" w:rsidRDefault="00C70768"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lastRenderedPageBreak/>
        <w:t>In the 3r</w:t>
      </w:r>
      <w:r w:rsidR="00A9653E" w:rsidRPr="00EC356F">
        <w:rPr>
          <w:rFonts w:ascii="Times New Roman" w:hAnsi="Times New Roman" w:cs="Times New Roman"/>
          <w:bCs/>
          <w:iCs/>
          <w:sz w:val="21"/>
          <w:szCs w:val="21"/>
        </w:rPr>
        <w:t xml:space="preserve">d quarter of 2014, growth rates of net inflow of non-commercial remittances of individuals via the banking system slowed down </w:t>
      </w:r>
      <w:r>
        <w:rPr>
          <w:rFonts w:ascii="Times New Roman" w:hAnsi="Times New Roman" w:cs="Times New Roman"/>
          <w:bCs/>
          <w:iCs/>
          <w:sz w:val="21"/>
          <w:szCs w:val="21"/>
        </w:rPr>
        <w:t>by 6.9</w:t>
      </w:r>
      <w:r w:rsidR="00A9653E" w:rsidRPr="00EC356F">
        <w:rPr>
          <w:rFonts w:ascii="Times New Roman" w:hAnsi="Times New Roman" w:cs="Times New Roman"/>
          <w:bCs/>
          <w:iCs/>
          <w:sz w:val="21"/>
          <w:szCs w:val="21"/>
        </w:rPr>
        <w:t>% y/y</w:t>
      </w:r>
      <w:r>
        <w:rPr>
          <w:rFonts w:ascii="Times New Roman" w:hAnsi="Times New Roman" w:cs="Times New Roman"/>
          <w:bCs/>
          <w:iCs/>
          <w:sz w:val="21"/>
          <w:szCs w:val="21"/>
        </w:rPr>
        <w:t xml:space="preserve"> due to a low economic growth in Russia and </w:t>
      </w:r>
      <w:r w:rsidR="0011376E">
        <w:rPr>
          <w:rFonts w:ascii="Times New Roman" w:hAnsi="Times New Roman" w:cs="Times New Roman"/>
          <w:bCs/>
          <w:iCs/>
          <w:sz w:val="21"/>
          <w:szCs w:val="21"/>
        </w:rPr>
        <w:t xml:space="preserve">depreciation of Russian </w:t>
      </w:r>
      <w:r>
        <w:rPr>
          <w:rFonts w:ascii="Times New Roman" w:hAnsi="Times New Roman" w:cs="Times New Roman"/>
          <w:bCs/>
          <w:iCs/>
          <w:sz w:val="21"/>
          <w:szCs w:val="21"/>
        </w:rPr>
        <w:t xml:space="preserve"> ruble</w:t>
      </w:r>
      <w:r w:rsidR="006C5637">
        <w:rPr>
          <w:rStyle w:val="FootnoteReference"/>
          <w:rFonts w:ascii="Times New Roman" w:hAnsi="Times New Roman" w:cs="Times New Roman"/>
          <w:bCs/>
          <w:iCs/>
          <w:sz w:val="21"/>
          <w:szCs w:val="21"/>
        </w:rPr>
        <w:footnoteReference w:customMarkFollows="1" w:id="23"/>
        <w:t>23</w:t>
      </w:r>
      <w:r w:rsidR="00A9653E" w:rsidRPr="00EC356F">
        <w:rPr>
          <w:rFonts w:ascii="Times New Roman" w:hAnsi="Times New Roman" w:cs="Times New Roman"/>
          <w:bCs/>
          <w:iCs/>
          <w:sz w:val="21"/>
          <w:szCs w:val="21"/>
        </w:rPr>
        <w:t>.</w:t>
      </w:r>
    </w:p>
    <w:p w14:paraId="312D4C75" w14:textId="77777777" w:rsidR="00A9653E" w:rsidRPr="00EC356F" w:rsidRDefault="00A9653E" w:rsidP="00A9653E">
      <w:pPr>
        <w:tabs>
          <w:tab w:val="left" w:pos="600"/>
        </w:tabs>
        <w:spacing w:after="120" w:line="270" w:lineRule="atLeast"/>
        <w:jc w:val="both"/>
        <w:rPr>
          <w:rFonts w:ascii="Times New Roman" w:hAnsi="Times New Roman" w:cs="Times New Roman"/>
          <w:b/>
          <w:iCs/>
          <w:sz w:val="21"/>
          <w:szCs w:val="21"/>
        </w:rPr>
      </w:pPr>
      <w:r w:rsidRPr="00EC356F">
        <w:rPr>
          <w:rFonts w:ascii="Times New Roman" w:hAnsi="Times New Roman" w:cs="Times New Roman"/>
          <w:b/>
          <w:bCs/>
          <w:iCs/>
          <w:sz w:val="21"/>
          <w:szCs w:val="21"/>
        </w:rPr>
        <w:t>3.2.3. Labor market</w:t>
      </w:r>
      <w:r w:rsidR="00940E1E">
        <w:rPr>
          <w:rStyle w:val="FootnoteReference"/>
          <w:rFonts w:ascii="Times New Roman" w:hAnsi="Times New Roman" w:cs="Times New Roman"/>
          <w:b/>
          <w:iCs/>
          <w:sz w:val="21"/>
          <w:szCs w:val="21"/>
        </w:rPr>
        <w:footnoteReference w:customMarkFollows="1" w:id="24"/>
        <w:t>24</w:t>
      </w:r>
    </w:p>
    <w:p w14:paraId="31DAED7C" w14:textId="31223278" w:rsidR="00A9653E" w:rsidRPr="00EC356F" w:rsidRDefault="00D60711" w:rsidP="00A9653E">
      <w:pPr>
        <w:spacing w:line="360" w:lineRule="auto"/>
        <w:jc w:val="both"/>
        <w:rPr>
          <w:rFonts w:ascii="Times New Roman" w:hAnsi="Times New Roman" w:cs="Times New Roman"/>
          <w:bCs/>
          <w:iCs/>
          <w:sz w:val="21"/>
          <w:szCs w:val="21"/>
        </w:rPr>
      </w:pPr>
      <w:r>
        <w:rPr>
          <w:rStyle w:val="longtext"/>
          <w:rFonts w:ascii="Times New Roman" w:hAnsi="Times New Roman" w:cs="Times New Roman"/>
          <w:sz w:val="21"/>
          <w:szCs w:val="21"/>
          <w:shd w:val="clear" w:color="auto" w:fill="FFFFFF"/>
        </w:rPr>
        <w:t>In the 3rd</w:t>
      </w:r>
      <w:r w:rsidR="00A9653E" w:rsidRPr="00EC356F">
        <w:rPr>
          <w:rStyle w:val="longtext"/>
          <w:rFonts w:ascii="Times New Roman" w:hAnsi="Times New Roman" w:cs="Times New Roman"/>
          <w:sz w:val="21"/>
          <w:szCs w:val="21"/>
          <w:shd w:val="clear" w:color="auto" w:fill="FFFFFF"/>
        </w:rPr>
        <w:t xml:space="preserve"> </w:t>
      </w:r>
      <w:r>
        <w:rPr>
          <w:rStyle w:val="longtext"/>
          <w:rFonts w:ascii="Times New Roman" w:hAnsi="Times New Roman" w:cs="Times New Roman"/>
          <w:sz w:val="21"/>
          <w:szCs w:val="21"/>
          <w:shd w:val="clear" w:color="auto" w:fill="FFFFFF"/>
        </w:rPr>
        <w:t xml:space="preserve">quarter of </w:t>
      </w:r>
      <w:r w:rsidR="00A9653E" w:rsidRPr="00EC356F">
        <w:rPr>
          <w:rStyle w:val="longtext"/>
          <w:rFonts w:ascii="Times New Roman" w:hAnsi="Times New Roman" w:cs="Times New Roman"/>
          <w:sz w:val="21"/>
          <w:szCs w:val="21"/>
          <w:shd w:val="clear" w:color="auto" w:fill="FFFFFF"/>
        </w:rPr>
        <w:t>2014</w:t>
      </w:r>
      <w:r>
        <w:rPr>
          <w:rStyle w:val="longtext"/>
          <w:rFonts w:ascii="Times New Roman" w:hAnsi="Times New Roman" w:cs="Times New Roman"/>
          <w:sz w:val="21"/>
          <w:szCs w:val="21"/>
          <w:shd w:val="clear" w:color="auto" w:fill="FFFFFF"/>
        </w:rPr>
        <w:t>,</w:t>
      </w:r>
      <w:r w:rsidR="00A9653E" w:rsidRPr="00EC356F">
        <w:rPr>
          <w:rStyle w:val="longtext"/>
          <w:rFonts w:ascii="Times New Roman" w:hAnsi="Times New Roman" w:cs="Times New Roman"/>
          <w:sz w:val="21"/>
          <w:szCs w:val="21"/>
          <w:shd w:val="clear" w:color="auto" w:fill="FFFFFF"/>
        </w:rPr>
        <w:t xml:space="preserve"> </w:t>
      </w:r>
      <w:r>
        <w:rPr>
          <w:rStyle w:val="longtext"/>
          <w:rFonts w:ascii="Times New Roman" w:hAnsi="Times New Roman" w:cs="Times New Roman"/>
          <w:sz w:val="21"/>
          <w:szCs w:val="21"/>
          <w:shd w:val="clear" w:color="auto" w:fill="FFFFFF"/>
        </w:rPr>
        <w:t xml:space="preserve">the </w:t>
      </w:r>
      <w:r w:rsidR="00EA0237" w:rsidRPr="00EA0237">
        <w:rPr>
          <w:rStyle w:val="longtext"/>
          <w:rFonts w:ascii="Times New Roman" w:hAnsi="Times New Roman" w:cs="Times New Roman"/>
          <w:b/>
          <w:sz w:val="21"/>
          <w:szCs w:val="21"/>
          <w:shd w:val="clear" w:color="auto" w:fill="FFFFFF"/>
        </w:rPr>
        <w:t xml:space="preserve">average nominal wage </w:t>
      </w:r>
      <w:r w:rsidR="00A9653E" w:rsidRPr="00EC356F">
        <w:rPr>
          <w:rFonts w:ascii="Times New Roman" w:hAnsi="Times New Roman" w:cs="Times New Roman"/>
          <w:b/>
          <w:bCs/>
          <w:iCs/>
          <w:sz w:val="21"/>
          <w:szCs w:val="21"/>
        </w:rPr>
        <w:t xml:space="preserve">growth rate </w:t>
      </w:r>
      <w:r w:rsidR="00A9653E" w:rsidRPr="00EC356F">
        <w:rPr>
          <w:rFonts w:ascii="Times New Roman" w:hAnsi="Times New Roman" w:cs="Times New Roman"/>
          <w:bCs/>
          <w:iCs/>
          <w:sz w:val="21"/>
          <w:szCs w:val="21"/>
        </w:rPr>
        <w:t xml:space="preserve">was </w:t>
      </w:r>
      <w:r w:rsidR="00EA0237">
        <w:rPr>
          <w:rFonts w:ascii="Times New Roman" w:hAnsi="Times New Roman" w:cs="Times New Roman"/>
          <w:bCs/>
          <w:iCs/>
          <w:sz w:val="21"/>
          <w:szCs w:val="21"/>
        </w:rPr>
        <w:t>slower than forecasted and amounted to 8</w:t>
      </w:r>
      <w:r w:rsidR="00A9653E" w:rsidRPr="00EC356F">
        <w:rPr>
          <w:rFonts w:ascii="Times New Roman" w:hAnsi="Times New Roman" w:cs="Times New Roman"/>
          <w:bCs/>
          <w:iCs/>
          <w:sz w:val="21"/>
          <w:szCs w:val="21"/>
        </w:rPr>
        <w:t>.</w:t>
      </w:r>
      <w:r w:rsidR="00EA0237">
        <w:rPr>
          <w:rFonts w:ascii="Times New Roman" w:hAnsi="Times New Roman" w:cs="Times New Roman"/>
          <w:bCs/>
          <w:iCs/>
          <w:sz w:val="21"/>
          <w:szCs w:val="21"/>
        </w:rPr>
        <w:t>8</w:t>
      </w:r>
      <w:r w:rsidR="00A9653E" w:rsidRPr="00EC356F">
        <w:rPr>
          <w:rFonts w:ascii="Times New Roman" w:hAnsi="Times New Roman" w:cs="Times New Roman"/>
          <w:bCs/>
          <w:iCs/>
          <w:sz w:val="21"/>
          <w:szCs w:val="21"/>
        </w:rPr>
        <w:t>%.</w:t>
      </w:r>
      <w:r w:rsidR="00EA0237">
        <w:rPr>
          <w:rFonts w:ascii="Times New Roman" w:hAnsi="Times New Roman" w:cs="Times New Roman"/>
          <w:bCs/>
          <w:iCs/>
          <w:sz w:val="21"/>
          <w:szCs w:val="21"/>
        </w:rPr>
        <w:t xml:space="preserve"> The slowing was attributable to a slower wage growth in the public sector </w:t>
      </w:r>
      <w:r w:rsidR="003D7E9B">
        <w:rPr>
          <w:rFonts w:ascii="Times New Roman" w:hAnsi="Times New Roman" w:cs="Times New Roman"/>
          <w:bCs/>
          <w:iCs/>
          <w:sz w:val="21"/>
          <w:szCs w:val="21"/>
        </w:rPr>
        <w:t xml:space="preserve">compared to </w:t>
      </w:r>
      <w:r w:rsidR="00EA0237">
        <w:rPr>
          <w:rFonts w:ascii="Times New Roman" w:hAnsi="Times New Roman" w:cs="Times New Roman"/>
          <w:bCs/>
          <w:iCs/>
          <w:sz w:val="21"/>
          <w:szCs w:val="21"/>
        </w:rPr>
        <w:t xml:space="preserve">the previous forecasts. </w:t>
      </w:r>
      <w:r w:rsidR="00EF6F8E" w:rsidRPr="00EC356F">
        <w:rPr>
          <w:rFonts w:ascii="Times New Roman" w:hAnsi="Times New Roman" w:cs="Times New Roman"/>
          <w:sz w:val="21"/>
          <w:szCs w:val="21"/>
        </w:rPr>
        <w:t xml:space="preserve">The increase of </w:t>
      </w:r>
      <w:r w:rsidR="00EF6F8E">
        <w:rPr>
          <w:rFonts w:ascii="Times New Roman" w:hAnsi="Times New Roman" w:cs="Times New Roman"/>
          <w:sz w:val="21"/>
          <w:szCs w:val="21"/>
        </w:rPr>
        <w:t xml:space="preserve">the wage in some areas of the public sector in July of 2014 pushed the average wage </w:t>
      </w:r>
      <w:r w:rsidR="003D7E9B">
        <w:rPr>
          <w:rFonts w:ascii="Times New Roman" w:hAnsi="Times New Roman" w:cs="Times New Roman"/>
          <w:sz w:val="21"/>
          <w:szCs w:val="21"/>
        </w:rPr>
        <w:t xml:space="preserve">growth </w:t>
      </w:r>
      <w:r w:rsidR="00EF6F8E">
        <w:rPr>
          <w:rFonts w:ascii="Times New Roman" w:hAnsi="Times New Roman" w:cs="Times New Roman"/>
          <w:sz w:val="21"/>
          <w:szCs w:val="21"/>
        </w:rPr>
        <w:t xml:space="preserve">up by 11% in the 3rd </w:t>
      </w:r>
      <w:r w:rsidR="00914CEA">
        <w:rPr>
          <w:rFonts w:ascii="Times New Roman" w:hAnsi="Times New Roman" w:cs="Times New Roman"/>
          <w:sz w:val="21"/>
          <w:szCs w:val="21"/>
        </w:rPr>
        <w:t xml:space="preserve">quarter, which represented a 6 pp increase of the growth rate in comparison with the 2nd quarter. </w:t>
      </w:r>
    </w:p>
    <w:p w14:paraId="36D584BD" w14:textId="77777777" w:rsidR="00A9653E" w:rsidRPr="00EC356F" w:rsidRDefault="00A9653E"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 xml:space="preserve">In the </w:t>
      </w:r>
      <w:r w:rsidR="008B47E2">
        <w:rPr>
          <w:rFonts w:ascii="Times New Roman" w:hAnsi="Times New Roman" w:cs="Times New Roman"/>
          <w:bCs/>
          <w:iCs/>
          <w:sz w:val="21"/>
          <w:szCs w:val="21"/>
        </w:rPr>
        <w:t>3r</w:t>
      </w:r>
      <w:r w:rsidRPr="00EC356F">
        <w:rPr>
          <w:rFonts w:ascii="Times New Roman" w:hAnsi="Times New Roman" w:cs="Times New Roman"/>
          <w:bCs/>
          <w:iCs/>
          <w:sz w:val="21"/>
          <w:szCs w:val="21"/>
        </w:rPr>
        <w:t>d quarter</w:t>
      </w:r>
      <w:r w:rsidR="008B47E2">
        <w:rPr>
          <w:rFonts w:ascii="Times New Roman" w:hAnsi="Times New Roman" w:cs="Times New Roman"/>
          <w:bCs/>
          <w:iCs/>
          <w:sz w:val="21"/>
          <w:szCs w:val="21"/>
        </w:rPr>
        <w:t xml:space="preserve"> of 2014</w:t>
      </w:r>
      <w:r w:rsidRPr="00EC356F">
        <w:rPr>
          <w:rFonts w:ascii="Times New Roman" w:hAnsi="Times New Roman" w:cs="Times New Roman"/>
          <w:bCs/>
          <w:iCs/>
          <w:sz w:val="21"/>
          <w:szCs w:val="21"/>
        </w:rPr>
        <w:t>, the private sector wage grow</w:t>
      </w:r>
      <w:r w:rsidR="008B47E2">
        <w:rPr>
          <w:rFonts w:ascii="Times New Roman" w:hAnsi="Times New Roman" w:cs="Times New Roman"/>
          <w:bCs/>
          <w:iCs/>
          <w:sz w:val="21"/>
          <w:szCs w:val="21"/>
        </w:rPr>
        <w:t>th wa</w:t>
      </w:r>
      <w:r w:rsidRPr="00EC356F">
        <w:rPr>
          <w:rFonts w:ascii="Times New Roman" w:hAnsi="Times New Roman" w:cs="Times New Roman"/>
          <w:bCs/>
          <w:iCs/>
          <w:sz w:val="21"/>
          <w:szCs w:val="21"/>
        </w:rPr>
        <w:t xml:space="preserve">s an estimated </w:t>
      </w:r>
      <w:r w:rsidR="008B47E2">
        <w:rPr>
          <w:rFonts w:ascii="Times New Roman" w:hAnsi="Times New Roman" w:cs="Times New Roman"/>
          <w:bCs/>
          <w:iCs/>
          <w:sz w:val="21"/>
          <w:szCs w:val="21"/>
        </w:rPr>
        <w:t>6</w:t>
      </w:r>
      <w:r w:rsidRPr="00EC356F">
        <w:rPr>
          <w:rFonts w:ascii="Times New Roman" w:hAnsi="Times New Roman" w:cs="Times New Roman"/>
          <w:bCs/>
          <w:iCs/>
          <w:sz w:val="21"/>
          <w:szCs w:val="21"/>
        </w:rPr>
        <w:t xml:space="preserve">.5%. </w:t>
      </w:r>
      <w:r w:rsidR="00EC356F" w:rsidRPr="00EC356F">
        <w:rPr>
          <w:rFonts w:ascii="Times New Roman" w:hAnsi="Times New Roman" w:cs="Times New Roman"/>
          <w:sz w:val="21"/>
          <w:szCs w:val="21"/>
        </w:rPr>
        <w:t>The increase of the minimum salary threshold as well as certain rise in wages in the private sector in the context of the funded pension reform notably contributed to the nominal wage increases in the private sector.</w:t>
      </w:r>
      <w:r w:rsidR="0094112D">
        <w:rPr>
          <w:rFonts w:ascii="Times New Roman" w:hAnsi="Times New Roman" w:cs="Times New Roman"/>
          <w:sz w:val="21"/>
          <w:szCs w:val="21"/>
        </w:rPr>
        <w:t xml:space="preserve"> The aforementioned factors notwithstanding, a relatively weak economic activity in the 3rd quarter exerted negative pressures on the wage in the private sector.    </w:t>
      </w:r>
    </w:p>
    <w:p w14:paraId="38522692" w14:textId="77777777" w:rsidR="00A9653E" w:rsidRPr="00EC356F" w:rsidRDefault="00DE7064"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A weak economic activity recorded in 2014 prompted the supply for the labor market to outgrow the demand for the labor market, with the employment rate posting a small growth of 0.2% in comparison with 1.2% growth of </w:t>
      </w:r>
      <w:r w:rsidRPr="00EC356F">
        <w:rPr>
          <w:rFonts w:ascii="Times New Roman" w:hAnsi="Times New Roman" w:cs="Times New Roman"/>
          <w:sz w:val="21"/>
          <w:szCs w:val="21"/>
        </w:rPr>
        <w:t>economically active population</w:t>
      </w:r>
      <w:r>
        <w:rPr>
          <w:rFonts w:ascii="Times New Roman" w:hAnsi="Times New Roman" w:cs="Times New Roman"/>
          <w:sz w:val="21"/>
          <w:szCs w:val="21"/>
        </w:rPr>
        <w:t>.</w:t>
      </w:r>
      <w:r w:rsidR="00991DF8">
        <w:rPr>
          <w:rFonts w:ascii="Times New Roman" w:hAnsi="Times New Roman" w:cs="Times New Roman"/>
          <w:sz w:val="21"/>
          <w:szCs w:val="21"/>
        </w:rPr>
        <w:t xml:space="preserve"> As a result, i</w:t>
      </w:r>
      <w:r w:rsidR="00A9653E" w:rsidRPr="00EC356F">
        <w:rPr>
          <w:rFonts w:ascii="Times New Roman" w:hAnsi="Times New Roman" w:cs="Times New Roman"/>
          <w:sz w:val="21"/>
          <w:szCs w:val="21"/>
        </w:rPr>
        <w:t xml:space="preserve">n the </w:t>
      </w:r>
      <w:r w:rsidR="00991DF8">
        <w:rPr>
          <w:rFonts w:ascii="Times New Roman" w:hAnsi="Times New Roman" w:cs="Times New Roman"/>
          <w:sz w:val="21"/>
          <w:szCs w:val="21"/>
        </w:rPr>
        <w:t>3r</w:t>
      </w:r>
      <w:r w:rsidR="00A9653E" w:rsidRPr="00EC356F">
        <w:rPr>
          <w:rFonts w:ascii="Times New Roman" w:hAnsi="Times New Roman" w:cs="Times New Roman"/>
          <w:sz w:val="21"/>
          <w:szCs w:val="21"/>
        </w:rPr>
        <w:t xml:space="preserve">d quarter of 2014, relative to the same period of the previous year, the </w:t>
      </w:r>
      <w:r w:rsidR="00A9653E" w:rsidRPr="00EC356F">
        <w:rPr>
          <w:rFonts w:ascii="Times New Roman" w:hAnsi="Times New Roman" w:cs="Times New Roman"/>
          <w:b/>
          <w:sz w:val="21"/>
          <w:szCs w:val="21"/>
        </w:rPr>
        <w:t>unemployment rate</w:t>
      </w:r>
      <w:r w:rsidR="00A9653E" w:rsidRPr="00EC356F">
        <w:rPr>
          <w:rFonts w:ascii="Times New Roman" w:hAnsi="Times New Roman" w:cs="Times New Roman"/>
          <w:sz w:val="21"/>
          <w:szCs w:val="21"/>
        </w:rPr>
        <w:t xml:space="preserve"> has increased by 0.</w:t>
      </w:r>
      <w:r w:rsidR="00991DF8">
        <w:rPr>
          <w:rFonts w:ascii="Times New Roman" w:hAnsi="Times New Roman" w:cs="Times New Roman"/>
          <w:sz w:val="21"/>
          <w:szCs w:val="21"/>
        </w:rPr>
        <w:t>6</w:t>
      </w:r>
      <w:r w:rsidR="00A9653E" w:rsidRPr="00EC356F">
        <w:rPr>
          <w:rFonts w:ascii="Times New Roman" w:hAnsi="Times New Roman" w:cs="Times New Roman"/>
          <w:sz w:val="21"/>
          <w:szCs w:val="21"/>
        </w:rPr>
        <w:t xml:space="preserve"> pp to 1</w:t>
      </w:r>
      <w:r w:rsidR="00991DF8">
        <w:rPr>
          <w:rFonts w:ascii="Times New Roman" w:hAnsi="Times New Roman" w:cs="Times New Roman"/>
          <w:sz w:val="21"/>
          <w:szCs w:val="21"/>
        </w:rPr>
        <w:t>6</w:t>
      </w:r>
      <w:r w:rsidR="00A9653E" w:rsidRPr="00EC356F">
        <w:rPr>
          <w:rFonts w:ascii="Times New Roman" w:hAnsi="Times New Roman" w:cs="Times New Roman"/>
          <w:sz w:val="21"/>
          <w:szCs w:val="21"/>
        </w:rPr>
        <w:t>.0%.</w:t>
      </w:r>
      <w:r w:rsidR="00D91AF9">
        <w:rPr>
          <w:rFonts w:ascii="Times New Roman" w:hAnsi="Times New Roman" w:cs="Times New Roman"/>
          <w:sz w:val="21"/>
          <w:szCs w:val="21"/>
        </w:rPr>
        <w:t xml:space="preserve"> During the quarter</w:t>
      </w:r>
      <w:r w:rsidR="00D91AF9" w:rsidRPr="00EC356F">
        <w:rPr>
          <w:rFonts w:ascii="Times New Roman" w:hAnsi="Times New Roman" w:cs="Times New Roman"/>
          <w:sz w:val="21"/>
          <w:szCs w:val="21"/>
        </w:rPr>
        <w:t xml:space="preserve"> </w:t>
      </w:r>
      <w:r w:rsidR="00D91AF9">
        <w:rPr>
          <w:rFonts w:ascii="Times New Roman" w:hAnsi="Times New Roman" w:cs="Times New Roman"/>
          <w:sz w:val="21"/>
          <w:szCs w:val="21"/>
        </w:rPr>
        <w:t xml:space="preserve">the unemployment rate grew faster-than-forecasted, which was determined by weak economic activity.   </w:t>
      </w:r>
    </w:p>
    <w:p w14:paraId="429E75B2" w14:textId="77777777" w:rsidR="005A4C65" w:rsidRDefault="0052389F" w:rsidP="00A9653E">
      <w:pPr>
        <w:spacing w:line="360" w:lineRule="auto"/>
        <w:jc w:val="both"/>
        <w:rPr>
          <w:rStyle w:val="longtext"/>
          <w:rFonts w:ascii="Times New Roman" w:hAnsi="Times New Roman" w:cs="Times New Roman"/>
          <w:sz w:val="21"/>
          <w:szCs w:val="21"/>
          <w:shd w:val="clear" w:color="auto" w:fill="FFFFFF"/>
        </w:rPr>
      </w:pPr>
      <w:r>
        <w:rPr>
          <w:rStyle w:val="longtext"/>
          <w:rFonts w:ascii="Times New Roman" w:hAnsi="Times New Roman" w:cs="Times New Roman"/>
          <w:sz w:val="21"/>
          <w:szCs w:val="21"/>
          <w:shd w:val="clear" w:color="auto" w:fill="FFFFFF"/>
        </w:rPr>
        <w:t>I</w:t>
      </w:r>
      <w:r w:rsidRPr="00EC356F">
        <w:rPr>
          <w:rStyle w:val="longtext"/>
          <w:rFonts w:ascii="Times New Roman" w:hAnsi="Times New Roman" w:cs="Times New Roman"/>
          <w:sz w:val="21"/>
          <w:szCs w:val="21"/>
          <w:shd w:val="clear" w:color="auto" w:fill="FFFFFF"/>
        </w:rPr>
        <w:t xml:space="preserve">n the </w:t>
      </w:r>
      <w:r>
        <w:rPr>
          <w:rStyle w:val="longtext"/>
          <w:rFonts w:ascii="Times New Roman" w:hAnsi="Times New Roman" w:cs="Times New Roman"/>
          <w:sz w:val="21"/>
          <w:szCs w:val="21"/>
          <w:shd w:val="clear" w:color="auto" w:fill="FFFFFF"/>
        </w:rPr>
        <w:t>3r</w:t>
      </w:r>
      <w:r w:rsidRPr="00EC356F">
        <w:rPr>
          <w:rStyle w:val="longtext"/>
          <w:rFonts w:ascii="Times New Roman" w:hAnsi="Times New Roman" w:cs="Times New Roman"/>
          <w:sz w:val="21"/>
          <w:szCs w:val="21"/>
          <w:shd w:val="clear" w:color="auto" w:fill="FFFFFF"/>
        </w:rPr>
        <w:t>d quarter of 2014</w:t>
      </w:r>
      <w:r>
        <w:rPr>
          <w:rStyle w:val="longtext"/>
          <w:rFonts w:ascii="Times New Roman" w:hAnsi="Times New Roman" w:cs="Times New Roman"/>
          <w:sz w:val="21"/>
          <w:szCs w:val="21"/>
          <w:shd w:val="clear" w:color="auto" w:fill="FFFFFF"/>
        </w:rPr>
        <w:t>, th</w:t>
      </w:r>
      <w:r w:rsidR="00A9653E" w:rsidRPr="00EC356F">
        <w:rPr>
          <w:rStyle w:val="longtext"/>
          <w:rFonts w:ascii="Times New Roman" w:hAnsi="Times New Roman" w:cs="Times New Roman"/>
          <w:sz w:val="21"/>
          <w:szCs w:val="21"/>
          <w:shd w:val="clear" w:color="auto" w:fill="FFFFFF"/>
        </w:rPr>
        <w:t>e labor market</w:t>
      </w:r>
      <w:r>
        <w:rPr>
          <w:rStyle w:val="longtext"/>
          <w:rFonts w:ascii="Times New Roman" w:hAnsi="Times New Roman" w:cs="Times New Roman"/>
          <w:sz w:val="21"/>
          <w:szCs w:val="21"/>
          <w:shd w:val="clear" w:color="auto" w:fill="FFFFFF"/>
        </w:rPr>
        <w:t xml:space="preserve"> </w:t>
      </w:r>
      <w:r w:rsidR="00A9653E" w:rsidRPr="00EC356F">
        <w:rPr>
          <w:rStyle w:val="longtext"/>
          <w:rFonts w:ascii="Times New Roman" w:hAnsi="Times New Roman" w:cs="Times New Roman"/>
          <w:sz w:val="21"/>
          <w:szCs w:val="21"/>
          <w:shd w:val="clear" w:color="auto" w:fill="FFFFFF"/>
        </w:rPr>
        <w:t xml:space="preserve">saw </w:t>
      </w:r>
      <w:r>
        <w:rPr>
          <w:rStyle w:val="longtext"/>
          <w:rFonts w:ascii="Times New Roman" w:hAnsi="Times New Roman" w:cs="Times New Roman"/>
          <w:sz w:val="21"/>
          <w:szCs w:val="21"/>
          <w:shd w:val="clear" w:color="auto" w:fill="FFFFFF"/>
        </w:rPr>
        <w:t xml:space="preserve">a slight </w:t>
      </w:r>
      <w:r w:rsidR="00A9653E" w:rsidRPr="00EC356F">
        <w:rPr>
          <w:rStyle w:val="longtext"/>
          <w:rFonts w:ascii="Times New Roman" w:hAnsi="Times New Roman" w:cs="Times New Roman"/>
          <w:sz w:val="21"/>
          <w:szCs w:val="21"/>
          <w:shd w:val="clear" w:color="auto" w:fill="FFFFFF"/>
        </w:rPr>
        <w:t>increase</w:t>
      </w:r>
      <w:r>
        <w:rPr>
          <w:rStyle w:val="longtext"/>
          <w:rFonts w:ascii="Times New Roman" w:hAnsi="Times New Roman" w:cs="Times New Roman"/>
          <w:sz w:val="21"/>
          <w:szCs w:val="21"/>
          <w:shd w:val="clear" w:color="auto" w:fill="FFFFFF"/>
        </w:rPr>
        <w:t xml:space="preserve"> in</w:t>
      </w:r>
      <w:r w:rsidR="00A9653E" w:rsidRPr="00EC356F">
        <w:rPr>
          <w:rStyle w:val="longtext"/>
          <w:rFonts w:ascii="Times New Roman" w:hAnsi="Times New Roman" w:cs="Times New Roman"/>
          <w:sz w:val="21"/>
          <w:szCs w:val="21"/>
          <w:shd w:val="clear" w:color="auto" w:fill="FFFFFF"/>
        </w:rPr>
        <w:t xml:space="preserve"> productivity</w:t>
      </w:r>
      <w:r>
        <w:rPr>
          <w:rStyle w:val="longtext"/>
          <w:rFonts w:ascii="Times New Roman" w:hAnsi="Times New Roman" w:cs="Times New Roman"/>
          <w:sz w:val="21"/>
          <w:szCs w:val="21"/>
          <w:shd w:val="clear" w:color="auto" w:fill="FFFFFF"/>
        </w:rPr>
        <w:t>, w</w:t>
      </w:r>
      <w:r w:rsidR="005A4C65">
        <w:rPr>
          <w:rStyle w:val="longtext"/>
          <w:rFonts w:ascii="Times New Roman" w:hAnsi="Times New Roman" w:cs="Times New Roman"/>
          <w:sz w:val="21"/>
          <w:szCs w:val="21"/>
          <w:shd w:val="clear" w:color="auto" w:fill="FFFFFF"/>
        </w:rPr>
        <w:t xml:space="preserve">hile </w:t>
      </w:r>
      <w:r>
        <w:rPr>
          <w:rStyle w:val="longtext"/>
          <w:rFonts w:ascii="Times New Roman" w:hAnsi="Times New Roman" w:cs="Times New Roman"/>
          <w:sz w:val="21"/>
          <w:szCs w:val="21"/>
          <w:shd w:val="clear" w:color="auto" w:fill="FFFFFF"/>
        </w:rPr>
        <w:t xml:space="preserve">the </w:t>
      </w:r>
      <w:r w:rsidR="00A9653E" w:rsidRPr="00EC356F">
        <w:rPr>
          <w:rStyle w:val="longtext"/>
          <w:rFonts w:ascii="Times New Roman" w:hAnsi="Times New Roman" w:cs="Times New Roman"/>
          <w:sz w:val="21"/>
          <w:szCs w:val="21"/>
          <w:shd w:val="clear" w:color="auto" w:fill="FFFFFF"/>
        </w:rPr>
        <w:t>wage</w:t>
      </w:r>
      <w:r>
        <w:rPr>
          <w:rStyle w:val="longtext"/>
          <w:rFonts w:ascii="Times New Roman" w:hAnsi="Times New Roman" w:cs="Times New Roman"/>
          <w:sz w:val="21"/>
          <w:szCs w:val="21"/>
          <w:shd w:val="clear" w:color="auto" w:fill="FFFFFF"/>
        </w:rPr>
        <w:t>s</w:t>
      </w:r>
      <w:r w:rsidR="00A9653E" w:rsidRPr="00EC356F">
        <w:rPr>
          <w:rStyle w:val="longtext"/>
          <w:rFonts w:ascii="Times New Roman" w:hAnsi="Times New Roman" w:cs="Times New Roman"/>
          <w:sz w:val="21"/>
          <w:szCs w:val="21"/>
          <w:shd w:val="clear" w:color="auto" w:fill="FFFFFF"/>
        </w:rPr>
        <w:t xml:space="preserve"> </w:t>
      </w:r>
      <w:r>
        <w:rPr>
          <w:rStyle w:val="longtext"/>
          <w:rFonts w:ascii="Times New Roman" w:hAnsi="Times New Roman" w:cs="Times New Roman"/>
          <w:sz w:val="21"/>
          <w:szCs w:val="21"/>
          <w:shd w:val="clear" w:color="auto" w:fill="FFFFFF"/>
        </w:rPr>
        <w:t>hav</w:t>
      </w:r>
      <w:r w:rsidR="005A4C65">
        <w:rPr>
          <w:rStyle w:val="longtext"/>
          <w:rFonts w:ascii="Times New Roman" w:hAnsi="Times New Roman" w:cs="Times New Roman"/>
          <w:sz w:val="21"/>
          <w:szCs w:val="21"/>
          <w:shd w:val="clear" w:color="auto" w:fill="FFFFFF"/>
        </w:rPr>
        <w:t>e</w:t>
      </w:r>
      <w:r>
        <w:rPr>
          <w:rStyle w:val="longtext"/>
          <w:rFonts w:ascii="Times New Roman" w:hAnsi="Times New Roman" w:cs="Times New Roman"/>
          <w:sz w:val="21"/>
          <w:szCs w:val="21"/>
          <w:shd w:val="clear" w:color="auto" w:fill="FFFFFF"/>
        </w:rPr>
        <w:t xml:space="preserve"> somewhat outgr</w:t>
      </w:r>
      <w:r w:rsidR="005A4C65">
        <w:rPr>
          <w:rStyle w:val="longtext"/>
          <w:rFonts w:ascii="Times New Roman" w:hAnsi="Times New Roman" w:cs="Times New Roman"/>
          <w:sz w:val="21"/>
          <w:szCs w:val="21"/>
          <w:shd w:val="clear" w:color="auto" w:fill="FFFFFF"/>
        </w:rPr>
        <w:t>own</w:t>
      </w:r>
      <w:r>
        <w:rPr>
          <w:rStyle w:val="longtext"/>
          <w:rFonts w:ascii="Times New Roman" w:hAnsi="Times New Roman" w:cs="Times New Roman"/>
          <w:sz w:val="21"/>
          <w:szCs w:val="21"/>
          <w:shd w:val="clear" w:color="auto" w:fill="FFFFFF"/>
        </w:rPr>
        <w:t xml:space="preserve"> the </w:t>
      </w:r>
      <w:r w:rsidR="00A9653E" w:rsidRPr="00EC356F">
        <w:rPr>
          <w:rStyle w:val="longtext"/>
          <w:rFonts w:ascii="Times New Roman" w:hAnsi="Times New Roman" w:cs="Times New Roman"/>
          <w:sz w:val="21"/>
          <w:szCs w:val="21"/>
          <w:shd w:val="clear" w:color="auto" w:fill="FFFFFF"/>
        </w:rPr>
        <w:t>productivity</w:t>
      </w:r>
      <w:r w:rsidR="005A4C65">
        <w:rPr>
          <w:rStyle w:val="longtext"/>
          <w:rFonts w:ascii="Times New Roman" w:hAnsi="Times New Roman" w:cs="Times New Roman"/>
          <w:sz w:val="21"/>
          <w:szCs w:val="21"/>
          <w:shd w:val="clear" w:color="auto" w:fill="FFFFFF"/>
        </w:rPr>
        <w:t xml:space="preserve"> and thus added to unit labor costs in companies</w:t>
      </w:r>
      <w:r w:rsidR="00A9653E" w:rsidRPr="00EC356F">
        <w:rPr>
          <w:rStyle w:val="longtext"/>
          <w:rFonts w:ascii="Times New Roman" w:hAnsi="Times New Roman" w:cs="Times New Roman"/>
          <w:sz w:val="21"/>
          <w:szCs w:val="21"/>
          <w:shd w:val="clear" w:color="auto" w:fill="FFFFFF"/>
        </w:rPr>
        <w:t xml:space="preserve">. Consequently, </w:t>
      </w:r>
      <w:r w:rsidR="005A4C65">
        <w:rPr>
          <w:rStyle w:val="longtext"/>
          <w:rFonts w:ascii="Times New Roman" w:hAnsi="Times New Roman" w:cs="Times New Roman"/>
          <w:sz w:val="21"/>
          <w:szCs w:val="21"/>
          <w:shd w:val="clear" w:color="auto" w:fill="FFFFFF"/>
        </w:rPr>
        <w:t>increased labor costs have brought in minor inflationary pressures of 0.1-0.2 pp in the economy.</w:t>
      </w:r>
    </w:p>
    <w:p w14:paraId="54161284" w14:textId="77777777" w:rsidR="00A9653E" w:rsidRPr="00EC356F" w:rsidRDefault="005A4C65" w:rsidP="00A9653E">
      <w:pPr>
        <w:spacing w:line="360" w:lineRule="auto"/>
        <w:jc w:val="both"/>
        <w:rPr>
          <w:rFonts w:ascii="Times New Roman" w:hAnsi="Times New Roman" w:cs="Times New Roman"/>
          <w:b/>
          <w:sz w:val="21"/>
          <w:szCs w:val="21"/>
        </w:rPr>
      </w:pPr>
      <w:r w:rsidRPr="005A4C65">
        <w:rPr>
          <w:rStyle w:val="longtext"/>
          <w:rFonts w:ascii="Times New Roman" w:hAnsi="Times New Roman" w:cs="Times New Roman"/>
          <w:b/>
          <w:sz w:val="21"/>
          <w:szCs w:val="21"/>
          <w:shd w:val="clear" w:color="auto" w:fill="FFFFFF"/>
        </w:rPr>
        <w:t>3</w:t>
      </w:r>
      <w:r w:rsidR="00A9653E" w:rsidRPr="00EC356F">
        <w:rPr>
          <w:rFonts w:ascii="Times New Roman" w:hAnsi="Times New Roman" w:cs="Times New Roman"/>
          <w:b/>
          <w:sz w:val="21"/>
          <w:szCs w:val="21"/>
        </w:rPr>
        <w:t>.2.4 Fiscal policy</w:t>
      </w:r>
      <w:r w:rsidR="00863BE4">
        <w:rPr>
          <w:rStyle w:val="FootnoteReference"/>
          <w:rFonts w:ascii="Times New Roman" w:hAnsi="Times New Roman" w:cs="Times New Roman"/>
          <w:b/>
          <w:sz w:val="21"/>
          <w:szCs w:val="21"/>
        </w:rPr>
        <w:footnoteReference w:customMarkFollows="1" w:id="25"/>
        <w:t>25</w:t>
      </w:r>
    </w:p>
    <w:p w14:paraId="0F587C17" w14:textId="3C6930AB" w:rsidR="00A9653E" w:rsidRPr="00EC356F" w:rsidRDefault="00A9653E" w:rsidP="00A9653E">
      <w:pPr>
        <w:spacing w:line="360" w:lineRule="auto"/>
        <w:jc w:val="both"/>
        <w:rPr>
          <w:rFonts w:ascii="Times New Roman" w:hAnsi="Times New Roman" w:cs="Times New Roman"/>
          <w:sz w:val="21"/>
          <w:szCs w:val="21"/>
        </w:rPr>
      </w:pPr>
      <w:r w:rsidRPr="00EC356F">
        <w:rPr>
          <w:rStyle w:val="longtext"/>
          <w:rFonts w:ascii="Times New Roman" w:hAnsi="Times New Roman" w:cs="Times New Roman"/>
          <w:sz w:val="21"/>
          <w:szCs w:val="21"/>
          <w:shd w:val="clear" w:color="auto" w:fill="FFFFFF"/>
        </w:rPr>
        <w:lastRenderedPageBreak/>
        <w:t xml:space="preserve">In the </w:t>
      </w:r>
      <w:r w:rsidR="005A4C65">
        <w:rPr>
          <w:rStyle w:val="longtext"/>
          <w:rFonts w:ascii="Times New Roman" w:hAnsi="Times New Roman" w:cs="Times New Roman"/>
          <w:sz w:val="21"/>
          <w:szCs w:val="21"/>
          <w:shd w:val="clear" w:color="auto" w:fill="FFFFFF"/>
        </w:rPr>
        <w:t>3r</w:t>
      </w:r>
      <w:r w:rsidRPr="00EC356F">
        <w:rPr>
          <w:rStyle w:val="longtext"/>
          <w:rFonts w:ascii="Times New Roman" w:hAnsi="Times New Roman" w:cs="Times New Roman"/>
          <w:sz w:val="21"/>
          <w:szCs w:val="21"/>
          <w:shd w:val="clear" w:color="auto" w:fill="FFFFFF"/>
        </w:rPr>
        <w:t xml:space="preserve">d quarter of 2014, </w:t>
      </w:r>
      <w:r w:rsidR="00A0590B">
        <w:rPr>
          <w:rStyle w:val="longtext"/>
          <w:rFonts w:ascii="Times New Roman" w:hAnsi="Times New Roman" w:cs="Times New Roman"/>
          <w:sz w:val="21"/>
          <w:szCs w:val="21"/>
          <w:shd w:val="clear" w:color="auto" w:fill="FFFFFF"/>
        </w:rPr>
        <w:t xml:space="preserve">the </w:t>
      </w:r>
      <w:r w:rsidRPr="00EC356F">
        <w:rPr>
          <w:rFonts w:ascii="Times New Roman" w:hAnsi="Times New Roman" w:cs="Times New Roman"/>
          <w:bCs/>
          <w:iCs/>
          <w:sz w:val="21"/>
          <w:szCs w:val="21"/>
        </w:rPr>
        <w:t xml:space="preserve">State Budget generated revenue underperformed against the quarterly projections and the Central Bank forecasts but </w:t>
      </w:r>
      <w:r w:rsidR="00A0590B">
        <w:rPr>
          <w:rFonts w:ascii="Times New Roman" w:hAnsi="Times New Roman" w:cs="Times New Roman"/>
          <w:bCs/>
          <w:iCs/>
          <w:sz w:val="21"/>
          <w:szCs w:val="21"/>
        </w:rPr>
        <w:t>reported</w:t>
      </w:r>
      <w:r w:rsidRPr="00EC356F">
        <w:rPr>
          <w:rFonts w:ascii="Times New Roman" w:hAnsi="Times New Roman" w:cs="Times New Roman"/>
          <w:bCs/>
          <w:iCs/>
          <w:sz w:val="21"/>
          <w:szCs w:val="21"/>
        </w:rPr>
        <w:t xml:space="preserve"> considerable </w:t>
      </w:r>
      <w:r w:rsidR="00284F12">
        <w:rPr>
          <w:rFonts w:ascii="Times New Roman" w:hAnsi="Times New Roman" w:cs="Times New Roman"/>
          <w:bCs/>
          <w:iCs/>
          <w:sz w:val="21"/>
          <w:szCs w:val="21"/>
        </w:rPr>
        <w:t xml:space="preserve">expenditures </w:t>
      </w:r>
      <w:r w:rsidRPr="00EC356F">
        <w:rPr>
          <w:rFonts w:ascii="Times New Roman" w:hAnsi="Times New Roman" w:cs="Times New Roman"/>
          <w:bCs/>
          <w:iCs/>
          <w:sz w:val="21"/>
          <w:szCs w:val="21"/>
        </w:rPr>
        <w:t>savings on certain items</w:t>
      </w:r>
      <w:r w:rsidRPr="009642D3">
        <w:rPr>
          <w:rFonts w:ascii="Times New Roman" w:hAnsi="Times New Roman" w:cs="Times New Roman"/>
          <w:bCs/>
          <w:iCs/>
          <w:sz w:val="21"/>
          <w:szCs w:val="21"/>
        </w:rPr>
        <w:t>.</w:t>
      </w:r>
      <w:r w:rsidRPr="009642D3">
        <w:rPr>
          <w:rFonts w:ascii="Times New Roman" w:hAnsi="Times New Roman" w:cs="Times New Roman"/>
          <w:sz w:val="21"/>
          <w:szCs w:val="21"/>
        </w:rPr>
        <w:t xml:space="preserve"> According to the fiscal impulse</w:t>
      </w:r>
      <w:r w:rsidRPr="00EC356F">
        <w:rPr>
          <w:rFonts w:ascii="Times New Roman" w:hAnsi="Times New Roman" w:cs="Times New Roman"/>
          <w:sz w:val="21"/>
          <w:szCs w:val="21"/>
        </w:rPr>
        <w:t xml:space="preserve"> indicator, the fiscal sector’s impact on aggregate demand was 1.0 </w:t>
      </w:r>
      <w:r w:rsidRPr="009642D3">
        <w:rPr>
          <w:rFonts w:ascii="Times New Roman" w:hAnsi="Times New Roman" w:cs="Times New Roman"/>
          <w:sz w:val="21"/>
          <w:szCs w:val="21"/>
        </w:rPr>
        <w:t>expansionary</w:t>
      </w:r>
      <w:r w:rsidR="009642D3" w:rsidRPr="009642D3">
        <w:rPr>
          <w:rFonts w:ascii="Times New Roman" w:hAnsi="Times New Roman" w:cs="Times New Roman"/>
          <w:sz w:val="21"/>
          <w:szCs w:val="21"/>
          <w:lang w:val="hy-AM"/>
        </w:rPr>
        <w:t xml:space="preserve"> in the </w:t>
      </w:r>
      <w:r w:rsidR="009642D3">
        <w:rPr>
          <w:rFonts w:ascii="Times New Roman" w:hAnsi="Times New Roman" w:cs="Times New Roman"/>
          <w:sz w:val="21"/>
          <w:szCs w:val="21"/>
        </w:rPr>
        <w:t>3rd</w:t>
      </w:r>
      <w:r w:rsidRPr="009642D3">
        <w:rPr>
          <w:rFonts w:ascii="Times New Roman" w:hAnsi="Times New Roman" w:cs="Times New Roman"/>
          <w:sz w:val="21"/>
          <w:szCs w:val="21"/>
        </w:rPr>
        <w:t xml:space="preserve"> </w:t>
      </w:r>
      <w:r w:rsidR="009642D3">
        <w:rPr>
          <w:rFonts w:ascii="Times New Roman" w:hAnsi="Times New Roman" w:cs="Times New Roman"/>
          <w:sz w:val="21"/>
          <w:szCs w:val="21"/>
        </w:rPr>
        <w:t xml:space="preserve">quarter, </w:t>
      </w:r>
      <w:r w:rsidRPr="009642D3">
        <w:rPr>
          <w:rFonts w:ascii="Times New Roman" w:hAnsi="Times New Roman" w:cs="Times New Roman"/>
          <w:sz w:val="21"/>
          <w:szCs w:val="21"/>
        </w:rPr>
        <w:t>instead</w:t>
      </w:r>
      <w:r w:rsidRPr="00EC356F">
        <w:rPr>
          <w:rFonts w:ascii="Times New Roman" w:hAnsi="Times New Roman" w:cs="Times New Roman"/>
          <w:sz w:val="21"/>
          <w:szCs w:val="21"/>
        </w:rPr>
        <w:t xml:space="preserve"> of an expected </w:t>
      </w:r>
      <w:r w:rsidR="009642D3">
        <w:rPr>
          <w:rFonts w:ascii="Times New Roman" w:hAnsi="Times New Roman" w:cs="Times New Roman"/>
          <w:sz w:val="21"/>
          <w:szCs w:val="21"/>
        </w:rPr>
        <w:t>neutral</w:t>
      </w:r>
      <w:r w:rsidRPr="00EC356F">
        <w:rPr>
          <w:rFonts w:ascii="Times New Roman" w:hAnsi="Times New Roman" w:cs="Times New Roman"/>
          <w:sz w:val="21"/>
          <w:szCs w:val="21"/>
        </w:rPr>
        <w:t>.</w:t>
      </w:r>
      <w:r w:rsidRPr="00EC356F">
        <w:rPr>
          <w:rFonts w:ascii="Times New Roman" w:hAnsi="Times New Roman" w:cs="Times New Roman"/>
          <w:bCs/>
          <w:iCs/>
          <w:sz w:val="21"/>
          <w:szCs w:val="21"/>
        </w:rPr>
        <w:t xml:space="preserve"> The deviation is largely due to </w:t>
      </w:r>
      <w:r w:rsidR="009642D3">
        <w:rPr>
          <w:rFonts w:ascii="Times New Roman" w:hAnsi="Times New Roman" w:cs="Times New Roman"/>
          <w:bCs/>
          <w:iCs/>
          <w:sz w:val="21"/>
          <w:szCs w:val="21"/>
        </w:rPr>
        <w:t xml:space="preserve">the revenues </w:t>
      </w:r>
      <w:r w:rsidRPr="00EC356F">
        <w:rPr>
          <w:rFonts w:ascii="Times New Roman" w:hAnsi="Times New Roman" w:cs="Times New Roman"/>
          <w:bCs/>
          <w:iCs/>
          <w:sz w:val="21"/>
          <w:szCs w:val="21"/>
        </w:rPr>
        <w:t>impulse which came in 0.</w:t>
      </w:r>
      <w:r w:rsidR="009642D3">
        <w:rPr>
          <w:rFonts w:ascii="Times New Roman" w:hAnsi="Times New Roman" w:cs="Times New Roman"/>
          <w:bCs/>
          <w:iCs/>
          <w:sz w:val="21"/>
          <w:szCs w:val="21"/>
        </w:rPr>
        <w:t>3</w:t>
      </w:r>
      <w:r w:rsidRPr="00EC356F">
        <w:rPr>
          <w:rFonts w:ascii="Times New Roman" w:hAnsi="Times New Roman" w:cs="Times New Roman"/>
          <w:bCs/>
          <w:iCs/>
          <w:sz w:val="21"/>
          <w:szCs w:val="21"/>
        </w:rPr>
        <w:t xml:space="preserve"> expansionary instead of a</w:t>
      </w:r>
      <w:r w:rsidR="009642D3">
        <w:rPr>
          <w:rFonts w:ascii="Times New Roman" w:hAnsi="Times New Roman" w:cs="Times New Roman"/>
          <w:bCs/>
          <w:iCs/>
          <w:sz w:val="21"/>
          <w:szCs w:val="21"/>
        </w:rPr>
        <w:t>n expected</w:t>
      </w:r>
      <w:r w:rsidRPr="00EC356F">
        <w:rPr>
          <w:rFonts w:ascii="Times New Roman" w:hAnsi="Times New Roman" w:cs="Times New Roman"/>
          <w:bCs/>
          <w:iCs/>
          <w:sz w:val="21"/>
          <w:szCs w:val="21"/>
        </w:rPr>
        <w:t xml:space="preserve"> </w:t>
      </w:r>
      <w:r w:rsidR="009642D3">
        <w:rPr>
          <w:rFonts w:ascii="Times New Roman" w:hAnsi="Times New Roman" w:cs="Times New Roman"/>
          <w:bCs/>
          <w:iCs/>
          <w:sz w:val="21"/>
          <w:szCs w:val="21"/>
        </w:rPr>
        <w:t>0</w:t>
      </w:r>
      <w:r w:rsidRPr="00EC356F">
        <w:rPr>
          <w:rFonts w:ascii="Times New Roman" w:hAnsi="Times New Roman" w:cs="Times New Roman"/>
          <w:bCs/>
          <w:iCs/>
          <w:sz w:val="21"/>
          <w:szCs w:val="21"/>
        </w:rPr>
        <w:t>.</w:t>
      </w:r>
      <w:r w:rsidR="009642D3">
        <w:rPr>
          <w:rFonts w:ascii="Times New Roman" w:hAnsi="Times New Roman" w:cs="Times New Roman"/>
          <w:bCs/>
          <w:iCs/>
          <w:sz w:val="21"/>
          <w:szCs w:val="21"/>
        </w:rPr>
        <w:t>6</w:t>
      </w:r>
      <w:r w:rsidRPr="00EC356F">
        <w:rPr>
          <w:rFonts w:ascii="Times New Roman" w:hAnsi="Times New Roman" w:cs="Times New Roman"/>
          <w:bCs/>
          <w:iCs/>
          <w:sz w:val="21"/>
          <w:szCs w:val="21"/>
        </w:rPr>
        <w:t xml:space="preserve"> </w:t>
      </w:r>
      <w:r w:rsidR="009642D3">
        <w:rPr>
          <w:rFonts w:ascii="Times New Roman" w:hAnsi="Times New Roman" w:cs="Times New Roman"/>
          <w:bCs/>
          <w:iCs/>
          <w:sz w:val="21"/>
          <w:szCs w:val="21"/>
        </w:rPr>
        <w:t>contractionary</w:t>
      </w:r>
      <w:r w:rsidR="00284F12">
        <w:rPr>
          <w:rFonts w:ascii="Times New Roman" w:hAnsi="Times New Roman" w:cs="Times New Roman"/>
          <w:bCs/>
          <w:iCs/>
          <w:sz w:val="21"/>
          <w:szCs w:val="21"/>
        </w:rPr>
        <w:t>, due to revenue underperformance</w:t>
      </w:r>
      <w:r w:rsidR="00E7282D">
        <w:rPr>
          <w:rFonts w:ascii="Times New Roman" w:hAnsi="Times New Roman" w:cs="Times New Roman"/>
          <w:bCs/>
          <w:iCs/>
          <w:sz w:val="21"/>
          <w:szCs w:val="21"/>
        </w:rPr>
        <w:t>.</w:t>
      </w:r>
      <w:r w:rsidR="00B93C23" w:rsidRPr="00B93C23">
        <w:rPr>
          <w:rFonts w:ascii="Arial LatArm" w:hAnsi="Arial LatArm" w:cs="Sylfaen"/>
          <w:sz w:val="20"/>
          <w:szCs w:val="20"/>
          <w:lang w:val="hy-AM"/>
        </w:rPr>
        <w:t xml:space="preserve"> </w:t>
      </w:r>
      <w:r w:rsidRPr="00EC356F">
        <w:rPr>
          <w:rFonts w:ascii="Times New Roman" w:hAnsi="Times New Roman" w:cs="Times New Roman"/>
          <w:sz w:val="21"/>
          <w:szCs w:val="21"/>
        </w:rPr>
        <w:t xml:space="preserve">Revenues </w:t>
      </w:r>
      <w:r w:rsidR="00B93C23">
        <w:rPr>
          <w:rFonts w:ascii="Times New Roman" w:hAnsi="Times New Roman" w:cs="Times New Roman"/>
          <w:sz w:val="21"/>
          <w:szCs w:val="21"/>
        </w:rPr>
        <w:t xml:space="preserve">and grants </w:t>
      </w:r>
      <w:r w:rsidRPr="00EC356F">
        <w:rPr>
          <w:rFonts w:ascii="Times New Roman" w:hAnsi="Times New Roman" w:cs="Times New Roman"/>
          <w:sz w:val="21"/>
          <w:szCs w:val="21"/>
        </w:rPr>
        <w:t>of the consolidated budget have grown by 4.</w:t>
      </w:r>
      <w:r w:rsidR="00B93C23">
        <w:rPr>
          <w:rFonts w:ascii="Times New Roman" w:hAnsi="Times New Roman" w:cs="Times New Roman"/>
          <w:sz w:val="21"/>
          <w:szCs w:val="21"/>
        </w:rPr>
        <w:t>7</w:t>
      </w:r>
      <w:r w:rsidRPr="00EC356F">
        <w:rPr>
          <w:rFonts w:ascii="Times New Roman" w:hAnsi="Times New Roman" w:cs="Times New Roman"/>
          <w:sz w:val="21"/>
          <w:szCs w:val="21"/>
        </w:rPr>
        <w:t xml:space="preserve">% in relation to the </w:t>
      </w:r>
      <w:r w:rsidR="00B93C23">
        <w:rPr>
          <w:rFonts w:ascii="Times New Roman" w:hAnsi="Times New Roman" w:cs="Times New Roman"/>
          <w:sz w:val="21"/>
          <w:szCs w:val="21"/>
        </w:rPr>
        <w:t>3r</w:t>
      </w:r>
      <w:r w:rsidRPr="00EC356F">
        <w:rPr>
          <w:rFonts w:ascii="Times New Roman" w:hAnsi="Times New Roman" w:cs="Times New Roman"/>
          <w:sz w:val="21"/>
          <w:szCs w:val="21"/>
        </w:rPr>
        <w:t>d quarter of the previous year, with tax revenues having increased by 6.</w:t>
      </w:r>
      <w:r w:rsidR="00B93C23">
        <w:rPr>
          <w:rFonts w:ascii="Times New Roman" w:hAnsi="Times New Roman" w:cs="Times New Roman"/>
          <w:sz w:val="21"/>
          <w:szCs w:val="21"/>
        </w:rPr>
        <w:t>4</w:t>
      </w:r>
      <w:r w:rsidRPr="00EC356F">
        <w:rPr>
          <w:rFonts w:ascii="Times New Roman" w:hAnsi="Times New Roman" w:cs="Times New Roman"/>
          <w:sz w:val="21"/>
          <w:szCs w:val="21"/>
        </w:rPr>
        <w:t xml:space="preserve">% y/y. Nevertheless, actual taxes collected during the quarter were AMD </w:t>
      </w:r>
      <w:r w:rsidR="00B93C23">
        <w:rPr>
          <w:rFonts w:ascii="Times New Roman" w:hAnsi="Times New Roman" w:cs="Times New Roman"/>
          <w:sz w:val="21"/>
          <w:szCs w:val="21"/>
        </w:rPr>
        <w:t>17</w:t>
      </w:r>
      <w:r w:rsidRPr="00EC356F">
        <w:rPr>
          <w:rFonts w:ascii="Times New Roman" w:hAnsi="Times New Roman" w:cs="Times New Roman"/>
          <w:sz w:val="21"/>
          <w:szCs w:val="21"/>
        </w:rPr>
        <w:t>.3 billion less than the adjusted quarterly plan</w:t>
      </w:r>
      <w:r w:rsidR="00BB7372">
        <w:rPr>
          <w:rStyle w:val="FootnoteReference"/>
          <w:rFonts w:ascii="Times New Roman" w:hAnsi="Times New Roman" w:cs="Times New Roman"/>
          <w:sz w:val="21"/>
          <w:szCs w:val="21"/>
        </w:rPr>
        <w:footnoteReference w:customMarkFollows="1" w:id="26"/>
        <w:t>26</w:t>
      </w:r>
      <w:r w:rsidRPr="00EC356F">
        <w:rPr>
          <w:rFonts w:ascii="Times New Roman" w:hAnsi="Times New Roman" w:cs="Times New Roman"/>
          <w:sz w:val="21"/>
          <w:szCs w:val="21"/>
        </w:rPr>
        <w:t xml:space="preserve">. As a result, the revenues impulse </w:t>
      </w:r>
      <w:r w:rsidR="00B93C23">
        <w:rPr>
          <w:rFonts w:ascii="Times New Roman" w:hAnsi="Times New Roman" w:cs="Times New Roman"/>
          <w:sz w:val="21"/>
          <w:szCs w:val="21"/>
        </w:rPr>
        <w:t xml:space="preserve">proved </w:t>
      </w:r>
      <w:r w:rsidRPr="00EC356F">
        <w:rPr>
          <w:rFonts w:ascii="Times New Roman" w:hAnsi="Times New Roman" w:cs="Times New Roman"/>
          <w:sz w:val="21"/>
          <w:szCs w:val="21"/>
        </w:rPr>
        <w:t xml:space="preserve">expansionary instead of projected </w:t>
      </w:r>
      <w:r w:rsidR="00B93C23">
        <w:rPr>
          <w:rFonts w:ascii="Times New Roman" w:hAnsi="Times New Roman" w:cs="Times New Roman"/>
          <w:sz w:val="21"/>
          <w:szCs w:val="21"/>
        </w:rPr>
        <w:t>contractionary</w:t>
      </w:r>
      <w:r w:rsidRPr="00EC356F">
        <w:rPr>
          <w:rFonts w:ascii="Times New Roman" w:hAnsi="Times New Roman" w:cs="Times New Roman"/>
          <w:sz w:val="21"/>
          <w:szCs w:val="21"/>
        </w:rPr>
        <w:t xml:space="preserve">. </w:t>
      </w:r>
    </w:p>
    <w:p w14:paraId="509D36ED" w14:textId="0D88C8EA"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Relative to the </w:t>
      </w:r>
      <w:r w:rsidR="00AF4CD8">
        <w:rPr>
          <w:rFonts w:ascii="Times New Roman" w:hAnsi="Times New Roman" w:cs="Times New Roman"/>
          <w:sz w:val="21"/>
          <w:szCs w:val="21"/>
        </w:rPr>
        <w:t>3r</w:t>
      </w:r>
      <w:r w:rsidRPr="00EC356F">
        <w:rPr>
          <w:rFonts w:ascii="Times New Roman" w:hAnsi="Times New Roman" w:cs="Times New Roman"/>
          <w:sz w:val="21"/>
          <w:szCs w:val="21"/>
        </w:rPr>
        <w:t xml:space="preserve">d quarter of the previous year, the growth of indirect taxes </w:t>
      </w:r>
      <w:r w:rsidR="00AF4CD8">
        <w:rPr>
          <w:rFonts w:ascii="Times New Roman" w:hAnsi="Times New Roman" w:cs="Times New Roman"/>
          <w:sz w:val="21"/>
          <w:szCs w:val="21"/>
        </w:rPr>
        <w:t xml:space="preserve">has been </w:t>
      </w:r>
      <w:r w:rsidRPr="00EC356F">
        <w:rPr>
          <w:rFonts w:ascii="Times New Roman" w:hAnsi="Times New Roman" w:cs="Times New Roman"/>
          <w:sz w:val="21"/>
          <w:szCs w:val="21"/>
        </w:rPr>
        <w:t xml:space="preserve">an estimated </w:t>
      </w:r>
      <w:r w:rsidR="00AF4CD8">
        <w:rPr>
          <w:rFonts w:ascii="Times New Roman" w:hAnsi="Times New Roman" w:cs="Times New Roman"/>
          <w:sz w:val="21"/>
          <w:szCs w:val="21"/>
        </w:rPr>
        <w:t>9</w:t>
      </w:r>
      <w:r w:rsidRPr="00EC356F">
        <w:rPr>
          <w:rFonts w:ascii="Times New Roman" w:hAnsi="Times New Roman" w:cs="Times New Roman"/>
          <w:sz w:val="21"/>
          <w:szCs w:val="21"/>
        </w:rPr>
        <w:t xml:space="preserve">.5% and the direct taxes, </w:t>
      </w:r>
      <w:r w:rsidR="00AF4CD8">
        <w:rPr>
          <w:rFonts w:ascii="Times New Roman" w:hAnsi="Times New Roman" w:cs="Times New Roman"/>
          <w:sz w:val="21"/>
          <w:szCs w:val="21"/>
        </w:rPr>
        <w:t>1</w:t>
      </w:r>
      <w:r w:rsidRPr="00EC356F">
        <w:rPr>
          <w:rFonts w:ascii="Times New Roman" w:hAnsi="Times New Roman" w:cs="Times New Roman"/>
          <w:sz w:val="21"/>
          <w:szCs w:val="21"/>
        </w:rPr>
        <w:t>.</w:t>
      </w:r>
      <w:r w:rsidR="00AF4CD8">
        <w:rPr>
          <w:rFonts w:ascii="Times New Roman" w:hAnsi="Times New Roman" w:cs="Times New Roman"/>
          <w:sz w:val="21"/>
          <w:szCs w:val="21"/>
        </w:rPr>
        <w:t>0</w:t>
      </w:r>
      <w:r w:rsidRPr="00EC356F">
        <w:rPr>
          <w:rFonts w:ascii="Times New Roman" w:hAnsi="Times New Roman" w:cs="Times New Roman"/>
          <w:sz w:val="21"/>
          <w:szCs w:val="21"/>
        </w:rPr>
        <w:t>%. The share of indirect</w:t>
      </w:r>
      <w:r w:rsidR="00AF4CD8">
        <w:rPr>
          <w:rFonts w:ascii="Times New Roman" w:hAnsi="Times New Roman" w:cs="Times New Roman"/>
          <w:sz w:val="21"/>
          <w:szCs w:val="21"/>
        </w:rPr>
        <w:t xml:space="preserve"> taxes</w:t>
      </w:r>
      <w:r w:rsidRPr="00EC356F">
        <w:rPr>
          <w:rFonts w:ascii="Times New Roman" w:hAnsi="Times New Roman" w:cs="Times New Roman"/>
          <w:sz w:val="21"/>
          <w:szCs w:val="21"/>
        </w:rPr>
        <w:t xml:space="preserve"> rose by </w:t>
      </w:r>
      <w:r w:rsidR="00AF4CD8">
        <w:rPr>
          <w:rFonts w:ascii="Times New Roman" w:hAnsi="Times New Roman" w:cs="Times New Roman"/>
          <w:sz w:val="21"/>
          <w:szCs w:val="21"/>
        </w:rPr>
        <w:t>1</w:t>
      </w:r>
      <w:r w:rsidRPr="00EC356F">
        <w:rPr>
          <w:rFonts w:ascii="Times New Roman" w:hAnsi="Times New Roman" w:cs="Times New Roman"/>
          <w:sz w:val="21"/>
          <w:szCs w:val="21"/>
        </w:rPr>
        <w:t>.</w:t>
      </w:r>
      <w:r w:rsidR="00AF4CD8">
        <w:rPr>
          <w:rFonts w:ascii="Times New Roman" w:hAnsi="Times New Roman" w:cs="Times New Roman"/>
          <w:sz w:val="21"/>
          <w:szCs w:val="21"/>
        </w:rPr>
        <w:t>5</w:t>
      </w:r>
      <w:r w:rsidRPr="00EC356F">
        <w:rPr>
          <w:rFonts w:ascii="Times New Roman" w:hAnsi="Times New Roman" w:cs="Times New Roman"/>
          <w:sz w:val="21"/>
          <w:szCs w:val="21"/>
        </w:rPr>
        <w:t xml:space="preserve"> pp </w:t>
      </w:r>
      <w:r w:rsidR="00284F12">
        <w:rPr>
          <w:rFonts w:ascii="Times New Roman" w:hAnsi="Times New Roman" w:cs="Times New Roman"/>
          <w:sz w:val="21"/>
          <w:szCs w:val="21"/>
        </w:rPr>
        <w:t>and amounts to</w:t>
      </w:r>
      <w:r w:rsidR="00284F12" w:rsidRPr="00EC356F">
        <w:rPr>
          <w:rFonts w:ascii="Times New Roman" w:hAnsi="Times New Roman" w:cs="Times New Roman"/>
          <w:sz w:val="21"/>
          <w:szCs w:val="21"/>
        </w:rPr>
        <w:t xml:space="preserve"> </w:t>
      </w:r>
      <w:r w:rsidR="00AF4CD8">
        <w:rPr>
          <w:rFonts w:ascii="Times New Roman" w:hAnsi="Times New Roman" w:cs="Times New Roman"/>
          <w:sz w:val="21"/>
          <w:szCs w:val="21"/>
        </w:rPr>
        <w:t>52</w:t>
      </w:r>
      <w:r w:rsidRPr="00EC356F">
        <w:rPr>
          <w:rFonts w:ascii="Times New Roman" w:hAnsi="Times New Roman" w:cs="Times New Roman"/>
          <w:sz w:val="21"/>
          <w:szCs w:val="21"/>
        </w:rPr>
        <w:t>.</w:t>
      </w:r>
      <w:r w:rsidR="00AF4CD8">
        <w:rPr>
          <w:rFonts w:ascii="Times New Roman" w:hAnsi="Times New Roman" w:cs="Times New Roman"/>
          <w:sz w:val="21"/>
          <w:szCs w:val="21"/>
        </w:rPr>
        <w:t>9</w:t>
      </w:r>
      <w:r w:rsidRPr="00EC356F">
        <w:rPr>
          <w:rFonts w:ascii="Times New Roman" w:hAnsi="Times New Roman" w:cs="Times New Roman"/>
          <w:sz w:val="21"/>
          <w:szCs w:val="21"/>
        </w:rPr>
        <w:t>% of tax revenues</w:t>
      </w:r>
      <w:r w:rsidR="00AF4CD8">
        <w:rPr>
          <w:rFonts w:ascii="Times New Roman" w:hAnsi="Times New Roman" w:cs="Times New Roman"/>
          <w:sz w:val="21"/>
          <w:szCs w:val="21"/>
        </w:rPr>
        <w:t xml:space="preserve"> but t</w:t>
      </w:r>
      <w:r w:rsidRPr="00EC356F">
        <w:rPr>
          <w:rFonts w:ascii="Times New Roman" w:hAnsi="Times New Roman" w:cs="Times New Roman"/>
          <w:sz w:val="21"/>
          <w:szCs w:val="21"/>
        </w:rPr>
        <w:t>he share of direct tax</w:t>
      </w:r>
      <w:r w:rsidR="00AF4CD8">
        <w:rPr>
          <w:rFonts w:ascii="Times New Roman" w:hAnsi="Times New Roman" w:cs="Times New Roman"/>
          <w:sz w:val="21"/>
          <w:szCs w:val="21"/>
        </w:rPr>
        <w:t>es</w:t>
      </w:r>
      <w:r w:rsidRPr="00EC356F">
        <w:rPr>
          <w:rFonts w:ascii="Times New Roman" w:hAnsi="Times New Roman" w:cs="Times New Roman"/>
          <w:sz w:val="21"/>
          <w:szCs w:val="21"/>
        </w:rPr>
        <w:t xml:space="preserve"> </w:t>
      </w:r>
      <w:r w:rsidR="00AF4CD8">
        <w:rPr>
          <w:rFonts w:ascii="Times New Roman" w:hAnsi="Times New Roman" w:cs="Times New Roman"/>
          <w:sz w:val="21"/>
          <w:szCs w:val="21"/>
        </w:rPr>
        <w:t xml:space="preserve">shrank by 2.0 pp </w:t>
      </w:r>
      <w:r w:rsidR="00284F12">
        <w:rPr>
          <w:rFonts w:ascii="Times New Roman" w:hAnsi="Times New Roman" w:cs="Times New Roman"/>
          <w:sz w:val="21"/>
          <w:szCs w:val="21"/>
        </w:rPr>
        <w:t xml:space="preserve">and amounts to </w:t>
      </w:r>
      <w:r w:rsidR="00D40F0A">
        <w:rPr>
          <w:rFonts w:ascii="Times New Roman" w:hAnsi="Times New Roman" w:cs="Times New Roman"/>
          <w:sz w:val="21"/>
          <w:szCs w:val="21"/>
        </w:rPr>
        <w:t xml:space="preserve">37.3%. The share of </w:t>
      </w:r>
      <w:r w:rsidRPr="00EC356F">
        <w:rPr>
          <w:rFonts w:ascii="Times New Roman" w:hAnsi="Times New Roman" w:cs="Times New Roman"/>
          <w:sz w:val="21"/>
          <w:szCs w:val="21"/>
        </w:rPr>
        <w:t xml:space="preserve">other taxes </w:t>
      </w:r>
      <w:r w:rsidR="00D40F0A">
        <w:rPr>
          <w:rFonts w:ascii="Times New Roman" w:hAnsi="Times New Roman" w:cs="Times New Roman"/>
          <w:sz w:val="21"/>
          <w:szCs w:val="21"/>
        </w:rPr>
        <w:t xml:space="preserve">grew by 0.5 pp </w:t>
      </w:r>
      <w:r w:rsidR="007C3812">
        <w:rPr>
          <w:rFonts w:ascii="Times New Roman" w:hAnsi="Times New Roman" w:cs="Times New Roman"/>
          <w:sz w:val="21"/>
          <w:szCs w:val="21"/>
        </w:rPr>
        <w:t>amounting 9.8</w:t>
      </w:r>
      <w:r w:rsidRPr="00EC356F">
        <w:rPr>
          <w:rFonts w:ascii="Times New Roman" w:hAnsi="Times New Roman" w:cs="Times New Roman"/>
          <w:sz w:val="21"/>
          <w:szCs w:val="21"/>
        </w:rPr>
        <w:t xml:space="preserve">% in total. </w:t>
      </w:r>
    </w:p>
    <w:p w14:paraId="3A510142"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Other revenues </w:t>
      </w:r>
      <w:r w:rsidR="00E2420A">
        <w:rPr>
          <w:rFonts w:ascii="Times New Roman" w:hAnsi="Times New Roman" w:cs="Times New Roman"/>
          <w:sz w:val="21"/>
          <w:szCs w:val="21"/>
        </w:rPr>
        <w:t xml:space="preserve">have reduced by 5.4% y/y but </w:t>
      </w:r>
      <w:r w:rsidRPr="00EC356F">
        <w:rPr>
          <w:rFonts w:ascii="Times New Roman" w:hAnsi="Times New Roman" w:cs="Times New Roman"/>
          <w:sz w:val="21"/>
          <w:szCs w:val="21"/>
        </w:rPr>
        <w:t xml:space="preserve">exceeded the </w:t>
      </w:r>
      <w:r w:rsidR="00E2420A">
        <w:rPr>
          <w:rFonts w:ascii="Times New Roman" w:hAnsi="Times New Roman" w:cs="Times New Roman"/>
          <w:sz w:val="21"/>
          <w:szCs w:val="21"/>
        </w:rPr>
        <w:t>3r</w:t>
      </w:r>
      <w:r w:rsidRPr="00EC356F">
        <w:rPr>
          <w:rFonts w:ascii="Times New Roman" w:hAnsi="Times New Roman" w:cs="Times New Roman"/>
          <w:sz w:val="21"/>
          <w:szCs w:val="21"/>
        </w:rPr>
        <w:t>d quarter program indicator by nearly 1.</w:t>
      </w:r>
      <w:r w:rsidR="00E2420A">
        <w:rPr>
          <w:rFonts w:ascii="Times New Roman" w:hAnsi="Times New Roman" w:cs="Times New Roman"/>
          <w:sz w:val="21"/>
          <w:szCs w:val="21"/>
        </w:rPr>
        <w:t>5</w:t>
      </w:r>
      <w:r w:rsidRPr="00EC356F">
        <w:rPr>
          <w:rFonts w:ascii="Times New Roman" w:hAnsi="Times New Roman" w:cs="Times New Roman"/>
          <w:sz w:val="21"/>
          <w:szCs w:val="21"/>
        </w:rPr>
        <w:t>-fold.</w:t>
      </w:r>
    </w:p>
    <w:p w14:paraId="50AA0EAD"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Public expenditures reported reduced performance against both an adjusted quarterly plan and the Central Bank forecast, as they amounted to 89.</w:t>
      </w:r>
      <w:r w:rsidR="00F25AB4">
        <w:rPr>
          <w:rFonts w:ascii="Times New Roman" w:hAnsi="Times New Roman" w:cs="Times New Roman"/>
          <w:sz w:val="21"/>
          <w:szCs w:val="21"/>
        </w:rPr>
        <w:t>2</w:t>
      </w:r>
      <w:r w:rsidRPr="00EC356F">
        <w:rPr>
          <w:rFonts w:ascii="Times New Roman" w:hAnsi="Times New Roman" w:cs="Times New Roman"/>
          <w:sz w:val="21"/>
          <w:szCs w:val="21"/>
        </w:rPr>
        <w:t xml:space="preserve">% and </w:t>
      </w:r>
      <w:r w:rsidR="00F25AB4">
        <w:rPr>
          <w:rFonts w:ascii="Times New Roman" w:hAnsi="Times New Roman" w:cs="Times New Roman"/>
          <w:sz w:val="21"/>
          <w:szCs w:val="21"/>
        </w:rPr>
        <w:t>95.8</w:t>
      </w:r>
      <w:r w:rsidRPr="00EC356F">
        <w:rPr>
          <w:rFonts w:ascii="Times New Roman" w:hAnsi="Times New Roman" w:cs="Times New Roman"/>
          <w:sz w:val="21"/>
          <w:szCs w:val="21"/>
        </w:rPr>
        <w:t xml:space="preserve">%, respectively. However, compared to the same period last year, </w:t>
      </w:r>
      <w:r w:rsidR="00BE4746">
        <w:rPr>
          <w:rFonts w:ascii="Times New Roman" w:hAnsi="Times New Roman" w:cs="Times New Roman"/>
          <w:sz w:val="21"/>
          <w:szCs w:val="21"/>
        </w:rPr>
        <w:t xml:space="preserve">the expenditures of the consolidated budget have grown by about 17.2%. </w:t>
      </w:r>
      <w:r w:rsidRPr="00EC356F">
        <w:rPr>
          <w:rFonts w:ascii="Times New Roman" w:hAnsi="Times New Roman" w:cs="Times New Roman"/>
          <w:sz w:val="21"/>
          <w:szCs w:val="21"/>
        </w:rPr>
        <w:t xml:space="preserve">Furthermore, expenditures have grown due to current expenditures </w:t>
      </w:r>
      <w:r w:rsidR="00BE4746">
        <w:rPr>
          <w:rFonts w:ascii="Times New Roman" w:hAnsi="Times New Roman" w:cs="Times New Roman"/>
          <w:sz w:val="21"/>
          <w:szCs w:val="21"/>
        </w:rPr>
        <w:t>and</w:t>
      </w:r>
      <w:r w:rsidRPr="00EC356F">
        <w:rPr>
          <w:rFonts w:ascii="Times New Roman" w:hAnsi="Times New Roman" w:cs="Times New Roman"/>
          <w:sz w:val="21"/>
          <w:szCs w:val="21"/>
        </w:rPr>
        <w:t xml:space="preserve"> item “transactions with non-financial assets”</w:t>
      </w:r>
      <w:r w:rsidR="00BE4746">
        <w:rPr>
          <w:rFonts w:ascii="Times New Roman" w:hAnsi="Times New Roman" w:cs="Times New Roman"/>
          <w:sz w:val="21"/>
          <w:szCs w:val="21"/>
        </w:rPr>
        <w:t xml:space="preserve">, </w:t>
      </w:r>
      <w:r w:rsidRPr="00EC356F">
        <w:rPr>
          <w:rFonts w:ascii="Times New Roman" w:hAnsi="Times New Roman" w:cs="Times New Roman"/>
          <w:sz w:val="21"/>
          <w:szCs w:val="21"/>
        </w:rPr>
        <w:t xml:space="preserve">amounting to </w:t>
      </w:r>
      <w:r w:rsidR="00BE4746">
        <w:rPr>
          <w:rFonts w:ascii="Times New Roman" w:hAnsi="Times New Roman" w:cs="Times New Roman"/>
          <w:sz w:val="21"/>
          <w:szCs w:val="21"/>
        </w:rPr>
        <w:t>18</w:t>
      </w:r>
      <w:r w:rsidRPr="00EC356F">
        <w:rPr>
          <w:rFonts w:ascii="Times New Roman" w:hAnsi="Times New Roman" w:cs="Times New Roman"/>
          <w:sz w:val="21"/>
          <w:szCs w:val="21"/>
        </w:rPr>
        <w:t>.</w:t>
      </w:r>
      <w:r w:rsidR="00BE4746">
        <w:rPr>
          <w:rFonts w:ascii="Times New Roman" w:hAnsi="Times New Roman" w:cs="Times New Roman"/>
          <w:sz w:val="21"/>
          <w:szCs w:val="21"/>
        </w:rPr>
        <w:t>7</w:t>
      </w:r>
      <w:r w:rsidRPr="00EC356F">
        <w:rPr>
          <w:rFonts w:ascii="Times New Roman" w:hAnsi="Times New Roman" w:cs="Times New Roman"/>
          <w:sz w:val="21"/>
          <w:szCs w:val="21"/>
        </w:rPr>
        <w:t xml:space="preserve">% and </w:t>
      </w:r>
      <w:r w:rsidR="00BE4746">
        <w:rPr>
          <w:rFonts w:ascii="Times New Roman" w:hAnsi="Times New Roman" w:cs="Times New Roman"/>
          <w:sz w:val="21"/>
          <w:szCs w:val="21"/>
        </w:rPr>
        <w:t>6</w:t>
      </w:r>
      <w:r w:rsidRPr="00EC356F">
        <w:rPr>
          <w:rFonts w:ascii="Times New Roman" w:hAnsi="Times New Roman" w:cs="Times New Roman"/>
          <w:sz w:val="21"/>
          <w:szCs w:val="21"/>
        </w:rPr>
        <w:t>.</w:t>
      </w:r>
      <w:r w:rsidR="00BE4746">
        <w:rPr>
          <w:rFonts w:ascii="Times New Roman" w:hAnsi="Times New Roman" w:cs="Times New Roman"/>
          <w:sz w:val="21"/>
          <w:szCs w:val="21"/>
        </w:rPr>
        <w:t>1</w:t>
      </w:r>
      <w:r w:rsidRPr="00EC356F">
        <w:rPr>
          <w:rFonts w:ascii="Times New Roman" w:hAnsi="Times New Roman" w:cs="Times New Roman"/>
          <w:sz w:val="21"/>
          <w:szCs w:val="21"/>
        </w:rPr>
        <w:t>%, respectively. All current expenditure items</w:t>
      </w:r>
      <w:r w:rsidR="00BE4746">
        <w:rPr>
          <w:rFonts w:ascii="Times New Roman" w:hAnsi="Times New Roman" w:cs="Times New Roman"/>
          <w:sz w:val="21"/>
          <w:szCs w:val="21"/>
        </w:rPr>
        <w:t>, except for the item “</w:t>
      </w:r>
      <w:r w:rsidR="00D525ED">
        <w:rPr>
          <w:rFonts w:ascii="Times New Roman" w:hAnsi="Times New Roman" w:cs="Times New Roman"/>
          <w:sz w:val="21"/>
          <w:szCs w:val="21"/>
        </w:rPr>
        <w:t>debt interest payment</w:t>
      </w:r>
      <w:r w:rsidR="00BE4746">
        <w:rPr>
          <w:rFonts w:ascii="Times New Roman" w:hAnsi="Times New Roman" w:cs="Times New Roman"/>
          <w:sz w:val="21"/>
          <w:szCs w:val="21"/>
        </w:rPr>
        <w:t>”</w:t>
      </w:r>
      <w:r w:rsidR="00D525ED">
        <w:rPr>
          <w:rFonts w:ascii="Times New Roman" w:hAnsi="Times New Roman" w:cs="Times New Roman"/>
          <w:sz w:val="21"/>
          <w:szCs w:val="21"/>
        </w:rPr>
        <w:t>,</w:t>
      </w:r>
      <w:r w:rsidRPr="00EC356F">
        <w:rPr>
          <w:rFonts w:ascii="Times New Roman" w:hAnsi="Times New Roman" w:cs="Times New Roman"/>
          <w:sz w:val="21"/>
          <w:szCs w:val="21"/>
        </w:rPr>
        <w:t xml:space="preserve"> posted increases, with </w:t>
      </w:r>
      <w:r w:rsidRPr="00EC356F">
        <w:rPr>
          <w:rFonts w:ascii="Times New Roman" w:hAnsi="Times New Roman" w:cs="Times New Roman"/>
          <w:b/>
          <w:sz w:val="21"/>
          <w:szCs w:val="21"/>
        </w:rPr>
        <w:t>public consumption</w:t>
      </w:r>
      <w:r w:rsidRPr="00EC356F">
        <w:rPr>
          <w:rFonts w:ascii="Times New Roman" w:hAnsi="Times New Roman" w:cs="Times New Roman"/>
          <w:sz w:val="21"/>
          <w:szCs w:val="21"/>
        </w:rPr>
        <w:t xml:space="preserve"> having increased by 1</w:t>
      </w:r>
      <w:r w:rsidR="00D525ED">
        <w:rPr>
          <w:rFonts w:ascii="Times New Roman" w:hAnsi="Times New Roman" w:cs="Times New Roman"/>
          <w:sz w:val="21"/>
          <w:szCs w:val="21"/>
        </w:rPr>
        <w:t>3</w:t>
      </w:r>
      <w:r w:rsidRPr="00EC356F">
        <w:rPr>
          <w:rFonts w:ascii="Times New Roman" w:hAnsi="Times New Roman" w:cs="Times New Roman"/>
          <w:sz w:val="21"/>
          <w:szCs w:val="21"/>
        </w:rPr>
        <w:t xml:space="preserve">% compared to the </w:t>
      </w:r>
      <w:r w:rsidRPr="00D525ED">
        <w:rPr>
          <w:rFonts w:ascii="Times New Roman" w:hAnsi="Times New Roman" w:cs="Times New Roman"/>
          <w:sz w:val="21"/>
          <w:szCs w:val="21"/>
        </w:rPr>
        <w:t>previous</w:t>
      </w:r>
      <w:r w:rsidRPr="00EC356F">
        <w:rPr>
          <w:rFonts w:ascii="Times New Roman" w:hAnsi="Times New Roman" w:cs="Times New Roman"/>
          <w:sz w:val="21"/>
          <w:szCs w:val="21"/>
        </w:rPr>
        <w:t xml:space="preserve"> reference period. </w:t>
      </w:r>
      <w:r w:rsidR="00D525ED">
        <w:rPr>
          <w:rFonts w:ascii="Times New Roman" w:hAnsi="Times New Roman" w:cs="Times New Roman"/>
          <w:sz w:val="21"/>
          <w:szCs w:val="21"/>
        </w:rPr>
        <w:t xml:space="preserve">The increase in </w:t>
      </w:r>
      <w:r w:rsidRPr="00EC356F">
        <w:rPr>
          <w:rFonts w:ascii="Times New Roman" w:hAnsi="Times New Roman" w:cs="Times New Roman"/>
          <w:sz w:val="21"/>
          <w:szCs w:val="21"/>
        </w:rPr>
        <w:t xml:space="preserve">item </w:t>
      </w:r>
      <w:r w:rsidRPr="00EC356F">
        <w:rPr>
          <w:rFonts w:ascii="Times New Roman" w:hAnsi="Times New Roman" w:cs="Times New Roman"/>
          <w:b/>
          <w:sz w:val="21"/>
          <w:szCs w:val="21"/>
        </w:rPr>
        <w:t>“transactions with non-financial assets”</w:t>
      </w:r>
      <w:r w:rsidRPr="00EC356F">
        <w:rPr>
          <w:rFonts w:ascii="Times New Roman" w:hAnsi="Times New Roman" w:cs="Times New Roman"/>
          <w:sz w:val="21"/>
          <w:szCs w:val="21"/>
        </w:rPr>
        <w:t xml:space="preserve"> was due to </w:t>
      </w:r>
      <w:r w:rsidR="00F949DD">
        <w:rPr>
          <w:rFonts w:ascii="Times New Roman" w:hAnsi="Times New Roman" w:cs="Times New Roman"/>
          <w:sz w:val="21"/>
          <w:szCs w:val="21"/>
        </w:rPr>
        <w:t>increased</w:t>
      </w:r>
      <w:r w:rsidR="00D525ED" w:rsidRPr="00EC356F">
        <w:rPr>
          <w:rFonts w:ascii="Times New Roman" w:hAnsi="Times New Roman" w:cs="Times New Roman"/>
          <w:sz w:val="21"/>
          <w:szCs w:val="21"/>
        </w:rPr>
        <w:t xml:space="preserve"> spending from domestic sources</w:t>
      </w:r>
      <w:r w:rsidR="00D525ED">
        <w:rPr>
          <w:rFonts w:ascii="Times New Roman" w:hAnsi="Times New Roman" w:cs="Times New Roman"/>
          <w:sz w:val="21"/>
          <w:szCs w:val="21"/>
        </w:rPr>
        <w:t>. However, expenditures financed by external sources have reduced</w:t>
      </w:r>
      <w:r w:rsidR="00F949DD">
        <w:rPr>
          <w:rFonts w:ascii="Times New Roman" w:hAnsi="Times New Roman" w:cs="Times New Roman"/>
          <w:sz w:val="21"/>
          <w:szCs w:val="21"/>
        </w:rPr>
        <w:t xml:space="preserve"> by 10%</w:t>
      </w:r>
      <w:r w:rsidR="00D525ED">
        <w:rPr>
          <w:rFonts w:ascii="Times New Roman" w:hAnsi="Times New Roman" w:cs="Times New Roman"/>
          <w:sz w:val="21"/>
          <w:szCs w:val="21"/>
        </w:rPr>
        <w:t xml:space="preserve">. </w:t>
      </w:r>
    </w:p>
    <w:p w14:paraId="2701EA8D"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F949DD">
        <w:rPr>
          <w:rFonts w:ascii="Times New Roman" w:hAnsi="Times New Roman" w:cs="Times New Roman"/>
          <w:sz w:val="21"/>
          <w:szCs w:val="21"/>
        </w:rPr>
        <w:t>3r</w:t>
      </w:r>
      <w:r w:rsidRPr="00EC356F">
        <w:rPr>
          <w:rFonts w:ascii="Times New Roman" w:hAnsi="Times New Roman" w:cs="Times New Roman"/>
          <w:sz w:val="21"/>
          <w:szCs w:val="21"/>
        </w:rPr>
        <w:t xml:space="preserve">d quarter of 2014, with revenues and expenditures figures shown above, the budget </w:t>
      </w:r>
      <w:r w:rsidR="00354F55">
        <w:rPr>
          <w:rFonts w:ascii="Times New Roman" w:hAnsi="Times New Roman" w:cs="Times New Roman"/>
          <w:sz w:val="21"/>
          <w:szCs w:val="21"/>
        </w:rPr>
        <w:t xml:space="preserve">reported a deficit of </w:t>
      </w:r>
      <w:r w:rsidRPr="00EC356F">
        <w:rPr>
          <w:rFonts w:ascii="Times New Roman" w:hAnsi="Times New Roman" w:cs="Times New Roman"/>
          <w:sz w:val="21"/>
          <w:szCs w:val="21"/>
        </w:rPr>
        <w:t xml:space="preserve">AMD </w:t>
      </w:r>
      <w:r w:rsidR="00354F55">
        <w:rPr>
          <w:rFonts w:ascii="Times New Roman" w:hAnsi="Times New Roman" w:cs="Times New Roman"/>
          <w:sz w:val="21"/>
          <w:szCs w:val="21"/>
        </w:rPr>
        <w:t>20</w:t>
      </w:r>
      <w:r w:rsidRPr="00EC356F">
        <w:rPr>
          <w:rFonts w:ascii="Times New Roman" w:hAnsi="Times New Roman" w:cs="Times New Roman"/>
          <w:sz w:val="21"/>
          <w:szCs w:val="21"/>
        </w:rPr>
        <w:t>.</w:t>
      </w:r>
      <w:r w:rsidR="00354F55">
        <w:rPr>
          <w:rFonts w:ascii="Times New Roman" w:hAnsi="Times New Roman" w:cs="Times New Roman"/>
          <w:sz w:val="21"/>
          <w:szCs w:val="21"/>
        </w:rPr>
        <w:t>6</w:t>
      </w:r>
      <w:r w:rsidRPr="00EC356F">
        <w:rPr>
          <w:rFonts w:ascii="Times New Roman" w:hAnsi="Times New Roman" w:cs="Times New Roman"/>
          <w:sz w:val="21"/>
          <w:szCs w:val="21"/>
        </w:rPr>
        <w:t xml:space="preserve"> billion instead of a deficit of AMD </w:t>
      </w:r>
      <w:r w:rsidR="00786296">
        <w:rPr>
          <w:rFonts w:ascii="Times New Roman" w:hAnsi="Times New Roman" w:cs="Times New Roman"/>
          <w:sz w:val="21"/>
          <w:szCs w:val="21"/>
        </w:rPr>
        <w:t>38</w:t>
      </w:r>
      <w:r w:rsidRPr="00EC356F">
        <w:rPr>
          <w:rFonts w:ascii="Times New Roman" w:hAnsi="Times New Roman" w:cs="Times New Roman"/>
          <w:sz w:val="21"/>
          <w:szCs w:val="21"/>
        </w:rPr>
        <w:t>.</w:t>
      </w:r>
      <w:r w:rsidR="00786296">
        <w:rPr>
          <w:rFonts w:ascii="Times New Roman" w:hAnsi="Times New Roman" w:cs="Times New Roman"/>
          <w:sz w:val="21"/>
          <w:szCs w:val="21"/>
        </w:rPr>
        <w:t>7</w:t>
      </w:r>
      <w:r w:rsidRPr="00EC356F">
        <w:rPr>
          <w:rFonts w:ascii="Times New Roman" w:hAnsi="Times New Roman" w:cs="Times New Roman"/>
          <w:sz w:val="21"/>
          <w:szCs w:val="21"/>
        </w:rPr>
        <w:t xml:space="preserve"> billion as was projected under the program adjusted for the quarter. </w:t>
      </w:r>
    </w:p>
    <w:p w14:paraId="0F8FE5B0" w14:textId="77777777" w:rsidR="00A9653E" w:rsidRDefault="00786296"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Based on the results of the past nine months</w:t>
      </w:r>
      <w:r w:rsidR="009E659F">
        <w:rPr>
          <w:rFonts w:ascii="Times New Roman" w:hAnsi="Times New Roman" w:cs="Times New Roman"/>
          <w:sz w:val="21"/>
          <w:szCs w:val="21"/>
        </w:rPr>
        <w:t xml:space="preserve"> of 2014</w:t>
      </w:r>
      <w:r>
        <w:rPr>
          <w:rFonts w:ascii="Times New Roman" w:hAnsi="Times New Roman" w:cs="Times New Roman"/>
          <w:sz w:val="21"/>
          <w:szCs w:val="21"/>
        </w:rPr>
        <w:t xml:space="preserve">, the revenues and grants of the budget amounted to AMD 803.3 billion, which secured a 96.1% performance of the 9-month program of the Government. Relative to the same period of the previous year, tax revenues have grown by 4.9% or </w:t>
      </w:r>
      <w:r>
        <w:rPr>
          <w:rFonts w:ascii="Times New Roman" w:hAnsi="Times New Roman" w:cs="Times New Roman"/>
          <w:sz w:val="21"/>
          <w:szCs w:val="21"/>
        </w:rPr>
        <w:lastRenderedPageBreak/>
        <w:t xml:space="preserve">AMD 36.6 billion due mostly to increased value added tax and income tax. </w:t>
      </w:r>
      <w:r w:rsidR="00FA4974">
        <w:rPr>
          <w:rFonts w:ascii="Times New Roman" w:hAnsi="Times New Roman" w:cs="Times New Roman"/>
          <w:sz w:val="21"/>
          <w:szCs w:val="21"/>
        </w:rPr>
        <w:t>Relative to the same period of the previous year, p</w:t>
      </w:r>
      <w:r w:rsidR="00182A56">
        <w:rPr>
          <w:rFonts w:ascii="Times New Roman" w:hAnsi="Times New Roman" w:cs="Times New Roman"/>
          <w:sz w:val="21"/>
          <w:szCs w:val="21"/>
        </w:rPr>
        <w:t>ublic expenditures (PIU funds included) have grown by 12% to AMD 808.9 billion</w:t>
      </w:r>
      <w:r w:rsidR="006B7091">
        <w:rPr>
          <w:rFonts w:ascii="Times New Roman" w:hAnsi="Times New Roman" w:cs="Times New Roman"/>
          <w:sz w:val="21"/>
          <w:szCs w:val="21"/>
        </w:rPr>
        <w:t>.</w:t>
      </w:r>
      <w:r>
        <w:rPr>
          <w:rFonts w:ascii="Times New Roman" w:hAnsi="Times New Roman" w:cs="Times New Roman"/>
          <w:sz w:val="21"/>
          <w:szCs w:val="21"/>
        </w:rPr>
        <w:t xml:space="preserve"> </w:t>
      </w:r>
    </w:p>
    <w:p w14:paraId="1E6B48D6" w14:textId="77777777" w:rsidR="009E659F" w:rsidRDefault="009E659F"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As a result of the past nine months of 2014, the budget deficit totaled AMD 5.6 billion instead of the envisaged AMD 91.3 billion. </w:t>
      </w:r>
    </w:p>
    <w:p w14:paraId="14D6008D" w14:textId="77777777" w:rsidR="009E659F" w:rsidRDefault="009E659F"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Overall, the fiscal policy’s i</w:t>
      </w:r>
      <w:r w:rsidR="005F5299">
        <w:rPr>
          <w:rFonts w:ascii="Times New Roman" w:hAnsi="Times New Roman" w:cs="Times New Roman"/>
          <w:sz w:val="21"/>
          <w:szCs w:val="21"/>
        </w:rPr>
        <w:t>mpact</w:t>
      </w:r>
      <w:r>
        <w:rPr>
          <w:rFonts w:ascii="Times New Roman" w:hAnsi="Times New Roman" w:cs="Times New Roman"/>
          <w:sz w:val="21"/>
          <w:szCs w:val="21"/>
        </w:rPr>
        <w:t xml:space="preserve"> on the aggregate demand has been 1.2 expansionary as both the expenditures and revenues generated expansionary </w:t>
      </w:r>
      <w:r w:rsidR="005F5299">
        <w:rPr>
          <w:rFonts w:ascii="Times New Roman" w:hAnsi="Times New Roman" w:cs="Times New Roman"/>
          <w:sz w:val="21"/>
          <w:szCs w:val="21"/>
        </w:rPr>
        <w:t>pressures</w:t>
      </w:r>
      <w:r>
        <w:rPr>
          <w:rFonts w:ascii="Times New Roman" w:hAnsi="Times New Roman" w:cs="Times New Roman"/>
          <w:sz w:val="21"/>
          <w:szCs w:val="21"/>
        </w:rPr>
        <w:t xml:space="preserve">. </w:t>
      </w:r>
    </w:p>
    <w:p w14:paraId="70DFEDA6" w14:textId="77777777" w:rsidR="00B00031" w:rsidRDefault="00B00031" w:rsidP="00A9653E">
      <w:pPr>
        <w:spacing w:line="360" w:lineRule="auto"/>
        <w:jc w:val="both"/>
        <w:rPr>
          <w:rFonts w:ascii="Times New Roman" w:hAnsi="Times New Roman" w:cs="Times New Roman"/>
          <w:b/>
          <w:sz w:val="21"/>
          <w:szCs w:val="21"/>
        </w:rPr>
      </w:pPr>
    </w:p>
    <w:p w14:paraId="59ACDDA2"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3.3 Money and financial market developments</w:t>
      </w:r>
    </w:p>
    <w:p w14:paraId="57BF7215"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3.3.1 Financial market, money and credit</w:t>
      </w:r>
    </w:p>
    <w:p w14:paraId="66886E7C" w14:textId="655CB134" w:rsidR="00A9653E" w:rsidRPr="00EC356F" w:rsidRDefault="00417309" w:rsidP="00A9653E">
      <w:pPr>
        <w:spacing w:line="360" w:lineRule="auto"/>
        <w:jc w:val="both"/>
        <w:rPr>
          <w:rFonts w:ascii="Times New Roman" w:hAnsi="Times New Roman" w:cs="Times New Roman"/>
          <w:sz w:val="21"/>
          <w:szCs w:val="21"/>
        </w:rPr>
      </w:pPr>
      <w:r w:rsidRPr="00417309">
        <w:rPr>
          <w:rFonts w:ascii="Times New Roman" w:hAnsi="Times New Roman" w:cs="Times New Roman"/>
          <w:sz w:val="21"/>
          <w:szCs w:val="21"/>
        </w:rPr>
        <w:t>In the 3rd quarter of 2014, the Central Bank reduced the refinancing rate by 0.25 pp to 6</w:t>
      </w:r>
      <w:r w:rsidRPr="00EC356F">
        <w:rPr>
          <w:rFonts w:ascii="Times New Roman" w:hAnsi="Times New Roman" w:cs="Times New Roman"/>
          <w:sz w:val="21"/>
          <w:szCs w:val="21"/>
        </w:rPr>
        <w:t>.</w:t>
      </w:r>
      <w:r>
        <w:rPr>
          <w:rFonts w:ascii="Times New Roman" w:hAnsi="Times New Roman" w:cs="Times New Roman"/>
          <w:sz w:val="21"/>
          <w:szCs w:val="21"/>
        </w:rPr>
        <w:t>75</w:t>
      </w:r>
      <w:r w:rsidRPr="00EC356F">
        <w:rPr>
          <w:rFonts w:ascii="Times New Roman" w:hAnsi="Times New Roman" w:cs="Times New Roman"/>
          <w:sz w:val="21"/>
          <w:szCs w:val="21"/>
        </w:rPr>
        <w:t>%</w:t>
      </w:r>
      <w:r>
        <w:rPr>
          <w:rFonts w:ascii="Times New Roman" w:hAnsi="Times New Roman" w:cs="Times New Roman"/>
          <w:sz w:val="21"/>
          <w:szCs w:val="21"/>
        </w:rPr>
        <w:t xml:space="preserve"> as part of further easing of monetary conditions, a policy measure since November of 2013.</w:t>
      </w:r>
      <w:r w:rsidRPr="00EC356F">
        <w:rPr>
          <w:rFonts w:ascii="Times New Roman" w:hAnsi="Times New Roman" w:cs="Times New Roman"/>
          <w:sz w:val="21"/>
          <w:szCs w:val="21"/>
        </w:rPr>
        <w:t xml:space="preserve"> </w:t>
      </w:r>
      <w:r w:rsidR="00C375FD">
        <w:rPr>
          <w:rFonts w:ascii="Times New Roman" w:hAnsi="Times New Roman" w:cs="Times New Roman"/>
          <w:sz w:val="21"/>
          <w:szCs w:val="21"/>
        </w:rPr>
        <w:t xml:space="preserve">The decision was based on the consideration that </w:t>
      </w:r>
      <w:r w:rsidR="00497687">
        <w:rPr>
          <w:rFonts w:ascii="Times New Roman" w:hAnsi="Times New Roman" w:cs="Times New Roman"/>
          <w:sz w:val="21"/>
          <w:szCs w:val="21"/>
        </w:rPr>
        <w:t xml:space="preserve">inflation and growth </w:t>
      </w:r>
      <w:r w:rsidR="00C375FD">
        <w:rPr>
          <w:rFonts w:ascii="Times New Roman" w:hAnsi="Times New Roman" w:cs="Times New Roman"/>
          <w:sz w:val="21"/>
          <w:szCs w:val="21"/>
        </w:rPr>
        <w:t xml:space="preserve">still lag behind the desired levels in spite of forecasts in favor of rebounding and stabilizing inflation and economic growth rates. </w:t>
      </w:r>
    </w:p>
    <w:p w14:paraId="1B03899A" w14:textId="77777777" w:rsidR="00CD3C39"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Style w:val="longtext"/>
          <w:rFonts w:ascii="Times New Roman" w:hAnsi="Times New Roman" w:cs="Times New Roman"/>
          <w:color w:val="000000"/>
          <w:sz w:val="21"/>
          <w:szCs w:val="21"/>
          <w:shd w:val="clear" w:color="auto" w:fill="FFFFFF"/>
        </w:rPr>
        <w:t xml:space="preserve">During the quarter, the 7-day repo rate, </w:t>
      </w:r>
      <w:r w:rsidR="00CD3C39">
        <w:rPr>
          <w:rStyle w:val="longtext"/>
          <w:rFonts w:ascii="Times New Roman" w:hAnsi="Times New Roman" w:cs="Times New Roman"/>
          <w:color w:val="000000"/>
          <w:sz w:val="21"/>
          <w:szCs w:val="21"/>
          <w:shd w:val="clear" w:color="auto" w:fill="FFFFFF"/>
        </w:rPr>
        <w:t xml:space="preserve">the </w:t>
      </w:r>
      <w:r w:rsidRPr="00EC356F">
        <w:rPr>
          <w:rStyle w:val="longtext"/>
          <w:rFonts w:ascii="Times New Roman" w:hAnsi="Times New Roman" w:cs="Times New Roman"/>
          <w:color w:val="000000"/>
          <w:sz w:val="21"/>
          <w:szCs w:val="21"/>
          <w:shd w:val="clear" w:color="auto" w:fill="FFFFFF"/>
        </w:rPr>
        <w:t xml:space="preserve">main </w:t>
      </w:r>
      <w:r w:rsidR="00CD3C39">
        <w:rPr>
          <w:rStyle w:val="longtext"/>
          <w:rFonts w:ascii="Times New Roman" w:hAnsi="Times New Roman" w:cs="Times New Roman"/>
          <w:color w:val="000000"/>
          <w:sz w:val="21"/>
          <w:szCs w:val="21"/>
          <w:shd w:val="clear" w:color="auto" w:fill="FFFFFF"/>
        </w:rPr>
        <w:t xml:space="preserve">policy </w:t>
      </w:r>
      <w:r w:rsidRPr="00EC356F">
        <w:rPr>
          <w:rStyle w:val="longtext"/>
          <w:rFonts w:ascii="Times New Roman" w:hAnsi="Times New Roman" w:cs="Times New Roman"/>
          <w:color w:val="000000"/>
          <w:sz w:val="21"/>
          <w:szCs w:val="21"/>
          <w:shd w:val="clear" w:color="auto" w:fill="FFFFFF"/>
        </w:rPr>
        <w:t xml:space="preserve">instrument of the Central Bank, trended in line with the refinancing rate: the average rate for </w:t>
      </w:r>
      <w:r w:rsidR="00C571CE">
        <w:rPr>
          <w:rStyle w:val="longtext"/>
          <w:rFonts w:ascii="Times New Roman" w:hAnsi="Times New Roman" w:cs="Times New Roman"/>
          <w:color w:val="000000"/>
          <w:sz w:val="21"/>
          <w:szCs w:val="21"/>
          <w:shd w:val="clear" w:color="auto" w:fill="FFFFFF"/>
        </w:rPr>
        <w:t>September, which</w:t>
      </w:r>
      <w:r w:rsidRPr="00EC356F">
        <w:rPr>
          <w:rStyle w:val="longtext"/>
          <w:rFonts w:ascii="Times New Roman" w:hAnsi="Times New Roman" w:cs="Times New Roman"/>
          <w:color w:val="000000"/>
          <w:sz w:val="21"/>
          <w:szCs w:val="21"/>
          <w:shd w:val="clear" w:color="auto" w:fill="FFFFFF"/>
        </w:rPr>
        <w:t xml:space="preserve"> was 0.</w:t>
      </w:r>
      <w:r w:rsidR="00C571CE">
        <w:rPr>
          <w:rStyle w:val="longtext"/>
          <w:rFonts w:ascii="Times New Roman" w:hAnsi="Times New Roman" w:cs="Times New Roman"/>
          <w:color w:val="000000"/>
          <w:sz w:val="21"/>
          <w:szCs w:val="21"/>
          <w:shd w:val="clear" w:color="auto" w:fill="FFFFFF"/>
        </w:rPr>
        <w:t>56</w:t>
      </w:r>
      <w:r w:rsidRPr="00EC356F">
        <w:rPr>
          <w:rStyle w:val="longtext"/>
          <w:rFonts w:ascii="Times New Roman" w:hAnsi="Times New Roman" w:cs="Times New Roman"/>
          <w:color w:val="000000"/>
          <w:sz w:val="21"/>
          <w:szCs w:val="21"/>
          <w:shd w:val="clear" w:color="auto" w:fill="FFFFFF"/>
        </w:rPr>
        <w:t xml:space="preserve"> pp lower from </w:t>
      </w:r>
      <w:r w:rsidR="00C571CE">
        <w:rPr>
          <w:rStyle w:val="longtext"/>
          <w:rFonts w:ascii="Times New Roman" w:hAnsi="Times New Roman" w:cs="Times New Roman"/>
          <w:color w:val="000000"/>
          <w:sz w:val="21"/>
          <w:szCs w:val="21"/>
          <w:shd w:val="clear" w:color="auto" w:fill="FFFFFF"/>
        </w:rPr>
        <w:t>June</w:t>
      </w:r>
      <w:r w:rsidRPr="00EC356F">
        <w:rPr>
          <w:rStyle w:val="longtext"/>
          <w:rFonts w:ascii="Times New Roman" w:hAnsi="Times New Roman" w:cs="Times New Roman"/>
          <w:color w:val="000000"/>
          <w:sz w:val="21"/>
          <w:szCs w:val="21"/>
          <w:shd w:val="clear" w:color="auto" w:fill="FFFFFF"/>
        </w:rPr>
        <w:t xml:space="preserve"> average</w:t>
      </w:r>
      <w:r w:rsidR="00C571CE">
        <w:rPr>
          <w:rStyle w:val="longtext"/>
          <w:rFonts w:ascii="Times New Roman" w:hAnsi="Times New Roman" w:cs="Times New Roman"/>
          <w:color w:val="000000"/>
          <w:sz w:val="21"/>
          <w:szCs w:val="21"/>
          <w:shd w:val="clear" w:color="auto" w:fill="FFFFFF"/>
        </w:rPr>
        <w:t xml:space="preserve">, </w:t>
      </w:r>
      <w:r w:rsidR="00CD3C39">
        <w:rPr>
          <w:rStyle w:val="longtext"/>
          <w:rFonts w:ascii="Times New Roman" w:hAnsi="Times New Roman" w:cs="Times New Roman"/>
          <w:color w:val="000000"/>
          <w:sz w:val="21"/>
          <w:szCs w:val="21"/>
          <w:shd w:val="clear" w:color="auto" w:fill="FFFFFF"/>
        </w:rPr>
        <w:t>reached</w:t>
      </w:r>
      <w:r w:rsidR="00C571CE">
        <w:rPr>
          <w:rStyle w:val="longtext"/>
          <w:rFonts w:ascii="Times New Roman" w:hAnsi="Times New Roman" w:cs="Times New Roman"/>
          <w:color w:val="000000"/>
          <w:sz w:val="21"/>
          <w:szCs w:val="21"/>
          <w:shd w:val="clear" w:color="auto" w:fill="FFFFFF"/>
        </w:rPr>
        <w:t xml:space="preserve"> 7.01% and the quarterly average indicator dropped by 0.63 pp to 7.16%. </w:t>
      </w:r>
    </w:p>
    <w:p w14:paraId="71C2AAC4" w14:textId="77777777" w:rsidR="00CD3C39" w:rsidRDefault="00CD3C39" w:rsidP="00A9653E">
      <w:pPr>
        <w:spacing w:line="360" w:lineRule="auto"/>
        <w:jc w:val="both"/>
        <w:rPr>
          <w:rStyle w:val="longtext"/>
          <w:rFonts w:ascii="Times New Roman" w:hAnsi="Times New Roman" w:cs="Times New Roman"/>
          <w:color w:val="000000"/>
          <w:sz w:val="21"/>
          <w:szCs w:val="21"/>
          <w:shd w:val="clear" w:color="auto" w:fill="FFFFFF"/>
        </w:rPr>
      </w:pPr>
      <w:r w:rsidRPr="000553AD">
        <w:rPr>
          <w:rStyle w:val="longtext"/>
          <w:rFonts w:ascii="Times New Roman" w:hAnsi="Times New Roman" w:cs="Times New Roman"/>
          <w:sz w:val="21"/>
          <w:szCs w:val="21"/>
          <w:highlight w:val="yellow"/>
          <w:shd w:val="clear" w:color="auto" w:fill="FFFFFF"/>
        </w:rPr>
        <w:t>Table</w:t>
      </w:r>
      <w:r>
        <w:rPr>
          <w:rStyle w:val="longtext"/>
          <w:rFonts w:ascii="Times New Roman" w:hAnsi="Times New Roman" w:cs="Times New Roman"/>
          <w:color w:val="000000"/>
          <w:sz w:val="21"/>
          <w:szCs w:val="21"/>
          <w:shd w:val="clear" w:color="auto" w:fill="FFFFFF"/>
        </w:rPr>
        <w:t xml:space="preserve"> </w:t>
      </w:r>
    </w:p>
    <w:p w14:paraId="541E0887" w14:textId="15912351" w:rsidR="00A9653E" w:rsidRPr="00EC356F" w:rsidRDefault="00A9653E" w:rsidP="00A9653E">
      <w:pPr>
        <w:spacing w:line="360" w:lineRule="auto"/>
        <w:jc w:val="both"/>
        <w:rPr>
          <w:rFonts w:ascii="Times New Roman" w:hAnsi="Times New Roman" w:cs="Times New Roman"/>
          <w:sz w:val="21"/>
          <w:szCs w:val="21"/>
        </w:rPr>
      </w:pPr>
      <w:r w:rsidRPr="00EC356F">
        <w:rPr>
          <w:rStyle w:val="longtext"/>
          <w:rFonts w:ascii="Times New Roman" w:hAnsi="Times New Roman" w:cs="Times New Roman"/>
          <w:color w:val="000000"/>
          <w:sz w:val="21"/>
          <w:szCs w:val="21"/>
          <w:shd w:val="clear" w:color="auto" w:fill="FFFFFF"/>
        </w:rPr>
        <w:t xml:space="preserve">In the </w:t>
      </w:r>
      <w:r w:rsidR="00CF02C0">
        <w:rPr>
          <w:rStyle w:val="longtext"/>
          <w:rFonts w:ascii="Times New Roman" w:hAnsi="Times New Roman" w:cs="Times New Roman"/>
          <w:color w:val="000000"/>
          <w:sz w:val="21"/>
          <w:szCs w:val="21"/>
          <w:shd w:val="clear" w:color="auto" w:fill="FFFFFF"/>
        </w:rPr>
        <w:t>3r</w:t>
      </w:r>
      <w:r w:rsidRPr="00EC356F">
        <w:rPr>
          <w:rStyle w:val="longtext"/>
          <w:rFonts w:ascii="Times New Roman" w:hAnsi="Times New Roman" w:cs="Times New Roman"/>
          <w:color w:val="000000"/>
          <w:sz w:val="21"/>
          <w:szCs w:val="21"/>
          <w:shd w:val="clear" w:color="auto" w:fill="FFFFFF"/>
        </w:rPr>
        <w:t xml:space="preserve">d quarter of 2014, </w:t>
      </w:r>
      <w:r w:rsidRPr="00CF02C0">
        <w:rPr>
          <w:rStyle w:val="longtext"/>
          <w:rFonts w:ascii="Times New Roman" w:hAnsi="Times New Roman" w:cs="Times New Roman"/>
          <w:color w:val="000000"/>
          <w:sz w:val="21"/>
          <w:szCs w:val="21"/>
          <w:shd w:val="clear" w:color="auto" w:fill="FFFFFF"/>
        </w:rPr>
        <w:t>short-term interest rates of the financial market further trended downward</w:t>
      </w:r>
      <w:r w:rsidR="00CF02C0">
        <w:rPr>
          <w:rStyle w:val="longtext"/>
          <w:rFonts w:ascii="Times New Roman" w:hAnsi="Times New Roman" w:cs="Times New Roman"/>
          <w:color w:val="000000"/>
          <w:sz w:val="21"/>
          <w:szCs w:val="21"/>
          <w:shd w:val="clear" w:color="auto" w:fill="FFFFFF"/>
        </w:rPr>
        <w:t>, concurrent with the refinancing rate.</w:t>
      </w:r>
      <w:r w:rsidRPr="00EC356F">
        <w:rPr>
          <w:rStyle w:val="longtext"/>
          <w:rFonts w:ascii="Times New Roman" w:hAnsi="Times New Roman" w:cs="Times New Roman"/>
          <w:color w:val="000000"/>
          <w:sz w:val="21"/>
          <w:szCs w:val="21"/>
          <w:shd w:val="clear" w:color="auto" w:fill="FFFFFF"/>
        </w:rPr>
        <w:t xml:space="preserve"> </w:t>
      </w:r>
      <w:r w:rsidR="00CF02C0">
        <w:rPr>
          <w:rStyle w:val="longtext"/>
          <w:rFonts w:ascii="Times New Roman" w:hAnsi="Times New Roman" w:cs="Times New Roman"/>
          <w:color w:val="000000"/>
          <w:sz w:val="21"/>
          <w:szCs w:val="21"/>
          <w:shd w:val="clear" w:color="auto" w:fill="FFFFFF"/>
        </w:rPr>
        <w:t>Relative</w:t>
      </w:r>
      <w:r w:rsidR="00CF02C0" w:rsidRPr="00EC356F">
        <w:rPr>
          <w:rFonts w:ascii="Times New Roman" w:hAnsi="Times New Roman" w:cs="Times New Roman"/>
          <w:sz w:val="21"/>
          <w:szCs w:val="21"/>
        </w:rPr>
        <w:t xml:space="preserve"> to the previous quarter</w:t>
      </w:r>
      <w:r w:rsidR="00CF02C0">
        <w:rPr>
          <w:rFonts w:ascii="Times New Roman" w:hAnsi="Times New Roman" w:cs="Times New Roman"/>
          <w:sz w:val="21"/>
          <w:szCs w:val="21"/>
        </w:rPr>
        <w:t>,</w:t>
      </w:r>
      <w:r w:rsidR="00CF02C0" w:rsidRPr="00EC356F">
        <w:rPr>
          <w:rStyle w:val="longtext"/>
          <w:rFonts w:ascii="Times New Roman" w:hAnsi="Times New Roman" w:cs="Times New Roman"/>
          <w:color w:val="000000"/>
          <w:sz w:val="21"/>
          <w:szCs w:val="21"/>
          <w:shd w:val="clear" w:color="auto" w:fill="FFFFFF"/>
        </w:rPr>
        <w:t xml:space="preserve"> </w:t>
      </w:r>
      <w:r w:rsidR="00CF02C0">
        <w:rPr>
          <w:rStyle w:val="longtext"/>
          <w:rFonts w:ascii="Times New Roman" w:hAnsi="Times New Roman" w:cs="Times New Roman"/>
          <w:color w:val="000000"/>
          <w:sz w:val="21"/>
          <w:szCs w:val="21"/>
          <w:shd w:val="clear" w:color="auto" w:fill="FFFFFF"/>
        </w:rPr>
        <w:t>t</w:t>
      </w:r>
      <w:r w:rsidRPr="00EC356F">
        <w:rPr>
          <w:rFonts w:ascii="Times New Roman" w:hAnsi="Times New Roman" w:cs="Times New Roman"/>
          <w:sz w:val="21"/>
          <w:szCs w:val="21"/>
        </w:rPr>
        <w:t xml:space="preserve">he average quarterly overnight interest rate </w:t>
      </w:r>
      <w:r w:rsidR="00CF02C0">
        <w:rPr>
          <w:rFonts w:ascii="Times New Roman" w:hAnsi="Times New Roman" w:cs="Times New Roman"/>
          <w:sz w:val="21"/>
          <w:szCs w:val="21"/>
        </w:rPr>
        <w:t>has fallen</w:t>
      </w:r>
      <w:r w:rsidRPr="00EC356F">
        <w:rPr>
          <w:rFonts w:ascii="Times New Roman" w:hAnsi="Times New Roman" w:cs="Times New Roman"/>
          <w:sz w:val="21"/>
          <w:szCs w:val="21"/>
        </w:rPr>
        <w:t xml:space="preserve"> by 0.3</w:t>
      </w:r>
      <w:r w:rsidR="00CF02C0">
        <w:rPr>
          <w:rFonts w:ascii="Times New Roman" w:hAnsi="Times New Roman" w:cs="Times New Roman"/>
          <w:sz w:val="21"/>
          <w:szCs w:val="21"/>
        </w:rPr>
        <w:t>7</w:t>
      </w:r>
      <w:r w:rsidRPr="00EC356F">
        <w:rPr>
          <w:rFonts w:ascii="Times New Roman" w:hAnsi="Times New Roman" w:cs="Times New Roman"/>
          <w:sz w:val="21"/>
          <w:szCs w:val="21"/>
        </w:rPr>
        <w:t xml:space="preserve"> pp</w:t>
      </w:r>
      <w:r w:rsidR="00B1494D">
        <w:rPr>
          <w:rFonts w:ascii="Times New Roman" w:hAnsi="Times New Roman" w:cs="Times New Roman"/>
          <w:sz w:val="21"/>
          <w:szCs w:val="21"/>
        </w:rPr>
        <w:t xml:space="preserve">. Despite a slight rise at the beginning of the quarter in part due to a reduced volume of </w:t>
      </w:r>
      <w:r w:rsidR="00A672C2">
        <w:rPr>
          <w:rFonts w:ascii="Times New Roman" w:hAnsi="Times New Roman" w:cs="Times New Roman"/>
          <w:sz w:val="21"/>
          <w:szCs w:val="21"/>
        </w:rPr>
        <w:t>overnight</w:t>
      </w:r>
      <w:r w:rsidR="00B1494D">
        <w:rPr>
          <w:rFonts w:ascii="Times New Roman" w:hAnsi="Times New Roman" w:cs="Times New Roman"/>
          <w:sz w:val="21"/>
          <w:szCs w:val="21"/>
        </w:rPr>
        <w:t xml:space="preserve"> credit resources, the interest rates began stabilizing around 6.5% level the next months as the said volume restore</w:t>
      </w:r>
      <w:r w:rsidR="002C30C7">
        <w:rPr>
          <w:rFonts w:ascii="Times New Roman" w:hAnsi="Times New Roman" w:cs="Times New Roman"/>
          <w:sz w:val="21"/>
          <w:szCs w:val="21"/>
        </w:rPr>
        <w:t>d</w:t>
      </w:r>
      <w:r w:rsidR="00B1494D">
        <w:rPr>
          <w:rFonts w:ascii="Times New Roman" w:hAnsi="Times New Roman" w:cs="Times New Roman"/>
          <w:sz w:val="21"/>
          <w:szCs w:val="21"/>
        </w:rPr>
        <w:t xml:space="preserve">. </w:t>
      </w:r>
      <w:r w:rsidRPr="00EC356F">
        <w:rPr>
          <w:rFonts w:ascii="Times New Roman" w:hAnsi="Times New Roman" w:cs="Times New Roman"/>
          <w:sz w:val="21"/>
          <w:szCs w:val="21"/>
        </w:rPr>
        <w:t>Relative to the previous quarter, the market repo rate has reduced by 0.</w:t>
      </w:r>
      <w:r w:rsidR="00EF1ACE">
        <w:rPr>
          <w:rFonts w:ascii="Times New Roman" w:hAnsi="Times New Roman" w:cs="Times New Roman"/>
          <w:sz w:val="21"/>
          <w:szCs w:val="21"/>
        </w:rPr>
        <w:t>5</w:t>
      </w:r>
      <w:r w:rsidRPr="00EC356F">
        <w:rPr>
          <w:rFonts w:ascii="Times New Roman" w:hAnsi="Times New Roman" w:cs="Times New Roman"/>
          <w:sz w:val="21"/>
          <w:szCs w:val="21"/>
        </w:rPr>
        <w:t xml:space="preserve">3 pp; the average </w:t>
      </w:r>
      <w:r w:rsidR="00EF1ACE">
        <w:rPr>
          <w:rFonts w:ascii="Times New Roman" w:hAnsi="Times New Roman" w:cs="Times New Roman"/>
          <w:sz w:val="21"/>
          <w:szCs w:val="21"/>
        </w:rPr>
        <w:t>September</w:t>
      </w:r>
      <w:r w:rsidRPr="00EC356F">
        <w:rPr>
          <w:rFonts w:ascii="Times New Roman" w:hAnsi="Times New Roman" w:cs="Times New Roman"/>
          <w:sz w:val="21"/>
          <w:szCs w:val="21"/>
        </w:rPr>
        <w:t xml:space="preserve"> rate has fallen relative to the average </w:t>
      </w:r>
      <w:r w:rsidR="00EF1ACE">
        <w:rPr>
          <w:rFonts w:ascii="Times New Roman" w:hAnsi="Times New Roman" w:cs="Times New Roman"/>
          <w:sz w:val="21"/>
          <w:szCs w:val="21"/>
        </w:rPr>
        <w:t>June</w:t>
      </w:r>
      <w:r w:rsidRPr="00EC356F">
        <w:rPr>
          <w:rFonts w:ascii="Times New Roman" w:hAnsi="Times New Roman" w:cs="Times New Roman"/>
          <w:sz w:val="21"/>
          <w:szCs w:val="21"/>
        </w:rPr>
        <w:t xml:space="preserve"> rate by 0.</w:t>
      </w:r>
      <w:r w:rsidR="00EF1ACE">
        <w:rPr>
          <w:rFonts w:ascii="Times New Roman" w:hAnsi="Times New Roman" w:cs="Times New Roman"/>
          <w:sz w:val="21"/>
          <w:szCs w:val="21"/>
        </w:rPr>
        <w:t>32</w:t>
      </w:r>
      <w:r w:rsidRPr="00EC356F">
        <w:rPr>
          <w:rFonts w:ascii="Times New Roman" w:hAnsi="Times New Roman" w:cs="Times New Roman"/>
          <w:sz w:val="21"/>
          <w:szCs w:val="21"/>
        </w:rPr>
        <w:t xml:space="preserve"> pp to </w:t>
      </w:r>
      <w:r w:rsidR="00EF1ACE">
        <w:rPr>
          <w:rFonts w:ascii="Times New Roman" w:hAnsi="Times New Roman" w:cs="Times New Roman"/>
          <w:sz w:val="21"/>
          <w:szCs w:val="21"/>
        </w:rPr>
        <w:t>6</w:t>
      </w:r>
      <w:r w:rsidRPr="00EC356F">
        <w:rPr>
          <w:rFonts w:ascii="Times New Roman" w:hAnsi="Times New Roman" w:cs="Times New Roman"/>
          <w:sz w:val="21"/>
          <w:szCs w:val="21"/>
        </w:rPr>
        <w:t>.</w:t>
      </w:r>
      <w:r w:rsidR="00EF1ACE">
        <w:rPr>
          <w:rFonts w:ascii="Times New Roman" w:hAnsi="Times New Roman" w:cs="Times New Roman"/>
          <w:sz w:val="21"/>
          <w:szCs w:val="21"/>
        </w:rPr>
        <w:t>95</w:t>
      </w:r>
      <w:r w:rsidRPr="00EC356F">
        <w:rPr>
          <w:rFonts w:ascii="Times New Roman" w:hAnsi="Times New Roman" w:cs="Times New Roman"/>
          <w:sz w:val="21"/>
          <w:szCs w:val="21"/>
        </w:rPr>
        <w:t xml:space="preserve">%. In the T-bills market too, the rates </w:t>
      </w:r>
      <w:r w:rsidR="00EF1ACE">
        <w:rPr>
          <w:rFonts w:ascii="Times New Roman" w:hAnsi="Times New Roman" w:cs="Times New Roman"/>
          <w:sz w:val="21"/>
          <w:szCs w:val="21"/>
        </w:rPr>
        <w:t>have trended down</w:t>
      </w:r>
      <w:r w:rsidRPr="00EC356F">
        <w:rPr>
          <w:rFonts w:ascii="Times New Roman" w:hAnsi="Times New Roman" w:cs="Times New Roman"/>
          <w:sz w:val="21"/>
          <w:szCs w:val="21"/>
        </w:rPr>
        <w:t xml:space="preserve">. </w:t>
      </w:r>
    </w:p>
    <w:p w14:paraId="1F3A0F77"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 xml:space="preserve">Box </w:t>
      </w:r>
      <w:r w:rsidR="00DA22FF">
        <w:rPr>
          <w:rFonts w:ascii="Times New Roman" w:hAnsi="Times New Roman" w:cs="Times New Roman"/>
          <w:b/>
          <w:sz w:val="21"/>
          <w:szCs w:val="21"/>
        </w:rPr>
        <w:t>3</w:t>
      </w:r>
    </w:p>
    <w:p w14:paraId="11701BB4"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Government securities market</w:t>
      </w:r>
    </w:p>
    <w:p w14:paraId="14E38935" w14:textId="77777777" w:rsidR="00A9653E" w:rsidRPr="00992946" w:rsidRDefault="00A9653E" w:rsidP="00A9653E">
      <w:pPr>
        <w:spacing w:line="360" w:lineRule="auto"/>
        <w:jc w:val="both"/>
        <w:rPr>
          <w:rFonts w:ascii="Times New Roman" w:hAnsi="Times New Roman" w:cs="Times New Roman"/>
          <w:i/>
          <w:sz w:val="21"/>
          <w:szCs w:val="21"/>
        </w:rPr>
      </w:pPr>
      <w:r w:rsidRPr="00992946">
        <w:rPr>
          <w:rFonts w:ascii="Times New Roman" w:hAnsi="Times New Roman" w:cs="Times New Roman"/>
          <w:i/>
          <w:sz w:val="21"/>
          <w:szCs w:val="21"/>
        </w:rPr>
        <w:t>In</w:t>
      </w:r>
      <w:r w:rsidR="00DA22FF" w:rsidRPr="00992946">
        <w:rPr>
          <w:rFonts w:ascii="Times New Roman" w:hAnsi="Times New Roman" w:cs="Times New Roman"/>
          <w:i/>
          <w:sz w:val="21"/>
          <w:szCs w:val="21"/>
        </w:rPr>
        <w:t>terest rates in the government securities market reacted to the Central Bank policy rate change</w:t>
      </w:r>
      <w:r w:rsidR="007F4B51" w:rsidRPr="00992946">
        <w:rPr>
          <w:rFonts w:ascii="Times New Roman" w:hAnsi="Times New Roman" w:cs="Times New Roman"/>
          <w:i/>
          <w:sz w:val="21"/>
          <w:szCs w:val="21"/>
        </w:rPr>
        <w:t xml:space="preserve"> </w:t>
      </w:r>
      <w:r w:rsidR="00DA22FF" w:rsidRPr="00992946">
        <w:rPr>
          <w:rFonts w:ascii="Times New Roman" w:hAnsi="Times New Roman" w:cs="Times New Roman"/>
          <w:i/>
          <w:sz w:val="21"/>
          <w:szCs w:val="21"/>
        </w:rPr>
        <w:t>adequately</w:t>
      </w:r>
      <w:r w:rsidR="007F4B51" w:rsidRPr="00992946">
        <w:rPr>
          <w:rFonts w:ascii="Times New Roman" w:hAnsi="Times New Roman" w:cs="Times New Roman"/>
          <w:i/>
          <w:sz w:val="21"/>
          <w:szCs w:val="21"/>
        </w:rPr>
        <w:t>. In the primary market, the</w:t>
      </w:r>
      <w:r w:rsidRPr="00992946">
        <w:rPr>
          <w:rFonts w:ascii="Times New Roman" w:hAnsi="Times New Roman" w:cs="Times New Roman"/>
          <w:i/>
          <w:sz w:val="21"/>
          <w:szCs w:val="21"/>
        </w:rPr>
        <w:t xml:space="preserve"> average quarterly rate of up to 1-year </w:t>
      </w:r>
      <w:r w:rsidR="008107BB" w:rsidRPr="00992946">
        <w:rPr>
          <w:rFonts w:ascii="Times New Roman" w:hAnsi="Times New Roman" w:cs="Times New Roman"/>
          <w:i/>
          <w:sz w:val="21"/>
          <w:szCs w:val="21"/>
        </w:rPr>
        <w:t>T-</w:t>
      </w:r>
      <w:r w:rsidRPr="00992946">
        <w:rPr>
          <w:rFonts w:ascii="Times New Roman" w:hAnsi="Times New Roman" w:cs="Times New Roman"/>
          <w:i/>
          <w:sz w:val="21"/>
          <w:szCs w:val="21"/>
        </w:rPr>
        <w:t xml:space="preserve">bills </w:t>
      </w:r>
      <w:r w:rsidR="007F4B51" w:rsidRPr="00992946">
        <w:rPr>
          <w:rFonts w:ascii="Times New Roman" w:hAnsi="Times New Roman" w:cs="Times New Roman"/>
          <w:i/>
          <w:sz w:val="21"/>
          <w:szCs w:val="21"/>
        </w:rPr>
        <w:t xml:space="preserve">kept on falling by </w:t>
      </w:r>
      <w:r w:rsidR="007F4B51" w:rsidRPr="00992946">
        <w:rPr>
          <w:rFonts w:ascii="Times New Roman" w:hAnsi="Times New Roman" w:cs="Times New Roman"/>
          <w:i/>
          <w:sz w:val="21"/>
          <w:szCs w:val="21"/>
        </w:rPr>
        <w:lastRenderedPageBreak/>
        <w:t xml:space="preserve">0.38 pp to 7.45%. In September, average yield of interest rates </w:t>
      </w:r>
      <w:r w:rsidRPr="00992946">
        <w:rPr>
          <w:rFonts w:ascii="Times New Roman" w:hAnsi="Times New Roman" w:cs="Times New Roman"/>
          <w:i/>
          <w:sz w:val="21"/>
          <w:szCs w:val="21"/>
        </w:rPr>
        <w:t>was 7.</w:t>
      </w:r>
      <w:r w:rsidR="007F4B51" w:rsidRPr="00992946">
        <w:rPr>
          <w:rFonts w:ascii="Times New Roman" w:hAnsi="Times New Roman" w:cs="Times New Roman"/>
          <w:i/>
          <w:sz w:val="21"/>
          <w:szCs w:val="21"/>
        </w:rPr>
        <w:t xml:space="preserve">34%, which represented a </w:t>
      </w:r>
      <w:r w:rsidRPr="00992946">
        <w:rPr>
          <w:rFonts w:ascii="Times New Roman" w:hAnsi="Times New Roman" w:cs="Times New Roman"/>
          <w:i/>
          <w:sz w:val="21"/>
          <w:szCs w:val="21"/>
        </w:rPr>
        <w:t>0.</w:t>
      </w:r>
      <w:r w:rsidR="007F4B51" w:rsidRPr="00992946">
        <w:rPr>
          <w:rFonts w:ascii="Times New Roman" w:hAnsi="Times New Roman" w:cs="Times New Roman"/>
          <w:i/>
          <w:sz w:val="21"/>
          <w:szCs w:val="21"/>
        </w:rPr>
        <w:t>39</w:t>
      </w:r>
      <w:r w:rsidRPr="00992946">
        <w:rPr>
          <w:rFonts w:ascii="Times New Roman" w:hAnsi="Times New Roman" w:cs="Times New Roman"/>
          <w:i/>
          <w:sz w:val="21"/>
          <w:szCs w:val="21"/>
        </w:rPr>
        <w:t xml:space="preserve"> pp </w:t>
      </w:r>
      <w:r w:rsidR="007F4B51" w:rsidRPr="00992946">
        <w:rPr>
          <w:rFonts w:ascii="Times New Roman" w:hAnsi="Times New Roman" w:cs="Times New Roman"/>
          <w:i/>
          <w:sz w:val="21"/>
          <w:szCs w:val="21"/>
        </w:rPr>
        <w:t xml:space="preserve">reduction compared to June average. </w:t>
      </w:r>
    </w:p>
    <w:p w14:paraId="78136E4C" w14:textId="77777777" w:rsidR="00A9653E" w:rsidRPr="00992946" w:rsidRDefault="00A9653E" w:rsidP="00A9653E">
      <w:pPr>
        <w:spacing w:line="360" w:lineRule="auto"/>
        <w:jc w:val="both"/>
        <w:rPr>
          <w:rFonts w:ascii="Times New Roman" w:hAnsi="Times New Roman" w:cs="Times New Roman"/>
          <w:i/>
          <w:sz w:val="21"/>
          <w:szCs w:val="21"/>
        </w:rPr>
      </w:pPr>
      <w:r w:rsidRPr="00992946">
        <w:rPr>
          <w:rFonts w:ascii="Times New Roman" w:hAnsi="Times New Roman" w:cs="Times New Roman"/>
          <w:i/>
          <w:sz w:val="21"/>
          <w:szCs w:val="21"/>
        </w:rPr>
        <w:t xml:space="preserve">According to yield to maturity curve, interest rates in the secondary market </w:t>
      </w:r>
      <w:r w:rsidR="002120A0" w:rsidRPr="00992946">
        <w:rPr>
          <w:rFonts w:ascii="Times New Roman" w:hAnsi="Times New Roman" w:cs="Times New Roman"/>
          <w:i/>
          <w:sz w:val="21"/>
          <w:szCs w:val="21"/>
        </w:rPr>
        <w:t xml:space="preserve">of T-bills </w:t>
      </w:r>
      <w:r w:rsidRPr="00992946">
        <w:rPr>
          <w:rFonts w:ascii="Times New Roman" w:hAnsi="Times New Roman" w:cs="Times New Roman"/>
          <w:i/>
          <w:sz w:val="21"/>
          <w:szCs w:val="21"/>
        </w:rPr>
        <w:t>have reduced all along the curve</w:t>
      </w:r>
      <w:r w:rsidR="002120A0" w:rsidRPr="00992946">
        <w:rPr>
          <w:rFonts w:ascii="Times New Roman" w:hAnsi="Times New Roman" w:cs="Times New Roman"/>
          <w:i/>
          <w:sz w:val="21"/>
          <w:szCs w:val="21"/>
        </w:rPr>
        <w:t xml:space="preserve">. In </w:t>
      </w:r>
      <w:r w:rsidRPr="00992946">
        <w:rPr>
          <w:rFonts w:ascii="Times New Roman" w:hAnsi="Times New Roman" w:cs="Times New Roman"/>
          <w:i/>
          <w:sz w:val="21"/>
          <w:szCs w:val="21"/>
        </w:rPr>
        <w:t>the long-term segment</w:t>
      </w:r>
      <w:r w:rsidR="002120A0" w:rsidRPr="00992946">
        <w:rPr>
          <w:rFonts w:ascii="Times New Roman" w:hAnsi="Times New Roman" w:cs="Times New Roman"/>
          <w:i/>
          <w:sz w:val="21"/>
          <w:szCs w:val="21"/>
        </w:rPr>
        <w:t>, the</w:t>
      </w:r>
      <w:r w:rsidRPr="00992946">
        <w:rPr>
          <w:rFonts w:ascii="Times New Roman" w:hAnsi="Times New Roman" w:cs="Times New Roman"/>
          <w:i/>
          <w:sz w:val="21"/>
          <w:szCs w:val="21"/>
        </w:rPr>
        <w:t xml:space="preserve"> interest rate </w:t>
      </w:r>
      <w:r w:rsidR="002120A0" w:rsidRPr="00992946">
        <w:rPr>
          <w:rFonts w:ascii="Times New Roman" w:hAnsi="Times New Roman" w:cs="Times New Roman"/>
          <w:i/>
          <w:sz w:val="21"/>
          <w:szCs w:val="21"/>
        </w:rPr>
        <w:t xml:space="preserve">dropped </w:t>
      </w:r>
      <w:r w:rsidRPr="00992946">
        <w:rPr>
          <w:rFonts w:ascii="Times New Roman" w:hAnsi="Times New Roman" w:cs="Times New Roman"/>
          <w:i/>
          <w:sz w:val="21"/>
          <w:szCs w:val="21"/>
        </w:rPr>
        <w:t>by 0.</w:t>
      </w:r>
      <w:r w:rsidR="002120A0" w:rsidRPr="00992946">
        <w:rPr>
          <w:rFonts w:ascii="Times New Roman" w:hAnsi="Times New Roman" w:cs="Times New Roman"/>
          <w:i/>
          <w:sz w:val="21"/>
          <w:szCs w:val="21"/>
        </w:rPr>
        <w:t>3</w:t>
      </w:r>
      <w:r w:rsidRPr="00992946">
        <w:rPr>
          <w:rFonts w:ascii="Times New Roman" w:hAnsi="Times New Roman" w:cs="Times New Roman"/>
          <w:i/>
          <w:sz w:val="21"/>
          <w:szCs w:val="21"/>
        </w:rPr>
        <w:t xml:space="preserve"> pp to 11.</w:t>
      </w:r>
      <w:r w:rsidR="003B4B66" w:rsidRPr="00992946">
        <w:rPr>
          <w:rFonts w:ascii="Times New Roman" w:hAnsi="Times New Roman" w:cs="Times New Roman"/>
          <w:i/>
          <w:sz w:val="21"/>
          <w:szCs w:val="21"/>
        </w:rPr>
        <w:t>4</w:t>
      </w:r>
      <w:r w:rsidRPr="00992946">
        <w:rPr>
          <w:rFonts w:ascii="Times New Roman" w:hAnsi="Times New Roman" w:cs="Times New Roman"/>
          <w:i/>
          <w:sz w:val="21"/>
          <w:szCs w:val="21"/>
        </w:rPr>
        <w:t xml:space="preserve">5% </w:t>
      </w:r>
      <w:r w:rsidR="002120A0" w:rsidRPr="00992946">
        <w:rPr>
          <w:rFonts w:ascii="Times New Roman" w:hAnsi="Times New Roman" w:cs="Times New Roman"/>
          <w:i/>
          <w:sz w:val="21"/>
          <w:szCs w:val="21"/>
        </w:rPr>
        <w:t>in end-September</w:t>
      </w:r>
      <w:r w:rsidR="003B4B66" w:rsidRPr="00992946">
        <w:rPr>
          <w:rFonts w:ascii="Times New Roman" w:hAnsi="Times New Roman" w:cs="Times New Roman"/>
          <w:i/>
          <w:sz w:val="21"/>
          <w:szCs w:val="21"/>
        </w:rPr>
        <w:t xml:space="preserve">. </w:t>
      </w:r>
      <w:r w:rsidRPr="00992946">
        <w:rPr>
          <w:rFonts w:ascii="Times New Roman" w:hAnsi="Times New Roman" w:cs="Times New Roman"/>
          <w:i/>
          <w:sz w:val="21"/>
          <w:szCs w:val="21"/>
        </w:rPr>
        <w:t xml:space="preserve">The long-term and short-term interest rates spread rose by </w:t>
      </w:r>
      <w:r w:rsidR="00E9340B" w:rsidRPr="00992946">
        <w:rPr>
          <w:rFonts w:ascii="Times New Roman" w:hAnsi="Times New Roman" w:cs="Times New Roman"/>
          <w:i/>
          <w:sz w:val="21"/>
          <w:szCs w:val="21"/>
        </w:rPr>
        <w:t>0</w:t>
      </w:r>
      <w:r w:rsidRPr="00992946">
        <w:rPr>
          <w:rFonts w:ascii="Times New Roman" w:hAnsi="Times New Roman" w:cs="Times New Roman"/>
          <w:i/>
          <w:sz w:val="21"/>
          <w:szCs w:val="21"/>
        </w:rPr>
        <w:t>.</w:t>
      </w:r>
      <w:r w:rsidR="00E9340B" w:rsidRPr="00992946">
        <w:rPr>
          <w:rFonts w:ascii="Times New Roman" w:hAnsi="Times New Roman" w:cs="Times New Roman"/>
          <w:i/>
          <w:sz w:val="21"/>
          <w:szCs w:val="21"/>
        </w:rPr>
        <w:t>22</w:t>
      </w:r>
      <w:r w:rsidRPr="00992946">
        <w:rPr>
          <w:rFonts w:ascii="Times New Roman" w:hAnsi="Times New Roman" w:cs="Times New Roman"/>
          <w:i/>
          <w:sz w:val="21"/>
          <w:szCs w:val="21"/>
        </w:rPr>
        <w:t xml:space="preserve"> pp to 4.</w:t>
      </w:r>
      <w:r w:rsidR="00E9340B" w:rsidRPr="00992946">
        <w:rPr>
          <w:rFonts w:ascii="Times New Roman" w:hAnsi="Times New Roman" w:cs="Times New Roman"/>
          <w:i/>
          <w:sz w:val="21"/>
          <w:szCs w:val="21"/>
        </w:rPr>
        <w:t>76</w:t>
      </w:r>
      <w:r w:rsidRPr="00992946">
        <w:rPr>
          <w:rFonts w:ascii="Times New Roman" w:hAnsi="Times New Roman" w:cs="Times New Roman"/>
          <w:i/>
          <w:sz w:val="21"/>
          <w:szCs w:val="21"/>
        </w:rPr>
        <w:t xml:space="preserve"> pp</w:t>
      </w:r>
      <w:r w:rsidR="00E9340B" w:rsidRPr="00992946">
        <w:rPr>
          <w:rFonts w:ascii="Times New Roman" w:hAnsi="Times New Roman" w:cs="Times New Roman"/>
          <w:i/>
          <w:sz w:val="21"/>
          <w:szCs w:val="21"/>
        </w:rPr>
        <w:t xml:space="preserve"> in September</w:t>
      </w:r>
      <w:r w:rsidRPr="00992946">
        <w:rPr>
          <w:rFonts w:ascii="Times New Roman" w:hAnsi="Times New Roman" w:cs="Times New Roman"/>
          <w:i/>
          <w:sz w:val="21"/>
          <w:szCs w:val="21"/>
        </w:rPr>
        <w:t xml:space="preserve">.  </w:t>
      </w:r>
    </w:p>
    <w:p w14:paraId="1C7B54B8" w14:textId="77777777" w:rsidR="00A9653E" w:rsidRPr="00EC356F" w:rsidRDefault="006A114E"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Continued loosening of </w:t>
      </w:r>
      <w:r w:rsidR="00A9653E" w:rsidRPr="00EC356F">
        <w:rPr>
          <w:rFonts w:ascii="Times New Roman" w:hAnsi="Times New Roman" w:cs="Times New Roman"/>
          <w:sz w:val="21"/>
          <w:szCs w:val="21"/>
        </w:rPr>
        <w:t xml:space="preserve">monetary conditions </w:t>
      </w:r>
      <w:r>
        <w:rPr>
          <w:rFonts w:ascii="Times New Roman" w:hAnsi="Times New Roman" w:cs="Times New Roman"/>
          <w:sz w:val="21"/>
          <w:szCs w:val="21"/>
        </w:rPr>
        <w:t xml:space="preserve">resulted in the reduction of overall credit rates, as well. </w:t>
      </w:r>
      <w:r w:rsidR="00A9653E" w:rsidRPr="00EC356F">
        <w:rPr>
          <w:rFonts w:ascii="Times New Roman" w:hAnsi="Times New Roman" w:cs="Times New Roman"/>
          <w:sz w:val="21"/>
          <w:szCs w:val="21"/>
        </w:rPr>
        <w:t xml:space="preserve">Note that although increasing competition between banks contributed to reduced interest rates of loans, interest rates of </w:t>
      </w:r>
      <w:r>
        <w:rPr>
          <w:rFonts w:ascii="Times New Roman" w:hAnsi="Times New Roman" w:cs="Times New Roman"/>
          <w:sz w:val="21"/>
          <w:szCs w:val="21"/>
        </w:rPr>
        <w:t>d</w:t>
      </w:r>
      <w:r w:rsidR="00A9653E" w:rsidRPr="00EC356F">
        <w:rPr>
          <w:rFonts w:ascii="Times New Roman" w:hAnsi="Times New Roman" w:cs="Times New Roman"/>
          <w:sz w:val="21"/>
          <w:szCs w:val="21"/>
        </w:rPr>
        <w:t xml:space="preserve">eposits </w:t>
      </w:r>
      <w:r>
        <w:rPr>
          <w:rFonts w:ascii="Times New Roman" w:hAnsi="Times New Roman" w:cs="Times New Roman"/>
          <w:sz w:val="21"/>
          <w:szCs w:val="21"/>
        </w:rPr>
        <w:t>attracted grew during the quarter a</w:t>
      </w:r>
      <w:r w:rsidR="00A9653E" w:rsidRPr="00EC356F">
        <w:rPr>
          <w:rFonts w:ascii="Times New Roman" w:hAnsi="Times New Roman" w:cs="Times New Roman"/>
          <w:sz w:val="21"/>
          <w:szCs w:val="21"/>
        </w:rPr>
        <w:t xml:space="preserve">s a matter of fact. </w:t>
      </w:r>
    </w:p>
    <w:p w14:paraId="426DDB1B"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Average quarterly dram deposit rate has </w:t>
      </w:r>
      <w:r w:rsidR="005D3272">
        <w:rPr>
          <w:rFonts w:ascii="Times New Roman" w:hAnsi="Times New Roman" w:cs="Times New Roman"/>
          <w:sz w:val="21"/>
          <w:szCs w:val="21"/>
        </w:rPr>
        <w:t xml:space="preserve">risen by 0.2 pp against </w:t>
      </w:r>
      <w:r w:rsidRPr="00EC356F">
        <w:rPr>
          <w:rFonts w:ascii="Times New Roman" w:hAnsi="Times New Roman" w:cs="Times New Roman"/>
          <w:sz w:val="21"/>
          <w:szCs w:val="21"/>
        </w:rPr>
        <w:t xml:space="preserve">the previous quarter and </w:t>
      </w:r>
      <w:r w:rsidR="005D3272">
        <w:rPr>
          <w:rFonts w:ascii="Times New Roman" w:hAnsi="Times New Roman" w:cs="Times New Roman"/>
          <w:sz w:val="21"/>
          <w:szCs w:val="21"/>
        </w:rPr>
        <w:t xml:space="preserve">amounted to </w:t>
      </w:r>
      <w:r w:rsidRPr="00EC356F">
        <w:rPr>
          <w:rFonts w:ascii="Times New Roman" w:hAnsi="Times New Roman" w:cs="Times New Roman"/>
          <w:sz w:val="21"/>
          <w:szCs w:val="21"/>
        </w:rPr>
        <w:t>1</w:t>
      </w:r>
      <w:r w:rsidR="005D3272">
        <w:rPr>
          <w:rFonts w:ascii="Times New Roman" w:hAnsi="Times New Roman" w:cs="Times New Roman"/>
          <w:sz w:val="21"/>
          <w:szCs w:val="21"/>
        </w:rPr>
        <w:t>2</w:t>
      </w:r>
      <w:r w:rsidRPr="00EC356F">
        <w:rPr>
          <w:rFonts w:ascii="Times New Roman" w:hAnsi="Times New Roman" w:cs="Times New Roman"/>
          <w:sz w:val="21"/>
          <w:szCs w:val="21"/>
        </w:rPr>
        <w:t>.</w:t>
      </w:r>
      <w:r w:rsidR="005D3272">
        <w:rPr>
          <w:rFonts w:ascii="Times New Roman" w:hAnsi="Times New Roman" w:cs="Times New Roman"/>
          <w:sz w:val="21"/>
          <w:szCs w:val="21"/>
        </w:rPr>
        <w:t>1</w:t>
      </w:r>
      <w:r w:rsidRPr="00EC356F">
        <w:rPr>
          <w:rFonts w:ascii="Times New Roman" w:hAnsi="Times New Roman" w:cs="Times New Roman"/>
          <w:sz w:val="21"/>
          <w:szCs w:val="21"/>
        </w:rPr>
        <w:t xml:space="preserve">%. During the quarter, the volume of dram deposits grew by </w:t>
      </w:r>
      <w:r w:rsidR="003F09B0">
        <w:rPr>
          <w:rFonts w:ascii="Times New Roman" w:hAnsi="Times New Roman" w:cs="Times New Roman"/>
          <w:sz w:val="21"/>
          <w:szCs w:val="21"/>
        </w:rPr>
        <w:t>4</w:t>
      </w:r>
      <w:r w:rsidRPr="00EC356F">
        <w:rPr>
          <w:rFonts w:ascii="Times New Roman" w:hAnsi="Times New Roman" w:cs="Times New Roman"/>
          <w:sz w:val="21"/>
          <w:szCs w:val="21"/>
        </w:rPr>
        <w:t>.</w:t>
      </w:r>
      <w:r w:rsidR="003F09B0">
        <w:rPr>
          <w:rFonts w:ascii="Times New Roman" w:hAnsi="Times New Roman" w:cs="Times New Roman"/>
          <w:sz w:val="21"/>
          <w:szCs w:val="21"/>
        </w:rPr>
        <w:t>0</w:t>
      </w:r>
      <w:r w:rsidRPr="00EC356F">
        <w:rPr>
          <w:rFonts w:ascii="Times New Roman" w:hAnsi="Times New Roman" w:cs="Times New Roman"/>
          <w:sz w:val="21"/>
          <w:szCs w:val="21"/>
        </w:rPr>
        <w:t xml:space="preserve">%, mostly owing to dram demand </w:t>
      </w:r>
      <w:r w:rsidR="003F09B0">
        <w:rPr>
          <w:rFonts w:ascii="Times New Roman" w:hAnsi="Times New Roman" w:cs="Times New Roman"/>
          <w:sz w:val="21"/>
          <w:szCs w:val="21"/>
        </w:rPr>
        <w:t xml:space="preserve">and term </w:t>
      </w:r>
      <w:r w:rsidRPr="00EC356F">
        <w:rPr>
          <w:rFonts w:ascii="Times New Roman" w:hAnsi="Times New Roman" w:cs="Times New Roman"/>
          <w:sz w:val="21"/>
          <w:szCs w:val="21"/>
        </w:rPr>
        <w:t>deposits</w:t>
      </w:r>
      <w:r w:rsidR="003F09B0">
        <w:rPr>
          <w:rFonts w:ascii="Times New Roman" w:hAnsi="Times New Roman" w:cs="Times New Roman"/>
          <w:sz w:val="21"/>
          <w:szCs w:val="21"/>
        </w:rPr>
        <w:t xml:space="preserve"> having grown by 5.1% and 3.2%, respectively.</w:t>
      </w:r>
      <w:r w:rsidRPr="00EC356F">
        <w:rPr>
          <w:rFonts w:ascii="Times New Roman" w:hAnsi="Times New Roman" w:cs="Times New Roman"/>
          <w:sz w:val="21"/>
          <w:szCs w:val="21"/>
        </w:rPr>
        <w:t xml:space="preserve"> </w:t>
      </w:r>
    </w:p>
    <w:p w14:paraId="0B7B607F"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486356">
        <w:rPr>
          <w:rFonts w:ascii="Times New Roman" w:hAnsi="Times New Roman" w:cs="Times New Roman"/>
          <w:sz w:val="21"/>
          <w:szCs w:val="21"/>
        </w:rPr>
        <w:t>3r</w:t>
      </w:r>
      <w:r w:rsidRPr="00EC356F">
        <w:rPr>
          <w:rFonts w:ascii="Times New Roman" w:hAnsi="Times New Roman" w:cs="Times New Roman"/>
          <w:sz w:val="21"/>
          <w:szCs w:val="21"/>
        </w:rPr>
        <w:t xml:space="preserve">d quarter of 2014, </w:t>
      </w:r>
      <w:r w:rsidR="00486356">
        <w:rPr>
          <w:rFonts w:ascii="Times New Roman" w:hAnsi="Times New Roman" w:cs="Times New Roman"/>
          <w:sz w:val="21"/>
          <w:szCs w:val="21"/>
        </w:rPr>
        <w:t xml:space="preserve">like in the previous quarter, </w:t>
      </w:r>
      <w:r w:rsidRPr="00EC356F">
        <w:rPr>
          <w:rFonts w:ascii="Times New Roman" w:hAnsi="Times New Roman" w:cs="Times New Roman"/>
          <w:sz w:val="21"/>
          <w:szCs w:val="21"/>
        </w:rPr>
        <w:t xml:space="preserve">interest rates of dram loans </w:t>
      </w:r>
      <w:r w:rsidR="00486356">
        <w:rPr>
          <w:rFonts w:ascii="Times New Roman" w:hAnsi="Times New Roman" w:cs="Times New Roman"/>
          <w:sz w:val="21"/>
          <w:szCs w:val="21"/>
        </w:rPr>
        <w:t xml:space="preserve">reduced in part due to fallen interest rates of consumer loans. As a result, </w:t>
      </w:r>
      <w:r w:rsidRPr="00EC356F">
        <w:rPr>
          <w:rFonts w:ascii="Times New Roman" w:hAnsi="Times New Roman" w:cs="Times New Roman"/>
          <w:sz w:val="21"/>
          <w:szCs w:val="21"/>
        </w:rPr>
        <w:t xml:space="preserve">average quarterly dram loan interest rate has fallen by </w:t>
      </w:r>
      <w:r w:rsidR="00486356">
        <w:rPr>
          <w:rFonts w:ascii="Times New Roman" w:hAnsi="Times New Roman" w:cs="Times New Roman"/>
          <w:sz w:val="21"/>
          <w:szCs w:val="21"/>
        </w:rPr>
        <w:t>0</w:t>
      </w:r>
      <w:r w:rsidRPr="00EC356F">
        <w:rPr>
          <w:rFonts w:ascii="Times New Roman" w:hAnsi="Times New Roman" w:cs="Times New Roman"/>
          <w:sz w:val="21"/>
          <w:szCs w:val="21"/>
        </w:rPr>
        <w:t xml:space="preserve">.1 pp </w:t>
      </w:r>
      <w:r w:rsidR="00C9166D">
        <w:rPr>
          <w:rFonts w:ascii="Times New Roman" w:hAnsi="Times New Roman" w:cs="Times New Roman"/>
          <w:sz w:val="21"/>
          <w:szCs w:val="21"/>
        </w:rPr>
        <w:t>against</w:t>
      </w:r>
      <w:r w:rsidRPr="00EC356F">
        <w:rPr>
          <w:rFonts w:ascii="Times New Roman" w:hAnsi="Times New Roman" w:cs="Times New Roman"/>
          <w:sz w:val="21"/>
          <w:szCs w:val="21"/>
        </w:rPr>
        <w:t xml:space="preserve"> the previous quarter to 18.</w:t>
      </w:r>
      <w:r w:rsidR="00C9166D">
        <w:rPr>
          <w:rFonts w:ascii="Times New Roman" w:hAnsi="Times New Roman" w:cs="Times New Roman"/>
          <w:sz w:val="21"/>
          <w:szCs w:val="21"/>
        </w:rPr>
        <w:t>1</w:t>
      </w:r>
      <w:r w:rsidRPr="00EC356F">
        <w:rPr>
          <w:rFonts w:ascii="Times New Roman" w:hAnsi="Times New Roman" w:cs="Times New Roman"/>
          <w:sz w:val="21"/>
          <w:szCs w:val="21"/>
        </w:rPr>
        <w:t xml:space="preserve">%. </w:t>
      </w:r>
    </w:p>
    <w:p w14:paraId="173198C5" w14:textId="77777777" w:rsidR="005563E5"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5563E5">
        <w:rPr>
          <w:rFonts w:ascii="Times New Roman" w:hAnsi="Times New Roman" w:cs="Times New Roman"/>
          <w:sz w:val="21"/>
          <w:szCs w:val="21"/>
        </w:rPr>
        <w:t>3r</w:t>
      </w:r>
      <w:r w:rsidRPr="00EC356F">
        <w:rPr>
          <w:rFonts w:ascii="Times New Roman" w:hAnsi="Times New Roman" w:cs="Times New Roman"/>
          <w:sz w:val="21"/>
          <w:szCs w:val="21"/>
        </w:rPr>
        <w:t>d quarter of 2014, foreign currency lending rates dropped as well, with average quarterly interest rate having reduced by about 0.</w:t>
      </w:r>
      <w:r w:rsidR="005563E5">
        <w:rPr>
          <w:rFonts w:ascii="Times New Roman" w:hAnsi="Times New Roman" w:cs="Times New Roman"/>
          <w:sz w:val="21"/>
          <w:szCs w:val="21"/>
        </w:rPr>
        <w:t>2</w:t>
      </w:r>
      <w:r w:rsidRPr="00EC356F">
        <w:rPr>
          <w:rFonts w:ascii="Times New Roman" w:hAnsi="Times New Roman" w:cs="Times New Roman"/>
          <w:sz w:val="21"/>
          <w:szCs w:val="21"/>
        </w:rPr>
        <w:t xml:space="preserve"> pp to 11.</w:t>
      </w:r>
      <w:r w:rsidR="005563E5">
        <w:rPr>
          <w:rFonts w:ascii="Times New Roman" w:hAnsi="Times New Roman" w:cs="Times New Roman"/>
          <w:sz w:val="21"/>
          <w:szCs w:val="21"/>
        </w:rPr>
        <w:t>1</w:t>
      </w:r>
      <w:r w:rsidRPr="00EC356F">
        <w:rPr>
          <w:rFonts w:ascii="Times New Roman" w:hAnsi="Times New Roman" w:cs="Times New Roman"/>
          <w:sz w:val="21"/>
          <w:szCs w:val="21"/>
        </w:rPr>
        <w:t xml:space="preserve">%. </w:t>
      </w:r>
      <w:r w:rsidR="005563E5">
        <w:rPr>
          <w:rFonts w:ascii="Times New Roman" w:hAnsi="Times New Roman" w:cs="Times New Roman"/>
          <w:sz w:val="21"/>
          <w:szCs w:val="21"/>
        </w:rPr>
        <w:t xml:space="preserve">It is worth mentioning that interest rates of mortgage loans to individuals have reduced considerably. </w:t>
      </w:r>
    </w:p>
    <w:p w14:paraId="64BE6C9F" w14:textId="77777777" w:rsidR="006D710D" w:rsidRDefault="006D710D"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The results of surveys on </w:t>
      </w:r>
      <w:r>
        <w:rPr>
          <w:rFonts w:ascii="Times New Roman" w:hAnsi="Times New Roman" w:cs="Times New Roman"/>
          <w:sz w:val="21"/>
          <w:szCs w:val="21"/>
        </w:rPr>
        <w:t>“T</w:t>
      </w:r>
      <w:r w:rsidRPr="00EC356F">
        <w:rPr>
          <w:rFonts w:ascii="Times New Roman" w:hAnsi="Times New Roman" w:cs="Times New Roman"/>
          <w:sz w:val="21"/>
          <w:szCs w:val="21"/>
        </w:rPr>
        <w:t xml:space="preserve">erms of </w:t>
      </w:r>
      <w:r>
        <w:rPr>
          <w:rFonts w:ascii="Times New Roman" w:hAnsi="Times New Roman" w:cs="Times New Roman"/>
          <w:sz w:val="21"/>
          <w:szCs w:val="21"/>
        </w:rPr>
        <w:t>L</w:t>
      </w:r>
      <w:r w:rsidRPr="00EC356F">
        <w:rPr>
          <w:rFonts w:ascii="Times New Roman" w:hAnsi="Times New Roman" w:cs="Times New Roman"/>
          <w:sz w:val="21"/>
          <w:szCs w:val="21"/>
        </w:rPr>
        <w:t xml:space="preserve">ending </w:t>
      </w:r>
      <w:r>
        <w:rPr>
          <w:rFonts w:ascii="Times New Roman" w:hAnsi="Times New Roman" w:cs="Times New Roman"/>
          <w:sz w:val="21"/>
          <w:szCs w:val="21"/>
        </w:rPr>
        <w:t>P</w:t>
      </w:r>
      <w:r w:rsidRPr="00EC356F">
        <w:rPr>
          <w:rFonts w:ascii="Times New Roman" w:hAnsi="Times New Roman" w:cs="Times New Roman"/>
          <w:sz w:val="21"/>
          <w:szCs w:val="21"/>
        </w:rPr>
        <w:t xml:space="preserve">rovided by </w:t>
      </w:r>
      <w:r>
        <w:rPr>
          <w:rFonts w:ascii="Times New Roman" w:hAnsi="Times New Roman" w:cs="Times New Roman"/>
          <w:sz w:val="21"/>
          <w:szCs w:val="21"/>
        </w:rPr>
        <w:t xml:space="preserve">the Republic of </w:t>
      </w:r>
      <w:r w:rsidRPr="00EC356F">
        <w:rPr>
          <w:rFonts w:ascii="Times New Roman" w:hAnsi="Times New Roman" w:cs="Times New Roman"/>
          <w:sz w:val="21"/>
          <w:szCs w:val="21"/>
        </w:rPr>
        <w:t xml:space="preserve">Armenia </w:t>
      </w:r>
      <w:r>
        <w:rPr>
          <w:rFonts w:ascii="Times New Roman" w:hAnsi="Times New Roman" w:cs="Times New Roman"/>
          <w:sz w:val="21"/>
          <w:szCs w:val="21"/>
        </w:rPr>
        <w:t>B</w:t>
      </w:r>
      <w:r w:rsidRPr="00EC356F">
        <w:rPr>
          <w:rFonts w:ascii="Times New Roman" w:hAnsi="Times New Roman" w:cs="Times New Roman"/>
          <w:sz w:val="21"/>
          <w:szCs w:val="21"/>
        </w:rPr>
        <w:t xml:space="preserve">anks and </w:t>
      </w:r>
      <w:r>
        <w:rPr>
          <w:rFonts w:ascii="Times New Roman" w:hAnsi="Times New Roman" w:cs="Times New Roman"/>
          <w:sz w:val="21"/>
          <w:szCs w:val="21"/>
        </w:rPr>
        <w:t>C</w:t>
      </w:r>
      <w:r w:rsidRPr="00EC356F">
        <w:rPr>
          <w:rFonts w:ascii="Times New Roman" w:hAnsi="Times New Roman" w:cs="Times New Roman"/>
          <w:sz w:val="21"/>
          <w:szCs w:val="21"/>
        </w:rPr>
        <w:t xml:space="preserve">redit </w:t>
      </w:r>
      <w:r>
        <w:rPr>
          <w:rFonts w:ascii="Times New Roman" w:hAnsi="Times New Roman" w:cs="Times New Roman"/>
          <w:sz w:val="21"/>
          <w:szCs w:val="21"/>
        </w:rPr>
        <w:t>O</w:t>
      </w:r>
      <w:r w:rsidRPr="00EC356F">
        <w:rPr>
          <w:rFonts w:ascii="Times New Roman" w:hAnsi="Times New Roman" w:cs="Times New Roman"/>
          <w:sz w:val="21"/>
          <w:szCs w:val="21"/>
        </w:rPr>
        <w:t>rganizations</w:t>
      </w:r>
      <w:r>
        <w:rPr>
          <w:rFonts w:ascii="Times New Roman" w:hAnsi="Times New Roman" w:cs="Times New Roman"/>
          <w:sz w:val="21"/>
          <w:szCs w:val="21"/>
        </w:rPr>
        <w:t>”</w:t>
      </w:r>
      <w:r w:rsidRPr="00EC356F">
        <w:rPr>
          <w:rFonts w:ascii="Times New Roman" w:hAnsi="Times New Roman" w:cs="Times New Roman"/>
          <w:sz w:val="21"/>
          <w:szCs w:val="21"/>
        </w:rPr>
        <w:t xml:space="preserve"> also point to the </w:t>
      </w:r>
      <w:r w:rsidR="00BB3292">
        <w:rPr>
          <w:rFonts w:ascii="Times New Roman" w:hAnsi="Times New Roman" w:cs="Times New Roman"/>
          <w:sz w:val="21"/>
          <w:szCs w:val="21"/>
        </w:rPr>
        <w:t xml:space="preserve">downward trend of </w:t>
      </w:r>
      <w:r w:rsidRPr="00EC356F">
        <w:rPr>
          <w:rFonts w:ascii="Times New Roman" w:hAnsi="Times New Roman" w:cs="Times New Roman"/>
          <w:sz w:val="21"/>
          <w:szCs w:val="21"/>
        </w:rPr>
        <w:t xml:space="preserve">interest rates of </w:t>
      </w:r>
      <w:r w:rsidR="00BB3292">
        <w:rPr>
          <w:rFonts w:ascii="Times New Roman" w:hAnsi="Times New Roman" w:cs="Times New Roman"/>
          <w:sz w:val="21"/>
          <w:szCs w:val="21"/>
        </w:rPr>
        <w:t xml:space="preserve">loans to </w:t>
      </w:r>
      <w:r w:rsidRPr="00EC356F">
        <w:rPr>
          <w:rFonts w:ascii="Times New Roman" w:hAnsi="Times New Roman" w:cs="Times New Roman"/>
          <w:sz w:val="21"/>
          <w:szCs w:val="21"/>
        </w:rPr>
        <w:t>business</w:t>
      </w:r>
      <w:r w:rsidR="00BB3292">
        <w:rPr>
          <w:rFonts w:ascii="Times New Roman" w:hAnsi="Times New Roman" w:cs="Times New Roman"/>
          <w:sz w:val="21"/>
          <w:szCs w:val="21"/>
        </w:rPr>
        <w:t>es</w:t>
      </w:r>
      <w:r w:rsidRPr="00EC356F">
        <w:rPr>
          <w:rFonts w:ascii="Times New Roman" w:hAnsi="Times New Roman" w:cs="Times New Roman"/>
          <w:sz w:val="21"/>
          <w:szCs w:val="21"/>
        </w:rPr>
        <w:t xml:space="preserve"> a</w:t>
      </w:r>
      <w:r w:rsidR="00BB3292">
        <w:rPr>
          <w:rFonts w:ascii="Times New Roman" w:hAnsi="Times New Roman" w:cs="Times New Roman"/>
          <w:sz w:val="21"/>
          <w:szCs w:val="21"/>
        </w:rPr>
        <w:t>s well as mortgage loans</w:t>
      </w:r>
      <w:r w:rsidRPr="00EC356F">
        <w:rPr>
          <w:rFonts w:ascii="Times New Roman" w:hAnsi="Times New Roman" w:cs="Times New Roman"/>
          <w:sz w:val="21"/>
          <w:szCs w:val="21"/>
        </w:rPr>
        <w:t>.</w:t>
      </w:r>
    </w:p>
    <w:p w14:paraId="7859EC4C" w14:textId="77777777" w:rsidR="00A9653E" w:rsidRPr="00EC356F" w:rsidRDefault="00B63D78"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In the lending structure by currency, th</w:t>
      </w:r>
      <w:r w:rsidR="00A9653E" w:rsidRPr="00EC356F">
        <w:rPr>
          <w:rFonts w:ascii="Times New Roman" w:hAnsi="Times New Roman" w:cs="Times New Roman"/>
          <w:sz w:val="21"/>
          <w:szCs w:val="21"/>
        </w:rPr>
        <w:t>e share</w:t>
      </w:r>
      <w:r>
        <w:rPr>
          <w:rFonts w:ascii="Times New Roman" w:hAnsi="Times New Roman" w:cs="Times New Roman"/>
          <w:sz w:val="21"/>
          <w:szCs w:val="21"/>
        </w:rPr>
        <w:t>s</w:t>
      </w:r>
      <w:r w:rsidR="00A9653E" w:rsidRPr="00EC356F">
        <w:rPr>
          <w:rFonts w:ascii="Times New Roman" w:hAnsi="Times New Roman" w:cs="Times New Roman"/>
          <w:sz w:val="21"/>
          <w:szCs w:val="21"/>
        </w:rPr>
        <w:t xml:space="preserve"> of foreign currency loans </w:t>
      </w:r>
      <w:r>
        <w:rPr>
          <w:rFonts w:ascii="Times New Roman" w:hAnsi="Times New Roman" w:cs="Times New Roman"/>
          <w:sz w:val="21"/>
          <w:szCs w:val="21"/>
        </w:rPr>
        <w:t xml:space="preserve">and </w:t>
      </w:r>
      <w:r w:rsidR="00A9653E" w:rsidRPr="00EC356F">
        <w:rPr>
          <w:rFonts w:ascii="Times New Roman" w:hAnsi="Times New Roman" w:cs="Times New Roman"/>
          <w:sz w:val="21"/>
          <w:szCs w:val="21"/>
        </w:rPr>
        <w:t>dram loans</w:t>
      </w:r>
      <w:r>
        <w:rPr>
          <w:rFonts w:ascii="Times New Roman" w:hAnsi="Times New Roman" w:cs="Times New Roman"/>
          <w:sz w:val="21"/>
          <w:szCs w:val="21"/>
        </w:rPr>
        <w:t xml:space="preserve"> were nearly the same</w:t>
      </w:r>
      <w:r w:rsidR="00A9653E" w:rsidRPr="00EC356F">
        <w:rPr>
          <w:rFonts w:ascii="Times New Roman" w:hAnsi="Times New Roman" w:cs="Times New Roman"/>
          <w:sz w:val="21"/>
          <w:szCs w:val="21"/>
        </w:rPr>
        <w:t xml:space="preserve">, </w:t>
      </w:r>
      <w:r w:rsidRPr="00EC356F">
        <w:rPr>
          <w:rFonts w:ascii="Times New Roman" w:hAnsi="Times New Roman" w:cs="Times New Roman"/>
          <w:sz w:val="21"/>
          <w:szCs w:val="21"/>
        </w:rPr>
        <w:t>2.</w:t>
      </w:r>
      <w:r>
        <w:rPr>
          <w:rFonts w:ascii="Times New Roman" w:hAnsi="Times New Roman" w:cs="Times New Roman"/>
          <w:sz w:val="21"/>
          <w:szCs w:val="21"/>
        </w:rPr>
        <w:t>2</w:t>
      </w:r>
      <w:r w:rsidRPr="00EC356F">
        <w:rPr>
          <w:rFonts w:ascii="Times New Roman" w:hAnsi="Times New Roman" w:cs="Times New Roman"/>
          <w:sz w:val="21"/>
          <w:szCs w:val="21"/>
        </w:rPr>
        <w:t xml:space="preserve">% and </w:t>
      </w:r>
      <w:r>
        <w:rPr>
          <w:rFonts w:ascii="Times New Roman" w:hAnsi="Times New Roman" w:cs="Times New Roman"/>
          <w:sz w:val="21"/>
          <w:szCs w:val="21"/>
        </w:rPr>
        <w:t>2</w:t>
      </w:r>
      <w:r w:rsidRPr="00EC356F">
        <w:rPr>
          <w:rFonts w:ascii="Times New Roman" w:hAnsi="Times New Roman" w:cs="Times New Roman"/>
          <w:sz w:val="21"/>
          <w:szCs w:val="21"/>
        </w:rPr>
        <w:t>.</w:t>
      </w:r>
      <w:r>
        <w:rPr>
          <w:rFonts w:ascii="Times New Roman" w:hAnsi="Times New Roman" w:cs="Times New Roman"/>
          <w:sz w:val="21"/>
          <w:szCs w:val="21"/>
        </w:rPr>
        <w:t>3</w:t>
      </w:r>
      <w:r w:rsidRPr="00EC356F">
        <w:rPr>
          <w:rFonts w:ascii="Times New Roman" w:hAnsi="Times New Roman" w:cs="Times New Roman"/>
          <w:sz w:val="21"/>
          <w:szCs w:val="21"/>
        </w:rPr>
        <w:t xml:space="preserve">%, </w:t>
      </w:r>
      <w:r>
        <w:rPr>
          <w:rFonts w:ascii="Times New Roman" w:hAnsi="Times New Roman" w:cs="Times New Roman"/>
          <w:sz w:val="21"/>
          <w:szCs w:val="21"/>
        </w:rPr>
        <w:t>re</w:t>
      </w:r>
      <w:r w:rsidR="00A9653E" w:rsidRPr="00EC356F">
        <w:rPr>
          <w:rFonts w:ascii="Times New Roman" w:hAnsi="Times New Roman" w:cs="Times New Roman"/>
          <w:sz w:val="21"/>
          <w:szCs w:val="21"/>
        </w:rPr>
        <w:t>spectively, yet in total lending, the foreign currency loans still prevail (</w:t>
      </w:r>
      <w:r>
        <w:rPr>
          <w:rFonts w:ascii="Times New Roman" w:hAnsi="Times New Roman" w:cs="Times New Roman"/>
          <w:sz w:val="21"/>
          <w:szCs w:val="21"/>
        </w:rPr>
        <w:t>59</w:t>
      </w:r>
      <w:r w:rsidR="00A9653E" w:rsidRPr="00EC356F">
        <w:rPr>
          <w:rFonts w:ascii="Times New Roman" w:hAnsi="Times New Roman" w:cs="Times New Roman"/>
          <w:sz w:val="21"/>
          <w:szCs w:val="21"/>
        </w:rPr>
        <w:t xml:space="preserve">%). During the quarter, the total credit growth amounted to </w:t>
      </w:r>
      <w:r>
        <w:rPr>
          <w:rFonts w:ascii="Times New Roman" w:hAnsi="Times New Roman" w:cs="Times New Roman"/>
          <w:sz w:val="21"/>
          <w:szCs w:val="21"/>
        </w:rPr>
        <w:t>2</w:t>
      </w:r>
      <w:r w:rsidR="00A9653E" w:rsidRPr="00EC356F">
        <w:rPr>
          <w:rFonts w:ascii="Times New Roman" w:hAnsi="Times New Roman" w:cs="Times New Roman"/>
          <w:sz w:val="21"/>
          <w:szCs w:val="21"/>
        </w:rPr>
        <w:t>.</w:t>
      </w:r>
      <w:r>
        <w:rPr>
          <w:rFonts w:ascii="Times New Roman" w:hAnsi="Times New Roman" w:cs="Times New Roman"/>
          <w:sz w:val="21"/>
          <w:szCs w:val="21"/>
        </w:rPr>
        <w:t>4</w:t>
      </w:r>
      <w:r w:rsidR="00A9653E" w:rsidRPr="00EC356F">
        <w:rPr>
          <w:rFonts w:ascii="Times New Roman" w:hAnsi="Times New Roman" w:cs="Times New Roman"/>
          <w:sz w:val="21"/>
          <w:szCs w:val="21"/>
        </w:rPr>
        <w:t xml:space="preserve"> % (with y/y growth of 14.</w:t>
      </w:r>
      <w:r>
        <w:rPr>
          <w:rFonts w:ascii="Times New Roman" w:hAnsi="Times New Roman" w:cs="Times New Roman"/>
          <w:sz w:val="21"/>
          <w:szCs w:val="21"/>
        </w:rPr>
        <w:t>3</w:t>
      </w:r>
      <w:r w:rsidR="00A9653E" w:rsidRPr="00EC356F">
        <w:rPr>
          <w:rFonts w:ascii="Times New Roman" w:hAnsi="Times New Roman" w:cs="Times New Roman"/>
          <w:sz w:val="21"/>
          <w:szCs w:val="21"/>
        </w:rPr>
        <w:t xml:space="preserve">%), and to AMD </w:t>
      </w:r>
      <w:r>
        <w:rPr>
          <w:rFonts w:ascii="Times New Roman" w:hAnsi="Times New Roman" w:cs="Times New Roman"/>
          <w:sz w:val="21"/>
          <w:szCs w:val="21"/>
        </w:rPr>
        <w:t>48</w:t>
      </w:r>
      <w:r w:rsidR="00A9653E" w:rsidRPr="00EC356F">
        <w:rPr>
          <w:rFonts w:ascii="Times New Roman" w:hAnsi="Times New Roman" w:cs="Times New Roman"/>
          <w:sz w:val="21"/>
          <w:szCs w:val="21"/>
        </w:rPr>
        <w:t>.</w:t>
      </w:r>
      <w:r>
        <w:rPr>
          <w:rFonts w:ascii="Times New Roman" w:hAnsi="Times New Roman" w:cs="Times New Roman"/>
          <w:sz w:val="21"/>
          <w:szCs w:val="21"/>
        </w:rPr>
        <w:t>7</w:t>
      </w:r>
      <w:r w:rsidR="00A9653E" w:rsidRPr="00EC356F">
        <w:rPr>
          <w:rFonts w:ascii="Times New Roman" w:hAnsi="Times New Roman" w:cs="Times New Roman"/>
          <w:sz w:val="21"/>
          <w:szCs w:val="21"/>
        </w:rPr>
        <w:t xml:space="preserve"> billion</w:t>
      </w:r>
      <w:r w:rsidR="00E85278">
        <w:rPr>
          <w:rFonts w:ascii="Times New Roman" w:hAnsi="Times New Roman" w:cs="Times New Roman"/>
          <w:sz w:val="21"/>
          <w:szCs w:val="21"/>
        </w:rPr>
        <w:t>,</w:t>
      </w:r>
      <w:r w:rsidR="00A9653E" w:rsidRPr="00EC356F">
        <w:rPr>
          <w:rFonts w:ascii="Times New Roman" w:hAnsi="Times New Roman" w:cs="Times New Roman"/>
          <w:sz w:val="21"/>
          <w:szCs w:val="21"/>
        </w:rPr>
        <w:t xml:space="preserve"> in absolute terms. </w:t>
      </w:r>
    </w:p>
    <w:p w14:paraId="2CCB05F7" w14:textId="77777777" w:rsidR="00A9653E" w:rsidRPr="00EC356F" w:rsidRDefault="00662B73"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In the 3rd quarter, </w:t>
      </w:r>
      <w:r w:rsidR="00A9653E" w:rsidRPr="00EC356F">
        <w:rPr>
          <w:rFonts w:ascii="Times New Roman" w:hAnsi="Times New Roman" w:cs="Times New Roman"/>
          <w:sz w:val="21"/>
          <w:szCs w:val="21"/>
        </w:rPr>
        <w:t xml:space="preserve">interest rates of foreign currency deposits </w:t>
      </w:r>
      <w:r w:rsidR="00A046DE">
        <w:rPr>
          <w:rFonts w:ascii="Times New Roman" w:hAnsi="Times New Roman" w:cs="Times New Roman"/>
          <w:sz w:val="21"/>
          <w:szCs w:val="21"/>
        </w:rPr>
        <w:t>grew</w:t>
      </w:r>
      <w:r w:rsidR="00A9653E" w:rsidRPr="00EC356F">
        <w:rPr>
          <w:rFonts w:ascii="Times New Roman" w:hAnsi="Times New Roman" w:cs="Times New Roman"/>
          <w:sz w:val="21"/>
          <w:szCs w:val="21"/>
        </w:rPr>
        <w:t xml:space="preserve"> by 0.</w:t>
      </w:r>
      <w:r w:rsidR="00A046DE">
        <w:rPr>
          <w:rFonts w:ascii="Times New Roman" w:hAnsi="Times New Roman" w:cs="Times New Roman"/>
          <w:sz w:val="21"/>
          <w:szCs w:val="21"/>
        </w:rPr>
        <w:t>2</w:t>
      </w:r>
      <w:r w:rsidR="00A9653E" w:rsidRPr="00EC356F">
        <w:rPr>
          <w:rFonts w:ascii="Times New Roman" w:hAnsi="Times New Roman" w:cs="Times New Roman"/>
          <w:sz w:val="21"/>
          <w:szCs w:val="21"/>
        </w:rPr>
        <w:t xml:space="preserve"> pp against the previous quarter’s average </w:t>
      </w:r>
      <w:r w:rsidR="00A046DE">
        <w:rPr>
          <w:rFonts w:ascii="Times New Roman" w:hAnsi="Times New Roman" w:cs="Times New Roman"/>
          <w:sz w:val="21"/>
          <w:szCs w:val="21"/>
        </w:rPr>
        <w:t>and reached 7</w:t>
      </w:r>
      <w:r w:rsidR="00A9653E" w:rsidRPr="00EC356F">
        <w:rPr>
          <w:rFonts w:ascii="Times New Roman" w:hAnsi="Times New Roman" w:cs="Times New Roman"/>
          <w:sz w:val="21"/>
          <w:szCs w:val="21"/>
        </w:rPr>
        <w:t>.</w:t>
      </w:r>
      <w:r w:rsidR="00A046DE">
        <w:rPr>
          <w:rFonts w:ascii="Times New Roman" w:hAnsi="Times New Roman" w:cs="Times New Roman"/>
          <w:sz w:val="21"/>
          <w:szCs w:val="21"/>
        </w:rPr>
        <w:t>0</w:t>
      </w:r>
      <w:r w:rsidR="00A9653E" w:rsidRPr="00EC356F">
        <w:rPr>
          <w:rFonts w:ascii="Times New Roman" w:hAnsi="Times New Roman" w:cs="Times New Roman"/>
          <w:sz w:val="21"/>
          <w:szCs w:val="21"/>
        </w:rPr>
        <w:t xml:space="preserve">%. </w:t>
      </w:r>
      <w:r w:rsidR="00A046DE">
        <w:rPr>
          <w:rFonts w:ascii="Times New Roman" w:hAnsi="Times New Roman" w:cs="Times New Roman"/>
          <w:sz w:val="21"/>
          <w:szCs w:val="21"/>
        </w:rPr>
        <w:t>The v</w:t>
      </w:r>
      <w:r>
        <w:rPr>
          <w:rFonts w:ascii="Times New Roman" w:hAnsi="Times New Roman" w:cs="Times New Roman"/>
          <w:sz w:val="21"/>
          <w:szCs w:val="21"/>
        </w:rPr>
        <w:t>olume</w:t>
      </w:r>
      <w:r w:rsidR="00A046DE">
        <w:rPr>
          <w:rFonts w:ascii="Times New Roman" w:hAnsi="Times New Roman" w:cs="Times New Roman"/>
          <w:sz w:val="21"/>
          <w:szCs w:val="21"/>
        </w:rPr>
        <w:t xml:space="preserve"> of f</w:t>
      </w:r>
      <w:r w:rsidR="00A9653E" w:rsidRPr="00EC356F">
        <w:rPr>
          <w:rFonts w:ascii="Times New Roman" w:hAnsi="Times New Roman" w:cs="Times New Roman"/>
          <w:sz w:val="21"/>
          <w:szCs w:val="21"/>
        </w:rPr>
        <w:t xml:space="preserve">oreign currency deposits </w:t>
      </w:r>
      <w:r>
        <w:rPr>
          <w:rFonts w:ascii="Times New Roman" w:hAnsi="Times New Roman" w:cs="Times New Roman"/>
          <w:sz w:val="21"/>
          <w:szCs w:val="21"/>
        </w:rPr>
        <w:t xml:space="preserve">decreased by 2.9% during the quarter primarily attributable to reduced volume of demand deposits. </w:t>
      </w:r>
    </w:p>
    <w:p w14:paraId="03B08D01" w14:textId="77777777" w:rsidR="00A9653E" w:rsidRPr="00EC356F" w:rsidRDefault="001A56BF" w:rsidP="00A9653E">
      <w:pPr>
        <w:spacing w:line="360" w:lineRule="auto"/>
        <w:jc w:val="both"/>
        <w:rPr>
          <w:rFonts w:ascii="Times New Roman" w:hAnsi="Times New Roman" w:cs="Times New Roman"/>
          <w:b/>
          <w:sz w:val="21"/>
          <w:szCs w:val="21"/>
        </w:rPr>
      </w:pPr>
      <w:r>
        <w:rPr>
          <w:rFonts w:ascii="Times New Roman" w:hAnsi="Times New Roman" w:cs="Times New Roman"/>
          <w:b/>
          <w:color w:val="000000"/>
          <w:sz w:val="21"/>
          <w:szCs w:val="21"/>
        </w:rPr>
        <w:t>B</w:t>
      </w:r>
      <w:r w:rsidR="00A9653E" w:rsidRPr="00EC356F">
        <w:rPr>
          <w:rFonts w:ascii="Times New Roman" w:hAnsi="Times New Roman" w:cs="Times New Roman"/>
          <w:b/>
          <w:color w:val="000000"/>
          <w:sz w:val="21"/>
          <w:szCs w:val="21"/>
        </w:rPr>
        <w:t xml:space="preserve">ox </w:t>
      </w:r>
      <w:r>
        <w:rPr>
          <w:rFonts w:ascii="Times New Roman" w:hAnsi="Times New Roman" w:cs="Times New Roman"/>
          <w:b/>
          <w:color w:val="000000"/>
          <w:sz w:val="21"/>
          <w:szCs w:val="21"/>
        </w:rPr>
        <w:t>4</w:t>
      </w:r>
    </w:p>
    <w:p w14:paraId="271E22A7" w14:textId="77777777" w:rsidR="007803C9" w:rsidRPr="00B80AFB" w:rsidRDefault="00831CDE" w:rsidP="00A9653E">
      <w:pPr>
        <w:spacing w:line="360" w:lineRule="auto"/>
        <w:jc w:val="both"/>
        <w:rPr>
          <w:rFonts w:ascii="Times New Roman" w:hAnsi="Times New Roman" w:cs="Times New Roman"/>
          <w:i/>
          <w:sz w:val="21"/>
          <w:szCs w:val="21"/>
        </w:rPr>
      </w:pPr>
      <w:r w:rsidRPr="00B80AFB">
        <w:rPr>
          <w:rFonts w:ascii="Times New Roman" w:hAnsi="Times New Roman" w:cs="Times New Roman"/>
          <w:i/>
          <w:sz w:val="21"/>
          <w:szCs w:val="21"/>
        </w:rPr>
        <w:lastRenderedPageBreak/>
        <w:t>As t</w:t>
      </w:r>
      <w:r w:rsidR="00A9653E" w:rsidRPr="00B80AFB">
        <w:rPr>
          <w:rFonts w:ascii="Times New Roman" w:hAnsi="Times New Roman" w:cs="Times New Roman"/>
          <w:i/>
          <w:sz w:val="21"/>
          <w:szCs w:val="21"/>
        </w:rPr>
        <w:t xml:space="preserve">he results of the </w:t>
      </w:r>
      <w:r w:rsidRPr="00B80AFB">
        <w:rPr>
          <w:rFonts w:ascii="Times New Roman" w:hAnsi="Times New Roman" w:cs="Times New Roman"/>
          <w:i/>
          <w:sz w:val="21"/>
          <w:szCs w:val="21"/>
        </w:rPr>
        <w:t>3r</w:t>
      </w:r>
      <w:r w:rsidR="00A9653E" w:rsidRPr="00B80AFB">
        <w:rPr>
          <w:rFonts w:ascii="Times New Roman" w:hAnsi="Times New Roman" w:cs="Times New Roman"/>
          <w:i/>
          <w:sz w:val="21"/>
          <w:szCs w:val="21"/>
        </w:rPr>
        <w:t>d quarter 2014 survey on terms of lending provided by Armenian banks and credit organizations show</w:t>
      </w:r>
      <w:r w:rsidRPr="00B80AFB">
        <w:rPr>
          <w:rFonts w:ascii="Times New Roman" w:hAnsi="Times New Roman" w:cs="Times New Roman"/>
          <w:i/>
          <w:sz w:val="21"/>
          <w:szCs w:val="21"/>
        </w:rPr>
        <w:t>,</w:t>
      </w:r>
      <w:r w:rsidR="00A9653E" w:rsidRPr="00B80AFB">
        <w:rPr>
          <w:rFonts w:ascii="Times New Roman" w:hAnsi="Times New Roman" w:cs="Times New Roman"/>
          <w:i/>
          <w:sz w:val="21"/>
          <w:szCs w:val="21"/>
        </w:rPr>
        <w:t xml:space="preserve"> there has been further </w:t>
      </w:r>
      <w:r w:rsidR="00A9653E" w:rsidRPr="00B80AFB">
        <w:rPr>
          <w:rFonts w:ascii="Times New Roman" w:hAnsi="Times New Roman" w:cs="Times New Roman"/>
          <w:i/>
          <w:color w:val="000000"/>
          <w:sz w:val="21"/>
          <w:szCs w:val="21"/>
        </w:rPr>
        <w:t>easing of the terms of lending to</w:t>
      </w:r>
      <w:r w:rsidR="00A9653E" w:rsidRPr="00B80AFB">
        <w:rPr>
          <w:rFonts w:ascii="Times New Roman" w:hAnsi="Times New Roman" w:cs="Times New Roman"/>
          <w:i/>
          <w:sz w:val="21"/>
          <w:szCs w:val="21"/>
        </w:rPr>
        <w:t xml:space="preserve"> businesses and the terms of consumer </w:t>
      </w:r>
      <w:r w:rsidRPr="00B80AFB">
        <w:rPr>
          <w:rFonts w:ascii="Times New Roman" w:hAnsi="Times New Roman" w:cs="Times New Roman"/>
          <w:i/>
          <w:sz w:val="21"/>
          <w:szCs w:val="21"/>
        </w:rPr>
        <w:t>and mortgage loans</w:t>
      </w:r>
      <w:r w:rsidR="00557D04" w:rsidRPr="00B80AFB">
        <w:rPr>
          <w:rFonts w:ascii="Times New Roman" w:hAnsi="Times New Roman" w:cs="Times New Roman"/>
          <w:i/>
          <w:sz w:val="21"/>
          <w:szCs w:val="21"/>
        </w:rPr>
        <w:t xml:space="preserve"> for households</w:t>
      </w:r>
      <w:r w:rsidR="00A9653E" w:rsidRPr="00B80AFB">
        <w:rPr>
          <w:rFonts w:ascii="Times New Roman" w:hAnsi="Times New Roman" w:cs="Times New Roman"/>
          <w:i/>
          <w:sz w:val="21"/>
          <w:szCs w:val="21"/>
        </w:rPr>
        <w:t xml:space="preserve">. </w:t>
      </w:r>
      <w:r w:rsidR="00582955" w:rsidRPr="00B80AFB">
        <w:rPr>
          <w:rFonts w:ascii="Times New Roman" w:hAnsi="Times New Roman" w:cs="Times New Roman"/>
          <w:i/>
          <w:sz w:val="21"/>
          <w:szCs w:val="21"/>
        </w:rPr>
        <w:t xml:space="preserve">Easing of the terms of </w:t>
      </w:r>
      <w:r w:rsidR="006026A6" w:rsidRPr="00B80AFB">
        <w:rPr>
          <w:rFonts w:ascii="Times New Roman" w:hAnsi="Times New Roman" w:cs="Times New Roman"/>
          <w:i/>
          <w:sz w:val="21"/>
          <w:szCs w:val="21"/>
        </w:rPr>
        <w:t xml:space="preserve">SME </w:t>
      </w:r>
      <w:r w:rsidR="0049338D" w:rsidRPr="00B80AFB">
        <w:rPr>
          <w:rFonts w:ascii="Times New Roman" w:hAnsi="Times New Roman" w:cs="Times New Roman"/>
          <w:i/>
          <w:sz w:val="21"/>
          <w:szCs w:val="21"/>
        </w:rPr>
        <w:t xml:space="preserve">loans came in somewhat a slower pace due to restricted liquidity and accessibility to the money markets on the one hand and expectations of the slowing of economic activity, on the other. </w:t>
      </w:r>
      <w:r w:rsidR="00282112" w:rsidRPr="00B80AFB">
        <w:rPr>
          <w:rFonts w:ascii="Times New Roman" w:hAnsi="Times New Roman" w:cs="Times New Roman"/>
          <w:i/>
          <w:sz w:val="21"/>
          <w:szCs w:val="21"/>
        </w:rPr>
        <w:t xml:space="preserve">The terms of SME loans (mostly on the part of interest rate) were further eased along with </w:t>
      </w:r>
      <w:r w:rsidR="00002432" w:rsidRPr="00B80AFB">
        <w:rPr>
          <w:rFonts w:ascii="Times New Roman" w:hAnsi="Times New Roman" w:cs="Times New Roman"/>
          <w:i/>
          <w:sz w:val="21"/>
          <w:szCs w:val="21"/>
        </w:rPr>
        <w:t xml:space="preserve">better </w:t>
      </w:r>
      <w:r w:rsidR="00A9653E" w:rsidRPr="00B80AFB">
        <w:rPr>
          <w:rFonts w:ascii="Times New Roman" w:hAnsi="Times New Roman" w:cs="Times New Roman"/>
          <w:i/>
          <w:sz w:val="21"/>
          <w:szCs w:val="21"/>
        </w:rPr>
        <w:t xml:space="preserve">terms of </w:t>
      </w:r>
      <w:r w:rsidR="0046579F" w:rsidRPr="00B80AFB">
        <w:rPr>
          <w:rFonts w:ascii="Times New Roman" w:hAnsi="Times New Roman" w:cs="Times New Roman"/>
          <w:i/>
          <w:sz w:val="21"/>
          <w:szCs w:val="21"/>
        </w:rPr>
        <w:t xml:space="preserve">loans to households, providing for easier </w:t>
      </w:r>
      <w:r w:rsidR="00A9653E" w:rsidRPr="00B80AFB">
        <w:rPr>
          <w:rFonts w:ascii="Times New Roman" w:hAnsi="Times New Roman" w:cs="Times New Roman"/>
          <w:i/>
          <w:sz w:val="21"/>
          <w:szCs w:val="21"/>
        </w:rPr>
        <w:t xml:space="preserve">review of interest rate, collateral requirements, loan to value ratio and borrower creditworthiness. </w:t>
      </w:r>
    </w:p>
    <w:p w14:paraId="4A24187D" w14:textId="77777777" w:rsidR="003B7530" w:rsidRPr="00B80AFB" w:rsidRDefault="00A9653E" w:rsidP="00A9653E">
      <w:pPr>
        <w:spacing w:line="360" w:lineRule="auto"/>
        <w:jc w:val="both"/>
        <w:rPr>
          <w:rFonts w:ascii="Times New Roman" w:hAnsi="Times New Roman" w:cs="Times New Roman"/>
          <w:i/>
          <w:color w:val="000000"/>
          <w:sz w:val="21"/>
          <w:szCs w:val="21"/>
        </w:rPr>
      </w:pPr>
      <w:r w:rsidRPr="00B80AFB">
        <w:rPr>
          <w:rFonts w:ascii="Times New Roman" w:hAnsi="Times New Roman" w:cs="Times New Roman"/>
          <w:i/>
          <w:color w:val="000000"/>
          <w:sz w:val="21"/>
          <w:szCs w:val="21"/>
        </w:rPr>
        <w:t xml:space="preserve">Demand </w:t>
      </w:r>
      <w:r w:rsidR="007803C9" w:rsidRPr="00B80AFB">
        <w:rPr>
          <w:rFonts w:ascii="Times New Roman" w:hAnsi="Times New Roman" w:cs="Times New Roman"/>
          <w:i/>
          <w:color w:val="000000"/>
          <w:sz w:val="21"/>
          <w:szCs w:val="21"/>
        </w:rPr>
        <w:t xml:space="preserve">has increased for consumer loans, remained unchanged for SME loans but declined for </w:t>
      </w:r>
      <w:r w:rsidRPr="00B80AFB">
        <w:rPr>
          <w:rFonts w:ascii="Times New Roman" w:hAnsi="Times New Roman" w:cs="Times New Roman"/>
          <w:i/>
          <w:color w:val="000000"/>
          <w:sz w:val="21"/>
          <w:szCs w:val="21"/>
        </w:rPr>
        <w:t>mortgage loans</w:t>
      </w:r>
      <w:r w:rsidR="007803C9" w:rsidRPr="00B80AFB">
        <w:rPr>
          <w:rFonts w:ascii="Times New Roman" w:hAnsi="Times New Roman" w:cs="Times New Roman"/>
          <w:i/>
          <w:color w:val="000000"/>
          <w:sz w:val="21"/>
          <w:szCs w:val="21"/>
        </w:rPr>
        <w:t xml:space="preserve">. Factors for </w:t>
      </w:r>
      <w:r w:rsidR="003B7530" w:rsidRPr="00B80AFB">
        <w:rPr>
          <w:rFonts w:ascii="Times New Roman" w:hAnsi="Times New Roman" w:cs="Times New Roman"/>
          <w:i/>
          <w:color w:val="000000"/>
          <w:sz w:val="21"/>
          <w:szCs w:val="21"/>
        </w:rPr>
        <w:t>a declined</w:t>
      </w:r>
      <w:r w:rsidR="007803C9" w:rsidRPr="00B80AFB">
        <w:rPr>
          <w:rFonts w:ascii="Times New Roman" w:hAnsi="Times New Roman" w:cs="Times New Roman"/>
          <w:i/>
          <w:color w:val="000000"/>
          <w:sz w:val="21"/>
          <w:szCs w:val="21"/>
        </w:rPr>
        <w:t xml:space="preserve"> demand included</w:t>
      </w:r>
      <w:r w:rsidR="003B7530" w:rsidRPr="00B80AFB">
        <w:rPr>
          <w:rFonts w:ascii="Times New Roman" w:hAnsi="Times New Roman" w:cs="Times New Roman"/>
          <w:i/>
          <w:color w:val="000000"/>
          <w:sz w:val="21"/>
          <w:szCs w:val="21"/>
        </w:rPr>
        <w:t xml:space="preserve"> reduced savings of households and plunged consumer confidence.</w:t>
      </w:r>
    </w:p>
    <w:p w14:paraId="65CC599C" w14:textId="77777777" w:rsidR="00A9653E" w:rsidRPr="00B80AFB" w:rsidRDefault="00A9653E" w:rsidP="00A9653E">
      <w:pPr>
        <w:spacing w:line="360" w:lineRule="auto"/>
        <w:jc w:val="both"/>
        <w:rPr>
          <w:rFonts w:ascii="Times New Roman" w:hAnsi="Times New Roman" w:cs="Times New Roman"/>
          <w:i/>
          <w:sz w:val="21"/>
          <w:szCs w:val="21"/>
        </w:rPr>
      </w:pPr>
      <w:r w:rsidRPr="00B80AFB">
        <w:rPr>
          <w:rFonts w:ascii="Times New Roman" w:hAnsi="Times New Roman" w:cs="Times New Roman"/>
          <w:i/>
          <w:sz w:val="21"/>
          <w:szCs w:val="21"/>
        </w:rPr>
        <w:t xml:space="preserve">Easing of terms of all types of loan products and lending procedures will carry on during the </w:t>
      </w:r>
      <w:r w:rsidR="00B80AFB" w:rsidRPr="00B80AFB">
        <w:rPr>
          <w:rFonts w:ascii="Times New Roman" w:hAnsi="Times New Roman" w:cs="Times New Roman"/>
          <w:i/>
          <w:sz w:val="21"/>
          <w:szCs w:val="21"/>
        </w:rPr>
        <w:t>4th</w:t>
      </w:r>
      <w:r w:rsidRPr="00B80AFB">
        <w:rPr>
          <w:rFonts w:ascii="Times New Roman" w:hAnsi="Times New Roman" w:cs="Times New Roman"/>
          <w:i/>
          <w:sz w:val="21"/>
          <w:szCs w:val="21"/>
        </w:rPr>
        <w:t xml:space="preserve"> quarter of 2014</w:t>
      </w:r>
      <w:r w:rsidR="00B80AFB" w:rsidRPr="00B80AFB">
        <w:rPr>
          <w:rFonts w:ascii="Times New Roman" w:hAnsi="Times New Roman" w:cs="Times New Roman"/>
          <w:i/>
          <w:sz w:val="21"/>
          <w:szCs w:val="21"/>
        </w:rPr>
        <w:t xml:space="preserve">, as demand for all types of loan products is expected to grow. </w:t>
      </w:r>
    </w:p>
    <w:p w14:paraId="6B96AC95" w14:textId="77777777" w:rsidR="005728D3" w:rsidRDefault="00AA10B7" w:rsidP="00A9653E">
      <w:pPr>
        <w:spacing w:line="360" w:lineRule="auto"/>
        <w:jc w:val="both"/>
        <w:rPr>
          <w:rFonts w:ascii="Times New Roman" w:hAnsi="Times New Roman" w:cs="Times New Roman"/>
          <w:color w:val="000000"/>
          <w:sz w:val="21"/>
          <w:szCs w:val="21"/>
        </w:rPr>
      </w:pPr>
      <w:r w:rsidRPr="008A4DCA">
        <w:rPr>
          <w:rFonts w:ascii="Times New Roman" w:hAnsi="Times New Roman" w:cs="Times New Roman"/>
          <w:color w:val="000000"/>
          <w:sz w:val="21"/>
          <w:szCs w:val="21"/>
        </w:rPr>
        <w:t>T</w:t>
      </w:r>
      <w:r w:rsidR="00B80AFB" w:rsidRPr="008A4DCA">
        <w:rPr>
          <w:rFonts w:ascii="Times New Roman" w:hAnsi="Times New Roman" w:cs="Times New Roman"/>
          <w:color w:val="000000"/>
          <w:sz w:val="21"/>
          <w:szCs w:val="21"/>
        </w:rPr>
        <w:t>he 3rd</w:t>
      </w:r>
      <w:r w:rsidR="00A9653E" w:rsidRPr="008A4DCA">
        <w:rPr>
          <w:rFonts w:ascii="Times New Roman" w:hAnsi="Times New Roman" w:cs="Times New Roman"/>
          <w:color w:val="000000"/>
          <w:sz w:val="21"/>
          <w:szCs w:val="21"/>
        </w:rPr>
        <w:t xml:space="preserve"> </w:t>
      </w:r>
      <w:r w:rsidR="00B80AFB" w:rsidRPr="008A4DCA">
        <w:rPr>
          <w:rFonts w:ascii="Times New Roman" w:hAnsi="Times New Roman" w:cs="Times New Roman"/>
          <w:color w:val="000000"/>
          <w:sz w:val="21"/>
          <w:szCs w:val="21"/>
        </w:rPr>
        <w:t>quarter of 2014</w:t>
      </w:r>
      <w:r w:rsidRPr="008A4DCA">
        <w:rPr>
          <w:rFonts w:ascii="Times New Roman" w:hAnsi="Times New Roman" w:cs="Times New Roman"/>
          <w:color w:val="000000"/>
          <w:sz w:val="21"/>
          <w:szCs w:val="21"/>
        </w:rPr>
        <w:t xml:space="preserve"> marked a trend of </w:t>
      </w:r>
      <w:r w:rsidR="00891164" w:rsidRPr="008A4DCA">
        <w:rPr>
          <w:rFonts w:ascii="Times New Roman" w:hAnsi="Times New Roman" w:cs="Times New Roman"/>
          <w:color w:val="000000"/>
          <w:sz w:val="21"/>
          <w:szCs w:val="21"/>
          <w:lang w:val="hy-AM"/>
        </w:rPr>
        <w:t xml:space="preserve">further </w:t>
      </w:r>
      <w:r w:rsidR="00891164" w:rsidRPr="008A4DCA">
        <w:rPr>
          <w:rFonts w:ascii="Times New Roman" w:hAnsi="Times New Roman" w:cs="Times New Roman"/>
          <w:color w:val="000000"/>
          <w:sz w:val="21"/>
          <w:szCs w:val="21"/>
        </w:rPr>
        <w:t xml:space="preserve">narrowing </w:t>
      </w:r>
      <w:r w:rsidRPr="008A4DCA">
        <w:rPr>
          <w:rFonts w:ascii="Times New Roman" w:hAnsi="Times New Roman" w:cs="Times New Roman"/>
          <w:color w:val="000000"/>
          <w:sz w:val="21"/>
          <w:szCs w:val="21"/>
        </w:rPr>
        <w:t>spread of interest rates of loans and deposits</w:t>
      </w:r>
      <w:r w:rsidR="00891164" w:rsidRPr="008A4DCA">
        <w:rPr>
          <w:rFonts w:ascii="Times New Roman" w:hAnsi="Times New Roman" w:cs="Times New Roman"/>
          <w:color w:val="000000"/>
          <w:sz w:val="21"/>
          <w:szCs w:val="21"/>
          <w:lang w:val="hy-AM"/>
        </w:rPr>
        <w:t xml:space="preserve"> in both dram and foreign currency. </w:t>
      </w:r>
      <w:r w:rsidR="008A4DCA" w:rsidRPr="008A4DCA">
        <w:rPr>
          <w:rFonts w:ascii="Times New Roman" w:hAnsi="Times New Roman" w:cs="Times New Roman"/>
          <w:color w:val="000000"/>
          <w:sz w:val="21"/>
          <w:szCs w:val="21"/>
          <w:lang w:val="hy-AM"/>
        </w:rPr>
        <w:t>The spread has</w:t>
      </w:r>
      <w:r w:rsidR="008A4DCA">
        <w:rPr>
          <w:rFonts w:ascii="Times New Roman" w:hAnsi="Times New Roman" w:cs="Times New Roman"/>
          <w:color w:val="000000"/>
          <w:sz w:val="21"/>
          <w:szCs w:val="21"/>
        </w:rPr>
        <w:t xml:space="preserve"> </w:t>
      </w:r>
      <w:r w:rsidR="008A4DCA" w:rsidRPr="008A4DCA">
        <w:rPr>
          <w:rFonts w:ascii="Times New Roman" w:hAnsi="Times New Roman" w:cs="Times New Roman"/>
          <w:color w:val="000000"/>
          <w:sz w:val="21"/>
          <w:szCs w:val="21"/>
          <w:lang w:val="hy-AM"/>
        </w:rPr>
        <w:t xml:space="preserve">reduced by 0.4 pp to 5.9% for dram </w:t>
      </w:r>
      <w:r w:rsidR="008A4DCA">
        <w:rPr>
          <w:rFonts w:ascii="Times New Roman" w:hAnsi="Times New Roman" w:cs="Times New Roman"/>
          <w:color w:val="000000"/>
          <w:sz w:val="21"/>
          <w:szCs w:val="21"/>
        </w:rPr>
        <w:t xml:space="preserve">loans and deposits, and the spread of foreign currency loans </w:t>
      </w:r>
      <w:r w:rsidR="008A4DCA" w:rsidRPr="008A4DCA">
        <w:rPr>
          <w:rFonts w:ascii="Times New Roman" w:hAnsi="Times New Roman" w:cs="Times New Roman"/>
          <w:color w:val="000000"/>
          <w:sz w:val="21"/>
          <w:szCs w:val="21"/>
          <w:lang w:val="hy-AM"/>
        </w:rPr>
        <w:t xml:space="preserve">and </w:t>
      </w:r>
      <w:r w:rsidR="008A4DCA">
        <w:rPr>
          <w:rFonts w:ascii="Times New Roman" w:hAnsi="Times New Roman" w:cs="Times New Roman"/>
          <w:color w:val="000000"/>
          <w:sz w:val="21"/>
          <w:szCs w:val="21"/>
        </w:rPr>
        <w:t xml:space="preserve">deposits narrowed by 0.3 pp. Note that in September, against June, the spread of foreign currency loans </w:t>
      </w:r>
      <w:r w:rsidR="008A4DCA" w:rsidRPr="008A4DCA">
        <w:rPr>
          <w:rFonts w:ascii="Times New Roman" w:hAnsi="Times New Roman" w:cs="Times New Roman"/>
          <w:color w:val="000000"/>
          <w:sz w:val="21"/>
          <w:szCs w:val="21"/>
          <w:lang w:val="hy-AM"/>
        </w:rPr>
        <w:t xml:space="preserve">and </w:t>
      </w:r>
      <w:r w:rsidR="008A4DCA">
        <w:rPr>
          <w:rFonts w:ascii="Times New Roman" w:hAnsi="Times New Roman" w:cs="Times New Roman"/>
          <w:color w:val="000000"/>
          <w:sz w:val="21"/>
          <w:szCs w:val="21"/>
        </w:rPr>
        <w:t xml:space="preserve">deposits </w:t>
      </w:r>
      <w:r w:rsidR="00611725">
        <w:rPr>
          <w:rFonts w:ascii="Times New Roman" w:hAnsi="Times New Roman" w:cs="Times New Roman"/>
          <w:color w:val="000000"/>
          <w:sz w:val="21"/>
          <w:szCs w:val="21"/>
        </w:rPr>
        <w:t xml:space="preserve">has reduced by </w:t>
      </w:r>
      <w:r w:rsidR="008A4DCA">
        <w:rPr>
          <w:rFonts w:ascii="Times New Roman" w:hAnsi="Times New Roman" w:cs="Times New Roman"/>
          <w:color w:val="000000"/>
          <w:sz w:val="21"/>
          <w:szCs w:val="21"/>
        </w:rPr>
        <w:t xml:space="preserve">0.7 pp to 3.9%.  </w:t>
      </w:r>
    </w:p>
    <w:p w14:paraId="0E67B416" w14:textId="77777777" w:rsidR="00317CEA" w:rsidRDefault="00317CEA" w:rsidP="00A9653E">
      <w:pPr>
        <w:spacing w:line="360" w:lineRule="auto"/>
        <w:jc w:val="both"/>
        <w:rPr>
          <w:rFonts w:ascii="Times New Roman" w:hAnsi="Times New Roman" w:cs="Times New Roman"/>
          <w:color w:val="000000"/>
          <w:sz w:val="21"/>
          <w:szCs w:val="21"/>
        </w:rPr>
      </w:pPr>
      <w:r>
        <w:rPr>
          <w:rFonts w:ascii="Times New Roman" w:hAnsi="Times New Roman" w:cs="Times New Roman"/>
          <w:color w:val="000000"/>
          <w:sz w:val="21"/>
          <w:szCs w:val="21"/>
        </w:rPr>
        <w:t>D</w:t>
      </w:r>
      <w:r w:rsidRPr="00EC356F">
        <w:rPr>
          <w:rFonts w:ascii="Times New Roman" w:hAnsi="Times New Roman" w:cs="Times New Roman"/>
          <w:color w:val="000000"/>
          <w:sz w:val="21"/>
          <w:szCs w:val="21"/>
        </w:rPr>
        <w:t xml:space="preserve">uring the quarter, the dollarization (a ratio of foreign currency deposits to broad money) </w:t>
      </w:r>
      <w:r>
        <w:rPr>
          <w:rFonts w:ascii="Times New Roman" w:hAnsi="Times New Roman" w:cs="Times New Roman"/>
          <w:color w:val="000000"/>
          <w:sz w:val="21"/>
          <w:szCs w:val="21"/>
        </w:rPr>
        <w:t xml:space="preserve">continued to subdue, posting a further 1.7 pp reduction against the previous quarter. </w:t>
      </w:r>
    </w:p>
    <w:p w14:paraId="3B746F75"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highlight w:val="yellow"/>
        </w:rPr>
        <w:t>Table</w:t>
      </w:r>
      <w:r w:rsidRPr="00EC356F">
        <w:rPr>
          <w:rFonts w:ascii="Times New Roman" w:hAnsi="Times New Roman" w:cs="Times New Roman"/>
          <w:sz w:val="21"/>
          <w:szCs w:val="21"/>
        </w:rPr>
        <w:t xml:space="preserve"> </w:t>
      </w:r>
    </w:p>
    <w:p w14:paraId="7CE4AF92"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 xml:space="preserve">3.3.2 Exchange rate </w:t>
      </w:r>
    </w:p>
    <w:p w14:paraId="6C306C99" w14:textId="77777777" w:rsidR="00FD46D1" w:rsidRPr="006A4AE5"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317CEA">
        <w:rPr>
          <w:rFonts w:ascii="Times New Roman" w:hAnsi="Times New Roman" w:cs="Times New Roman"/>
          <w:sz w:val="21"/>
          <w:szCs w:val="21"/>
        </w:rPr>
        <w:t>3r</w:t>
      </w:r>
      <w:r w:rsidRPr="00EC356F">
        <w:rPr>
          <w:rFonts w:ascii="Times New Roman" w:hAnsi="Times New Roman" w:cs="Times New Roman"/>
          <w:sz w:val="21"/>
          <w:szCs w:val="21"/>
        </w:rPr>
        <w:t xml:space="preserve">d quarter of 2014, trade partners’ average </w:t>
      </w:r>
      <w:r w:rsidR="00A07F99">
        <w:rPr>
          <w:rFonts w:ascii="Times New Roman" w:hAnsi="Times New Roman" w:cs="Times New Roman"/>
          <w:sz w:val="21"/>
          <w:szCs w:val="21"/>
        </w:rPr>
        <w:t xml:space="preserve">nominal </w:t>
      </w:r>
      <w:r w:rsidRPr="00EC356F">
        <w:rPr>
          <w:rFonts w:ascii="Times New Roman" w:hAnsi="Times New Roman" w:cs="Times New Roman"/>
          <w:sz w:val="21"/>
          <w:szCs w:val="21"/>
        </w:rPr>
        <w:t>weighted exchange rate kept on depreciating versus the U.S. dollar by 2.</w:t>
      </w:r>
      <w:r w:rsidR="00317CEA">
        <w:rPr>
          <w:rFonts w:ascii="Times New Roman" w:hAnsi="Times New Roman" w:cs="Times New Roman"/>
          <w:sz w:val="21"/>
          <w:szCs w:val="21"/>
        </w:rPr>
        <w:t>9</w:t>
      </w:r>
      <w:r w:rsidRPr="00EC356F">
        <w:rPr>
          <w:rFonts w:ascii="Times New Roman" w:hAnsi="Times New Roman" w:cs="Times New Roman"/>
          <w:sz w:val="21"/>
          <w:szCs w:val="21"/>
        </w:rPr>
        <w:t xml:space="preserve">% q/q. </w:t>
      </w:r>
      <w:r w:rsidR="00B67378">
        <w:rPr>
          <w:rFonts w:ascii="Times New Roman" w:hAnsi="Times New Roman" w:cs="Times New Roman"/>
          <w:sz w:val="21"/>
          <w:szCs w:val="21"/>
        </w:rPr>
        <w:t>This was</w:t>
      </w:r>
      <w:r w:rsidRPr="00EC356F">
        <w:rPr>
          <w:rFonts w:ascii="Times New Roman" w:hAnsi="Times New Roman" w:cs="Times New Roman"/>
          <w:sz w:val="21"/>
          <w:szCs w:val="21"/>
        </w:rPr>
        <w:t xml:space="preserve"> driven </w:t>
      </w:r>
      <w:r w:rsidR="00B67378">
        <w:rPr>
          <w:rFonts w:ascii="Times New Roman" w:hAnsi="Times New Roman" w:cs="Times New Roman"/>
          <w:sz w:val="21"/>
          <w:szCs w:val="21"/>
        </w:rPr>
        <w:t xml:space="preserve">primarily </w:t>
      </w:r>
      <w:r w:rsidRPr="00EC356F">
        <w:rPr>
          <w:rFonts w:ascii="Times New Roman" w:hAnsi="Times New Roman" w:cs="Times New Roman"/>
          <w:sz w:val="21"/>
          <w:szCs w:val="21"/>
        </w:rPr>
        <w:t xml:space="preserve">by </w:t>
      </w:r>
      <w:r w:rsidR="00B67378">
        <w:rPr>
          <w:rFonts w:ascii="Times New Roman" w:hAnsi="Times New Roman" w:cs="Times New Roman"/>
          <w:sz w:val="21"/>
          <w:szCs w:val="21"/>
        </w:rPr>
        <w:t xml:space="preserve">high currency depreciation rates in the </w:t>
      </w:r>
      <w:r w:rsidR="00D72F17">
        <w:rPr>
          <w:rFonts w:ascii="Times New Roman" w:hAnsi="Times New Roman" w:cs="Times New Roman"/>
          <w:sz w:val="21"/>
          <w:szCs w:val="21"/>
        </w:rPr>
        <w:t>euro-area</w:t>
      </w:r>
      <w:r w:rsidR="00B67378">
        <w:rPr>
          <w:rFonts w:ascii="Times New Roman" w:hAnsi="Times New Roman" w:cs="Times New Roman"/>
          <w:sz w:val="21"/>
          <w:szCs w:val="21"/>
        </w:rPr>
        <w:t xml:space="preserve"> as well as Russia and Ukraine. </w:t>
      </w:r>
      <w:r w:rsidR="005C4B6A">
        <w:rPr>
          <w:rFonts w:ascii="Times New Roman" w:hAnsi="Times New Roman" w:cs="Times New Roman"/>
          <w:sz w:val="21"/>
          <w:szCs w:val="21"/>
        </w:rPr>
        <w:t>Conversely, during the quarter the nominal exchange rate of the Armenian dram appreciate</w:t>
      </w:r>
      <w:r w:rsidR="00FD46D1">
        <w:rPr>
          <w:rFonts w:ascii="Times New Roman" w:hAnsi="Times New Roman" w:cs="Times New Roman"/>
          <w:sz w:val="21"/>
          <w:szCs w:val="21"/>
        </w:rPr>
        <w:t>d by 1.1% q/q</w:t>
      </w:r>
      <w:r w:rsidR="005C4B6A">
        <w:rPr>
          <w:rFonts w:ascii="Times New Roman" w:hAnsi="Times New Roman" w:cs="Times New Roman"/>
          <w:sz w:val="21"/>
          <w:szCs w:val="21"/>
        </w:rPr>
        <w:t xml:space="preserve"> versus the U.S. dollar</w:t>
      </w:r>
      <w:r w:rsidR="00FD46D1">
        <w:rPr>
          <w:rFonts w:ascii="Times New Roman" w:hAnsi="Times New Roman" w:cs="Times New Roman"/>
          <w:sz w:val="21"/>
          <w:szCs w:val="21"/>
        </w:rPr>
        <w:t>, reflecting high seasonal demand. At the time,</w:t>
      </w:r>
      <w:r w:rsidRPr="00EC356F">
        <w:rPr>
          <w:rFonts w:ascii="Times New Roman" w:hAnsi="Times New Roman" w:cs="Times New Roman"/>
          <w:sz w:val="21"/>
          <w:szCs w:val="21"/>
        </w:rPr>
        <w:t xml:space="preserve"> </w:t>
      </w:r>
      <w:r w:rsidR="00FD46D1" w:rsidRPr="00EC356F">
        <w:rPr>
          <w:rFonts w:ascii="Times New Roman" w:hAnsi="Times New Roman" w:cs="Times New Roman"/>
          <w:sz w:val="21"/>
          <w:szCs w:val="21"/>
        </w:rPr>
        <w:t>the Central Bank act</w:t>
      </w:r>
      <w:r w:rsidR="00FD46D1">
        <w:rPr>
          <w:rFonts w:ascii="Times New Roman" w:hAnsi="Times New Roman" w:cs="Times New Roman"/>
          <w:sz w:val="21"/>
          <w:szCs w:val="21"/>
        </w:rPr>
        <w:t xml:space="preserve">ed </w:t>
      </w:r>
      <w:r w:rsidR="00FD46D1" w:rsidRPr="00EC356F">
        <w:rPr>
          <w:rFonts w:ascii="Times New Roman" w:hAnsi="Times New Roman" w:cs="Times New Roman"/>
          <w:sz w:val="21"/>
          <w:szCs w:val="21"/>
        </w:rPr>
        <w:t xml:space="preserve">as a net buyer of foreign currency in the </w:t>
      </w:r>
      <w:r w:rsidR="00FD46D1" w:rsidRPr="006A4AE5">
        <w:rPr>
          <w:rFonts w:ascii="Times New Roman" w:hAnsi="Times New Roman" w:cs="Times New Roman"/>
          <w:sz w:val="21"/>
          <w:szCs w:val="21"/>
        </w:rPr>
        <w:t>foreign exchange market to smooth out sharp currency fluctuations.</w:t>
      </w:r>
    </w:p>
    <w:tbl>
      <w:tblPr>
        <w:tblW w:w="6289" w:type="dxa"/>
        <w:tblInd w:w="71"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4A0" w:firstRow="1" w:lastRow="0" w:firstColumn="1" w:lastColumn="0" w:noHBand="0" w:noVBand="1"/>
      </w:tblPr>
      <w:tblGrid>
        <w:gridCol w:w="2562"/>
        <w:gridCol w:w="532"/>
        <w:gridCol w:w="532"/>
        <w:gridCol w:w="533"/>
        <w:gridCol w:w="532"/>
        <w:gridCol w:w="533"/>
        <w:gridCol w:w="532"/>
        <w:gridCol w:w="533"/>
      </w:tblGrid>
      <w:tr w:rsidR="006A4AE5" w:rsidRPr="006A4AE5" w14:paraId="5BCF012D" w14:textId="77777777" w:rsidTr="001F6A38">
        <w:trPr>
          <w:cantSplit/>
          <w:trHeight w:val="1252"/>
        </w:trPr>
        <w:tc>
          <w:tcPr>
            <w:tcW w:w="2562" w:type="dxa"/>
            <w:tcBorders>
              <w:top w:val="single" w:sz="4" w:space="0" w:color="auto"/>
              <w:bottom w:val="single" w:sz="4" w:space="0" w:color="auto"/>
            </w:tcBorders>
            <w:shd w:val="clear" w:color="auto" w:fill="auto"/>
            <w:noWrap/>
            <w:vAlign w:val="center"/>
          </w:tcPr>
          <w:p w14:paraId="18C30D77" w14:textId="77777777" w:rsidR="006A4AE5" w:rsidRPr="006A4AE5" w:rsidRDefault="006A4AE5" w:rsidP="001F6A38">
            <w:pPr>
              <w:spacing w:before="20" w:after="20"/>
              <w:rPr>
                <w:rFonts w:ascii="Times New Roman" w:hAnsi="Times New Roman" w:cs="Times New Roman"/>
                <w:b/>
                <w:iCs/>
                <w:sz w:val="16"/>
                <w:szCs w:val="16"/>
              </w:rPr>
            </w:pPr>
            <w:r w:rsidRPr="006A4AE5">
              <w:rPr>
                <w:rFonts w:ascii="Times New Roman" w:hAnsi="Times New Roman" w:cs="Times New Roman"/>
                <w:iCs/>
                <w:sz w:val="21"/>
                <w:szCs w:val="21"/>
              </w:rPr>
              <w:lastRenderedPageBreak/>
              <w:t>y/y growth, %</w:t>
            </w:r>
          </w:p>
        </w:tc>
        <w:tc>
          <w:tcPr>
            <w:tcW w:w="532" w:type="dxa"/>
            <w:tcBorders>
              <w:top w:val="single" w:sz="4" w:space="0" w:color="auto"/>
              <w:bottom w:val="single" w:sz="4" w:space="0" w:color="auto"/>
            </w:tcBorders>
            <w:textDirection w:val="btLr"/>
            <w:vAlign w:val="bottom"/>
          </w:tcPr>
          <w:p w14:paraId="0DE846A8" w14:textId="77777777" w:rsidR="006A4AE5" w:rsidRPr="006A4AE5" w:rsidRDefault="006A4AE5" w:rsidP="001F6A38">
            <w:pPr>
              <w:spacing w:before="20" w:after="20"/>
              <w:ind w:left="113" w:right="113"/>
              <w:rPr>
                <w:rFonts w:ascii="Times New Roman" w:hAnsi="Times New Roman" w:cs="Times New Roman"/>
                <w:b/>
                <w:iCs/>
                <w:sz w:val="16"/>
                <w:szCs w:val="16"/>
              </w:rPr>
            </w:pPr>
            <w:r w:rsidRPr="006A4AE5">
              <w:rPr>
                <w:rFonts w:ascii="Times New Roman" w:hAnsi="Times New Roman" w:cs="Times New Roman"/>
                <w:b/>
                <w:iCs/>
                <w:sz w:val="16"/>
                <w:szCs w:val="16"/>
                <w:lang w:val="hy-AM"/>
              </w:rPr>
              <w:t xml:space="preserve">Q1, </w:t>
            </w:r>
            <w:r w:rsidRPr="006A4AE5">
              <w:rPr>
                <w:rFonts w:ascii="Times New Roman" w:hAnsi="Times New Roman" w:cs="Times New Roman"/>
                <w:b/>
                <w:iCs/>
                <w:sz w:val="16"/>
                <w:szCs w:val="16"/>
              </w:rPr>
              <w:t>2013</w:t>
            </w:r>
          </w:p>
        </w:tc>
        <w:tc>
          <w:tcPr>
            <w:tcW w:w="532" w:type="dxa"/>
            <w:tcBorders>
              <w:top w:val="single" w:sz="4" w:space="0" w:color="auto"/>
              <w:bottom w:val="single" w:sz="4" w:space="0" w:color="auto"/>
            </w:tcBorders>
            <w:textDirection w:val="btLr"/>
            <w:vAlign w:val="bottom"/>
          </w:tcPr>
          <w:p w14:paraId="22EB45E4" w14:textId="77777777" w:rsidR="006A4AE5" w:rsidRPr="006A4AE5" w:rsidRDefault="006A4AE5" w:rsidP="001F6A38">
            <w:pPr>
              <w:spacing w:before="20" w:after="20"/>
              <w:ind w:left="113" w:right="113"/>
              <w:rPr>
                <w:rFonts w:ascii="Times New Roman" w:hAnsi="Times New Roman" w:cs="Times New Roman"/>
                <w:b/>
                <w:iCs/>
                <w:sz w:val="16"/>
                <w:szCs w:val="16"/>
                <w:lang w:val="hy-AM"/>
              </w:rPr>
            </w:pPr>
            <w:r w:rsidRPr="006A4AE5">
              <w:rPr>
                <w:rFonts w:ascii="Times New Roman" w:hAnsi="Times New Roman" w:cs="Times New Roman"/>
                <w:b/>
                <w:iCs/>
                <w:sz w:val="16"/>
                <w:szCs w:val="16"/>
                <w:lang w:val="hy-AM"/>
              </w:rPr>
              <w:t>Q2</w:t>
            </w:r>
          </w:p>
        </w:tc>
        <w:tc>
          <w:tcPr>
            <w:tcW w:w="533" w:type="dxa"/>
            <w:tcBorders>
              <w:top w:val="single" w:sz="4" w:space="0" w:color="auto"/>
              <w:bottom w:val="single" w:sz="4" w:space="0" w:color="auto"/>
            </w:tcBorders>
            <w:textDirection w:val="btLr"/>
            <w:vAlign w:val="bottom"/>
          </w:tcPr>
          <w:p w14:paraId="36E511C6" w14:textId="77777777" w:rsidR="006A4AE5" w:rsidRPr="006A4AE5" w:rsidRDefault="006A4AE5" w:rsidP="001F6A38">
            <w:pPr>
              <w:spacing w:before="20" w:after="20"/>
              <w:ind w:left="113" w:right="113"/>
              <w:rPr>
                <w:rFonts w:ascii="Times New Roman" w:hAnsi="Times New Roman" w:cs="Times New Roman"/>
                <w:b/>
                <w:iCs/>
                <w:sz w:val="16"/>
                <w:szCs w:val="16"/>
                <w:lang w:val="hy-AM"/>
              </w:rPr>
            </w:pPr>
            <w:r w:rsidRPr="006A4AE5">
              <w:rPr>
                <w:rFonts w:ascii="Times New Roman" w:hAnsi="Times New Roman" w:cs="Times New Roman"/>
                <w:b/>
                <w:iCs/>
                <w:sz w:val="16"/>
                <w:szCs w:val="16"/>
                <w:lang w:val="hy-AM"/>
              </w:rPr>
              <w:t>Q3</w:t>
            </w:r>
          </w:p>
        </w:tc>
        <w:tc>
          <w:tcPr>
            <w:tcW w:w="532" w:type="dxa"/>
            <w:tcBorders>
              <w:top w:val="single" w:sz="4" w:space="0" w:color="auto"/>
              <w:bottom w:val="single" w:sz="4" w:space="0" w:color="auto"/>
            </w:tcBorders>
            <w:textDirection w:val="btLr"/>
            <w:vAlign w:val="bottom"/>
          </w:tcPr>
          <w:p w14:paraId="0CE79985" w14:textId="77777777" w:rsidR="006A4AE5" w:rsidRPr="006A4AE5" w:rsidRDefault="006A4AE5" w:rsidP="001F6A38">
            <w:pPr>
              <w:spacing w:before="20" w:after="20"/>
              <w:ind w:left="113" w:right="113"/>
              <w:rPr>
                <w:rFonts w:ascii="Times New Roman" w:hAnsi="Times New Roman" w:cs="Times New Roman"/>
                <w:b/>
                <w:iCs/>
                <w:sz w:val="16"/>
                <w:szCs w:val="16"/>
                <w:lang w:val="hy-AM"/>
              </w:rPr>
            </w:pPr>
            <w:r w:rsidRPr="006A4AE5">
              <w:rPr>
                <w:rFonts w:ascii="Times New Roman" w:hAnsi="Times New Roman" w:cs="Times New Roman"/>
                <w:b/>
                <w:iCs/>
                <w:sz w:val="16"/>
                <w:szCs w:val="16"/>
                <w:lang w:val="hy-AM"/>
              </w:rPr>
              <w:t>Q4</w:t>
            </w:r>
          </w:p>
        </w:tc>
        <w:tc>
          <w:tcPr>
            <w:tcW w:w="533" w:type="dxa"/>
            <w:tcBorders>
              <w:top w:val="single" w:sz="4" w:space="0" w:color="auto"/>
              <w:bottom w:val="single" w:sz="4" w:space="0" w:color="auto"/>
            </w:tcBorders>
            <w:textDirection w:val="btLr"/>
            <w:vAlign w:val="bottom"/>
          </w:tcPr>
          <w:p w14:paraId="2BF94CD3" w14:textId="77777777" w:rsidR="006A4AE5" w:rsidRPr="006A4AE5" w:rsidRDefault="006A4AE5" w:rsidP="001F6A38">
            <w:pPr>
              <w:spacing w:before="20" w:after="20"/>
              <w:ind w:left="113" w:right="113"/>
              <w:rPr>
                <w:rFonts w:ascii="Times New Roman" w:hAnsi="Times New Roman" w:cs="Times New Roman"/>
                <w:b/>
                <w:iCs/>
                <w:sz w:val="16"/>
                <w:szCs w:val="16"/>
              </w:rPr>
            </w:pPr>
            <w:r w:rsidRPr="006A4AE5">
              <w:rPr>
                <w:rFonts w:ascii="Times New Roman" w:hAnsi="Times New Roman" w:cs="Times New Roman"/>
                <w:b/>
                <w:iCs/>
                <w:sz w:val="16"/>
                <w:szCs w:val="16"/>
                <w:lang w:val="hy-AM"/>
              </w:rPr>
              <w:t xml:space="preserve">Q1, </w:t>
            </w:r>
            <w:r w:rsidRPr="006A4AE5">
              <w:rPr>
                <w:rFonts w:ascii="Times New Roman" w:hAnsi="Times New Roman" w:cs="Times New Roman"/>
                <w:b/>
                <w:iCs/>
                <w:sz w:val="16"/>
                <w:szCs w:val="16"/>
              </w:rPr>
              <w:t>2014</w:t>
            </w:r>
          </w:p>
        </w:tc>
        <w:tc>
          <w:tcPr>
            <w:tcW w:w="532" w:type="dxa"/>
            <w:tcBorders>
              <w:top w:val="single" w:sz="4" w:space="0" w:color="auto"/>
              <w:bottom w:val="single" w:sz="4" w:space="0" w:color="auto"/>
            </w:tcBorders>
            <w:textDirection w:val="btLr"/>
            <w:vAlign w:val="bottom"/>
          </w:tcPr>
          <w:p w14:paraId="1604F566" w14:textId="77777777" w:rsidR="006A4AE5" w:rsidRPr="006A4AE5" w:rsidRDefault="006A4AE5" w:rsidP="001F6A38">
            <w:pPr>
              <w:spacing w:before="20" w:after="20"/>
              <w:ind w:left="113" w:right="113"/>
              <w:rPr>
                <w:rFonts w:ascii="Times New Roman" w:hAnsi="Times New Roman" w:cs="Times New Roman"/>
                <w:b/>
                <w:iCs/>
                <w:sz w:val="16"/>
                <w:szCs w:val="16"/>
                <w:lang w:val="hy-AM"/>
              </w:rPr>
            </w:pPr>
            <w:r w:rsidRPr="006A4AE5">
              <w:rPr>
                <w:rFonts w:ascii="Times New Roman" w:hAnsi="Times New Roman" w:cs="Times New Roman"/>
                <w:b/>
                <w:iCs/>
                <w:sz w:val="16"/>
                <w:szCs w:val="16"/>
                <w:lang w:val="hy-AM"/>
              </w:rPr>
              <w:t>Q2</w:t>
            </w:r>
          </w:p>
        </w:tc>
        <w:tc>
          <w:tcPr>
            <w:tcW w:w="533" w:type="dxa"/>
            <w:tcBorders>
              <w:top w:val="single" w:sz="4" w:space="0" w:color="auto"/>
              <w:bottom w:val="single" w:sz="4" w:space="0" w:color="auto"/>
            </w:tcBorders>
            <w:textDirection w:val="btLr"/>
            <w:vAlign w:val="bottom"/>
          </w:tcPr>
          <w:p w14:paraId="57470D1D" w14:textId="77777777" w:rsidR="006A4AE5" w:rsidRPr="006A4AE5" w:rsidRDefault="006A4AE5" w:rsidP="001F6A38">
            <w:pPr>
              <w:spacing w:before="20" w:after="20"/>
              <w:ind w:left="113" w:right="113"/>
              <w:rPr>
                <w:rFonts w:ascii="Times New Roman" w:hAnsi="Times New Roman" w:cs="Times New Roman"/>
                <w:b/>
                <w:iCs/>
                <w:sz w:val="16"/>
                <w:szCs w:val="16"/>
                <w:lang w:val="hy-AM"/>
              </w:rPr>
            </w:pPr>
            <w:r w:rsidRPr="006A4AE5">
              <w:rPr>
                <w:rFonts w:ascii="Times New Roman" w:hAnsi="Times New Roman" w:cs="Times New Roman"/>
                <w:b/>
                <w:iCs/>
                <w:sz w:val="16"/>
                <w:szCs w:val="16"/>
                <w:lang w:val="hy-AM"/>
              </w:rPr>
              <w:t>Q3</w:t>
            </w:r>
          </w:p>
        </w:tc>
      </w:tr>
      <w:tr w:rsidR="006A4AE5" w:rsidRPr="006A4AE5" w14:paraId="17774ADD" w14:textId="77777777" w:rsidTr="001F6A38">
        <w:trPr>
          <w:trHeight w:val="20"/>
        </w:trPr>
        <w:tc>
          <w:tcPr>
            <w:tcW w:w="2562" w:type="dxa"/>
            <w:tcBorders>
              <w:top w:val="single" w:sz="4" w:space="0" w:color="auto"/>
              <w:bottom w:val="dashed" w:sz="4" w:space="0" w:color="auto"/>
            </w:tcBorders>
            <w:shd w:val="clear" w:color="auto" w:fill="auto"/>
            <w:vAlign w:val="bottom"/>
          </w:tcPr>
          <w:p w14:paraId="2F6D0DEA" w14:textId="77777777" w:rsidR="006A4AE5" w:rsidRPr="006A4AE5" w:rsidRDefault="006A4AE5" w:rsidP="001F6A38">
            <w:pPr>
              <w:spacing w:before="60" w:after="40"/>
              <w:rPr>
                <w:rFonts w:ascii="Times New Roman" w:hAnsi="Times New Roman" w:cs="Times New Roman"/>
                <w:iCs/>
                <w:sz w:val="21"/>
                <w:szCs w:val="21"/>
              </w:rPr>
            </w:pPr>
            <w:r w:rsidRPr="006A4AE5">
              <w:rPr>
                <w:rFonts w:ascii="Times New Roman" w:hAnsi="Times New Roman" w:cs="Times New Roman"/>
                <w:sz w:val="21"/>
                <w:szCs w:val="21"/>
              </w:rPr>
              <w:t>Real effective exchange rate</w:t>
            </w:r>
            <w:r w:rsidRPr="006A4AE5">
              <w:rPr>
                <w:rFonts w:ascii="Times New Roman" w:hAnsi="Times New Roman" w:cs="Times New Roman"/>
                <w:iCs/>
                <w:sz w:val="21"/>
                <w:szCs w:val="21"/>
              </w:rPr>
              <w:t xml:space="preserve">                            (+ means appreciation)</w:t>
            </w:r>
          </w:p>
        </w:tc>
        <w:tc>
          <w:tcPr>
            <w:tcW w:w="532" w:type="dxa"/>
            <w:tcBorders>
              <w:top w:val="single" w:sz="4" w:space="0" w:color="auto"/>
              <w:bottom w:val="dashed" w:sz="4" w:space="0" w:color="auto"/>
            </w:tcBorders>
            <w:vAlign w:val="bottom"/>
          </w:tcPr>
          <w:p w14:paraId="05BB9970"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-6.4</w:t>
            </w:r>
          </w:p>
        </w:tc>
        <w:tc>
          <w:tcPr>
            <w:tcW w:w="532" w:type="dxa"/>
            <w:tcBorders>
              <w:top w:val="single" w:sz="4" w:space="0" w:color="auto"/>
              <w:bottom w:val="dashed" w:sz="4" w:space="0" w:color="auto"/>
            </w:tcBorders>
            <w:vAlign w:val="bottom"/>
          </w:tcPr>
          <w:p w14:paraId="08F9FF7C"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-1.6</w:t>
            </w:r>
          </w:p>
        </w:tc>
        <w:tc>
          <w:tcPr>
            <w:tcW w:w="533" w:type="dxa"/>
            <w:tcBorders>
              <w:top w:val="single" w:sz="4" w:space="0" w:color="auto"/>
              <w:bottom w:val="dashed" w:sz="4" w:space="0" w:color="auto"/>
            </w:tcBorders>
            <w:vAlign w:val="bottom"/>
          </w:tcPr>
          <w:p w14:paraId="79CAE873"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7.9</w:t>
            </w:r>
          </w:p>
        </w:tc>
        <w:tc>
          <w:tcPr>
            <w:tcW w:w="532" w:type="dxa"/>
            <w:tcBorders>
              <w:top w:val="single" w:sz="4" w:space="0" w:color="auto"/>
              <w:bottom w:val="dashed" w:sz="4" w:space="0" w:color="auto"/>
            </w:tcBorders>
            <w:vAlign w:val="bottom"/>
          </w:tcPr>
          <w:p w14:paraId="78446AA7"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6.8</w:t>
            </w:r>
          </w:p>
        </w:tc>
        <w:tc>
          <w:tcPr>
            <w:tcW w:w="533" w:type="dxa"/>
            <w:tcBorders>
              <w:top w:val="single" w:sz="4" w:space="0" w:color="auto"/>
              <w:bottom w:val="dashed" w:sz="4" w:space="0" w:color="auto"/>
            </w:tcBorders>
            <w:vAlign w:val="bottom"/>
          </w:tcPr>
          <w:p w14:paraId="73BC71A4"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8.5</w:t>
            </w:r>
          </w:p>
        </w:tc>
        <w:tc>
          <w:tcPr>
            <w:tcW w:w="532" w:type="dxa"/>
            <w:tcBorders>
              <w:top w:val="single" w:sz="4" w:space="0" w:color="auto"/>
              <w:bottom w:val="dashed" w:sz="4" w:space="0" w:color="auto"/>
            </w:tcBorders>
            <w:vAlign w:val="bottom"/>
          </w:tcPr>
          <w:p w14:paraId="1F608CDA"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7.9</w:t>
            </w:r>
          </w:p>
        </w:tc>
        <w:tc>
          <w:tcPr>
            <w:tcW w:w="533" w:type="dxa"/>
            <w:tcBorders>
              <w:top w:val="single" w:sz="4" w:space="0" w:color="auto"/>
              <w:bottom w:val="dashed" w:sz="4" w:space="0" w:color="auto"/>
            </w:tcBorders>
            <w:vAlign w:val="bottom"/>
          </w:tcPr>
          <w:p w14:paraId="56084CCD"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3.1</w:t>
            </w:r>
          </w:p>
        </w:tc>
      </w:tr>
      <w:tr w:rsidR="006A4AE5" w:rsidRPr="006A4AE5" w14:paraId="16C505C7" w14:textId="77777777" w:rsidTr="001F6A38">
        <w:trPr>
          <w:trHeight w:val="20"/>
        </w:trPr>
        <w:tc>
          <w:tcPr>
            <w:tcW w:w="2562" w:type="dxa"/>
            <w:tcBorders>
              <w:top w:val="dashed" w:sz="4" w:space="0" w:color="auto"/>
            </w:tcBorders>
            <w:shd w:val="clear" w:color="auto" w:fill="auto"/>
            <w:vAlign w:val="bottom"/>
          </w:tcPr>
          <w:p w14:paraId="567FB376" w14:textId="77777777" w:rsidR="006A4AE5" w:rsidRPr="006A4AE5" w:rsidRDefault="006A4AE5" w:rsidP="001F6A38">
            <w:pPr>
              <w:spacing w:before="60" w:after="40"/>
              <w:rPr>
                <w:rFonts w:ascii="Times New Roman" w:hAnsi="Times New Roman" w:cs="Times New Roman"/>
                <w:iCs/>
                <w:sz w:val="21"/>
                <w:szCs w:val="21"/>
              </w:rPr>
            </w:pPr>
            <w:r w:rsidRPr="006A4AE5">
              <w:rPr>
                <w:rFonts w:ascii="Times New Roman" w:hAnsi="Times New Roman" w:cs="Times New Roman"/>
                <w:sz w:val="21"/>
                <w:szCs w:val="21"/>
              </w:rPr>
              <w:t>Average inflation in Armenia</w:t>
            </w:r>
          </w:p>
        </w:tc>
        <w:tc>
          <w:tcPr>
            <w:tcW w:w="532" w:type="dxa"/>
            <w:tcBorders>
              <w:top w:val="dashed" w:sz="4" w:space="0" w:color="auto"/>
            </w:tcBorders>
            <w:vAlign w:val="bottom"/>
          </w:tcPr>
          <w:p w14:paraId="7C149207"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3.0</w:t>
            </w:r>
          </w:p>
        </w:tc>
        <w:tc>
          <w:tcPr>
            <w:tcW w:w="532" w:type="dxa"/>
            <w:tcBorders>
              <w:top w:val="dashed" w:sz="4" w:space="0" w:color="auto"/>
            </w:tcBorders>
            <w:vAlign w:val="bottom"/>
          </w:tcPr>
          <w:p w14:paraId="3C33006B"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5.2</w:t>
            </w:r>
          </w:p>
        </w:tc>
        <w:tc>
          <w:tcPr>
            <w:tcW w:w="533" w:type="dxa"/>
            <w:tcBorders>
              <w:top w:val="dashed" w:sz="4" w:space="0" w:color="auto"/>
            </w:tcBorders>
            <w:vAlign w:val="bottom"/>
          </w:tcPr>
          <w:p w14:paraId="0BA3D5AD"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8.7</w:t>
            </w:r>
          </w:p>
        </w:tc>
        <w:tc>
          <w:tcPr>
            <w:tcW w:w="532" w:type="dxa"/>
            <w:tcBorders>
              <w:top w:val="dashed" w:sz="4" w:space="0" w:color="auto"/>
            </w:tcBorders>
            <w:vAlign w:val="bottom"/>
          </w:tcPr>
          <w:p w14:paraId="2749084B"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6.4</w:t>
            </w:r>
          </w:p>
        </w:tc>
        <w:tc>
          <w:tcPr>
            <w:tcW w:w="533" w:type="dxa"/>
            <w:tcBorders>
              <w:top w:val="dashed" w:sz="4" w:space="0" w:color="auto"/>
            </w:tcBorders>
            <w:vAlign w:val="bottom"/>
          </w:tcPr>
          <w:p w14:paraId="37CFF2CC"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4.6</w:t>
            </w:r>
          </w:p>
        </w:tc>
        <w:tc>
          <w:tcPr>
            <w:tcW w:w="532" w:type="dxa"/>
            <w:tcBorders>
              <w:top w:val="dashed" w:sz="4" w:space="0" w:color="auto"/>
            </w:tcBorders>
            <w:vAlign w:val="bottom"/>
          </w:tcPr>
          <w:p w14:paraId="3FA255E0"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3.3</w:t>
            </w:r>
          </w:p>
        </w:tc>
        <w:tc>
          <w:tcPr>
            <w:tcW w:w="533" w:type="dxa"/>
            <w:tcBorders>
              <w:top w:val="dashed" w:sz="4" w:space="0" w:color="auto"/>
            </w:tcBorders>
            <w:vAlign w:val="bottom"/>
          </w:tcPr>
          <w:p w14:paraId="51C53D14"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1.0</w:t>
            </w:r>
          </w:p>
        </w:tc>
      </w:tr>
      <w:tr w:rsidR="006A4AE5" w:rsidRPr="006A4AE5" w14:paraId="510B8727" w14:textId="77777777" w:rsidTr="001F6A38">
        <w:trPr>
          <w:trHeight w:val="20"/>
        </w:trPr>
        <w:tc>
          <w:tcPr>
            <w:tcW w:w="2562" w:type="dxa"/>
            <w:shd w:val="clear" w:color="auto" w:fill="auto"/>
            <w:vAlign w:val="bottom"/>
          </w:tcPr>
          <w:p w14:paraId="1F7B7125" w14:textId="77777777" w:rsidR="006A4AE5" w:rsidRPr="006A4AE5" w:rsidRDefault="006A4AE5" w:rsidP="001F6A38">
            <w:pPr>
              <w:spacing w:before="40" w:after="40"/>
              <w:rPr>
                <w:rFonts w:ascii="Times New Roman" w:hAnsi="Times New Roman" w:cs="Times New Roman"/>
                <w:i/>
                <w:iCs/>
                <w:sz w:val="21"/>
                <w:szCs w:val="21"/>
              </w:rPr>
            </w:pPr>
            <w:r w:rsidRPr="006A4AE5">
              <w:rPr>
                <w:rFonts w:ascii="Times New Roman" w:hAnsi="Times New Roman" w:cs="Times New Roman"/>
                <w:i/>
                <w:iCs/>
                <w:sz w:val="21"/>
                <w:szCs w:val="21"/>
              </w:rPr>
              <w:t>AMD/USD average nominal exchange rate (+ means appreciation)</w:t>
            </w:r>
          </w:p>
        </w:tc>
        <w:tc>
          <w:tcPr>
            <w:tcW w:w="532" w:type="dxa"/>
            <w:vAlign w:val="bottom"/>
          </w:tcPr>
          <w:p w14:paraId="5DB067B7"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-5.1</w:t>
            </w:r>
          </w:p>
        </w:tc>
        <w:tc>
          <w:tcPr>
            <w:tcW w:w="532" w:type="dxa"/>
            <w:vAlign w:val="bottom"/>
          </w:tcPr>
          <w:p w14:paraId="5387B810"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-3.3</w:t>
            </w:r>
          </w:p>
        </w:tc>
        <w:tc>
          <w:tcPr>
            <w:tcW w:w="533" w:type="dxa"/>
            <w:vAlign w:val="bottom"/>
          </w:tcPr>
          <w:p w14:paraId="18AD1CD3"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0.5</w:t>
            </w:r>
          </w:p>
        </w:tc>
        <w:tc>
          <w:tcPr>
            <w:tcW w:w="532" w:type="dxa"/>
            <w:vAlign w:val="bottom"/>
          </w:tcPr>
          <w:p w14:paraId="44378A6B"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0.2</w:t>
            </w:r>
          </w:p>
        </w:tc>
        <w:tc>
          <w:tcPr>
            <w:tcW w:w="533" w:type="dxa"/>
            <w:vAlign w:val="bottom"/>
          </w:tcPr>
          <w:p w14:paraId="21C5F474"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-0.4</w:t>
            </w:r>
          </w:p>
        </w:tc>
        <w:tc>
          <w:tcPr>
            <w:tcW w:w="532" w:type="dxa"/>
            <w:vAlign w:val="bottom"/>
          </w:tcPr>
          <w:p w14:paraId="423FC7DA"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0.5</w:t>
            </w:r>
          </w:p>
        </w:tc>
        <w:tc>
          <w:tcPr>
            <w:tcW w:w="533" w:type="dxa"/>
            <w:vAlign w:val="bottom"/>
          </w:tcPr>
          <w:p w14:paraId="23E2DB80"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0.0</w:t>
            </w:r>
          </w:p>
        </w:tc>
      </w:tr>
      <w:tr w:rsidR="006A4AE5" w:rsidRPr="006A4AE5" w14:paraId="36AF89B8" w14:textId="77777777" w:rsidTr="001F6A38">
        <w:trPr>
          <w:trHeight w:val="20"/>
        </w:trPr>
        <w:tc>
          <w:tcPr>
            <w:tcW w:w="2562" w:type="dxa"/>
            <w:shd w:val="clear" w:color="auto" w:fill="auto"/>
            <w:vAlign w:val="bottom"/>
          </w:tcPr>
          <w:p w14:paraId="424CD236" w14:textId="77777777" w:rsidR="006A4AE5" w:rsidRPr="006A4AE5" w:rsidRDefault="006A4AE5" w:rsidP="001F6A38">
            <w:pPr>
              <w:spacing w:before="40" w:after="40"/>
              <w:rPr>
                <w:rFonts w:ascii="Times New Roman" w:hAnsi="Times New Roman" w:cs="Times New Roman"/>
                <w:i/>
                <w:iCs/>
                <w:sz w:val="21"/>
                <w:szCs w:val="21"/>
              </w:rPr>
            </w:pPr>
            <w:r w:rsidRPr="006A4AE5">
              <w:rPr>
                <w:rFonts w:ascii="Times New Roman" w:hAnsi="Times New Roman" w:cs="Times New Roman"/>
                <w:sz w:val="21"/>
                <w:szCs w:val="21"/>
              </w:rPr>
              <w:t>Average weighted inflation in trade partner countries</w:t>
            </w:r>
          </w:p>
        </w:tc>
        <w:tc>
          <w:tcPr>
            <w:tcW w:w="532" w:type="dxa"/>
            <w:vAlign w:val="bottom"/>
          </w:tcPr>
          <w:p w14:paraId="182942CD"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4.5</w:t>
            </w:r>
          </w:p>
        </w:tc>
        <w:tc>
          <w:tcPr>
            <w:tcW w:w="532" w:type="dxa"/>
            <w:vAlign w:val="bottom"/>
          </w:tcPr>
          <w:p w14:paraId="01F47C82"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4.4</w:t>
            </w:r>
          </w:p>
        </w:tc>
        <w:tc>
          <w:tcPr>
            <w:tcW w:w="533" w:type="dxa"/>
            <w:vAlign w:val="bottom"/>
          </w:tcPr>
          <w:p w14:paraId="1B592606"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4.3</w:t>
            </w:r>
          </w:p>
        </w:tc>
        <w:tc>
          <w:tcPr>
            <w:tcW w:w="532" w:type="dxa"/>
            <w:vAlign w:val="bottom"/>
          </w:tcPr>
          <w:p w14:paraId="461480C2"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4.0</w:t>
            </w:r>
          </w:p>
        </w:tc>
        <w:tc>
          <w:tcPr>
            <w:tcW w:w="533" w:type="dxa"/>
            <w:vAlign w:val="bottom"/>
          </w:tcPr>
          <w:p w14:paraId="1B9C7562"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3.7</w:t>
            </w:r>
          </w:p>
        </w:tc>
        <w:tc>
          <w:tcPr>
            <w:tcW w:w="532" w:type="dxa"/>
            <w:vAlign w:val="bottom"/>
          </w:tcPr>
          <w:p w14:paraId="5C500173"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4.4</w:t>
            </w:r>
          </w:p>
        </w:tc>
        <w:tc>
          <w:tcPr>
            <w:tcW w:w="533" w:type="dxa"/>
            <w:vAlign w:val="bottom"/>
          </w:tcPr>
          <w:p w14:paraId="0454723F"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4.6</w:t>
            </w:r>
          </w:p>
        </w:tc>
      </w:tr>
      <w:tr w:rsidR="006A4AE5" w:rsidRPr="006A4AE5" w14:paraId="11CEB22F" w14:textId="77777777" w:rsidTr="001F6A38">
        <w:trPr>
          <w:trHeight w:val="20"/>
        </w:trPr>
        <w:tc>
          <w:tcPr>
            <w:tcW w:w="2562" w:type="dxa"/>
            <w:shd w:val="clear" w:color="auto" w:fill="auto"/>
            <w:vAlign w:val="bottom"/>
          </w:tcPr>
          <w:p w14:paraId="07431F7B" w14:textId="77777777" w:rsidR="006A4AE5" w:rsidRPr="006A4AE5" w:rsidRDefault="006A4AE5" w:rsidP="001F6A38">
            <w:pPr>
              <w:spacing w:before="40" w:after="40"/>
              <w:rPr>
                <w:rFonts w:ascii="Times New Roman" w:hAnsi="Times New Roman" w:cs="Times New Roman"/>
                <w:i/>
                <w:iCs/>
                <w:sz w:val="21"/>
                <w:szCs w:val="21"/>
              </w:rPr>
            </w:pPr>
            <w:r w:rsidRPr="006A4AE5">
              <w:rPr>
                <w:rFonts w:ascii="Times New Roman" w:hAnsi="Times New Roman" w:cs="Times New Roman"/>
                <w:sz w:val="21"/>
                <w:szCs w:val="21"/>
              </w:rPr>
              <w:t xml:space="preserve">Partner countries’ average weighted nominal exchange rate </w:t>
            </w:r>
            <w:r w:rsidRPr="006A4AE5">
              <w:rPr>
                <w:rFonts w:ascii="Times New Roman" w:hAnsi="Times New Roman" w:cs="Times New Roman"/>
                <w:iCs/>
                <w:sz w:val="21"/>
                <w:szCs w:val="21"/>
              </w:rPr>
              <w:t>(+ means appreciation versus dollar)</w:t>
            </w:r>
          </w:p>
        </w:tc>
        <w:tc>
          <w:tcPr>
            <w:tcW w:w="532" w:type="dxa"/>
            <w:vAlign w:val="bottom"/>
          </w:tcPr>
          <w:p w14:paraId="351B57AC"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-6.4</w:t>
            </w:r>
          </w:p>
        </w:tc>
        <w:tc>
          <w:tcPr>
            <w:tcW w:w="532" w:type="dxa"/>
            <w:vAlign w:val="bottom"/>
          </w:tcPr>
          <w:p w14:paraId="74FF3ED8"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-1.6</w:t>
            </w:r>
          </w:p>
        </w:tc>
        <w:tc>
          <w:tcPr>
            <w:tcW w:w="533" w:type="dxa"/>
            <w:vAlign w:val="bottom"/>
          </w:tcPr>
          <w:p w14:paraId="7F1ACABE"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7.9</w:t>
            </w:r>
          </w:p>
        </w:tc>
        <w:tc>
          <w:tcPr>
            <w:tcW w:w="532" w:type="dxa"/>
            <w:vAlign w:val="bottom"/>
          </w:tcPr>
          <w:p w14:paraId="41E0D8FA"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6.8</w:t>
            </w:r>
          </w:p>
        </w:tc>
        <w:tc>
          <w:tcPr>
            <w:tcW w:w="533" w:type="dxa"/>
            <w:vAlign w:val="bottom"/>
          </w:tcPr>
          <w:p w14:paraId="69F0D5B2"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8.5</w:t>
            </w:r>
          </w:p>
        </w:tc>
        <w:tc>
          <w:tcPr>
            <w:tcW w:w="532" w:type="dxa"/>
            <w:vAlign w:val="bottom"/>
          </w:tcPr>
          <w:p w14:paraId="5742F690"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7.9</w:t>
            </w:r>
          </w:p>
        </w:tc>
        <w:tc>
          <w:tcPr>
            <w:tcW w:w="533" w:type="dxa"/>
            <w:vAlign w:val="bottom"/>
          </w:tcPr>
          <w:p w14:paraId="3EF9D78A" w14:textId="77777777" w:rsidR="006A4AE5" w:rsidRPr="006A4AE5" w:rsidRDefault="006A4AE5" w:rsidP="001F6A38">
            <w:pPr>
              <w:spacing w:before="60" w:after="60"/>
              <w:jc w:val="right"/>
              <w:rPr>
                <w:rFonts w:ascii="Times New Roman" w:hAnsi="Times New Roman" w:cs="Times New Roman"/>
                <w:iCs/>
                <w:sz w:val="16"/>
                <w:szCs w:val="16"/>
              </w:rPr>
            </w:pPr>
            <w:r w:rsidRPr="006A4AE5">
              <w:rPr>
                <w:rFonts w:ascii="Times New Roman" w:hAnsi="Times New Roman" w:cs="Times New Roman"/>
                <w:iCs/>
                <w:sz w:val="16"/>
                <w:szCs w:val="16"/>
              </w:rPr>
              <w:t>3.1</w:t>
            </w:r>
          </w:p>
        </w:tc>
      </w:tr>
    </w:tbl>
    <w:p w14:paraId="419681E0" w14:textId="77777777" w:rsidR="006A4AE5" w:rsidRPr="006A4AE5" w:rsidRDefault="006A4AE5" w:rsidP="006A4AE5">
      <w:pPr>
        <w:spacing w:line="360" w:lineRule="auto"/>
        <w:jc w:val="both"/>
        <w:rPr>
          <w:rFonts w:ascii="Times New Roman" w:hAnsi="Times New Roman" w:cs="Times New Roman"/>
          <w:sz w:val="21"/>
          <w:szCs w:val="21"/>
        </w:rPr>
      </w:pPr>
      <w:r w:rsidRPr="006A4AE5">
        <w:rPr>
          <w:rFonts w:ascii="Times New Roman" w:hAnsi="Times New Roman" w:cs="Times New Roman"/>
          <w:i/>
          <w:sz w:val="21"/>
          <w:szCs w:val="21"/>
        </w:rPr>
        <w:t>Real exchange rate appreciation = Inflation in Armenia + Nominal exchange rate appreciation – Partner countries’ average weighted inflation – Partner countries’ average weighted nominal exchange rate appreciation</w:t>
      </w:r>
    </w:p>
    <w:p w14:paraId="46014F2F" w14:textId="7C048A9A" w:rsidR="000915C1" w:rsidRDefault="00166238"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As a result of the aforementioned developments, </w:t>
      </w:r>
      <w:r w:rsidR="000915C1">
        <w:rPr>
          <w:rFonts w:ascii="Times New Roman" w:hAnsi="Times New Roman" w:cs="Times New Roman"/>
          <w:sz w:val="21"/>
          <w:szCs w:val="21"/>
        </w:rPr>
        <w:t xml:space="preserve">during the quarter </w:t>
      </w:r>
      <w:r w:rsidR="00A9653E" w:rsidRPr="00EC356F">
        <w:rPr>
          <w:rFonts w:ascii="Times New Roman" w:hAnsi="Times New Roman" w:cs="Times New Roman"/>
          <w:sz w:val="21"/>
          <w:szCs w:val="21"/>
        </w:rPr>
        <w:t xml:space="preserve">the  </w:t>
      </w:r>
      <w:r>
        <w:rPr>
          <w:rFonts w:ascii="Times New Roman" w:hAnsi="Times New Roman" w:cs="Times New Roman"/>
          <w:sz w:val="21"/>
          <w:szCs w:val="21"/>
        </w:rPr>
        <w:t>nominal</w:t>
      </w:r>
      <w:r w:rsidR="00A9653E" w:rsidRPr="00EC356F">
        <w:rPr>
          <w:rFonts w:ascii="Times New Roman" w:hAnsi="Times New Roman" w:cs="Times New Roman"/>
          <w:sz w:val="21"/>
          <w:szCs w:val="21"/>
        </w:rPr>
        <w:t xml:space="preserve"> </w:t>
      </w:r>
      <w:r w:rsidR="00A053E4" w:rsidRPr="00EC356F">
        <w:rPr>
          <w:rFonts w:ascii="Times New Roman" w:hAnsi="Times New Roman" w:cs="Times New Roman"/>
          <w:sz w:val="21"/>
          <w:szCs w:val="21"/>
        </w:rPr>
        <w:t xml:space="preserve">effective </w:t>
      </w:r>
      <w:r w:rsidR="00A9653E" w:rsidRPr="00EC356F">
        <w:rPr>
          <w:rFonts w:ascii="Times New Roman" w:hAnsi="Times New Roman" w:cs="Times New Roman"/>
          <w:sz w:val="21"/>
          <w:szCs w:val="21"/>
        </w:rPr>
        <w:t>exchange rate of the Armenian dram</w:t>
      </w:r>
      <w:r>
        <w:rPr>
          <w:rFonts w:ascii="Times New Roman" w:hAnsi="Times New Roman" w:cs="Times New Roman"/>
          <w:sz w:val="21"/>
          <w:szCs w:val="21"/>
        </w:rPr>
        <w:t xml:space="preserve"> appreciated by 4.0% q/q</w:t>
      </w:r>
      <w:r w:rsidRPr="00166238">
        <w:rPr>
          <w:rFonts w:ascii="Times New Roman" w:hAnsi="Times New Roman" w:cs="Times New Roman"/>
          <w:sz w:val="21"/>
          <w:szCs w:val="21"/>
        </w:rPr>
        <w:t xml:space="preserve"> </w:t>
      </w:r>
      <w:r>
        <w:rPr>
          <w:rFonts w:ascii="Times New Roman" w:hAnsi="Times New Roman" w:cs="Times New Roman"/>
          <w:sz w:val="21"/>
          <w:szCs w:val="21"/>
        </w:rPr>
        <w:t xml:space="preserve">and </w:t>
      </w:r>
      <w:r w:rsidRPr="00EC356F">
        <w:rPr>
          <w:rFonts w:ascii="Times New Roman" w:hAnsi="Times New Roman" w:cs="Times New Roman"/>
          <w:sz w:val="21"/>
          <w:szCs w:val="21"/>
        </w:rPr>
        <w:t>the real effective exchange rate</w:t>
      </w:r>
      <w:r w:rsidR="00BB7372">
        <w:rPr>
          <w:rStyle w:val="FootnoteReference"/>
          <w:rFonts w:ascii="Times New Roman" w:hAnsi="Times New Roman" w:cs="Times New Roman"/>
          <w:sz w:val="21"/>
          <w:szCs w:val="21"/>
        </w:rPr>
        <w:footnoteReference w:customMarkFollows="1" w:id="27"/>
        <w:t>27</w:t>
      </w:r>
      <w:r>
        <w:rPr>
          <w:rFonts w:ascii="Times New Roman" w:hAnsi="Times New Roman" w:cs="Times New Roman"/>
          <w:sz w:val="21"/>
          <w:szCs w:val="21"/>
        </w:rPr>
        <w:t>, by 1.3% q/q.</w:t>
      </w:r>
      <w:r w:rsidR="000915C1">
        <w:rPr>
          <w:rFonts w:ascii="Times New Roman" w:hAnsi="Times New Roman" w:cs="Times New Roman"/>
          <w:sz w:val="21"/>
          <w:szCs w:val="21"/>
        </w:rPr>
        <w:t xml:space="preserve"> It should be mentioned that the real exchange rate appreciation slowed down by 3.1% compared to the 3rd quarter of the previous year, which was largely attributable to the low 12-month inflation rate in Armenia. </w:t>
      </w:r>
    </w:p>
    <w:p w14:paraId="3B478BA0" w14:textId="77777777" w:rsidR="000915C1" w:rsidRPr="001376D0" w:rsidRDefault="000915C1" w:rsidP="00A9653E">
      <w:pPr>
        <w:spacing w:line="360" w:lineRule="auto"/>
        <w:jc w:val="both"/>
        <w:rPr>
          <w:rFonts w:ascii="Times New Roman" w:hAnsi="Times New Roman" w:cs="Times New Roman"/>
          <w:b/>
          <w:sz w:val="21"/>
          <w:szCs w:val="21"/>
        </w:rPr>
      </w:pPr>
      <w:r w:rsidRPr="001376D0">
        <w:rPr>
          <w:rFonts w:ascii="Times New Roman" w:hAnsi="Times New Roman" w:cs="Times New Roman"/>
          <w:b/>
          <w:sz w:val="21"/>
          <w:szCs w:val="21"/>
        </w:rPr>
        <w:t>Box 5</w:t>
      </w:r>
    </w:p>
    <w:p w14:paraId="42C452E4" w14:textId="77777777" w:rsidR="00A9653E" w:rsidRPr="001376D0" w:rsidRDefault="00A9653E" w:rsidP="00A9653E">
      <w:pPr>
        <w:spacing w:line="360" w:lineRule="auto"/>
        <w:jc w:val="both"/>
        <w:rPr>
          <w:rFonts w:ascii="Times New Roman" w:hAnsi="Times New Roman" w:cs="Times New Roman"/>
          <w:b/>
          <w:sz w:val="21"/>
          <w:szCs w:val="21"/>
        </w:rPr>
      </w:pPr>
      <w:r w:rsidRPr="001376D0">
        <w:rPr>
          <w:rFonts w:ascii="Times New Roman" w:hAnsi="Times New Roman" w:cs="Times New Roman"/>
          <w:b/>
          <w:sz w:val="21"/>
          <w:szCs w:val="21"/>
        </w:rPr>
        <w:t>Foreign exchange market</w:t>
      </w:r>
    </w:p>
    <w:p w14:paraId="00ACBF89" w14:textId="77777777" w:rsidR="00A9653E" w:rsidRPr="00E021BB" w:rsidRDefault="00A9653E" w:rsidP="00A9653E">
      <w:pPr>
        <w:spacing w:line="360" w:lineRule="auto"/>
        <w:jc w:val="both"/>
        <w:rPr>
          <w:rFonts w:ascii="Times New Roman" w:hAnsi="Times New Roman" w:cs="Times New Roman"/>
          <w:i/>
          <w:sz w:val="21"/>
          <w:szCs w:val="21"/>
        </w:rPr>
      </w:pPr>
      <w:r w:rsidRPr="00E021BB">
        <w:rPr>
          <w:rFonts w:ascii="Times New Roman" w:hAnsi="Times New Roman" w:cs="Times New Roman"/>
          <w:i/>
          <w:sz w:val="21"/>
          <w:szCs w:val="21"/>
        </w:rPr>
        <w:t xml:space="preserve">At the end of the </w:t>
      </w:r>
      <w:r w:rsidR="00885053" w:rsidRPr="00E021BB">
        <w:rPr>
          <w:rFonts w:ascii="Times New Roman" w:hAnsi="Times New Roman" w:cs="Times New Roman"/>
          <w:i/>
          <w:sz w:val="21"/>
          <w:szCs w:val="21"/>
          <w:lang w:val="hy-AM"/>
        </w:rPr>
        <w:t>3r</w:t>
      </w:r>
      <w:r w:rsidR="001376D0" w:rsidRPr="00E021BB">
        <w:rPr>
          <w:rFonts w:ascii="Times New Roman" w:hAnsi="Times New Roman" w:cs="Times New Roman"/>
          <w:i/>
          <w:sz w:val="21"/>
          <w:szCs w:val="21"/>
        </w:rPr>
        <w:t>d quarter of 2014,</w:t>
      </w:r>
      <w:r w:rsidR="001376D0" w:rsidRPr="00E021BB">
        <w:rPr>
          <w:rFonts w:ascii="Times New Roman" w:hAnsi="Times New Roman" w:cs="Times New Roman"/>
          <w:i/>
          <w:sz w:val="21"/>
          <w:szCs w:val="21"/>
          <w:lang w:val="hy-AM"/>
        </w:rPr>
        <w:t xml:space="preserve"> the</w:t>
      </w:r>
      <w:r w:rsidRPr="00E021BB">
        <w:rPr>
          <w:rFonts w:ascii="Times New Roman" w:hAnsi="Times New Roman" w:cs="Times New Roman"/>
          <w:i/>
          <w:sz w:val="21"/>
          <w:szCs w:val="21"/>
        </w:rPr>
        <w:t xml:space="preserve"> average market exchange rate of </w:t>
      </w:r>
      <w:r w:rsidR="001376D0" w:rsidRPr="00E021BB">
        <w:rPr>
          <w:rFonts w:ascii="Times New Roman" w:hAnsi="Times New Roman" w:cs="Times New Roman"/>
          <w:i/>
          <w:sz w:val="21"/>
          <w:szCs w:val="21"/>
          <w:lang w:val="hy-AM"/>
        </w:rPr>
        <w:t xml:space="preserve">AMD/USD was </w:t>
      </w:r>
      <w:r w:rsidR="001376D0" w:rsidRPr="00E021BB">
        <w:rPr>
          <w:rFonts w:ascii="Times New Roman" w:hAnsi="Times New Roman" w:cs="Times New Roman"/>
          <w:i/>
          <w:sz w:val="21"/>
          <w:szCs w:val="21"/>
        </w:rPr>
        <w:t>407.28</w:t>
      </w:r>
      <w:r w:rsidR="001376D0" w:rsidRPr="00E021BB">
        <w:rPr>
          <w:rFonts w:ascii="Times New Roman" w:hAnsi="Times New Roman" w:cs="Times New Roman"/>
          <w:i/>
          <w:sz w:val="21"/>
          <w:szCs w:val="21"/>
          <w:lang w:val="hy-AM"/>
        </w:rPr>
        <w:t xml:space="preserve">. During the quarter, the dram's deprectaion was a mere 0,08%. </w:t>
      </w:r>
      <w:r w:rsidRPr="00E021BB">
        <w:rPr>
          <w:rFonts w:ascii="Times New Roman" w:hAnsi="Times New Roman" w:cs="Times New Roman"/>
          <w:i/>
          <w:sz w:val="21"/>
          <w:szCs w:val="21"/>
        </w:rPr>
        <w:t xml:space="preserve">has appreciated by 1.48% to drams for one dollar. </w:t>
      </w:r>
    </w:p>
    <w:p w14:paraId="7E3CA1EA" w14:textId="77777777" w:rsidR="00A9653E" w:rsidRPr="00EC356F" w:rsidRDefault="00A9653E" w:rsidP="00A9653E">
      <w:pPr>
        <w:spacing w:line="360" w:lineRule="auto"/>
        <w:jc w:val="both"/>
        <w:rPr>
          <w:rFonts w:ascii="Times New Roman" w:hAnsi="Times New Roman" w:cs="Times New Roman"/>
          <w:sz w:val="21"/>
          <w:szCs w:val="21"/>
          <w:highlight w:val="cyan"/>
        </w:rPr>
      </w:pPr>
      <w:r w:rsidRPr="00EC356F">
        <w:rPr>
          <w:rFonts w:ascii="Times New Roman" w:hAnsi="Times New Roman" w:cs="Times New Roman"/>
          <w:sz w:val="21"/>
          <w:szCs w:val="21"/>
        </w:rPr>
        <w:t>The table below shows the dram’s behavior versus the U.S. dollar, Euro and Russian ruble:</w:t>
      </w:r>
    </w:p>
    <w:p w14:paraId="771C8238" w14:textId="77777777" w:rsidR="00A9653E" w:rsidRPr="00EC356F" w:rsidRDefault="00A9653E" w:rsidP="00A9653E">
      <w:pPr>
        <w:spacing w:line="360" w:lineRule="auto"/>
        <w:jc w:val="both"/>
        <w:rPr>
          <w:rFonts w:ascii="Times New Roman" w:hAnsi="Times New Roman" w:cs="Times New Roman"/>
          <w:sz w:val="21"/>
          <w:szCs w:val="21"/>
        </w:rPr>
      </w:pPr>
      <w:r w:rsidRPr="000553AD">
        <w:rPr>
          <w:rFonts w:ascii="Times New Roman" w:hAnsi="Times New Roman" w:cs="Times New Roman"/>
          <w:sz w:val="21"/>
          <w:szCs w:val="21"/>
          <w:highlight w:val="yellow"/>
        </w:rPr>
        <w:t>Table</w:t>
      </w:r>
    </w:p>
    <w:p w14:paraId="1BBC9F99" w14:textId="77777777" w:rsidR="00A9653E" w:rsidRPr="0047160F" w:rsidRDefault="00A9653E" w:rsidP="00A9653E">
      <w:pPr>
        <w:spacing w:line="360" w:lineRule="auto"/>
        <w:jc w:val="both"/>
        <w:rPr>
          <w:rFonts w:ascii="Times New Roman" w:hAnsi="Times New Roman" w:cs="Times New Roman"/>
          <w:i/>
          <w:iCs/>
          <w:sz w:val="21"/>
          <w:szCs w:val="21"/>
        </w:rPr>
      </w:pPr>
      <w:r w:rsidRPr="0047160F">
        <w:rPr>
          <w:rFonts w:ascii="Times New Roman" w:hAnsi="Times New Roman" w:cs="Times New Roman"/>
          <w:i/>
          <w:iCs/>
          <w:sz w:val="21"/>
          <w:szCs w:val="21"/>
        </w:rPr>
        <w:lastRenderedPageBreak/>
        <w:t xml:space="preserve">The aggregate volume of U.S. dollar/Armenian dram transactions in the foreign exchange market during the </w:t>
      </w:r>
      <w:r w:rsidR="001376D0" w:rsidRPr="0047160F">
        <w:rPr>
          <w:rFonts w:ascii="Times New Roman" w:hAnsi="Times New Roman" w:cs="Times New Roman"/>
          <w:i/>
          <w:iCs/>
          <w:sz w:val="21"/>
          <w:szCs w:val="21"/>
        </w:rPr>
        <w:t>3r</w:t>
      </w:r>
      <w:r w:rsidRPr="0047160F">
        <w:rPr>
          <w:rFonts w:ascii="Times New Roman" w:hAnsi="Times New Roman" w:cs="Times New Roman"/>
          <w:i/>
          <w:iCs/>
          <w:sz w:val="21"/>
          <w:szCs w:val="21"/>
        </w:rPr>
        <w:t>d quarter amounted to USD 2.</w:t>
      </w:r>
      <w:r w:rsidR="0020288D" w:rsidRPr="0047160F">
        <w:rPr>
          <w:rFonts w:ascii="Times New Roman" w:hAnsi="Times New Roman" w:cs="Times New Roman"/>
          <w:i/>
          <w:iCs/>
          <w:sz w:val="21"/>
          <w:szCs w:val="21"/>
        </w:rPr>
        <w:t>9</w:t>
      </w:r>
      <w:r w:rsidRPr="0047160F">
        <w:rPr>
          <w:rFonts w:ascii="Times New Roman" w:hAnsi="Times New Roman" w:cs="Times New Roman"/>
          <w:i/>
          <w:iCs/>
          <w:sz w:val="21"/>
          <w:szCs w:val="21"/>
        </w:rPr>
        <w:t xml:space="preserve">5 billion, which represents a </w:t>
      </w:r>
      <w:r w:rsidR="0020288D" w:rsidRPr="0047160F">
        <w:rPr>
          <w:rFonts w:ascii="Times New Roman" w:hAnsi="Times New Roman" w:cs="Times New Roman"/>
          <w:i/>
          <w:iCs/>
          <w:sz w:val="21"/>
          <w:szCs w:val="21"/>
        </w:rPr>
        <w:t>3</w:t>
      </w:r>
      <w:r w:rsidRPr="0047160F">
        <w:rPr>
          <w:rFonts w:ascii="Times New Roman" w:hAnsi="Times New Roman" w:cs="Times New Roman"/>
          <w:i/>
          <w:iCs/>
          <w:sz w:val="21"/>
          <w:szCs w:val="21"/>
        </w:rPr>
        <w:t>.</w:t>
      </w:r>
      <w:r w:rsidR="0020288D" w:rsidRPr="0047160F">
        <w:rPr>
          <w:rFonts w:ascii="Times New Roman" w:hAnsi="Times New Roman" w:cs="Times New Roman"/>
          <w:i/>
          <w:iCs/>
          <w:sz w:val="21"/>
          <w:szCs w:val="21"/>
        </w:rPr>
        <w:t>5</w:t>
      </w:r>
      <w:r w:rsidRPr="0047160F">
        <w:rPr>
          <w:rFonts w:ascii="Times New Roman" w:hAnsi="Times New Roman" w:cs="Times New Roman"/>
          <w:i/>
          <w:iCs/>
          <w:sz w:val="21"/>
          <w:szCs w:val="21"/>
        </w:rPr>
        <w:t>% increase in relation to the figure reported in previous reference period (AMD 2.</w:t>
      </w:r>
      <w:r w:rsidR="0020288D" w:rsidRPr="0047160F">
        <w:rPr>
          <w:rFonts w:ascii="Times New Roman" w:hAnsi="Times New Roman" w:cs="Times New Roman"/>
          <w:i/>
          <w:iCs/>
          <w:sz w:val="21"/>
          <w:szCs w:val="21"/>
        </w:rPr>
        <w:t>5</w:t>
      </w:r>
      <w:r w:rsidRPr="0047160F">
        <w:rPr>
          <w:rFonts w:ascii="Times New Roman" w:hAnsi="Times New Roman" w:cs="Times New Roman"/>
          <w:i/>
          <w:iCs/>
          <w:sz w:val="21"/>
          <w:szCs w:val="21"/>
        </w:rPr>
        <w:t xml:space="preserve"> billion). </w:t>
      </w:r>
    </w:p>
    <w:p w14:paraId="2E4370CC" w14:textId="77777777" w:rsidR="00A9653E" w:rsidRPr="0047160F" w:rsidRDefault="00A9653E" w:rsidP="00A9653E">
      <w:pPr>
        <w:spacing w:line="360" w:lineRule="auto"/>
        <w:jc w:val="both"/>
        <w:rPr>
          <w:rFonts w:ascii="Times New Roman" w:hAnsi="Times New Roman" w:cs="Times New Roman"/>
          <w:i/>
          <w:iCs/>
          <w:sz w:val="21"/>
          <w:szCs w:val="21"/>
        </w:rPr>
      </w:pPr>
      <w:r w:rsidRPr="0047160F">
        <w:rPr>
          <w:rFonts w:ascii="Times New Roman" w:hAnsi="Times New Roman" w:cs="Times New Roman"/>
          <w:i/>
          <w:iCs/>
          <w:sz w:val="21"/>
          <w:szCs w:val="21"/>
        </w:rPr>
        <w:t>The aggregate volume of Euro/Armenian dram exchange transactions reached EUR 2</w:t>
      </w:r>
      <w:r w:rsidR="0020288D" w:rsidRPr="0047160F">
        <w:rPr>
          <w:rFonts w:ascii="Times New Roman" w:hAnsi="Times New Roman" w:cs="Times New Roman"/>
          <w:i/>
          <w:iCs/>
          <w:sz w:val="21"/>
          <w:szCs w:val="21"/>
        </w:rPr>
        <w:t>76</w:t>
      </w:r>
      <w:r w:rsidRPr="0047160F">
        <w:rPr>
          <w:rFonts w:ascii="Times New Roman" w:hAnsi="Times New Roman" w:cs="Times New Roman"/>
          <w:i/>
          <w:iCs/>
          <w:sz w:val="21"/>
          <w:szCs w:val="21"/>
        </w:rPr>
        <w:t>.</w:t>
      </w:r>
      <w:r w:rsidR="0020288D" w:rsidRPr="0047160F">
        <w:rPr>
          <w:rFonts w:ascii="Times New Roman" w:hAnsi="Times New Roman" w:cs="Times New Roman"/>
          <w:i/>
          <w:iCs/>
          <w:sz w:val="21"/>
          <w:szCs w:val="21"/>
        </w:rPr>
        <w:t>2</w:t>
      </w:r>
      <w:r w:rsidRPr="0047160F">
        <w:rPr>
          <w:rFonts w:ascii="Times New Roman" w:hAnsi="Times New Roman" w:cs="Times New Roman"/>
          <w:i/>
          <w:iCs/>
          <w:sz w:val="21"/>
          <w:szCs w:val="21"/>
        </w:rPr>
        <w:t xml:space="preserve">8 million against EUR </w:t>
      </w:r>
      <w:r w:rsidR="0020288D" w:rsidRPr="0047160F">
        <w:rPr>
          <w:rFonts w:ascii="Times New Roman" w:hAnsi="Times New Roman" w:cs="Times New Roman"/>
          <w:i/>
          <w:iCs/>
          <w:sz w:val="21"/>
          <w:szCs w:val="21"/>
        </w:rPr>
        <w:t>223</w:t>
      </w:r>
      <w:r w:rsidRPr="0047160F">
        <w:rPr>
          <w:rFonts w:ascii="Times New Roman" w:hAnsi="Times New Roman" w:cs="Times New Roman"/>
          <w:i/>
          <w:iCs/>
          <w:sz w:val="21"/>
          <w:szCs w:val="21"/>
        </w:rPr>
        <w:t>.</w:t>
      </w:r>
      <w:r w:rsidR="0020288D" w:rsidRPr="0047160F">
        <w:rPr>
          <w:rFonts w:ascii="Times New Roman" w:hAnsi="Times New Roman" w:cs="Times New Roman"/>
          <w:i/>
          <w:iCs/>
          <w:sz w:val="21"/>
          <w:szCs w:val="21"/>
        </w:rPr>
        <w:t>98</w:t>
      </w:r>
      <w:r w:rsidRPr="0047160F">
        <w:rPr>
          <w:rFonts w:ascii="Times New Roman" w:hAnsi="Times New Roman" w:cs="Times New Roman"/>
          <w:i/>
          <w:iCs/>
          <w:sz w:val="21"/>
          <w:szCs w:val="21"/>
        </w:rPr>
        <w:t xml:space="preserve"> million recorded in the previous quarter. </w:t>
      </w:r>
    </w:p>
    <w:p w14:paraId="6C4B0F22" w14:textId="77777777" w:rsidR="00A9653E" w:rsidRPr="0047160F" w:rsidRDefault="00F8680C" w:rsidP="00A9653E">
      <w:pPr>
        <w:spacing w:line="360" w:lineRule="auto"/>
        <w:jc w:val="both"/>
        <w:rPr>
          <w:rFonts w:ascii="Times New Roman" w:hAnsi="Times New Roman" w:cs="Times New Roman"/>
          <w:i/>
          <w:sz w:val="21"/>
          <w:szCs w:val="21"/>
        </w:rPr>
      </w:pPr>
      <w:r w:rsidRPr="0047160F">
        <w:rPr>
          <w:rFonts w:ascii="Times New Roman" w:hAnsi="Times New Roman" w:cs="Times New Roman"/>
          <w:i/>
          <w:sz w:val="21"/>
          <w:szCs w:val="21"/>
        </w:rPr>
        <w:t xml:space="preserve">During </w:t>
      </w:r>
      <w:r w:rsidR="00A9653E" w:rsidRPr="0047160F">
        <w:rPr>
          <w:rFonts w:ascii="Times New Roman" w:hAnsi="Times New Roman" w:cs="Times New Roman"/>
          <w:i/>
          <w:sz w:val="21"/>
          <w:szCs w:val="21"/>
        </w:rPr>
        <w:t xml:space="preserve">the </w:t>
      </w:r>
      <w:r w:rsidRPr="0047160F">
        <w:rPr>
          <w:rFonts w:ascii="Times New Roman" w:hAnsi="Times New Roman" w:cs="Times New Roman"/>
          <w:i/>
          <w:sz w:val="21"/>
          <w:szCs w:val="21"/>
        </w:rPr>
        <w:t>3r</w:t>
      </w:r>
      <w:r w:rsidR="00A9653E" w:rsidRPr="0047160F">
        <w:rPr>
          <w:rFonts w:ascii="Times New Roman" w:hAnsi="Times New Roman" w:cs="Times New Roman"/>
          <w:i/>
          <w:sz w:val="21"/>
          <w:szCs w:val="21"/>
        </w:rPr>
        <w:t xml:space="preserve">d quarter, the Central Bank bought </w:t>
      </w:r>
      <w:r w:rsidRPr="0047160F">
        <w:rPr>
          <w:rFonts w:ascii="Times New Roman" w:hAnsi="Times New Roman" w:cs="Times New Roman"/>
          <w:i/>
          <w:sz w:val="21"/>
          <w:szCs w:val="21"/>
        </w:rPr>
        <w:t xml:space="preserve">U.S. dollars in the currency market for a </w:t>
      </w:r>
      <w:r w:rsidR="00A9653E" w:rsidRPr="0047160F">
        <w:rPr>
          <w:rFonts w:ascii="Times New Roman" w:hAnsi="Times New Roman" w:cs="Times New Roman"/>
          <w:i/>
          <w:sz w:val="21"/>
          <w:szCs w:val="21"/>
        </w:rPr>
        <w:t xml:space="preserve">total </w:t>
      </w:r>
      <w:r w:rsidRPr="0047160F">
        <w:rPr>
          <w:rFonts w:ascii="Times New Roman" w:hAnsi="Times New Roman" w:cs="Times New Roman"/>
          <w:i/>
          <w:sz w:val="21"/>
          <w:szCs w:val="21"/>
        </w:rPr>
        <w:t xml:space="preserve">of </w:t>
      </w:r>
      <w:r w:rsidR="00A9653E" w:rsidRPr="0047160F">
        <w:rPr>
          <w:rFonts w:ascii="Times New Roman" w:hAnsi="Times New Roman" w:cs="Times New Roman"/>
          <w:i/>
          <w:sz w:val="21"/>
          <w:szCs w:val="21"/>
        </w:rPr>
        <w:t>USD 1</w:t>
      </w:r>
      <w:r w:rsidRPr="0047160F">
        <w:rPr>
          <w:rFonts w:ascii="Times New Roman" w:hAnsi="Times New Roman" w:cs="Times New Roman"/>
          <w:i/>
          <w:sz w:val="21"/>
          <w:szCs w:val="21"/>
        </w:rPr>
        <w:t>8</w:t>
      </w:r>
      <w:r w:rsidR="00A9653E" w:rsidRPr="0047160F">
        <w:rPr>
          <w:rFonts w:ascii="Times New Roman" w:hAnsi="Times New Roman" w:cs="Times New Roman"/>
          <w:i/>
          <w:sz w:val="21"/>
          <w:szCs w:val="21"/>
        </w:rPr>
        <w:t>.</w:t>
      </w:r>
      <w:r w:rsidRPr="0047160F">
        <w:rPr>
          <w:rFonts w:ascii="Times New Roman" w:hAnsi="Times New Roman" w:cs="Times New Roman"/>
          <w:i/>
          <w:sz w:val="21"/>
          <w:szCs w:val="21"/>
        </w:rPr>
        <w:t>2</w:t>
      </w:r>
      <w:r w:rsidR="00A9653E" w:rsidRPr="0047160F">
        <w:rPr>
          <w:rFonts w:ascii="Times New Roman" w:hAnsi="Times New Roman" w:cs="Times New Roman"/>
          <w:i/>
          <w:sz w:val="21"/>
          <w:szCs w:val="21"/>
        </w:rPr>
        <w:t xml:space="preserve">5 million.  </w:t>
      </w:r>
    </w:p>
    <w:p w14:paraId="16908111"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3.4 Balance of payments</w:t>
      </w:r>
      <w:r w:rsidR="00BB7372">
        <w:rPr>
          <w:rStyle w:val="FootnoteReference"/>
          <w:rFonts w:ascii="Times New Roman" w:hAnsi="Times New Roman" w:cs="Times New Roman"/>
          <w:b/>
          <w:sz w:val="21"/>
          <w:szCs w:val="21"/>
        </w:rPr>
        <w:footnoteReference w:customMarkFollows="1" w:id="28"/>
        <w:t>28</w:t>
      </w:r>
      <w:r w:rsidRPr="00EC356F">
        <w:rPr>
          <w:rFonts w:ascii="Times New Roman" w:hAnsi="Times New Roman" w:cs="Times New Roman"/>
          <w:b/>
          <w:sz w:val="21"/>
          <w:szCs w:val="21"/>
        </w:rPr>
        <w:t xml:space="preserve"> </w:t>
      </w:r>
    </w:p>
    <w:p w14:paraId="40B42A70" w14:textId="55462E4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5A7D69">
        <w:rPr>
          <w:rFonts w:ascii="Times New Roman" w:hAnsi="Times New Roman" w:cs="Times New Roman"/>
          <w:sz w:val="21"/>
          <w:szCs w:val="21"/>
        </w:rPr>
        <w:t>3r</w:t>
      </w:r>
      <w:r w:rsidRPr="00EC356F">
        <w:rPr>
          <w:rFonts w:ascii="Times New Roman" w:hAnsi="Times New Roman" w:cs="Times New Roman"/>
          <w:sz w:val="21"/>
          <w:szCs w:val="21"/>
        </w:rPr>
        <w:t>d quarter of 2014, the current account deficit deteriorate</w:t>
      </w:r>
      <w:r w:rsidR="00BD6372">
        <w:rPr>
          <w:rFonts w:ascii="Times New Roman" w:hAnsi="Times New Roman" w:cs="Times New Roman"/>
          <w:sz w:val="21"/>
          <w:szCs w:val="21"/>
        </w:rPr>
        <w:t>d mainly to an increased balance of tra</w:t>
      </w:r>
      <w:r w:rsidRPr="00EC356F">
        <w:rPr>
          <w:rFonts w:ascii="Times New Roman" w:hAnsi="Times New Roman" w:cs="Times New Roman"/>
          <w:sz w:val="21"/>
          <w:szCs w:val="21"/>
        </w:rPr>
        <w:t>d</w:t>
      </w:r>
      <w:r w:rsidR="00BD6372">
        <w:rPr>
          <w:rFonts w:ascii="Times New Roman" w:hAnsi="Times New Roman" w:cs="Times New Roman"/>
          <w:sz w:val="21"/>
          <w:szCs w:val="21"/>
        </w:rPr>
        <w:t>e</w:t>
      </w:r>
      <w:r w:rsidRPr="00EC356F">
        <w:rPr>
          <w:rFonts w:ascii="Times New Roman" w:hAnsi="Times New Roman" w:cs="Times New Roman"/>
          <w:sz w:val="21"/>
          <w:szCs w:val="21"/>
        </w:rPr>
        <w:t xml:space="preserve"> deficit</w:t>
      </w:r>
      <w:r w:rsidR="00BD6372">
        <w:rPr>
          <w:rFonts w:ascii="Times New Roman" w:hAnsi="Times New Roman" w:cs="Times New Roman"/>
          <w:sz w:val="21"/>
          <w:szCs w:val="21"/>
        </w:rPr>
        <w:t xml:space="preserve"> and reduced private remittances.</w:t>
      </w:r>
      <w:r w:rsidRPr="00EC356F">
        <w:rPr>
          <w:rFonts w:ascii="Times New Roman" w:hAnsi="Times New Roman" w:cs="Times New Roman"/>
          <w:sz w:val="21"/>
          <w:szCs w:val="21"/>
        </w:rPr>
        <w:t xml:space="preserve"> </w:t>
      </w:r>
      <w:r w:rsidR="00BD6372">
        <w:rPr>
          <w:rFonts w:ascii="Times New Roman" w:hAnsi="Times New Roman" w:cs="Times New Roman"/>
          <w:sz w:val="21"/>
          <w:szCs w:val="21"/>
        </w:rPr>
        <w:t xml:space="preserve">The net </w:t>
      </w:r>
      <w:r w:rsidRPr="00EC356F">
        <w:rPr>
          <w:rFonts w:ascii="Times New Roman" w:hAnsi="Times New Roman" w:cs="Times New Roman"/>
          <w:sz w:val="21"/>
          <w:szCs w:val="21"/>
        </w:rPr>
        <w:t xml:space="preserve">inflow of funds through the capital and financial account </w:t>
      </w:r>
      <w:r w:rsidR="00BD6372">
        <w:rPr>
          <w:rFonts w:ascii="Times New Roman" w:hAnsi="Times New Roman" w:cs="Times New Roman"/>
          <w:sz w:val="21"/>
          <w:szCs w:val="21"/>
        </w:rPr>
        <w:t xml:space="preserve">recovered (a net outflow of the funds was recorded in the previous quarter). </w:t>
      </w:r>
      <w:r w:rsidR="00A63DD8" w:rsidRPr="00EC356F">
        <w:rPr>
          <w:rFonts w:ascii="Times New Roman" w:hAnsi="Times New Roman" w:cs="Times New Roman"/>
          <w:sz w:val="21"/>
          <w:szCs w:val="21"/>
        </w:rPr>
        <w:t xml:space="preserve">In the </w:t>
      </w:r>
      <w:r w:rsidR="00A63DD8">
        <w:rPr>
          <w:rFonts w:ascii="Times New Roman" w:hAnsi="Times New Roman" w:cs="Times New Roman"/>
          <w:sz w:val="21"/>
          <w:szCs w:val="21"/>
        </w:rPr>
        <w:t>3r</w:t>
      </w:r>
      <w:r w:rsidR="00A63DD8" w:rsidRPr="00EC356F">
        <w:rPr>
          <w:rFonts w:ascii="Times New Roman" w:hAnsi="Times New Roman" w:cs="Times New Roman"/>
          <w:sz w:val="21"/>
          <w:szCs w:val="21"/>
        </w:rPr>
        <w:t>d quarter of 2014</w:t>
      </w:r>
      <w:r w:rsidR="00A63DD8">
        <w:rPr>
          <w:rFonts w:ascii="Times New Roman" w:hAnsi="Times New Roman" w:cs="Times New Roman"/>
          <w:sz w:val="21"/>
          <w:szCs w:val="21"/>
        </w:rPr>
        <w:t>, n</w:t>
      </w:r>
      <w:r w:rsidRPr="00EC356F">
        <w:rPr>
          <w:rFonts w:ascii="Times New Roman" w:hAnsi="Times New Roman" w:cs="Times New Roman"/>
          <w:sz w:val="21"/>
          <w:szCs w:val="21"/>
        </w:rPr>
        <w:t>et foreign assets of the Central Bank</w:t>
      </w:r>
      <w:r w:rsidR="00A63DD8">
        <w:rPr>
          <w:rFonts w:ascii="Times New Roman" w:hAnsi="Times New Roman" w:cs="Times New Roman"/>
          <w:sz w:val="21"/>
          <w:szCs w:val="21"/>
        </w:rPr>
        <w:t xml:space="preserve"> decreased </w:t>
      </w:r>
      <w:r w:rsidR="009E2ED4">
        <w:rPr>
          <w:rFonts w:ascii="Times New Roman" w:hAnsi="Times New Roman" w:cs="Times New Roman"/>
          <w:sz w:val="21"/>
          <w:szCs w:val="21"/>
        </w:rPr>
        <w:t xml:space="preserve">mainly conditioned by </w:t>
      </w:r>
      <w:r w:rsidR="00A63DD8">
        <w:rPr>
          <w:rFonts w:ascii="Times New Roman" w:hAnsi="Times New Roman" w:cs="Times New Roman"/>
          <w:sz w:val="21"/>
          <w:szCs w:val="21"/>
        </w:rPr>
        <w:t xml:space="preserve"> fore</w:t>
      </w:r>
      <w:r w:rsidRPr="00EC356F">
        <w:rPr>
          <w:rFonts w:ascii="Times New Roman" w:hAnsi="Times New Roman" w:cs="Times New Roman"/>
          <w:sz w:val="21"/>
          <w:szCs w:val="21"/>
        </w:rPr>
        <w:t xml:space="preserve">ign debt </w:t>
      </w:r>
      <w:r w:rsidR="00A63DD8">
        <w:rPr>
          <w:rFonts w:ascii="Times New Roman" w:hAnsi="Times New Roman" w:cs="Times New Roman"/>
          <w:sz w:val="21"/>
          <w:szCs w:val="21"/>
        </w:rPr>
        <w:t xml:space="preserve">servicing. </w:t>
      </w:r>
    </w:p>
    <w:p w14:paraId="5ACCEC8B"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3.4.1. Current account</w:t>
      </w:r>
      <w:r w:rsidR="000D3B75">
        <w:rPr>
          <w:rStyle w:val="FootnoteReference"/>
          <w:rFonts w:ascii="Times New Roman" w:hAnsi="Times New Roman" w:cs="Times New Roman"/>
          <w:b/>
          <w:sz w:val="21"/>
          <w:szCs w:val="21"/>
        </w:rPr>
        <w:footnoteReference w:customMarkFollows="1" w:id="29"/>
        <w:t>29</w:t>
      </w:r>
    </w:p>
    <w:p w14:paraId="029B72E2" w14:textId="77777777" w:rsidR="00A9653E" w:rsidRDefault="00A9653E"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 xml:space="preserve">In the </w:t>
      </w:r>
      <w:r w:rsidR="006511FA">
        <w:rPr>
          <w:rFonts w:ascii="Times New Roman" w:hAnsi="Times New Roman" w:cs="Times New Roman"/>
          <w:bCs/>
          <w:iCs/>
          <w:sz w:val="21"/>
          <w:szCs w:val="21"/>
        </w:rPr>
        <w:t>3r</w:t>
      </w:r>
      <w:r w:rsidRPr="00EC356F">
        <w:rPr>
          <w:rFonts w:ascii="Times New Roman" w:hAnsi="Times New Roman" w:cs="Times New Roman"/>
          <w:bCs/>
          <w:iCs/>
          <w:sz w:val="21"/>
          <w:szCs w:val="21"/>
        </w:rPr>
        <w:t xml:space="preserve">d quarter of 2014, </w:t>
      </w:r>
      <w:r w:rsidR="009E2ED4">
        <w:rPr>
          <w:rFonts w:ascii="Times New Roman" w:hAnsi="Times New Roman" w:cs="Times New Roman"/>
          <w:bCs/>
          <w:iCs/>
          <w:sz w:val="21"/>
          <w:szCs w:val="21"/>
        </w:rPr>
        <w:t xml:space="preserve">according to the estimations, </w:t>
      </w:r>
      <w:r w:rsidRPr="00EC356F">
        <w:rPr>
          <w:rFonts w:ascii="Times New Roman" w:hAnsi="Times New Roman" w:cs="Times New Roman"/>
          <w:bCs/>
          <w:iCs/>
          <w:sz w:val="21"/>
          <w:szCs w:val="21"/>
        </w:rPr>
        <w:t xml:space="preserve">the </w:t>
      </w:r>
      <w:r w:rsidR="00600F1C">
        <w:rPr>
          <w:rFonts w:ascii="Times New Roman" w:hAnsi="Times New Roman" w:cs="Times New Roman"/>
          <w:bCs/>
          <w:iCs/>
          <w:sz w:val="21"/>
          <w:szCs w:val="21"/>
        </w:rPr>
        <w:t>C</w:t>
      </w:r>
      <w:r w:rsidRPr="00EC356F">
        <w:rPr>
          <w:rFonts w:ascii="Times New Roman" w:hAnsi="Times New Roman" w:cs="Times New Roman"/>
          <w:bCs/>
          <w:iCs/>
          <w:sz w:val="21"/>
          <w:szCs w:val="21"/>
        </w:rPr>
        <w:t xml:space="preserve">urrent </w:t>
      </w:r>
      <w:r w:rsidR="00600F1C">
        <w:rPr>
          <w:rFonts w:ascii="Times New Roman" w:hAnsi="Times New Roman" w:cs="Times New Roman"/>
          <w:bCs/>
          <w:iCs/>
          <w:sz w:val="21"/>
          <w:szCs w:val="21"/>
        </w:rPr>
        <w:t>A</w:t>
      </w:r>
      <w:r w:rsidRPr="00EC356F">
        <w:rPr>
          <w:rFonts w:ascii="Times New Roman" w:hAnsi="Times New Roman" w:cs="Times New Roman"/>
          <w:bCs/>
          <w:iCs/>
          <w:sz w:val="21"/>
          <w:szCs w:val="21"/>
        </w:rPr>
        <w:t xml:space="preserve">ccount </w:t>
      </w:r>
      <w:r w:rsidR="00600F1C">
        <w:rPr>
          <w:rFonts w:ascii="Times New Roman" w:hAnsi="Times New Roman" w:cs="Times New Roman"/>
          <w:bCs/>
          <w:iCs/>
          <w:sz w:val="21"/>
          <w:szCs w:val="21"/>
        </w:rPr>
        <w:t>D</w:t>
      </w:r>
      <w:r w:rsidRPr="00EC356F">
        <w:rPr>
          <w:rFonts w:ascii="Times New Roman" w:hAnsi="Times New Roman" w:cs="Times New Roman"/>
          <w:bCs/>
          <w:iCs/>
          <w:sz w:val="21"/>
          <w:szCs w:val="21"/>
        </w:rPr>
        <w:t xml:space="preserve">eficit </w:t>
      </w:r>
      <w:r w:rsidR="00600F1C">
        <w:rPr>
          <w:rFonts w:ascii="Times New Roman" w:hAnsi="Times New Roman" w:cs="Times New Roman"/>
          <w:bCs/>
          <w:iCs/>
          <w:sz w:val="21"/>
          <w:szCs w:val="21"/>
        </w:rPr>
        <w:t>/ GDP ratio grew by 1.5 pp against the same quarter last year</w:t>
      </w:r>
      <w:r w:rsidRPr="00EC356F">
        <w:rPr>
          <w:rFonts w:ascii="Times New Roman" w:hAnsi="Times New Roman" w:cs="Times New Roman"/>
          <w:bCs/>
          <w:iCs/>
          <w:sz w:val="21"/>
          <w:szCs w:val="21"/>
        </w:rPr>
        <w:t xml:space="preserve">. Compared to the </w:t>
      </w:r>
      <w:r w:rsidR="00600F1C">
        <w:rPr>
          <w:rFonts w:ascii="Times New Roman" w:hAnsi="Times New Roman" w:cs="Times New Roman"/>
          <w:bCs/>
          <w:iCs/>
          <w:sz w:val="21"/>
          <w:szCs w:val="21"/>
        </w:rPr>
        <w:t>3r</w:t>
      </w:r>
      <w:r w:rsidRPr="00EC356F">
        <w:rPr>
          <w:rFonts w:ascii="Times New Roman" w:hAnsi="Times New Roman" w:cs="Times New Roman"/>
          <w:bCs/>
          <w:iCs/>
          <w:sz w:val="21"/>
          <w:szCs w:val="21"/>
        </w:rPr>
        <w:t xml:space="preserve">d quarter of 2013, the current account deficit </w:t>
      </w:r>
      <w:r w:rsidR="00600F1C">
        <w:rPr>
          <w:rFonts w:ascii="Times New Roman" w:hAnsi="Times New Roman" w:cs="Times New Roman"/>
          <w:bCs/>
          <w:iCs/>
          <w:sz w:val="21"/>
          <w:szCs w:val="21"/>
        </w:rPr>
        <w:t xml:space="preserve">has </w:t>
      </w:r>
      <w:r w:rsidRPr="00EC356F">
        <w:rPr>
          <w:rFonts w:ascii="Times New Roman" w:hAnsi="Times New Roman" w:cs="Times New Roman"/>
          <w:bCs/>
          <w:iCs/>
          <w:sz w:val="21"/>
          <w:szCs w:val="21"/>
        </w:rPr>
        <w:t xml:space="preserve">increased by USD </w:t>
      </w:r>
      <w:r w:rsidR="00600F1C">
        <w:rPr>
          <w:rFonts w:ascii="Times New Roman" w:hAnsi="Times New Roman" w:cs="Times New Roman"/>
          <w:bCs/>
          <w:iCs/>
          <w:sz w:val="21"/>
          <w:szCs w:val="21"/>
        </w:rPr>
        <w:t>191</w:t>
      </w:r>
      <w:r w:rsidRPr="00EC356F">
        <w:rPr>
          <w:rFonts w:ascii="Times New Roman" w:hAnsi="Times New Roman" w:cs="Times New Roman"/>
          <w:bCs/>
          <w:iCs/>
          <w:sz w:val="21"/>
          <w:szCs w:val="21"/>
        </w:rPr>
        <w:t>.</w:t>
      </w:r>
      <w:r w:rsidR="00600F1C">
        <w:rPr>
          <w:rFonts w:ascii="Times New Roman" w:hAnsi="Times New Roman" w:cs="Times New Roman"/>
          <w:bCs/>
          <w:iCs/>
          <w:sz w:val="21"/>
          <w:szCs w:val="21"/>
        </w:rPr>
        <w:t>6</w:t>
      </w:r>
      <w:r w:rsidRPr="00EC356F">
        <w:rPr>
          <w:rFonts w:ascii="Times New Roman" w:hAnsi="Times New Roman" w:cs="Times New Roman"/>
          <w:bCs/>
          <w:iCs/>
          <w:sz w:val="21"/>
          <w:szCs w:val="21"/>
        </w:rPr>
        <w:t xml:space="preserve"> million and amounted to USD 2</w:t>
      </w:r>
      <w:r w:rsidR="00600F1C">
        <w:rPr>
          <w:rFonts w:ascii="Times New Roman" w:hAnsi="Times New Roman" w:cs="Times New Roman"/>
          <w:bCs/>
          <w:iCs/>
          <w:sz w:val="21"/>
          <w:szCs w:val="21"/>
        </w:rPr>
        <w:t>56</w:t>
      </w:r>
      <w:r w:rsidRPr="00EC356F">
        <w:rPr>
          <w:rFonts w:ascii="Times New Roman" w:hAnsi="Times New Roman" w:cs="Times New Roman"/>
          <w:bCs/>
          <w:iCs/>
          <w:sz w:val="21"/>
          <w:szCs w:val="21"/>
        </w:rPr>
        <w:t>.</w:t>
      </w:r>
      <w:r w:rsidR="00600F1C">
        <w:rPr>
          <w:rFonts w:ascii="Times New Roman" w:hAnsi="Times New Roman" w:cs="Times New Roman"/>
          <w:bCs/>
          <w:iCs/>
          <w:sz w:val="21"/>
          <w:szCs w:val="21"/>
        </w:rPr>
        <w:t>8</w:t>
      </w:r>
      <w:r w:rsidRPr="00EC356F">
        <w:rPr>
          <w:rFonts w:ascii="Times New Roman" w:hAnsi="Times New Roman" w:cs="Times New Roman"/>
          <w:bCs/>
          <w:iCs/>
          <w:sz w:val="21"/>
          <w:szCs w:val="21"/>
        </w:rPr>
        <w:t xml:space="preserve"> million.</w:t>
      </w:r>
      <w:r w:rsidR="00600F1C" w:rsidRPr="00600F1C">
        <w:rPr>
          <w:rFonts w:ascii="Times New Roman" w:hAnsi="Times New Roman" w:cs="Times New Roman"/>
          <w:bCs/>
          <w:iCs/>
          <w:sz w:val="21"/>
          <w:szCs w:val="21"/>
        </w:rPr>
        <w:t xml:space="preserve"> </w:t>
      </w:r>
    </w:p>
    <w:p w14:paraId="2092E82C" w14:textId="77777777" w:rsidR="001F6A38" w:rsidRDefault="001F6A38"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 xml:space="preserve">In the </w:t>
      </w:r>
      <w:r>
        <w:rPr>
          <w:rFonts w:ascii="Times New Roman" w:hAnsi="Times New Roman" w:cs="Times New Roman"/>
          <w:bCs/>
          <w:iCs/>
          <w:sz w:val="21"/>
          <w:szCs w:val="21"/>
        </w:rPr>
        <w:t>3r</w:t>
      </w:r>
      <w:r w:rsidRPr="00EC356F">
        <w:rPr>
          <w:rFonts w:ascii="Times New Roman" w:hAnsi="Times New Roman" w:cs="Times New Roman"/>
          <w:bCs/>
          <w:iCs/>
          <w:sz w:val="21"/>
          <w:szCs w:val="21"/>
        </w:rPr>
        <w:t>d quarter of 2014,</w:t>
      </w:r>
      <w:r>
        <w:rPr>
          <w:rFonts w:ascii="Times New Roman" w:hAnsi="Times New Roman" w:cs="Times New Roman"/>
          <w:bCs/>
          <w:iCs/>
          <w:sz w:val="21"/>
          <w:szCs w:val="21"/>
        </w:rPr>
        <w:t xml:space="preserve"> the dollar value of export of goods grew by 3.9% y/y.</w:t>
      </w:r>
    </w:p>
    <w:p w14:paraId="3EE1AFF0" w14:textId="006A4F36" w:rsidR="00C112B4" w:rsidRDefault="001F6A38"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Consumer goods, precious stones and metals made a positive contribution to the export growth during the quarter in contrast to</w:t>
      </w:r>
      <w:r w:rsidR="000C0811">
        <w:rPr>
          <w:rFonts w:ascii="Times New Roman" w:hAnsi="Times New Roman" w:cs="Times New Roman"/>
          <w:bCs/>
          <w:iCs/>
          <w:sz w:val="21"/>
          <w:szCs w:val="21"/>
        </w:rPr>
        <w:t xml:space="preserve"> raw materials (</w:t>
      </w:r>
      <w:r>
        <w:rPr>
          <w:rFonts w:ascii="Times New Roman" w:hAnsi="Times New Roman" w:cs="Times New Roman"/>
          <w:bCs/>
          <w:iCs/>
          <w:sz w:val="21"/>
          <w:szCs w:val="21"/>
        </w:rPr>
        <w:t>intermed</w:t>
      </w:r>
      <w:r w:rsidR="00C112B4">
        <w:rPr>
          <w:rFonts w:ascii="Times New Roman" w:hAnsi="Times New Roman" w:cs="Times New Roman"/>
          <w:bCs/>
          <w:iCs/>
          <w:sz w:val="21"/>
          <w:szCs w:val="21"/>
        </w:rPr>
        <w:t>iate goods</w:t>
      </w:r>
      <w:r w:rsidR="000C0811">
        <w:rPr>
          <w:rFonts w:ascii="Times New Roman" w:hAnsi="Times New Roman" w:cs="Times New Roman"/>
          <w:bCs/>
          <w:iCs/>
          <w:sz w:val="21"/>
          <w:szCs w:val="21"/>
        </w:rPr>
        <w:t>)</w:t>
      </w:r>
      <w:r w:rsidR="00C112B4">
        <w:rPr>
          <w:rFonts w:ascii="Times New Roman" w:hAnsi="Times New Roman" w:cs="Times New Roman"/>
          <w:bCs/>
          <w:iCs/>
          <w:sz w:val="21"/>
          <w:szCs w:val="21"/>
        </w:rPr>
        <w:t xml:space="preserve"> and  other items with their negative contributions. </w:t>
      </w:r>
    </w:p>
    <w:p w14:paraId="73274D65" w14:textId="77777777" w:rsidR="00C112B4" w:rsidRDefault="00C112B4" w:rsidP="00C112B4">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 xml:space="preserve">In the </w:t>
      </w:r>
      <w:r>
        <w:rPr>
          <w:rFonts w:ascii="Times New Roman" w:hAnsi="Times New Roman" w:cs="Times New Roman"/>
          <w:bCs/>
          <w:iCs/>
          <w:sz w:val="21"/>
          <w:szCs w:val="21"/>
        </w:rPr>
        <w:t>3r</w:t>
      </w:r>
      <w:r w:rsidRPr="00EC356F">
        <w:rPr>
          <w:rFonts w:ascii="Times New Roman" w:hAnsi="Times New Roman" w:cs="Times New Roman"/>
          <w:bCs/>
          <w:iCs/>
          <w:sz w:val="21"/>
          <w:szCs w:val="21"/>
        </w:rPr>
        <w:t>d quarter of 2014,</w:t>
      </w:r>
      <w:r>
        <w:rPr>
          <w:rFonts w:ascii="Times New Roman" w:hAnsi="Times New Roman" w:cs="Times New Roman"/>
          <w:bCs/>
          <w:iCs/>
          <w:sz w:val="21"/>
          <w:szCs w:val="21"/>
        </w:rPr>
        <w:t xml:space="preserve"> the dollar value of import of goods grew by 11.6% y/y.</w:t>
      </w:r>
    </w:p>
    <w:p w14:paraId="45D11945" w14:textId="77777777" w:rsidR="000C0811" w:rsidRDefault="000C0811"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Raw materials (intermediate goods) and investment goods greatly contributed to the growth of import during the 3rd quarter, whereas consumer goods, precious stones and metals made small negative contributions to the import.</w:t>
      </w:r>
    </w:p>
    <w:p w14:paraId="01C35665" w14:textId="77777777" w:rsidR="00A9653E" w:rsidRPr="00EC356F" w:rsidRDefault="008C7970"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lastRenderedPageBreak/>
        <w:t>Although the terms of trade improved</w:t>
      </w:r>
      <w:r>
        <w:rPr>
          <w:rFonts w:ascii="Times New Roman" w:hAnsi="Times New Roman" w:cs="Times New Roman"/>
          <w:sz w:val="21"/>
          <w:szCs w:val="21"/>
        </w:rPr>
        <w:t xml:space="preserve">, </w:t>
      </w:r>
      <w:r w:rsidR="00A9653E" w:rsidRPr="00EC356F">
        <w:rPr>
          <w:rFonts w:ascii="Times New Roman" w:hAnsi="Times New Roman" w:cs="Times New Roman"/>
          <w:sz w:val="21"/>
          <w:szCs w:val="21"/>
        </w:rPr>
        <w:t xml:space="preserve">the deficit of trade balance </w:t>
      </w:r>
      <w:r>
        <w:rPr>
          <w:rFonts w:ascii="Times New Roman" w:hAnsi="Times New Roman" w:cs="Times New Roman"/>
          <w:sz w:val="21"/>
          <w:szCs w:val="21"/>
        </w:rPr>
        <w:t>i</w:t>
      </w:r>
      <w:r w:rsidRPr="00EC356F">
        <w:rPr>
          <w:rFonts w:ascii="Times New Roman" w:hAnsi="Times New Roman" w:cs="Times New Roman"/>
          <w:sz w:val="21"/>
          <w:szCs w:val="21"/>
        </w:rPr>
        <w:t xml:space="preserve">n the </w:t>
      </w:r>
      <w:r>
        <w:rPr>
          <w:rFonts w:ascii="Times New Roman" w:hAnsi="Times New Roman" w:cs="Times New Roman"/>
          <w:sz w:val="21"/>
          <w:szCs w:val="21"/>
        </w:rPr>
        <w:t>3r</w:t>
      </w:r>
      <w:r w:rsidRPr="00EC356F">
        <w:rPr>
          <w:rFonts w:ascii="Times New Roman" w:hAnsi="Times New Roman" w:cs="Times New Roman"/>
          <w:sz w:val="21"/>
          <w:szCs w:val="21"/>
        </w:rPr>
        <w:t xml:space="preserve">d quarter </w:t>
      </w:r>
      <w:r w:rsidR="00A9653E" w:rsidRPr="00EC356F">
        <w:rPr>
          <w:rFonts w:ascii="Times New Roman" w:hAnsi="Times New Roman" w:cs="Times New Roman"/>
          <w:sz w:val="21"/>
          <w:szCs w:val="21"/>
        </w:rPr>
        <w:t xml:space="preserve">grew by USD </w:t>
      </w:r>
      <w:r>
        <w:rPr>
          <w:rFonts w:ascii="Times New Roman" w:hAnsi="Times New Roman" w:cs="Times New Roman"/>
          <w:sz w:val="21"/>
          <w:szCs w:val="21"/>
        </w:rPr>
        <w:t>87</w:t>
      </w:r>
      <w:r w:rsidR="00A9653E" w:rsidRPr="00EC356F">
        <w:rPr>
          <w:rFonts w:ascii="Times New Roman" w:hAnsi="Times New Roman" w:cs="Times New Roman"/>
          <w:sz w:val="21"/>
          <w:szCs w:val="21"/>
        </w:rPr>
        <w:t>.</w:t>
      </w:r>
      <w:r>
        <w:rPr>
          <w:rFonts w:ascii="Times New Roman" w:hAnsi="Times New Roman" w:cs="Times New Roman"/>
          <w:sz w:val="21"/>
          <w:szCs w:val="21"/>
        </w:rPr>
        <w:t>4</w:t>
      </w:r>
      <w:r w:rsidR="00A9653E" w:rsidRPr="00EC356F">
        <w:rPr>
          <w:rFonts w:ascii="Times New Roman" w:hAnsi="Times New Roman" w:cs="Times New Roman"/>
          <w:sz w:val="21"/>
          <w:szCs w:val="21"/>
        </w:rPr>
        <w:t xml:space="preserve"> million to USD </w:t>
      </w:r>
      <w:r>
        <w:rPr>
          <w:rFonts w:ascii="Times New Roman" w:hAnsi="Times New Roman" w:cs="Times New Roman"/>
          <w:sz w:val="21"/>
          <w:szCs w:val="21"/>
        </w:rPr>
        <w:t>556</w:t>
      </w:r>
      <w:r w:rsidR="00A9653E" w:rsidRPr="00EC356F">
        <w:rPr>
          <w:rFonts w:ascii="Times New Roman" w:hAnsi="Times New Roman" w:cs="Times New Roman"/>
          <w:sz w:val="21"/>
          <w:szCs w:val="21"/>
        </w:rPr>
        <w:t>.</w:t>
      </w:r>
      <w:r>
        <w:rPr>
          <w:rFonts w:ascii="Times New Roman" w:hAnsi="Times New Roman" w:cs="Times New Roman"/>
          <w:sz w:val="21"/>
          <w:szCs w:val="21"/>
        </w:rPr>
        <w:t>5</w:t>
      </w:r>
      <w:r w:rsidR="00A9653E" w:rsidRPr="00EC356F">
        <w:rPr>
          <w:rFonts w:ascii="Times New Roman" w:hAnsi="Times New Roman" w:cs="Times New Roman"/>
          <w:sz w:val="21"/>
          <w:szCs w:val="21"/>
        </w:rPr>
        <w:t xml:space="preserve"> million</w:t>
      </w:r>
      <w:r>
        <w:rPr>
          <w:rFonts w:ascii="Times New Roman" w:hAnsi="Times New Roman" w:cs="Times New Roman"/>
          <w:sz w:val="21"/>
          <w:szCs w:val="21"/>
        </w:rPr>
        <w:t>.</w:t>
      </w:r>
    </w:p>
    <w:p w14:paraId="3DD60A80"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786F0A">
        <w:rPr>
          <w:rFonts w:ascii="Times New Roman" w:hAnsi="Times New Roman" w:cs="Times New Roman"/>
          <w:sz w:val="21"/>
          <w:szCs w:val="21"/>
        </w:rPr>
        <w:t>3r</w:t>
      </w:r>
      <w:r w:rsidRPr="00EC356F">
        <w:rPr>
          <w:rFonts w:ascii="Times New Roman" w:hAnsi="Times New Roman" w:cs="Times New Roman"/>
          <w:sz w:val="21"/>
          <w:szCs w:val="21"/>
        </w:rPr>
        <w:t xml:space="preserve">d quarter, the </w:t>
      </w:r>
      <w:r w:rsidR="00786F0A">
        <w:rPr>
          <w:rFonts w:ascii="Times New Roman" w:hAnsi="Times New Roman" w:cs="Times New Roman"/>
          <w:sz w:val="21"/>
          <w:szCs w:val="21"/>
        </w:rPr>
        <w:t>export and import of services posted an estimated 6.7% y/y and 10.3% y/y growth, respectively. T</w:t>
      </w:r>
      <w:r w:rsidRPr="00EC356F">
        <w:rPr>
          <w:rFonts w:ascii="Times New Roman" w:hAnsi="Times New Roman" w:cs="Times New Roman"/>
          <w:sz w:val="21"/>
          <w:szCs w:val="21"/>
        </w:rPr>
        <w:t xml:space="preserve">he deficit of balance of transport services widened as a result of </w:t>
      </w:r>
      <w:r w:rsidR="00786F0A">
        <w:rPr>
          <w:rFonts w:ascii="Times New Roman" w:hAnsi="Times New Roman" w:cs="Times New Roman"/>
          <w:sz w:val="21"/>
          <w:szCs w:val="21"/>
        </w:rPr>
        <w:t xml:space="preserve">an increased </w:t>
      </w:r>
      <w:r w:rsidRPr="00EC356F">
        <w:rPr>
          <w:rFonts w:ascii="Times New Roman" w:hAnsi="Times New Roman" w:cs="Times New Roman"/>
          <w:sz w:val="21"/>
          <w:szCs w:val="21"/>
        </w:rPr>
        <w:t xml:space="preserve">deficit of trade balance. The </w:t>
      </w:r>
      <w:r w:rsidR="00854C42">
        <w:rPr>
          <w:rFonts w:ascii="Times New Roman" w:hAnsi="Times New Roman" w:cs="Times New Roman"/>
          <w:sz w:val="21"/>
          <w:szCs w:val="21"/>
        </w:rPr>
        <w:t>dollar value of export of construction services diminished during the quarter</w:t>
      </w:r>
      <w:r w:rsidR="000E7B79">
        <w:rPr>
          <w:rStyle w:val="FootnoteReference"/>
          <w:rFonts w:ascii="Times New Roman" w:hAnsi="Times New Roman" w:cs="Times New Roman"/>
          <w:sz w:val="21"/>
          <w:szCs w:val="21"/>
        </w:rPr>
        <w:footnoteReference w:customMarkFollows="1" w:id="30"/>
        <w:t>30</w:t>
      </w:r>
      <w:r w:rsidR="00854C42">
        <w:rPr>
          <w:rFonts w:ascii="Times New Roman" w:hAnsi="Times New Roman" w:cs="Times New Roman"/>
          <w:sz w:val="21"/>
          <w:szCs w:val="21"/>
        </w:rPr>
        <w:t xml:space="preserve">. </w:t>
      </w:r>
    </w:p>
    <w:p w14:paraId="575DB7FA" w14:textId="34D023E2"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E853B2">
        <w:rPr>
          <w:rFonts w:ascii="Times New Roman" w:hAnsi="Times New Roman" w:cs="Times New Roman"/>
          <w:sz w:val="21"/>
          <w:szCs w:val="21"/>
        </w:rPr>
        <w:t>3r</w:t>
      </w:r>
      <w:r w:rsidRPr="00EC356F">
        <w:rPr>
          <w:rFonts w:ascii="Times New Roman" w:hAnsi="Times New Roman" w:cs="Times New Roman"/>
          <w:sz w:val="21"/>
          <w:szCs w:val="21"/>
        </w:rPr>
        <w:t xml:space="preserve">d quarter of 2014, </w:t>
      </w:r>
      <w:r w:rsidR="00E853B2">
        <w:rPr>
          <w:rFonts w:ascii="Times New Roman" w:hAnsi="Times New Roman" w:cs="Times New Roman"/>
          <w:sz w:val="21"/>
          <w:szCs w:val="21"/>
        </w:rPr>
        <w:t xml:space="preserve">net </w:t>
      </w:r>
      <w:r w:rsidRPr="00EC356F">
        <w:rPr>
          <w:rFonts w:ascii="Times New Roman" w:hAnsi="Times New Roman" w:cs="Times New Roman"/>
          <w:bCs/>
          <w:iCs/>
          <w:sz w:val="21"/>
          <w:szCs w:val="21"/>
        </w:rPr>
        <w:t xml:space="preserve">remittances of individuals </w:t>
      </w:r>
      <w:r w:rsidR="006F748A">
        <w:rPr>
          <w:rFonts w:ascii="Times New Roman" w:hAnsi="Times New Roman" w:cs="Times New Roman"/>
          <w:bCs/>
          <w:iCs/>
          <w:sz w:val="21"/>
          <w:szCs w:val="21"/>
        </w:rPr>
        <w:t>decreased</w:t>
      </w:r>
      <w:r w:rsidR="00E853B2" w:rsidRPr="00EC356F">
        <w:rPr>
          <w:rFonts w:ascii="Times New Roman" w:hAnsi="Times New Roman" w:cs="Times New Roman"/>
          <w:bCs/>
          <w:iCs/>
          <w:sz w:val="21"/>
          <w:szCs w:val="21"/>
        </w:rPr>
        <w:t xml:space="preserve"> </w:t>
      </w:r>
      <w:r w:rsidRPr="00EC356F">
        <w:rPr>
          <w:rFonts w:ascii="Times New Roman" w:hAnsi="Times New Roman" w:cs="Times New Roman"/>
          <w:bCs/>
          <w:iCs/>
          <w:sz w:val="21"/>
          <w:szCs w:val="21"/>
        </w:rPr>
        <w:t xml:space="preserve">amidst economic difficulties in Russia and </w:t>
      </w:r>
      <w:r w:rsidR="00E853B2">
        <w:rPr>
          <w:rFonts w:ascii="Times New Roman" w:hAnsi="Times New Roman" w:cs="Times New Roman"/>
          <w:bCs/>
          <w:iCs/>
          <w:sz w:val="21"/>
          <w:szCs w:val="21"/>
        </w:rPr>
        <w:t xml:space="preserve">the </w:t>
      </w:r>
      <w:r w:rsidRPr="00EC356F">
        <w:rPr>
          <w:rFonts w:ascii="Times New Roman" w:hAnsi="Times New Roman" w:cs="Times New Roman"/>
          <w:bCs/>
          <w:iCs/>
          <w:sz w:val="21"/>
          <w:szCs w:val="21"/>
        </w:rPr>
        <w:t>ruble</w:t>
      </w:r>
      <w:r w:rsidR="00E853B2" w:rsidRPr="00E853B2">
        <w:rPr>
          <w:rFonts w:ascii="Times New Roman" w:hAnsi="Times New Roman" w:cs="Times New Roman"/>
          <w:bCs/>
          <w:iCs/>
          <w:sz w:val="21"/>
          <w:szCs w:val="21"/>
        </w:rPr>
        <w:t xml:space="preserve"> </w:t>
      </w:r>
      <w:r w:rsidR="006F748A">
        <w:rPr>
          <w:rFonts w:ascii="Times New Roman" w:hAnsi="Times New Roman" w:cs="Times New Roman"/>
          <w:bCs/>
          <w:iCs/>
          <w:sz w:val="21"/>
          <w:szCs w:val="21"/>
        </w:rPr>
        <w:t>depreciation</w:t>
      </w:r>
      <w:r w:rsidR="00E853B2">
        <w:rPr>
          <w:rFonts w:ascii="Times New Roman" w:hAnsi="Times New Roman" w:cs="Times New Roman"/>
          <w:bCs/>
          <w:iCs/>
          <w:sz w:val="21"/>
          <w:szCs w:val="21"/>
        </w:rPr>
        <w:t xml:space="preserve"> against the U.S. dollar</w:t>
      </w:r>
      <w:r w:rsidRPr="00EC356F">
        <w:rPr>
          <w:rFonts w:ascii="Times New Roman" w:hAnsi="Times New Roman" w:cs="Times New Roman"/>
          <w:bCs/>
          <w:iCs/>
          <w:sz w:val="21"/>
          <w:szCs w:val="21"/>
        </w:rPr>
        <w:t>.</w:t>
      </w:r>
      <w:r w:rsidRPr="00EC356F">
        <w:rPr>
          <w:rFonts w:ascii="Times New Roman" w:hAnsi="Times New Roman" w:cs="Times New Roman"/>
          <w:sz w:val="21"/>
          <w:szCs w:val="21"/>
        </w:rPr>
        <w:t xml:space="preserve"> During the quarter, net inflow of item “employee remuneration” posted a</w:t>
      </w:r>
      <w:r w:rsidR="00E853B2">
        <w:rPr>
          <w:rFonts w:ascii="Times New Roman" w:hAnsi="Times New Roman" w:cs="Times New Roman"/>
          <w:sz w:val="21"/>
          <w:szCs w:val="21"/>
        </w:rPr>
        <w:t xml:space="preserve"> </w:t>
      </w:r>
      <w:r w:rsidR="00360838">
        <w:rPr>
          <w:rFonts w:ascii="Times New Roman" w:hAnsi="Times New Roman" w:cs="Times New Roman"/>
          <w:sz w:val="21"/>
          <w:szCs w:val="21"/>
        </w:rPr>
        <w:t>6</w:t>
      </w:r>
      <w:r w:rsidRPr="00EC356F">
        <w:rPr>
          <w:rFonts w:ascii="Times New Roman" w:hAnsi="Times New Roman" w:cs="Times New Roman"/>
          <w:sz w:val="21"/>
          <w:szCs w:val="21"/>
        </w:rPr>
        <w:t>.</w:t>
      </w:r>
      <w:r w:rsidR="00360838">
        <w:rPr>
          <w:rFonts w:ascii="Times New Roman" w:hAnsi="Times New Roman" w:cs="Times New Roman"/>
          <w:sz w:val="21"/>
          <w:szCs w:val="21"/>
        </w:rPr>
        <w:t>6</w:t>
      </w:r>
      <w:r w:rsidRPr="00EC356F">
        <w:rPr>
          <w:rFonts w:ascii="Times New Roman" w:hAnsi="Times New Roman" w:cs="Times New Roman"/>
          <w:sz w:val="21"/>
          <w:szCs w:val="21"/>
        </w:rPr>
        <w:t>% y/y</w:t>
      </w:r>
      <w:r w:rsidR="00360838">
        <w:rPr>
          <w:rFonts w:ascii="Times New Roman" w:hAnsi="Times New Roman" w:cs="Times New Roman"/>
          <w:sz w:val="21"/>
          <w:szCs w:val="21"/>
        </w:rPr>
        <w:t xml:space="preserve"> decrease</w:t>
      </w:r>
      <w:r w:rsidRPr="00EC356F">
        <w:rPr>
          <w:rFonts w:ascii="Times New Roman" w:hAnsi="Times New Roman" w:cs="Times New Roman"/>
          <w:sz w:val="21"/>
          <w:szCs w:val="21"/>
        </w:rPr>
        <w:t xml:space="preserve"> to USD </w:t>
      </w:r>
      <w:r w:rsidR="00360838">
        <w:rPr>
          <w:rFonts w:ascii="Times New Roman" w:hAnsi="Times New Roman" w:cs="Times New Roman"/>
          <w:sz w:val="21"/>
          <w:szCs w:val="21"/>
        </w:rPr>
        <w:t>313</w:t>
      </w:r>
      <w:r w:rsidRPr="00EC356F">
        <w:rPr>
          <w:rFonts w:ascii="Times New Roman" w:hAnsi="Times New Roman" w:cs="Times New Roman"/>
          <w:sz w:val="21"/>
          <w:szCs w:val="21"/>
        </w:rPr>
        <w:t>.</w:t>
      </w:r>
      <w:r w:rsidR="00360838">
        <w:rPr>
          <w:rFonts w:ascii="Times New Roman" w:hAnsi="Times New Roman" w:cs="Times New Roman"/>
          <w:sz w:val="21"/>
          <w:szCs w:val="21"/>
        </w:rPr>
        <w:t>4</w:t>
      </w:r>
      <w:r w:rsidRPr="00EC356F">
        <w:rPr>
          <w:rFonts w:ascii="Times New Roman" w:hAnsi="Times New Roman" w:cs="Times New Roman"/>
          <w:sz w:val="21"/>
          <w:szCs w:val="21"/>
        </w:rPr>
        <w:t xml:space="preserve"> million, which is higher from the </w:t>
      </w:r>
      <w:r w:rsidR="00360838">
        <w:rPr>
          <w:rFonts w:ascii="Times New Roman" w:hAnsi="Times New Roman" w:cs="Times New Roman"/>
          <w:sz w:val="21"/>
          <w:szCs w:val="21"/>
        </w:rPr>
        <w:t xml:space="preserve">figure of </w:t>
      </w:r>
      <w:r w:rsidRPr="00EC356F">
        <w:rPr>
          <w:rFonts w:ascii="Times New Roman" w:hAnsi="Times New Roman" w:cs="Times New Roman"/>
          <w:sz w:val="21"/>
          <w:szCs w:val="21"/>
        </w:rPr>
        <w:t>net outflow in item “income on investment”. As a result, item “initial income” posted net inflow of USD 1</w:t>
      </w:r>
      <w:r w:rsidR="00360838">
        <w:rPr>
          <w:rFonts w:ascii="Times New Roman" w:hAnsi="Times New Roman" w:cs="Times New Roman"/>
          <w:sz w:val="21"/>
          <w:szCs w:val="21"/>
        </w:rPr>
        <w:t>44</w:t>
      </w:r>
      <w:r w:rsidRPr="00EC356F">
        <w:rPr>
          <w:rFonts w:ascii="Times New Roman" w:hAnsi="Times New Roman" w:cs="Times New Roman"/>
          <w:sz w:val="21"/>
          <w:szCs w:val="21"/>
        </w:rPr>
        <w:t>.</w:t>
      </w:r>
      <w:r w:rsidR="00360838">
        <w:rPr>
          <w:rFonts w:ascii="Times New Roman" w:hAnsi="Times New Roman" w:cs="Times New Roman"/>
          <w:sz w:val="21"/>
          <w:szCs w:val="21"/>
        </w:rPr>
        <w:t>5</w:t>
      </w:r>
      <w:r w:rsidRPr="00EC356F">
        <w:rPr>
          <w:rFonts w:ascii="Times New Roman" w:hAnsi="Times New Roman" w:cs="Times New Roman"/>
          <w:sz w:val="21"/>
          <w:szCs w:val="21"/>
        </w:rPr>
        <w:t xml:space="preserve"> million. The </w:t>
      </w:r>
      <w:r w:rsidR="00360838">
        <w:rPr>
          <w:rFonts w:ascii="Times New Roman" w:hAnsi="Times New Roman" w:cs="Times New Roman"/>
          <w:sz w:val="21"/>
          <w:szCs w:val="21"/>
        </w:rPr>
        <w:t>n</w:t>
      </w:r>
      <w:r w:rsidRPr="00EC356F">
        <w:rPr>
          <w:rFonts w:ascii="Times New Roman" w:hAnsi="Times New Roman" w:cs="Times New Roman"/>
          <w:sz w:val="21"/>
          <w:szCs w:val="21"/>
        </w:rPr>
        <w:t xml:space="preserve">et inflow of </w:t>
      </w:r>
      <w:r w:rsidR="00360838">
        <w:rPr>
          <w:rFonts w:ascii="Times New Roman" w:hAnsi="Times New Roman" w:cs="Times New Roman"/>
          <w:sz w:val="21"/>
          <w:szCs w:val="21"/>
        </w:rPr>
        <w:t xml:space="preserve">private transfers has reduced by 10.1% y/y to USD 155.7 million. </w:t>
      </w:r>
    </w:p>
    <w:p w14:paraId="4167DCBE"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3.4.2. Capital and financial account</w:t>
      </w:r>
      <w:r w:rsidR="000E7B79">
        <w:rPr>
          <w:rStyle w:val="FootnoteReference"/>
          <w:rFonts w:ascii="Times New Roman" w:hAnsi="Times New Roman" w:cs="Times New Roman"/>
          <w:b/>
          <w:sz w:val="21"/>
          <w:szCs w:val="21"/>
        </w:rPr>
        <w:footnoteReference w:customMarkFollows="1" w:id="31"/>
        <w:t>31</w:t>
      </w:r>
    </w:p>
    <w:p w14:paraId="488C4694" w14:textId="29EBF5D6" w:rsidR="00A9653E" w:rsidRPr="00EC356F" w:rsidRDefault="002347E3"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The 3rd</w:t>
      </w:r>
      <w:r w:rsidRPr="00EC356F">
        <w:rPr>
          <w:rFonts w:ascii="Times New Roman" w:hAnsi="Times New Roman" w:cs="Times New Roman"/>
          <w:sz w:val="21"/>
          <w:szCs w:val="21"/>
        </w:rPr>
        <w:t xml:space="preserve"> quarter </w:t>
      </w:r>
      <w:r>
        <w:rPr>
          <w:rFonts w:ascii="Times New Roman" w:hAnsi="Times New Roman" w:cs="Times New Roman"/>
          <w:sz w:val="21"/>
          <w:szCs w:val="21"/>
        </w:rPr>
        <w:t xml:space="preserve">of 2014 saw </w:t>
      </w:r>
      <w:r w:rsidR="00A9653E" w:rsidRPr="00EC356F">
        <w:rPr>
          <w:rFonts w:ascii="Times New Roman" w:hAnsi="Times New Roman" w:cs="Times New Roman"/>
          <w:sz w:val="21"/>
          <w:szCs w:val="21"/>
        </w:rPr>
        <w:t xml:space="preserve">net inflow </w:t>
      </w:r>
      <w:r>
        <w:rPr>
          <w:rFonts w:ascii="Times New Roman" w:hAnsi="Times New Roman" w:cs="Times New Roman"/>
          <w:sz w:val="21"/>
          <w:szCs w:val="21"/>
        </w:rPr>
        <w:t>of funds of USD 215.8 million</w:t>
      </w:r>
      <w:r w:rsidRPr="00EC356F">
        <w:rPr>
          <w:rFonts w:ascii="Times New Roman" w:hAnsi="Times New Roman" w:cs="Times New Roman"/>
          <w:sz w:val="21"/>
          <w:szCs w:val="21"/>
        </w:rPr>
        <w:t xml:space="preserve"> </w:t>
      </w:r>
      <w:r w:rsidR="00A9653E" w:rsidRPr="00EC356F">
        <w:rPr>
          <w:rFonts w:ascii="Times New Roman" w:hAnsi="Times New Roman" w:cs="Times New Roman"/>
          <w:sz w:val="21"/>
          <w:szCs w:val="21"/>
        </w:rPr>
        <w:t xml:space="preserve">through the capital and financial account </w:t>
      </w:r>
      <w:r>
        <w:rPr>
          <w:rFonts w:ascii="Times New Roman" w:hAnsi="Times New Roman" w:cs="Times New Roman"/>
          <w:sz w:val="21"/>
          <w:szCs w:val="21"/>
        </w:rPr>
        <w:t xml:space="preserve">in contrast to the net outflow of funds recorded in the previous quarter. </w:t>
      </w:r>
      <w:r w:rsidR="0000004E">
        <w:rPr>
          <w:rFonts w:ascii="Times New Roman" w:hAnsi="Times New Roman" w:cs="Times New Roman"/>
          <w:sz w:val="21"/>
          <w:szCs w:val="21"/>
        </w:rPr>
        <w:t>The current account was financed mostly by foreign investment, bank and public</w:t>
      </w:r>
      <w:r w:rsidR="006F748A">
        <w:rPr>
          <w:rFonts w:ascii="Times New Roman" w:hAnsi="Times New Roman" w:cs="Times New Roman"/>
          <w:sz w:val="21"/>
          <w:szCs w:val="21"/>
        </w:rPr>
        <w:t>loans</w:t>
      </w:r>
      <w:r w:rsidR="0000004E">
        <w:rPr>
          <w:rFonts w:ascii="Times New Roman" w:hAnsi="Times New Roman" w:cs="Times New Roman"/>
          <w:sz w:val="21"/>
          <w:szCs w:val="21"/>
        </w:rPr>
        <w:t xml:space="preserve">. </w:t>
      </w:r>
      <w:r w:rsidR="00755F6B">
        <w:rPr>
          <w:rFonts w:ascii="Times New Roman" w:hAnsi="Times New Roman" w:cs="Times New Roman"/>
          <w:sz w:val="21"/>
          <w:szCs w:val="21"/>
        </w:rPr>
        <w:t>During the quarter, n</w:t>
      </w:r>
      <w:r w:rsidR="00CC0627">
        <w:rPr>
          <w:rFonts w:ascii="Times New Roman" w:hAnsi="Times New Roman" w:cs="Times New Roman"/>
          <w:sz w:val="21"/>
          <w:szCs w:val="21"/>
        </w:rPr>
        <w:t xml:space="preserve">et foreign assets of the Central Bank </w:t>
      </w:r>
      <w:r w:rsidR="00755F6B">
        <w:rPr>
          <w:rFonts w:ascii="Times New Roman" w:hAnsi="Times New Roman" w:cs="Times New Roman"/>
          <w:sz w:val="21"/>
          <w:szCs w:val="21"/>
        </w:rPr>
        <w:t>reduced</w:t>
      </w:r>
      <w:r w:rsidR="00CC0627">
        <w:rPr>
          <w:rFonts w:ascii="Times New Roman" w:hAnsi="Times New Roman" w:cs="Times New Roman"/>
          <w:sz w:val="21"/>
          <w:szCs w:val="21"/>
        </w:rPr>
        <w:t xml:space="preserve"> by USD 40.9 million mainly to the expense of fore</w:t>
      </w:r>
      <w:r w:rsidR="00CC0627" w:rsidRPr="00EC356F">
        <w:rPr>
          <w:rFonts w:ascii="Times New Roman" w:hAnsi="Times New Roman" w:cs="Times New Roman"/>
          <w:sz w:val="21"/>
          <w:szCs w:val="21"/>
        </w:rPr>
        <w:t xml:space="preserve">ign debt </w:t>
      </w:r>
      <w:r w:rsidR="00CC0627">
        <w:rPr>
          <w:rFonts w:ascii="Times New Roman" w:hAnsi="Times New Roman" w:cs="Times New Roman"/>
          <w:sz w:val="21"/>
          <w:szCs w:val="21"/>
        </w:rPr>
        <w:t xml:space="preserve">servicing.  </w:t>
      </w:r>
    </w:p>
    <w:p w14:paraId="487C88A3" w14:textId="77777777" w:rsidR="00315441" w:rsidRDefault="00315441"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The 3rd quarter marked a stable inflow of ca</w:t>
      </w:r>
      <w:r w:rsidRPr="00EC356F">
        <w:rPr>
          <w:rFonts w:ascii="Times New Roman" w:hAnsi="Times New Roman" w:cs="Times New Roman"/>
          <w:sz w:val="21"/>
          <w:szCs w:val="21"/>
        </w:rPr>
        <w:t>pital transfers</w:t>
      </w:r>
      <w:r>
        <w:rPr>
          <w:rFonts w:ascii="Times New Roman" w:hAnsi="Times New Roman" w:cs="Times New Roman"/>
          <w:sz w:val="21"/>
          <w:szCs w:val="21"/>
        </w:rPr>
        <w:t xml:space="preserve"> amounting to USD 18.8 million (USD 19.5 million was recorded in the same reference period last year).</w:t>
      </w:r>
    </w:p>
    <w:p w14:paraId="6C92AC21" w14:textId="5C42CE16" w:rsidR="00315441" w:rsidRDefault="004209BA"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The </w:t>
      </w:r>
      <w:r w:rsidRPr="00EC356F">
        <w:rPr>
          <w:rFonts w:ascii="Times New Roman" w:hAnsi="Times New Roman" w:cs="Times New Roman"/>
          <w:sz w:val="21"/>
          <w:szCs w:val="21"/>
        </w:rPr>
        <w:t xml:space="preserve">net inflow of foreign direct investment </w:t>
      </w:r>
      <w:r>
        <w:rPr>
          <w:rFonts w:ascii="Times New Roman" w:hAnsi="Times New Roman" w:cs="Times New Roman"/>
          <w:sz w:val="21"/>
          <w:szCs w:val="21"/>
        </w:rPr>
        <w:t xml:space="preserve">during the quarter narrowed to USD 97.7 million. The net inflow of public </w:t>
      </w:r>
      <w:r w:rsidR="006F748A">
        <w:rPr>
          <w:rFonts w:ascii="Times New Roman" w:hAnsi="Times New Roman" w:cs="Times New Roman"/>
          <w:sz w:val="21"/>
          <w:szCs w:val="21"/>
        </w:rPr>
        <w:t>loans</w:t>
      </w:r>
      <w:r>
        <w:rPr>
          <w:rFonts w:ascii="Times New Roman" w:hAnsi="Times New Roman" w:cs="Times New Roman"/>
          <w:sz w:val="21"/>
          <w:szCs w:val="21"/>
        </w:rPr>
        <w:t xml:space="preserve"> amounted to USD 57.0 million compared to the previous year’s </w:t>
      </w:r>
      <w:r w:rsidR="009F7E54">
        <w:rPr>
          <w:rFonts w:ascii="Times New Roman" w:hAnsi="Times New Roman" w:cs="Times New Roman"/>
          <w:sz w:val="21"/>
          <w:szCs w:val="21"/>
        </w:rPr>
        <w:t xml:space="preserve">respective </w:t>
      </w:r>
      <w:r>
        <w:rPr>
          <w:rFonts w:ascii="Times New Roman" w:hAnsi="Times New Roman" w:cs="Times New Roman"/>
          <w:sz w:val="21"/>
          <w:szCs w:val="21"/>
        </w:rPr>
        <w:t xml:space="preserve">figure of USD 20.3 million reported for the </w:t>
      </w:r>
      <w:r w:rsidR="009F7E54">
        <w:rPr>
          <w:rFonts w:ascii="Times New Roman" w:hAnsi="Times New Roman" w:cs="Times New Roman"/>
          <w:sz w:val="21"/>
          <w:szCs w:val="21"/>
        </w:rPr>
        <w:t>3rd</w:t>
      </w:r>
      <w:r>
        <w:rPr>
          <w:rFonts w:ascii="Times New Roman" w:hAnsi="Times New Roman" w:cs="Times New Roman"/>
          <w:sz w:val="21"/>
          <w:szCs w:val="21"/>
        </w:rPr>
        <w:t xml:space="preserve"> quarter</w:t>
      </w:r>
      <w:r w:rsidR="009F7E54">
        <w:rPr>
          <w:rFonts w:ascii="Times New Roman" w:hAnsi="Times New Roman" w:cs="Times New Roman"/>
          <w:sz w:val="21"/>
          <w:szCs w:val="21"/>
        </w:rPr>
        <w:t xml:space="preserve">. </w:t>
      </w:r>
      <w:r>
        <w:rPr>
          <w:rFonts w:ascii="Times New Roman" w:hAnsi="Times New Roman" w:cs="Times New Roman"/>
          <w:sz w:val="21"/>
          <w:szCs w:val="21"/>
        </w:rPr>
        <w:t xml:space="preserve"> </w:t>
      </w:r>
    </w:p>
    <w:p w14:paraId="51E262CD" w14:textId="09E8F671" w:rsidR="003F5AE1" w:rsidRDefault="003F5AE1" w:rsidP="003F5AE1">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In the 3rd quarter, the </w:t>
      </w:r>
      <w:r w:rsidRPr="00EC356F">
        <w:rPr>
          <w:rFonts w:ascii="Times New Roman" w:hAnsi="Times New Roman" w:cs="Times New Roman"/>
          <w:sz w:val="21"/>
          <w:szCs w:val="21"/>
        </w:rPr>
        <w:t xml:space="preserve">net </w:t>
      </w:r>
      <w:r w:rsidR="00654E0B">
        <w:rPr>
          <w:rFonts w:ascii="Times New Roman" w:hAnsi="Times New Roman" w:cs="Times New Roman"/>
          <w:sz w:val="21"/>
          <w:szCs w:val="21"/>
        </w:rPr>
        <w:t>inflow</w:t>
      </w:r>
      <w:r w:rsidRPr="00EC356F">
        <w:rPr>
          <w:rFonts w:ascii="Times New Roman" w:hAnsi="Times New Roman" w:cs="Times New Roman"/>
          <w:sz w:val="21"/>
          <w:szCs w:val="21"/>
        </w:rPr>
        <w:t xml:space="preserve">of funds through </w:t>
      </w:r>
      <w:r>
        <w:rPr>
          <w:rFonts w:ascii="Times New Roman" w:hAnsi="Times New Roman" w:cs="Times New Roman"/>
          <w:sz w:val="21"/>
          <w:szCs w:val="21"/>
        </w:rPr>
        <w:t xml:space="preserve">commercial banks reached USD 72.0 million; the net outflow through other private sector amounted to 10.8 million. As a result, </w:t>
      </w:r>
      <w:r w:rsidRPr="00EC356F">
        <w:rPr>
          <w:rFonts w:ascii="Times New Roman" w:hAnsi="Times New Roman" w:cs="Times New Roman"/>
          <w:sz w:val="21"/>
          <w:szCs w:val="21"/>
        </w:rPr>
        <w:t>item “other investment”</w:t>
      </w:r>
      <w:r>
        <w:rPr>
          <w:rFonts w:ascii="Times New Roman" w:hAnsi="Times New Roman" w:cs="Times New Roman"/>
          <w:sz w:val="21"/>
          <w:szCs w:val="21"/>
        </w:rPr>
        <w:t xml:space="preserve"> posted a net inflow of USD 61.2 million</w:t>
      </w:r>
      <w:r w:rsidRPr="00EC356F">
        <w:rPr>
          <w:rFonts w:ascii="Times New Roman" w:hAnsi="Times New Roman" w:cs="Times New Roman"/>
          <w:sz w:val="21"/>
          <w:szCs w:val="21"/>
        </w:rPr>
        <w:t>.</w:t>
      </w:r>
    </w:p>
    <w:p w14:paraId="74F53334"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3.5 External environment</w:t>
      </w:r>
    </w:p>
    <w:p w14:paraId="7DBA3ED5" w14:textId="77777777" w:rsidR="00A9653E" w:rsidRPr="00EC356F"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Style w:val="longtext"/>
          <w:rFonts w:ascii="Times New Roman" w:hAnsi="Times New Roman" w:cs="Times New Roman"/>
          <w:b/>
          <w:sz w:val="21"/>
          <w:szCs w:val="21"/>
          <w:shd w:val="clear" w:color="auto" w:fill="FFFFFF"/>
        </w:rPr>
        <w:lastRenderedPageBreak/>
        <w:t xml:space="preserve">In the </w:t>
      </w:r>
      <w:r w:rsidR="0068354A">
        <w:rPr>
          <w:rStyle w:val="longtext"/>
          <w:rFonts w:ascii="Times New Roman" w:hAnsi="Times New Roman" w:cs="Times New Roman"/>
          <w:b/>
          <w:sz w:val="21"/>
          <w:szCs w:val="21"/>
          <w:shd w:val="clear" w:color="auto" w:fill="FFFFFF"/>
        </w:rPr>
        <w:t>3r</w:t>
      </w:r>
      <w:r w:rsidRPr="00EC356F">
        <w:rPr>
          <w:rStyle w:val="longtext"/>
          <w:rFonts w:ascii="Times New Roman" w:hAnsi="Times New Roman" w:cs="Times New Roman"/>
          <w:b/>
          <w:sz w:val="21"/>
          <w:szCs w:val="21"/>
          <w:shd w:val="clear" w:color="auto" w:fill="FFFFFF"/>
        </w:rPr>
        <w:t>d quarter of 2014, save for the U.S.A., trends of slowing economic activity were observable in Armenia’s main trade partners.</w:t>
      </w:r>
    </w:p>
    <w:p w14:paraId="6D0975C6"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According to preliminary estimates of the U.S. Department of Commerce Bureau of Economic Analyses, </w:t>
      </w:r>
      <w:r w:rsidRPr="00EC356F">
        <w:rPr>
          <w:rFonts w:ascii="Times New Roman" w:hAnsi="Times New Roman" w:cs="Times New Roman"/>
          <w:bCs/>
          <w:sz w:val="21"/>
          <w:szCs w:val="21"/>
        </w:rPr>
        <w:t xml:space="preserve">in </w:t>
      </w:r>
      <w:r w:rsidRPr="00EC356F">
        <w:rPr>
          <w:rFonts w:ascii="Times New Roman" w:hAnsi="Times New Roman" w:cs="Times New Roman"/>
          <w:sz w:val="21"/>
          <w:szCs w:val="21"/>
        </w:rPr>
        <w:t xml:space="preserve">the </w:t>
      </w:r>
      <w:r w:rsidR="00E33A09">
        <w:rPr>
          <w:rFonts w:ascii="Times New Roman" w:hAnsi="Times New Roman" w:cs="Times New Roman"/>
          <w:sz w:val="21"/>
          <w:szCs w:val="21"/>
        </w:rPr>
        <w:t>3r</w:t>
      </w:r>
      <w:r w:rsidRPr="00EC356F">
        <w:rPr>
          <w:rFonts w:ascii="Times New Roman" w:hAnsi="Times New Roman" w:cs="Times New Roman"/>
          <w:sz w:val="21"/>
          <w:szCs w:val="21"/>
        </w:rPr>
        <w:t xml:space="preserve">d quarter of 2014 the annualized economic growth in </w:t>
      </w:r>
      <w:r w:rsidRPr="00A32EC4">
        <w:rPr>
          <w:rFonts w:ascii="Times New Roman" w:hAnsi="Times New Roman" w:cs="Times New Roman"/>
          <w:sz w:val="21"/>
          <w:szCs w:val="21"/>
        </w:rPr>
        <w:t xml:space="preserve">the </w:t>
      </w:r>
      <w:r w:rsidRPr="00A32EC4">
        <w:rPr>
          <w:rFonts w:ascii="Times New Roman" w:hAnsi="Times New Roman" w:cs="Times New Roman"/>
          <w:bCs/>
          <w:sz w:val="21"/>
          <w:szCs w:val="21"/>
        </w:rPr>
        <w:t>United States of America</w:t>
      </w:r>
      <w:r w:rsidRPr="00EC356F">
        <w:rPr>
          <w:rFonts w:ascii="Times New Roman" w:hAnsi="Times New Roman" w:cs="Times New Roman"/>
          <w:b/>
          <w:bCs/>
          <w:sz w:val="21"/>
          <w:szCs w:val="21"/>
        </w:rPr>
        <w:t xml:space="preserve"> </w:t>
      </w:r>
      <w:r w:rsidRPr="00EC356F">
        <w:rPr>
          <w:rFonts w:ascii="Times New Roman" w:hAnsi="Times New Roman" w:cs="Times New Roman"/>
          <w:bCs/>
          <w:sz w:val="21"/>
          <w:szCs w:val="21"/>
        </w:rPr>
        <w:t>was</w:t>
      </w:r>
      <w:r w:rsidRPr="00EC356F">
        <w:rPr>
          <w:rFonts w:ascii="Times New Roman" w:hAnsi="Times New Roman" w:cs="Times New Roman"/>
          <w:sz w:val="21"/>
          <w:szCs w:val="21"/>
        </w:rPr>
        <w:t xml:space="preserve"> </w:t>
      </w:r>
      <w:r w:rsidR="00E33A09">
        <w:rPr>
          <w:rFonts w:ascii="Times New Roman" w:hAnsi="Times New Roman" w:cs="Times New Roman"/>
          <w:sz w:val="21"/>
          <w:szCs w:val="21"/>
        </w:rPr>
        <w:t>3.5</w:t>
      </w:r>
      <w:r w:rsidRPr="00EC356F">
        <w:rPr>
          <w:rFonts w:ascii="Times New Roman" w:hAnsi="Times New Roman" w:cs="Times New Roman"/>
          <w:sz w:val="21"/>
          <w:szCs w:val="21"/>
        </w:rPr>
        <w:t>% q/q (2.</w:t>
      </w:r>
      <w:r w:rsidR="00E33A09">
        <w:rPr>
          <w:rFonts w:ascii="Times New Roman" w:hAnsi="Times New Roman" w:cs="Times New Roman"/>
          <w:sz w:val="21"/>
          <w:szCs w:val="21"/>
        </w:rPr>
        <w:t>3</w:t>
      </w:r>
      <w:r w:rsidRPr="00EC356F">
        <w:rPr>
          <w:rFonts w:ascii="Times New Roman" w:hAnsi="Times New Roman" w:cs="Times New Roman"/>
          <w:sz w:val="21"/>
          <w:szCs w:val="21"/>
        </w:rPr>
        <w:t xml:space="preserve">% y/y economic growth reported in the </w:t>
      </w:r>
      <w:r w:rsidR="00E33A09">
        <w:rPr>
          <w:rFonts w:ascii="Times New Roman" w:hAnsi="Times New Roman" w:cs="Times New Roman"/>
          <w:sz w:val="21"/>
          <w:szCs w:val="21"/>
        </w:rPr>
        <w:t>3r</w:t>
      </w:r>
      <w:r w:rsidRPr="00EC356F">
        <w:rPr>
          <w:rFonts w:ascii="Times New Roman" w:hAnsi="Times New Roman" w:cs="Times New Roman"/>
          <w:sz w:val="21"/>
          <w:szCs w:val="21"/>
        </w:rPr>
        <w:t xml:space="preserve">d quarter). </w:t>
      </w:r>
      <w:r w:rsidR="006D4658">
        <w:rPr>
          <w:rFonts w:ascii="Times New Roman" w:hAnsi="Times New Roman" w:cs="Times New Roman"/>
          <w:sz w:val="21"/>
          <w:szCs w:val="21"/>
        </w:rPr>
        <w:t>Almost all components, i.e. p</w:t>
      </w:r>
      <w:r w:rsidRPr="00EC356F">
        <w:rPr>
          <w:rFonts w:ascii="Times New Roman" w:hAnsi="Times New Roman" w:cs="Times New Roman"/>
          <w:sz w:val="21"/>
          <w:szCs w:val="21"/>
        </w:rPr>
        <w:t xml:space="preserve">rivate </w:t>
      </w:r>
      <w:r w:rsidR="006D4658">
        <w:rPr>
          <w:rFonts w:ascii="Times New Roman" w:hAnsi="Times New Roman" w:cs="Times New Roman"/>
          <w:sz w:val="21"/>
          <w:szCs w:val="21"/>
        </w:rPr>
        <w:t>expenditures</w:t>
      </w:r>
      <w:r w:rsidRPr="00EC356F">
        <w:rPr>
          <w:rFonts w:ascii="Times New Roman" w:hAnsi="Times New Roman" w:cs="Times New Roman"/>
          <w:sz w:val="21"/>
          <w:szCs w:val="21"/>
        </w:rPr>
        <w:t xml:space="preserve">, </w:t>
      </w:r>
      <w:r w:rsidR="006D4658">
        <w:rPr>
          <w:rFonts w:ascii="Times New Roman" w:hAnsi="Times New Roman" w:cs="Times New Roman"/>
          <w:sz w:val="21"/>
          <w:szCs w:val="21"/>
        </w:rPr>
        <w:t xml:space="preserve">gross </w:t>
      </w:r>
      <w:r w:rsidRPr="00EC356F">
        <w:rPr>
          <w:rFonts w:ascii="Times New Roman" w:hAnsi="Times New Roman" w:cs="Times New Roman"/>
          <w:sz w:val="21"/>
          <w:szCs w:val="21"/>
        </w:rPr>
        <w:t>investment</w:t>
      </w:r>
      <w:r w:rsidR="008F0DB9">
        <w:rPr>
          <w:rFonts w:ascii="Times New Roman" w:hAnsi="Times New Roman" w:cs="Times New Roman"/>
          <w:sz w:val="21"/>
          <w:szCs w:val="21"/>
        </w:rPr>
        <w:t xml:space="preserve"> and</w:t>
      </w:r>
      <w:r w:rsidRPr="00EC356F">
        <w:rPr>
          <w:rFonts w:ascii="Times New Roman" w:hAnsi="Times New Roman" w:cs="Times New Roman"/>
          <w:sz w:val="21"/>
          <w:szCs w:val="21"/>
        </w:rPr>
        <w:t xml:space="preserve"> government spending </w:t>
      </w:r>
      <w:r w:rsidR="006D4658">
        <w:rPr>
          <w:rFonts w:ascii="Times New Roman" w:hAnsi="Times New Roman" w:cs="Times New Roman"/>
          <w:sz w:val="21"/>
          <w:szCs w:val="21"/>
        </w:rPr>
        <w:t>a</w:t>
      </w:r>
      <w:r w:rsidR="008F0DB9">
        <w:rPr>
          <w:rFonts w:ascii="Times New Roman" w:hAnsi="Times New Roman" w:cs="Times New Roman"/>
          <w:sz w:val="21"/>
          <w:szCs w:val="21"/>
        </w:rPr>
        <w:t>s well as ne</w:t>
      </w:r>
      <w:r w:rsidR="006D4658">
        <w:rPr>
          <w:rFonts w:ascii="Times New Roman" w:hAnsi="Times New Roman" w:cs="Times New Roman"/>
          <w:sz w:val="21"/>
          <w:szCs w:val="21"/>
        </w:rPr>
        <w:t xml:space="preserve">t export </w:t>
      </w:r>
      <w:r w:rsidR="008F0DB9">
        <w:rPr>
          <w:rFonts w:ascii="Times New Roman" w:hAnsi="Times New Roman" w:cs="Times New Roman"/>
          <w:sz w:val="21"/>
          <w:szCs w:val="21"/>
        </w:rPr>
        <w:t xml:space="preserve">[owing to increased exports and reduced imports] all </w:t>
      </w:r>
      <w:r w:rsidRPr="00EC356F">
        <w:rPr>
          <w:rFonts w:ascii="Times New Roman" w:hAnsi="Times New Roman" w:cs="Times New Roman"/>
          <w:sz w:val="21"/>
          <w:szCs w:val="21"/>
        </w:rPr>
        <w:t xml:space="preserve">contributed to the growth positively. </w:t>
      </w:r>
    </w:p>
    <w:p w14:paraId="1EF82BA3"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 xml:space="preserve">In the </w:t>
      </w:r>
      <w:r w:rsidR="000E5222">
        <w:rPr>
          <w:rFonts w:ascii="Times New Roman" w:hAnsi="Times New Roman" w:cs="Times New Roman"/>
          <w:b/>
          <w:sz w:val="21"/>
          <w:szCs w:val="21"/>
        </w:rPr>
        <w:t>3r</w:t>
      </w:r>
      <w:r w:rsidRPr="00EC356F">
        <w:rPr>
          <w:rFonts w:ascii="Times New Roman" w:hAnsi="Times New Roman" w:cs="Times New Roman"/>
          <w:b/>
          <w:sz w:val="21"/>
          <w:szCs w:val="21"/>
        </w:rPr>
        <w:t>d quarter of 2014</w:t>
      </w:r>
      <w:r w:rsidRPr="00EC356F">
        <w:rPr>
          <w:rFonts w:ascii="Times New Roman" w:hAnsi="Times New Roman" w:cs="Times New Roman"/>
          <w:sz w:val="21"/>
          <w:szCs w:val="21"/>
        </w:rPr>
        <w:t xml:space="preserve">, average quarterly inflation in the U.S.A. was </w:t>
      </w:r>
      <w:r w:rsidR="000E5222">
        <w:rPr>
          <w:rFonts w:ascii="Times New Roman" w:hAnsi="Times New Roman" w:cs="Times New Roman"/>
          <w:sz w:val="21"/>
          <w:szCs w:val="21"/>
        </w:rPr>
        <w:t>1</w:t>
      </w:r>
      <w:r w:rsidRPr="00EC356F">
        <w:rPr>
          <w:rFonts w:ascii="Times New Roman" w:hAnsi="Times New Roman" w:cs="Times New Roman"/>
          <w:sz w:val="21"/>
          <w:szCs w:val="21"/>
        </w:rPr>
        <w:t>.</w:t>
      </w:r>
      <w:r w:rsidR="000E5222">
        <w:rPr>
          <w:rFonts w:ascii="Times New Roman" w:hAnsi="Times New Roman" w:cs="Times New Roman"/>
          <w:sz w:val="21"/>
          <w:szCs w:val="21"/>
        </w:rPr>
        <w:t>8</w:t>
      </w:r>
      <w:r w:rsidRPr="00EC356F">
        <w:rPr>
          <w:rFonts w:ascii="Times New Roman" w:hAnsi="Times New Roman" w:cs="Times New Roman"/>
          <w:sz w:val="21"/>
          <w:szCs w:val="21"/>
        </w:rPr>
        <w:t xml:space="preserve">% y/y compared to </w:t>
      </w:r>
      <w:r w:rsidR="000E5222">
        <w:rPr>
          <w:rFonts w:ascii="Times New Roman" w:hAnsi="Times New Roman" w:cs="Times New Roman"/>
          <w:sz w:val="21"/>
          <w:szCs w:val="21"/>
        </w:rPr>
        <w:t>2</w:t>
      </w:r>
      <w:r w:rsidRPr="00EC356F">
        <w:rPr>
          <w:rFonts w:ascii="Times New Roman" w:hAnsi="Times New Roman" w:cs="Times New Roman"/>
          <w:sz w:val="21"/>
          <w:szCs w:val="21"/>
        </w:rPr>
        <w:t>.</w:t>
      </w:r>
      <w:r w:rsidR="000E5222">
        <w:rPr>
          <w:rFonts w:ascii="Times New Roman" w:hAnsi="Times New Roman" w:cs="Times New Roman"/>
          <w:sz w:val="21"/>
          <w:szCs w:val="21"/>
        </w:rPr>
        <w:t>1</w:t>
      </w:r>
      <w:r w:rsidRPr="00EC356F">
        <w:rPr>
          <w:rFonts w:ascii="Times New Roman" w:hAnsi="Times New Roman" w:cs="Times New Roman"/>
          <w:sz w:val="21"/>
          <w:szCs w:val="21"/>
        </w:rPr>
        <w:t xml:space="preserve">% reported in the previous quarter. </w:t>
      </w:r>
      <w:r w:rsidR="000E5222">
        <w:rPr>
          <w:rFonts w:ascii="Times New Roman" w:hAnsi="Times New Roman" w:cs="Times New Roman"/>
          <w:sz w:val="21"/>
          <w:szCs w:val="21"/>
        </w:rPr>
        <w:t xml:space="preserve">As it was scheduled, the quantitative easing program of </w:t>
      </w:r>
      <w:r w:rsidRPr="00EC356F">
        <w:rPr>
          <w:rFonts w:ascii="Times New Roman" w:hAnsi="Times New Roman" w:cs="Times New Roman"/>
          <w:sz w:val="21"/>
          <w:szCs w:val="21"/>
        </w:rPr>
        <w:t>the U.S. Fed</w:t>
      </w:r>
      <w:r w:rsidR="000E5222">
        <w:rPr>
          <w:rFonts w:ascii="Times New Roman" w:hAnsi="Times New Roman" w:cs="Times New Roman"/>
          <w:sz w:val="21"/>
          <w:szCs w:val="21"/>
        </w:rPr>
        <w:t xml:space="preserve"> ended in October, while the policy rates were again low, in the 0-0.25% range. </w:t>
      </w:r>
    </w:p>
    <w:p w14:paraId="31AEC5B0"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Euro-area in the </w:t>
      </w:r>
      <w:r w:rsidR="00A32EC4">
        <w:rPr>
          <w:rFonts w:ascii="Times New Roman" w:hAnsi="Times New Roman" w:cs="Times New Roman"/>
          <w:sz w:val="21"/>
          <w:szCs w:val="21"/>
        </w:rPr>
        <w:t>3r</w:t>
      </w:r>
      <w:r w:rsidRPr="00EC356F">
        <w:rPr>
          <w:rFonts w:ascii="Times New Roman" w:hAnsi="Times New Roman" w:cs="Times New Roman"/>
          <w:sz w:val="21"/>
          <w:szCs w:val="21"/>
        </w:rPr>
        <w:t>d quarter of 2014, there was 0.</w:t>
      </w:r>
      <w:r w:rsidR="00A32EC4">
        <w:rPr>
          <w:rFonts w:ascii="Times New Roman" w:hAnsi="Times New Roman" w:cs="Times New Roman"/>
          <w:sz w:val="21"/>
          <w:szCs w:val="21"/>
        </w:rPr>
        <w:t>8</w:t>
      </w:r>
      <w:r w:rsidRPr="00EC356F">
        <w:rPr>
          <w:rFonts w:ascii="Times New Roman" w:hAnsi="Times New Roman" w:cs="Times New Roman"/>
          <w:sz w:val="21"/>
          <w:szCs w:val="21"/>
        </w:rPr>
        <w:t xml:space="preserve">% economic growth against the same period of the previous year, according to preliminary estimates provided by the Eurostat. During the quarter, </w:t>
      </w:r>
      <w:r w:rsidR="001A772F">
        <w:rPr>
          <w:rFonts w:ascii="Times New Roman" w:hAnsi="Times New Roman" w:cs="Times New Roman"/>
          <w:sz w:val="21"/>
          <w:szCs w:val="21"/>
        </w:rPr>
        <w:t xml:space="preserve">the </w:t>
      </w:r>
      <w:r w:rsidRPr="00EC356F">
        <w:rPr>
          <w:rFonts w:ascii="Times New Roman" w:hAnsi="Times New Roman" w:cs="Times New Roman"/>
          <w:sz w:val="21"/>
          <w:szCs w:val="21"/>
        </w:rPr>
        <w:t>consumer price index posted an average 0.</w:t>
      </w:r>
      <w:r w:rsidR="001A772F">
        <w:rPr>
          <w:rFonts w:ascii="Times New Roman" w:hAnsi="Times New Roman" w:cs="Times New Roman"/>
          <w:sz w:val="21"/>
          <w:szCs w:val="21"/>
        </w:rPr>
        <w:t>3</w:t>
      </w:r>
      <w:r w:rsidRPr="00EC356F">
        <w:rPr>
          <w:rFonts w:ascii="Times New Roman" w:hAnsi="Times New Roman" w:cs="Times New Roman"/>
          <w:sz w:val="21"/>
          <w:szCs w:val="21"/>
        </w:rPr>
        <w:t>% growth y/y against the previous quarter’s 0.</w:t>
      </w:r>
      <w:r w:rsidR="001A772F">
        <w:rPr>
          <w:rFonts w:ascii="Times New Roman" w:hAnsi="Times New Roman" w:cs="Times New Roman"/>
          <w:sz w:val="21"/>
          <w:szCs w:val="21"/>
        </w:rPr>
        <w:t>6</w:t>
      </w:r>
      <w:r w:rsidRPr="00EC356F">
        <w:rPr>
          <w:rFonts w:ascii="Times New Roman" w:hAnsi="Times New Roman" w:cs="Times New Roman"/>
          <w:sz w:val="21"/>
          <w:szCs w:val="21"/>
        </w:rPr>
        <w:t xml:space="preserve">%. </w:t>
      </w:r>
    </w:p>
    <w:p w14:paraId="18E2B0A1" w14:textId="77777777" w:rsidR="00A9653E" w:rsidRPr="00EC356F" w:rsidRDefault="00A9653E" w:rsidP="00A9653E">
      <w:pPr>
        <w:spacing w:line="360" w:lineRule="auto"/>
        <w:jc w:val="both"/>
        <w:rPr>
          <w:rStyle w:val="longtext"/>
          <w:rFonts w:ascii="Times New Roman" w:hAnsi="Times New Roman" w:cs="Times New Roman"/>
          <w:sz w:val="21"/>
          <w:szCs w:val="21"/>
        </w:rPr>
      </w:pPr>
      <w:r w:rsidRPr="00EC356F">
        <w:rPr>
          <w:rFonts w:ascii="Times New Roman" w:hAnsi="Times New Roman" w:cs="Times New Roman"/>
          <w:sz w:val="21"/>
          <w:szCs w:val="21"/>
        </w:rPr>
        <w:t xml:space="preserve">In the </w:t>
      </w:r>
      <w:r w:rsidR="00D92CFC">
        <w:rPr>
          <w:rFonts w:ascii="Times New Roman" w:hAnsi="Times New Roman" w:cs="Times New Roman"/>
          <w:sz w:val="21"/>
          <w:szCs w:val="21"/>
        </w:rPr>
        <w:t>3rd</w:t>
      </w:r>
      <w:r w:rsidRPr="00EC356F">
        <w:rPr>
          <w:rFonts w:ascii="Times New Roman" w:hAnsi="Times New Roman" w:cs="Times New Roman"/>
          <w:sz w:val="21"/>
          <w:szCs w:val="21"/>
        </w:rPr>
        <w:t xml:space="preserve"> quarter of 2014</w:t>
      </w:r>
      <w:r w:rsidRPr="00EC356F">
        <w:rPr>
          <w:rStyle w:val="longtext"/>
          <w:rFonts w:ascii="Times New Roman" w:hAnsi="Times New Roman" w:cs="Times New Roman"/>
          <w:sz w:val="21"/>
          <w:szCs w:val="21"/>
        </w:rPr>
        <w:t xml:space="preserve">, the European Central Bank </w:t>
      </w:r>
      <w:r w:rsidR="00AE2E1D">
        <w:rPr>
          <w:rStyle w:val="longtext"/>
          <w:rFonts w:ascii="Times New Roman" w:hAnsi="Times New Roman" w:cs="Times New Roman"/>
          <w:sz w:val="21"/>
          <w:szCs w:val="21"/>
        </w:rPr>
        <w:t>cut</w:t>
      </w:r>
      <w:r w:rsidRPr="00EC356F">
        <w:rPr>
          <w:rStyle w:val="longtext"/>
          <w:rFonts w:ascii="Times New Roman" w:hAnsi="Times New Roman" w:cs="Times New Roman"/>
          <w:sz w:val="21"/>
          <w:szCs w:val="21"/>
        </w:rPr>
        <w:t xml:space="preserve"> the policy rate to 0.</w:t>
      </w:r>
      <w:r w:rsidR="00AE2E1D">
        <w:rPr>
          <w:rStyle w:val="longtext"/>
          <w:rFonts w:ascii="Times New Roman" w:hAnsi="Times New Roman" w:cs="Times New Roman"/>
          <w:sz w:val="21"/>
          <w:szCs w:val="21"/>
        </w:rPr>
        <w:t>0</w:t>
      </w:r>
      <w:r w:rsidRPr="00EC356F">
        <w:rPr>
          <w:rStyle w:val="longtext"/>
          <w:rFonts w:ascii="Times New Roman" w:hAnsi="Times New Roman" w:cs="Times New Roman"/>
          <w:sz w:val="21"/>
          <w:szCs w:val="21"/>
        </w:rPr>
        <w:t>5% in the meanwhile setting a -0.</w:t>
      </w:r>
      <w:r w:rsidR="00AE2E1D">
        <w:rPr>
          <w:rStyle w:val="longtext"/>
          <w:rFonts w:ascii="Times New Roman" w:hAnsi="Times New Roman" w:cs="Times New Roman"/>
          <w:sz w:val="21"/>
          <w:szCs w:val="21"/>
        </w:rPr>
        <w:t>2</w:t>
      </w:r>
      <w:r w:rsidRPr="00EC356F">
        <w:rPr>
          <w:rStyle w:val="longtext"/>
          <w:rFonts w:ascii="Times New Roman" w:hAnsi="Times New Roman" w:cs="Times New Roman"/>
          <w:sz w:val="21"/>
          <w:szCs w:val="21"/>
        </w:rPr>
        <w:t xml:space="preserve">% rate </w:t>
      </w:r>
      <w:r w:rsidR="008110CE">
        <w:rPr>
          <w:rStyle w:val="longtext"/>
          <w:rFonts w:ascii="Times New Roman" w:hAnsi="Times New Roman" w:cs="Times New Roman"/>
          <w:sz w:val="21"/>
          <w:szCs w:val="21"/>
        </w:rPr>
        <w:t>for</w:t>
      </w:r>
      <w:r w:rsidRPr="00EC356F">
        <w:rPr>
          <w:rFonts w:ascii="Times New Roman" w:hAnsi="Times New Roman" w:cs="Times New Roman"/>
          <w:color w:val="000000"/>
          <w:sz w:val="21"/>
          <w:szCs w:val="21"/>
          <w:shd w:val="clear" w:color="auto" w:fill="FFFFFF"/>
        </w:rPr>
        <w:t xml:space="preserve"> the deposit facility</w:t>
      </w:r>
      <w:r w:rsidR="003C3FBC" w:rsidRPr="00EC356F">
        <w:rPr>
          <w:rFonts w:ascii="Times New Roman" w:hAnsi="Times New Roman" w:cs="Times New Roman"/>
          <w:color w:val="000000"/>
          <w:sz w:val="21"/>
          <w:szCs w:val="21"/>
          <w:shd w:val="clear" w:color="auto" w:fill="FFFFFF"/>
        </w:rPr>
        <w:t>.</w:t>
      </w:r>
      <w:r w:rsidRPr="00EC356F">
        <w:rPr>
          <w:rStyle w:val="longtext"/>
          <w:rFonts w:ascii="Times New Roman" w:hAnsi="Times New Roman" w:cs="Times New Roman"/>
          <w:sz w:val="21"/>
          <w:szCs w:val="21"/>
        </w:rPr>
        <w:t xml:space="preserve"> </w:t>
      </w:r>
    </w:p>
    <w:p w14:paraId="4B9ED319" w14:textId="77777777" w:rsidR="00A9653E" w:rsidRPr="00EC356F" w:rsidRDefault="00A9653E" w:rsidP="00A9653E">
      <w:pPr>
        <w:spacing w:line="360" w:lineRule="auto"/>
        <w:jc w:val="both"/>
        <w:rPr>
          <w:rFonts w:ascii="Times New Roman" w:hAnsi="Times New Roman" w:cs="Times New Roman"/>
          <w:sz w:val="21"/>
          <w:szCs w:val="21"/>
        </w:rPr>
      </w:pPr>
      <w:r w:rsidRPr="00EC356F">
        <w:rPr>
          <w:rStyle w:val="longtext"/>
          <w:rFonts w:ascii="Times New Roman" w:hAnsi="Times New Roman" w:cs="Times New Roman"/>
          <w:sz w:val="21"/>
          <w:szCs w:val="21"/>
        </w:rPr>
        <w:t xml:space="preserve">In the </w:t>
      </w:r>
      <w:r w:rsidR="00AE2E1D">
        <w:rPr>
          <w:rStyle w:val="longtext"/>
          <w:rFonts w:ascii="Times New Roman" w:hAnsi="Times New Roman" w:cs="Times New Roman"/>
          <w:sz w:val="21"/>
          <w:szCs w:val="21"/>
        </w:rPr>
        <w:t>3r</w:t>
      </w:r>
      <w:r w:rsidRPr="00EC356F">
        <w:rPr>
          <w:rStyle w:val="longtext"/>
          <w:rFonts w:ascii="Times New Roman" w:hAnsi="Times New Roman" w:cs="Times New Roman"/>
          <w:sz w:val="21"/>
          <w:szCs w:val="21"/>
        </w:rPr>
        <w:t xml:space="preserve">d quarter of 2014, Euro depreciated versus the U.S. dollar by </w:t>
      </w:r>
      <w:r w:rsidR="00D92CFC">
        <w:rPr>
          <w:rStyle w:val="longtext"/>
          <w:rFonts w:ascii="Times New Roman" w:hAnsi="Times New Roman" w:cs="Times New Roman"/>
          <w:sz w:val="21"/>
          <w:szCs w:val="21"/>
        </w:rPr>
        <w:t>3</w:t>
      </w:r>
      <w:r w:rsidRPr="00EC356F">
        <w:rPr>
          <w:rStyle w:val="longtext"/>
          <w:rFonts w:ascii="Times New Roman" w:hAnsi="Times New Roman" w:cs="Times New Roman"/>
          <w:sz w:val="21"/>
          <w:szCs w:val="21"/>
        </w:rPr>
        <w:t>.</w:t>
      </w:r>
      <w:r w:rsidR="00D92CFC">
        <w:rPr>
          <w:rStyle w:val="longtext"/>
          <w:rFonts w:ascii="Times New Roman" w:hAnsi="Times New Roman" w:cs="Times New Roman"/>
          <w:sz w:val="21"/>
          <w:szCs w:val="21"/>
        </w:rPr>
        <w:t>4</w:t>
      </w:r>
      <w:r w:rsidRPr="00EC356F">
        <w:rPr>
          <w:rStyle w:val="longtext"/>
          <w:rFonts w:ascii="Times New Roman" w:hAnsi="Times New Roman" w:cs="Times New Roman"/>
          <w:sz w:val="21"/>
          <w:szCs w:val="21"/>
        </w:rPr>
        <w:t xml:space="preserve">% (y/y appreciation was </w:t>
      </w:r>
      <w:r w:rsidR="00D92CFC">
        <w:rPr>
          <w:rStyle w:val="longtext"/>
          <w:rFonts w:ascii="Times New Roman" w:hAnsi="Times New Roman" w:cs="Times New Roman"/>
          <w:sz w:val="21"/>
          <w:szCs w:val="21"/>
        </w:rPr>
        <w:t>0</w:t>
      </w:r>
      <w:r w:rsidRPr="00EC356F">
        <w:rPr>
          <w:rStyle w:val="longtext"/>
          <w:rFonts w:ascii="Times New Roman" w:hAnsi="Times New Roman" w:cs="Times New Roman"/>
          <w:sz w:val="21"/>
          <w:szCs w:val="21"/>
        </w:rPr>
        <w:t>.</w:t>
      </w:r>
      <w:r w:rsidR="00D92CFC">
        <w:rPr>
          <w:rStyle w:val="longtext"/>
          <w:rFonts w:ascii="Times New Roman" w:hAnsi="Times New Roman" w:cs="Times New Roman"/>
          <w:sz w:val="21"/>
          <w:szCs w:val="21"/>
        </w:rPr>
        <w:t>05</w:t>
      </w:r>
      <w:r w:rsidRPr="00EC356F">
        <w:rPr>
          <w:rStyle w:val="longtext"/>
          <w:rFonts w:ascii="Times New Roman" w:hAnsi="Times New Roman" w:cs="Times New Roman"/>
          <w:sz w:val="21"/>
          <w:szCs w:val="21"/>
        </w:rPr>
        <w:t>%), with the average dollar exchange rate reaching 1.3</w:t>
      </w:r>
      <w:r w:rsidR="00D92CFC">
        <w:rPr>
          <w:rStyle w:val="longtext"/>
          <w:rFonts w:ascii="Times New Roman" w:hAnsi="Times New Roman" w:cs="Times New Roman"/>
          <w:sz w:val="21"/>
          <w:szCs w:val="21"/>
        </w:rPr>
        <w:t>25</w:t>
      </w:r>
      <w:r w:rsidRPr="00EC356F">
        <w:rPr>
          <w:rStyle w:val="longtext"/>
          <w:rFonts w:ascii="Times New Roman" w:hAnsi="Times New Roman" w:cs="Times New Roman"/>
          <w:sz w:val="21"/>
          <w:szCs w:val="21"/>
        </w:rPr>
        <w:t xml:space="preserve"> for one Euro.</w:t>
      </w:r>
    </w:p>
    <w:p w14:paraId="27155248"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E94C35">
        <w:rPr>
          <w:rFonts w:ascii="Times New Roman" w:hAnsi="Times New Roman" w:cs="Times New Roman"/>
          <w:sz w:val="21"/>
          <w:szCs w:val="21"/>
        </w:rPr>
        <w:t>3r</w:t>
      </w:r>
      <w:r w:rsidRPr="00EC356F">
        <w:rPr>
          <w:rFonts w:ascii="Times New Roman" w:hAnsi="Times New Roman" w:cs="Times New Roman"/>
          <w:sz w:val="21"/>
          <w:szCs w:val="21"/>
        </w:rPr>
        <w:t>d quarter of 2014, economic growth in Russia was 0.</w:t>
      </w:r>
      <w:r w:rsidR="00E94C35">
        <w:rPr>
          <w:rFonts w:ascii="Times New Roman" w:hAnsi="Times New Roman" w:cs="Times New Roman"/>
          <w:sz w:val="21"/>
          <w:szCs w:val="21"/>
        </w:rPr>
        <w:t>7</w:t>
      </w:r>
      <w:r w:rsidRPr="00EC356F">
        <w:rPr>
          <w:rFonts w:ascii="Times New Roman" w:hAnsi="Times New Roman" w:cs="Times New Roman"/>
          <w:sz w:val="21"/>
          <w:szCs w:val="21"/>
        </w:rPr>
        <w:t>% y/y, according to the preliminary estimates of the Russia State Statistics Service. Specifically, industry posted some 1.</w:t>
      </w:r>
      <w:r w:rsidR="00E94C35">
        <w:rPr>
          <w:rFonts w:ascii="Times New Roman" w:hAnsi="Times New Roman" w:cs="Times New Roman"/>
          <w:sz w:val="21"/>
          <w:szCs w:val="21"/>
        </w:rPr>
        <w:t>5</w:t>
      </w:r>
      <w:r w:rsidRPr="00EC356F">
        <w:rPr>
          <w:rFonts w:ascii="Times New Roman" w:hAnsi="Times New Roman" w:cs="Times New Roman"/>
          <w:sz w:val="21"/>
          <w:szCs w:val="21"/>
        </w:rPr>
        <w:t>% growth compared to the previous quarter’s 1.</w:t>
      </w:r>
      <w:r w:rsidR="00E94C35">
        <w:rPr>
          <w:rFonts w:ascii="Times New Roman" w:hAnsi="Times New Roman" w:cs="Times New Roman"/>
          <w:sz w:val="21"/>
          <w:szCs w:val="21"/>
        </w:rPr>
        <w:t>8</w:t>
      </w:r>
      <w:r w:rsidRPr="00EC356F">
        <w:rPr>
          <w:rFonts w:ascii="Times New Roman" w:hAnsi="Times New Roman" w:cs="Times New Roman"/>
          <w:sz w:val="21"/>
          <w:szCs w:val="21"/>
        </w:rPr>
        <w:t>% growth. Growth rates in retail trade and agriculture were 1.</w:t>
      </w:r>
      <w:r w:rsidR="00E94C35">
        <w:rPr>
          <w:rFonts w:ascii="Times New Roman" w:hAnsi="Times New Roman" w:cs="Times New Roman"/>
          <w:sz w:val="21"/>
          <w:szCs w:val="21"/>
        </w:rPr>
        <w:t>4</w:t>
      </w:r>
      <w:r w:rsidRPr="00EC356F">
        <w:rPr>
          <w:rFonts w:ascii="Times New Roman" w:hAnsi="Times New Roman" w:cs="Times New Roman"/>
          <w:sz w:val="21"/>
          <w:szCs w:val="21"/>
        </w:rPr>
        <w:t>% y/y and 1</w:t>
      </w:r>
      <w:r w:rsidR="00E94C35">
        <w:rPr>
          <w:rFonts w:ascii="Times New Roman" w:hAnsi="Times New Roman" w:cs="Times New Roman"/>
          <w:sz w:val="21"/>
          <w:szCs w:val="21"/>
        </w:rPr>
        <w:t>1</w:t>
      </w:r>
      <w:r w:rsidRPr="00EC356F">
        <w:rPr>
          <w:rFonts w:ascii="Times New Roman" w:hAnsi="Times New Roman" w:cs="Times New Roman"/>
          <w:sz w:val="21"/>
          <w:szCs w:val="21"/>
        </w:rPr>
        <w:t xml:space="preserve">% y/y, respectively. In the meanwhile though, construction reported a </w:t>
      </w:r>
      <w:r w:rsidR="00E94C35">
        <w:rPr>
          <w:rFonts w:ascii="Times New Roman" w:hAnsi="Times New Roman" w:cs="Times New Roman"/>
          <w:sz w:val="21"/>
          <w:szCs w:val="21"/>
        </w:rPr>
        <w:t>4.1</w:t>
      </w:r>
      <w:r w:rsidRPr="00EC356F">
        <w:rPr>
          <w:rFonts w:ascii="Times New Roman" w:hAnsi="Times New Roman" w:cs="Times New Roman"/>
          <w:sz w:val="21"/>
          <w:szCs w:val="21"/>
        </w:rPr>
        <w:t xml:space="preserve">% </w:t>
      </w:r>
      <w:r w:rsidR="00E94C35">
        <w:rPr>
          <w:rFonts w:ascii="Times New Roman" w:hAnsi="Times New Roman" w:cs="Times New Roman"/>
          <w:sz w:val="21"/>
          <w:szCs w:val="21"/>
        </w:rPr>
        <w:t xml:space="preserve">y/y </w:t>
      </w:r>
      <w:r w:rsidRPr="00EC356F">
        <w:rPr>
          <w:rFonts w:ascii="Times New Roman" w:hAnsi="Times New Roman" w:cs="Times New Roman"/>
          <w:sz w:val="21"/>
          <w:szCs w:val="21"/>
        </w:rPr>
        <w:t xml:space="preserve">decline. Consumer Price Index posted an average </w:t>
      </w:r>
      <w:r w:rsidR="0068130C" w:rsidRPr="00EC356F">
        <w:rPr>
          <w:rFonts w:ascii="Times New Roman" w:hAnsi="Times New Roman" w:cs="Times New Roman"/>
          <w:sz w:val="21"/>
          <w:szCs w:val="21"/>
        </w:rPr>
        <w:t>7.</w:t>
      </w:r>
      <w:r w:rsidR="0068130C">
        <w:rPr>
          <w:rFonts w:ascii="Times New Roman" w:hAnsi="Times New Roman" w:cs="Times New Roman"/>
          <w:sz w:val="21"/>
          <w:szCs w:val="21"/>
        </w:rPr>
        <w:t>7</w:t>
      </w:r>
      <w:r w:rsidR="0068130C" w:rsidRPr="00EC356F">
        <w:rPr>
          <w:rFonts w:ascii="Times New Roman" w:hAnsi="Times New Roman" w:cs="Times New Roman"/>
          <w:sz w:val="21"/>
          <w:szCs w:val="21"/>
        </w:rPr>
        <w:t xml:space="preserve">% </w:t>
      </w:r>
      <w:r w:rsidRPr="00EC356F">
        <w:rPr>
          <w:rFonts w:ascii="Times New Roman" w:hAnsi="Times New Roman" w:cs="Times New Roman"/>
          <w:sz w:val="21"/>
          <w:szCs w:val="21"/>
        </w:rPr>
        <w:t xml:space="preserve">y/y growth against the previous quarter’s </w:t>
      </w:r>
      <w:r w:rsidR="0068130C">
        <w:rPr>
          <w:rFonts w:ascii="Times New Roman" w:hAnsi="Times New Roman" w:cs="Times New Roman"/>
          <w:sz w:val="21"/>
          <w:szCs w:val="21"/>
        </w:rPr>
        <w:t>7</w:t>
      </w:r>
      <w:r w:rsidRPr="00EC356F">
        <w:rPr>
          <w:rFonts w:ascii="Times New Roman" w:hAnsi="Times New Roman" w:cs="Times New Roman"/>
          <w:sz w:val="21"/>
          <w:szCs w:val="21"/>
        </w:rPr>
        <w:t>.</w:t>
      </w:r>
      <w:r w:rsidR="0068130C">
        <w:rPr>
          <w:rFonts w:ascii="Times New Roman" w:hAnsi="Times New Roman" w:cs="Times New Roman"/>
          <w:sz w:val="21"/>
          <w:szCs w:val="21"/>
        </w:rPr>
        <w:t>6</w:t>
      </w:r>
      <w:r w:rsidRPr="00EC356F">
        <w:rPr>
          <w:rFonts w:ascii="Times New Roman" w:hAnsi="Times New Roman" w:cs="Times New Roman"/>
          <w:sz w:val="21"/>
          <w:szCs w:val="21"/>
        </w:rPr>
        <w:t xml:space="preserve">%. </w:t>
      </w:r>
    </w:p>
    <w:p w14:paraId="780252B8" w14:textId="77777777" w:rsidR="00A9653E" w:rsidRPr="00E774C6" w:rsidRDefault="00A9653E" w:rsidP="00A9653E">
      <w:pPr>
        <w:spacing w:line="360" w:lineRule="auto"/>
        <w:jc w:val="both"/>
        <w:rPr>
          <w:rFonts w:ascii="Times New Roman" w:hAnsi="Times New Roman" w:cs="Times New Roman"/>
          <w:sz w:val="21"/>
          <w:szCs w:val="21"/>
        </w:rPr>
      </w:pPr>
      <w:r w:rsidRPr="00E774C6">
        <w:rPr>
          <w:rFonts w:ascii="Times New Roman" w:hAnsi="Times New Roman" w:cs="Times New Roman"/>
          <w:sz w:val="21"/>
          <w:szCs w:val="21"/>
        </w:rPr>
        <w:t xml:space="preserve">In the </w:t>
      </w:r>
      <w:r w:rsidR="00D2186D" w:rsidRPr="00E774C6">
        <w:rPr>
          <w:rFonts w:ascii="Times New Roman" w:hAnsi="Times New Roman" w:cs="Times New Roman"/>
          <w:sz w:val="21"/>
          <w:szCs w:val="21"/>
        </w:rPr>
        <w:t>3r</w:t>
      </w:r>
      <w:r w:rsidRPr="00E774C6">
        <w:rPr>
          <w:rFonts w:ascii="Times New Roman" w:hAnsi="Times New Roman" w:cs="Times New Roman"/>
          <w:sz w:val="21"/>
          <w:szCs w:val="21"/>
        </w:rPr>
        <w:t xml:space="preserve">d quarter of 2014, the </w:t>
      </w:r>
      <w:r w:rsidRPr="00E774C6">
        <w:rPr>
          <w:rFonts w:ascii="Times New Roman" w:hAnsi="Times New Roman" w:cs="Times New Roman"/>
          <w:b/>
          <w:i/>
          <w:sz w:val="21"/>
          <w:szCs w:val="21"/>
        </w:rPr>
        <w:t>price of Brent crude</w:t>
      </w:r>
      <w:r w:rsidRPr="00E774C6">
        <w:rPr>
          <w:rFonts w:ascii="Times New Roman" w:hAnsi="Times New Roman" w:cs="Times New Roman"/>
          <w:sz w:val="21"/>
          <w:szCs w:val="21"/>
        </w:rPr>
        <w:t xml:space="preserve"> at </w:t>
      </w:r>
      <w:r w:rsidRPr="00E774C6">
        <w:rPr>
          <w:rFonts w:ascii="Times New Roman" w:hAnsi="Times New Roman" w:cs="Times New Roman"/>
          <w:iCs/>
          <w:sz w:val="21"/>
          <w:szCs w:val="21"/>
        </w:rPr>
        <w:t>Intercontinental Exchange</w:t>
      </w:r>
      <w:r w:rsidRPr="00E774C6">
        <w:rPr>
          <w:rFonts w:ascii="Times New Roman" w:hAnsi="Times New Roman" w:cs="Times New Roman"/>
          <w:sz w:val="21"/>
          <w:szCs w:val="21"/>
        </w:rPr>
        <w:t xml:space="preserve"> </w:t>
      </w:r>
      <w:r w:rsidR="00D2186D" w:rsidRPr="00E774C6">
        <w:rPr>
          <w:rFonts w:ascii="Times New Roman" w:hAnsi="Times New Roman" w:cs="Times New Roman"/>
          <w:sz w:val="21"/>
          <w:szCs w:val="21"/>
        </w:rPr>
        <w:t>fell</w:t>
      </w:r>
      <w:r w:rsidRPr="00E774C6">
        <w:rPr>
          <w:rFonts w:ascii="Times New Roman" w:hAnsi="Times New Roman" w:cs="Times New Roman"/>
          <w:sz w:val="21"/>
          <w:szCs w:val="21"/>
        </w:rPr>
        <w:t xml:space="preserve"> by </w:t>
      </w:r>
      <w:r w:rsidR="00D2186D" w:rsidRPr="00E774C6">
        <w:rPr>
          <w:rFonts w:ascii="Times New Roman" w:hAnsi="Times New Roman" w:cs="Times New Roman"/>
          <w:sz w:val="21"/>
          <w:szCs w:val="21"/>
        </w:rPr>
        <w:t>6</w:t>
      </w:r>
      <w:r w:rsidRPr="00E774C6">
        <w:rPr>
          <w:rFonts w:ascii="Times New Roman" w:hAnsi="Times New Roman" w:cs="Times New Roman"/>
          <w:sz w:val="21"/>
          <w:szCs w:val="21"/>
        </w:rPr>
        <w:t>.8% against the previous quarter, reaching USD 1</w:t>
      </w:r>
      <w:r w:rsidR="00D2186D" w:rsidRPr="00E774C6">
        <w:rPr>
          <w:rFonts w:ascii="Times New Roman" w:hAnsi="Times New Roman" w:cs="Times New Roman"/>
          <w:sz w:val="21"/>
          <w:szCs w:val="21"/>
        </w:rPr>
        <w:t>02.1</w:t>
      </w:r>
      <w:r w:rsidRPr="00E774C6">
        <w:rPr>
          <w:rFonts w:ascii="Times New Roman" w:hAnsi="Times New Roman" w:cs="Times New Roman"/>
          <w:sz w:val="21"/>
          <w:szCs w:val="21"/>
        </w:rPr>
        <w:t xml:space="preserve"> a barrel (with </w:t>
      </w:r>
      <w:r w:rsidR="00D2186D" w:rsidRPr="00E774C6">
        <w:rPr>
          <w:rFonts w:ascii="Times New Roman" w:hAnsi="Times New Roman" w:cs="Times New Roman"/>
          <w:sz w:val="21"/>
          <w:szCs w:val="21"/>
        </w:rPr>
        <w:t>7</w:t>
      </w:r>
      <w:r w:rsidRPr="00E774C6">
        <w:rPr>
          <w:rFonts w:ascii="Times New Roman" w:hAnsi="Times New Roman" w:cs="Times New Roman"/>
          <w:sz w:val="21"/>
          <w:szCs w:val="21"/>
        </w:rPr>
        <w:t>.</w:t>
      </w:r>
      <w:r w:rsidR="00D2186D" w:rsidRPr="00E774C6">
        <w:rPr>
          <w:rFonts w:ascii="Times New Roman" w:hAnsi="Times New Roman" w:cs="Times New Roman"/>
          <w:sz w:val="21"/>
          <w:szCs w:val="21"/>
        </w:rPr>
        <w:t>2</w:t>
      </w:r>
      <w:r w:rsidRPr="00E774C6">
        <w:rPr>
          <w:rFonts w:ascii="Times New Roman" w:hAnsi="Times New Roman" w:cs="Times New Roman"/>
          <w:sz w:val="21"/>
          <w:szCs w:val="21"/>
        </w:rPr>
        <w:t xml:space="preserve">% </w:t>
      </w:r>
      <w:r w:rsidR="00D2186D" w:rsidRPr="00E774C6">
        <w:rPr>
          <w:rFonts w:ascii="Times New Roman" w:hAnsi="Times New Roman" w:cs="Times New Roman"/>
          <w:sz w:val="21"/>
          <w:szCs w:val="21"/>
        </w:rPr>
        <w:t>y/y decrease</w:t>
      </w:r>
      <w:r w:rsidRPr="00E774C6">
        <w:rPr>
          <w:rFonts w:ascii="Times New Roman" w:hAnsi="Times New Roman" w:cs="Times New Roman"/>
          <w:sz w:val="21"/>
          <w:szCs w:val="21"/>
        </w:rPr>
        <w:t xml:space="preserve">). During the quarter, the </w:t>
      </w:r>
      <w:r w:rsidRPr="00E774C6">
        <w:rPr>
          <w:rFonts w:ascii="Times New Roman" w:hAnsi="Times New Roman" w:cs="Times New Roman"/>
          <w:b/>
          <w:i/>
          <w:sz w:val="21"/>
          <w:szCs w:val="21"/>
        </w:rPr>
        <w:t>price of copper</w:t>
      </w:r>
      <w:r w:rsidRPr="00E774C6">
        <w:rPr>
          <w:rFonts w:ascii="Times New Roman" w:hAnsi="Times New Roman" w:cs="Times New Roman"/>
          <w:sz w:val="21"/>
          <w:szCs w:val="21"/>
        </w:rPr>
        <w:t xml:space="preserve"> at the London Metal Exchange </w:t>
      </w:r>
      <w:r w:rsidR="00CE023C" w:rsidRPr="00E774C6">
        <w:rPr>
          <w:rFonts w:ascii="Times New Roman" w:hAnsi="Times New Roman" w:cs="Times New Roman"/>
          <w:sz w:val="21"/>
          <w:szCs w:val="21"/>
          <w:lang w:val="hy-AM"/>
        </w:rPr>
        <w:t>grew</w:t>
      </w:r>
      <w:r w:rsidRPr="00E774C6">
        <w:rPr>
          <w:rFonts w:ascii="Times New Roman" w:hAnsi="Times New Roman" w:cs="Times New Roman"/>
          <w:sz w:val="21"/>
          <w:szCs w:val="21"/>
        </w:rPr>
        <w:t xml:space="preserve"> by 3.</w:t>
      </w:r>
      <w:r w:rsidR="00CE023C" w:rsidRPr="00E774C6">
        <w:rPr>
          <w:rFonts w:ascii="Times New Roman" w:hAnsi="Times New Roman" w:cs="Times New Roman"/>
          <w:sz w:val="21"/>
          <w:szCs w:val="21"/>
          <w:lang w:val="hy-AM"/>
        </w:rPr>
        <w:t>2</w:t>
      </w:r>
      <w:r w:rsidRPr="00E774C6">
        <w:rPr>
          <w:rFonts w:ascii="Times New Roman" w:hAnsi="Times New Roman" w:cs="Times New Roman"/>
          <w:sz w:val="21"/>
          <w:szCs w:val="21"/>
        </w:rPr>
        <w:t>% to USD 6</w:t>
      </w:r>
      <w:r w:rsidR="00CE023C" w:rsidRPr="00E774C6">
        <w:rPr>
          <w:rFonts w:ascii="Times New Roman" w:hAnsi="Times New Roman" w:cs="Times New Roman"/>
          <w:sz w:val="21"/>
          <w:szCs w:val="21"/>
          <w:lang w:val="hy-AM"/>
        </w:rPr>
        <w:t>978</w:t>
      </w:r>
      <w:r w:rsidRPr="00E774C6">
        <w:rPr>
          <w:rFonts w:ascii="Times New Roman" w:hAnsi="Times New Roman" w:cs="Times New Roman"/>
          <w:sz w:val="21"/>
          <w:szCs w:val="21"/>
        </w:rPr>
        <w:t xml:space="preserve"> per ton (with </w:t>
      </w:r>
      <w:r w:rsidR="00CE023C" w:rsidRPr="00E774C6">
        <w:rPr>
          <w:rFonts w:ascii="Times New Roman" w:hAnsi="Times New Roman" w:cs="Times New Roman"/>
          <w:sz w:val="21"/>
          <w:szCs w:val="21"/>
          <w:lang w:val="hy-AM"/>
        </w:rPr>
        <w:t>1.8</w:t>
      </w:r>
      <w:r w:rsidRPr="00E774C6">
        <w:rPr>
          <w:rFonts w:ascii="Times New Roman" w:hAnsi="Times New Roman" w:cs="Times New Roman"/>
          <w:sz w:val="21"/>
          <w:szCs w:val="21"/>
        </w:rPr>
        <w:t xml:space="preserve">% decline y/y). </w:t>
      </w:r>
    </w:p>
    <w:p w14:paraId="0C2C5063" w14:textId="77777777" w:rsidR="00E26F69" w:rsidRDefault="00A9653E" w:rsidP="00A9653E">
      <w:pPr>
        <w:spacing w:line="360" w:lineRule="auto"/>
        <w:jc w:val="both"/>
        <w:rPr>
          <w:rStyle w:val="longtext"/>
          <w:rFonts w:ascii="Times New Roman" w:hAnsi="Times New Roman" w:cs="Times New Roman"/>
          <w:sz w:val="21"/>
          <w:szCs w:val="21"/>
        </w:rPr>
      </w:pPr>
      <w:r w:rsidRPr="00E774C6">
        <w:rPr>
          <w:rFonts w:ascii="Times New Roman" w:hAnsi="Times New Roman" w:cs="Times New Roman"/>
          <w:sz w:val="21"/>
          <w:szCs w:val="21"/>
        </w:rPr>
        <w:t xml:space="preserve">In the </w:t>
      </w:r>
      <w:r w:rsidR="00E774C6" w:rsidRPr="00E774C6">
        <w:rPr>
          <w:rFonts w:ascii="Times New Roman" w:hAnsi="Times New Roman" w:cs="Times New Roman"/>
          <w:sz w:val="21"/>
          <w:szCs w:val="21"/>
          <w:lang w:val="hy-AM"/>
        </w:rPr>
        <w:t>3r</w:t>
      </w:r>
      <w:r w:rsidRPr="00E774C6">
        <w:rPr>
          <w:rFonts w:ascii="Times New Roman" w:hAnsi="Times New Roman" w:cs="Times New Roman"/>
          <w:sz w:val="21"/>
          <w:szCs w:val="21"/>
        </w:rPr>
        <w:t>d quarter of 2014, e</w:t>
      </w:r>
      <w:r w:rsidRPr="00E774C6">
        <w:rPr>
          <w:rStyle w:val="longtext"/>
          <w:rFonts w:ascii="Times New Roman" w:hAnsi="Times New Roman" w:cs="Times New Roman"/>
          <w:sz w:val="21"/>
          <w:szCs w:val="21"/>
          <w:shd w:val="clear" w:color="auto" w:fill="FFFFFF"/>
        </w:rPr>
        <w:t xml:space="preserve">xport price of </w:t>
      </w:r>
      <w:r w:rsidRPr="00E774C6">
        <w:rPr>
          <w:rStyle w:val="longtext"/>
          <w:rFonts w:ascii="Times New Roman" w:hAnsi="Times New Roman" w:cs="Times New Roman"/>
          <w:b/>
          <w:i/>
          <w:sz w:val="21"/>
          <w:szCs w:val="21"/>
          <w:shd w:val="clear" w:color="auto" w:fill="FFFFFF"/>
        </w:rPr>
        <w:t>hard red</w:t>
      </w:r>
      <w:r w:rsidRPr="00E774C6">
        <w:rPr>
          <w:rStyle w:val="longtext"/>
          <w:rFonts w:ascii="Times New Roman" w:hAnsi="Times New Roman" w:cs="Times New Roman"/>
          <w:i/>
          <w:sz w:val="21"/>
          <w:szCs w:val="21"/>
          <w:shd w:val="clear" w:color="auto" w:fill="FFFFFF"/>
        </w:rPr>
        <w:t xml:space="preserve"> </w:t>
      </w:r>
      <w:r w:rsidRPr="00E774C6">
        <w:rPr>
          <w:rStyle w:val="longtext"/>
          <w:rFonts w:ascii="Times New Roman" w:hAnsi="Times New Roman" w:cs="Times New Roman"/>
          <w:b/>
          <w:i/>
          <w:sz w:val="21"/>
          <w:szCs w:val="21"/>
          <w:shd w:val="clear" w:color="auto" w:fill="FFFFFF"/>
        </w:rPr>
        <w:t>wheat</w:t>
      </w:r>
      <w:r w:rsidRPr="00E774C6">
        <w:rPr>
          <w:rStyle w:val="longtext"/>
          <w:rFonts w:ascii="Times New Roman" w:hAnsi="Times New Roman" w:cs="Times New Roman"/>
          <w:sz w:val="21"/>
          <w:szCs w:val="21"/>
          <w:shd w:val="clear" w:color="auto" w:fill="FFFFFF"/>
        </w:rPr>
        <w:t xml:space="preserve"> </w:t>
      </w:r>
      <w:r w:rsidR="00E774C6" w:rsidRPr="00E774C6">
        <w:rPr>
          <w:rStyle w:val="longtext"/>
          <w:rFonts w:ascii="Times New Roman" w:hAnsi="Times New Roman" w:cs="Times New Roman"/>
          <w:sz w:val="21"/>
          <w:szCs w:val="21"/>
          <w:shd w:val="clear" w:color="auto" w:fill="FFFFFF"/>
          <w:lang w:val="hy-AM"/>
        </w:rPr>
        <w:t xml:space="preserve">plunged </w:t>
      </w:r>
      <w:r w:rsidRPr="00E774C6">
        <w:rPr>
          <w:rStyle w:val="longtext"/>
          <w:rFonts w:ascii="Times New Roman" w:hAnsi="Times New Roman" w:cs="Times New Roman"/>
          <w:sz w:val="21"/>
          <w:szCs w:val="21"/>
          <w:shd w:val="clear" w:color="auto" w:fill="FFFFFF"/>
        </w:rPr>
        <w:t xml:space="preserve">by </w:t>
      </w:r>
      <w:r w:rsidR="00E774C6" w:rsidRPr="00E774C6">
        <w:rPr>
          <w:rStyle w:val="longtext"/>
          <w:rFonts w:ascii="Times New Roman" w:hAnsi="Times New Roman" w:cs="Times New Roman"/>
          <w:sz w:val="21"/>
          <w:szCs w:val="21"/>
          <w:shd w:val="clear" w:color="auto" w:fill="FFFFFF"/>
          <w:lang w:val="hy-AM"/>
        </w:rPr>
        <w:t>19</w:t>
      </w:r>
      <w:r w:rsidRPr="00E774C6">
        <w:rPr>
          <w:rStyle w:val="longtext"/>
          <w:rFonts w:ascii="Times New Roman" w:hAnsi="Times New Roman" w:cs="Times New Roman"/>
          <w:sz w:val="21"/>
          <w:szCs w:val="21"/>
          <w:shd w:val="clear" w:color="auto" w:fill="FFFFFF"/>
        </w:rPr>
        <w:t xml:space="preserve">% q/q to USD </w:t>
      </w:r>
      <w:r w:rsidR="00E774C6" w:rsidRPr="00E774C6">
        <w:rPr>
          <w:rStyle w:val="longtext"/>
          <w:rFonts w:ascii="Times New Roman" w:hAnsi="Times New Roman" w:cs="Times New Roman"/>
          <w:sz w:val="21"/>
          <w:szCs w:val="21"/>
          <w:shd w:val="clear" w:color="auto" w:fill="FFFFFF"/>
          <w:lang w:val="hy-AM"/>
        </w:rPr>
        <w:t>7</w:t>
      </w:r>
      <w:r w:rsidRPr="00E774C6">
        <w:rPr>
          <w:rStyle w:val="longtext"/>
          <w:rFonts w:ascii="Times New Roman" w:hAnsi="Times New Roman" w:cs="Times New Roman"/>
          <w:sz w:val="21"/>
          <w:szCs w:val="21"/>
          <w:shd w:val="clear" w:color="auto" w:fill="FFFFFF"/>
        </w:rPr>
        <w:t>.</w:t>
      </w:r>
      <w:r w:rsidR="00E774C6" w:rsidRPr="00E774C6">
        <w:rPr>
          <w:rStyle w:val="longtext"/>
          <w:rFonts w:ascii="Times New Roman" w:hAnsi="Times New Roman" w:cs="Times New Roman"/>
          <w:sz w:val="21"/>
          <w:szCs w:val="21"/>
          <w:shd w:val="clear" w:color="auto" w:fill="FFFFFF"/>
          <w:lang w:val="hy-AM"/>
        </w:rPr>
        <w:t>1</w:t>
      </w:r>
      <w:r w:rsidRPr="00E774C6">
        <w:rPr>
          <w:rStyle w:val="longtext"/>
          <w:rFonts w:ascii="Times New Roman" w:hAnsi="Times New Roman" w:cs="Times New Roman"/>
          <w:sz w:val="21"/>
          <w:szCs w:val="21"/>
          <w:shd w:val="clear" w:color="auto" w:fill="FFFFFF"/>
        </w:rPr>
        <w:t xml:space="preserve"> a bushel (</w:t>
      </w:r>
      <w:r w:rsidRPr="00E774C6">
        <w:rPr>
          <w:rFonts w:ascii="Times New Roman" w:hAnsi="Times New Roman" w:cs="Times New Roman"/>
          <w:sz w:val="21"/>
          <w:szCs w:val="21"/>
        </w:rPr>
        <w:t xml:space="preserve">with </w:t>
      </w:r>
      <w:r w:rsidR="00E774C6" w:rsidRPr="00E774C6">
        <w:rPr>
          <w:rFonts w:ascii="Times New Roman" w:hAnsi="Times New Roman" w:cs="Times New Roman"/>
          <w:sz w:val="21"/>
          <w:szCs w:val="21"/>
          <w:lang w:val="hy-AM"/>
        </w:rPr>
        <w:t>14</w:t>
      </w:r>
      <w:r w:rsidRPr="00E774C6">
        <w:rPr>
          <w:rFonts w:ascii="Times New Roman" w:hAnsi="Times New Roman" w:cs="Times New Roman"/>
          <w:sz w:val="21"/>
          <w:szCs w:val="21"/>
        </w:rPr>
        <w:t>.</w:t>
      </w:r>
      <w:r w:rsidR="00E774C6" w:rsidRPr="00E774C6">
        <w:rPr>
          <w:rFonts w:ascii="Times New Roman" w:hAnsi="Times New Roman" w:cs="Times New Roman"/>
          <w:sz w:val="21"/>
          <w:szCs w:val="21"/>
          <w:lang w:val="hy-AM"/>
        </w:rPr>
        <w:t>8</w:t>
      </w:r>
      <w:r w:rsidRPr="00E774C6">
        <w:rPr>
          <w:rFonts w:ascii="Times New Roman" w:hAnsi="Times New Roman" w:cs="Times New Roman"/>
          <w:sz w:val="21"/>
          <w:szCs w:val="21"/>
        </w:rPr>
        <w:t xml:space="preserve">% </w:t>
      </w:r>
      <w:r w:rsidR="00E774C6" w:rsidRPr="00E774C6">
        <w:rPr>
          <w:rFonts w:ascii="Times New Roman" w:hAnsi="Times New Roman" w:cs="Times New Roman"/>
          <w:sz w:val="21"/>
          <w:szCs w:val="21"/>
          <w:lang w:val="hy-AM"/>
        </w:rPr>
        <w:t>decrease</w:t>
      </w:r>
      <w:r w:rsidRPr="00E774C6">
        <w:rPr>
          <w:rFonts w:ascii="Times New Roman" w:hAnsi="Times New Roman" w:cs="Times New Roman"/>
          <w:sz w:val="21"/>
          <w:szCs w:val="21"/>
        </w:rPr>
        <w:t xml:space="preserve"> y/y</w:t>
      </w:r>
      <w:r w:rsidRPr="00E774C6">
        <w:rPr>
          <w:rStyle w:val="longtext"/>
          <w:rFonts w:ascii="Times New Roman" w:hAnsi="Times New Roman" w:cs="Times New Roman"/>
          <w:sz w:val="21"/>
          <w:szCs w:val="21"/>
          <w:shd w:val="clear" w:color="auto" w:fill="FFFFFF"/>
        </w:rPr>
        <w:t>), according to the U.S. Department of Agriculture data.</w:t>
      </w:r>
      <w:r w:rsidRPr="00E774C6">
        <w:rPr>
          <w:rStyle w:val="longtext"/>
          <w:rFonts w:ascii="Times New Roman" w:hAnsi="Times New Roman" w:cs="Times New Roman"/>
          <w:sz w:val="21"/>
          <w:szCs w:val="21"/>
        </w:rPr>
        <w:t xml:space="preserve"> The </w:t>
      </w:r>
      <w:r w:rsidR="00E774C6" w:rsidRPr="00E774C6">
        <w:rPr>
          <w:rStyle w:val="longtext"/>
          <w:rFonts w:ascii="Times New Roman" w:hAnsi="Times New Roman" w:cs="Times New Roman"/>
          <w:sz w:val="21"/>
          <w:szCs w:val="21"/>
          <w:lang w:val="hy-AM"/>
        </w:rPr>
        <w:t>de</w:t>
      </w:r>
      <w:r w:rsidRPr="00E774C6">
        <w:rPr>
          <w:rStyle w:val="longtext"/>
          <w:rFonts w:ascii="Times New Roman" w:hAnsi="Times New Roman" w:cs="Times New Roman"/>
          <w:sz w:val="21"/>
          <w:szCs w:val="21"/>
        </w:rPr>
        <w:t xml:space="preserve">crease of wheat prices </w:t>
      </w:r>
      <w:r w:rsidR="00E774C6" w:rsidRPr="00E774C6">
        <w:rPr>
          <w:rStyle w:val="longtext"/>
          <w:rFonts w:ascii="Times New Roman" w:hAnsi="Times New Roman" w:cs="Times New Roman"/>
          <w:sz w:val="21"/>
          <w:szCs w:val="21"/>
          <w:lang w:val="hy-AM"/>
        </w:rPr>
        <w:t xml:space="preserve">during the </w:t>
      </w:r>
      <w:r w:rsidRPr="00E774C6">
        <w:rPr>
          <w:rStyle w:val="longtext"/>
          <w:rFonts w:ascii="Times New Roman" w:hAnsi="Times New Roman" w:cs="Times New Roman"/>
          <w:sz w:val="21"/>
          <w:szCs w:val="21"/>
        </w:rPr>
        <w:t xml:space="preserve">quarter was </w:t>
      </w:r>
      <w:r w:rsidR="00E774C6" w:rsidRPr="00E774C6">
        <w:rPr>
          <w:rStyle w:val="longtext"/>
          <w:rFonts w:ascii="Times New Roman" w:hAnsi="Times New Roman" w:cs="Times New Roman"/>
          <w:sz w:val="21"/>
          <w:szCs w:val="21"/>
          <w:lang w:val="hy-AM"/>
        </w:rPr>
        <w:t xml:space="preserve">in part a result of technical adjustment </w:t>
      </w:r>
      <w:r w:rsidR="00E774C6">
        <w:rPr>
          <w:rStyle w:val="longtext"/>
          <w:rFonts w:ascii="Times New Roman" w:hAnsi="Times New Roman" w:cs="Times New Roman"/>
          <w:sz w:val="21"/>
          <w:szCs w:val="21"/>
        </w:rPr>
        <w:t>after a previous price rise as well as expectations for abundant crops.</w:t>
      </w:r>
      <w:r w:rsidRPr="00E774C6">
        <w:rPr>
          <w:rStyle w:val="longtext"/>
          <w:rFonts w:ascii="Times New Roman" w:hAnsi="Times New Roman" w:cs="Times New Roman"/>
          <w:sz w:val="21"/>
          <w:szCs w:val="21"/>
        </w:rPr>
        <w:t xml:space="preserve"> </w:t>
      </w:r>
    </w:p>
    <w:p w14:paraId="1B149D0A" w14:textId="77777777" w:rsidR="00A9653E" w:rsidRPr="00EC356F" w:rsidRDefault="00A9653E" w:rsidP="00A9653E">
      <w:pPr>
        <w:spacing w:line="360" w:lineRule="auto"/>
        <w:jc w:val="both"/>
        <w:rPr>
          <w:rStyle w:val="longtext"/>
          <w:rFonts w:ascii="Times New Roman" w:hAnsi="Times New Roman" w:cs="Times New Roman"/>
          <w:sz w:val="21"/>
          <w:szCs w:val="21"/>
        </w:rPr>
      </w:pPr>
      <w:r w:rsidRPr="00E774C6">
        <w:rPr>
          <w:rStyle w:val="longtext"/>
          <w:rFonts w:ascii="Times New Roman" w:hAnsi="Times New Roman" w:cs="Times New Roman"/>
          <w:sz w:val="21"/>
          <w:szCs w:val="21"/>
        </w:rPr>
        <w:lastRenderedPageBreak/>
        <w:t xml:space="preserve">During the quarter, the price index of </w:t>
      </w:r>
      <w:r w:rsidRPr="00E774C6">
        <w:rPr>
          <w:rStyle w:val="longtext"/>
          <w:rFonts w:ascii="Times New Roman" w:hAnsi="Times New Roman" w:cs="Times New Roman"/>
          <w:b/>
          <w:i/>
          <w:sz w:val="21"/>
          <w:szCs w:val="21"/>
        </w:rPr>
        <w:t>unprocessed sugar</w:t>
      </w:r>
      <w:r w:rsidRPr="00E774C6">
        <w:rPr>
          <w:rStyle w:val="longtext"/>
          <w:rFonts w:ascii="Times New Roman" w:hAnsi="Times New Roman" w:cs="Times New Roman"/>
          <w:sz w:val="21"/>
          <w:szCs w:val="21"/>
        </w:rPr>
        <w:t xml:space="preserve"> at the </w:t>
      </w:r>
      <w:r w:rsidRPr="00E774C6">
        <w:rPr>
          <w:rFonts w:ascii="Times New Roman" w:eastAsia="MS Mincho" w:hAnsi="Times New Roman" w:cs="Times New Roman"/>
          <w:iCs/>
          <w:sz w:val="21"/>
          <w:szCs w:val="21"/>
        </w:rPr>
        <w:t>New York Board-Intercontinental Exchange</w:t>
      </w:r>
      <w:r w:rsidRPr="00E774C6">
        <w:rPr>
          <w:rStyle w:val="longtext"/>
          <w:rFonts w:ascii="Times New Roman" w:hAnsi="Times New Roman" w:cs="Times New Roman"/>
          <w:sz w:val="21"/>
          <w:szCs w:val="21"/>
        </w:rPr>
        <w:t xml:space="preserve"> reported a </w:t>
      </w:r>
      <w:r w:rsidR="00E26F69">
        <w:rPr>
          <w:rStyle w:val="longtext"/>
          <w:rFonts w:ascii="Times New Roman" w:hAnsi="Times New Roman" w:cs="Times New Roman"/>
          <w:sz w:val="21"/>
          <w:szCs w:val="21"/>
        </w:rPr>
        <w:t>7</w:t>
      </w:r>
      <w:r w:rsidRPr="00E774C6">
        <w:rPr>
          <w:rStyle w:val="longtext"/>
          <w:rFonts w:ascii="Times New Roman" w:hAnsi="Times New Roman" w:cs="Times New Roman"/>
          <w:sz w:val="21"/>
          <w:szCs w:val="21"/>
        </w:rPr>
        <w:t>.</w:t>
      </w:r>
      <w:r w:rsidR="00E26F69">
        <w:rPr>
          <w:rStyle w:val="longtext"/>
          <w:rFonts w:ascii="Times New Roman" w:hAnsi="Times New Roman" w:cs="Times New Roman"/>
          <w:sz w:val="21"/>
          <w:szCs w:val="21"/>
        </w:rPr>
        <w:t>7</w:t>
      </w:r>
      <w:r w:rsidRPr="00E774C6">
        <w:rPr>
          <w:rStyle w:val="longtext"/>
          <w:rFonts w:ascii="Times New Roman" w:hAnsi="Times New Roman" w:cs="Times New Roman"/>
          <w:sz w:val="21"/>
          <w:szCs w:val="21"/>
        </w:rPr>
        <w:t xml:space="preserve">% </w:t>
      </w:r>
      <w:r w:rsidR="00E26F69">
        <w:rPr>
          <w:rStyle w:val="longtext"/>
          <w:rFonts w:ascii="Times New Roman" w:hAnsi="Times New Roman" w:cs="Times New Roman"/>
          <w:sz w:val="21"/>
          <w:szCs w:val="21"/>
        </w:rPr>
        <w:t>de</w:t>
      </w:r>
      <w:r w:rsidRPr="00E774C6">
        <w:rPr>
          <w:rStyle w:val="longtext"/>
          <w:rFonts w:ascii="Times New Roman" w:hAnsi="Times New Roman" w:cs="Times New Roman"/>
          <w:sz w:val="21"/>
          <w:szCs w:val="21"/>
        </w:rPr>
        <w:t xml:space="preserve">crease </w:t>
      </w:r>
      <w:r w:rsidRPr="00E774C6">
        <w:rPr>
          <w:rStyle w:val="longtext"/>
          <w:rFonts w:ascii="Times New Roman" w:hAnsi="Times New Roman" w:cs="Times New Roman"/>
          <w:sz w:val="21"/>
          <w:szCs w:val="21"/>
          <w:shd w:val="clear" w:color="auto" w:fill="FFFFFF"/>
        </w:rPr>
        <w:t>(</w:t>
      </w:r>
      <w:r w:rsidRPr="00E774C6">
        <w:rPr>
          <w:rFonts w:ascii="Times New Roman" w:hAnsi="Times New Roman" w:cs="Times New Roman"/>
          <w:sz w:val="21"/>
          <w:szCs w:val="21"/>
        </w:rPr>
        <w:t xml:space="preserve">with </w:t>
      </w:r>
      <w:r w:rsidR="00E26F69">
        <w:rPr>
          <w:rFonts w:ascii="Times New Roman" w:hAnsi="Times New Roman" w:cs="Times New Roman"/>
          <w:sz w:val="21"/>
          <w:szCs w:val="21"/>
        </w:rPr>
        <w:t>4</w:t>
      </w:r>
      <w:r w:rsidRPr="00E774C6">
        <w:rPr>
          <w:rFonts w:ascii="Times New Roman" w:hAnsi="Times New Roman" w:cs="Times New Roman"/>
          <w:sz w:val="21"/>
          <w:szCs w:val="21"/>
        </w:rPr>
        <w:t>.</w:t>
      </w:r>
      <w:r w:rsidR="00E26F69">
        <w:rPr>
          <w:rFonts w:ascii="Times New Roman" w:hAnsi="Times New Roman" w:cs="Times New Roman"/>
          <w:sz w:val="21"/>
          <w:szCs w:val="21"/>
        </w:rPr>
        <w:t>7</w:t>
      </w:r>
      <w:r w:rsidRPr="00E774C6">
        <w:rPr>
          <w:rFonts w:ascii="Times New Roman" w:hAnsi="Times New Roman" w:cs="Times New Roman"/>
          <w:sz w:val="21"/>
          <w:szCs w:val="21"/>
        </w:rPr>
        <w:t xml:space="preserve">% </w:t>
      </w:r>
      <w:r w:rsidR="00E26F69">
        <w:rPr>
          <w:rFonts w:ascii="Times New Roman" w:hAnsi="Times New Roman" w:cs="Times New Roman"/>
          <w:sz w:val="21"/>
          <w:szCs w:val="21"/>
        </w:rPr>
        <w:t>decline</w:t>
      </w:r>
      <w:r w:rsidRPr="00E774C6">
        <w:rPr>
          <w:rFonts w:ascii="Times New Roman" w:hAnsi="Times New Roman" w:cs="Times New Roman"/>
          <w:sz w:val="21"/>
          <w:szCs w:val="21"/>
        </w:rPr>
        <w:t xml:space="preserve"> y/y</w:t>
      </w:r>
      <w:r w:rsidRPr="00E774C6">
        <w:rPr>
          <w:rStyle w:val="longtext"/>
          <w:rFonts w:ascii="Times New Roman" w:hAnsi="Times New Roman" w:cs="Times New Roman"/>
          <w:sz w:val="21"/>
          <w:szCs w:val="21"/>
          <w:shd w:val="clear" w:color="auto" w:fill="FFFFFF"/>
        </w:rPr>
        <w:t>)</w:t>
      </w:r>
      <w:r w:rsidR="00E26F69">
        <w:rPr>
          <w:rStyle w:val="longtext"/>
          <w:rFonts w:ascii="Times New Roman" w:hAnsi="Times New Roman" w:cs="Times New Roman"/>
          <w:sz w:val="21"/>
          <w:szCs w:val="21"/>
          <w:shd w:val="clear" w:color="auto" w:fill="FFFFFF"/>
        </w:rPr>
        <w:t xml:space="preserve"> driven by strengthening U.S. dollar</w:t>
      </w:r>
      <w:r w:rsidRPr="00E774C6">
        <w:rPr>
          <w:rStyle w:val="longtext"/>
          <w:rFonts w:ascii="Times New Roman" w:hAnsi="Times New Roman" w:cs="Times New Roman"/>
          <w:sz w:val="21"/>
          <w:szCs w:val="21"/>
          <w:shd w:val="clear" w:color="auto" w:fill="FFFFFF"/>
        </w:rPr>
        <w:t xml:space="preserve"> </w:t>
      </w:r>
      <w:r w:rsidR="00E26F69">
        <w:rPr>
          <w:rStyle w:val="longtext"/>
          <w:rFonts w:ascii="Times New Roman" w:hAnsi="Times New Roman" w:cs="Times New Roman"/>
          <w:sz w:val="21"/>
          <w:szCs w:val="21"/>
          <w:shd w:val="clear" w:color="auto" w:fill="FFFFFF"/>
        </w:rPr>
        <w:t>especially against the Brazilian currency as well as expectations for supply in the market. Similarly, t</w:t>
      </w:r>
      <w:r w:rsidRPr="00E774C6">
        <w:rPr>
          <w:rStyle w:val="longtext"/>
          <w:rFonts w:ascii="Times New Roman" w:hAnsi="Times New Roman" w:cs="Times New Roman"/>
          <w:sz w:val="21"/>
          <w:szCs w:val="21"/>
        </w:rPr>
        <w:t>he price of</w:t>
      </w:r>
      <w:r w:rsidRPr="00E774C6">
        <w:rPr>
          <w:rStyle w:val="longtext"/>
          <w:rFonts w:ascii="Times New Roman" w:hAnsi="Times New Roman" w:cs="Times New Roman"/>
          <w:b/>
          <w:i/>
          <w:sz w:val="21"/>
          <w:szCs w:val="21"/>
        </w:rPr>
        <w:t xml:space="preserve"> rice</w:t>
      </w:r>
      <w:r w:rsidRPr="00E774C6">
        <w:rPr>
          <w:rStyle w:val="longtext"/>
          <w:rFonts w:ascii="Times New Roman" w:hAnsi="Times New Roman" w:cs="Times New Roman"/>
          <w:sz w:val="21"/>
          <w:szCs w:val="21"/>
        </w:rPr>
        <w:t xml:space="preserve"> at the</w:t>
      </w:r>
      <w:r w:rsidRPr="00EC356F">
        <w:rPr>
          <w:rStyle w:val="longtext"/>
          <w:rFonts w:ascii="Times New Roman" w:hAnsi="Times New Roman" w:cs="Times New Roman"/>
          <w:sz w:val="21"/>
          <w:szCs w:val="21"/>
        </w:rPr>
        <w:t xml:space="preserve"> Chicago Board of Trade fell by </w:t>
      </w:r>
      <w:r w:rsidR="00E26F69">
        <w:rPr>
          <w:rStyle w:val="longtext"/>
          <w:rFonts w:ascii="Times New Roman" w:hAnsi="Times New Roman" w:cs="Times New Roman"/>
          <w:sz w:val="21"/>
          <w:szCs w:val="21"/>
        </w:rPr>
        <w:t>12</w:t>
      </w:r>
      <w:r w:rsidRPr="00EC356F">
        <w:rPr>
          <w:rStyle w:val="longtext"/>
          <w:rFonts w:ascii="Times New Roman" w:hAnsi="Times New Roman" w:cs="Times New Roman"/>
          <w:sz w:val="21"/>
          <w:szCs w:val="21"/>
        </w:rPr>
        <w:t xml:space="preserve">.9% to </w:t>
      </w:r>
      <w:r w:rsidRPr="00EC356F">
        <w:rPr>
          <w:rStyle w:val="longtext"/>
          <w:rFonts w:ascii="Times New Roman" w:hAnsi="Times New Roman" w:cs="Times New Roman"/>
          <w:sz w:val="21"/>
          <w:szCs w:val="21"/>
          <w:shd w:val="clear" w:color="auto" w:fill="FFFFFF"/>
        </w:rPr>
        <w:t xml:space="preserve">USD </w:t>
      </w:r>
      <w:r w:rsidRPr="00EC356F">
        <w:rPr>
          <w:rStyle w:val="longtext"/>
          <w:rFonts w:ascii="Times New Roman" w:hAnsi="Times New Roman" w:cs="Times New Roman"/>
          <w:sz w:val="21"/>
          <w:szCs w:val="21"/>
        </w:rPr>
        <w:t>1</w:t>
      </w:r>
      <w:r w:rsidR="00E26F69">
        <w:rPr>
          <w:rStyle w:val="longtext"/>
          <w:rFonts w:ascii="Times New Roman" w:hAnsi="Times New Roman" w:cs="Times New Roman"/>
          <w:sz w:val="21"/>
          <w:szCs w:val="21"/>
        </w:rPr>
        <w:t>2</w:t>
      </w:r>
      <w:r w:rsidRPr="00EC356F">
        <w:rPr>
          <w:rStyle w:val="longtext"/>
          <w:rFonts w:ascii="Times New Roman" w:hAnsi="Times New Roman" w:cs="Times New Roman"/>
          <w:sz w:val="21"/>
          <w:szCs w:val="21"/>
        </w:rPr>
        <w:t>.</w:t>
      </w:r>
      <w:r w:rsidR="00E26F69">
        <w:rPr>
          <w:rStyle w:val="longtext"/>
          <w:rFonts w:ascii="Times New Roman" w:hAnsi="Times New Roman" w:cs="Times New Roman"/>
          <w:sz w:val="21"/>
          <w:szCs w:val="21"/>
        </w:rPr>
        <w:t>9</w:t>
      </w:r>
      <w:r w:rsidRPr="00EC356F">
        <w:rPr>
          <w:rStyle w:val="longtext"/>
          <w:rFonts w:ascii="Times New Roman" w:hAnsi="Times New Roman" w:cs="Times New Roman"/>
          <w:sz w:val="21"/>
          <w:szCs w:val="21"/>
        </w:rPr>
        <w:t xml:space="preserve"> per U.S. hundredweight (45.4 kg) (with </w:t>
      </w:r>
      <w:r w:rsidR="00E26F69">
        <w:rPr>
          <w:rStyle w:val="longtext"/>
          <w:rFonts w:ascii="Times New Roman" w:hAnsi="Times New Roman" w:cs="Times New Roman"/>
          <w:sz w:val="21"/>
          <w:szCs w:val="21"/>
        </w:rPr>
        <w:t>17</w:t>
      </w:r>
      <w:r w:rsidRPr="00EC356F">
        <w:rPr>
          <w:rStyle w:val="longtext"/>
          <w:rFonts w:ascii="Times New Roman" w:hAnsi="Times New Roman" w:cs="Times New Roman"/>
          <w:sz w:val="21"/>
          <w:szCs w:val="21"/>
        </w:rPr>
        <w:t>.1% decline y/y).</w:t>
      </w:r>
    </w:p>
    <w:p w14:paraId="00D94F85" w14:textId="77777777" w:rsidR="00A9653E" w:rsidRPr="00EC356F" w:rsidRDefault="00AD64E7" w:rsidP="00A9653E">
      <w:pPr>
        <w:spacing w:line="360" w:lineRule="auto"/>
        <w:jc w:val="both"/>
        <w:rPr>
          <w:rStyle w:val="longtext"/>
          <w:rFonts w:ascii="Times New Roman" w:hAnsi="Times New Roman" w:cs="Times New Roman"/>
          <w:b/>
          <w:color w:val="000000"/>
          <w:sz w:val="21"/>
          <w:szCs w:val="21"/>
        </w:rPr>
      </w:pPr>
      <w:r>
        <w:rPr>
          <w:rStyle w:val="longtext"/>
          <w:rFonts w:ascii="Times New Roman" w:hAnsi="Times New Roman" w:cs="Times New Roman"/>
          <w:b/>
          <w:color w:val="000000"/>
          <w:sz w:val="21"/>
          <w:szCs w:val="21"/>
        </w:rPr>
        <w:t xml:space="preserve">The world commodities markets saw even deeper deflationary patterns during the 3rd quarter, which was determined by weaker-than-anticipated global economic activity and changes in the geopolitical landscape. </w:t>
      </w:r>
    </w:p>
    <w:p w14:paraId="2BCC4E5A" w14:textId="77777777" w:rsidR="00A9653E" w:rsidRPr="00EC356F" w:rsidRDefault="00A9653E" w:rsidP="00A9653E">
      <w:pPr>
        <w:spacing w:line="360" w:lineRule="auto"/>
        <w:jc w:val="both"/>
        <w:rPr>
          <w:rStyle w:val="longtext"/>
          <w:rFonts w:ascii="Times New Roman" w:hAnsi="Times New Roman" w:cs="Times New Roman"/>
          <w:b/>
          <w:color w:val="000000"/>
          <w:sz w:val="21"/>
          <w:szCs w:val="21"/>
        </w:rPr>
      </w:pPr>
      <w:r w:rsidRPr="00EC356F">
        <w:rPr>
          <w:rStyle w:val="longtext"/>
          <w:rFonts w:ascii="Times New Roman" w:hAnsi="Times New Roman" w:cs="Times New Roman"/>
          <w:b/>
          <w:color w:val="000000"/>
          <w:sz w:val="21"/>
          <w:szCs w:val="21"/>
        </w:rPr>
        <w:t>4. CONCLUSION</w:t>
      </w:r>
    </w:p>
    <w:p w14:paraId="57E68C8A" w14:textId="77777777" w:rsidR="00A9653E" w:rsidRPr="00EC356F" w:rsidRDefault="00A9653E" w:rsidP="00A9653E">
      <w:pPr>
        <w:spacing w:line="360" w:lineRule="auto"/>
        <w:jc w:val="both"/>
        <w:rPr>
          <w:rStyle w:val="longtext"/>
          <w:rFonts w:ascii="Times New Roman" w:hAnsi="Times New Roman" w:cs="Times New Roman"/>
          <w:sz w:val="21"/>
          <w:szCs w:val="21"/>
          <w:shd w:val="clear" w:color="auto" w:fill="FFFFFF"/>
        </w:rPr>
      </w:pPr>
      <w:r w:rsidRPr="00EC356F">
        <w:rPr>
          <w:rStyle w:val="longtext"/>
          <w:rFonts w:ascii="Times New Roman" w:hAnsi="Times New Roman" w:cs="Times New Roman"/>
          <w:color w:val="000000"/>
          <w:sz w:val="21"/>
          <w:szCs w:val="21"/>
          <w:shd w:val="clear" w:color="auto" w:fill="FFFFFF"/>
        </w:rPr>
        <w:t xml:space="preserve">In the </w:t>
      </w:r>
      <w:r w:rsidR="00AD64E7">
        <w:rPr>
          <w:rStyle w:val="longtext"/>
          <w:rFonts w:ascii="Times New Roman" w:hAnsi="Times New Roman" w:cs="Times New Roman"/>
          <w:color w:val="000000"/>
          <w:sz w:val="21"/>
          <w:szCs w:val="21"/>
          <w:shd w:val="clear" w:color="auto" w:fill="FFFFFF"/>
        </w:rPr>
        <w:t>3rd q</w:t>
      </w:r>
      <w:r w:rsidRPr="00EC356F">
        <w:rPr>
          <w:rStyle w:val="longtext"/>
          <w:rFonts w:ascii="Times New Roman" w:hAnsi="Times New Roman" w:cs="Times New Roman"/>
          <w:color w:val="000000"/>
          <w:sz w:val="21"/>
          <w:szCs w:val="21"/>
          <w:shd w:val="clear" w:color="auto" w:fill="FFFFFF"/>
        </w:rPr>
        <w:t xml:space="preserve">uarter of 2014, global demand in </w:t>
      </w:r>
      <w:r w:rsidRPr="00EC356F">
        <w:rPr>
          <w:rStyle w:val="longtext"/>
          <w:rFonts w:ascii="Times New Roman" w:hAnsi="Times New Roman" w:cs="Times New Roman"/>
          <w:b/>
          <w:color w:val="000000"/>
          <w:sz w:val="21"/>
          <w:szCs w:val="21"/>
          <w:shd w:val="clear" w:color="auto" w:fill="FFFFFF"/>
        </w:rPr>
        <w:t>external sector</w:t>
      </w:r>
      <w:r w:rsidRPr="00EC356F">
        <w:rPr>
          <w:rStyle w:val="longtext"/>
          <w:rFonts w:ascii="Times New Roman" w:hAnsi="Times New Roman" w:cs="Times New Roman"/>
          <w:color w:val="000000"/>
          <w:sz w:val="21"/>
          <w:szCs w:val="21"/>
          <w:shd w:val="clear" w:color="auto" w:fill="FFFFFF"/>
        </w:rPr>
        <w:t xml:space="preserve"> remained sluggish and </w:t>
      </w:r>
      <w:r w:rsidRPr="00EC356F">
        <w:rPr>
          <w:rStyle w:val="longtext"/>
          <w:rFonts w:ascii="Times New Roman" w:hAnsi="Times New Roman" w:cs="Times New Roman"/>
          <w:color w:val="000000"/>
          <w:sz w:val="21"/>
          <w:szCs w:val="21"/>
        </w:rPr>
        <w:t xml:space="preserve">mostly </w:t>
      </w:r>
      <w:r w:rsidR="00AD64E7">
        <w:rPr>
          <w:rStyle w:val="longtext"/>
          <w:rFonts w:ascii="Times New Roman" w:hAnsi="Times New Roman" w:cs="Times New Roman"/>
          <w:color w:val="000000"/>
          <w:sz w:val="21"/>
          <w:szCs w:val="21"/>
        </w:rPr>
        <w:t>de</w:t>
      </w:r>
      <w:r w:rsidRPr="00EC356F">
        <w:rPr>
          <w:rStyle w:val="longtext"/>
          <w:rFonts w:ascii="Times New Roman" w:hAnsi="Times New Roman" w:cs="Times New Roman"/>
          <w:color w:val="000000"/>
          <w:sz w:val="21"/>
          <w:szCs w:val="21"/>
        </w:rPr>
        <w:t xml:space="preserve">flationary patterns were observable in basic commodity and food markets. </w:t>
      </w:r>
      <w:r w:rsidRPr="00EC356F">
        <w:rPr>
          <w:rStyle w:val="longtext"/>
          <w:rFonts w:ascii="Times New Roman" w:hAnsi="Times New Roman" w:cs="Times New Roman"/>
          <w:color w:val="000000"/>
          <w:sz w:val="21"/>
          <w:szCs w:val="21"/>
          <w:shd w:val="clear" w:color="auto" w:fill="FFFFFF"/>
        </w:rPr>
        <w:t xml:space="preserve">In the </w:t>
      </w:r>
      <w:r w:rsidRPr="00EC356F">
        <w:rPr>
          <w:rStyle w:val="longtext"/>
          <w:rFonts w:ascii="Times New Roman" w:hAnsi="Times New Roman" w:cs="Times New Roman"/>
          <w:b/>
          <w:color w:val="000000"/>
          <w:sz w:val="21"/>
          <w:szCs w:val="21"/>
          <w:shd w:val="clear" w:color="auto" w:fill="FFFFFF"/>
        </w:rPr>
        <w:t>forecast horizon</w:t>
      </w:r>
      <w:r w:rsidRPr="00EC356F">
        <w:rPr>
          <w:rStyle w:val="longtext"/>
          <w:rFonts w:ascii="Times New Roman" w:hAnsi="Times New Roman" w:cs="Times New Roman"/>
          <w:color w:val="000000"/>
          <w:sz w:val="21"/>
          <w:szCs w:val="21"/>
          <w:shd w:val="clear" w:color="auto" w:fill="FFFFFF"/>
        </w:rPr>
        <w:t xml:space="preserve"> the global economic growth rates are expected to rebound slowly, so </w:t>
      </w:r>
      <w:r w:rsidRPr="00EC356F">
        <w:rPr>
          <w:rStyle w:val="longtext"/>
          <w:rFonts w:ascii="Times New Roman" w:hAnsi="Times New Roman" w:cs="Times New Roman"/>
          <w:b/>
          <w:sz w:val="21"/>
          <w:szCs w:val="21"/>
          <w:shd w:val="clear" w:color="auto" w:fill="FFFFFF"/>
        </w:rPr>
        <w:t xml:space="preserve">inflationary pressures </w:t>
      </w:r>
      <w:r w:rsidRPr="00EC356F">
        <w:rPr>
          <w:rStyle w:val="longtext"/>
          <w:rFonts w:ascii="Times New Roman" w:hAnsi="Times New Roman" w:cs="Times New Roman"/>
          <w:color w:val="000000"/>
          <w:sz w:val="21"/>
          <w:szCs w:val="21"/>
        </w:rPr>
        <w:t>in basic commodity and food markets</w:t>
      </w:r>
      <w:r w:rsidRPr="00EC356F">
        <w:rPr>
          <w:rStyle w:val="longtext"/>
          <w:rFonts w:ascii="Times New Roman" w:hAnsi="Times New Roman" w:cs="Times New Roman"/>
          <w:sz w:val="21"/>
          <w:szCs w:val="21"/>
          <w:shd w:val="clear" w:color="auto" w:fill="FFFFFF"/>
        </w:rPr>
        <w:t xml:space="preserve"> of the world </w:t>
      </w:r>
      <w:r w:rsidRPr="00EC356F">
        <w:rPr>
          <w:rStyle w:val="longtext"/>
          <w:rFonts w:ascii="Times New Roman" w:hAnsi="Times New Roman" w:cs="Times New Roman"/>
          <w:b/>
          <w:sz w:val="21"/>
          <w:szCs w:val="21"/>
          <w:shd w:val="clear" w:color="auto" w:fill="FFFFFF"/>
        </w:rPr>
        <w:t>are not anticipated</w:t>
      </w:r>
      <w:r w:rsidRPr="00EC356F">
        <w:rPr>
          <w:rStyle w:val="longtext"/>
          <w:rFonts w:ascii="Times New Roman" w:hAnsi="Times New Roman" w:cs="Times New Roman"/>
          <w:sz w:val="21"/>
          <w:szCs w:val="21"/>
          <w:shd w:val="clear" w:color="auto" w:fill="FFFFFF"/>
        </w:rPr>
        <w:t xml:space="preserve">. </w:t>
      </w:r>
    </w:p>
    <w:p w14:paraId="42AA782A" w14:textId="77777777" w:rsidR="00A9653E" w:rsidRPr="00EC356F" w:rsidRDefault="00A9653E" w:rsidP="00A9653E">
      <w:pPr>
        <w:spacing w:line="360" w:lineRule="auto"/>
        <w:jc w:val="both"/>
        <w:rPr>
          <w:rStyle w:val="longtext"/>
          <w:rFonts w:ascii="Times New Roman" w:hAnsi="Times New Roman" w:cs="Times New Roman"/>
          <w:sz w:val="21"/>
          <w:szCs w:val="21"/>
          <w:shd w:val="clear" w:color="auto" w:fill="FFFFFF"/>
        </w:rPr>
      </w:pPr>
      <w:r w:rsidRPr="00EC356F">
        <w:rPr>
          <w:rStyle w:val="longtext"/>
          <w:rFonts w:ascii="Times New Roman" w:hAnsi="Times New Roman" w:cs="Times New Roman"/>
          <w:sz w:val="21"/>
          <w:szCs w:val="21"/>
          <w:shd w:val="clear" w:color="auto" w:fill="FFFFFF"/>
        </w:rPr>
        <w:t xml:space="preserve">In the </w:t>
      </w:r>
      <w:r w:rsidR="00012A98">
        <w:rPr>
          <w:rStyle w:val="longtext"/>
          <w:rFonts w:ascii="Times New Roman" w:hAnsi="Times New Roman" w:cs="Times New Roman"/>
          <w:sz w:val="21"/>
          <w:szCs w:val="21"/>
          <w:shd w:val="clear" w:color="auto" w:fill="FFFFFF"/>
        </w:rPr>
        <w:t>3rd</w:t>
      </w:r>
      <w:r w:rsidRPr="00EC356F">
        <w:rPr>
          <w:rStyle w:val="longtext"/>
          <w:rFonts w:ascii="Times New Roman" w:hAnsi="Times New Roman" w:cs="Times New Roman"/>
          <w:sz w:val="21"/>
          <w:szCs w:val="21"/>
          <w:shd w:val="clear" w:color="auto" w:fill="FFFFFF"/>
        </w:rPr>
        <w:t xml:space="preserve"> quarter of 2014, </w:t>
      </w:r>
      <w:r w:rsidR="00C74A87">
        <w:rPr>
          <w:rStyle w:val="longtext"/>
          <w:rFonts w:ascii="Times New Roman" w:hAnsi="Times New Roman" w:cs="Times New Roman"/>
          <w:sz w:val="21"/>
          <w:szCs w:val="21"/>
          <w:shd w:val="clear" w:color="auto" w:fill="FFFFFF"/>
        </w:rPr>
        <w:t xml:space="preserve">the domestic </w:t>
      </w:r>
      <w:r w:rsidRPr="00EC356F">
        <w:rPr>
          <w:rStyle w:val="longtext"/>
          <w:rFonts w:ascii="Times New Roman" w:hAnsi="Times New Roman" w:cs="Times New Roman"/>
          <w:sz w:val="21"/>
          <w:szCs w:val="21"/>
          <w:shd w:val="clear" w:color="auto" w:fill="FFFFFF"/>
        </w:rPr>
        <w:t xml:space="preserve">economic activity </w:t>
      </w:r>
      <w:r w:rsidR="00C74A87">
        <w:rPr>
          <w:rStyle w:val="longtext"/>
          <w:rFonts w:ascii="Times New Roman" w:hAnsi="Times New Roman" w:cs="Times New Roman"/>
          <w:sz w:val="21"/>
          <w:szCs w:val="21"/>
          <w:shd w:val="clear" w:color="auto" w:fill="FFFFFF"/>
        </w:rPr>
        <w:t>revived to some extent and the inflation environment expanded</w:t>
      </w:r>
      <w:r w:rsidRPr="00EC356F">
        <w:rPr>
          <w:rStyle w:val="longtext"/>
          <w:rFonts w:ascii="Times New Roman" w:hAnsi="Times New Roman" w:cs="Times New Roman"/>
          <w:sz w:val="21"/>
          <w:szCs w:val="21"/>
          <w:shd w:val="clear" w:color="auto" w:fill="FFFFFF"/>
        </w:rPr>
        <w:t xml:space="preserve">. Under such conditions, </w:t>
      </w:r>
      <w:r w:rsidRPr="00EC356F">
        <w:rPr>
          <w:rStyle w:val="longtext"/>
          <w:rFonts w:ascii="Times New Roman" w:hAnsi="Times New Roman" w:cs="Times New Roman"/>
          <w:b/>
          <w:sz w:val="21"/>
          <w:szCs w:val="21"/>
          <w:shd w:val="clear" w:color="auto" w:fill="FFFFFF"/>
        </w:rPr>
        <w:t>economic growth</w:t>
      </w:r>
      <w:r w:rsidR="00C74A87">
        <w:rPr>
          <w:rStyle w:val="longtext"/>
          <w:rFonts w:ascii="Times New Roman" w:hAnsi="Times New Roman" w:cs="Times New Roman"/>
          <w:sz w:val="21"/>
          <w:szCs w:val="21"/>
          <w:shd w:val="clear" w:color="auto" w:fill="FFFFFF"/>
        </w:rPr>
        <w:t xml:space="preserve"> wa</w:t>
      </w:r>
      <w:r w:rsidRPr="00EC356F">
        <w:rPr>
          <w:rStyle w:val="longtext"/>
          <w:rFonts w:ascii="Times New Roman" w:hAnsi="Times New Roman" w:cs="Times New Roman"/>
          <w:sz w:val="21"/>
          <w:szCs w:val="21"/>
          <w:shd w:val="clear" w:color="auto" w:fill="FFFFFF"/>
        </w:rPr>
        <w:t xml:space="preserve">s estimated in the range </w:t>
      </w:r>
      <w:r w:rsidRPr="00EC356F">
        <w:rPr>
          <w:rStyle w:val="longtext"/>
          <w:rFonts w:ascii="Times New Roman" w:hAnsi="Times New Roman" w:cs="Times New Roman"/>
          <w:b/>
          <w:sz w:val="21"/>
          <w:szCs w:val="21"/>
          <w:shd w:val="clear" w:color="auto" w:fill="FFFFFF"/>
        </w:rPr>
        <w:t>3.</w:t>
      </w:r>
      <w:r w:rsidR="00C74A87">
        <w:rPr>
          <w:rStyle w:val="longtext"/>
          <w:rFonts w:ascii="Times New Roman" w:hAnsi="Times New Roman" w:cs="Times New Roman"/>
          <w:b/>
          <w:sz w:val="21"/>
          <w:szCs w:val="21"/>
          <w:shd w:val="clear" w:color="auto" w:fill="FFFFFF"/>
        </w:rPr>
        <w:t>5</w:t>
      </w:r>
      <w:r w:rsidRPr="00EC356F">
        <w:rPr>
          <w:rStyle w:val="longtext"/>
          <w:rFonts w:ascii="Times New Roman" w:hAnsi="Times New Roman" w:cs="Times New Roman"/>
          <w:b/>
          <w:sz w:val="21"/>
          <w:szCs w:val="21"/>
          <w:shd w:val="clear" w:color="auto" w:fill="FFFFFF"/>
        </w:rPr>
        <w:t>-3.</w:t>
      </w:r>
      <w:r w:rsidR="00C74A87">
        <w:rPr>
          <w:rStyle w:val="longtext"/>
          <w:rFonts w:ascii="Times New Roman" w:hAnsi="Times New Roman" w:cs="Times New Roman"/>
          <w:b/>
          <w:sz w:val="21"/>
          <w:szCs w:val="21"/>
          <w:shd w:val="clear" w:color="auto" w:fill="FFFFFF"/>
        </w:rPr>
        <w:t>8</w:t>
      </w:r>
      <w:r w:rsidRPr="00EC356F">
        <w:rPr>
          <w:rStyle w:val="longtext"/>
          <w:rFonts w:ascii="Times New Roman" w:hAnsi="Times New Roman" w:cs="Times New Roman"/>
          <w:b/>
          <w:sz w:val="21"/>
          <w:szCs w:val="21"/>
          <w:shd w:val="clear" w:color="auto" w:fill="FFFFFF"/>
        </w:rPr>
        <w:t>%</w:t>
      </w:r>
      <w:r w:rsidRPr="00EC356F">
        <w:rPr>
          <w:rStyle w:val="longtext"/>
          <w:rFonts w:ascii="Times New Roman" w:hAnsi="Times New Roman" w:cs="Times New Roman"/>
          <w:sz w:val="21"/>
          <w:szCs w:val="21"/>
          <w:shd w:val="clear" w:color="auto" w:fill="FFFFFF"/>
        </w:rPr>
        <w:t xml:space="preserve">, with the </w:t>
      </w:r>
      <w:r w:rsidRPr="00EC356F">
        <w:rPr>
          <w:rStyle w:val="longtext"/>
          <w:rFonts w:ascii="Times New Roman" w:hAnsi="Times New Roman" w:cs="Times New Roman"/>
          <w:b/>
          <w:sz w:val="21"/>
          <w:szCs w:val="21"/>
          <w:shd w:val="clear" w:color="auto" w:fill="FFFFFF"/>
        </w:rPr>
        <w:t>12-month inflation rate</w:t>
      </w:r>
      <w:r w:rsidRPr="00EC356F">
        <w:rPr>
          <w:rStyle w:val="longtext"/>
          <w:rFonts w:ascii="Times New Roman" w:hAnsi="Times New Roman" w:cs="Times New Roman"/>
          <w:sz w:val="21"/>
          <w:szCs w:val="21"/>
          <w:shd w:val="clear" w:color="auto" w:fill="FFFFFF"/>
        </w:rPr>
        <w:t xml:space="preserve"> </w:t>
      </w:r>
      <w:r w:rsidR="00C74A87">
        <w:rPr>
          <w:rStyle w:val="longtext"/>
          <w:rFonts w:ascii="Times New Roman" w:hAnsi="Times New Roman" w:cs="Times New Roman"/>
          <w:sz w:val="21"/>
          <w:szCs w:val="21"/>
          <w:shd w:val="clear" w:color="auto" w:fill="FFFFFF"/>
        </w:rPr>
        <w:t xml:space="preserve">reached 0.4% in late July and amounted to </w:t>
      </w:r>
      <w:r w:rsidRPr="00EC356F">
        <w:rPr>
          <w:rStyle w:val="longtext"/>
          <w:rFonts w:ascii="Times New Roman" w:hAnsi="Times New Roman" w:cs="Times New Roman"/>
          <w:b/>
          <w:sz w:val="21"/>
          <w:szCs w:val="21"/>
          <w:shd w:val="clear" w:color="auto" w:fill="FFFFFF"/>
        </w:rPr>
        <w:t>1.</w:t>
      </w:r>
      <w:r w:rsidR="00C74A87">
        <w:rPr>
          <w:rStyle w:val="longtext"/>
          <w:rFonts w:ascii="Times New Roman" w:hAnsi="Times New Roman" w:cs="Times New Roman"/>
          <w:b/>
          <w:sz w:val="21"/>
          <w:szCs w:val="21"/>
          <w:shd w:val="clear" w:color="auto" w:fill="FFFFFF"/>
        </w:rPr>
        <w:t>5</w:t>
      </w:r>
      <w:r w:rsidRPr="00EC356F">
        <w:rPr>
          <w:rStyle w:val="longtext"/>
          <w:rFonts w:ascii="Times New Roman" w:hAnsi="Times New Roman" w:cs="Times New Roman"/>
          <w:b/>
          <w:sz w:val="21"/>
          <w:szCs w:val="21"/>
          <w:shd w:val="clear" w:color="auto" w:fill="FFFFFF"/>
        </w:rPr>
        <w:t>%</w:t>
      </w:r>
      <w:r w:rsidR="00C74A87">
        <w:rPr>
          <w:rStyle w:val="longtext"/>
          <w:rFonts w:ascii="Times New Roman" w:hAnsi="Times New Roman" w:cs="Times New Roman"/>
          <w:sz w:val="21"/>
          <w:szCs w:val="21"/>
          <w:shd w:val="clear" w:color="auto" w:fill="FFFFFF"/>
        </w:rPr>
        <w:t xml:space="preserve"> at the end of September, </w:t>
      </w:r>
      <w:r w:rsidRPr="00EC356F">
        <w:rPr>
          <w:rStyle w:val="longtext"/>
          <w:rFonts w:ascii="Times New Roman" w:hAnsi="Times New Roman" w:cs="Times New Roman"/>
          <w:sz w:val="21"/>
          <w:szCs w:val="21"/>
          <w:shd w:val="clear" w:color="auto" w:fill="FFFFFF"/>
        </w:rPr>
        <w:t xml:space="preserve">i.e. </w:t>
      </w:r>
      <w:r w:rsidR="00C74A87">
        <w:rPr>
          <w:rStyle w:val="longtext"/>
          <w:rFonts w:ascii="Times New Roman" w:hAnsi="Times New Roman" w:cs="Times New Roman"/>
          <w:sz w:val="21"/>
          <w:szCs w:val="21"/>
          <w:shd w:val="clear" w:color="auto" w:fill="FFFFFF"/>
        </w:rPr>
        <w:t xml:space="preserve">still </w:t>
      </w:r>
      <w:r w:rsidRPr="00EC356F">
        <w:rPr>
          <w:rStyle w:val="longtext"/>
          <w:rFonts w:ascii="Times New Roman" w:hAnsi="Times New Roman" w:cs="Times New Roman"/>
          <w:sz w:val="21"/>
          <w:szCs w:val="21"/>
          <w:shd w:val="clear" w:color="auto" w:fill="FFFFFF"/>
        </w:rPr>
        <w:t xml:space="preserve">below the lower bound of the confidence band.    </w:t>
      </w:r>
    </w:p>
    <w:p w14:paraId="20D0C651" w14:textId="6403A513" w:rsidR="00A9653E" w:rsidRPr="00EC356F" w:rsidRDefault="00A9653E" w:rsidP="00A9653E">
      <w:pPr>
        <w:spacing w:line="360" w:lineRule="auto"/>
        <w:jc w:val="both"/>
        <w:rPr>
          <w:rStyle w:val="longtext"/>
          <w:rFonts w:ascii="Times New Roman" w:hAnsi="Times New Roman" w:cs="Times New Roman"/>
          <w:sz w:val="21"/>
          <w:szCs w:val="21"/>
          <w:shd w:val="clear" w:color="auto" w:fill="FFFFFF"/>
        </w:rPr>
      </w:pPr>
      <w:r w:rsidRPr="00EC356F">
        <w:rPr>
          <w:rFonts w:ascii="Times New Roman" w:hAnsi="Times New Roman" w:cs="Times New Roman"/>
          <w:b/>
          <w:sz w:val="21"/>
          <w:szCs w:val="21"/>
        </w:rPr>
        <w:t>In the forecast horizon</w:t>
      </w:r>
      <w:r w:rsidRPr="00EC356F">
        <w:rPr>
          <w:rFonts w:ascii="Times New Roman" w:hAnsi="Times New Roman" w:cs="Times New Roman"/>
          <w:sz w:val="21"/>
          <w:szCs w:val="21"/>
        </w:rPr>
        <w:t xml:space="preserve">, real private consumption growth rates are expected to stabilize </w:t>
      </w:r>
      <w:r w:rsidRPr="00EC356F">
        <w:rPr>
          <w:rStyle w:val="longtext"/>
          <w:rFonts w:ascii="Times New Roman" w:hAnsi="Times New Roman" w:cs="Times New Roman"/>
          <w:sz w:val="21"/>
          <w:szCs w:val="21"/>
          <w:shd w:val="clear" w:color="auto" w:fill="FFFFFF"/>
        </w:rPr>
        <w:t xml:space="preserve">and private investment to rebound slowly. Under such circumstances, economic growth will </w:t>
      </w:r>
      <w:r w:rsidR="00125D1B">
        <w:rPr>
          <w:rStyle w:val="longtext"/>
          <w:rFonts w:ascii="Times New Roman" w:hAnsi="Times New Roman" w:cs="Times New Roman"/>
          <w:sz w:val="21"/>
          <w:szCs w:val="21"/>
          <w:shd w:val="clear" w:color="auto" w:fill="FFFFFF"/>
        </w:rPr>
        <w:t xml:space="preserve">approach </w:t>
      </w:r>
      <w:r w:rsidRPr="00EC356F">
        <w:rPr>
          <w:rStyle w:val="longtext"/>
          <w:rFonts w:ascii="Times New Roman" w:hAnsi="Times New Roman" w:cs="Times New Roman"/>
          <w:sz w:val="21"/>
          <w:szCs w:val="21"/>
          <w:shd w:val="clear" w:color="auto" w:fill="FFFFFF"/>
        </w:rPr>
        <w:t xml:space="preserve">its equilibrium. </w:t>
      </w:r>
      <w:r w:rsidR="00547C05" w:rsidRPr="00041058">
        <w:rPr>
          <w:rFonts w:ascii="Times New Roman" w:hAnsi="Times New Roman" w:cs="Times New Roman"/>
          <w:sz w:val="21"/>
          <w:szCs w:val="21"/>
        </w:rPr>
        <w:t xml:space="preserve">After the deflationary influence in 2015, </w:t>
      </w:r>
      <w:r w:rsidR="00AD449E" w:rsidRPr="00631CEB">
        <w:rPr>
          <w:rFonts w:ascii="Times New Roman" w:hAnsi="Times New Roman" w:cs="Times New Roman"/>
          <w:sz w:val="21"/>
          <w:szCs w:val="21"/>
        </w:rPr>
        <w:t xml:space="preserve">the </w:t>
      </w:r>
      <w:r w:rsidR="00AD449E" w:rsidRPr="00631CEB">
        <w:rPr>
          <w:rFonts w:ascii="Times New Roman" w:hAnsi="Times New Roman" w:cs="Times New Roman"/>
          <w:b/>
          <w:sz w:val="21"/>
          <w:szCs w:val="21"/>
        </w:rPr>
        <w:t>impact of the domestic economy on aggregate demand is expected to be non-inflationary</w:t>
      </w:r>
      <w:r w:rsidR="00547C05" w:rsidRPr="00631CEB">
        <w:rPr>
          <w:rFonts w:ascii="Times New Roman" w:hAnsi="Times New Roman" w:cs="Times New Roman"/>
          <w:b/>
          <w:sz w:val="21"/>
          <w:szCs w:val="21"/>
        </w:rPr>
        <w:t xml:space="preserve"> </w:t>
      </w:r>
      <w:r w:rsidR="00547C05" w:rsidRPr="00041058">
        <w:rPr>
          <w:rFonts w:ascii="Times New Roman" w:hAnsi="Times New Roman" w:cs="Times New Roman"/>
          <w:sz w:val="21"/>
          <w:szCs w:val="21"/>
        </w:rPr>
        <w:t>due to stabilizing private demand as well as mostly a neutral impact of the fiscal policy</w:t>
      </w:r>
      <w:r w:rsidR="00AD449E" w:rsidRPr="00631CEB">
        <w:rPr>
          <w:rFonts w:ascii="Times New Roman" w:hAnsi="Times New Roman" w:cs="Times New Roman"/>
          <w:sz w:val="21"/>
          <w:szCs w:val="21"/>
        </w:rPr>
        <w:t>.</w:t>
      </w:r>
      <w:r w:rsidRPr="00EC356F">
        <w:rPr>
          <w:rStyle w:val="longtext"/>
          <w:rFonts w:ascii="Times New Roman" w:hAnsi="Times New Roman" w:cs="Times New Roman"/>
          <w:sz w:val="21"/>
          <w:szCs w:val="21"/>
          <w:shd w:val="clear" w:color="auto" w:fill="FFFFFF"/>
        </w:rPr>
        <w:t xml:space="preserve">  </w:t>
      </w:r>
    </w:p>
    <w:p w14:paraId="0454C9DA" w14:textId="77777777" w:rsidR="00635672" w:rsidRDefault="00AF161B" w:rsidP="00A9653E">
      <w:pPr>
        <w:spacing w:line="360" w:lineRule="auto"/>
        <w:jc w:val="both"/>
        <w:rPr>
          <w:rFonts w:ascii="Times New Roman" w:hAnsi="Times New Roman" w:cs="Times New Roman"/>
          <w:sz w:val="21"/>
          <w:szCs w:val="21"/>
        </w:rPr>
      </w:pPr>
      <w:r w:rsidRPr="00AF161B">
        <w:rPr>
          <w:rFonts w:ascii="Times New Roman" w:hAnsi="Times New Roman" w:cs="Times New Roman"/>
          <w:b/>
          <w:sz w:val="21"/>
          <w:szCs w:val="21"/>
        </w:rPr>
        <w:t>According to the Central Bank forecasts</w:t>
      </w:r>
      <w:r>
        <w:rPr>
          <w:rFonts w:ascii="Times New Roman" w:hAnsi="Times New Roman" w:cs="Times New Roman"/>
          <w:sz w:val="21"/>
          <w:szCs w:val="21"/>
        </w:rPr>
        <w:t>, i</w:t>
      </w:r>
      <w:r w:rsidRPr="00EC356F">
        <w:rPr>
          <w:rFonts w:ascii="Times New Roman" w:hAnsi="Times New Roman" w:cs="Times New Roman"/>
          <w:sz w:val="21"/>
          <w:szCs w:val="21"/>
        </w:rPr>
        <w:t xml:space="preserve">n </w:t>
      </w:r>
      <w:r>
        <w:rPr>
          <w:rFonts w:ascii="Times New Roman" w:hAnsi="Times New Roman" w:cs="Times New Roman"/>
          <w:sz w:val="21"/>
          <w:szCs w:val="21"/>
        </w:rPr>
        <w:t xml:space="preserve">spite of expected low demand in both external and domestic economies, the inflation rates are expected to rebound as a result of </w:t>
      </w:r>
      <w:r w:rsidRPr="00EC356F">
        <w:rPr>
          <w:rFonts w:ascii="Times New Roman" w:hAnsi="Times New Roman" w:cs="Times New Roman"/>
          <w:b/>
          <w:sz w:val="21"/>
          <w:szCs w:val="21"/>
        </w:rPr>
        <w:t>stamp duty introduced</w:t>
      </w:r>
      <w:r w:rsidRPr="00EC356F">
        <w:rPr>
          <w:rFonts w:ascii="Times New Roman" w:hAnsi="Times New Roman" w:cs="Times New Roman"/>
          <w:sz w:val="21"/>
          <w:szCs w:val="21"/>
        </w:rPr>
        <w:t xml:space="preserve"> to a variety of goods starting from the 4th quarter of 2014</w:t>
      </w:r>
      <w:r>
        <w:rPr>
          <w:rFonts w:ascii="Times New Roman" w:hAnsi="Times New Roman" w:cs="Times New Roman"/>
          <w:sz w:val="21"/>
          <w:szCs w:val="21"/>
        </w:rPr>
        <w:t xml:space="preserve"> as well as </w:t>
      </w:r>
      <w:r w:rsidRPr="00B76C58">
        <w:rPr>
          <w:rFonts w:ascii="Times New Roman" w:hAnsi="Times New Roman" w:cs="Times New Roman"/>
          <w:b/>
          <w:sz w:val="21"/>
          <w:szCs w:val="21"/>
        </w:rPr>
        <w:t xml:space="preserve">Armenia’s membership to the Eurasia Economic </w:t>
      </w:r>
      <w:r>
        <w:rPr>
          <w:rFonts w:ascii="Times New Roman" w:hAnsi="Times New Roman" w:cs="Times New Roman"/>
          <w:b/>
          <w:sz w:val="21"/>
          <w:szCs w:val="21"/>
        </w:rPr>
        <w:t xml:space="preserve">Community </w:t>
      </w:r>
      <w:r w:rsidRPr="00B76C58">
        <w:rPr>
          <w:rFonts w:ascii="Times New Roman" w:hAnsi="Times New Roman" w:cs="Times New Roman"/>
          <w:b/>
          <w:sz w:val="21"/>
          <w:szCs w:val="21"/>
        </w:rPr>
        <w:t>due on January 2015</w:t>
      </w:r>
      <w:r>
        <w:rPr>
          <w:rFonts w:ascii="Times New Roman" w:hAnsi="Times New Roman" w:cs="Times New Roman"/>
          <w:sz w:val="21"/>
          <w:szCs w:val="21"/>
        </w:rPr>
        <w:t>. Under these conditions, t</w:t>
      </w:r>
      <w:r w:rsidRPr="00EC356F">
        <w:rPr>
          <w:rFonts w:ascii="Times New Roman" w:hAnsi="Times New Roman" w:cs="Times New Roman"/>
          <w:sz w:val="21"/>
          <w:szCs w:val="21"/>
        </w:rPr>
        <w:t xml:space="preserve">he easing of monetary conditions to date </w:t>
      </w:r>
      <w:r>
        <w:rPr>
          <w:rFonts w:ascii="Times New Roman" w:hAnsi="Times New Roman" w:cs="Times New Roman"/>
          <w:sz w:val="21"/>
          <w:szCs w:val="21"/>
        </w:rPr>
        <w:t xml:space="preserve">is believed to be enough for the attainment of the inflation target in the short run. </w:t>
      </w:r>
    </w:p>
    <w:p w14:paraId="43D05B0E" w14:textId="77777777" w:rsidR="00635672" w:rsidRDefault="00635672" w:rsidP="00A9653E">
      <w:pPr>
        <w:spacing w:line="360" w:lineRule="auto"/>
        <w:jc w:val="both"/>
        <w:rPr>
          <w:rFonts w:ascii="Times New Roman" w:hAnsi="Times New Roman" w:cs="Times New Roman"/>
          <w:sz w:val="21"/>
          <w:szCs w:val="21"/>
        </w:rPr>
      </w:pPr>
      <w:r w:rsidRPr="00635672">
        <w:rPr>
          <w:rFonts w:ascii="Times New Roman" w:hAnsi="Times New Roman" w:cs="Times New Roman"/>
          <w:b/>
          <w:sz w:val="21"/>
          <w:szCs w:val="21"/>
        </w:rPr>
        <w:t>Risks to inflation deviating from the</w:t>
      </w:r>
      <w:r w:rsidRPr="00EC356F">
        <w:rPr>
          <w:rFonts w:ascii="Times New Roman" w:hAnsi="Times New Roman" w:cs="Times New Roman"/>
          <w:sz w:val="21"/>
          <w:szCs w:val="21"/>
        </w:rPr>
        <w:t xml:space="preserve"> </w:t>
      </w:r>
      <w:r w:rsidRPr="00EC356F">
        <w:rPr>
          <w:rFonts w:ascii="Times New Roman" w:hAnsi="Times New Roman" w:cs="Times New Roman"/>
          <w:b/>
          <w:sz w:val="21"/>
          <w:szCs w:val="21"/>
        </w:rPr>
        <w:t>projected value</w:t>
      </w:r>
      <w:r w:rsidRPr="00EC356F">
        <w:rPr>
          <w:rFonts w:ascii="Times New Roman" w:hAnsi="Times New Roman" w:cs="Times New Roman"/>
          <w:sz w:val="21"/>
          <w:szCs w:val="21"/>
        </w:rPr>
        <w:t xml:space="preserve"> are estimated as </w:t>
      </w:r>
      <w:r w:rsidRPr="00EC356F">
        <w:rPr>
          <w:rFonts w:ascii="Times New Roman" w:hAnsi="Times New Roman" w:cs="Times New Roman"/>
          <w:b/>
          <w:sz w:val="21"/>
          <w:szCs w:val="21"/>
        </w:rPr>
        <w:t>balanced</w:t>
      </w:r>
      <w:r w:rsidRPr="00EC356F">
        <w:rPr>
          <w:rFonts w:ascii="Times New Roman" w:hAnsi="Times New Roman" w:cs="Times New Roman"/>
          <w:sz w:val="21"/>
          <w:szCs w:val="21"/>
        </w:rPr>
        <w:t xml:space="preserve"> in both short and medium-term perspectives. </w:t>
      </w:r>
      <w:r w:rsidRPr="00EC356F">
        <w:rPr>
          <w:rFonts w:ascii="Times New Roman" w:hAnsi="Times New Roman" w:cs="Times New Roman"/>
          <w:b/>
          <w:sz w:val="21"/>
          <w:szCs w:val="21"/>
        </w:rPr>
        <w:t>External sector risks</w:t>
      </w:r>
      <w:r w:rsidRPr="00EC356F">
        <w:rPr>
          <w:rFonts w:ascii="Times New Roman" w:hAnsi="Times New Roman" w:cs="Times New Roman"/>
          <w:sz w:val="21"/>
          <w:szCs w:val="21"/>
        </w:rPr>
        <w:t xml:space="preserve"> are primarily associated with </w:t>
      </w:r>
      <w:r>
        <w:rPr>
          <w:rFonts w:ascii="Times New Roman" w:hAnsi="Times New Roman" w:cs="Times New Roman"/>
          <w:sz w:val="21"/>
          <w:szCs w:val="21"/>
        </w:rPr>
        <w:t xml:space="preserve">global economic growth rates bouncing back as well as </w:t>
      </w:r>
      <w:r w:rsidR="00BA4997">
        <w:rPr>
          <w:rFonts w:ascii="Sylfaen" w:hAnsi="Sylfaen" w:cs="Times New Roman"/>
          <w:sz w:val="21"/>
          <w:szCs w:val="21"/>
          <w:lang w:val="hy-AM"/>
        </w:rPr>
        <w:t xml:space="preserve">տնտեսական ու աշխարհաքաղաքական </w:t>
      </w:r>
      <w:r w:rsidRPr="00EC356F">
        <w:rPr>
          <w:rFonts w:ascii="Times New Roman" w:hAnsi="Times New Roman" w:cs="Times New Roman"/>
          <w:sz w:val="21"/>
          <w:szCs w:val="21"/>
        </w:rPr>
        <w:t xml:space="preserve">development perspectives in emerging economies, and Russia in particular, and how their potential impact would </w:t>
      </w:r>
      <w:r w:rsidRPr="00EC356F">
        <w:rPr>
          <w:rFonts w:ascii="Times New Roman" w:hAnsi="Times New Roman" w:cs="Times New Roman"/>
          <w:sz w:val="21"/>
          <w:szCs w:val="21"/>
        </w:rPr>
        <w:lastRenderedPageBreak/>
        <w:t xml:space="preserve">be spilled over to basic commodities and food product markets. </w:t>
      </w:r>
      <w:r w:rsidRPr="00EC356F">
        <w:rPr>
          <w:rFonts w:ascii="Times New Roman" w:hAnsi="Times New Roman" w:cs="Times New Roman"/>
          <w:b/>
          <w:sz w:val="21"/>
          <w:szCs w:val="21"/>
        </w:rPr>
        <w:t xml:space="preserve">Risks deriving from the domestic environment </w:t>
      </w:r>
      <w:r w:rsidRPr="00EC356F">
        <w:rPr>
          <w:rFonts w:ascii="Times New Roman" w:hAnsi="Times New Roman" w:cs="Times New Roman"/>
          <w:sz w:val="21"/>
          <w:szCs w:val="21"/>
        </w:rPr>
        <w:t xml:space="preserve">are attributable to domestic demand developments, particularly </w:t>
      </w:r>
      <w:r>
        <w:rPr>
          <w:rFonts w:ascii="Times New Roman" w:hAnsi="Times New Roman" w:cs="Times New Roman"/>
          <w:sz w:val="21"/>
          <w:szCs w:val="21"/>
        </w:rPr>
        <w:t xml:space="preserve">private consumption growth rates, </w:t>
      </w:r>
      <w:r w:rsidRPr="00EC356F">
        <w:rPr>
          <w:rFonts w:ascii="Times New Roman" w:hAnsi="Times New Roman" w:cs="Times New Roman"/>
          <w:sz w:val="21"/>
          <w:szCs w:val="21"/>
        </w:rPr>
        <w:t>capital investment</w:t>
      </w:r>
      <w:r w:rsidRPr="00D4255C">
        <w:rPr>
          <w:rFonts w:ascii="Times New Roman" w:hAnsi="Times New Roman" w:cs="Times New Roman"/>
          <w:sz w:val="21"/>
          <w:szCs w:val="21"/>
        </w:rPr>
        <w:t xml:space="preserve"> </w:t>
      </w:r>
      <w:r>
        <w:rPr>
          <w:rFonts w:ascii="Times New Roman" w:hAnsi="Times New Roman" w:cs="Times New Roman"/>
          <w:sz w:val="21"/>
          <w:szCs w:val="21"/>
        </w:rPr>
        <w:t>recovery rates, the economic effects from Armenia’s membership to the Eurasia Economic Community, the inflationary effects of the stamp duty and</w:t>
      </w:r>
      <w:r w:rsidRPr="00EC356F">
        <w:rPr>
          <w:rFonts w:ascii="Times New Roman" w:hAnsi="Times New Roman" w:cs="Times New Roman"/>
          <w:sz w:val="21"/>
          <w:szCs w:val="21"/>
        </w:rPr>
        <w:t xml:space="preserve"> the developments in agriculture sector which is largely reliant on climatic conditions.</w:t>
      </w:r>
      <w:r w:rsidR="004234D1">
        <w:rPr>
          <w:rFonts w:ascii="Times New Roman" w:hAnsi="Times New Roman" w:cs="Times New Roman"/>
          <w:sz w:val="21"/>
          <w:szCs w:val="21"/>
        </w:rPr>
        <w:t xml:space="preserve"> </w:t>
      </w:r>
      <w:r w:rsidR="004234D1" w:rsidRPr="00EC356F">
        <w:rPr>
          <w:rFonts w:ascii="Times New Roman" w:hAnsi="Times New Roman" w:cs="Times New Roman"/>
          <w:sz w:val="21"/>
          <w:szCs w:val="21"/>
        </w:rPr>
        <w:t>If such risks materialize, the Central Bank will react accordingly by maintaining the inflation target in the</w:t>
      </w:r>
      <w:r w:rsidR="004234D1" w:rsidRPr="004234D1">
        <w:rPr>
          <w:rFonts w:ascii="Times New Roman" w:hAnsi="Times New Roman" w:cs="Times New Roman"/>
          <w:b/>
          <w:sz w:val="21"/>
          <w:szCs w:val="21"/>
        </w:rPr>
        <w:t xml:space="preserve"> medium run</w:t>
      </w:r>
      <w:r w:rsidR="004234D1">
        <w:rPr>
          <w:rFonts w:ascii="Times New Roman" w:hAnsi="Times New Roman" w:cs="Times New Roman"/>
          <w:sz w:val="21"/>
          <w:szCs w:val="21"/>
        </w:rPr>
        <w:t>.</w:t>
      </w:r>
    </w:p>
    <w:p w14:paraId="2B41FE08" w14:textId="77777777" w:rsidR="00AA5822" w:rsidRPr="00EC356F" w:rsidRDefault="00AA5822">
      <w:pPr>
        <w:rPr>
          <w:rFonts w:ascii="Times New Roman" w:hAnsi="Times New Roman" w:cs="Times New Roman"/>
          <w:sz w:val="21"/>
          <w:szCs w:val="21"/>
        </w:rPr>
      </w:pPr>
    </w:p>
    <w:sectPr w:rsidR="00AA5822" w:rsidRPr="00EC356F" w:rsidSect="000F107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23248" w14:textId="77777777" w:rsidR="00A70557" w:rsidRDefault="00A70557" w:rsidP="00A9653E">
      <w:pPr>
        <w:spacing w:after="0" w:line="240" w:lineRule="auto"/>
      </w:pPr>
      <w:r>
        <w:separator/>
      </w:r>
    </w:p>
  </w:endnote>
  <w:endnote w:type="continuationSeparator" w:id="0">
    <w:p w14:paraId="714358D8" w14:textId="77777777" w:rsidR="00A70557" w:rsidRDefault="00A70557" w:rsidP="00A9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Armenian Normal">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Armenian">
    <w:panose1 w:val="02020603050405020304"/>
    <w:charset w:val="00"/>
    <w:family w:val="roman"/>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LatArm">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397F" w14:textId="77777777" w:rsidR="00A70557" w:rsidRDefault="00A70557" w:rsidP="00A9653E">
      <w:pPr>
        <w:spacing w:after="0" w:line="240" w:lineRule="auto"/>
      </w:pPr>
      <w:r>
        <w:separator/>
      </w:r>
    </w:p>
  </w:footnote>
  <w:footnote w:type="continuationSeparator" w:id="0">
    <w:p w14:paraId="46CF22AF" w14:textId="77777777" w:rsidR="00A70557" w:rsidRDefault="00A70557" w:rsidP="00A9653E">
      <w:pPr>
        <w:spacing w:after="0" w:line="240" w:lineRule="auto"/>
      </w:pPr>
      <w:r>
        <w:continuationSeparator/>
      </w:r>
    </w:p>
  </w:footnote>
  <w:footnote w:id="1">
    <w:p w14:paraId="5BD6D798" w14:textId="77777777" w:rsidR="00A70557" w:rsidRPr="00F42F6B" w:rsidRDefault="00A70557" w:rsidP="00F42F6B">
      <w:pPr>
        <w:pStyle w:val="FootnoteText"/>
        <w:jc w:val="both"/>
      </w:pPr>
      <w:r w:rsidRPr="00F42F6B">
        <w:rPr>
          <w:rStyle w:val="FootnoteReference"/>
        </w:rPr>
        <w:t>1</w:t>
      </w:r>
      <w:r w:rsidRPr="00F42F6B">
        <w:t xml:space="preserve"> The forecasts of external sector have been based on the information provided from international reputable analytical, research, ratings organizations and financial institutions as well as various news agencies worldwide (including the</w:t>
      </w:r>
      <w:r w:rsidRPr="00F42F6B">
        <w:rPr>
          <w:lang w:val="hy-AM"/>
        </w:rPr>
        <w:t xml:space="preserve"> IMF, World Bank, The Economist, Economist </w:t>
      </w:r>
      <w:r w:rsidRPr="00F42F6B">
        <w:t xml:space="preserve">Intelligence Unit, </w:t>
      </w:r>
      <w:r w:rsidRPr="00F42F6B">
        <w:rPr>
          <w:lang w:val="hy-AM"/>
        </w:rPr>
        <w:t xml:space="preserve">Global Insight, Financial Times, </w:t>
      </w:r>
      <w:r w:rsidRPr="00F42F6B">
        <w:t>and so on).</w:t>
      </w:r>
    </w:p>
  </w:footnote>
  <w:footnote w:id="2">
    <w:p w14:paraId="5C19C700" w14:textId="77777777" w:rsidR="00A70557" w:rsidRDefault="00A70557" w:rsidP="00ED55C3">
      <w:pPr>
        <w:pStyle w:val="FootnoteText"/>
        <w:jc w:val="both"/>
      </w:pPr>
      <w:r>
        <w:rPr>
          <w:rStyle w:val="FootnoteReference"/>
        </w:rPr>
        <w:t>2</w:t>
      </w:r>
      <w:r>
        <w:t xml:space="preserve"> </w:t>
      </w:r>
      <w:r w:rsidRPr="00292438">
        <w:t>See the 30</w:t>
      </w:r>
      <w:r>
        <w:t>%</w:t>
      </w:r>
      <w:r w:rsidRPr="00292438">
        <w:t xml:space="preserve"> interval in the Real GDP Growth (Cumulative) Projection Probability Distribution Chart in this </w:t>
      </w:r>
      <w:r>
        <w:t>report</w:t>
      </w:r>
      <w:r w:rsidRPr="00292438">
        <w:t>.</w:t>
      </w:r>
    </w:p>
  </w:footnote>
  <w:footnote w:id="3">
    <w:p w14:paraId="63F4213E" w14:textId="77777777" w:rsidR="00A70557" w:rsidRDefault="00A70557" w:rsidP="00A9653E">
      <w:pPr>
        <w:pStyle w:val="FootnoteText"/>
        <w:jc w:val="both"/>
      </w:pPr>
      <w:r>
        <w:rPr>
          <w:rStyle w:val="FootnoteReference"/>
        </w:rPr>
        <w:t>3</w:t>
      </w:r>
      <w:r>
        <w:t xml:space="preserve"> </w:t>
      </w:r>
      <w:r w:rsidRPr="00784835">
        <w:t>The la</w:t>
      </w:r>
      <w:r>
        <w:t>bor market data for 2014 are</w:t>
      </w:r>
      <w:r w:rsidRPr="00784835">
        <w:t xml:space="preserve"> the C</w:t>
      </w:r>
      <w:r>
        <w:t xml:space="preserve">entral Bank </w:t>
      </w:r>
      <w:r w:rsidRPr="00784835">
        <w:t>estimates which are based on</w:t>
      </w:r>
      <w:r>
        <w:t xml:space="preserve"> the 2nd quarter of 2014 data and actual July-August 2014 figures. The growth indicators presented in this sub-section are relative to the same quarter of the previous year, unless otherwise specified.</w:t>
      </w:r>
    </w:p>
  </w:footnote>
  <w:footnote w:id="4">
    <w:p w14:paraId="27AC23FD" w14:textId="77777777" w:rsidR="00A70557" w:rsidRDefault="00A70557" w:rsidP="00A9653E">
      <w:pPr>
        <w:pStyle w:val="FootnoteText"/>
        <w:jc w:val="both"/>
      </w:pPr>
      <w:r>
        <w:rPr>
          <w:rStyle w:val="FootnoteReference"/>
        </w:rPr>
        <w:t>4</w:t>
      </w:r>
      <w:r>
        <w:t xml:space="preserve"> </w:t>
      </w:r>
      <w:r w:rsidRPr="001A69A6">
        <w:t xml:space="preserve">The </w:t>
      </w:r>
      <w:r>
        <w:t xml:space="preserve">data of real growth of private consumption </w:t>
      </w:r>
      <w:r w:rsidRPr="001A69A6">
        <w:t xml:space="preserve">and investments </w:t>
      </w:r>
      <w:r>
        <w:t xml:space="preserve">for 2014-2017 are the Central Bank </w:t>
      </w:r>
      <w:r w:rsidRPr="00BB2A89">
        <w:t>estimates</w:t>
      </w:r>
      <w:r>
        <w:t xml:space="preserve">. Actual figures of these data are as of the 2nd quarter </w:t>
      </w:r>
      <w:r w:rsidRPr="00BB2A89">
        <w:t>20</w:t>
      </w:r>
      <w:r>
        <w:t xml:space="preserve">14 and published by the Republic of Armenia National Statistics Service. </w:t>
      </w:r>
      <w:r w:rsidRPr="00BB2A89">
        <w:t>The real growth indicators represented in this sub-section are relative to the same quarter of the previous year, unless otherwise specified.</w:t>
      </w:r>
    </w:p>
  </w:footnote>
  <w:footnote w:id="5">
    <w:p w14:paraId="11ED59EF" w14:textId="77777777" w:rsidR="00A70557" w:rsidRPr="00FF5A09" w:rsidRDefault="00A70557" w:rsidP="00A9653E">
      <w:pPr>
        <w:pStyle w:val="FootnoteText"/>
      </w:pPr>
      <w:r w:rsidRPr="00FF5A09">
        <w:rPr>
          <w:rStyle w:val="FootnoteReference"/>
        </w:rPr>
        <w:t>5</w:t>
      </w:r>
      <w:r w:rsidRPr="00FF5A09">
        <w:t xml:space="preserve"> See </w:t>
      </w:r>
      <w:r w:rsidRPr="00FF5A09">
        <w:rPr>
          <w:lang w:val="hy-AM"/>
        </w:rPr>
        <w:t>http://armstat.am/file/doc/99488458.pdf</w:t>
      </w:r>
      <w:r w:rsidRPr="00FF5A09">
        <w:t>.</w:t>
      </w:r>
    </w:p>
  </w:footnote>
  <w:footnote w:id="6">
    <w:p w14:paraId="599FE211" w14:textId="77777777" w:rsidR="00A70557" w:rsidRDefault="00A70557">
      <w:pPr>
        <w:pStyle w:val="FootnoteText"/>
      </w:pPr>
      <w:r>
        <w:rPr>
          <w:rStyle w:val="FootnoteReference"/>
        </w:rPr>
        <w:t>6</w:t>
      </w:r>
      <w:r>
        <w:t xml:space="preserve"> The temporary deterioration of the current account deficit resulted from a one-off major transaction in the 1st quarter 2014, which was posted in sub-item “reinvested income” of item “initial income”. </w:t>
      </w:r>
    </w:p>
  </w:footnote>
  <w:footnote w:id="7">
    <w:p w14:paraId="65B08183" w14:textId="77777777" w:rsidR="00A70557" w:rsidRDefault="00A70557" w:rsidP="00A9653E">
      <w:pPr>
        <w:pStyle w:val="FootnoteText"/>
      </w:pPr>
      <w:r>
        <w:rPr>
          <w:rStyle w:val="FootnoteReference"/>
        </w:rPr>
        <w:t>7</w:t>
      </w:r>
      <w:r>
        <w:t xml:space="preserve"> A Central Bank estimate.</w:t>
      </w:r>
    </w:p>
  </w:footnote>
  <w:footnote w:id="8">
    <w:p w14:paraId="3F65688A" w14:textId="77777777" w:rsidR="00A70557" w:rsidRDefault="00A70557">
      <w:pPr>
        <w:pStyle w:val="FootnoteText"/>
      </w:pPr>
      <w:r>
        <w:rPr>
          <w:rStyle w:val="FootnoteReference"/>
        </w:rPr>
        <w:t>8</w:t>
      </w:r>
      <w:r>
        <w:t xml:space="preserve"> Expenditures are represented as cash flows.</w:t>
      </w:r>
    </w:p>
  </w:footnote>
  <w:footnote w:id="9">
    <w:p w14:paraId="306849D4" w14:textId="77777777" w:rsidR="00A70557" w:rsidRPr="00284140" w:rsidRDefault="00A70557" w:rsidP="00A47234">
      <w:pPr>
        <w:pStyle w:val="FootnoteText"/>
        <w:jc w:val="both"/>
        <w:rPr>
          <w:lang w:val="hy-AM"/>
        </w:rPr>
      </w:pPr>
      <w:r w:rsidRPr="00284140">
        <w:rPr>
          <w:rStyle w:val="FootnoteReference"/>
        </w:rPr>
        <w:t xml:space="preserve">9 </w:t>
      </w:r>
      <w:r w:rsidRPr="00284140">
        <w:t xml:space="preserve">The </w:t>
      </w:r>
      <w:r w:rsidRPr="00284140">
        <w:rPr>
          <w:lang w:val="hy-AM"/>
        </w:rPr>
        <w:t xml:space="preserve">2013 </w:t>
      </w:r>
      <w:r w:rsidRPr="00284140">
        <w:t xml:space="preserve">state budget indicators are </w:t>
      </w:r>
      <w:r>
        <w:t>re</w:t>
      </w:r>
      <w:r w:rsidRPr="00284140">
        <w:t>presented without off-budgetary funds,</w:t>
      </w:r>
      <w:r w:rsidRPr="00284140">
        <w:rPr>
          <w:lang w:val="hy-AM"/>
        </w:rPr>
        <w:t xml:space="preserve"> </w:t>
      </w:r>
      <w:r w:rsidRPr="00284140">
        <w:t xml:space="preserve">and public expenditures are shown </w:t>
      </w:r>
      <w:r>
        <w:t>as</w:t>
      </w:r>
      <w:r w:rsidRPr="00284140">
        <w:t xml:space="preserve"> cash flows.</w:t>
      </w:r>
      <w:r w:rsidRPr="00284140">
        <w:rPr>
          <w:lang w:val="hy-AM"/>
        </w:rPr>
        <w:t xml:space="preserve"> </w:t>
      </w:r>
    </w:p>
  </w:footnote>
  <w:footnote w:id="10">
    <w:p w14:paraId="2BE51FBC" w14:textId="77777777" w:rsidR="00A70557" w:rsidRPr="00512D41" w:rsidRDefault="00A70557" w:rsidP="00284140">
      <w:pPr>
        <w:pStyle w:val="FootnoteText"/>
        <w:jc w:val="both"/>
        <w:rPr>
          <w:rFonts w:ascii="Arial LatArm" w:hAnsi="Arial LatArm"/>
          <w:i/>
          <w:sz w:val="16"/>
          <w:szCs w:val="16"/>
          <w:lang w:val="hy-AM"/>
        </w:rPr>
      </w:pPr>
      <w:r w:rsidRPr="00284140">
        <w:rPr>
          <w:rStyle w:val="FootnoteReference"/>
          <w:lang w:val="hy-AM"/>
        </w:rPr>
        <w:t>10</w:t>
      </w:r>
      <w:r w:rsidRPr="00284140">
        <w:rPr>
          <w:lang w:val="hy-AM"/>
        </w:rPr>
        <w:t xml:space="preserve"> The 2014 state budget deficit indicator is the Central Bank estimate, whereby </w:t>
      </w:r>
      <w:r>
        <w:t xml:space="preserve">tax </w:t>
      </w:r>
      <w:r w:rsidRPr="00284140">
        <w:rPr>
          <w:lang w:val="hy-AM"/>
        </w:rPr>
        <w:t xml:space="preserve">revenues </w:t>
      </w:r>
      <w:r>
        <w:t>and</w:t>
      </w:r>
      <w:r w:rsidRPr="00284140">
        <w:rPr>
          <w:lang w:val="hy-AM"/>
        </w:rPr>
        <w:t xml:space="preserve"> public expenditures are expected </w:t>
      </w:r>
      <w:r>
        <w:t xml:space="preserve">to be, respectively, 2.8% and 5.2% below from the figures projected in the State Budget Law 2014 </w:t>
      </w:r>
      <w:r w:rsidRPr="00284140">
        <w:rPr>
          <w:lang w:val="hy-AM"/>
        </w:rPr>
        <w:t xml:space="preserve">due to the first </w:t>
      </w:r>
      <w:r>
        <w:t>nine months’</w:t>
      </w:r>
      <w:r w:rsidRPr="00284140">
        <w:rPr>
          <w:lang w:val="hy-AM"/>
        </w:rPr>
        <w:t xml:space="preserve"> savings</w:t>
      </w:r>
      <w:r>
        <w:t>, underperformed revenues</w:t>
      </w:r>
      <w:r w:rsidRPr="00284140">
        <w:rPr>
          <w:lang w:val="hy-AM"/>
        </w:rPr>
        <w:t xml:space="preserve"> and taking into account the previous years’ trends of </w:t>
      </w:r>
      <w:r>
        <w:t>budget performance</w:t>
      </w:r>
      <w:r w:rsidRPr="00284140">
        <w:rPr>
          <w:lang w:val="hy-AM"/>
        </w:rPr>
        <w:t>.</w:t>
      </w:r>
      <w:r>
        <w:t xml:space="preserve"> </w:t>
      </w:r>
    </w:p>
  </w:footnote>
  <w:footnote w:id="11">
    <w:p w14:paraId="0FFF4159" w14:textId="77777777" w:rsidR="00A70557" w:rsidRDefault="00A70557">
      <w:pPr>
        <w:pStyle w:val="FootnoteText"/>
      </w:pPr>
      <w:r>
        <w:rPr>
          <w:rStyle w:val="FootnoteReference"/>
        </w:rPr>
        <w:t>11</w:t>
      </w:r>
      <w:r>
        <w:t xml:space="preserve"> See details in Box 2 of this report.</w:t>
      </w:r>
    </w:p>
  </w:footnote>
  <w:footnote w:id="12">
    <w:p w14:paraId="4E7AA2D6" w14:textId="77777777" w:rsidR="00A70557" w:rsidRPr="000533BD" w:rsidRDefault="00A70557" w:rsidP="00A9653E">
      <w:pPr>
        <w:pStyle w:val="FootnoteText"/>
        <w:jc w:val="both"/>
      </w:pPr>
      <w:r>
        <w:rPr>
          <w:rStyle w:val="FootnoteReference"/>
        </w:rPr>
        <w:t>12</w:t>
      </w:r>
      <w:r w:rsidRPr="000533BD">
        <w:rPr>
          <w:rStyle w:val="FootnoteReference"/>
        </w:rPr>
        <w:t xml:space="preserve"> </w:t>
      </w:r>
      <w:r w:rsidRPr="000533BD">
        <w:t>The price</w:t>
      </w:r>
      <w:r>
        <w:t xml:space="preserve"> index change as of January-September 2014 </w:t>
      </w:r>
      <w:r w:rsidRPr="000533BD">
        <w:t>is relative to the same period of the previous year</w:t>
      </w:r>
      <w:r>
        <w:t>,</w:t>
      </w:r>
      <w:r w:rsidRPr="000533BD">
        <w:t xml:space="preserve"> unless otherwise specified. </w:t>
      </w:r>
    </w:p>
  </w:footnote>
  <w:footnote w:id="13">
    <w:p w14:paraId="51C5CBB9" w14:textId="77777777" w:rsidR="00A70557" w:rsidRDefault="00A70557" w:rsidP="00A9653E">
      <w:pPr>
        <w:pStyle w:val="FootnoteText"/>
        <w:jc w:val="both"/>
      </w:pPr>
      <w:r>
        <w:rPr>
          <w:rStyle w:val="FootnoteReference"/>
        </w:rPr>
        <w:t>13</w:t>
      </w:r>
      <w:r>
        <w:t xml:space="preserve"> Sales prices of producers of agricultural product are presented.</w:t>
      </w:r>
    </w:p>
  </w:footnote>
  <w:footnote w:id="14">
    <w:p w14:paraId="2C256C33" w14:textId="77777777" w:rsidR="00A70557" w:rsidRDefault="00A70557" w:rsidP="00A9653E">
      <w:pPr>
        <w:pStyle w:val="FootnoteText"/>
        <w:jc w:val="both"/>
      </w:pPr>
      <w:r>
        <w:rPr>
          <w:rStyle w:val="FootnoteReference"/>
        </w:rPr>
        <w:t>14</w:t>
      </w:r>
      <w:r>
        <w:t xml:space="preserve"> The indicators of real growth of value added in sectors of the economy for January-September 2014 y/y are the Central Bank estimates whereas the indicators of sub-sectors represent y/y growth rates in output volumes for January-September 2014, unless otherwise specified.</w:t>
      </w:r>
    </w:p>
  </w:footnote>
  <w:footnote w:id="15">
    <w:p w14:paraId="32B49AE6" w14:textId="77777777" w:rsidR="00A70557" w:rsidRPr="007B5CC5" w:rsidRDefault="00A70557" w:rsidP="00A9653E">
      <w:pPr>
        <w:pStyle w:val="FootnoteText"/>
        <w:jc w:val="both"/>
      </w:pPr>
      <w:r>
        <w:rPr>
          <w:rStyle w:val="FootnoteReference"/>
        </w:rPr>
        <w:t>15</w:t>
      </w:r>
      <w:r w:rsidRPr="007B5CC5">
        <w:t xml:space="preserve"> See </w:t>
      </w:r>
      <w:r>
        <w:t>the 30% probability</w:t>
      </w:r>
      <w:r w:rsidRPr="007B5CC5">
        <w:t xml:space="preserve"> </w:t>
      </w:r>
      <w:r>
        <w:t xml:space="preserve">of </w:t>
      </w:r>
      <w:r w:rsidRPr="007B5CC5">
        <w:t xml:space="preserve">Real GDP Growth </w:t>
      </w:r>
      <w:r>
        <w:t>(</w:t>
      </w:r>
      <w:r w:rsidRPr="007B5CC5">
        <w:t>Cumulative</w:t>
      </w:r>
      <w:r>
        <w:t>)</w:t>
      </w:r>
      <w:r w:rsidRPr="007B5CC5">
        <w:t xml:space="preserve"> Projection Probability Distribution</w:t>
      </w:r>
      <w:r>
        <w:t xml:space="preserve"> Chart</w:t>
      </w:r>
      <w:r w:rsidRPr="007B5CC5">
        <w:t>.</w:t>
      </w:r>
    </w:p>
  </w:footnote>
  <w:footnote w:id="16">
    <w:p w14:paraId="55A73023" w14:textId="77777777" w:rsidR="00A70557" w:rsidRPr="001943CA" w:rsidRDefault="00A70557" w:rsidP="001943CA">
      <w:pPr>
        <w:pStyle w:val="FootnoteText"/>
        <w:jc w:val="both"/>
      </w:pPr>
      <w:r>
        <w:rPr>
          <w:rStyle w:val="FootnoteReference"/>
        </w:rPr>
        <w:t>16</w:t>
      </w:r>
      <w:r>
        <w:t xml:space="preserve"> Increased output </w:t>
      </w:r>
      <w:r w:rsidRPr="0018217E">
        <w:t xml:space="preserve">was mainly </w:t>
      </w:r>
      <w:r>
        <w:t>due to</w:t>
      </w:r>
      <w:r w:rsidRPr="0018217E">
        <w:t xml:space="preserve"> capacity growth</w:t>
      </w:r>
      <w:r>
        <w:t xml:space="preserve"> in </w:t>
      </w:r>
      <w:r w:rsidRPr="0018217E">
        <w:t>produc</w:t>
      </w:r>
      <w:r>
        <w:t xml:space="preserve">ing meat </w:t>
      </w:r>
      <w:r w:rsidRPr="0018217E">
        <w:t>(</w:t>
      </w:r>
      <w:r>
        <w:t>13.3</w:t>
      </w:r>
      <w:r w:rsidRPr="0018217E">
        <w:t xml:space="preserve">%), meat </w:t>
      </w:r>
      <w:r>
        <w:t xml:space="preserve">products </w:t>
      </w:r>
      <w:r w:rsidRPr="0018217E">
        <w:t>(1</w:t>
      </w:r>
      <w:r>
        <w:t>8</w:t>
      </w:r>
      <w:r w:rsidRPr="0018217E">
        <w:t>.</w:t>
      </w:r>
      <w:r>
        <w:t>9</w:t>
      </w:r>
      <w:r w:rsidRPr="0018217E">
        <w:t>%), meat prepacks (1</w:t>
      </w:r>
      <w:r>
        <w:t>8</w:t>
      </w:r>
      <w:r w:rsidRPr="0018217E">
        <w:t>.</w:t>
      </w:r>
      <w:r>
        <w:t>2</w:t>
      </w:r>
      <w:r w:rsidRPr="0018217E">
        <w:t>%), milk</w:t>
      </w:r>
      <w:r>
        <w:t xml:space="preserve"> </w:t>
      </w:r>
      <w:r w:rsidRPr="0018217E">
        <w:t>(5.</w:t>
      </w:r>
      <w:r>
        <w:t>9</w:t>
      </w:r>
      <w:r w:rsidRPr="0018217E">
        <w:t xml:space="preserve">%), </w:t>
      </w:r>
      <w:r>
        <w:t xml:space="preserve">matsoun (17.7%), </w:t>
      </w:r>
      <w:r w:rsidRPr="0018217E">
        <w:t>cheese (</w:t>
      </w:r>
      <w:r>
        <w:t>6</w:t>
      </w:r>
      <w:r w:rsidRPr="0018217E">
        <w:t>.</w:t>
      </w:r>
      <w:r>
        <w:t>2</w:t>
      </w:r>
      <w:r w:rsidRPr="0018217E">
        <w:t>%), animal fat (2.2</w:t>
      </w:r>
      <w:r>
        <w:t>-fold</w:t>
      </w:r>
      <w:r w:rsidRPr="0018217E">
        <w:t xml:space="preserve">), macaroni </w:t>
      </w:r>
      <w:r w:rsidRPr="001943CA">
        <w:t>(18.7%), sugar (2.3%), flour (48.3%), grains (34.9%), confectionery (9.1%), canned food (4.2%) and ice cream (48.8%).</w:t>
      </w:r>
    </w:p>
  </w:footnote>
  <w:footnote w:id="17">
    <w:p w14:paraId="09EE8C9B" w14:textId="77777777" w:rsidR="00A70557" w:rsidRPr="001943CA" w:rsidRDefault="00A70557" w:rsidP="001943CA">
      <w:pPr>
        <w:pStyle w:val="FootnoteText"/>
        <w:jc w:val="both"/>
      </w:pPr>
      <w:r w:rsidRPr="001943CA">
        <w:rPr>
          <w:rStyle w:val="FootnoteReference"/>
        </w:rPr>
        <w:t>17</w:t>
      </w:r>
      <w:r w:rsidRPr="001943CA">
        <w:t xml:space="preserve"> Increased output was mainly due to capacity growth in producing</w:t>
      </w:r>
      <w:r w:rsidRPr="001943CA">
        <w:rPr>
          <w:lang w:val="pt-BR"/>
        </w:rPr>
        <w:t xml:space="preserve"> champagne (26.8</w:t>
      </w:r>
      <w:r w:rsidRPr="001943CA">
        <w:rPr>
          <w:lang w:val="hy-AM"/>
        </w:rPr>
        <w:t>%</w:t>
      </w:r>
      <w:r w:rsidRPr="001943CA">
        <w:rPr>
          <w:lang w:val="pt-BR"/>
        </w:rPr>
        <w:t>), beer (37.2</w:t>
      </w:r>
      <w:r w:rsidRPr="001943CA">
        <w:rPr>
          <w:lang w:val="hy-AM"/>
        </w:rPr>
        <w:t>%</w:t>
      </w:r>
      <w:r w:rsidRPr="001943CA">
        <w:rPr>
          <w:lang w:val="pt-BR"/>
        </w:rPr>
        <w:t>), non-alcoholic beverage (35.7</w:t>
      </w:r>
      <w:r w:rsidRPr="001943CA">
        <w:rPr>
          <w:lang w:val="hy-AM"/>
        </w:rPr>
        <w:t>%</w:t>
      </w:r>
      <w:r w:rsidRPr="001943CA">
        <w:rPr>
          <w:lang w:val="pt-BR"/>
        </w:rPr>
        <w:t>), natural juice (14.5</w:t>
      </w:r>
      <w:r w:rsidRPr="001943CA">
        <w:rPr>
          <w:lang w:val="hy-AM"/>
        </w:rPr>
        <w:t>%</w:t>
      </w:r>
      <w:r w:rsidRPr="001943CA">
        <w:rPr>
          <w:lang w:val="pt-BR"/>
        </w:rPr>
        <w:t>), mineral water</w:t>
      </w:r>
      <w:r w:rsidRPr="001943CA">
        <w:rPr>
          <w:lang w:val="hy-AM"/>
        </w:rPr>
        <w:t xml:space="preserve"> </w:t>
      </w:r>
      <w:r w:rsidRPr="001943CA">
        <w:rPr>
          <w:lang w:val="pt-BR"/>
        </w:rPr>
        <w:t>(51.6</w:t>
      </w:r>
      <w:r w:rsidRPr="001943CA">
        <w:rPr>
          <w:lang w:val="hy-AM"/>
        </w:rPr>
        <w:t>%</w:t>
      </w:r>
      <w:r w:rsidRPr="001943CA">
        <w:rPr>
          <w:lang w:val="pt-BR"/>
        </w:rPr>
        <w:t>) and spring water (48.7</w:t>
      </w:r>
      <w:r w:rsidRPr="001943CA">
        <w:rPr>
          <w:lang w:val="hy-AM"/>
        </w:rPr>
        <w:t>%</w:t>
      </w:r>
      <w:r w:rsidRPr="001943CA">
        <w:rPr>
          <w:lang w:val="pt-BR"/>
        </w:rPr>
        <w:t>).</w:t>
      </w:r>
    </w:p>
  </w:footnote>
  <w:footnote w:id="18">
    <w:p w14:paraId="1F94BA47" w14:textId="77777777" w:rsidR="00A70557" w:rsidRPr="001943CA" w:rsidRDefault="00A70557" w:rsidP="001943CA">
      <w:pPr>
        <w:pStyle w:val="FootnoteText"/>
        <w:jc w:val="both"/>
      </w:pPr>
      <w:r w:rsidRPr="001943CA">
        <w:rPr>
          <w:rStyle w:val="FootnoteReference"/>
        </w:rPr>
        <w:t>18</w:t>
      </w:r>
      <w:r w:rsidRPr="001943CA">
        <w:t xml:space="preserve"> The private spending, private consumption and private investment data for the 3rd quarter of 2014 are the Central Bank estimates based on actual 2nd quarter of 2014 data. Growth estimates in this sub-section are relative to the same quarter of the previous year, unless otherwise specified.  </w:t>
      </w:r>
    </w:p>
  </w:footnote>
  <w:footnote w:id="19">
    <w:p w14:paraId="27BAF077" w14:textId="77777777" w:rsidR="00A70557" w:rsidRPr="00D22F97" w:rsidRDefault="00A70557" w:rsidP="00D22F97">
      <w:pPr>
        <w:pStyle w:val="FootnoteText"/>
        <w:jc w:val="both"/>
      </w:pPr>
      <w:r w:rsidRPr="00D22F97">
        <w:rPr>
          <w:rStyle w:val="FootnoteReference"/>
        </w:rPr>
        <w:t>19</w:t>
      </w:r>
      <w:r w:rsidRPr="00D22F97">
        <w:t xml:space="preserve"> See </w:t>
      </w:r>
      <w:r w:rsidRPr="00D22F97">
        <w:rPr>
          <w:lang w:val="hy-AM"/>
        </w:rPr>
        <w:t>https://www.cba.am/am/SitePages/statsscci.aspx</w:t>
      </w:r>
      <w:r w:rsidRPr="00D22F97">
        <w:t>.</w:t>
      </w:r>
    </w:p>
  </w:footnote>
  <w:footnote w:id="20">
    <w:p w14:paraId="49A7C153" w14:textId="77777777" w:rsidR="00A70557" w:rsidRPr="00D22F97" w:rsidRDefault="00A70557">
      <w:pPr>
        <w:pStyle w:val="FootnoteText"/>
      </w:pPr>
      <w:r w:rsidRPr="00D22F97">
        <w:rPr>
          <w:rStyle w:val="FootnoteReference"/>
        </w:rPr>
        <w:t>20</w:t>
      </w:r>
      <w:r w:rsidRPr="00D22F97">
        <w:t xml:space="preserve"> </w:t>
      </w:r>
      <w:r w:rsidRPr="00D22F97">
        <w:rPr>
          <w:lang w:val="hy-AM"/>
        </w:rPr>
        <w:t>https://www.cba.am/am/SitePages/statsseabci.aspx</w:t>
      </w:r>
      <w:r w:rsidRPr="00D22F97">
        <w:t>.</w:t>
      </w:r>
    </w:p>
  </w:footnote>
  <w:footnote w:id="21">
    <w:p w14:paraId="43B05A8E" w14:textId="77777777" w:rsidR="00A70557" w:rsidRPr="00D22F97" w:rsidRDefault="00A70557" w:rsidP="00A9653E">
      <w:pPr>
        <w:pStyle w:val="FootnoteText"/>
        <w:jc w:val="both"/>
      </w:pPr>
      <w:r w:rsidRPr="00D22F97">
        <w:rPr>
          <w:rStyle w:val="FootnoteReference"/>
        </w:rPr>
        <w:t>21</w:t>
      </w:r>
      <w:r w:rsidRPr="00D22F97">
        <w:t xml:space="preserve"> The real export and import growth indicators are the Central Bank estimates.</w:t>
      </w:r>
    </w:p>
  </w:footnote>
  <w:footnote w:id="22">
    <w:p w14:paraId="5F8EC569" w14:textId="77777777" w:rsidR="00A70557" w:rsidRDefault="00A70557" w:rsidP="00940E1E">
      <w:pPr>
        <w:pStyle w:val="FootnoteText"/>
        <w:jc w:val="both"/>
      </w:pPr>
      <w:r>
        <w:rPr>
          <w:rStyle w:val="FootnoteReference"/>
        </w:rPr>
        <w:t>22</w:t>
      </w:r>
      <w:r>
        <w:t xml:space="preserve"> High growth in import was in part due to a one-off transaction of importing of a bulk of machinery and equipment.</w:t>
      </w:r>
    </w:p>
  </w:footnote>
  <w:footnote w:id="23">
    <w:p w14:paraId="03384675" w14:textId="77777777" w:rsidR="00A70557" w:rsidRDefault="00A70557" w:rsidP="00940E1E">
      <w:pPr>
        <w:pStyle w:val="FootnoteText"/>
        <w:jc w:val="both"/>
      </w:pPr>
      <w:r>
        <w:rPr>
          <w:rStyle w:val="FootnoteReference"/>
        </w:rPr>
        <w:t>23</w:t>
      </w:r>
      <w:r>
        <w:t xml:space="preserve"> In the period January-September 2014, the inflow of non-commercial remittances of individuals through the banking system has increased by 0.4%. If the ruble’s depreciation against the dollar was excluded (depreciation relative to the previous January-September period has been roughly 11.0%),</w:t>
      </w:r>
      <w:r w:rsidRPr="006C5637">
        <w:t xml:space="preserve"> </w:t>
      </w:r>
      <w:r>
        <w:t xml:space="preserve">the inflow of the above mentioned non-commercial remittances would have grown by 8.0%.   </w:t>
      </w:r>
    </w:p>
  </w:footnote>
  <w:footnote w:id="24">
    <w:p w14:paraId="20F3ACE7" w14:textId="77777777" w:rsidR="00A70557" w:rsidRPr="00176BB8" w:rsidRDefault="00A70557" w:rsidP="00A9653E">
      <w:pPr>
        <w:pStyle w:val="FootnoteText"/>
        <w:jc w:val="both"/>
        <w:rPr>
          <w:i/>
        </w:rPr>
      </w:pPr>
      <w:r>
        <w:rPr>
          <w:rStyle w:val="FootnoteReference"/>
        </w:rPr>
        <w:t>24</w:t>
      </w:r>
      <w:r w:rsidRPr="00176BB8">
        <w:rPr>
          <w:i/>
        </w:rPr>
        <w:t xml:space="preserve"> </w:t>
      </w:r>
      <w:r w:rsidRPr="00176BB8">
        <w:t>The labor market data for 201</w:t>
      </w:r>
      <w:r>
        <w:t>4</w:t>
      </w:r>
      <w:r w:rsidRPr="00176BB8">
        <w:t xml:space="preserve"> are the </w:t>
      </w:r>
      <w:r>
        <w:t xml:space="preserve">Central </w:t>
      </w:r>
      <w:r w:rsidRPr="00176BB8">
        <w:t xml:space="preserve">Bank estimates which are based on the </w:t>
      </w:r>
      <w:r>
        <w:t>2nd</w:t>
      </w:r>
      <w:r w:rsidRPr="00176BB8">
        <w:t xml:space="preserve"> quarter </w:t>
      </w:r>
      <w:r>
        <w:t xml:space="preserve">of 2014 </w:t>
      </w:r>
      <w:r w:rsidRPr="00176BB8">
        <w:t xml:space="preserve">data and actual </w:t>
      </w:r>
      <w:r>
        <w:t>July</w:t>
      </w:r>
      <w:r w:rsidRPr="00176BB8">
        <w:t>-</w:t>
      </w:r>
      <w:r>
        <w:t>August 2014</w:t>
      </w:r>
      <w:r w:rsidRPr="00176BB8">
        <w:t xml:space="preserve"> figures. The growth indicators represented in this sub-section are relative to the same quarter of the previous year, unless otherwise specified.</w:t>
      </w:r>
    </w:p>
  </w:footnote>
  <w:footnote w:id="25">
    <w:p w14:paraId="3F3CEED0" w14:textId="77777777" w:rsidR="00A70557" w:rsidRPr="004062FA" w:rsidRDefault="00A70557" w:rsidP="00A9653E">
      <w:pPr>
        <w:pStyle w:val="FootnoteText"/>
        <w:jc w:val="both"/>
      </w:pPr>
      <w:r>
        <w:rPr>
          <w:rStyle w:val="FootnoteReference"/>
        </w:rPr>
        <w:t>25</w:t>
      </w:r>
      <w:r w:rsidRPr="004062FA">
        <w:t xml:space="preserve"> </w:t>
      </w:r>
      <w:r>
        <w:rPr>
          <w:iCs/>
        </w:rPr>
        <w:t>The r</w:t>
      </w:r>
      <w:r w:rsidRPr="004062FA">
        <w:rPr>
          <w:iCs/>
        </w:rPr>
        <w:t>eview of the fiscal sector</w:t>
      </w:r>
      <w:r>
        <w:rPr>
          <w:iCs/>
        </w:rPr>
        <w:t xml:space="preserve"> was done using the</w:t>
      </w:r>
      <w:r w:rsidRPr="004062FA">
        <w:rPr>
          <w:iCs/>
        </w:rPr>
        <w:t xml:space="preserve"> preliminary</w:t>
      </w:r>
      <w:r>
        <w:rPr>
          <w:iCs/>
        </w:rPr>
        <w:t xml:space="preserve"> actual</w:t>
      </w:r>
      <w:r w:rsidRPr="004062FA">
        <w:rPr>
          <w:iCs/>
        </w:rPr>
        <w:t xml:space="preserve"> </w:t>
      </w:r>
      <w:r>
        <w:rPr>
          <w:iCs/>
        </w:rPr>
        <w:t>c</w:t>
      </w:r>
      <w:r w:rsidRPr="004062FA">
        <w:rPr>
          <w:iCs/>
        </w:rPr>
        <w:t xml:space="preserve">onsolidated budget indicators </w:t>
      </w:r>
      <w:r>
        <w:rPr>
          <w:iCs/>
        </w:rPr>
        <w:t>prepared on the basis of</w:t>
      </w:r>
      <w:r w:rsidRPr="00BB7372">
        <w:rPr>
          <w:iCs/>
        </w:rPr>
        <w:t xml:space="preserve"> </w:t>
      </w:r>
      <w:r>
        <w:rPr>
          <w:iCs/>
        </w:rPr>
        <w:t>the</w:t>
      </w:r>
      <w:r w:rsidRPr="004062FA">
        <w:rPr>
          <w:iCs/>
        </w:rPr>
        <w:t xml:space="preserve"> preliminary</w:t>
      </w:r>
      <w:r>
        <w:rPr>
          <w:iCs/>
        </w:rPr>
        <w:t xml:space="preserve"> actual indicators of </w:t>
      </w:r>
      <w:r w:rsidRPr="004062FA">
        <w:rPr>
          <w:iCs/>
        </w:rPr>
        <w:t xml:space="preserve">the </w:t>
      </w:r>
      <w:r>
        <w:rPr>
          <w:iCs/>
        </w:rPr>
        <w:t xml:space="preserve">3rd </w:t>
      </w:r>
      <w:r w:rsidRPr="004062FA">
        <w:rPr>
          <w:iCs/>
        </w:rPr>
        <w:t>quarter of 201</w:t>
      </w:r>
      <w:r>
        <w:rPr>
          <w:iCs/>
        </w:rPr>
        <w:t>4</w:t>
      </w:r>
      <w:r w:rsidRPr="004062FA">
        <w:rPr>
          <w:iCs/>
        </w:rPr>
        <w:t xml:space="preserve"> (PIU funds included)</w:t>
      </w:r>
      <w:r>
        <w:rPr>
          <w:iCs/>
        </w:rPr>
        <w:t xml:space="preserve">, excluding off-budgetary funds. </w:t>
      </w:r>
      <w:r w:rsidRPr="004062FA">
        <w:rPr>
          <w:iCs/>
        </w:rPr>
        <w:t xml:space="preserve">The impact of revenues was calculated in respect of the nominal GDP indicator while the impact of expenditures in respect of the estimated potential GDP indicator. </w:t>
      </w:r>
    </w:p>
  </w:footnote>
  <w:footnote w:id="26">
    <w:p w14:paraId="1FA28AB0" w14:textId="77777777" w:rsidR="00A70557" w:rsidRDefault="00A70557" w:rsidP="00A9653E">
      <w:pPr>
        <w:pStyle w:val="FootnoteText"/>
        <w:jc w:val="both"/>
      </w:pPr>
      <w:r>
        <w:rPr>
          <w:rStyle w:val="FootnoteReference"/>
        </w:rPr>
        <w:t>26</w:t>
      </w:r>
      <w:r>
        <w:t xml:space="preserve"> </w:t>
      </w:r>
      <w:r w:rsidRPr="004C2165">
        <w:t xml:space="preserve">The State Budget </w:t>
      </w:r>
      <w:r>
        <w:t xml:space="preserve">Law </w:t>
      </w:r>
      <w:r w:rsidRPr="004C2165">
        <w:t>2014</w:t>
      </w:r>
      <w:r>
        <w:t xml:space="preserve"> was adjusted under the Republic of Armenia Government resolutions </w:t>
      </w:r>
      <w:r w:rsidRPr="004C2165">
        <w:t>(https://www.e-gov.am/gov-decrees/).</w:t>
      </w:r>
    </w:p>
  </w:footnote>
  <w:footnote w:id="27">
    <w:p w14:paraId="39AF55B5" w14:textId="77777777" w:rsidR="00A70557" w:rsidRDefault="00A70557" w:rsidP="00BB7372">
      <w:pPr>
        <w:pStyle w:val="FootnoteText"/>
        <w:jc w:val="both"/>
      </w:pPr>
      <w:r>
        <w:rPr>
          <w:rStyle w:val="FootnoteReference"/>
        </w:rPr>
        <w:t>27</w:t>
      </w:r>
      <w:r>
        <w:t xml:space="preserve"> The 3rd quarter 2014 indicator of the real exchange rate is the Central Bank estimate. </w:t>
      </w:r>
    </w:p>
  </w:footnote>
  <w:footnote w:id="28">
    <w:p w14:paraId="1677DD71" w14:textId="77777777" w:rsidR="00A70557" w:rsidRDefault="00A70557" w:rsidP="00A9653E">
      <w:pPr>
        <w:pStyle w:val="FootnoteText"/>
        <w:jc w:val="both"/>
      </w:pPr>
      <w:r>
        <w:rPr>
          <w:rStyle w:val="FootnoteReference"/>
        </w:rPr>
        <w:t>28</w:t>
      </w:r>
      <w:r>
        <w:t xml:space="preserve"> From n</w:t>
      </w:r>
      <w:r w:rsidRPr="00597B3D">
        <w:t>ow</w:t>
      </w:r>
      <w:r>
        <w:t xml:space="preserve"> on,</w:t>
      </w:r>
      <w:r w:rsidRPr="00597B3D">
        <w:t xml:space="preserve"> the balance of payments figures </w:t>
      </w:r>
      <w:r>
        <w:t>will be</w:t>
      </w:r>
      <w:r w:rsidRPr="00597B3D">
        <w:t xml:space="preserve"> presented according to the new balance of payments methodology (BPM6)</w:t>
      </w:r>
      <w:r>
        <w:t>.</w:t>
      </w:r>
      <w:r w:rsidRPr="00597B3D">
        <w:t xml:space="preserve"> </w:t>
      </w:r>
      <w:r>
        <w:t xml:space="preserve">The 3rd quarter </w:t>
      </w:r>
      <w:r w:rsidRPr="00597B3D">
        <w:t>2014</w:t>
      </w:r>
      <w:r>
        <w:t xml:space="preserve"> figures are the Central Bank forecasts and estimates.</w:t>
      </w:r>
    </w:p>
  </w:footnote>
  <w:footnote w:id="29">
    <w:p w14:paraId="0F7705FB" w14:textId="77777777" w:rsidR="00A70557" w:rsidRDefault="00A70557" w:rsidP="00A9653E">
      <w:pPr>
        <w:pStyle w:val="FootnoteText"/>
        <w:jc w:val="both"/>
      </w:pPr>
      <w:r>
        <w:rPr>
          <w:rStyle w:val="FootnoteReference"/>
        </w:rPr>
        <w:t>29</w:t>
      </w:r>
      <w:r>
        <w:t xml:space="preserve"> </w:t>
      </w:r>
      <w:r w:rsidRPr="009956BE">
        <w:t>Export and import</w:t>
      </w:r>
      <w:r>
        <w:t xml:space="preserve"> indicators</w:t>
      </w:r>
      <w:r w:rsidRPr="009956BE">
        <w:t xml:space="preserve"> by commodity and by country</w:t>
      </w:r>
      <w:r>
        <w:t xml:space="preserve"> </w:t>
      </w:r>
      <w:r w:rsidRPr="009956BE">
        <w:t>are</w:t>
      </w:r>
      <w:r>
        <w:t xml:space="preserve"> in</w:t>
      </w:r>
      <w:r w:rsidRPr="009956BE">
        <w:t xml:space="preserve"> FOB and CIF prices, </w:t>
      </w:r>
      <w:r>
        <w:t xml:space="preserve">and </w:t>
      </w:r>
      <w:r w:rsidRPr="009956BE">
        <w:t xml:space="preserve">export and import </w:t>
      </w:r>
      <w:r>
        <w:t xml:space="preserve">of </w:t>
      </w:r>
      <w:r w:rsidRPr="009956BE">
        <w:t>the current account</w:t>
      </w:r>
      <w:r>
        <w:t>, by</w:t>
      </w:r>
      <w:r w:rsidRPr="009956BE">
        <w:t xml:space="preserve"> debit and credit, respectively.</w:t>
      </w:r>
    </w:p>
  </w:footnote>
  <w:footnote w:id="30">
    <w:p w14:paraId="642D1E10" w14:textId="77777777" w:rsidR="00A70557" w:rsidRDefault="00A70557" w:rsidP="000E7B79">
      <w:pPr>
        <w:pStyle w:val="FootnoteText"/>
        <w:jc w:val="both"/>
      </w:pPr>
      <w:r>
        <w:rPr>
          <w:rStyle w:val="FootnoteReference"/>
        </w:rPr>
        <w:t>30</w:t>
      </w:r>
      <w:r>
        <w:t xml:space="preserve"> This includes the dollar value of construction services provided by seasonal workers.</w:t>
      </w:r>
    </w:p>
  </w:footnote>
  <w:footnote w:id="31">
    <w:p w14:paraId="31E72846" w14:textId="77777777" w:rsidR="00A70557" w:rsidRPr="002B3317" w:rsidRDefault="00A70557" w:rsidP="000E7B79">
      <w:pPr>
        <w:pStyle w:val="FootnoteText"/>
        <w:jc w:val="both"/>
      </w:pPr>
      <w:r>
        <w:rPr>
          <w:rStyle w:val="FootnoteReference"/>
        </w:rPr>
        <w:t>31</w:t>
      </w:r>
      <w:r w:rsidRPr="002B3317">
        <w:rPr>
          <w:i/>
        </w:rPr>
        <w:t xml:space="preserve"> </w:t>
      </w:r>
      <w:r w:rsidRPr="002B3317">
        <w:t xml:space="preserve">The </w:t>
      </w:r>
      <w:r>
        <w:t>3rd</w:t>
      </w:r>
      <w:r w:rsidRPr="002B3317">
        <w:t xml:space="preserve"> </w:t>
      </w:r>
      <w:r>
        <w:t xml:space="preserve">quarter of </w:t>
      </w:r>
      <w:r w:rsidRPr="002B3317">
        <w:t>201</w:t>
      </w:r>
      <w:r>
        <w:t>4</w:t>
      </w:r>
      <w:r w:rsidRPr="002B3317">
        <w:t xml:space="preserve"> capital and financial account figures are the </w:t>
      </w:r>
      <w:r>
        <w:t xml:space="preserve">Central </w:t>
      </w:r>
      <w:r w:rsidRPr="002B3317">
        <w:t>Bank forecasts and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A6CC8"/>
    <w:multiLevelType w:val="hybridMultilevel"/>
    <w:tmpl w:val="E102A44C"/>
    <w:lvl w:ilvl="0" w:tplc="04090001">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54854410"/>
    <w:multiLevelType w:val="hybridMultilevel"/>
    <w:tmpl w:val="C90A0DC4"/>
    <w:lvl w:ilvl="0" w:tplc="04090001">
      <w:start w:val="1"/>
      <w:numFmt w:val="bullet"/>
      <w:lvlText w:val=""/>
      <w:lvlJc w:val="left"/>
      <w:pPr>
        <w:tabs>
          <w:tab w:val="num" w:pos="1420"/>
        </w:tabs>
        <w:ind w:left="1420" w:hanging="360"/>
      </w:pPr>
      <w:rPr>
        <w:rFonts w:ascii="Symbol" w:hAnsi="Symbol" w:hint="default"/>
      </w:rPr>
    </w:lvl>
    <w:lvl w:ilvl="1" w:tplc="04090003" w:tentative="1">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2" w15:restartNumberingAfterBreak="0">
    <w:nsid w:val="75226296"/>
    <w:multiLevelType w:val="hybridMultilevel"/>
    <w:tmpl w:val="E046961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787C1239"/>
    <w:multiLevelType w:val="hybridMultilevel"/>
    <w:tmpl w:val="ED30FB5A"/>
    <w:lvl w:ilvl="0" w:tplc="7DA82C5A">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730830"/>
    <w:multiLevelType w:val="hybridMultilevel"/>
    <w:tmpl w:val="F6E2E3B6"/>
    <w:lvl w:ilvl="0" w:tplc="04090001">
      <w:start w:val="1"/>
      <w:numFmt w:val="bullet"/>
      <w:lvlText w:val=""/>
      <w:lvlJc w:val="left"/>
      <w:pPr>
        <w:tabs>
          <w:tab w:val="num" w:pos="1420"/>
        </w:tabs>
        <w:ind w:left="1420" w:hanging="360"/>
      </w:pPr>
      <w:rPr>
        <w:rFonts w:ascii="Symbol" w:hAnsi="Symbol" w:hint="default"/>
      </w:rPr>
    </w:lvl>
    <w:lvl w:ilvl="1" w:tplc="20F014A2">
      <w:start w:val="1"/>
      <w:numFmt w:val="lowerLetter"/>
      <w:lvlText w:val="%2."/>
      <w:lvlJc w:val="left"/>
      <w:pPr>
        <w:tabs>
          <w:tab w:val="num" w:pos="2140"/>
        </w:tabs>
        <w:ind w:left="2140" w:hanging="360"/>
      </w:pPr>
    </w:lvl>
    <w:lvl w:ilvl="2" w:tplc="FDC8A428" w:tentative="1">
      <w:start w:val="1"/>
      <w:numFmt w:val="lowerRoman"/>
      <w:lvlText w:val="%3."/>
      <w:lvlJc w:val="right"/>
      <w:pPr>
        <w:tabs>
          <w:tab w:val="num" w:pos="2860"/>
        </w:tabs>
        <w:ind w:left="2860" w:hanging="180"/>
      </w:pPr>
    </w:lvl>
    <w:lvl w:ilvl="3" w:tplc="3094FD28" w:tentative="1">
      <w:start w:val="1"/>
      <w:numFmt w:val="decimal"/>
      <w:lvlText w:val="%4."/>
      <w:lvlJc w:val="left"/>
      <w:pPr>
        <w:tabs>
          <w:tab w:val="num" w:pos="3580"/>
        </w:tabs>
        <w:ind w:left="3580" w:hanging="360"/>
      </w:pPr>
    </w:lvl>
    <w:lvl w:ilvl="4" w:tplc="829C23B4" w:tentative="1">
      <w:start w:val="1"/>
      <w:numFmt w:val="lowerLetter"/>
      <w:lvlText w:val="%5."/>
      <w:lvlJc w:val="left"/>
      <w:pPr>
        <w:tabs>
          <w:tab w:val="num" w:pos="4300"/>
        </w:tabs>
        <w:ind w:left="4300" w:hanging="360"/>
      </w:pPr>
    </w:lvl>
    <w:lvl w:ilvl="5" w:tplc="33D4B67E" w:tentative="1">
      <w:start w:val="1"/>
      <w:numFmt w:val="lowerRoman"/>
      <w:lvlText w:val="%6."/>
      <w:lvlJc w:val="right"/>
      <w:pPr>
        <w:tabs>
          <w:tab w:val="num" w:pos="5020"/>
        </w:tabs>
        <w:ind w:left="5020" w:hanging="180"/>
      </w:pPr>
    </w:lvl>
    <w:lvl w:ilvl="6" w:tplc="B6E6494C" w:tentative="1">
      <w:start w:val="1"/>
      <w:numFmt w:val="decimal"/>
      <w:lvlText w:val="%7."/>
      <w:lvlJc w:val="left"/>
      <w:pPr>
        <w:tabs>
          <w:tab w:val="num" w:pos="5740"/>
        </w:tabs>
        <w:ind w:left="5740" w:hanging="360"/>
      </w:pPr>
    </w:lvl>
    <w:lvl w:ilvl="7" w:tplc="4CA6F55A" w:tentative="1">
      <w:start w:val="1"/>
      <w:numFmt w:val="lowerLetter"/>
      <w:lvlText w:val="%8."/>
      <w:lvlJc w:val="left"/>
      <w:pPr>
        <w:tabs>
          <w:tab w:val="num" w:pos="6460"/>
        </w:tabs>
        <w:ind w:left="6460" w:hanging="360"/>
      </w:pPr>
    </w:lvl>
    <w:lvl w:ilvl="8" w:tplc="30CC4B2A" w:tentative="1">
      <w:start w:val="1"/>
      <w:numFmt w:val="lowerRoman"/>
      <w:lvlText w:val="%9."/>
      <w:lvlJc w:val="right"/>
      <w:pPr>
        <w:tabs>
          <w:tab w:val="num" w:pos="7180"/>
        </w:tabs>
        <w:ind w:left="71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53E"/>
    <w:rsid w:val="0000004E"/>
    <w:rsid w:val="00000C7A"/>
    <w:rsid w:val="00002432"/>
    <w:rsid w:val="0000486E"/>
    <w:rsid w:val="00004B40"/>
    <w:rsid w:val="000050FC"/>
    <w:rsid w:val="00007015"/>
    <w:rsid w:val="00012A98"/>
    <w:rsid w:val="0001513B"/>
    <w:rsid w:val="00026087"/>
    <w:rsid w:val="00027CEC"/>
    <w:rsid w:val="00031B8F"/>
    <w:rsid w:val="00041058"/>
    <w:rsid w:val="0004161E"/>
    <w:rsid w:val="00041E00"/>
    <w:rsid w:val="00052637"/>
    <w:rsid w:val="000553AD"/>
    <w:rsid w:val="00063664"/>
    <w:rsid w:val="00064F37"/>
    <w:rsid w:val="000678A6"/>
    <w:rsid w:val="000730AE"/>
    <w:rsid w:val="000768E1"/>
    <w:rsid w:val="0008074C"/>
    <w:rsid w:val="000814A8"/>
    <w:rsid w:val="00086B9E"/>
    <w:rsid w:val="00087BCA"/>
    <w:rsid w:val="000915C1"/>
    <w:rsid w:val="000A1B80"/>
    <w:rsid w:val="000A4A87"/>
    <w:rsid w:val="000A5E83"/>
    <w:rsid w:val="000B06F7"/>
    <w:rsid w:val="000B19BE"/>
    <w:rsid w:val="000C0811"/>
    <w:rsid w:val="000D3B75"/>
    <w:rsid w:val="000E5222"/>
    <w:rsid w:val="000E55CD"/>
    <w:rsid w:val="000E7B79"/>
    <w:rsid w:val="000F107F"/>
    <w:rsid w:val="000F11F3"/>
    <w:rsid w:val="00101A45"/>
    <w:rsid w:val="001119D4"/>
    <w:rsid w:val="0011376E"/>
    <w:rsid w:val="00121511"/>
    <w:rsid w:val="00123BF5"/>
    <w:rsid w:val="00125D1B"/>
    <w:rsid w:val="00131467"/>
    <w:rsid w:val="00133C08"/>
    <w:rsid w:val="001376D0"/>
    <w:rsid w:val="0014260C"/>
    <w:rsid w:val="00146934"/>
    <w:rsid w:val="00150450"/>
    <w:rsid w:val="00150D2D"/>
    <w:rsid w:val="001529D1"/>
    <w:rsid w:val="0015750B"/>
    <w:rsid w:val="001602FC"/>
    <w:rsid w:val="00166238"/>
    <w:rsid w:val="001722E2"/>
    <w:rsid w:val="00180FC3"/>
    <w:rsid w:val="00181B68"/>
    <w:rsid w:val="00182A56"/>
    <w:rsid w:val="001833AA"/>
    <w:rsid w:val="001843F3"/>
    <w:rsid w:val="00184F55"/>
    <w:rsid w:val="00186196"/>
    <w:rsid w:val="00187D83"/>
    <w:rsid w:val="001931C1"/>
    <w:rsid w:val="001943CA"/>
    <w:rsid w:val="001A046A"/>
    <w:rsid w:val="001A1850"/>
    <w:rsid w:val="001A1DAF"/>
    <w:rsid w:val="001A2C3B"/>
    <w:rsid w:val="001A38D7"/>
    <w:rsid w:val="001A56BF"/>
    <w:rsid w:val="001A65F0"/>
    <w:rsid w:val="001A772F"/>
    <w:rsid w:val="001D4195"/>
    <w:rsid w:val="001D45A9"/>
    <w:rsid w:val="001E0A05"/>
    <w:rsid w:val="001F6A38"/>
    <w:rsid w:val="001F7A00"/>
    <w:rsid w:val="0020288D"/>
    <w:rsid w:val="002041E9"/>
    <w:rsid w:val="00204822"/>
    <w:rsid w:val="002120A0"/>
    <w:rsid w:val="002172D8"/>
    <w:rsid w:val="00221163"/>
    <w:rsid w:val="00221186"/>
    <w:rsid w:val="002347E3"/>
    <w:rsid w:val="00251606"/>
    <w:rsid w:val="00273952"/>
    <w:rsid w:val="00282112"/>
    <w:rsid w:val="00284140"/>
    <w:rsid w:val="00284F12"/>
    <w:rsid w:val="0029403D"/>
    <w:rsid w:val="002B19C7"/>
    <w:rsid w:val="002B65D5"/>
    <w:rsid w:val="002C07D3"/>
    <w:rsid w:val="002C2BCA"/>
    <w:rsid w:val="002C30C7"/>
    <w:rsid w:val="002E308F"/>
    <w:rsid w:val="002E4060"/>
    <w:rsid w:val="002E75C9"/>
    <w:rsid w:val="002F0B0B"/>
    <w:rsid w:val="002F2B8F"/>
    <w:rsid w:val="002F4019"/>
    <w:rsid w:val="002F7190"/>
    <w:rsid w:val="00302F5B"/>
    <w:rsid w:val="00312E16"/>
    <w:rsid w:val="00315441"/>
    <w:rsid w:val="003159D0"/>
    <w:rsid w:val="0031610B"/>
    <w:rsid w:val="00317AFB"/>
    <w:rsid w:val="00317CEA"/>
    <w:rsid w:val="00321EAB"/>
    <w:rsid w:val="00323532"/>
    <w:rsid w:val="00327B27"/>
    <w:rsid w:val="00333EE5"/>
    <w:rsid w:val="00333FEC"/>
    <w:rsid w:val="00354F55"/>
    <w:rsid w:val="0035713F"/>
    <w:rsid w:val="00360838"/>
    <w:rsid w:val="00363FCF"/>
    <w:rsid w:val="00371DEE"/>
    <w:rsid w:val="00373136"/>
    <w:rsid w:val="00373B2A"/>
    <w:rsid w:val="00373BA3"/>
    <w:rsid w:val="003772D1"/>
    <w:rsid w:val="00380AC6"/>
    <w:rsid w:val="003836F9"/>
    <w:rsid w:val="00391333"/>
    <w:rsid w:val="003915B3"/>
    <w:rsid w:val="003955B3"/>
    <w:rsid w:val="00395C96"/>
    <w:rsid w:val="003A59CE"/>
    <w:rsid w:val="003B4B66"/>
    <w:rsid w:val="003B4BDE"/>
    <w:rsid w:val="003B7530"/>
    <w:rsid w:val="003B7F41"/>
    <w:rsid w:val="003C0E89"/>
    <w:rsid w:val="003C35F6"/>
    <w:rsid w:val="003C3FBC"/>
    <w:rsid w:val="003D7E9B"/>
    <w:rsid w:val="003E118D"/>
    <w:rsid w:val="003E489F"/>
    <w:rsid w:val="003F09B0"/>
    <w:rsid w:val="003F5AE1"/>
    <w:rsid w:val="004160CB"/>
    <w:rsid w:val="00416E3D"/>
    <w:rsid w:val="00417309"/>
    <w:rsid w:val="004209BA"/>
    <w:rsid w:val="00421828"/>
    <w:rsid w:val="004234D1"/>
    <w:rsid w:val="00423EAE"/>
    <w:rsid w:val="00424E2E"/>
    <w:rsid w:val="00426520"/>
    <w:rsid w:val="00432FBB"/>
    <w:rsid w:val="004400EB"/>
    <w:rsid w:val="00450547"/>
    <w:rsid w:val="004514E6"/>
    <w:rsid w:val="0045325C"/>
    <w:rsid w:val="00461DFA"/>
    <w:rsid w:val="0046579F"/>
    <w:rsid w:val="00466409"/>
    <w:rsid w:val="004676F0"/>
    <w:rsid w:val="0047160F"/>
    <w:rsid w:val="00473E52"/>
    <w:rsid w:val="004835AF"/>
    <w:rsid w:val="00486356"/>
    <w:rsid w:val="004907CB"/>
    <w:rsid w:val="0049338D"/>
    <w:rsid w:val="00497687"/>
    <w:rsid w:val="004A3E9A"/>
    <w:rsid w:val="004A5816"/>
    <w:rsid w:val="004B35EC"/>
    <w:rsid w:val="004B78E9"/>
    <w:rsid w:val="004C3492"/>
    <w:rsid w:val="004C5805"/>
    <w:rsid w:val="004D0AA8"/>
    <w:rsid w:val="004D3E2A"/>
    <w:rsid w:val="004E4C71"/>
    <w:rsid w:val="004F21B6"/>
    <w:rsid w:val="004F5351"/>
    <w:rsid w:val="004F6D63"/>
    <w:rsid w:val="004F6F44"/>
    <w:rsid w:val="004F76CD"/>
    <w:rsid w:val="005000AE"/>
    <w:rsid w:val="00512D41"/>
    <w:rsid w:val="00513CCA"/>
    <w:rsid w:val="00514684"/>
    <w:rsid w:val="0052389F"/>
    <w:rsid w:val="00532517"/>
    <w:rsid w:val="00547C05"/>
    <w:rsid w:val="005511FF"/>
    <w:rsid w:val="005563E5"/>
    <w:rsid w:val="00557D04"/>
    <w:rsid w:val="00561357"/>
    <w:rsid w:val="00563AB2"/>
    <w:rsid w:val="005649E4"/>
    <w:rsid w:val="00567275"/>
    <w:rsid w:val="005728D3"/>
    <w:rsid w:val="00582955"/>
    <w:rsid w:val="00591023"/>
    <w:rsid w:val="005919E8"/>
    <w:rsid w:val="00594AC0"/>
    <w:rsid w:val="00595B06"/>
    <w:rsid w:val="005A0AED"/>
    <w:rsid w:val="005A4C65"/>
    <w:rsid w:val="005A6743"/>
    <w:rsid w:val="005A77BE"/>
    <w:rsid w:val="005A7D69"/>
    <w:rsid w:val="005B5DC3"/>
    <w:rsid w:val="005C0D4E"/>
    <w:rsid w:val="005C4B6A"/>
    <w:rsid w:val="005D13A6"/>
    <w:rsid w:val="005D3272"/>
    <w:rsid w:val="005D5D42"/>
    <w:rsid w:val="005E0E7D"/>
    <w:rsid w:val="005E2372"/>
    <w:rsid w:val="005E24DC"/>
    <w:rsid w:val="005E57F4"/>
    <w:rsid w:val="005F5299"/>
    <w:rsid w:val="00600F1C"/>
    <w:rsid w:val="0060194A"/>
    <w:rsid w:val="006026A6"/>
    <w:rsid w:val="00602C1E"/>
    <w:rsid w:val="00606C97"/>
    <w:rsid w:val="00611725"/>
    <w:rsid w:val="00616BCD"/>
    <w:rsid w:val="006176C1"/>
    <w:rsid w:val="00620F98"/>
    <w:rsid w:val="00631CEB"/>
    <w:rsid w:val="00634E66"/>
    <w:rsid w:val="00635672"/>
    <w:rsid w:val="006432D2"/>
    <w:rsid w:val="006511FA"/>
    <w:rsid w:val="006521E9"/>
    <w:rsid w:val="0065338F"/>
    <w:rsid w:val="00654E0B"/>
    <w:rsid w:val="00655418"/>
    <w:rsid w:val="00655EF4"/>
    <w:rsid w:val="00657375"/>
    <w:rsid w:val="0066260D"/>
    <w:rsid w:val="00662B73"/>
    <w:rsid w:val="006656DF"/>
    <w:rsid w:val="0068130C"/>
    <w:rsid w:val="0068354A"/>
    <w:rsid w:val="0068429B"/>
    <w:rsid w:val="006872B3"/>
    <w:rsid w:val="0069475F"/>
    <w:rsid w:val="006A114E"/>
    <w:rsid w:val="006A239A"/>
    <w:rsid w:val="006A427F"/>
    <w:rsid w:val="006A4AE5"/>
    <w:rsid w:val="006A6D1D"/>
    <w:rsid w:val="006B7091"/>
    <w:rsid w:val="006C5637"/>
    <w:rsid w:val="006C5B6A"/>
    <w:rsid w:val="006C5E46"/>
    <w:rsid w:val="006D0B66"/>
    <w:rsid w:val="006D4658"/>
    <w:rsid w:val="006D6B9D"/>
    <w:rsid w:val="006D710D"/>
    <w:rsid w:val="006E031E"/>
    <w:rsid w:val="006E0D4F"/>
    <w:rsid w:val="006E1A9A"/>
    <w:rsid w:val="006F5797"/>
    <w:rsid w:val="006F748A"/>
    <w:rsid w:val="00705F65"/>
    <w:rsid w:val="00712E69"/>
    <w:rsid w:val="00716934"/>
    <w:rsid w:val="00727217"/>
    <w:rsid w:val="007331B9"/>
    <w:rsid w:val="00735665"/>
    <w:rsid w:val="00752EC0"/>
    <w:rsid w:val="00755F6B"/>
    <w:rsid w:val="0076331C"/>
    <w:rsid w:val="00766712"/>
    <w:rsid w:val="00774630"/>
    <w:rsid w:val="007803C9"/>
    <w:rsid w:val="00783A61"/>
    <w:rsid w:val="00786296"/>
    <w:rsid w:val="00786F0A"/>
    <w:rsid w:val="00787520"/>
    <w:rsid w:val="00791FF8"/>
    <w:rsid w:val="007A1FFE"/>
    <w:rsid w:val="007A2E3D"/>
    <w:rsid w:val="007A4A5B"/>
    <w:rsid w:val="007A7683"/>
    <w:rsid w:val="007B2DDE"/>
    <w:rsid w:val="007C3812"/>
    <w:rsid w:val="007C69C8"/>
    <w:rsid w:val="007D015E"/>
    <w:rsid w:val="007E116F"/>
    <w:rsid w:val="007E1D2C"/>
    <w:rsid w:val="007E3A51"/>
    <w:rsid w:val="007E59CF"/>
    <w:rsid w:val="007F4B51"/>
    <w:rsid w:val="008107BB"/>
    <w:rsid w:val="00810C95"/>
    <w:rsid w:val="008110CE"/>
    <w:rsid w:val="00820C54"/>
    <w:rsid w:val="00831CDE"/>
    <w:rsid w:val="00831D26"/>
    <w:rsid w:val="0084669A"/>
    <w:rsid w:val="00847D59"/>
    <w:rsid w:val="00854C42"/>
    <w:rsid w:val="00855201"/>
    <w:rsid w:val="00856840"/>
    <w:rsid w:val="00860132"/>
    <w:rsid w:val="00863BE4"/>
    <w:rsid w:val="00863C70"/>
    <w:rsid w:val="00880178"/>
    <w:rsid w:val="00885053"/>
    <w:rsid w:val="008864D9"/>
    <w:rsid w:val="00891164"/>
    <w:rsid w:val="00895F58"/>
    <w:rsid w:val="008A1460"/>
    <w:rsid w:val="008A4DCA"/>
    <w:rsid w:val="008A5F31"/>
    <w:rsid w:val="008A602A"/>
    <w:rsid w:val="008B30C1"/>
    <w:rsid w:val="008B47E2"/>
    <w:rsid w:val="008B5247"/>
    <w:rsid w:val="008B6CAC"/>
    <w:rsid w:val="008C5A3D"/>
    <w:rsid w:val="008C7970"/>
    <w:rsid w:val="008D004F"/>
    <w:rsid w:val="008D0B35"/>
    <w:rsid w:val="008F0DB9"/>
    <w:rsid w:val="008F0F4E"/>
    <w:rsid w:val="00904FF1"/>
    <w:rsid w:val="009068AE"/>
    <w:rsid w:val="00912A65"/>
    <w:rsid w:val="00913153"/>
    <w:rsid w:val="00914CEA"/>
    <w:rsid w:val="009158C0"/>
    <w:rsid w:val="0091655B"/>
    <w:rsid w:val="0092320B"/>
    <w:rsid w:val="0092403F"/>
    <w:rsid w:val="00924D41"/>
    <w:rsid w:val="00940E1E"/>
    <w:rsid w:val="0094112D"/>
    <w:rsid w:val="00946355"/>
    <w:rsid w:val="00951344"/>
    <w:rsid w:val="009565FC"/>
    <w:rsid w:val="00956E2D"/>
    <w:rsid w:val="009623E2"/>
    <w:rsid w:val="00963AAC"/>
    <w:rsid w:val="009642D3"/>
    <w:rsid w:val="00967F70"/>
    <w:rsid w:val="009704B3"/>
    <w:rsid w:val="00977AB3"/>
    <w:rsid w:val="00981FAB"/>
    <w:rsid w:val="009826D7"/>
    <w:rsid w:val="00986675"/>
    <w:rsid w:val="00991DF8"/>
    <w:rsid w:val="00992946"/>
    <w:rsid w:val="00995406"/>
    <w:rsid w:val="009A0CDA"/>
    <w:rsid w:val="009A55F5"/>
    <w:rsid w:val="009B0B48"/>
    <w:rsid w:val="009B417A"/>
    <w:rsid w:val="009B4FD6"/>
    <w:rsid w:val="009B7AE9"/>
    <w:rsid w:val="009C2127"/>
    <w:rsid w:val="009C7C32"/>
    <w:rsid w:val="009D0C9B"/>
    <w:rsid w:val="009E2ED4"/>
    <w:rsid w:val="009E659F"/>
    <w:rsid w:val="009E710A"/>
    <w:rsid w:val="009F5350"/>
    <w:rsid w:val="009F7802"/>
    <w:rsid w:val="009F7E54"/>
    <w:rsid w:val="00A015FF"/>
    <w:rsid w:val="00A0370E"/>
    <w:rsid w:val="00A046DE"/>
    <w:rsid w:val="00A053E4"/>
    <w:rsid w:val="00A0590B"/>
    <w:rsid w:val="00A07F99"/>
    <w:rsid w:val="00A12A53"/>
    <w:rsid w:val="00A173E6"/>
    <w:rsid w:val="00A20F95"/>
    <w:rsid w:val="00A265D4"/>
    <w:rsid w:val="00A269DF"/>
    <w:rsid w:val="00A32EC4"/>
    <w:rsid w:val="00A410CC"/>
    <w:rsid w:val="00A467FC"/>
    <w:rsid w:val="00A47234"/>
    <w:rsid w:val="00A60001"/>
    <w:rsid w:val="00A63DD8"/>
    <w:rsid w:val="00A65E6B"/>
    <w:rsid w:val="00A672C2"/>
    <w:rsid w:val="00A700F1"/>
    <w:rsid w:val="00A70557"/>
    <w:rsid w:val="00A74CE9"/>
    <w:rsid w:val="00A805EE"/>
    <w:rsid w:val="00A82D54"/>
    <w:rsid w:val="00A9653E"/>
    <w:rsid w:val="00AA10B7"/>
    <w:rsid w:val="00AA51B2"/>
    <w:rsid w:val="00AA57DF"/>
    <w:rsid w:val="00AA5822"/>
    <w:rsid w:val="00AC2891"/>
    <w:rsid w:val="00AD0839"/>
    <w:rsid w:val="00AD449E"/>
    <w:rsid w:val="00AD641E"/>
    <w:rsid w:val="00AD64E7"/>
    <w:rsid w:val="00AE1CD0"/>
    <w:rsid w:val="00AE2E1D"/>
    <w:rsid w:val="00AE5282"/>
    <w:rsid w:val="00AF11E0"/>
    <w:rsid w:val="00AF161B"/>
    <w:rsid w:val="00AF3DEA"/>
    <w:rsid w:val="00AF4CD8"/>
    <w:rsid w:val="00AF72AC"/>
    <w:rsid w:val="00B00031"/>
    <w:rsid w:val="00B13C39"/>
    <w:rsid w:val="00B1494D"/>
    <w:rsid w:val="00B25388"/>
    <w:rsid w:val="00B31760"/>
    <w:rsid w:val="00B5350F"/>
    <w:rsid w:val="00B61146"/>
    <w:rsid w:val="00B63D78"/>
    <w:rsid w:val="00B67373"/>
    <w:rsid w:val="00B67378"/>
    <w:rsid w:val="00B67DB1"/>
    <w:rsid w:val="00B76C58"/>
    <w:rsid w:val="00B80AFB"/>
    <w:rsid w:val="00B835A8"/>
    <w:rsid w:val="00B83D28"/>
    <w:rsid w:val="00B83F0A"/>
    <w:rsid w:val="00B93C23"/>
    <w:rsid w:val="00BA033A"/>
    <w:rsid w:val="00BA20FB"/>
    <w:rsid w:val="00BA4997"/>
    <w:rsid w:val="00BB0C68"/>
    <w:rsid w:val="00BB3292"/>
    <w:rsid w:val="00BB5FF2"/>
    <w:rsid w:val="00BB65CA"/>
    <w:rsid w:val="00BB7280"/>
    <w:rsid w:val="00BB7372"/>
    <w:rsid w:val="00BC3AA7"/>
    <w:rsid w:val="00BD3902"/>
    <w:rsid w:val="00BD6372"/>
    <w:rsid w:val="00BE4746"/>
    <w:rsid w:val="00BF3507"/>
    <w:rsid w:val="00C0521B"/>
    <w:rsid w:val="00C061E1"/>
    <w:rsid w:val="00C112B4"/>
    <w:rsid w:val="00C3092C"/>
    <w:rsid w:val="00C375FD"/>
    <w:rsid w:val="00C446FB"/>
    <w:rsid w:val="00C54959"/>
    <w:rsid w:val="00C571CE"/>
    <w:rsid w:val="00C57C3E"/>
    <w:rsid w:val="00C7028F"/>
    <w:rsid w:val="00C70768"/>
    <w:rsid w:val="00C74A87"/>
    <w:rsid w:val="00C83007"/>
    <w:rsid w:val="00C84BF8"/>
    <w:rsid w:val="00C9166D"/>
    <w:rsid w:val="00C9194B"/>
    <w:rsid w:val="00C95CEB"/>
    <w:rsid w:val="00CA112C"/>
    <w:rsid w:val="00CA2684"/>
    <w:rsid w:val="00CA7A79"/>
    <w:rsid w:val="00CB2FFD"/>
    <w:rsid w:val="00CC0627"/>
    <w:rsid w:val="00CC3954"/>
    <w:rsid w:val="00CC3CA8"/>
    <w:rsid w:val="00CD3C39"/>
    <w:rsid w:val="00CE023C"/>
    <w:rsid w:val="00CE08A6"/>
    <w:rsid w:val="00CE5E30"/>
    <w:rsid w:val="00CF02C0"/>
    <w:rsid w:val="00D02419"/>
    <w:rsid w:val="00D0294B"/>
    <w:rsid w:val="00D069BA"/>
    <w:rsid w:val="00D12D4C"/>
    <w:rsid w:val="00D2186D"/>
    <w:rsid w:val="00D22F97"/>
    <w:rsid w:val="00D25CDA"/>
    <w:rsid w:val="00D40444"/>
    <w:rsid w:val="00D40F0A"/>
    <w:rsid w:val="00D42374"/>
    <w:rsid w:val="00D4255C"/>
    <w:rsid w:val="00D43B35"/>
    <w:rsid w:val="00D44442"/>
    <w:rsid w:val="00D46BF0"/>
    <w:rsid w:val="00D47E46"/>
    <w:rsid w:val="00D525ED"/>
    <w:rsid w:val="00D57A5E"/>
    <w:rsid w:val="00D60711"/>
    <w:rsid w:val="00D63695"/>
    <w:rsid w:val="00D63E29"/>
    <w:rsid w:val="00D67F35"/>
    <w:rsid w:val="00D729BE"/>
    <w:rsid w:val="00D72F17"/>
    <w:rsid w:val="00D776E5"/>
    <w:rsid w:val="00D90C86"/>
    <w:rsid w:val="00D91AF9"/>
    <w:rsid w:val="00D92CFC"/>
    <w:rsid w:val="00DA22FF"/>
    <w:rsid w:val="00DA230B"/>
    <w:rsid w:val="00DA2527"/>
    <w:rsid w:val="00DA29A5"/>
    <w:rsid w:val="00DD5A8B"/>
    <w:rsid w:val="00DD6D35"/>
    <w:rsid w:val="00DE02B0"/>
    <w:rsid w:val="00DE7064"/>
    <w:rsid w:val="00DF2762"/>
    <w:rsid w:val="00E021BB"/>
    <w:rsid w:val="00E0359D"/>
    <w:rsid w:val="00E10481"/>
    <w:rsid w:val="00E104E1"/>
    <w:rsid w:val="00E2420A"/>
    <w:rsid w:val="00E26F69"/>
    <w:rsid w:val="00E33A09"/>
    <w:rsid w:val="00E35050"/>
    <w:rsid w:val="00E371EB"/>
    <w:rsid w:val="00E530A0"/>
    <w:rsid w:val="00E62EC4"/>
    <w:rsid w:val="00E7015E"/>
    <w:rsid w:val="00E7102B"/>
    <w:rsid w:val="00E7282D"/>
    <w:rsid w:val="00E7379B"/>
    <w:rsid w:val="00E774C6"/>
    <w:rsid w:val="00E81C77"/>
    <w:rsid w:val="00E85278"/>
    <w:rsid w:val="00E853B2"/>
    <w:rsid w:val="00E9340B"/>
    <w:rsid w:val="00E94C35"/>
    <w:rsid w:val="00E9739A"/>
    <w:rsid w:val="00EA0237"/>
    <w:rsid w:val="00EC356F"/>
    <w:rsid w:val="00EC4324"/>
    <w:rsid w:val="00EC47E7"/>
    <w:rsid w:val="00ED55C3"/>
    <w:rsid w:val="00EE32D2"/>
    <w:rsid w:val="00EE4C39"/>
    <w:rsid w:val="00EF1ACE"/>
    <w:rsid w:val="00EF280C"/>
    <w:rsid w:val="00EF6F8E"/>
    <w:rsid w:val="00F045F1"/>
    <w:rsid w:val="00F06BC6"/>
    <w:rsid w:val="00F07FA1"/>
    <w:rsid w:val="00F177D5"/>
    <w:rsid w:val="00F21669"/>
    <w:rsid w:val="00F24F0A"/>
    <w:rsid w:val="00F25AB4"/>
    <w:rsid w:val="00F3141C"/>
    <w:rsid w:val="00F3338C"/>
    <w:rsid w:val="00F34105"/>
    <w:rsid w:val="00F42F6B"/>
    <w:rsid w:val="00F472CB"/>
    <w:rsid w:val="00F47A57"/>
    <w:rsid w:val="00F51525"/>
    <w:rsid w:val="00F5197E"/>
    <w:rsid w:val="00F54B87"/>
    <w:rsid w:val="00F67B30"/>
    <w:rsid w:val="00F70579"/>
    <w:rsid w:val="00F73A13"/>
    <w:rsid w:val="00F77F45"/>
    <w:rsid w:val="00F8680C"/>
    <w:rsid w:val="00F94771"/>
    <w:rsid w:val="00F949DD"/>
    <w:rsid w:val="00FA4974"/>
    <w:rsid w:val="00FA4F93"/>
    <w:rsid w:val="00FB1480"/>
    <w:rsid w:val="00FB5E8E"/>
    <w:rsid w:val="00FB7E77"/>
    <w:rsid w:val="00FC3245"/>
    <w:rsid w:val="00FC7347"/>
    <w:rsid w:val="00FC76AB"/>
    <w:rsid w:val="00FD014E"/>
    <w:rsid w:val="00FD46D1"/>
    <w:rsid w:val="00FE306F"/>
    <w:rsid w:val="00FF4963"/>
    <w:rsid w:val="00FF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66F6"/>
  <w15:docId w15:val="{F8A18FAA-6A5F-4160-852C-B0367C0F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qFormat/>
    <w:rsid w:val="00A9653E"/>
    <w:pPr>
      <w:keepNext/>
      <w:tabs>
        <w:tab w:val="left" w:pos="4500"/>
      </w:tabs>
      <w:spacing w:after="0" w:line="240" w:lineRule="atLeast"/>
      <w:jc w:val="center"/>
      <w:outlineLvl w:val="4"/>
    </w:pPr>
    <w:rPr>
      <w:rFonts w:ascii="Arial Armenian" w:eastAsia="Times New Roman" w:hAnsi="Arial Armenian"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9653E"/>
    <w:rPr>
      <w:rFonts w:ascii="Arial Armenian" w:eastAsia="Times New Roman" w:hAnsi="Arial Armenian" w:cs="Times New Roman"/>
      <w:b/>
      <w:bCs/>
      <w:sz w:val="20"/>
      <w:szCs w:val="24"/>
    </w:rPr>
  </w:style>
  <w:style w:type="character" w:customStyle="1" w:styleId="longtext">
    <w:name w:val="long_text"/>
    <w:basedOn w:val="DefaultParagraphFont"/>
    <w:rsid w:val="00A9653E"/>
  </w:style>
  <w:style w:type="paragraph" w:styleId="FootnoteText">
    <w:name w:val="footnote text"/>
    <w:basedOn w:val="Normal"/>
    <w:link w:val="FootnoteTextChar"/>
    <w:semiHidden/>
    <w:rsid w:val="00A9653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9653E"/>
    <w:rPr>
      <w:rFonts w:ascii="Times New Roman" w:eastAsia="Times New Roman" w:hAnsi="Times New Roman" w:cs="Times New Roman"/>
      <w:sz w:val="20"/>
      <w:szCs w:val="20"/>
    </w:rPr>
  </w:style>
  <w:style w:type="character" w:styleId="FootnoteReference">
    <w:name w:val="footnote reference"/>
    <w:uiPriority w:val="99"/>
    <w:semiHidden/>
    <w:rsid w:val="00A9653E"/>
    <w:rPr>
      <w:vertAlign w:val="superscript"/>
    </w:rPr>
  </w:style>
  <w:style w:type="paragraph" w:styleId="BodyText">
    <w:name w:val="Body Text"/>
    <w:basedOn w:val="Normal"/>
    <w:link w:val="BodyTextChar"/>
    <w:rsid w:val="00A9653E"/>
    <w:pPr>
      <w:spacing w:after="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9653E"/>
    <w:rPr>
      <w:rFonts w:ascii="Times New Roman" w:eastAsia="Times New Roman" w:hAnsi="Times New Roman" w:cs="Times New Roman"/>
      <w:szCs w:val="24"/>
    </w:rPr>
  </w:style>
  <w:style w:type="paragraph" w:customStyle="1" w:styleId="CharChar1">
    <w:name w:val="Char Char1"/>
    <w:basedOn w:val="Normal"/>
    <w:next w:val="Normal"/>
    <w:semiHidden/>
    <w:rsid w:val="00A9653E"/>
    <w:pPr>
      <w:spacing w:after="160" w:line="240" w:lineRule="exact"/>
    </w:pPr>
    <w:rPr>
      <w:rFonts w:ascii="Arial" w:eastAsia="Times New Roman" w:hAnsi="Arial" w:cs="Arial"/>
      <w:sz w:val="20"/>
      <w:szCs w:val="20"/>
      <w:lang w:val="en-GB"/>
    </w:rPr>
  </w:style>
  <w:style w:type="paragraph" w:styleId="Header">
    <w:name w:val="header"/>
    <w:aliases w:val="hd"/>
    <w:basedOn w:val="Normal"/>
    <w:link w:val="HeaderChar"/>
    <w:rsid w:val="00A9653E"/>
    <w:pPr>
      <w:tabs>
        <w:tab w:val="center" w:pos="4844"/>
        <w:tab w:val="right" w:pos="9689"/>
      </w:tabs>
      <w:spacing w:after="0" w:line="240" w:lineRule="auto"/>
    </w:pPr>
    <w:rPr>
      <w:rFonts w:ascii="Times LatArm" w:eastAsia="Times New Roman" w:hAnsi="Times LatArm" w:cs="Times New Roman"/>
      <w:sz w:val="24"/>
      <w:szCs w:val="24"/>
    </w:rPr>
  </w:style>
  <w:style w:type="character" w:customStyle="1" w:styleId="HeaderChar">
    <w:name w:val="Header Char"/>
    <w:aliases w:val="hd Char"/>
    <w:basedOn w:val="DefaultParagraphFont"/>
    <w:link w:val="Header"/>
    <w:rsid w:val="00A9653E"/>
    <w:rPr>
      <w:rFonts w:ascii="Times LatArm" w:eastAsia="Times New Roman" w:hAnsi="Times LatArm" w:cs="Times New Roman"/>
      <w:sz w:val="24"/>
      <w:szCs w:val="24"/>
    </w:rPr>
  </w:style>
  <w:style w:type="paragraph" w:styleId="BlockText">
    <w:name w:val="Block Text"/>
    <w:basedOn w:val="Normal"/>
    <w:rsid w:val="00A9653E"/>
    <w:pPr>
      <w:autoSpaceDE w:val="0"/>
      <w:autoSpaceDN w:val="0"/>
      <w:adjustRightInd w:val="0"/>
      <w:spacing w:after="0" w:line="240" w:lineRule="atLeast"/>
      <w:ind w:left="567" w:right="424" w:firstLine="709"/>
      <w:jc w:val="both"/>
    </w:pPr>
    <w:rPr>
      <w:rFonts w:ascii="Armenian Normal" w:eastAsia="Times New Roman" w:hAnsi="Armenian Normal" w:cs="Times New Roman"/>
      <w:color w:val="000000"/>
      <w:sz w:val="34"/>
      <w:szCs w:val="24"/>
      <w:lang w:val="es-AR"/>
    </w:rPr>
  </w:style>
  <w:style w:type="table" w:styleId="TableGrid">
    <w:name w:val="Table Grid"/>
    <w:basedOn w:val="TableNormal"/>
    <w:rsid w:val="00A9653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нак Знак"/>
    <w:basedOn w:val="Normal"/>
    <w:next w:val="Normal"/>
    <w:semiHidden/>
    <w:rsid w:val="00A9653E"/>
    <w:pPr>
      <w:spacing w:after="160" w:line="240" w:lineRule="exact"/>
    </w:pPr>
    <w:rPr>
      <w:rFonts w:ascii="Arial" w:eastAsia="Times New Roman" w:hAnsi="Arial" w:cs="Arial"/>
      <w:sz w:val="20"/>
      <w:szCs w:val="20"/>
      <w:lang w:val="en-GB"/>
    </w:rPr>
  </w:style>
  <w:style w:type="paragraph" w:customStyle="1" w:styleId="a0">
    <w:name w:val="Знак"/>
    <w:basedOn w:val="Normal"/>
    <w:next w:val="Normal"/>
    <w:semiHidden/>
    <w:rsid w:val="00A9653E"/>
    <w:pPr>
      <w:spacing w:after="160" w:line="240" w:lineRule="exact"/>
    </w:pPr>
    <w:rPr>
      <w:rFonts w:ascii="Arial" w:eastAsia="Times New Roman" w:hAnsi="Arial" w:cs="Arial"/>
      <w:sz w:val="20"/>
      <w:szCs w:val="20"/>
      <w:lang w:val="en-GB"/>
    </w:rPr>
  </w:style>
  <w:style w:type="paragraph" w:customStyle="1" w:styleId="a1">
    <w:name w:val="Знак"/>
    <w:basedOn w:val="Normal"/>
    <w:next w:val="Normal"/>
    <w:semiHidden/>
    <w:rsid w:val="00A9653E"/>
    <w:pPr>
      <w:spacing w:after="160" w:line="240" w:lineRule="exact"/>
    </w:pPr>
    <w:rPr>
      <w:rFonts w:ascii="Arial" w:eastAsia="Times New Roman" w:hAnsi="Arial" w:cs="Arial"/>
      <w:sz w:val="20"/>
      <w:szCs w:val="20"/>
      <w:lang w:val="en-GB"/>
    </w:rPr>
  </w:style>
  <w:style w:type="paragraph" w:styleId="BodyTextIndent2">
    <w:name w:val="Body Text Indent 2"/>
    <w:basedOn w:val="Normal"/>
    <w:link w:val="BodyTextIndent2Char"/>
    <w:rsid w:val="00A9653E"/>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A9653E"/>
    <w:rPr>
      <w:rFonts w:ascii="Times New Roman" w:eastAsia="Times New Roman" w:hAnsi="Times New Roman" w:cs="Times New Roman"/>
      <w:sz w:val="24"/>
      <w:szCs w:val="24"/>
    </w:rPr>
  </w:style>
  <w:style w:type="paragraph" w:styleId="BalloonText">
    <w:name w:val="Balloon Text"/>
    <w:basedOn w:val="Normal"/>
    <w:link w:val="BalloonTextChar"/>
    <w:rsid w:val="00A9653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A9653E"/>
    <w:rPr>
      <w:rFonts w:ascii="Tahoma" w:eastAsia="Times New Roman" w:hAnsi="Tahoma" w:cs="Tahoma"/>
      <w:sz w:val="16"/>
      <w:szCs w:val="16"/>
    </w:rPr>
  </w:style>
  <w:style w:type="character" w:styleId="Hyperlink">
    <w:name w:val="Hyperlink"/>
    <w:rsid w:val="00A9653E"/>
    <w:rPr>
      <w:color w:val="0000FF"/>
      <w:u w:val="single"/>
    </w:rPr>
  </w:style>
  <w:style w:type="paragraph" w:styleId="EndnoteText">
    <w:name w:val="endnote text"/>
    <w:basedOn w:val="Normal"/>
    <w:link w:val="EndnoteTextChar"/>
    <w:rsid w:val="00A9653E"/>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A9653E"/>
    <w:rPr>
      <w:rFonts w:ascii="Times New Roman" w:eastAsia="Times New Roman" w:hAnsi="Times New Roman" w:cs="Times New Roman"/>
      <w:sz w:val="20"/>
      <w:szCs w:val="20"/>
    </w:rPr>
  </w:style>
  <w:style w:type="character" w:styleId="EndnoteReference">
    <w:name w:val="endnote reference"/>
    <w:rsid w:val="00A9653E"/>
    <w:rPr>
      <w:vertAlign w:val="superscript"/>
    </w:rPr>
  </w:style>
  <w:style w:type="paragraph" w:styleId="BodyTextIndent">
    <w:name w:val="Body Text Indent"/>
    <w:basedOn w:val="Normal"/>
    <w:link w:val="BodyTextIndentChar"/>
    <w:rsid w:val="00A9653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9653E"/>
    <w:rPr>
      <w:rFonts w:ascii="Times New Roman" w:eastAsia="Times New Roman" w:hAnsi="Times New Roman" w:cs="Times New Roman"/>
      <w:sz w:val="24"/>
      <w:szCs w:val="24"/>
    </w:rPr>
  </w:style>
  <w:style w:type="character" w:customStyle="1" w:styleId="FootnoteTextChar2">
    <w:name w:val="Footnote Text Char2"/>
    <w:semiHidden/>
    <w:rsid w:val="00A9653E"/>
    <w:rPr>
      <w:rFonts w:ascii="Times Armenian" w:hAnsi="Times Armenian"/>
      <w:lang w:val="en-US" w:eastAsia="en-US" w:bidi="ar-SA"/>
    </w:rPr>
  </w:style>
  <w:style w:type="character" w:styleId="CommentReference">
    <w:name w:val="annotation reference"/>
    <w:rsid w:val="00A9653E"/>
    <w:rPr>
      <w:sz w:val="16"/>
      <w:szCs w:val="16"/>
    </w:rPr>
  </w:style>
  <w:style w:type="paragraph" w:styleId="CommentText">
    <w:name w:val="annotation text"/>
    <w:basedOn w:val="Normal"/>
    <w:link w:val="CommentTextChar"/>
    <w:rsid w:val="00A9653E"/>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965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9653E"/>
    <w:rPr>
      <w:b/>
      <w:bCs/>
    </w:rPr>
  </w:style>
  <w:style w:type="character" w:customStyle="1" w:styleId="CommentSubjectChar">
    <w:name w:val="Comment Subject Char"/>
    <w:basedOn w:val="CommentTextChar"/>
    <w:link w:val="CommentSubject"/>
    <w:rsid w:val="00A9653E"/>
    <w:rPr>
      <w:rFonts w:ascii="Times New Roman" w:eastAsia="Times New Roman" w:hAnsi="Times New Roman" w:cs="Times New Roman"/>
      <w:b/>
      <w:bCs/>
      <w:sz w:val="20"/>
      <w:szCs w:val="20"/>
    </w:rPr>
  </w:style>
  <w:style w:type="paragraph" w:styleId="Title">
    <w:name w:val="Title"/>
    <w:basedOn w:val="Normal"/>
    <w:link w:val="TitleChar"/>
    <w:qFormat/>
    <w:rsid w:val="00A9653E"/>
    <w:pPr>
      <w:spacing w:after="0" w:line="312" w:lineRule="auto"/>
      <w:jc w:val="center"/>
    </w:pPr>
    <w:rPr>
      <w:rFonts w:ascii="Times LatArm" w:eastAsia="Times New Roman" w:hAnsi="Times LatArm" w:cs="Times New Roman"/>
      <w:b/>
      <w:sz w:val="24"/>
      <w:szCs w:val="20"/>
    </w:rPr>
  </w:style>
  <w:style w:type="character" w:customStyle="1" w:styleId="TitleChar">
    <w:name w:val="Title Char"/>
    <w:basedOn w:val="DefaultParagraphFont"/>
    <w:link w:val="Title"/>
    <w:rsid w:val="00A9653E"/>
    <w:rPr>
      <w:rFonts w:ascii="Times LatArm" w:eastAsia="Times New Roman" w:hAnsi="Times LatArm" w:cs="Times New Roman"/>
      <w:b/>
      <w:sz w:val="24"/>
      <w:szCs w:val="20"/>
    </w:rPr>
  </w:style>
  <w:style w:type="character" w:customStyle="1" w:styleId="apple-converted-space">
    <w:name w:val="apple-converted-space"/>
    <w:rsid w:val="00A96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65A97-DCF7-47B5-89F9-7EC04CAC1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32</Pages>
  <Words>10950</Words>
  <Characters>62419</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Tigran Hakobyan</dc:creator>
  <cp:lastModifiedBy>Սուսաննա Քարտաշյան</cp:lastModifiedBy>
  <cp:revision>42</cp:revision>
  <dcterms:created xsi:type="dcterms:W3CDTF">2014-12-08T06:28:00Z</dcterms:created>
  <dcterms:modified xsi:type="dcterms:W3CDTF">2024-02-02T12:40:00Z</dcterms:modified>
</cp:coreProperties>
</file>