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C7812" w14:textId="77777777" w:rsidR="00A9653E" w:rsidRPr="00EC356F" w:rsidRDefault="0015779B" w:rsidP="00A9653E">
      <w:pPr>
        <w:tabs>
          <w:tab w:val="left" w:pos="1100"/>
          <w:tab w:val="num" w:pos="1428"/>
        </w:tabs>
        <w:spacing w:after="240" w:line="300" w:lineRule="atLeast"/>
        <w:jc w:val="center"/>
        <w:rPr>
          <w:rFonts w:ascii="Times New Roman" w:hAnsi="Times New Roman" w:cs="Times New Roman"/>
          <w:i/>
          <w:sz w:val="21"/>
          <w:szCs w:val="21"/>
        </w:rPr>
      </w:pPr>
      <w:r>
        <w:rPr>
          <w:rFonts w:ascii="Times New Roman" w:hAnsi="Times New Roman" w:cs="Times New Roman"/>
          <w:i/>
          <w:sz w:val="21"/>
          <w:szCs w:val="21"/>
        </w:rPr>
        <w:t xml:space="preserve"> </w:t>
      </w:r>
      <w:r w:rsidR="00075E34">
        <w:rPr>
          <w:rFonts w:ascii="Times New Roman" w:hAnsi="Times New Roman" w:cs="Times New Roman"/>
          <w:i/>
          <w:sz w:val="21"/>
          <w:szCs w:val="21"/>
        </w:rPr>
        <w:t>Q</w:t>
      </w:r>
      <w:r w:rsidR="00073B43">
        <w:rPr>
          <w:rFonts w:ascii="Times New Roman" w:hAnsi="Times New Roman" w:cs="Times New Roman"/>
          <w:i/>
          <w:sz w:val="21"/>
          <w:szCs w:val="21"/>
        </w:rPr>
        <w:t>1</w:t>
      </w:r>
      <w:r w:rsidR="00A9653E" w:rsidRPr="00EC356F">
        <w:rPr>
          <w:rFonts w:ascii="Times New Roman" w:hAnsi="Times New Roman" w:cs="Times New Roman"/>
          <w:i/>
          <w:sz w:val="21"/>
          <w:szCs w:val="21"/>
        </w:rPr>
        <w:t>, 201</w:t>
      </w:r>
      <w:r w:rsidR="00073B43">
        <w:rPr>
          <w:rFonts w:ascii="Times New Roman" w:hAnsi="Times New Roman" w:cs="Times New Roman"/>
          <w:i/>
          <w:sz w:val="21"/>
          <w:szCs w:val="21"/>
        </w:rPr>
        <w:t>5</w:t>
      </w:r>
    </w:p>
    <w:p w14:paraId="726727AC" w14:textId="77777777" w:rsidR="00A9653E" w:rsidRPr="00EC356F" w:rsidRDefault="00A11EE4" w:rsidP="00A9653E">
      <w:pPr>
        <w:tabs>
          <w:tab w:val="left" w:pos="1100"/>
          <w:tab w:val="num" w:pos="1428"/>
        </w:tabs>
        <w:spacing w:after="240" w:line="300" w:lineRule="atLeast"/>
        <w:jc w:val="center"/>
        <w:rPr>
          <w:rStyle w:val="longtext"/>
          <w:rFonts w:ascii="Times New Roman" w:hAnsi="Times New Roman" w:cs="Times New Roman"/>
          <w:i/>
          <w:sz w:val="21"/>
          <w:szCs w:val="21"/>
        </w:rPr>
      </w:pPr>
      <w:r>
        <w:rPr>
          <w:rFonts w:ascii="Times New Roman" w:hAnsi="Times New Roman" w:cs="Times New Roman"/>
          <w:i/>
          <w:sz w:val="21"/>
          <w:szCs w:val="21"/>
        </w:rPr>
        <w:t>S</w:t>
      </w:r>
      <w:r w:rsidR="00A9653E" w:rsidRPr="00EC356F">
        <w:rPr>
          <w:rFonts w:ascii="Times New Roman" w:hAnsi="Times New Roman" w:cs="Times New Roman"/>
          <w:i/>
          <w:sz w:val="21"/>
          <w:szCs w:val="21"/>
        </w:rPr>
        <w:t xml:space="preserve">ince January 2006, the Central Bank of Armenia has moved to a fully-fledged inflation targeting strategy, which highlights the importance of communicating of the Bank to the general public by publishing, inter alia, quarterly inflation reports. First section of the inflation report includes next quarter’s monetary policy program that provides new forecasts of inflation and other macroeconomic indicators and main directions of the monetary policy in the forecast horizon. Second section includes </w:t>
      </w:r>
      <w:r w:rsidR="00A9653E" w:rsidRPr="00EC356F">
        <w:rPr>
          <w:rStyle w:val="longtext"/>
          <w:rFonts w:ascii="Times New Roman" w:hAnsi="Times New Roman" w:cs="Times New Roman"/>
          <w:i/>
          <w:color w:val="000000"/>
          <w:sz w:val="21"/>
          <w:szCs w:val="21"/>
          <w:shd w:val="clear" w:color="auto" w:fill="FFFFFF"/>
        </w:rPr>
        <w:t>status report on implementation of the monetary policy</w:t>
      </w:r>
      <w:r w:rsidR="00A9653E" w:rsidRPr="00EC356F">
        <w:rPr>
          <w:rFonts w:ascii="Times New Roman" w:hAnsi="Times New Roman" w:cs="Times New Roman"/>
          <w:i/>
          <w:sz w:val="21"/>
          <w:szCs w:val="21"/>
        </w:rPr>
        <w:t xml:space="preserve"> program</w:t>
      </w:r>
      <w:r w:rsidR="00A9653E" w:rsidRPr="00EC356F">
        <w:rPr>
          <w:rStyle w:val="longtext"/>
          <w:rFonts w:ascii="Times New Roman" w:hAnsi="Times New Roman" w:cs="Times New Roman"/>
          <w:i/>
          <w:color w:val="000000"/>
          <w:sz w:val="21"/>
          <w:szCs w:val="21"/>
          <w:shd w:val="clear" w:color="auto" w:fill="FFFFFF"/>
        </w:rPr>
        <w:t xml:space="preserve"> of the previous quarter, which covers actual economic and monetary developments.</w:t>
      </w:r>
    </w:p>
    <w:p w14:paraId="7A69E937"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r w:rsidRPr="00EC356F">
        <w:rPr>
          <w:rFonts w:ascii="Times New Roman" w:hAnsi="Times New Roman" w:cs="Times New Roman"/>
          <w:i/>
          <w:sz w:val="21"/>
          <w:szCs w:val="21"/>
        </w:rPr>
        <w:t xml:space="preserve">       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 </w:t>
      </w:r>
    </w:p>
    <w:p w14:paraId="4C24ED5F"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r w:rsidRPr="00EC356F">
        <w:rPr>
          <w:rFonts w:ascii="Times New Roman" w:hAnsi="Times New Roman" w:cs="Times New Roman"/>
          <w:i/>
          <w:sz w:val="21"/>
          <w:szCs w:val="21"/>
        </w:rPr>
        <w:t xml:space="preserve">Starting from the second quarter of 2012, the Bank has been publishing forecasts of non-conditional inflation in a 3-year time horizon, in implementation of the inflation targeting strategy, whereby the monetary policy is steered to minimize any deviations of potential inflation from a 4 % target. Projections in this report are based on the factual information available by </w:t>
      </w:r>
      <w:r w:rsidR="00073B43">
        <w:rPr>
          <w:rFonts w:ascii="Times New Roman" w:hAnsi="Times New Roman" w:cs="Times New Roman"/>
          <w:i/>
          <w:sz w:val="21"/>
          <w:szCs w:val="21"/>
        </w:rPr>
        <w:t>February</w:t>
      </w:r>
      <w:r w:rsidRPr="00EC356F">
        <w:rPr>
          <w:rFonts w:ascii="Times New Roman" w:hAnsi="Times New Roman" w:cs="Times New Roman"/>
          <w:i/>
          <w:sz w:val="21"/>
          <w:szCs w:val="21"/>
        </w:rPr>
        <w:t xml:space="preserve"> 1</w:t>
      </w:r>
      <w:r w:rsidR="00073B43">
        <w:rPr>
          <w:rFonts w:ascii="Times New Roman" w:hAnsi="Times New Roman" w:cs="Times New Roman"/>
          <w:i/>
          <w:sz w:val="21"/>
          <w:szCs w:val="21"/>
        </w:rPr>
        <w:t>0</w:t>
      </w:r>
      <w:r w:rsidRPr="00EC356F">
        <w:rPr>
          <w:rFonts w:ascii="Times New Roman" w:hAnsi="Times New Roman" w:cs="Times New Roman"/>
          <w:i/>
          <w:sz w:val="21"/>
          <w:szCs w:val="21"/>
        </w:rPr>
        <w:t>, 201</w:t>
      </w:r>
      <w:r w:rsidR="00073B43">
        <w:rPr>
          <w:rFonts w:ascii="Times New Roman" w:hAnsi="Times New Roman" w:cs="Times New Roman"/>
          <w:i/>
          <w:sz w:val="21"/>
          <w:szCs w:val="21"/>
        </w:rPr>
        <w:t>5</w:t>
      </w:r>
      <w:r w:rsidRPr="00EC356F">
        <w:rPr>
          <w:rFonts w:ascii="Times New Roman" w:hAnsi="Times New Roman" w:cs="Times New Roman"/>
          <w:i/>
          <w:sz w:val="21"/>
          <w:szCs w:val="21"/>
        </w:rPr>
        <w:t xml:space="preserve">, </w:t>
      </w:r>
      <w:proofErr w:type="gramStart"/>
      <w:r w:rsidRPr="00EC356F">
        <w:rPr>
          <w:rFonts w:ascii="Times New Roman" w:hAnsi="Times New Roman" w:cs="Times New Roman"/>
          <w:i/>
          <w:sz w:val="21"/>
          <w:szCs w:val="21"/>
        </w:rPr>
        <w:t>i.e.</w:t>
      </w:r>
      <w:proofErr w:type="gramEnd"/>
      <w:r w:rsidRPr="00EC356F">
        <w:rPr>
          <w:rFonts w:ascii="Times New Roman" w:hAnsi="Times New Roman" w:cs="Times New Roman"/>
          <w:i/>
          <w:sz w:val="21"/>
          <w:szCs w:val="21"/>
        </w:rPr>
        <w:t xml:space="preserve"> the approval of the refinancing rate, the results of a survey conducted by the Bank and the judgment made pursuant to the information on future macroeconomic developments​​.</w:t>
      </w:r>
    </w:p>
    <w:p w14:paraId="3FB3423C"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r w:rsidRPr="00EC356F">
        <w:rPr>
          <w:rFonts w:ascii="Times New Roman" w:hAnsi="Times New Roman" w:cs="Times New Roman"/>
          <w:i/>
          <w:sz w:val="21"/>
          <w:szCs w:val="21"/>
        </w:rPr>
        <w:t>All inflation reports which have been published to date are available on the Bank’s website which also contains monetary policy-related publications.</w:t>
      </w:r>
    </w:p>
    <w:p w14:paraId="5B00C0C7"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p>
    <w:p w14:paraId="46F068FC"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p>
    <w:p w14:paraId="0FF86B75" w14:textId="77777777" w:rsidR="00A9653E" w:rsidRPr="00EC356F" w:rsidRDefault="00A9653E" w:rsidP="00A9653E">
      <w:pPr>
        <w:spacing w:line="360" w:lineRule="auto"/>
        <w:jc w:val="center"/>
        <w:rPr>
          <w:rFonts w:ascii="Times New Roman" w:hAnsi="Times New Roman" w:cs="Times New Roman"/>
          <w:i/>
          <w:sz w:val="21"/>
          <w:szCs w:val="21"/>
        </w:rPr>
      </w:pPr>
    </w:p>
    <w:p w14:paraId="483F2E29" w14:textId="77777777" w:rsidR="00A9653E" w:rsidRPr="00EC356F" w:rsidRDefault="00A9653E" w:rsidP="00A9653E">
      <w:pPr>
        <w:spacing w:line="360" w:lineRule="auto"/>
        <w:jc w:val="center"/>
        <w:rPr>
          <w:rFonts w:ascii="Times New Roman" w:hAnsi="Times New Roman" w:cs="Times New Roman"/>
          <w:i/>
          <w:sz w:val="21"/>
          <w:szCs w:val="21"/>
        </w:rPr>
      </w:pPr>
    </w:p>
    <w:p w14:paraId="3ADABFC0" w14:textId="77777777" w:rsidR="00A9653E" w:rsidRPr="00EC356F" w:rsidRDefault="00A9653E" w:rsidP="00A9653E">
      <w:pPr>
        <w:spacing w:line="360" w:lineRule="auto"/>
        <w:jc w:val="center"/>
        <w:rPr>
          <w:rFonts w:ascii="Times New Roman" w:hAnsi="Times New Roman" w:cs="Times New Roman"/>
          <w:i/>
          <w:sz w:val="21"/>
          <w:szCs w:val="21"/>
        </w:rPr>
      </w:pPr>
    </w:p>
    <w:p w14:paraId="74FAEEF4" w14:textId="77777777" w:rsidR="00A9653E" w:rsidRPr="00EC356F" w:rsidRDefault="00A9653E" w:rsidP="00A9653E">
      <w:pPr>
        <w:spacing w:line="360" w:lineRule="auto"/>
        <w:jc w:val="center"/>
        <w:rPr>
          <w:rFonts w:ascii="Times New Roman" w:hAnsi="Times New Roman" w:cs="Times New Roman"/>
          <w:i/>
          <w:sz w:val="21"/>
          <w:szCs w:val="21"/>
        </w:rPr>
      </w:pPr>
    </w:p>
    <w:p w14:paraId="59AE0E69" w14:textId="77777777" w:rsidR="00A9653E" w:rsidRPr="00EC356F" w:rsidRDefault="00A9653E" w:rsidP="00A9653E">
      <w:pPr>
        <w:spacing w:line="360" w:lineRule="auto"/>
        <w:jc w:val="center"/>
        <w:rPr>
          <w:rFonts w:ascii="Times New Roman" w:hAnsi="Times New Roman" w:cs="Times New Roman"/>
          <w:i/>
          <w:sz w:val="21"/>
          <w:szCs w:val="21"/>
        </w:rPr>
      </w:pPr>
    </w:p>
    <w:p w14:paraId="056BB115" w14:textId="77777777" w:rsidR="00A9653E" w:rsidRPr="00EC356F" w:rsidRDefault="00A9653E" w:rsidP="00A9653E">
      <w:pPr>
        <w:spacing w:line="360" w:lineRule="auto"/>
        <w:jc w:val="center"/>
        <w:rPr>
          <w:rFonts w:ascii="Times New Roman" w:hAnsi="Times New Roman" w:cs="Times New Roman"/>
          <w:i/>
          <w:sz w:val="21"/>
          <w:szCs w:val="21"/>
        </w:rPr>
      </w:pPr>
    </w:p>
    <w:p w14:paraId="0F752B6E" w14:textId="77777777" w:rsidR="00A9653E" w:rsidRPr="00EC356F" w:rsidRDefault="00A9653E" w:rsidP="00A9653E">
      <w:pPr>
        <w:spacing w:line="360" w:lineRule="auto"/>
        <w:jc w:val="center"/>
        <w:rPr>
          <w:rFonts w:ascii="Times New Roman" w:hAnsi="Times New Roman" w:cs="Times New Roman"/>
          <w:i/>
          <w:sz w:val="21"/>
          <w:szCs w:val="21"/>
        </w:rPr>
      </w:pPr>
    </w:p>
    <w:p w14:paraId="1D0FC24D" w14:textId="77777777" w:rsidR="00A9653E" w:rsidRPr="00EC356F" w:rsidRDefault="00A9653E" w:rsidP="00A9653E">
      <w:pPr>
        <w:tabs>
          <w:tab w:val="left" w:pos="1100"/>
          <w:tab w:val="num" w:pos="1428"/>
        </w:tabs>
        <w:spacing w:after="240" w:line="300" w:lineRule="atLeast"/>
        <w:jc w:val="center"/>
        <w:rPr>
          <w:rFonts w:ascii="Times New Roman" w:hAnsi="Times New Roman" w:cs="Times New Roman"/>
          <w:i/>
          <w:sz w:val="21"/>
          <w:szCs w:val="21"/>
        </w:rPr>
      </w:pPr>
    </w:p>
    <w:p w14:paraId="009DC550" w14:textId="77777777" w:rsidR="00A9653E" w:rsidRPr="00EC356F" w:rsidRDefault="00A9653E" w:rsidP="00A9653E">
      <w:pPr>
        <w:spacing w:line="360" w:lineRule="auto"/>
        <w:jc w:val="both"/>
        <w:rPr>
          <w:rFonts w:ascii="Times New Roman" w:hAnsi="Times New Roman" w:cs="Times New Roman"/>
          <w:b/>
          <w:color w:val="000000"/>
          <w:sz w:val="21"/>
          <w:szCs w:val="21"/>
          <w:shd w:val="clear" w:color="auto" w:fill="FFFFFF"/>
        </w:rPr>
      </w:pPr>
      <w:r w:rsidRPr="00EC356F">
        <w:rPr>
          <w:rStyle w:val="longtext"/>
          <w:rFonts w:ascii="Times New Roman" w:hAnsi="Times New Roman" w:cs="Times New Roman"/>
          <w:b/>
          <w:color w:val="000000"/>
          <w:sz w:val="21"/>
          <w:szCs w:val="21"/>
          <w:shd w:val="clear" w:color="auto" w:fill="FFFFFF"/>
        </w:rPr>
        <w:t>1. EXECUTIVE SUMMARY</w:t>
      </w:r>
    </w:p>
    <w:p w14:paraId="3FA75086" w14:textId="77777777" w:rsidR="00CB2FFD" w:rsidRPr="007610C9" w:rsidRDefault="007610C9" w:rsidP="00A9653E">
      <w:pPr>
        <w:spacing w:line="360" w:lineRule="auto"/>
        <w:jc w:val="both"/>
        <w:rPr>
          <w:rFonts w:ascii="Times New Roman" w:hAnsi="Times New Roman" w:cs="Times New Roman"/>
          <w:color w:val="0070C0"/>
          <w:sz w:val="18"/>
          <w:szCs w:val="18"/>
        </w:rPr>
      </w:pPr>
      <w:r>
        <w:rPr>
          <w:rFonts w:ascii="Times New Roman" w:hAnsi="Times New Roman" w:cs="Times New Roman"/>
          <w:b/>
          <w:color w:val="0070C0"/>
          <w:sz w:val="18"/>
          <w:szCs w:val="18"/>
        </w:rPr>
        <w:lastRenderedPageBreak/>
        <w:t>The Central Bank predicts that i</w:t>
      </w:r>
      <w:r w:rsidR="00B85CA0" w:rsidRPr="00B85CA0">
        <w:rPr>
          <w:rFonts w:ascii="Times New Roman" w:hAnsi="Times New Roman" w:cs="Times New Roman"/>
          <w:b/>
          <w:color w:val="0070C0"/>
          <w:sz w:val="18"/>
          <w:szCs w:val="18"/>
        </w:rPr>
        <w:t>n the course of 2015</w:t>
      </w:r>
      <w:r>
        <w:rPr>
          <w:rFonts w:ascii="Times New Roman" w:hAnsi="Times New Roman" w:cs="Times New Roman"/>
          <w:b/>
          <w:color w:val="0070C0"/>
          <w:sz w:val="18"/>
          <w:szCs w:val="18"/>
        </w:rPr>
        <w:t>,</w:t>
      </w:r>
      <w:r w:rsidR="00B85CA0" w:rsidRPr="00B85CA0">
        <w:rPr>
          <w:rFonts w:ascii="Times New Roman" w:hAnsi="Times New Roman" w:cs="Times New Roman"/>
          <w:b/>
          <w:color w:val="0070C0"/>
          <w:sz w:val="18"/>
          <w:szCs w:val="18"/>
        </w:rPr>
        <w:t xml:space="preserve"> the 12-month inflation rate will stay mostly in the upper bound of the confidence band of </w:t>
      </w:r>
      <w:r w:rsidR="00B85CA0" w:rsidRPr="00B85CA0">
        <w:rPr>
          <w:rFonts w:ascii="Times New Roman" w:hAnsi="Times New Roman" w:cs="Times New Roman"/>
          <w:b/>
          <w:iCs/>
          <w:color w:val="0070C0"/>
          <w:sz w:val="18"/>
          <w:szCs w:val="18"/>
        </w:rPr>
        <w:t>4%</w:t>
      </w:r>
      <w:r w:rsidR="00B85CA0" w:rsidRPr="00B85CA0">
        <w:rPr>
          <w:rFonts w:ascii="Times New Roman" w:hAnsi="Times New Roman" w:cs="Times New Roman"/>
          <w:b/>
          <w:iCs/>
          <w:color w:val="0070C0"/>
          <w:sz w:val="18"/>
          <w:szCs w:val="18"/>
          <w:u w:val="single"/>
        </w:rPr>
        <w:t>+</w:t>
      </w:r>
      <w:r w:rsidR="00B85CA0" w:rsidRPr="00B85CA0">
        <w:rPr>
          <w:rFonts w:ascii="Times New Roman" w:hAnsi="Times New Roman" w:cs="Times New Roman"/>
          <w:b/>
          <w:iCs/>
          <w:color w:val="0070C0"/>
          <w:sz w:val="18"/>
          <w:szCs w:val="18"/>
        </w:rPr>
        <w:t>1.5 pp; later the year it will approach the target and stabilize around over the rest part of the forecast horizo</w:t>
      </w:r>
      <w:r>
        <w:rPr>
          <w:rFonts w:ascii="Times New Roman" w:hAnsi="Times New Roman" w:cs="Times New Roman"/>
          <w:b/>
          <w:iCs/>
          <w:color w:val="0070C0"/>
          <w:sz w:val="18"/>
          <w:szCs w:val="18"/>
        </w:rPr>
        <w:t>n…</w:t>
      </w:r>
    </w:p>
    <w:p w14:paraId="10C902F2" w14:textId="77777777" w:rsidR="00A9653E" w:rsidRPr="007610C9" w:rsidRDefault="007610C9" w:rsidP="00A9653E">
      <w:pPr>
        <w:spacing w:line="360" w:lineRule="auto"/>
        <w:jc w:val="both"/>
        <w:rPr>
          <w:rFonts w:ascii="Times New Roman" w:hAnsi="Times New Roman" w:cs="Times New Roman"/>
          <w:color w:val="0070C0"/>
          <w:sz w:val="18"/>
          <w:szCs w:val="18"/>
        </w:rPr>
      </w:pPr>
      <w:r w:rsidRPr="007610C9">
        <w:rPr>
          <w:rFonts w:ascii="Times New Roman" w:hAnsi="Times New Roman" w:cs="Times New Roman"/>
          <w:b/>
          <w:color w:val="0070C0"/>
          <w:sz w:val="18"/>
          <w:szCs w:val="18"/>
        </w:rPr>
        <w:t xml:space="preserve">In the time of </w:t>
      </w:r>
      <w:r w:rsidRPr="007610C9">
        <w:rPr>
          <w:rFonts w:ascii="Times New Roman" w:hAnsi="Times New Roman" w:cs="Times New Roman"/>
          <w:b/>
          <w:color w:val="0070C0"/>
          <w:sz w:val="18"/>
          <w:szCs w:val="18"/>
          <w:lang w:val="hy-AM"/>
        </w:rPr>
        <w:t xml:space="preserve">uncertain economic developments in </w:t>
      </w:r>
      <w:r w:rsidRPr="007610C9">
        <w:rPr>
          <w:rFonts w:ascii="Times New Roman" w:hAnsi="Times New Roman" w:cs="Times New Roman"/>
          <w:b/>
          <w:color w:val="0070C0"/>
          <w:sz w:val="18"/>
          <w:szCs w:val="18"/>
        </w:rPr>
        <w:t>the external environment, economic growth rates will slow down in 2015 but will speed up over the</w:t>
      </w:r>
      <w:r w:rsidR="00DF7011">
        <w:rPr>
          <w:rFonts w:ascii="Times New Roman" w:hAnsi="Times New Roman" w:cs="Times New Roman"/>
          <w:b/>
          <w:color w:val="0070C0"/>
          <w:sz w:val="18"/>
          <w:szCs w:val="18"/>
        </w:rPr>
        <w:t xml:space="preserve"> rest part of </w:t>
      </w:r>
      <w:r w:rsidRPr="007610C9">
        <w:rPr>
          <w:rFonts w:ascii="Times New Roman" w:hAnsi="Times New Roman" w:cs="Times New Roman"/>
          <w:b/>
          <w:color w:val="0070C0"/>
          <w:sz w:val="18"/>
          <w:szCs w:val="18"/>
        </w:rPr>
        <w:t>forecast horizon, gradually approaching the long-term equilibrium…</w:t>
      </w:r>
    </w:p>
    <w:p w14:paraId="0A82A9D3" w14:textId="77777777" w:rsidR="00A9653E" w:rsidRPr="0068429B" w:rsidRDefault="00A9653E" w:rsidP="00A9653E">
      <w:pPr>
        <w:spacing w:line="360" w:lineRule="auto"/>
        <w:jc w:val="both"/>
        <w:rPr>
          <w:rFonts w:ascii="Times New Roman" w:hAnsi="Times New Roman" w:cs="Times New Roman"/>
          <w:b/>
          <w:sz w:val="21"/>
          <w:szCs w:val="21"/>
        </w:rPr>
      </w:pPr>
      <w:r w:rsidRPr="0068429B">
        <w:rPr>
          <w:rFonts w:ascii="Times New Roman" w:hAnsi="Times New Roman" w:cs="Times New Roman"/>
          <w:b/>
          <w:sz w:val="21"/>
          <w:szCs w:val="21"/>
        </w:rPr>
        <w:t xml:space="preserve">According to the Central Bank forecasts, </w:t>
      </w:r>
      <w:r w:rsidR="005C1EC8">
        <w:rPr>
          <w:rFonts w:ascii="Times New Roman" w:hAnsi="Times New Roman" w:cs="Times New Roman"/>
          <w:b/>
          <w:sz w:val="21"/>
          <w:szCs w:val="21"/>
        </w:rPr>
        <w:t xml:space="preserve">in the course of 2015 </w:t>
      </w:r>
      <w:r w:rsidR="00A467FC" w:rsidRPr="0068429B">
        <w:rPr>
          <w:rFonts w:ascii="Times New Roman" w:hAnsi="Times New Roman" w:cs="Times New Roman"/>
          <w:b/>
          <w:sz w:val="21"/>
          <w:szCs w:val="21"/>
        </w:rPr>
        <w:t xml:space="preserve">the 12-month inflation rate will </w:t>
      </w:r>
      <w:r w:rsidR="005C1EC8">
        <w:rPr>
          <w:rFonts w:ascii="Times New Roman" w:hAnsi="Times New Roman" w:cs="Times New Roman"/>
          <w:b/>
          <w:sz w:val="21"/>
          <w:szCs w:val="21"/>
        </w:rPr>
        <w:t>stay mostly in the upper bound of t</w:t>
      </w:r>
      <w:r w:rsidR="00A467FC" w:rsidRPr="0068429B">
        <w:rPr>
          <w:rFonts w:ascii="Times New Roman" w:hAnsi="Times New Roman" w:cs="Times New Roman"/>
          <w:b/>
          <w:sz w:val="21"/>
          <w:szCs w:val="21"/>
        </w:rPr>
        <w:t xml:space="preserve">he confidence band of </w:t>
      </w:r>
      <w:r w:rsidR="00A467FC" w:rsidRPr="0068429B">
        <w:rPr>
          <w:rFonts w:ascii="Times New Roman" w:hAnsi="Times New Roman" w:cs="Times New Roman"/>
          <w:b/>
          <w:iCs/>
          <w:sz w:val="21"/>
          <w:szCs w:val="21"/>
        </w:rPr>
        <w:t>4%</w:t>
      </w:r>
      <w:r w:rsidR="00A467FC" w:rsidRPr="0068429B">
        <w:rPr>
          <w:rFonts w:ascii="Times New Roman" w:hAnsi="Times New Roman" w:cs="Times New Roman"/>
          <w:b/>
          <w:iCs/>
          <w:sz w:val="21"/>
          <w:szCs w:val="21"/>
          <w:u w:val="single"/>
        </w:rPr>
        <w:t>+</w:t>
      </w:r>
      <w:r w:rsidR="00A467FC" w:rsidRPr="0068429B">
        <w:rPr>
          <w:rFonts w:ascii="Times New Roman" w:hAnsi="Times New Roman" w:cs="Times New Roman"/>
          <w:b/>
          <w:iCs/>
          <w:sz w:val="21"/>
          <w:szCs w:val="21"/>
        </w:rPr>
        <w:t>1.5 pp</w:t>
      </w:r>
      <w:r w:rsidR="005C1EC8">
        <w:rPr>
          <w:rFonts w:ascii="Times New Roman" w:hAnsi="Times New Roman" w:cs="Times New Roman"/>
          <w:b/>
          <w:iCs/>
          <w:sz w:val="21"/>
          <w:szCs w:val="21"/>
        </w:rPr>
        <w:t xml:space="preserve">; later the year it will approach </w:t>
      </w:r>
      <w:r w:rsidR="00660112">
        <w:rPr>
          <w:rFonts w:ascii="Times New Roman" w:hAnsi="Times New Roman" w:cs="Times New Roman"/>
          <w:b/>
          <w:iCs/>
          <w:sz w:val="21"/>
          <w:szCs w:val="21"/>
        </w:rPr>
        <w:t>the</w:t>
      </w:r>
      <w:r w:rsidR="005C1EC8">
        <w:rPr>
          <w:rFonts w:ascii="Times New Roman" w:hAnsi="Times New Roman" w:cs="Times New Roman"/>
          <w:b/>
          <w:iCs/>
          <w:sz w:val="21"/>
          <w:szCs w:val="21"/>
        </w:rPr>
        <w:t xml:space="preserve"> target and stabilize around over the rest part of the forecast horizon</w:t>
      </w:r>
      <w:r w:rsidR="00A467FC" w:rsidRPr="0068429B">
        <w:rPr>
          <w:rFonts w:ascii="Times New Roman" w:hAnsi="Times New Roman" w:cs="Times New Roman"/>
          <w:b/>
          <w:sz w:val="21"/>
          <w:szCs w:val="21"/>
        </w:rPr>
        <w:t xml:space="preserve">. In the time of </w:t>
      </w:r>
      <w:r w:rsidR="0068429B" w:rsidRPr="0068429B">
        <w:rPr>
          <w:rFonts w:ascii="Times New Roman" w:hAnsi="Times New Roman" w:cs="Times New Roman"/>
          <w:b/>
          <w:sz w:val="21"/>
          <w:szCs w:val="21"/>
          <w:lang w:val="hy-AM"/>
        </w:rPr>
        <w:t xml:space="preserve">uncertain economic developments in </w:t>
      </w:r>
      <w:r w:rsidR="005C1EC8">
        <w:rPr>
          <w:rFonts w:ascii="Times New Roman" w:hAnsi="Times New Roman" w:cs="Times New Roman"/>
          <w:b/>
          <w:sz w:val="21"/>
          <w:szCs w:val="21"/>
        </w:rPr>
        <w:t xml:space="preserve">the </w:t>
      </w:r>
      <w:r w:rsidR="0068429B">
        <w:rPr>
          <w:rFonts w:ascii="Times New Roman" w:hAnsi="Times New Roman" w:cs="Times New Roman"/>
          <w:b/>
          <w:sz w:val="21"/>
          <w:szCs w:val="21"/>
        </w:rPr>
        <w:t xml:space="preserve">external </w:t>
      </w:r>
      <w:r w:rsidR="005C1EC8">
        <w:rPr>
          <w:rFonts w:ascii="Times New Roman" w:hAnsi="Times New Roman" w:cs="Times New Roman"/>
          <w:b/>
          <w:sz w:val="21"/>
          <w:szCs w:val="21"/>
        </w:rPr>
        <w:t>environment</w:t>
      </w:r>
      <w:r w:rsidR="0068429B">
        <w:rPr>
          <w:rFonts w:ascii="Times New Roman" w:hAnsi="Times New Roman" w:cs="Times New Roman"/>
          <w:b/>
          <w:sz w:val="21"/>
          <w:szCs w:val="21"/>
        </w:rPr>
        <w:t xml:space="preserve">, economic growth </w:t>
      </w:r>
      <w:r w:rsidR="005C1EC8">
        <w:rPr>
          <w:rFonts w:ascii="Times New Roman" w:hAnsi="Times New Roman" w:cs="Times New Roman"/>
          <w:b/>
          <w:sz w:val="21"/>
          <w:szCs w:val="21"/>
        </w:rPr>
        <w:t>rates will slow down in 2015 but will speed up over the</w:t>
      </w:r>
      <w:r w:rsidR="00DF7011">
        <w:rPr>
          <w:rFonts w:ascii="Times New Roman" w:hAnsi="Times New Roman" w:cs="Times New Roman"/>
          <w:b/>
          <w:sz w:val="21"/>
          <w:szCs w:val="21"/>
        </w:rPr>
        <w:t xml:space="preserve"> rest part of </w:t>
      </w:r>
      <w:r w:rsidR="0068429B">
        <w:rPr>
          <w:rFonts w:ascii="Times New Roman" w:hAnsi="Times New Roman" w:cs="Times New Roman"/>
          <w:b/>
          <w:sz w:val="21"/>
          <w:szCs w:val="21"/>
        </w:rPr>
        <w:t>forecast horizon</w:t>
      </w:r>
      <w:r w:rsidR="005C1EC8">
        <w:rPr>
          <w:rFonts w:ascii="Times New Roman" w:hAnsi="Times New Roman" w:cs="Times New Roman"/>
          <w:b/>
          <w:sz w:val="21"/>
          <w:szCs w:val="21"/>
        </w:rPr>
        <w:t>,</w:t>
      </w:r>
      <w:r w:rsidR="0068429B">
        <w:rPr>
          <w:rFonts w:ascii="Times New Roman" w:hAnsi="Times New Roman" w:cs="Times New Roman"/>
          <w:b/>
          <w:sz w:val="21"/>
          <w:szCs w:val="21"/>
        </w:rPr>
        <w:t xml:space="preserve"> gradually approach</w:t>
      </w:r>
      <w:r w:rsidR="005C1EC8">
        <w:rPr>
          <w:rFonts w:ascii="Times New Roman" w:hAnsi="Times New Roman" w:cs="Times New Roman"/>
          <w:b/>
          <w:sz w:val="21"/>
          <w:szCs w:val="21"/>
        </w:rPr>
        <w:t>ing</w:t>
      </w:r>
      <w:r w:rsidR="0068429B">
        <w:rPr>
          <w:rFonts w:ascii="Times New Roman" w:hAnsi="Times New Roman" w:cs="Times New Roman"/>
          <w:b/>
          <w:sz w:val="21"/>
          <w:szCs w:val="21"/>
        </w:rPr>
        <w:t xml:space="preserve"> </w:t>
      </w:r>
      <w:r w:rsidR="00660112">
        <w:rPr>
          <w:rFonts w:ascii="Times New Roman" w:hAnsi="Times New Roman" w:cs="Times New Roman"/>
          <w:b/>
          <w:sz w:val="21"/>
          <w:szCs w:val="21"/>
        </w:rPr>
        <w:t xml:space="preserve">the </w:t>
      </w:r>
      <w:r w:rsidR="0068429B">
        <w:rPr>
          <w:rFonts w:ascii="Times New Roman" w:hAnsi="Times New Roman" w:cs="Times New Roman"/>
          <w:b/>
          <w:sz w:val="21"/>
          <w:szCs w:val="21"/>
        </w:rPr>
        <w:t>long-term equilibrium</w:t>
      </w:r>
      <w:r w:rsidR="00660112">
        <w:rPr>
          <w:rFonts w:ascii="Times New Roman" w:hAnsi="Times New Roman" w:cs="Times New Roman"/>
          <w:b/>
          <w:sz w:val="21"/>
          <w:szCs w:val="21"/>
        </w:rPr>
        <w:t>.</w:t>
      </w:r>
    </w:p>
    <w:p w14:paraId="51B9C810" w14:textId="77777777" w:rsidR="00A9653E"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1B24BB">
        <w:rPr>
          <w:rFonts w:ascii="Times New Roman" w:hAnsi="Times New Roman" w:cs="Times New Roman"/>
          <w:sz w:val="21"/>
          <w:szCs w:val="21"/>
        </w:rPr>
        <w:t>4th</w:t>
      </w:r>
      <w:r w:rsidR="003C0E89">
        <w:rPr>
          <w:rFonts w:ascii="Times New Roman" w:hAnsi="Times New Roman" w:cs="Times New Roman"/>
          <w:sz w:val="21"/>
          <w:szCs w:val="21"/>
        </w:rPr>
        <w:t xml:space="preserve"> </w:t>
      </w:r>
      <w:r w:rsidRPr="00EC356F">
        <w:rPr>
          <w:rFonts w:ascii="Times New Roman" w:hAnsi="Times New Roman" w:cs="Times New Roman"/>
          <w:sz w:val="21"/>
          <w:szCs w:val="21"/>
        </w:rPr>
        <w:t>quarter of 2014,</w:t>
      </w:r>
      <w:r w:rsidR="001B24BB">
        <w:rPr>
          <w:rFonts w:ascii="Times New Roman" w:hAnsi="Times New Roman" w:cs="Times New Roman"/>
          <w:sz w:val="21"/>
          <w:szCs w:val="21"/>
        </w:rPr>
        <w:t xml:space="preserve"> the domestic demand remained sluggish attributable to d</w:t>
      </w:r>
      <w:r w:rsidR="001931C1">
        <w:rPr>
          <w:rFonts w:ascii="Times New Roman" w:hAnsi="Times New Roman" w:cs="Times New Roman"/>
          <w:sz w:val="21"/>
          <w:szCs w:val="21"/>
        </w:rPr>
        <w:t xml:space="preserve">eclined </w:t>
      </w:r>
      <w:r w:rsidR="001931C1" w:rsidRPr="001B24BB">
        <w:rPr>
          <w:rFonts w:ascii="Times New Roman" w:hAnsi="Times New Roman" w:cs="Times New Roman"/>
          <w:b/>
          <w:sz w:val="21"/>
          <w:szCs w:val="21"/>
        </w:rPr>
        <w:t>private consumption</w:t>
      </w:r>
      <w:r w:rsidR="001931C1" w:rsidRPr="00EC356F">
        <w:rPr>
          <w:rFonts w:ascii="Times New Roman" w:hAnsi="Times New Roman" w:cs="Times New Roman"/>
          <w:sz w:val="21"/>
          <w:szCs w:val="21"/>
        </w:rPr>
        <w:t xml:space="preserve"> </w:t>
      </w:r>
      <w:r w:rsidR="001931C1">
        <w:rPr>
          <w:rFonts w:ascii="Times New Roman" w:hAnsi="Times New Roman" w:cs="Times New Roman"/>
          <w:sz w:val="21"/>
          <w:szCs w:val="21"/>
        </w:rPr>
        <w:t xml:space="preserve">and </w:t>
      </w:r>
      <w:r w:rsidR="001931C1" w:rsidRPr="001B24BB">
        <w:rPr>
          <w:rFonts w:ascii="Times New Roman" w:hAnsi="Times New Roman" w:cs="Times New Roman"/>
          <w:b/>
          <w:sz w:val="21"/>
          <w:szCs w:val="21"/>
        </w:rPr>
        <w:t>weak investment activity</w:t>
      </w:r>
      <w:r w:rsidR="001B24BB">
        <w:rPr>
          <w:rFonts w:ascii="Times New Roman" w:hAnsi="Times New Roman" w:cs="Times New Roman"/>
          <w:b/>
          <w:sz w:val="21"/>
          <w:szCs w:val="21"/>
        </w:rPr>
        <w:t xml:space="preserve"> </w:t>
      </w:r>
      <w:r w:rsidR="001B24BB" w:rsidRPr="001B24BB">
        <w:rPr>
          <w:rFonts w:ascii="Times New Roman" w:hAnsi="Times New Roman" w:cs="Times New Roman"/>
          <w:sz w:val="21"/>
          <w:szCs w:val="21"/>
        </w:rPr>
        <w:t>mainly due to a significant reduction in remittances</w:t>
      </w:r>
      <w:r w:rsidR="001B24BB">
        <w:rPr>
          <w:rFonts w:ascii="Times New Roman" w:hAnsi="Times New Roman" w:cs="Times New Roman"/>
          <w:sz w:val="21"/>
          <w:szCs w:val="21"/>
        </w:rPr>
        <w:t xml:space="preserve"> from abroad and </w:t>
      </w:r>
      <w:r w:rsidR="001B24BB" w:rsidRPr="001B24BB">
        <w:rPr>
          <w:rFonts w:ascii="Times New Roman" w:hAnsi="Times New Roman" w:cs="Times New Roman"/>
          <w:sz w:val="21"/>
          <w:szCs w:val="21"/>
        </w:rPr>
        <w:t xml:space="preserve">Russia </w:t>
      </w:r>
      <w:r w:rsidR="001B24BB">
        <w:rPr>
          <w:rFonts w:ascii="Times New Roman" w:hAnsi="Times New Roman" w:cs="Times New Roman"/>
          <w:sz w:val="21"/>
          <w:szCs w:val="21"/>
        </w:rPr>
        <w:t xml:space="preserve">in particular. </w:t>
      </w:r>
      <w:r w:rsidR="00C86AD3">
        <w:rPr>
          <w:rFonts w:ascii="Times New Roman" w:hAnsi="Times New Roman" w:cs="Times New Roman"/>
          <w:sz w:val="21"/>
          <w:szCs w:val="21"/>
        </w:rPr>
        <w:t xml:space="preserve">It is estimated that </w:t>
      </w:r>
      <w:r w:rsidR="00C86AD3" w:rsidRPr="00C86AD3">
        <w:rPr>
          <w:rFonts w:ascii="Times New Roman" w:hAnsi="Times New Roman" w:cs="Times New Roman"/>
          <w:sz w:val="21"/>
          <w:szCs w:val="21"/>
        </w:rPr>
        <w:t xml:space="preserve">in 2014, compared to </w:t>
      </w:r>
      <w:r w:rsidR="00C86AD3">
        <w:rPr>
          <w:rFonts w:ascii="Times New Roman" w:hAnsi="Times New Roman" w:cs="Times New Roman"/>
          <w:sz w:val="21"/>
          <w:szCs w:val="21"/>
        </w:rPr>
        <w:t xml:space="preserve">the </w:t>
      </w:r>
      <w:r w:rsidR="00C86AD3" w:rsidRPr="00C86AD3">
        <w:rPr>
          <w:rFonts w:ascii="Times New Roman" w:hAnsi="Times New Roman" w:cs="Times New Roman"/>
          <w:sz w:val="21"/>
          <w:szCs w:val="21"/>
        </w:rPr>
        <w:t xml:space="preserve">last year, private consumption spending will remain unchanged, while private investment will decline </w:t>
      </w:r>
      <w:r w:rsidR="00C86AD3">
        <w:rPr>
          <w:rFonts w:ascii="Times New Roman" w:hAnsi="Times New Roman" w:cs="Times New Roman"/>
          <w:sz w:val="21"/>
          <w:szCs w:val="21"/>
        </w:rPr>
        <w:t xml:space="preserve">by </w:t>
      </w:r>
      <w:r w:rsidR="00C86AD3" w:rsidRPr="00C86AD3">
        <w:rPr>
          <w:rFonts w:ascii="Times New Roman" w:hAnsi="Times New Roman" w:cs="Times New Roman"/>
          <w:sz w:val="21"/>
          <w:szCs w:val="21"/>
        </w:rPr>
        <w:t>0.6</w:t>
      </w:r>
      <w:r w:rsidR="00C86AD3">
        <w:rPr>
          <w:rFonts w:ascii="Times New Roman" w:hAnsi="Times New Roman" w:cs="Times New Roman"/>
          <w:sz w:val="21"/>
          <w:szCs w:val="21"/>
        </w:rPr>
        <w:t xml:space="preserve">%. </w:t>
      </w:r>
      <w:r w:rsidR="00C86AD3" w:rsidRPr="00C86AD3">
        <w:rPr>
          <w:rFonts w:ascii="Times New Roman" w:hAnsi="Times New Roman" w:cs="Times New Roman"/>
          <w:sz w:val="21"/>
          <w:szCs w:val="21"/>
        </w:rPr>
        <w:t>The</w:t>
      </w:r>
      <w:r w:rsidR="00C86AD3">
        <w:rPr>
          <w:rFonts w:ascii="Times New Roman" w:hAnsi="Times New Roman" w:cs="Times New Roman"/>
          <w:sz w:val="21"/>
          <w:szCs w:val="21"/>
        </w:rPr>
        <w:t xml:space="preserve"> negative impact of these </w:t>
      </w:r>
      <w:r w:rsidR="00C86AD3" w:rsidRPr="00C86AD3">
        <w:rPr>
          <w:rFonts w:ascii="Times New Roman" w:hAnsi="Times New Roman" w:cs="Times New Roman"/>
          <w:sz w:val="21"/>
          <w:szCs w:val="21"/>
        </w:rPr>
        <w:t xml:space="preserve">factors on </w:t>
      </w:r>
      <w:r w:rsidR="00C86AD3">
        <w:rPr>
          <w:rFonts w:ascii="Times New Roman" w:hAnsi="Times New Roman" w:cs="Times New Roman"/>
          <w:sz w:val="21"/>
          <w:szCs w:val="21"/>
        </w:rPr>
        <w:t xml:space="preserve">the </w:t>
      </w:r>
      <w:r w:rsidR="00C86AD3" w:rsidRPr="00C86AD3">
        <w:rPr>
          <w:rFonts w:ascii="Times New Roman" w:hAnsi="Times New Roman" w:cs="Times New Roman"/>
          <w:sz w:val="21"/>
          <w:szCs w:val="21"/>
        </w:rPr>
        <w:t xml:space="preserve">aggregate demand </w:t>
      </w:r>
      <w:r w:rsidR="00FE2B00">
        <w:rPr>
          <w:rFonts w:ascii="Times New Roman" w:hAnsi="Times New Roman" w:cs="Times New Roman"/>
          <w:sz w:val="21"/>
          <w:szCs w:val="21"/>
        </w:rPr>
        <w:t xml:space="preserve">was </w:t>
      </w:r>
      <w:r w:rsidR="00C86AD3" w:rsidRPr="00C86AD3">
        <w:rPr>
          <w:rFonts w:ascii="Times New Roman" w:hAnsi="Times New Roman" w:cs="Times New Roman"/>
          <w:sz w:val="21"/>
          <w:szCs w:val="21"/>
        </w:rPr>
        <w:t xml:space="preserve">somewhat </w:t>
      </w:r>
      <w:r w:rsidR="00C86AD3">
        <w:rPr>
          <w:rFonts w:ascii="Times New Roman" w:hAnsi="Times New Roman" w:cs="Times New Roman"/>
          <w:sz w:val="21"/>
          <w:szCs w:val="21"/>
        </w:rPr>
        <w:t>reduced</w:t>
      </w:r>
      <w:r w:rsidR="00FE2B00">
        <w:rPr>
          <w:rFonts w:ascii="Times New Roman" w:hAnsi="Times New Roman" w:cs="Times New Roman"/>
          <w:sz w:val="21"/>
          <w:szCs w:val="21"/>
        </w:rPr>
        <w:t xml:space="preserve"> owing to implemented </w:t>
      </w:r>
      <w:r w:rsidR="00C86AD3" w:rsidRPr="00C86AD3">
        <w:rPr>
          <w:rFonts w:ascii="Times New Roman" w:hAnsi="Times New Roman" w:cs="Times New Roman"/>
          <w:sz w:val="21"/>
          <w:szCs w:val="21"/>
        </w:rPr>
        <w:t>expansionary fiscal and monetary policies.</w:t>
      </w:r>
      <w:r w:rsidR="00FE2B00">
        <w:rPr>
          <w:rFonts w:ascii="Times New Roman" w:hAnsi="Times New Roman" w:cs="Times New Roman"/>
          <w:sz w:val="21"/>
          <w:szCs w:val="21"/>
        </w:rPr>
        <w:t xml:space="preserve"> </w:t>
      </w:r>
      <w:r w:rsidR="00C67F8F">
        <w:rPr>
          <w:rFonts w:ascii="Times New Roman" w:hAnsi="Times New Roman" w:cs="Times New Roman"/>
          <w:sz w:val="21"/>
          <w:szCs w:val="21"/>
        </w:rPr>
        <w:t xml:space="preserve">Sluggish </w:t>
      </w:r>
      <w:r w:rsidR="00C67F8F" w:rsidRPr="00C67F8F">
        <w:rPr>
          <w:rFonts w:ascii="Times New Roman" w:hAnsi="Times New Roman" w:cs="Times New Roman"/>
          <w:sz w:val="21"/>
          <w:szCs w:val="21"/>
        </w:rPr>
        <w:t xml:space="preserve">economic growth </w:t>
      </w:r>
      <w:r w:rsidR="00C67F8F">
        <w:rPr>
          <w:rFonts w:ascii="Times New Roman" w:hAnsi="Times New Roman" w:cs="Times New Roman"/>
          <w:sz w:val="21"/>
          <w:szCs w:val="21"/>
        </w:rPr>
        <w:t>i</w:t>
      </w:r>
      <w:r w:rsidR="00C67F8F" w:rsidRPr="00C67F8F">
        <w:rPr>
          <w:rFonts w:ascii="Times New Roman" w:hAnsi="Times New Roman" w:cs="Times New Roman"/>
          <w:sz w:val="21"/>
          <w:szCs w:val="21"/>
        </w:rPr>
        <w:t xml:space="preserve">n terms of </w:t>
      </w:r>
      <w:r w:rsidR="00C67F8F">
        <w:rPr>
          <w:rFonts w:ascii="Times New Roman" w:hAnsi="Times New Roman" w:cs="Times New Roman"/>
          <w:sz w:val="21"/>
          <w:szCs w:val="21"/>
        </w:rPr>
        <w:t xml:space="preserve">supply this quarter </w:t>
      </w:r>
      <w:r w:rsidR="00C67F8F" w:rsidRPr="00C67F8F">
        <w:rPr>
          <w:rFonts w:ascii="Times New Roman" w:hAnsi="Times New Roman" w:cs="Times New Roman"/>
          <w:sz w:val="21"/>
          <w:szCs w:val="21"/>
        </w:rPr>
        <w:t xml:space="preserve">was </w:t>
      </w:r>
      <w:r w:rsidR="00C67F8F">
        <w:rPr>
          <w:rFonts w:ascii="Times New Roman" w:hAnsi="Times New Roman" w:cs="Times New Roman"/>
          <w:sz w:val="21"/>
          <w:szCs w:val="21"/>
        </w:rPr>
        <w:t xml:space="preserve">again </w:t>
      </w:r>
      <w:r w:rsidR="00C67F8F" w:rsidRPr="00C67F8F">
        <w:rPr>
          <w:rFonts w:ascii="Times New Roman" w:hAnsi="Times New Roman" w:cs="Times New Roman"/>
          <w:sz w:val="21"/>
          <w:szCs w:val="21"/>
        </w:rPr>
        <w:t xml:space="preserve">due </w:t>
      </w:r>
      <w:r w:rsidR="00C67F8F">
        <w:rPr>
          <w:rFonts w:ascii="Times New Roman" w:hAnsi="Times New Roman" w:cs="Times New Roman"/>
          <w:sz w:val="21"/>
          <w:szCs w:val="21"/>
        </w:rPr>
        <w:t xml:space="preserve">to slow growth rates in industry and services, particularly trade volumes, and still negative developments in construction. </w:t>
      </w:r>
      <w:r w:rsidR="006176C1">
        <w:rPr>
          <w:rFonts w:ascii="Times New Roman" w:hAnsi="Times New Roman" w:cs="Times New Roman"/>
          <w:sz w:val="21"/>
          <w:szCs w:val="21"/>
        </w:rPr>
        <w:t xml:space="preserve">On the other hand, </w:t>
      </w:r>
      <w:r w:rsidR="0063391E">
        <w:rPr>
          <w:rFonts w:ascii="Times New Roman" w:hAnsi="Times New Roman" w:cs="Times New Roman"/>
          <w:sz w:val="21"/>
          <w:szCs w:val="21"/>
        </w:rPr>
        <w:t xml:space="preserve">the developments in </w:t>
      </w:r>
      <w:r w:rsidR="006176C1">
        <w:rPr>
          <w:rFonts w:ascii="Times New Roman" w:hAnsi="Times New Roman" w:cs="Times New Roman"/>
          <w:sz w:val="21"/>
          <w:szCs w:val="21"/>
        </w:rPr>
        <w:t>agriculture</w:t>
      </w:r>
      <w:r w:rsidR="0063391E">
        <w:rPr>
          <w:rFonts w:ascii="Times New Roman" w:hAnsi="Times New Roman" w:cs="Times New Roman"/>
          <w:sz w:val="21"/>
          <w:szCs w:val="21"/>
        </w:rPr>
        <w:t xml:space="preserve"> were in line with </w:t>
      </w:r>
      <w:r w:rsidR="003537E0">
        <w:rPr>
          <w:rFonts w:ascii="Times New Roman" w:hAnsi="Times New Roman" w:cs="Times New Roman"/>
          <w:sz w:val="21"/>
          <w:szCs w:val="21"/>
        </w:rPr>
        <w:t>forecasts.</w:t>
      </w:r>
      <w:r w:rsidR="00A700F1">
        <w:rPr>
          <w:rFonts w:ascii="Times New Roman" w:hAnsi="Times New Roman" w:cs="Times New Roman"/>
          <w:sz w:val="21"/>
          <w:szCs w:val="21"/>
        </w:rPr>
        <w:t xml:space="preserve"> </w:t>
      </w:r>
      <w:r w:rsidRPr="00EC356F">
        <w:rPr>
          <w:rFonts w:ascii="Times New Roman" w:hAnsi="Times New Roman" w:cs="Times New Roman"/>
          <w:sz w:val="21"/>
          <w:szCs w:val="21"/>
        </w:rPr>
        <w:t xml:space="preserve">As a result, it is expected that </w:t>
      </w:r>
      <w:r w:rsidR="003537E0" w:rsidRPr="00EC356F">
        <w:rPr>
          <w:rFonts w:ascii="Times New Roman" w:hAnsi="Times New Roman" w:cs="Times New Roman"/>
          <w:sz w:val="21"/>
          <w:szCs w:val="21"/>
        </w:rPr>
        <w:t xml:space="preserve">in </w:t>
      </w:r>
      <w:r w:rsidR="003537E0">
        <w:rPr>
          <w:rFonts w:ascii="Times New Roman" w:hAnsi="Times New Roman" w:cs="Times New Roman"/>
          <w:sz w:val="21"/>
          <w:szCs w:val="21"/>
        </w:rPr>
        <w:t xml:space="preserve">2014 </w:t>
      </w:r>
      <w:r w:rsidR="00C158EC">
        <w:rPr>
          <w:rFonts w:ascii="Times New Roman" w:hAnsi="Times New Roman" w:cs="Times New Roman"/>
          <w:sz w:val="21"/>
          <w:szCs w:val="21"/>
        </w:rPr>
        <w:t xml:space="preserve">the </w:t>
      </w:r>
      <w:r w:rsidRPr="003537E0">
        <w:rPr>
          <w:rFonts w:ascii="Times New Roman" w:hAnsi="Times New Roman" w:cs="Times New Roman"/>
          <w:b/>
          <w:sz w:val="21"/>
          <w:szCs w:val="21"/>
        </w:rPr>
        <w:t xml:space="preserve">economic growth </w:t>
      </w:r>
      <w:r w:rsidR="003537E0" w:rsidRPr="003537E0">
        <w:rPr>
          <w:rFonts w:ascii="Times New Roman" w:hAnsi="Times New Roman" w:cs="Times New Roman"/>
          <w:b/>
          <w:sz w:val="21"/>
          <w:szCs w:val="21"/>
        </w:rPr>
        <w:t>will be i</w:t>
      </w:r>
      <w:r w:rsidRPr="003537E0">
        <w:rPr>
          <w:rFonts w:ascii="Times New Roman" w:hAnsi="Times New Roman" w:cs="Times New Roman"/>
          <w:b/>
          <w:sz w:val="21"/>
          <w:szCs w:val="21"/>
        </w:rPr>
        <w:t xml:space="preserve">n the </w:t>
      </w:r>
      <w:r w:rsidRPr="001849E8">
        <w:rPr>
          <w:rFonts w:ascii="Times New Roman" w:hAnsi="Times New Roman" w:cs="Times New Roman"/>
          <w:b/>
          <w:sz w:val="21"/>
          <w:szCs w:val="21"/>
        </w:rPr>
        <w:t>range</w:t>
      </w:r>
      <w:r w:rsidR="00DF7011" w:rsidRPr="001849E8">
        <w:rPr>
          <w:rFonts w:ascii="Times New Roman" w:hAnsi="Times New Roman" w:cs="Times New Roman"/>
          <w:b/>
          <w:sz w:val="21"/>
          <w:szCs w:val="21"/>
        </w:rPr>
        <w:t xml:space="preserve"> of </w:t>
      </w:r>
      <w:r w:rsidRPr="001849E8">
        <w:rPr>
          <w:rFonts w:ascii="Times New Roman" w:hAnsi="Times New Roman" w:cs="Times New Roman"/>
          <w:b/>
          <w:sz w:val="21"/>
          <w:szCs w:val="21"/>
        </w:rPr>
        <w:t>3.</w:t>
      </w:r>
      <w:r w:rsidR="003537E0" w:rsidRPr="001849E8">
        <w:rPr>
          <w:rFonts w:ascii="Times New Roman" w:hAnsi="Times New Roman" w:cs="Times New Roman"/>
          <w:b/>
          <w:sz w:val="21"/>
          <w:szCs w:val="21"/>
        </w:rPr>
        <w:t>2</w:t>
      </w:r>
      <w:r w:rsidR="00DB3BB5">
        <w:rPr>
          <w:rFonts w:ascii="Times New Roman" w:hAnsi="Times New Roman" w:cs="Times New Roman"/>
          <w:b/>
          <w:sz w:val="21"/>
          <w:szCs w:val="21"/>
        </w:rPr>
        <w:t>%</w:t>
      </w:r>
      <w:r w:rsidRPr="001849E8">
        <w:rPr>
          <w:rFonts w:ascii="Times New Roman" w:hAnsi="Times New Roman" w:cs="Times New Roman"/>
          <w:b/>
          <w:sz w:val="21"/>
          <w:szCs w:val="21"/>
        </w:rPr>
        <w:t>-3.</w:t>
      </w:r>
      <w:r w:rsidR="003537E0">
        <w:rPr>
          <w:rFonts w:ascii="Times New Roman" w:hAnsi="Times New Roman" w:cs="Times New Roman"/>
          <w:b/>
          <w:sz w:val="21"/>
          <w:szCs w:val="21"/>
        </w:rPr>
        <w:t>5</w:t>
      </w:r>
      <w:r w:rsidRPr="00EC356F">
        <w:rPr>
          <w:rFonts w:ascii="Times New Roman" w:hAnsi="Times New Roman" w:cs="Times New Roman"/>
          <w:b/>
          <w:sz w:val="21"/>
          <w:szCs w:val="21"/>
        </w:rPr>
        <w:t>%</w:t>
      </w:r>
      <w:r w:rsidRPr="00EC356F">
        <w:rPr>
          <w:rFonts w:ascii="Times New Roman" w:hAnsi="Times New Roman" w:cs="Times New Roman"/>
          <w:sz w:val="21"/>
          <w:szCs w:val="21"/>
        </w:rPr>
        <w:t xml:space="preserve">. </w:t>
      </w:r>
    </w:p>
    <w:p w14:paraId="5F3CE16E" w14:textId="77777777" w:rsidR="0093518C" w:rsidRPr="009952F2" w:rsidRDefault="0093518C" w:rsidP="00A9653E">
      <w:pPr>
        <w:spacing w:line="360" w:lineRule="auto"/>
        <w:jc w:val="both"/>
        <w:rPr>
          <w:rFonts w:ascii="Times New Roman" w:hAnsi="Times New Roman" w:cs="Times New Roman"/>
          <w:b/>
          <w:color w:val="0070C0"/>
          <w:sz w:val="18"/>
          <w:szCs w:val="18"/>
        </w:rPr>
      </w:pPr>
      <w:r w:rsidRPr="009952F2">
        <w:rPr>
          <w:rFonts w:ascii="Times New Roman" w:hAnsi="Times New Roman" w:cs="Times New Roman"/>
          <w:b/>
          <w:color w:val="0070C0"/>
          <w:sz w:val="18"/>
          <w:szCs w:val="18"/>
        </w:rPr>
        <w:t>In 2014, the economic growth will be in the range</w:t>
      </w:r>
      <w:r w:rsidR="00DB3BB5">
        <w:rPr>
          <w:rFonts w:ascii="Times New Roman" w:hAnsi="Times New Roman" w:cs="Times New Roman"/>
          <w:b/>
          <w:color w:val="0070C0"/>
          <w:sz w:val="18"/>
          <w:szCs w:val="18"/>
        </w:rPr>
        <w:t xml:space="preserve"> of</w:t>
      </w:r>
      <w:r w:rsidRPr="009952F2">
        <w:rPr>
          <w:rFonts w:ascii="Times New Roman" w:hAnsi="Times New Roman" w:cs="Times New Roman"/>
          <w:b/>
          <w:color w:val="0070C0"/>
          <w:sz w:val="18"/>
          <w:szCs w:val="18"/>
        </w:rPr>
        <w:t xml:space="preserve"> 3.2</w:t>
      </w:r>
      <w:r w:rsidR="00DB3BB5">
        <w:rPr>
          <w:rFonts w:ascii="Times New Roman" w:hAnsi="Times New Roman" w:cs="Times New Roman"/>
          <w:b/>
          <w:color w:val="0070C0"/>
          <w:sz w:val="18"/>
          <w:szCs w:val="18"/>
        </w:rPr>
        <w:t>%</w:t>
      </w:r>
      <w:r w:rsidRPr="009952F2">
        <w:rPr>
          <w:rFonts w:ascii="Times New Roman" w:hAnsi="Times New Roman" w:cs="Times New Roman"/>
          <w:b/>
          <w:color w:val="0070C0"/>
          <w:sz w:val="18"/>
          <w:szCs w:val="18"/>
        </w:rPr>
        <w:t>-3.5%</w:t>
      </w:r>
      <w:r w:rsidR="009952F2" w:rsidRPr="009952F2">
        <w:rPr>
          <w:rFonts w:ascii="Times New Roman" w:hAnsi="Times New Roman" w:cs="Times New Roman"/>
          <w:b/>
          <w:color w:val="0070C0"/>
          <w:sz w:val="18"/>
          <w:szCs w:val="18"/>
        </w:rPr>
        <w:t>...</w:t>
      </w:r>
    </w:p>
    <w:p w14:paraId="3DA12E13" w14:textId="77777777" w:rsidR="00A9653E"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According to short-term forecasts</w:t>
      </w:r>
      <w:r w:rsidRPr="00EC356F">
        <w:rPr>
          <w:rFonts w:ascii="Times New Roman" w:hAnsi="Times New Roman" w:cs="Times New Roman"/>
          <w:sz w:val="21"/>
          <w:szCs w:val="21"/>
        </w:rPr>
        <w:t xml:space="preserve">, </w:t>
      </w:r>
      <w:r w:rsidR="00975307">
        <w:rPr>
          <w:rFonts w:ascii="Times New Roman" w:hAnsi="Times New Roman" w:cs="Times New Roman"/>
          <w:sz w:val="21"/>
          <w:szCs w:val="21"/>
        </w:rPr>
        <w:t xml:space="preserve">both </w:t>
      </w:r>
      <w:r w:rsidRPr="00EC356F">
        <w:rPr>
          <w:rFonts w:ascii="Times New Roman" w:hAnsi="Times New Roman" w:cs="Times New Roman"/>
          <w:sz w:val="21"/>
          <w:szCs w:val="21"/>
        </w:rPr>
        <w:t xml:space="preserve">private consumption </w:t>
      </w:r>
      <w:r w:rsidR="00975307">
        <w:rPr>
          <w:rFonts w:ascii="Times New Roman" w:hAnsi="Times New Roman" w:cs="Times New Roman"/>
          <w:sz w:val="21"/>
          <w:szCs w:val="21"/>
        </w:rPr>
        <w:t>and private investment will reduce in 2015. T</w:t>
      </w:r>
      <w:r w:rsidR="00975307" w:rsidRPr="00EC356F">
        <w:rPr>
          <w:rFonts w:ascii="Times New Roman" w:hAnsi="Times New Roman" w:cs="Times New Roman"/>
          <w:sz w:val="21"/>
          <w:szCs w:val="21"/>
        </w:rPr>
        <w:t>he fiscal impulse</w:t>
      </w:r>
      <w:r w:rsidR="00975307">
        <w:rPr>
          <w:rFonts w:ascii="Times New Roman" w:hAnsi="Times New Roman" w:cs="Times New Roman"/>
          <w:sz w:val="21"/>
          <w:szCs w:val="21"/>
        </w:rPr>
        <w:t xml:space="preserve"> [in relation to the previous year] </w:t>
      </w:r>
      <w:r w:rsidR="00975307" w:rsidRPr="00EC356F">
        <w:rPr>
          <w:rFonts w:ascii="Times New Roman" w:hAnsi="Times New Roman" w:cs="Times New Roman"/>
          <w:sz w:val="21"/>
          <w:szCs w:val="21"/>
        </w:rPr>
        <w:t xml:space="preserve">is </w:t>
      </w:r>
      <w:r w:rsidR="00975307">
        <w:rPr>
          <w:rFonts w:ascii="Times New Roman" w:hAnsi="Times New Roman" w:cs="Times New Roman"/>
          <w:sz w:val="21"/>
          <w:szCs w:val="21"/>
        </w:rPr>
        <w:t>estimated to be small expansionary during the year. In 2015</w:t>
      </w:r>
      <w:r w:rsidR="00975307" w:rsidRPr="00EC356F">
        <w:rPr>
          <w:rFonts w:ascii="Times New Roman" w:hAnsi="Times New Roman" w:cs="Times New Roman"/>
          <w:sz w:val="21"/>
          <w:szCs w:val="21"/>
        </w:rPr>
        <w:t xml:space="preserve">, the </w:t>
      </w:r>
      <w:r w:rsidR="00975307">
        <w:rPr>
          <w:rFonts w:ascii="Times New Roman" w:hAnsi="Times New Roman" w:cs="Times New Roman"/>
          <w:sz w:val="21"/>
          <w:szCs w:val="21"/>
        </w:rPr>
        <w:t xml:space="preserve">real </w:t>
      </w:r>
      <w:r w:rsidR="00D51D5A">
        <w:rPr>
          <w:rFonts w:ascii="Times New Roman" w:hAnsi="Times New Roman" w:cs="Times New Roman"/>
          <w:sz w:val="21"/>
          <w:szCs w:val="21"/>
        </w:rPr>
        <w:t xml:space="preserve">growth of </w:t>
      </w:r>
      <w:r w:rsidR="00975307" w:rsidRPr="00EC356F">
        <w:rPr>
          <w:rFonts w:ascii="Times New Roman" w:hAnsi="Times New Roman" w:cs="Times New Roman"/>
          <w:sz w:val="21"/>
          <w:szCs w:val="21"/>
        </w:rPr>
        <w:t xml:space="preserve">export of goods and services </w:t>
      </w:r>
      <w:r w:rsidR="00D51D5A">
        <w:rPr>
          <w:rFonts w:ascii="Times New Roman" w:hAnsi="Times New Roman" w:cs="Times New Roman"/>
          <w:sz w:val="21"/>
          <w:szCs w:val="21"/>
        </w:rPr>
        <w:t>is expected within 7.0</w:t>
      </w:r>
      <w:r w:rsidR="00C158EC">
        <w:rPr>
          <w:rFonts w:ascii="Times New Roman" w:hAnsi="Times New Roman" w:cs="Times New Roman"/>
          <w:sz w:val="21"/>
          <w:szCs w:val="21"/>
        </w:rPr>
        <w:t>%</w:t>
      </w:r>
      <w:r w:rsidR="00D51D5A">
        <w:rPr>
          <w:rFonts w:ascii="Times New Roman" w:hAnsi="Times New Roman" w:cs="Times New Roman"/>
          <w:sz w:val="21"/>
          <w:szCs w:val="21"/>
        </w:rPr>
        <w:t xml:space="preserve">-9.0% while the </w:t>
      </w:r>
      <w:r w:rsidR="007F1B8D">
        <w:rPr>
          <w:rFonts w:ascii="Times New Roman" w:hAnsi="Times New Roman" w:cs="Times New Roman"/>
          <w:sz w:val="21"/>
          <w:szCs w:val="21"/>
        </w:rPr>
        <w:t xml:space="preserve">decline in </w:t>
      </w:r>
      <w:r w:rsidR="00D51D5A">
        <w:rPr>
          <w:rFonts w:ascii="Times New Roman" w:hAnsi="Times New Roman" w:cs="Times New Roman"/>
          <w:sz w:val="21"/>
          <w:szCs w:val="21"/>
        </w:rPr>
        <w:t xml:space="preserve">import of goods and services </w:t>
      </w:r>
      <w:r w:rsidR="007F1B8D">
        <w:rPr>
          <w:rFonts w:ascii="Times New Roman" w:hAnsi="Times New Roman" w:cs="Times New Roman"/>
          <w:sz w:val="21"/>
          <w:szCs w:val="21"/>
        </w:rPr>
        <w:t xml:space="preserve">in real terms </w:t>
      </w:r>
      <w:r w:rsidR="00D51D5A">
        <w:rPr>
          <w:rFonts w:ascii="Times New Roman" w:hAnsi="Times New Roman" w:cs="Times New Roman"/>
          <w:sz w:val="21"/>
          <w:szCs w:val="21"/>
        </w:rPr>
        <w:t>is predicted in the range</w:t>
      </w:r>
      <w:r w:rsidR="00DB3BB5">
        <w:rPr>
          <w:rFonts w:ascii="Times New Roman" w:hAnsi="Times New Roman" w:cs="Times New Roman"/>
          <w:sz w:val="21"/>
          <w:szCs w:val="21"/>
        </w:rPr>
        <w:t xml:space="preserve"> of</w:t>
      </w:r>
      <w:r w:rsidR="00D51D5A">
        <w:rPr>
          <w:rFonts w:ascii="Times New Roman" w:hAnsi="Times New Roman" w:cs="Times New Roman"/>
          <w:sz w:val="21"/>
          <w:szCs w:val="21"/>
        </w:rPr>
        <w:t xml:space="preserve"> 4.0</w:t>
      </w:r>
      <w:r w:rsidR="00C158EC">
        <w:rPr>
          <w:rFonts w:ascii="Times New Roman" w:hAnsi="Times New Roman" w:cs="Times New Roman"/>
          <w:sz w:val="21"/>
          <w:szCs w:val="21"/>
        </w:rPr>
        <w:t>%</w:t>
      </w:r>
      <w:r w:rsidR="00D51D5A">
        <w:rPr>
          <w:rFonts w:ascii="Times New Roman" w:hAnsi="Times New Roman" w:cs="Times New Roman"/>
          <w:sz w:val="21"/>
          <w:szCs w:val="21"/>
        </w:rPr>
        <w:t xml:space="preserve">-6.0%. </w:t>
      </w:r>
      <w:r w:rsidR="00CC71BF">
        <w:rPr>
          <w:rFonts w:ascii="Times New Roman" w:hAnsi="Times New Roman" w:cs="Times New Roman"/>
          <w:sz w:val="21"/>
          <w:szCs w:val="21"/>
        </w:rPr>
        <w:t xml:space="preserve">Moreover, </w:t>
      </w:r>
      <w:r w:rsidR="00975307">
        <w:rPr>
          <w:rFonts w:ascii="Times New Roman" w:hAnsi="Times New Roman" w:cs="Times New Roman"/>
          <w:sz w:val="21"/>
          <w:szCs w:val="21"/>
        </w:rPr>
        <w:t xml:space="preserve">around </w:t>
      </w:r>
      <w:r w:rsidR="00CC71BF">
        <w:rPr>
          <w:rFonts w:ascii="Times New Roman" w:hAnsi="Times New Roman" w:cs="Times New Roman"/>
          <w:sz w:val="21"/>
          <w:szCs w:val="21"/>
        </w:rPr>
        <w:t>30</w:t>
      </w:r>
      <w:r w:rsidR="00975307" w:rsidRPr="00EC356F">
        <w:rPr>
          <w:rFonts w:ascii="Times New Roman" w:hAnsi="Times New Roman" w:cs="Times New Roman"/>
          <w:sz w:val="21"/>
          <w:szCs w:val="21"/>
        </w:rPr>
        <w:t>%</w:t>
      </w:r>
      <w:r w:rsidR="00CC71BF">
        <w:rPr>
          <w:rFonts w:ascii="Times New Roman" w:hAnsi="Times New Roman" w:cs="Times New Roman"/>
          <w:sz w:val="21"/>
          <w:szCs w:val="21"/>
        </w:rPr>
        <w:t xml:space="preserve"> net reduction </w:t>
      </w:r>
      <w:r w:rsidR="00975307">
        <w:rPr>
          <w:rFonts w:ascii="Times New Roman" w:hAnsi="Times New Roman" w:cs="Times New Roman"/>
          <w:sz w:val="21"/>
          <w:szCs w:val="21"/>
        </w:rPr>
        <w:t xml:space="preserve">in remittances of individuals </w:t>
      </w:r>
      <w:r w:rsidR="00CC71BF">
        <w:rPr>
          <w:rFonts w:ascii="Times New Roman" w:hAnsi="Times New Roman" w:cs="Times New Roman"/>
          <w:sz w:val="21"/>
          <w:szCs w:val="21"/>
        </w:rPr>
        <w:t xml:space="preserve">in dollar terms </w:t>
      </w:r>
      <w:r w:rsidR="00975307">
        <w:rPr>
          <w:rFonts w:ascii="Times New Roman" w:hAnsi="Times New Roman" w:cs="Times New Roman"/>
          <w:sz w:val="21"/>
          <w:szCs w:val="21"/>
        </w:rPr>
        <w:t xml:space="preserve">is anticipated. </w:t>
      </w:r>
      <w:r w:rsidR="00964017">
        <w:rPr>
          <w:rFonts w:ascii="Times New Roman" w:hAnsi="Times New Roman" w:cs="Times New Roman"/>
          <w:sz w:val="21"/>
          <w:szCs w:val="21"/>
        </w:rPr>
        <w:t>It should be noted that private remittances</w:t>
      </w:r>
      <w:r w:rsidR="00964017">
        <w:rPr>
          <w:rStyle w:val="FootnoteReference"/>
          <w:rFonts w:ascii="Times New Roman" w:hAnsi="Times New Roman" w:cs="Times New Roman"/>
          <w:sz w:val="21"/>
          <w:szCs w:val="21"/>
        </w:rPr>
        <w:footnoteReference w:customMarkFollows="1" w:id="1"/>
        <w:t>1</w:t>
      </w:r>
      <w:r w:rsidR="00964017">
        <w:rPr>
          <w:rFonts w:ascii="Times New Roman" w:hAnsi="Times New Roman" w:cs="Times New Roman"/>
          <w:sz w:val="21"/>
          <w:szCs w:val="21"/>
        </w:rPr>
        <w:t xml:space="preserve"> in Russian ruble are expected to increase in 2015 but their growth rates are predicted to slow in future. </w:t>
      </w:r>
      <w:r w:rsidR="00975307" w:rsidRPr="00EC356F">
        <w:rPr>
          <w:rFonts w:ascii="Times New Roman" w:hAnsi="Times New Roman" w:cs="Times New Roman"/>
          <w:sz w:val="21"/>
          <w:szCs w:val="21"/>
        </w:rPr>
        <w:t xml:space="preserve">As a result, </w:t>
      </w:r>
      <w:r w:rsidR="00975307" w:rsidRPr="00C158EC">
        <w:rPr>
          <w:rFonts w:ascii="Times New Roman" w:hAnsi="Times New Roman" w:cs="Times New Roman"/>
          <w:sz w:val="21"/>
          <w:szCs w:val="21"/>
        </w:rPr>
        <w:t>the</w:t>
      </w:r>
      <w:r w:rsidR="00975307" w:rsidRPr="009826D7">
        <w:rPr>
          <w:rFonts w:ascii="Times New Roman" w:hAnsi="Times New Roman" w:cs="Times New Roman"/>
          <w:b/>
          <w:sz w:val="21"/>
          <w:szCs w:val="21"/>
        </w:rPr>
        <w:t xml:space="preserve"> </w:t>
      </w:r>
      <w:r w:rsidR="00975307" w:rsidRPr="00EC356F">
        <w:rPr>
          <w:rFonts w:ascii="Times New Roman" w:hAnsi="Times New Roman" w:cs="Times New Roman"/>
          <w:b/>
          <w:sz w:val="21"/>
          <w:szCs w:val="21"/>
        </w:rPr>
        <w:t>economic growth in 201</w:t>
      </w:r>
      <w:r w:rsidR="00CC71BF">
        <w:rPr>
          <w:rFonts w:ascii="Times New Roman" w:hAnsi="Times New Roman" w:cs="Times New Roman"/>
          <w:b/>
          <w:sz w:val="21"/>
          <w:szCs w:val="21"/>
        </w:rPr>
        <w:t>5</w:t>
      </w:r>
      <w:r w:rsidR="00975307" w:rsidRPr="00EC356F">
        <w:rPr>
          <w:rFonts w:ascii="Times New Roman" w:hAnsi="Times New Roman" w:cs="Times New Roman"/>
          <w:b/>
          <w:sz w:val="21"/>
          <w:szCs w:val="21"/>
        </w:rPr>
        <w:t xml:space="preserve"> is estimated in the range</w:t>
      </w:r>
      <w:r w:rsidR="007160F7">
        <w:rPr>
          <w:rFonts w:ascii="Times New Roman" w:hAnsi="Times New Roman" w:cs="Times New Roman"/>
          <w:b/>
          <w:sz w:val="21"/>
          <w:szCs w:val="21"/>
        </w:rPr>
        <w:t xml:space="preserve"> of</w:t>
      </w:r>
      <w:r w:rsidR="00975307" w:rsidRPr="00EC356F">
        <w:rPr>
          <w:rFonts w:ascii="Times New Roman" w:hAnsi="Times New Roman" w:cs="Times New Roman"/>
          <w:b/>
          <w:sz w:val="21"/>
          <w:szCs w:val="21"/>
        </w:rPr>
        <w:t xml:space="preserve"> </w:t>
      </w:r>
      <w:r w:rsidR="00CC71BF">
        <w:rPr>
          <w:rFonts w:ascii="Times New Roman" w:hAnsi="Times New Roman" w:cs="Times New Roman"/>
          <w:b/>
          <w:sz w:val="21"/>
          <w:szCs w:val="21"/>
        </w:rPr>
        <w:t>0</w:t>
      </w:r>
      <w:r w:rsidR="00975307" w:rsidRPr="00EC356F">
        <w:rPr>
          <w:rFonts w:ascii="Times New Roman" w:hAnsi="Times New Roman" w:cs="Times New Roman"/>
          <w:b/>
          <w:sz w:val="21"/>
          <w:szCs w:val="21"/>
        </w:rPr>
        <w:t>.</w:t>
      </w:r>
      <w:r w:rsidR="00CC71BF">
        <w:rPr>
          <w:rFonts w:ascii="Times New Roman" w:hAnsi="Times New Roman" w:cs="Times New Roman"/>
          <w:b/>
          <w:sz w:val="21"/>
          <w:szCs w:val="21"/>
        </w:rPr>
        <w:t>4</w:t>
      </w:r>
      <w:r w:rsidR="007160F7">
        <w:rPr>
          <w:rFonts w:ascii="Times New Roman" w:hAnsi="Times New Roman" w:cs="Times New Roman"/>
          <w:b/>
          <w:sz w:val="21"/>
          <w:szCs w:val="21"/>
        </w:rPr>
        <w:t>%</w:t>
      </w:r>
      <w:r w:rsidR="00975307" w:rsidRPr="00EC356F">
        <w:rPr>
          <w:rFonts w:ascii="Times New Roman" w:hAnsi="Times New Roman" w:cs="Times New Roman"/>
          <w:b/>
          <w:sz w:val="21"/>
          <w:szCs w:val="21"/>
        </w:rPr>
        <w:t>-</w:t>
      </w:r>
      <w:r w:rsidR="00CC71BF">
        <w:rPr>
          <w:rFonts w:ascii="Times New Roman" w:hAnsi="Times New Roman" w:cs="Times New Roman"/>
          <w:b/>
          <w:sz w:val="21"/>
          <w:szCs w:val="21"/>
        </w:rPr>
        <w:t>2</w:t>
      </w:r>
      <w:r w:rsidR="00975307" w:rsidRPr="00EC356F">
        <w:rPr>
          <w:rFonts w:ascii="Times New Roman" w:hAnsi="Times New Roman" w:cs="Times New Roman"/>
          <w:b/>
          <w:sz w:val="21"/>
          <w:szCs w:val="21"/>
        </w:rPr>
        <w:t>.</w:t>
      </w:r>
      <w:r w:rsidR="00CC71BF">
        <w:rPr>
          <w:rFonts w:ascii="Times New Roman" w:hAnsi="Times New Roman" w:cs="Times New Roman"/>
          <w:b/>
          <w:sz w:val="21"/>
          <w:szCs w:val="21"/>
        </w:rPr>
        <w:t>0</w:t>
      </w:r>
      <w:r w:rsidR="00975307" w:rsidRPr="00EC356F">
        <w:rPr>
          <w:rFonts w:ascii="Times New Roman" w:hAnsi="Times New Roman" w:cs="Times New Roman"/>
          <w:b/>
          <w:sz w:val="21"/>
          <w:szCs w:val="21"/>
        </w:rPr>
        <w:t xml:space="preserve">% </w:t>
      </w:r>
      <w:r w:rsidR="00975307" w:rsidRPr="007D015E">
        <w:rPr>
          <w:rFonts w:ascii="Times New Roman" w:hAnsi="Times New Roman" w:cs="Times New Roman"/>
          <w:sz w:val="21"/>
          <w:szCs w:val="21"/>
        </w:rPr>
        <w:t>primarily due</w:t>
      </w:r>
      <w:r w:rsidR="00975307" w:rsidRPr="00EC356F">
        <w:rPr>
          <w:rFonts w:ascii="Times New Roman" w:hAnsi="Times New Roman" w:cs="Times New Roman"/>
          <w:sz w:val="21"/>
          <w:szCs w:val="21"/>
        </w:rPr>
        <w:t xml:space="preserve"> to </w:t>
      </w:r>
      <w:r w:rsidR="007D2E6F">
        <w:rPr>
          <w:rFonts w:ascii="Times New Roman" w:hAnsi="Times New Roman" w:cs="Times New Roman"/>
          <w:sz w:val="21"/>
          <w:szCs w:val="21"/>
        </w:rPr>
        <w:t>resumption of tradable sector of the economy.</w:t>
      </w:r>
      <w:r w:rsidRPr="00EC356F">
        <w:rPr>
          <w:rFonts w:ascii="Times New Roman" w:hAnsi="Times New Roman" w:cs="Times New Roman"/>
          <w:sz w:val="21"/>
          <w:szCs w:val="21"/>
        </w:rPr>
        <w:t xml:space="preserve"> </w:t>
      </w:r>
    </w:p>
    <w:p w14:paraId="6B716511" w14:textId="77777777" w:rsidR="008902F4" w:rsidRPr="008902F4" w:rsidRDefault="008902F4" w:rsidP="00A9653E">
      <w:pPr>
        <w:spacing w:line="360" w:lineRule="auto"/>
        <w:jc w:val="both"/>
        <w:rPr>
          <w:rFonts w:ascii="Times New Roman" w:hAnsi="Times New Roman" w:cs="Times New Roman"/>
          <w:b/>
          <w:color w:val="0070C0"/>
          <w:sz w:val="18"/>
          <w:szCs w:val="18"/>
        </w:rPr>
      </w:pPr>
      <w:r w:rsidRPr="008902F4">
        <w:rPr>
          <w:rFonts w:ascii="Times New Roman" w:hAnsi="Times New Roman" w:cs="Times New Roman"/>
          <w:b/>
          <w:color w:val="0070C0"/>
          <w:sz w:val="18"/>
          <w:szCs w:val="18"/>
        </w:rPr>
        <w:t xml:space="preserve">The economic growth in 2015 is estimated in the range </w:t>
      </w:r>
      <w:r w:rsidR="007160F7">
        <w:rPr>
          <w:rFonts w:ascii="Times New Roman" w:hAnsi="Times New Roman" w:cs="Times New Roman"/>
          <w:b/>
          <w:color w:val="0070C0"/>
          <w:sz w:val="18"/>
          <w:szCs w:val="18"/>
        </w:rPr>
        <w:t xml:space="preserve">of </w:t>
      </w:r>
      <w:r w:rsidRPr="008902F4">
        <w:rPr>
          <w:rFonts w:ascii="Times New Roman" w:hAnsi="Times New Roman" w:cs="Times New Roman"/>
          <w:b/>
          <w:color w:val="0070C0"/>
          <w:sz w:val="18"/>
          <w:szCs w:val="18"/>
        </w:rPr>
        <w:t>0.4</w:t>
      </w:r>
      <w:r w:rsidR="007160F7">
        <w:rPr>
          <w:rFonts w:ascii="Times New Roman" w:hAnsi="Times New Roman" w:cs="Times New Roman"/>
          <w:b/>
          <w:color w:val="0070C0"/>
          <w:sz w:val="18"/>
          <w:szCs w:val="18"/>
        </w:rPr>
        <w:t>%</w:t>
      </w:r>
      <w:r w:rsidRPr="008902F4">
        <w:rPr>
          <w:rFonts w:ascii="Times New Roman" w:hAnsi="Times New Roman" w:cs="Times New Roman"/>
          <w:b/>
          <w:color w:val="0070C0"/>
          <w:sz w:val="18"/>
          <w:szCs w:val="18"/>
        </w:rPr>
        <w:t>-2.0% primarily due to resumption of tradable sector of the economy…</w:t>
      </w:r>
    </w:p>
    <w:p w14:paraId="783F3907" w14:textId="77777777" w:rsidR="00CB2FFD" w:rsidRDefault="00A9653E" w:rsidP="00CB2FFD">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lastRenderedPageBreak/>
        <w:t>In the forecast horizon</w:t>
      </w:r>
      <w:r w:rsidR="00CD3C6F">
        <w:rPr>
          <w:rFonts w:ascii="Times New Roman" w:hAnsi="Times New Roman" w:cs="Times New Roman"/>
          <w:b/>
          <w:sz w:val="21"/>
          <w:szCs w:val="21"/>
        </w:rPr>
        <w:t>,</w:t>
      </w:r>
      <w:r w:rsidRPr="00EC356F">
        <w:rPr>
          <w:rFonts w:ascii="Times New Roman" w:hAnsi="Times New Roman" w:cs="Times New Roman"/>
          <w:sz w:val="21"/>
          <w:szCs w:val="21"/>
        </w:rPr>
        <w:t xml:space="preserve"> the economic growth </w:t>
      </w:r>
      <w:r w:rsidR="00BB5FF2">
        <w:rPr>
          <w:rFonts w:ascii="Times New Roman" w:hAnsi="Times New Roman" w:cs="Times New Roman"/>
          <w:sz w:val="21"/>
          <w:szCs w:val="21"/>
        </w:rPr>
        <w:t>will gradually approach its long-term equilibrium</w:t>
      </w:r>
      <w:r w:rsidRPr="00EC356F">
        <w:rPr>
          <w:rFonts w:ascii="Times New Roman" w:hAnsi="Times New Roman" w:cs="Times New Roman"/>
          <w:sz w:val="21"/>
          <w:szCs w:val="21"/>
        </w:rPr>
        <w:t xml:space="preserve">, reflecting </w:t>
      </w:r>
      <w:r w:rsidR="00BB5FF2">
        <w:rPr>
          <w:rFonts w:ascii="Times New Roman" w:hAnsi="Times New Roman" w:cs="Times New Roman"/>
          <w:sz w:val="21"/>
          <w:szCs w:val="21"/>
        </w:rPr>
        <w:t xml:space="preserve">accelerating </w:t>
      </w:r>
      <w:r w:rsidR="00CD3C6F">
        <w:rPr>
          <w:rFonts w:ascii="Times New Roman" w:hAnsi="Times New Roman" w:cs="Times New Roman"/>
          <w:sz w:val="21"/>
          <w:szCs w:val="21"/>
        </w:rPr>
        <w:t xml:space="preserve">net export </w:t>
      </w:r>
      <w:r w:rsidRPr="00EC356F">
        <w:rPr>
          <w:rFonts w:ascii="Times New Roman" w:hAnsi="Times New Roman" w:cs="Times New Roman"/>
          <w:sz w:val="21"/>
          <w:szCs w:val="21"/>
        </w:rPr>
        <w:t xml:space="preserve">growth rates and slowly rebounding </w:t>
      </w:r>
      <w:r w:rsidR="00CD3C6F">
        <w:rPr>
          <w:rFonts w:ascii="Times New Roman" w:hAnsi="Times New Roman" w:cs="Times New Roman"/>
          <w:sz w:val="21"/>
          <w:szCs w:val="21"/>
        </w:rPr>
        <w:t>domestic demand</w:t>
      </w:r>
      <w:r w:rsidRPr="00EC356F">
        <w:rPr>
          <w:rFonts w:ascii="Times New Roman" w:hAnsi="Times New Roman" w:cs="Times New Roman"/>
          <w:sz w:val="21"/>
          <w:szCs w:val="21"/>
        </w:rPr>
        <w:t xml:space="preserve">. </w:t>
      </w:r>
      <w:r w:rsidR="00CD3C6F" w:rsidRPr="00EC356F">
        <w:rPr>
          <w:rFonts w:ascii="Times New Roman" w:hAnsi="Times New Roman" w:cs="Times New Roman"/>
          <w:sz w:val="21"/>
          <w:szCs w:val="21"/>
        </w:rPr>
        <w:t xml:space="preserve">Thus, </w:t>
      </w:r>
      <w:r w:rsidR="00CD3C6F" w:rsidRPr="00EC356F">
        <w:rPr>
          <w:rFonts w:ascii="Times New Roman" w:hAnsi="Times New Roman" w:cs="Times New Roman"/>
          <w:b/>
          <w:sz w:val="21"/>
          <w:szCs w:val="21"/>
        </w:rPr>
        <w:t>in the forecast horizon</w:t>
      </w:r>
      <w:r w:rsidR="00CD3C6F" w:rsidRPr="00EC356F">
        <w:rPr>
          <w:rFonts w:ascii="Times New Roman" w:hAnsi="Times New Roman" w:cs="Times New Roman"/>
          <w:sz w:val="21"/>
          <w:szCs w:val="21"/>
        </w:rPr>
        <w:t>,</w:t>
      </w:r>
      <w:r w:rsidR="00CD3C6F">
        <w:rPr>
          <w:rFonts w:ascii="Times New Roman" w:hAnsi="Times New Roman" w:cs="Times New Roman"/>
          <w:sz w:val="21"/>
          <w:szCs w:val="21"/>
        </w:rPr>
        <w:t xml:space="preserve"> </w:t>
      </w:r>
      <w:r w:rsidR="00CD3C6F" w:rsidRPr="00EC356F">
        <w:rPr>
          <w:rFonts w:ascii="Times New Roman" w:hAnsi="Times New Roman" w:cs="Times New Roman"/>
          <w:sz w:val="21"/>
          <w:szCs w:val="21"/>
        </w:rPr>
        <w:t xml:space="preserve">with stabilizing private demand </w:t>
      </w:r>
      <w:r w:rsidR="00CD3C6F">
        <w:rPr>
          <w:rFonts w:ascii="Times New Roman" w:hAnsi="Times New Roman" w:cs="Times New Roman"/>
          <w:sz w:val="21"/>
          <w:szCs w:val="21"/>
        </w:rPr>
        <w:t xml:space="preserve">and </w:t>
      </w:r>
      <w:r w:rsidR="00CD3C6F" w:rsidRPr="00EC356F">
        <w:rPr>
          <w:rFonts w:ascii="Times New Roman" w:hAnsi="Times New Roman" w:cs="Times New Roman"/>
          <w:sz w:val="21"/>
          <w:szCs w:val="21"/>
        </w:rPr>
        <w:t xml:space="preserve">mostly a neutral impact of the fiscal policy, </w:t>
      </w:r>
      <w:r w:rsidR="00CD3C6F" w:rsidRPr="00BB5FF2">
        <w:rPr>
          <w:rFonts w:ascii="Times New Roman" w:hAnsi="Times New Roman" w:cs="Times New Roman"/>
          <w:sz w:val="21"/>
          <w:szCs w:val="21"/>
        </w:rPr>
        <w:t xml:space="preserve">the </w:t>
      </w:r>
      <w:r w:rsidR="00CD3C6F" w:rsidRPr="00BB5FF2">
        <w:rPr>
          <w:rFonts w:ascii="Times New Roman" w:hAnsi="Times New Roman" w:cs="Times New Roman"/>
          <w:b/>
          <w:sz w:val="21"/>
          <w:szCs w:val="21"/>
        </w:rPr>
        <w:t>impact of the aggrega</w:t>
      </w:r>
      <w:r w:rsidR="00CD3C6F">
        <w:rPr>
          <w:rFonts w:ascii="Times New Roman" w:hAnsi="Times New Roman" w:cs="Times New Roman"/>
          <w:b/>
          <w:sz w:val="21"/>
          <w:szCs w:val="21"/>
        </w:rPr>
        <w:t>te demand on prices will be non-</w:t>
      </w:r>
      <w:r w:rsidR="00CD3C6F" w:rsidRPr="00BB5FF2">
        <w:rPr>
          <w:rFonts w:ascii="Times New Roman" w:hAnsi="Times New Roman" w:cs="Times New Roman"/>
          <w:b/>
          <w:sz w:val="21"/>
          <w:szCs w:val="21"/>
        </w:rPr>
        <w:t>inflationary</w:t>
      </w:r>
      <w:r w:rsidR="00CD3C6F">
        <w:rPr>
          <w:rFonts w:ascii="Times New Roman" w:hAnsi="Times New Roman" w:cs="Times New Roman"/>
          <w:sz w:val="21"/>
          <w:szCs w:val="21"/>
        </w:rPr>
        <w:t>.</w:t>
      </w:r>
    </w:p>
    <w:p w14:paraId="2C7BCB7D" w14:textId="77777777" w:rsidR="00A9653E" w:rsidRPr="00EC356F" w:rsidRDefault="00180B7F" w:rsidP="00A9653E">
      <w:pPr>
        <w:spacing w:line="360" w:lineRule="auto"/>
        <w:jc w:val="both"/>
        <w:rPr>
          <w:rFonts w:ascii="Times New Roman" w:hAnsi="Times New Roman" w:cs="Times New Roman"/>
          <w:sz w:val="21"/>
          <w:szCs w:val="21"/>
        </w:rPr>
      </w:pPr>
      <w:r w:rsidRPr="00180B7F">
        <w:rPr>
          <w:rFonts w:ascii="Times New Roman" w:hAnsi="Times New Roman" w:cs="Times New Roman"/>
          <w:sz w:val="21"/>
          <w:szCs w:val="21"/>
        </w:rPr>
        <w:t xml:space="preserve">The </w:t>
      </w:r>
      <w:r>
        <w:rPr>
          <w:rFonts w:ascii="Times New Roman" w:hAnsi="Times New Roman" w:cs="Times New Roman"/>
          <w:sz w:val="21"/>
          <w:szCs w:val="21"/>
        </w:rPr>
        <w:t xml:space="preserve">economic activity </w:t>
      </w:r>
      <w:r w:rsidR="00C444B9">
        <w:rPr>
          <w:rFonts w:ascii="Times New Roman" w:hAnsi="Times New Roman" w:cs="Times New Roman"/>
          <w:sz w:val="21"/>
          <w:szCs w:val="21"/>
        </w:rPr>
        <w:t xml:space="preserve">in </w:t>
      </w:r>
      <w:r w:rsidR="00C444B9" w:rsidRPr="0011797A">
        <w:rPr>
          <w:rFonts w:ascii="Times New Roman" w:hAnsi="Times New Roman" w:cs="Times New Roman"/>
          <w:b/>
          <w:sz w:val="21"/>
          <w:szCs w:val="21"/>
        </w:rPr>
        <w:t>Armenia</w:t>
      </w:r>
      <w:r w:rsidR="00C70AA4" w:rsidRPr="00C70AA4">
        <w:rPr>
          <w:rFonts w:ascii="Times New Roman" w:hAnsi="Times New Roman" w:cs="Times New Roman"/>
          <w:b/>
          <w:sz w:val="21"/>
          <w:szCs w:val="21"/>
        </w:rPr>
        <w:t>'</w:t>
      </w:r>
      <w:r w:rsidR="00C444B9" w:rsidRPr="00C70AA4">
        <w:rPr>
          <w:rFonts w:ascii="Times New Roman" w:hAnsi="Times New Roman" w:cs="Times New Roman"/>
          <w:b/>
          <w:sz w:val="21"/>
          <w:szCs w:val="21"/>
        </w:rPr>
        <w:t>s</w:t>
      </w:r>
      <w:r w:rsidR="00C444B9" w:rsidRPr="0011797A">
        <w:rPr>
          <w:rFonts w:ascii="Times New Roman" w:hAnsi="Times New Roman" w:cs="Times New Roman"/>
          <w:b/>
          <w:sz w:val="21"/>
          <w:szCs w:val="21"/>
        </w:rPr>
        <w:t xml:space="preserve"> main trade partner countries</w:t>
      </w:r>
      <w:r w:rsidR="00C444B9" w:rsidRPr="00180B7F">
        <w:rPr>
          <w:rFonts w:ascii="Times New Roman" w:hAnsi="Times New Roman" w:cs="Times New Roman"/>
          <w:sz w:val="21"/>
          <w:szCs w:val="21"/>
        </w:rPr>
        <w:t xml:space="preserve"> </w:t>
      </w:r>
      <w:r>
        <w:rPr>
          <w:rFonts w:ascii="Times New Roman" w:hAnsi="Times New Roman" w:cs="Times New Roman"/>
          <w:sz w:val="21"/>
          <w:szCs w:val="21"/>
        </w:rPr>
        <w:t xml:space="preserve">tended to </w:t>
      </w:r>
      <w:r w:rsidR="0011797A">
        <w:rPr>
          <w:rFonts w:ascii="Times New Roman" w:hAnsi="Times New Roman" w:cs="Times New Roman"/>
          <w:sz w:val="21"/>
          <w:szCs w:val="21"/>
        </w:rPr>
        <w:t xml:space="preserve">slow down </w:t>
      </w:r>
      <w:r w:rsidRPr="00180B7F">
        <w:rPr>
          <w:rFonts w:ascii="Times New Roman" w:hAnsi="Times New Roman" w:cs="Times New Roman"/>
          <w:sz w:val="21"/>
          <w:szCs w:val="21"/>
        </w:rPr>
        <w:t xml:space="preserve">in </w:t>
      </w:r>
      <w:r w:rsidR="0011797A">
        <w:rPr>
          <w:rFonts w:ascii="Times New Roman" w:hAnsi="Times New Roman" w:cs="Times New Roman"/>
          <w:sz w:val="21"/>
          <w:szCs w:val="21"/>
        </w:rPr>
        <w:t>the 4th quarter of 2014</w:t>
      </w:r>
      <w:r w:rsidRPr="00180B7F">
        <w:rPr>
          <w:rFonts w:ascii="Times New Roman" w:hAnsi="Times New Roman" w:cs="Times New Roman"/>
          <w:sz w:val="21"/>
          <w:szCs w:val="21"/>
        </w:rPr>
        <w:t xml:space="preserve">, in which case the </w:t>
      </w:r>
      <w:r w:rsidRPr="0011797A">
        <w:rPr>
          <w:rFonts w:ascii="Times New Roman" w:hAnsi="Times New Roman" w:cs="Times New Roman"/>
          <w:b/>
          <w:sz w:val="21"/>
          <w:szCs w:val="21"/>
        </w:rPr>
        <w:t>external demand</w:t>
      </w:r>
      <w:r w:rsidRPr="00180B7F">
        <w:rPr>
          <w:rFonts w:ascii="Times New Roman" w:hAnsi="Times New Roman" w:cs="Times New Roman"/>
          <w:sz w:val="21"/>
          <w:szCs w:val="21"/>
        </w:rPr>
        <w:t xml:space="preserve"> remained at a low level</w:t>
      </w:r>
      <w:r w:rsidR="00C444B9">
        <w:rPr>
          <w:rFonts w:ascii="Times New Roman" w:hAnsi="Times New Roman" w:cs="Times New Roman"/>
          <w:sz w:val="21"/>
          <w:szCs w:val="21"/>
        </w:rPr>
        <w:t xml:space="preserve"> while </w:t>
      </w:r>
      <w:r w:rsidR="00C444B9" w:rsidRPr="00180B7F">
        <w:rPr>
          <w:rFonts w:ascii="Times New Roman" w:hAnsi="Times New Roman" w:cs="Times New Roman"/>
          <w:sz w:val="21"/>
          <w:szCs w:val="21"/>
        </w:rPr>
        <w:t xml:space="preserve">more than expected deflationary </w:t>
      </w:r>
      <w:r w:rsidR="00C444B9">
        <w:rPr>
          <w:rFonts w:ascii="Times New Roman" w:hAnsi="Times New Roman" w:cs="Times New Roman"/>
          <w:sz w:val="21"/>
          <w:szCs w:val="21"/>
        </w:rPr>
        <w:t xml:space="preserve">patterns were observable in </w:t>
      </w:r>
      <w:r w:rsidR="00C444B9" w:rsidRPr="00C444B9">
        <w:rPr>
          <w:rFonts w:ascii="Times New Roman" w:hAnsi="Times New Roman" w:cs="Times New Roman"/>
          <w:b/>
          <w:sz w:val="21"/>
          <w:szCs w:val="21"/>
        </w:rPr>
        <w:t>international commodities and food product markets</w:t>
      </w:r>
      <w:r w:rsidR="00C444B9">
        <w:rPr>
          <w:rFonts w:ascii="Times New Roman" w:hAnsi="Times New Roman" w:cs="Times New Roman"/>
          <w:sz w:val="21"/>
          <w:szCs w:val="21"/>
        </w:rPr>
        <w:t xml:space="preserve">. </w:t>
      </w:r>
    </w:p>
    <w:p w14:paraId="243A3D53" w14:textId="77777777" w:rsidR="00D0294B" w:rsidRPr="00B001F5" w:rsidRDefault="00D0294B" w:rsidP="00A9653E">
      <w:pPr>
        <w:spacing w:line="360" w:lineRule="auto"/>
        <w:jc w:val="both"/>
        <w:rPr>
          <w:rFonts w:ascii="Times New Roman" w:hAnsi="Times New Roman" w:cs="Times New Roman"/>
          <w:b/>
          <w:color w:val="0070C0"/>
          <w:sz w:val="18"/>
          <w:szCs w:val="18"/>
        </w:rPr>
      </w:pPr>
      <w:r w:rsidRPr="00B001F5">
        <w:rPr>
          <w:rFonts w:ascii="Times New Roman" w:hAnsi="Times New Roman" w:cs="Times New Roman"/>
          <w:b/>
          <w:color w:val="0070C0"/>
          <w:sz w:val="18"/>
          <w:szCs w:val="18"/>
        </w:rPr>
        <w:t xml:space="preserve">In the forecast horizon, inflationary pressures from the external demand and international markets of basic commodities and food products are not </w:t>
      </w:r>
      <w:r w:rsidR="00B001F5">
        <w:rPr>
          <w:rFonts w:ascii="Times New Roman" w:hAnsi="Times New Roman" w:cs="Times New Roman"/>
          <w:b/>
          <w:color w:val="0070C0"/>
          <w:sz w:val="18"/>
          <w:szCs w:val="18"/>
        </w:rPr>
        <w:t>anticipated</w:t>
      </w:r>
      <w:r w:rsidRPr="00B001F5">
        <w:rPr>
          <w:rFonts w:ascii="Times New Roman" w:hAnsi="Times New Roman" w:cs="Times New Roman"/>
          <w:b/>
          <w:color w:val="0070C0"/>
          <w:sz w:val="18"/>
          <w:szCs w:val="18"/>
        </w:rPr>
        <w:t>…</w:t>
      </w:r>
    </w:p>
    <w:p w14:paraId="694F547E" w14:textId="77777777" w:rsidR="00A9653E" w:rsidRPr="00EC356F" w:rsidRDefault="00A9653E" w:rsidP="00D0294B">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In the forecast horizon</w:t>
      </w:r>
      <w:r w:rsidRPr="00EC356F">
        <w:rPr>
          <w:rFonts w:ascii="Times New Roman" w:hAnsi="Times New Roman" w:cs="Times New Roman"/>
          <w:sz w:val="21"/>
          <w:szCs w:val="21"/>
        </w:rPr>
        <w:t xml:space="preserve">, </w:t>
      </w:r>
      <w:r w:rsidR="00F80062">
        <w:rPr>
          <w:rFonts w:ascii="Times New Roman" w:hAnsi="Times New Roman" w:cs="Times New Roman"/>
          <w:sz w:val="21"/>
          <w:szCs w:val="21"/>
        </w:rPr>
        <w:t xml:space="preserve">in view of rebounding global economy and </w:t>
      </w:r>
      <w:r w:rsidR="00F80062" w:rsidRPr="00F80062">
        <w:rPr>
          <w:rFonts w:ascii="Times New Roman" w:hAnsi="Times New Roman" w:cs="Times New Roman"/>
          <w:sz w:val="21"/>
          <w:szCs w:val="21"/>
        </w:rPr>
        <w:t xml:space="preserve">gradual acceleration of economic growth </w:t>
      </w:r>
      <w:r w:rsidR="00F80062">
        <w:rPr>
          <w:rFonts w:ascii="Times New Roman" w:hAnsi="Times New Roman" w:cs="Times New Roman"/>
          <w:sz w:val="21"/>
          <w:szCs w:val="21"/>
        </w:rPr>
        <w:t>in Armenia</w:t>
      </w:r>
      <w:r w:rsidR="00C70AA4" w:rsidRPr="00C70AA4">
        <w:rPr>
          <w:rFonts w:ascii="Times New Roman" w:hAnsi="Times New Roman" w:cs="Times New Roman"/>
          <w:sz w:val="21"/>
          <w:szCs w:val="21"/>
        </w:rPr>
        <w:t>'</w:t>
      </w:r>
      <w:r w:rsidR="00F80062">
        <w:rPr>
          <w:rFonts w:ascii="Times New Roman" w:hAnsi="Times New Roman" w:cs="Times New Roman"/>
          <w:sz w:val="21"/>
          <w:szCs w:val="21"/>
        </w:rPr>
        <w:t xml:space="preserve">s </w:t>
      </w:r>
      <w:r w:rsidR="00F80062" w:rsidRPr="00F80062">
        <w:rPr>
          <w:rFonts w:ascii="Times New Roman" w:hAnsi="Times New Roman" w:cs="Times New Roman"/>
          <w:sz w:val="21"/>
          <w:szCs w:val="21"/>
        </w:rPr>
        <w:t xml:space="preserve">main </w:t>
      </w:r>
      <w:r w:rsidR="00F80062">
        <w:rPr>
          <w:rFonts w:ascii="Times New Roman" w:hAnsi="Times New Roman" w:cs="Times New Roman"/>
          <w:sz w:val="21"/>
          <w:szCs w:val="21"/>
        </w:rPr>
        <w:t xml:space="preserve">trade </w:t>
      </w:r>
      <w:r w:rsidR="00F80062" w:rsidRPr="00F80062">
        <w:rPr>
          <w:rFonts w:ascii="Times New Roman" w:hAnsi="Times New Roman" w:cs="Times New Roman"/>
          <w:sz w:val="21"/>
          <w:szCs w:val="21"/>
        </w:rPr>
        <w:t>partner countries</w:t>
      </w:r>
      <w:r w:rsidR="00F80062">
        <w:rPr>
          <w:rFonts w:ascii="Times New Roman" w:hAnsi="Times New Roman" w:cs="Times New Roman"/>
          <w:sz w:val="21"/>
          <w:szCs w:val="21"/>
        </w:rPr>
        <w:t>, a</w:t>
      </w:r>
      <w:r w:rsidR="00F80062" w:rsidRPr="00F80062">
        <w:rPr>
          <w:rFonts w:ascii="Times New Roman" w:hAnsi="Times New Roman" w:cs="Times New Roman"/>
          <w:sz w:val="21"/>
          <w:szCs w:val="21"/>
        </w:rPr>
        <w:t xml:space="preserve"> steady </w:t>
      </w:r>
      <w:r w:rsidR="00F80062">
        <w:rPr>
          <w:rFonts w:ascii="Times New Roman" w:hAnsi="Times New Roman" w:cs="Times New Roman"/>
          <w:sz w:val="21"/>
          <w:szCs w:val="21"/>
        </w:rPr>
        <w:t xml:space="preserve">price rise in international commodities and </w:t>
      </w:r>
      <w:r w:rsidR="00F80062" w:rsidRPr="00F80062">
        <w:rPr>
          <w:rFonts w:ascii="Times New Roman" w:hAnsi="Times New Roman" w:cs="Times New Roman"/>
          <w:sz w:val="21"/>
          <w:szCs w:val="21"/>
        </w:rPr>
        <w:t xml:space="preserve">food products markets as well as relative stabilization of exchange rates and expectations of further appreciation </w:t>
      </w:r>
      <w:r w:rsidR="00F80062">
        <w:rPr>
          <w:rFonts w:ascii="Times New Roman" w:hAnsi="Times New Roman" w:cs="Times New Roman"/>
          <w:sz w:val="21"/>
          <w:szCs w:val="21"/>
        </w:rPr>
        <w:t xml:space="preserve">will transmit </w:t>
      </w:r>
      <w:r w:rsidR="00F80062" w:rsidRPr="00F80062">
        <w:rPr>
          <w:rFonts w:ascii="Times New Roman" w:hAnsi="Times New Roman" w:cs="Times New Roman"/>
          <w:sz w:val="21"/>
          <w:szCs w:val="21"/>
        </w:rPr>
        <w:t xml:space="preserve">positive effects </w:t>
      </w:r>
      <w:r w:rsidR="007160F7">
        <w:rPr>
          <w:rFonts w:ascii="Times New Roman" w:hAnsi="Times New Roman" w:cs="Times New Roman"/>
          <w:sz w:val="21"/>
          <w:szCs w:val="21"/>
        </w:rPr>
        <w:t>on</w:t>
      </w:r>
      <w:r w:rsidR="00F80062">
        <w:rPr>
          <w:rFonts w:ascii="Times New Roman" w:hAnsi="Times New Roman" w:cs="Times New Roman"/>
          <w:sz w:val="21"/>
          <w:szCs w:val="21"/>
        </w:rPr>
        <w:t xml:space="preserve">to the Armenian economy. </w:t>
      </w:r>
      <w:r w:rsidR="000545E7">
        <w:rPr>
          <w:rFonts w:ascii="Times New Roman" w:hAnsi="Times New Roman" w:cs="Times New Roman"/>
          <w:sz w:val="21"/>
          <w:szCs w:val="21"/>
        </w:rPr>
        <w:t>U</w:t>
      </w:r>
      <w:r w:rsidR="000545E7" w:rsidRPr="00EC356F">
        <w:rPr>
          <w:rFonts w:ascii="Times New Roman" w:hAnsi="Times New Roman" w:cs="Times New Roman"/>
          <w:sz w:val="21"/>
          <w:szCs w:val="21"/>
        </w:rPr>
        <w:t xml:space="preserve">nder </w:t>
      </w:r>
      <w:r w:rsidR="000545E7">
        <w:rPr>
          <w:rFonts w:ascii="Times New Roman" w:hAnsi="Times New Roman" w:cs="Times New Roman"/>
          <w:sz w:val="21"/>
          <w:szCs w:val="21"/>
        </w:rPr>
        <w:t>these</w:t>
      </w:r>
      <w:r w:rsidR="000545E7" w:rsidRPr="00EC356F">
        <w:rPr>
          <w:rFonts w:ascii="Times New Roman" w:hAnsi="Times New Roman" w:cs="Times New Roman"/>
          <w:sz w:val="21"/>
          <w:szCs w:val="21"/>
        </w:rPr>
        <w:t xml:space="preserve"> conditions</w:t>
      </w:r>
      <w:r w:rsidR="000545E7">
        <w:rPr>
          <w:rFonts w:ascii="Times New Roman" w:hAnsi="Times New Roman" w:cs="Times New Roman"/>
          <w:sz w:val="21"/>
          <w:szCs w:val="21"/>
        </w:rPr>
        <w:t>, however,</w:t>
      </w:r>
      <w:r w:rsidR="000545E7" w:rsidRPr="00EC356F">
        <w:rPr>
          <w:rFonts w:ascii="Times New Roman" w:hAnsi="Times New Roman" w:cs="Times New Roman"/>
          <w:sz w:val="21"/>
          <w:szCs w:val="21"/>
        </w:rPr>
        <w:t xml:space="preserve"> </w:t>
      </w:r>
      <w:r w:rsidR="000545E7" w:rsidRPr="00EC356F">
        <w:rPr>
          <w:rFonts w:ascii="Times New Roman" w:hAnsi="Times New Roman" w:cs="Times New Roman"/>
          <w:b/>
          <w:sz w:val="21"/>
          <w:szCs w:val="21"/>
        </w:rPr>
        <w:t xml:space="preserve">inflationary pressures </w:t>
      </w:r>
      <w:r w:rsidR="000545E7" w:rsidRPr="00A269DF">
        <w:rPr>
          <w:rFonts w:ascii="Times New Roman" w:hAnsi="Times New Roman" w:cs="Times New Roman"/>
          <w:sz w:val="21"/>
          <w:szCs w:val="21"/>
        </w:rPr>
        <w:t xml:space="preserve">from </w:t>
      </w:r>
      <w:r w:rsidR="000545E7">
        <w:rPr>
          <w:rFonts w:ascii="Times New Roman" w:hAnsi="Times New Roman" w:cs="Times New Roman"/>
          <w:sz w:val="21"/>
          <w:szCs w:val="21"/>
        </w:rPr>
        <w:t xml:space="preserve">the external demand and </w:t>
      </w:r>
      <w:r w:rsidR="000545E7" w:rsidRPr="00EC356F">
        <w:rPr>
          <w:rFonts w:ascii="Times New Roman" w:hAnsi="Times New Roman" w:cs="Times New Roman"/>
          <w:sz w:val="21"/>
          <w:szCs w:val="21"/>
        </w:rPr>
        <w:t xml:space="preserve">international markets of basic commodities and food products </w:t>
      </w:r>
      <w:r w:rsidR="000545E7" w:rsidRPr="00EC356F">
        <w:rPr>
          <w:rFonts w:ascii="Times New Roman" w:hAnsi="Times New Roman" w:cs="Times New Roman"/>
          <w:b/>
          <w:sz w:val="21"/>
          <w:szCs w:val="21"/>
        </w:rPr>
        <w:t>are not likely</w:t>
      </w:r>
      <w:r w:rsidR="000545E7" w:rsidRPr="00EC356F">
        <w:rPr>
          <w:rFonts w:ascii="Times New Roman" w:hAnsi="Times New Roman" w:cs="Times New Roman"/>
          <w:sz w:val="21"/>
          <w:szCs w:val="21"/>
        </w:rPr>
        <w:t>.</w:t>
      </w:r>
      <w:r w:rsidR="000545E7">
        <w:rPr>
          <w:rFonts w:ascii="Times New Roman" w:hAnsi="Times New Roman" w:cs="Times New Roman"/>
          <w:sz w:val="21"/>
          <w:szCs w:val="21"/>
        </w:rPr>
        <w:t xml:space="preserve"> </w:t>
      </w:r>
    </w:p>
    <w:p w14:paraId="23696095" w14:textId="77777777" w:rsidR="00197A9E" w:rsidRPr="00197A9E" w:rsidRDefault="00197A9E" w:rsidP="00A9653E">
      <w:pPr>
        <w:spacing w:line="360" w:lineRule="auto"/>
        <w:jc w:val="both"/>
        <w:rPr>
          <w:rFonts w:ascii="Times New Roman" w:hAnsi="Times New Roman" w:cs="Times New Roman"/>
          <w:b/>
          <w:color w:val="0070C0"/>
          <w:sz w:val="18"/>
          <w:szCs w:val="18"/>
        </w:rPr>
      </w:pPr>
      <w:r w:rsidRPr="00197A9E">
        <w:rPr>
          <w:rFonts w:ascii="Times New Roman" w:hAnsi="Times New Roman" w:cs="Times New Roman"/>
          <w:b/>
          <w:color w:val="0070C0"/>
          <w:sz w:val="18"/>
          <w:szCs w:val="18"/>
        </w:rPr>
        <w:t>In 2014, the 12-month inflation rate amounted to 4.6%, staying within the confidence band…</w:t>
      </w:r>
    </w:p>
    <w:p w14:paraId="1CAB02CE" w14:textId="77777777" w:rsidR="00250FE9" w:rsidRDefault="00C144A5"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With the Armenian dram depreciated and the inflation environment expanded on the brink of a steep reduction in </w:t>
      </w:r>
      <w:r w:rsidRPr="00C144A5">
        <w:rPr>
          <w:rFonts w:ascii="Times New Roman" w:hAnsi="Times New Roman" w:cs="Times New Roman"/>
          <w:sz w:val="21"/>
          <w:szCs w:val="21"/>
        </w:rPr>
        <w:t>foreign currency flows</w:t>
      </w:r>
      <w:r w:rsidR="00250FE9">
        <w:rPr>
          <w:rFonts w:ascii="Times New Roman" w:hAnsi="Times New Roman" w:cs="Times New Roman"/>
          <w:sz w:val="21"/>
          <w:szCs w:val="21"/>
        </w:rPr>
        <w:t>,</w:t>
      </w:r>
      <w:r>
        <w:rPr>
          <w:rFonts w:ascii="Times New Roman" w:hAnsi="Times New Roman" w:cs="Times New Roman"/>
          <w:sz w:val="21"/>
          <w:szCs w:val="21"/>
        </w:rPr>
        <w:t xml:space="preserve"> </w:t>
      </w:r>
      <w:r w:rsidR="00250FE9">
        <w:rPr>
          <w:rFonts w:ascii="Times New Roman" w:hAnsi="Times New Roman" w:cs="Times New Roman"/>
          <w:sz w:val="21"/>
          <w:szCs w:val="21"/>
        </w:rPr>
        <w:t xml:space="preserve">depreciating </w:t>
      </w:r>
      <w:r w:rsidRPr="00C144A5">
        <w:rPr>
          <w:rFonts w:ascii="Times New Roman" w:hAnsi="Times New Roman" w:cs="Times New Roman"/>
          <w:sz w:val="21"/>
          <w:szCs w:val="21"/>
        </w:rPr>
        <w:t>Russian ruble</w:t>
      </w:r>
      <w:r w:rsidR="00250FE9">
        <w:rPr>
          <w:rFonts w:ascii="Times New Roman" w:hAnsi="Times New Roman" w:cs="Times New Roman"/>
          <w:sz w:val="21"/>
          <w:szCs w:val="21"/>
        </w:rPr>
        <w:t xml:space="preserve"> and resultant </w:t>
      </w:r>
      <w:r w:rsidR="00250FE9" w:rsidRPr="00C144A5">
        <w:rPr>
          <w:rFonts w:ascii="Times New Roman" w:hAnsi="Times New Roman" w:cs="Times New Roman"/>
          <w:sz w:val="21"/>
          <w:szCs w:val="21"/>
        </w:rPr>
        <w:t xml:space="preserve">inflationary expectations </w:t>
      </w:r>
      <w:r w:rsidR="002A1DEB">
        <w:rPr>
          <w:rFonts w:ascii="Times New Roman" w:hAnsi="Times New Roman" w:cs="Times New Roman"/>
          <w:sz w:val="21"/>
          <w:szCs w:val="21"/>
        </w:rPr>
        <w:t xml:space="preserve">at the end of </w:t>
      </w:r>
      <w:r w:rsidR="00250FE9">
        <w:rPr>
          <w:rFonts w:ascii="Times New Roman" w:hAnsi="Times New Roman" w:cs="Times New Roman"/>
          <w:sz w:val="21"/>
          <w:szCs w:val="21"/>
        </w:rPr>
        <w:t>the year,</w:t>
      </w:r>
      <w:r w:rsidRPr="00C144A5">
        <w:rPr>
          <w:rFonts w:ascii="Times New Roman" w:hAnsi="Times New Roman" w:cs="Times New Roman"/>
          <w:sz w:val="21"/>
          <w:szCs w:val="21"/>
        </w:rPr>
        <w:t xml:space="preserve"> </w:t>
      </w:r>
      <w:r w:rsidR="00250FE9">
        <w:rPr>
          <w:rFonts w:ascii="Times New Roman" w:hAnsi="Times New Roman" w:cs="Times New Roman"/>
          <w:sz w:val="21"/>
          <w:szCs w:val="21"/>
        </w:rPr>
        <w:t>the</w:t>
      </w:r>
      <w:r w:rsidR="00250FE9" w:rsidRPr="00EC356F">
        <w:rPr>
          <w:rFonts w:ascii="Times New Roman" w:hAnsi="Times New Roman" w:cs="Times New Roman"/>
          <w:b/>
          <w:sz w:val="21"/>
          <w:szCs w:val="21"/>
        </w:rPr>
        <w:t xml:space="preserve"> 12-month inflation </w:t>
      </w:r>
      <w:r w:rsidR="00250FE9" w:rsidRPr="00250FE9">
        <w:rPr>
          <w:rFonts w:ascii="Times New Roman" w:hAnsi="Times New Roman" w:cs="Times New Roman"/>
          <w:b/>
          <w:sz w:val="21"/>
          <w:szCs w:val="21"/>
        </w:rPr>
        <w:t xml:space="preserve">rate </w:t>
      </w:r>
      <w:r w:rsidRPr="00250FE9">
        <w:rPr>
          <w:rFonts w:ascii="Times New Roman" w:hAnsi="Times New Roman" w:cs="Times New Roman"/>
          <w:b/>
          <w:sz w:val="21"/>
          <w:szCs w:val="21"/>
        </w:rPr>
        <w:t>exceeded expectations</w:t>
      </w:r>
      <w:r w:rsidR="00250FE9" w:rsidRPr="00250FE9">
        <w:rPr>
          <w:rFonts w:ascii="Times New Roman" w:hAnsi="Times New Roman" w:cs="Times New Roman"/>
          <w:b/>
          <w:sz w:val="21"/>
          <w:szCs w:val="21"/>
        </w:rPr>
        <w:t xml:space="preserve"> in the 4th quarter</w:t>
      </w:r>
      <w:r w:rsidR="00250FE9">
        <w:rPr>
          <w:rFonts w:ascii="Times New Roman" w:hAnsi="Times New Roman" w:cs="Times New Roman"/>
          <w:b/>
          <w:sz w:val="21"/>
          <w:szCs w:val="21"/>
        </w:rPr>
        <w:t xml:space="preserve"> </w:t>
      </w:r>
      <w:r w:rsidR="002A1DEB">
        <w:rPr>
          <w:rFonts w:ascii="Times New Roman" w:hAnsi="Times New Roman" w:cs="Times New Roman"/>
          <w:b/>
          <w:sz w:val="21"/>
          <w:szCs w:val="21"/>
        </w:rPr>
        <w:t xml:space="preserve">as in late </w:t>
      </w:r>
      <w:r w:rsidR="00250FE9">
        <w:rPr>
          <w:rFonts w:ascii="Times New Roman" w:hAnsi="Times New Roman" w:cs="Times New Roman"/>
          <w:b/>
          <w:sz w:val="21"/>
          <w:szCs w:val="21"/>
        </w:rPr>
        <w:t xml:space="preserve">December </w:t>
      </w:r>
      <w:r w:rsidR="002A1DEB">
        <w:rPr>
          <w:rFonts w:ascii="Times New Roman" w:hAnsi="Times New Roman" w:cs="Times New Roman"/>
          <w:b/>
          <w:sz w:val="21"/>
          <w:szCs w:val="21"/>
        </w:rPr>
        <w:t>it was 4.6</w:t>
      </w:r>
      <w:r w:rsidRPr="00250FE9">
        <w:rPr>
          <w:rFonts w:ascii="Times New Roman" w:hAnsi="Times New Roman" w:cs="Times New Roman"/>
          <w:b/>
          <w:sz w:val="21"/>
          <w:szCs w:val="21"/>
        </w:rPr>
        <w:t>%,</w:t>
      </w:r>
      <w:r w:rsidRPr="00C144A5">
        <w:rPr>
          <w:rFonts w:ascii="Times New Roman" w:hAnsi="Times New Roman" w:cs="Times New Roman"/>
          <w:sz w:val="21"/>
          <w:szCs w:val="21"/>
        </w:rPr>
        <w:t xml:space="preserve"> </w:t>
      </w:r>
      <w:r w:rsidR="00250FE9">
        <w:rPr>
          <w:rFonts w:ascii="Times New Roman" w:hAnsi="Times New Roman" w:cs="Times New Roman"/>
          <w:sz w:val="21"/>
          <w:szCs w:val="21"/>
        </w:rPr>
        <w:t xml:space="preserve">still within the confidence band. </w:t>
      </w:r>
    </w:p>
    <w:p w14:paraId="67976808" w14:textId="77777777" w:rsidR="00494330" w:rsidRDefault="00C70AA4" w:rsidP="00A9653E">
      <w:pPr>
        <w:spacing w:line="360" w:lineRule="auto"/>
        <w:jc w:val="both"/>
        <w:rPr>
          <w:rFonts w:ascii="Times New Roman" w:hAnsi="Times New Roman" w:cs="Times New Roman"/>
          <w:sz w:val="21"/>
          <w:szCs w:val="21"/>
        </w:rPr>
      </w:pPr>
      <w:r w:rsidRPr="00C70AA4">
        <w:rPr>
          <w:rFonts w:ascii="Times New Roman" w:hAnsi="Times New Roman" w:cs="Times New Roman"/>
          <w:sz w:val="21"/>
          <w:szCs w:val="21"/>
        </w:rPr>
        <w:t>T</w:t>
      </w:r>
      <w:r>
        <w:rPr>
          <w:rFonts w:ascii="Times New Roman" w:hAnsi="Times New Roman" w:cs="Times New Roman"/>
          <w:sz w:val="21"/>
          <w:szCs w:val="21"/>
        </w:rPr>
        <w:t>hough</w:t>
      </w:r>
      <w:r w:rsidRPr="00C70AA4">
        <w:rPr>
          <w:rFonts w:ascii="Times New Roman" w:hAnsi="Times New Roman" w:cs="Times New Roman"/>
          <w:sz w:val="21"/>
          <w:szCs w:val="21"/>
        </w:rPr>
        <w:t xml:space="preserve"> </w:t>
      </w:r>
      <w:r>
        <w:rPr>
          <w:rFonts w:ascii="Times New Roman" w:hAnsi="Times New Roman" w:cs="Times New Roman"/>
          <w:sz w:val="21"/>
          <w:szCs w:val="21"/>
        </w:rPr>
        <w:t xml:space="preserve">the </w:t>
      </w:r>
      <w:r w:rsidRPr="00C70AA4">
        <w:rPr>
          <w:rFonts w:ascii="Times New Roman" w:hAnsi="Times New Roman" w:cs="Times New Roman"/>
          <w:sz w:val="21"/>
          <w:szCs w:val="21"/>
        </w:rPr>
        <w:t xml:space="preserve">inflation </w:t>
      </w:r>
      <w:r>
        <w:rPr>
          <w:rFonts w:ascii="Times New Roman" w:hAnsi="Times New Roman" w:cs="Times New Roman"/>
          <w:sz w:val="21"/>
          <w:szCs w:val="21"/>
        </w:rPr>
        <w:t>wa</w:t>
      </w:r>
      <w:r w:rsidRPr="00C70AA4">
        <w:rPr>
          <w:rFonts w:ascii="Times New Roman" w:hAnsi="Times New Roman" w:cs="Times New Roman"/>
          <w:sz w:val="21"/>
          <w:szCs w:val="21"/>
        </w:rPr>
        <w:t xml:space="preserve">s still </w:t>
      </w:r>
      <w:r>
        <w:rPr>
          <w:rFonts w:ascii="Times New Roman" w:hAnsi="Times New Roman" w:cs="Times New Roman"/>
          <w:sz w:val="21"/>
          <w:szCs w:val="21"/>
        </w:rPr>
        <w:t xml:space="preserve">within the confidence band </w:t>
      </w:r>
      <w:r w:rsidRPr="00C70AA4">
        <w:rPr>
          <w:rFonts w:ascii="Times New Roman" w:hAnsi="Times New Roman" w:cs="Times New Roman"/>
          <w:sz w:val="21"/>
          <w:szCs w:val="21"/>
        </w:rPr>
        <w:t xml:space="preserve">during the quarter, the </w:t>
      </w:r>
      <w:r>
        <w:rPr>
          <w:rFonts w:ascii="Times New Roman" w:hAnsi="Times New Roman" w:cs="Times New Roman"/>
          <w:sz w:val="21"/>
          <w:szCs w:val="21"/>
        </w:rPr>
        <w:t>dram</w:t>
      </w:r>
      <w:r w:rsidRPr="00494330">
        <w:rPr>
          <w:rFonts w:ascii="Times New Roman" w:hAnsi="Times New Roman" w:cs="Times New Roman"/>
          <w:sz w:val="21"/>
          <w:szCs w:val="21"/>
        </w:rPr>
        <w:t>'</w:t>
      </w:r>
      <w:r>
        <w:rPr>
          <w:rFonts w:ascii="Times New Roman" w:hAnsi="Times New Roman" w:cs="Times New Roman"/>
          <w:sz w:val="21"/>
          <w:szCs w:val="21"/>
        </w:rPr>
        <w:t>s</w:t>
      </w:r>
      <w:r w:rsidRPr="00C70AA4">
        <w:rPr>
          <w:rFonts w:ascii="Times New Roman" w:hAnsi="Times New Roman" w:cs="Times New Roman"/>
          <w:sz w:val="21"/>
          <w:szCs w:val="21"/>
        </w:rPr>
        <w:t xml:space="preserve"> exchange rate adjustment a</w:t>
      </w:r>
      <w:r>
        <w:rPr>
          <w:rFonts w:ascii="Times New Roman" w:hAnsi="Times New Roman" w:cs="Times New Roman"/>
          <w:sz w:val="21"/>
          <w:szCs w:val="21"/>
        </w:rPr>
        <w:t>s well as</w:t>
      </w:r>
      <w:r w:rsidRPr="00C70AA4">
        <w:rPr>
          <w:rFonts w:ascii="Times New Roman" w:hAnsi="Times New Roman" w:cs="Times New Roman"/>
          <w:sz w:val="21"/>
          <w:szCs w:val="21"/>
        </w:rPr>
        <w:t xml:space="preserve"> </w:t>
      </w:r>
      <w:r>
        <w:rPr>
          <w:rFonts w:ascii="Times New Roman" w:hAnsi="Times New Roman" w:cs="Times New Roman"/>
          <w:sz w:val="21"/>
          <w:szCs w:val="21"/>
        </w:rPr>
        <w:t xml:space="preserve">persisting </w:t>
      </w:r>
      <w:r w:rsidRPr="00C70AA4">
        <w:rPr>
          <w:rFonts w:ascii="Times New Roman" w:hAnsi="Times New Roman" w:cs="Times New Roman"/>
          <w:sz w:val="21"/>
          <w:szCs w:val="21"/>
        </w:rPr>
        <w:t>economic and geopolitical developments abroad</w:t>
      </w:r>
      <w:r>
        <w:rPr>
          <w:rFonts w:ascii="Times New Roman" w:hAnsi="Times New Roman" w:cs="Times New Roman"/>
          <w:sz w:val="21"/>
          <w:szCs w:val="21"/>
        </w:rPr>
        <w:t xml:space="preserve"> and es</w:t>
      </w:r>
      <w:r w:rsidRPr="00C70AA4">
        <w:rPr>
          <w:rFonts w:ascii="Times New Roman" w:hAnsi="Times New Roman" w:cs="Times New Roman"/>
          <w:sz w:val="21"/>
          <w:szCs w:val="21"/>
        </w:rPr>
        <w:t>pecially in the region</w:t>
      </w:r>
      <w:r w:rsidR="00494330">
        <w:rPr>
          <w:rFonts w:ascii="Times New Roman" w:hAnsi="Times New Roman" w:cs="Times New Roman"/>
          <w:sz w:val="21"/>
          <w:szCs w:val="21"/>
        </w:rPr>
        <w:t xml:space="preserve"> intensified the </w:t>
      </w:r>
      <w:r w:rsidR="00494330" w:rsidRPr="00C70AA4">
        <w:rPr>
          <w:rFonts w:ascii="Times New Roman" w:hAnsi="Times New Roman" w:cs="Times New Roman"/>
          <w:sz w:val="21"/>
          <w:szCs w:val="21"/>
        </w:rPr>
        <w:t xml:space="preserve">pressures </w:t>
      </w:r>
      <w:r w:rsidR="00494330">
        <w:rPr>
          <w:rFonts w:ascii="Times New Roman" w:hAnsi="Times New Roman" w:cs="Times New Roman"/>
          <w:sz w:val="21"/>
          <w:szCs w:val="21"/>
        </w:rPr>
        <w:t>in</w:t>
      </w:r>
      <w:r w:rsidRPr="00C70AA4">
        <w:rPr>
          <w:rFonts w:ascii="Times New Roman" w:hAnsi="Times New Roman" w:cs="Times New Roman"/>
          <w:sz w:val="21"/>
          <w:szCs w:val="21"/>
        </w:rPr>
        <w:t xml:space="preserve"> the foreign exchange market since the end of November</w:t>
      </w:r>
      <w:r w:rsidR="00494330">
        <w:rPr>
          <w:rFonts w:ascii="Times New Roman" w:hAnsi="Times New Roman" w:cs="Times New Roman"/>
          <w:sz w:val="21"/>
          <w:szCs w:val="21"/>
        </w:rPr>
        <w:t>, taking them also to th</w:t>
      </w:r>
      <w:r w:rsidRPr="00C70AA4">
        <w:rPr>
          <w:rFonts w:ascii="Times New Roman" w:hAnsi="Times New Roman" w:cs="Times New Roman"/>
          <w:sz w:val="21"/>
          <w:szCs w:val="21"/>
        </w:rPr>
        <w:t>e product</w:t>
      </w:r>
      <w:r w:rsidR="00494330">
        <w:rPr>
          <w:rFonts w:ascii="Times New Roman" w:hAnsi="Times New Roman" w:cs="Times New Roman"/>
          <w:sz w:val="21"/>
          <w:szCs w:val="21"/>
        </w:rPr>
        <w:t>s</w:t>
      </w:r>
      <w:r w:rsidRPr="00C70AA4">
        <w:rPr>
          <w:rFonts w:ascii="Times New Roman" w:hAnsi="Times New Roman" w:cs="Times New Roman"/>
          <w:sz w:val="21"/>
          <w:szCs w:val="21"/>
        </w:rPr>
        <w:t xml:space="preserve"> market. The</w:t>
      </w:r>
      <w:r w:rsidR="00494330">
        <w:rPr>
          <w:rFonts w:ascii="Times New Roman" w:hAnsi="Times New Roman" w:cs="Times New Roman"/>
          <w:sz w:val="21"/>
          <w:szCs w:val="21"/>
        </w:rPr>
        <w:t>se</w:t>
      </w:r>
      <w:r w:rsidRPr="00C70AA4">
        <w:rPr>
          <w:rFonts w:ascii="Times New Roman" w:hAnsi="Times New Roman" w:cs="Times New Roman"/>
          <w:sz w:val="21"/>
          <w:szCs w:val="21"/>
        </w:rPr>
        <w:t xml:space="preserve"> market</w:t>
      </w:r>
      <w:r w:rsidR="00494330">
        <w:rPr>
          <w:rFonts w:ascii="Times New Roman" w:hAnsi="Times New Roman" w:cs="Times New Roman"/>
          <w:sz w:val="21"/>
          <w:szCs w:val="21"/>
        </w:rPr>
        <w:t>s</w:t>
      </w:r>
      <w:r w:rsidRPr="00C70AA4">
        <w:rPr>
          <w:rFonts w:ascii="Times New Roman" w:hAnsi="Times New Roman" w:cs="Times New Roman"/>
          <w:sz w:val="21"/>
          <w:szCs w:val="21"/>
        </w:rPr>
        <w:t xml:space="preserve"> </w:t>
      </w:r>
      <w:r w:rsidR="00494330">
        <w:rPr>
          <w:rFonts w:ascii="Times New Roman" w:hAnsi="Times New Roman" w:cs="Times New Roman"/>
          <w:sz w:val="21"/>
          <w:szCs w:val="21"/>
        </w:rPr>
        <w:t xml:space="preserve">began to incur </w:t>
      </w:r>
      <w:r w:rsidR="00494330" w:rsidRPr="00C70AA4">
        <w:rPr>
          <w:rFonts w:ascii="Times New Roman" w:hAnsi="Times New Roman" w:cs="Times New Roman"/>
          <w:sz w:val="21"/>
          <w:szCs w:val="21"/>
        </w:rPr>
        <w:t>temporary instability</w:t>
      </w:r>
      <w:r w:rsidR="00494330">
        <w:rPr>
          <w:rFonts w:ascii="Times New Roman" w:hAnsi="Times New Roman" w:cs="Times New Roman"/>
          <w:sz w:val="21"/>
          <w:szCs w:val="21"/>
        </w:rPr>
        <w:t>,</w:t>
      </w:r>
      <w:r w:rsidR="00494330" w:rsidRPr="00C70AA4">
        <w:rPr>
          <w:rFonts w:ascii="Times New Roman" w:hAnsi="Times New Roman" w:cs="Times New Roman"/>
          <w:sz w:val="21"/>
          <w:szCs w:val="21"/>
        </w:rPr>
        <w:t xml:space="preserve"> </w:t>
      </w:r>
      <w:r w:rsidR="00494330">
        <w:rPr>
          <w:rFonts w:ascii="Times New Roman" w:hAnsi="Times New Roman" w:cs="Times New Roman"/>
          <w:sz w:val="21"/>
          <w:szCs w:val="21"/>
        </w:rPr>
        <w:t xml:space="preserve">in the meanwhile loading </w:t>
      </w:r>
      <w:r w:rsidRPr="00C70AA4">
        <w:rPr>
          <w:rFonts w:ascii="Times New Roman" w:hAnsi="Times New Roman" w:cs="Times New Roman"/>
          <w:sz w:val="21"/>
          <w:szCs w:val="21"/>
        </w:rPr>
        <w:t>significant inflationary potential and creating inflationary expectations.</w:t>
      </w:r>
      <w:r w:rsidR="00494330">
        <w:rPr>
          <w:rFonts w:ascii="Times New Roman" w:hAnsi="Times New Roman" w:cs="Times New Roman"/>
          <w:sz w:val="21"/>
          <w:szCs w:val="21"/>
        </w:rPr>
        <w:t xml:space="preserve"> </w:t>
      </w:r>
    </w:p>
    <w:p w14:paraId="367EFAE2" w14:textId="316EA218" w:rsidR="005115A3" w:rsidRDefault="00FB083F"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w:t>
      </w:r>
      <w:r w:rsidR="007E66DC" w:rsidRPr="007E66DC">
        <w:rPr>
          <w:rFonts w:ascii="Times New Roman" w:hAnsi="Times New Roman" w:cs="Times New Roman"/>
          <w:sz w:val="21"/>
          <w:szCs w:val="21"/>
        </w:rPr>
        <w:t>C</w:t>
      </w:r>
      <w:r>
        <w:rPr>
          <w:rFonts w:ascii="Times New Roman" w:hAnsi="Times New Roman" w:cs="Times New Roman"/>
          <w:sz w:val="21"/>
          <w:szCs w:val="21"/>
        </w:rPr>
        <w:t xml:space="preserve">entral Bank </w:t>
      </w:r>
      <w:r w:rsidRPr="007E66DC">
        <w:rPr>
          <w:rFonts w:ascii="Times New Roman" w:hAnsi="Times New Roman" w:cs="Times New Roman"/>
          <w:sz w:val="21"/>
          <w:szCs w:val="21"/>
        </w:rPr>
        <w:t>respond</w:t>
      </w:r>
      <w:r>
        <w:rPr>
          <w:rFonts w:ascii="Times New Roman" w:hAnsi="Times New Roman" w:cs="Times New Roman"/>
          <w:sz w:val="21"/>
          <w:szCs w:val="21"/>
        </w:rPr>
        <w:t>ed</w:t>
      </w:r>
      <w:r w:rsidRPr="007E66DC">
        <w:rPr>
          <w:rFonts w:ascii="Times New Roman" w:hAnsi="Times New Roman" w:cs="Times New Roman"/>
          <w:sz w:val="21"/>
          <w:szCs w:val="21"/>
        </w:rPr>
        <w:t xml:space="preserve"> to the situation </w:t>
      </w:r>
      <w:r w:rsidR="00C94860" w:rsidRPr="007E66DC">
        <w:rPr>
          <w:rFonts w:ascii="Times New Roman" w:hAnsi="Times New Roman" w:cs="Times New Roman"/>
          <w:sz w:val="21"/>
          <w:szCs w:val="21"/>
        </w:rPr>
        <w:t>thoroughly</w:t>
      </w:r>
      <w:r>
        <w:rPr>
          <w:rFonts w:ascii="Times New Roman" w:hAnsi="Times New Roman" w:cs="Times New Roman"/>
          <w:sz w:val="21"/>
          <w:szCs w:val="21"/>
        </w:rPr>
        <w:t xml:space="preserve">. Specifically, in late </w:t>
      </w:r>
      <w:r w:rsidR="007E66DC" w:rsidRPr="007E66DC">
        <w:rPr>
          <w:rFonts w:ascii="Times New Roman" w:hAnsi="Times New Roman" w:cs="Times New Roman"/>
          <w:sz w:val="21"/>
          <w:szCs w:val="21"/>
        </w:rPr>
        <w:t xml:space="preserve">November </w:t>
      </w:r>
      <w:r>
        <w:rPr>
          <w:rFonts w:ascii="Times New Roman" w:hAnsi="Times New Roman" w:cs="Times New Roman"/>
          <w:sz w:val="21"/>
          <w:szCs w:val="21"/>
        </w:rPr>
        <w:t xml:space="preserve">the Bank </w:t>
      </w:r>
      <w:r w:rsidR="007E66DC" w:rsidRPr="007E66DC">
        <w:rPr>
          <w:rFonts w:ascii="Times New Roman" w:hAnsi="Times New Roman" w:cs="Times New Roman"/>
          <w:sz w:val="21"/>
          <w:szCs w:val="21"/>
        </w:rPr>
        <w:t xml:space="preserve">raised the </w:t>
      </w:r>
      <w:r w:rsidRPr="00FB083F">
        <w:rPr>
          <w:rFonts w:ascii="Times New Roman" w:hAnsi="Times New Roman" w:cs="Times New Roman"/>
          <w:b/>
          <w:sz w:val="21"/>
          <w:szCs w:val="21"/>
        </w:rPr>
        <w:t>L</w:t>
      </w:r>
      <w:r w:rsidR="007E66DC" w:rsidRPr="00FB083F">
        <w:rPr>
          <w:rFonts w:ascii="Times New Roman" w:hAnsi="Times New Roman" w:cs="Times New Roman"/>
          <w:b/>
          <w:sz w:val="21"/>
          <w:szCs w:val="21"/>
        </w:rPr>
        <w:t xml:space="preserve">ombard </w:t>
      </w:r>
      <w:r w:rsidRPr="00FB083F">
        <w:rPr>
          <w:rFonts w:ascii="Times New Roman" w:hAnsi="Times New Roman" w:cs="Times New Roman"/>
          <w:b/>
          <w:sz w:val="21"/>
          <w:szCs w:val="21"/>
        </w:rPr>
        <w:t xml:space="preserve">Repo Facility </w:t>
      </w:r>
      <w:r w:rsidR="00802EBB">
        <w:rPr>
          <w:rFonts w:ascii="Times New Roman" w:hAnsi="Times New Roman" w:cs="Times New Roman"/>
          <w:b/>
          <w:sz w:val="21"/>
          <w:szCs w:val="21"/>
        </w:rPr>
        <w:t>R</w:t>
      </w:r>
      <w:r w:rsidR="007E66DC" w:rsidRPr="00FB083F">
        <w:rPr>
          <w:rFonts w:ascii="Times New Roman" w:hAnsi="Times New Roman" w:cs="Times New Roman"/>
          <w:b/>
          <w:sz w:val="21"/>
          <w:szCs w:val="21"/>
        </w:rPr>
        <w:t xml:space="preserve">ate </w:t>
      </w:r>
      <w:r>
        <w:rPr>
          <w:rFonts w:ascii="Times New Roman" w:hAnsi="Times New Roman" w:cs="Times New Roman"/>
          <w:b/>
          <w:sz w:val="21"/>
          <w:szCs w:val="21"/>
        </w:rPr>
        <w:t>(</w:t>
      </w:r>
      <w:r w:rsidRPr="00FB083F">
        <w:rPr>
          <w:rFonts w:ascii="Times New Roman" w:hAnsi="Times New Roman" w:cs="Times New Roman"/>
          <w:b/>
          <w:sz w:val="21"/>
          <w:szCs w:val="21"/>
        </w:rPr>
        <w:t xml:space="preserve">from </w:t>
      </w:r>
      <w:r w:rsidR="007E66DC" w:rsidRPr="00FB083F">
        <w:rPr>
          <w:rFonts w:ascii="Times New Roman" w:hAnsi="Times New Roman" w:cs="Times New Roman"/>
          <w:b/>
          <w:sz w:val="21"/>
          <w:szCs w:val="21"/>
        </w:rPr>
        <w:t>8.25 to 21.0%</w:t>
      </w:r>
      <w:r>
        <w:rPr>
          <w:rFonts w:ascii="Times New Roman" w:hAnsi="Times New Roman" w:cs="Times New Roman"/>
          <w:b/>
          <w:sz w:val="21"/>
          <w:szCs w:val="21"/>
        </w:rPr>
        <w:t>)</w:t>
      </w:r>
      <w:r w:rsidR="007E66DC" w:rsidRPr="007E66DC">
        <w:rPr>
          <w:rFonts w:ascii="Times New Roman" w:hAnsi="Times New Roman" w:cs="Times New Roman"/>
          <w:sz w:val="21"/>
          <w:szCs w:val="21"/>
        </w:rPr>
        <w:t xml:space="preserve">, followed by </w:t>
      </w:r>
      <w:r>
        <w:rPr>
          <w:rFonts w:ascii="Times New Roman" w:hAnsi="Times New Roman" w:cs="Times New Roman"/>
          <w:sz w:val="21"/>
          <w:szCs w:val="21"/>
        </w:rPr>
        <w:t xml:space="preserve">a </w:t>
      </w:r>
      <w:r w:rsidR="007E66DC" w:rsidRPr="007E66DC">
        <w:rPr>
          <w:rFonts w:ascii="Times New Roman" w:hAnsi="Times New Roman" w:cs="Times New Roman"/>
          <w:sz w:val="21"/>
          <w:szCs w:val="21"/>
        </w:rPr>
        <w:t xml:space="preserve">mid-December </w:t>
      </w:r>
      <w:r>
        <w:rPr>
          <w:rFonts w:ascii="Times New Roman" w:hAnsi="Times New Roman" w:cs="Times New Roman"/>
          <w:sz w:val="21"/>
          <w:szCs w:val="21"/>
        </w:rPr>
        <w:t xml:space="preserve">increase of the </w:t>
      </w:r>
      <w:r w:rsidRPr="00FB083F">
        <w:rPr>
          <w:rFonts w:ascii="Times New Roman" w:hAnsi="Times New Roman" w:cs="Times New Roman"/>
          <w:b/>
          <w:sz w:val="21"/>
          <w:szCs w:val="21"/>
        </w:rPr>
        <w:t>Reserve Requirement Ratio with re</w:t>
      </w:r>
      <w:r w:rsidR="00F859A7">
        <w:rPr>
          <w:rFonts w:ascii="Times New Roman" w:hAnsi="Times New Roman" w:cs="Times New Roman"/>
          <w:b/>
          <w:sz w:val="21"/>
          <w:szCs w:val="21"/>
        </w:rPr>
        <w:t>gard to</w:t>
      </w:r>
      <w:r w:rsidRPr="00FB083F">
        <w:rPr>
          <w:rFonts w:ascii="Times New Roman" w:hAnsi="Times New Roman" w:cs="Times New Roman"/>
          <w:b/>
          <w:sz w:val="21"/>
          <w:szCs w:val="21"/>
        </w:rPr>
        <w:t xml:space="preserve"> </w:t>
      </w:r>
      <w:r w:rsidR="007E66DC" w:rsidRPr="00FB083F">
        <w:rPr>
          <w:rFonts w:ascii="Times New Roman" w:hAnsi="Times New Roman" w:cs="Times New Roman"/>
          <w:b/>
          <w:sz w:val="21"/>
          <w:szCs w:val="21"/>
        </w:rPr>
        <w:t xml:space="preserve">funds </w:t>
      </w:r>
      <w:r w:rsidRPr="00FB083F">
        <w:rPr>
          <w:rFonts w:ascii="Times New Roman" w:hAnsi="Times New Roman" w:cs="Times New Roman"/>
          <w:b/>
          <w:sz w:val="21"/>
          <w:szCs w:val="21"/>
        </w:rPr>
        <w:t xml:space="preserve">attracted in foreign currency </w:t>
      </w:r>
      <w:r w:rsidR="007E66DC" w:rsidRPr="00FB083F">
        <w:rPr>
          <w:rFonts w:ascii="Times New Roman" w:hAnsi="Times New Roman" w:cs="Times New Roman"/>
          <w:b/>
          <w:sz w:val="21"/>
          <w:szCs w:val="21"/>
        </w:rPr>
        <w:t>(</w:t>
      </w:r>
      <w:r w:rsidRPr="00FB083F">
        <w:rPr>
          <w:rFonts w:ascii="Times New Roman" w:hAnsi="Times New Roman" w:cs="Times New Roman"/>
          <w:b/>
          <w:sz w:val="21"/>
          <w:szCs w:val="21"/>
        </w:rPr>
        <w:t xml:space="preserve">from </w:t>
      </w:r>
      <w:r w:rsidR="007E66DC" w:rsidRPr="00FB083F">
        <w:rPr>
          <w:rFonts w:ascii="Times New Roman" w:hAnsi="Times New Roman" w:cs="Times New Roman"/>
          <w:b/>
          <w:sz w:val="21"/>
          <w:szCs w:val="21"/>
        </w:rPr>
        <w:t>12.0 to 24.0%)</w:t>
      </w:r>
      <w:r w:rsidR="007E66DC" w:rsidRPr="007E66DC">
        <w:rPr>
          <w:rFonts w:ascii="Times New Roman" w:hAnsi="Times New Roman" w:cs="Times New Roman"/>
          <w:sz w:val="21"/>
          <w:szCs w:val="21"/>
        </w:rPr>
        <w:t xml:space="preserve">. Note that </w:t>
      </w:r>
      <w:r w:rsidR="006D7C7A" w:rsidRPr="007E66DC">
        <w:rPr>
          <w:rFonts w:ascii="Times New Roman" w:hAnsi="Times New Roman" w:cs="Times New Roman"/>
          <w:sz w:val="21"/>
          <w:szCs w:val="21"/>
        </w:rPr>
        <w:t xml:space="preserve">short-term </w:t>
      </w:r>
      <w:r w:rsidR="006D7C7A">
        <w:rPr>
          <w:rFonts w:ascii="Times New Roman" w:hAnsi="Times New Roman" w:cs="Times New Roman"/>
          <w:sz w:val="21"/>
          <w:szCs w:val="21"/>
        </w:rPr>
        <w:t>dram</w:t>
      </w:r>
      <w:r w:rsidR="006D7C7A" w:rsidRPr="007E66DC">
        <w:rPr>
          <w:rFonts w:ascii="Times New Roman" w:hAnsi="Times New Roman" w:cs="Times New Roman"/>
          <w:sz w:val="21"/>
          <w:szCs w:val="21"/>
        </w:rPr>
        <w:t xml:space="preserve"> market rates re</w:t>
      </w:r>
      <w:r w:rsidR="006D7C7A">
        <w:rPr>
          <w:rFonts w:ascii="Times New Roman" w:hAnsi="Times New Roman" w:cs="Times New Roman"/>
          <w:sz w:val="21"/>
          <w:szCs w:val="21"/>
        </w:rPr>
        <w:t xml:space="preserve">acted to </w:t>
      </w:r>
      <w:r w:rsidR="007E66DC" w:rsidRPr="007E66DC">
        <w:rPr>
          <w:rFonts w:ascii="Times New Roman" w:hAnsi="Times New Roman" w:cs="Times New Roman"/>
          <w:sz w:val="21"/>
          <w:szCs w:val="21"/>
        </w:rPr>
        <w:t xml:space="preserve">the </w:t>
      </w:r>
      <w:r w:rsidR="00CE2789">
        <w:rPr>
          <w:rFonts w:ascii="Times New Roman" w:hAnsi="Times New Roman" w:cs="Times New Roman"/>
          <w:sz w:val="21"/>
          <w:szCs w:val="21"/>
        </w:rPr>
        <w:t xml:space="preserve">Central </w:t>
      </w:r>
      <w:r w:rsidR="006D7C7A">
        <w:rPr>
          <w:rFonts w:ascii="Times New Roman" w:hAnsi="Times New Roman" w:cs="Times New Roman"/>
          <w:sz w:val="21"/>
          <w:szCs w:val="21"/>
        </w:rPr>
        <w:t>Ban</w:t>
      </w:r>
      <w:r w:rsidR="007E66DC" w:rsidRPr="007E66DC">
        <w:rPr>
          <w:rFonts w:ascii="Times New Roman" w:hAnsi="Times New Roman" w:cs="Times New Roman"/>
          <w:sz w:val="21"/>
          <w:szCs w:val="21"/>
        </w:rPr>
        <w:t xml:space="preserve">k's tightening of financial conditions in the financial market </w:t>
      </w:r>
      <w:r w:rsidR="00CE2789">
        <w:rPr>
          <w:rFonts w:ascii="Times New Roman" w:hAnsi="Times New Roman" w:cs="Times New Roman"/>
          <w:sz w:val="21"/>
          <w:szCs w:val="21"/>
        </w:rPr>
        <w:t>as they rose</w:t>
      </w:r>
      <w:r w:rsidR="006D7C7A">
        <w:rPr>
          <w:rFonts w:ascii="Times New Roman" w:hAnsi="Times New Roman" w:cs="Times New Roman"/>
          <w:sz w:val="21"/>
          <w:szCs w:val="21"/>
        </w:rPr>
        <w:t xml:space="preserve"> and </w:t>
      </w:r>
      <w:r w:rsidR="006D7C7A" w:rsidRPr="006D7C7A">
        <w:rPr>
          <w:rFonts w:ascii="Times New Roman" w:hAnsi="Times New Roman" w:cs="Times New Roman"/>
          <w:b/>
          <w:sz w:val="21"/>
          <w:szCs w:val="21"/>
        </w:rPr>
        <w:t>stay</w:t>
      </w:r>
      <w:r w:rsidR="00CE2789">
        <w:rPr>
          <w:rFonts w:ascii="Times New Roman" w:hAnsi="Times New Roman" w:cs="Times New Roman"/>
          <w:b/>
          <w:sz w:val="21"/>
          <w:szCs w:val="21"/>
        </w:rPr>
        <w:t>ed</w:t>
      </w:r>
      <w:r w:rsidR="006D7C7A" w:rsidRPr="006D7C7A">
        <w:rPr>
          <w:rFonts w:ascii="Times New Roman" w:hAnsi="Times New Roman" w:cs="Times New Roman"/>
          <w:b/>
          <w:sz w:val="21"/>
          <w:szCs w:val="21"/>
        </w:rPr>
        <w:t xml:space="preserve"> in the time around the</w:t>
      </w:r>
      <w:r w:rsidR="006D7C7A" w:rsidRPr="007E66DC">
        <w:rPr>
          <w:rFonts w:ascii="Times New Roman" w:hAnsi="Times New Roman" w:cs="Times New Roman"/>
          <w:sz w:val="21"/>
          <w:szCs w:val="21"/>
        </w:rPr>
        <w:t xml:space="preserve"> </w:t>
      </w:r>
      <w:r w:rsidR="006D7C7A" w:rsidRPr="00FB083F">
        <w:rPr>
          <w:rFonts w:ascii="Times New Roman" w:hAnsi="Times New Roman" w:cs="Times New Roman"/>
          <w:b/>
          <w:sz w:val="21"/>
          <w:szCs w:val="21"/>
        </w:rPr>
        <w:t xml:space="preserve">Lombard Repo Facility </w:t>
      </w:r>
      <w:r w:rsidR="00802EBB">
        <w:rPr>
          <w:rFonts w:ascii="Times New Roman" w:hAnsi="Times New Roman" w:cs="Times New Roman"/>
          <w:b/>
          <w:sz w:val="21"/>
          <w:szCs w:val="21"/>
        </w:rPr>
        <w:t>R</w:t>
      </w:r>
      <w:r w:rsidR="006D7C7A">
        <w:rPr>
          <w:rFonts w:ascii="Times New Roman" w:hAnsi="Times New Roman" w:cs="Times New Roman"/>
          <w:b/>
          <w:sz w:val="21"/>
          <w:szCs w:val="21"/>
        </w:rPr>
        <w:t>ate</w:t>
      </w:r>
      <w:r w:rsidR="00F859A7">
        <w:rPr>
          <w:rFonts w:ascii="Times New Roman" w:hAnsi="Times New Roman" w:cs="Times New Roman"/>
          <w:sz w:val="21"/>
          <w:szCs w:val="21"/>
        </w:rPr>
        <w:t xml:space="preserve">. This </w:t>
      </w:r>
      <w:r w:rsidR="006D7C7A">
        <w:rPr>
          <w:rFonts w:ascii="Times New Roman" w:hAnsi="Times New Roman" w:cs="Times New Roman"/>
          <w:sz w:val="21"/>
          <w:szCs w:val="21"/>
        </w:rPr>
        <w:t>can imply that the</w:t>
      </w:r>
      <w:r w:rsidR="00F859A7">
        <w:rPr>
          <w:rFonts w:ascii="Times New Roman" w:hAnsi="Times New Roman" w:cs="Times New Roman"/>
          <w:sz w:val="21"/>
          <w:szCs w:val="21"/>
        </w:rPr>
        <w:t xml:space="preserve"> </w:t>
      </w:r>
      <w:r w:rsidR="00F859A7" w:rsidRPr="00FB083F">
        <w:rPr>
          <w:rFonts w:ascii="Times New Roman" w:hAnsi="Times New Roman" w:cs="Times New Roman"/>
          <w:b/>
          <w:sz w:val="21"/>
          <w:szCs w:val="21"/>
        </w:rPr>
        <w:t xml:space="preserve">Lombard Repo Facility </w:t>
      </w:r>
      <w:r w:rsidR="00802EBB">
        <w:rPr>
          <w:rFonts w:ascii="Times New Roman" w:hAnsi="Times New Roman" w:cs="Times New Roman"/>
          <w:b/>
          <w:sz w:val="21"/>
          <w:szCs w:val="21"/>
        </w:rPr>
        <w:t>R</w:t>
      </w:r>
      <w:r w:rsidR="00F859A7">
        <w:rPr>
          <w:rFonts w:ascii="Times New Roman" w:hAnsi="Times New Roman" w:cs="Times New Roman"/>
          <w:b/>
          <w:sz w:val="21"/>
          <w:szCs w:val="21"/>
        </w:rPr>
        <w:t>ate</w:t>
      </w:r>
      <w:r w:rsidR="00F859A7">
        <w:rPr>
          <w:rFonts w:ascii="Times New Roman" w:hAnsi="Times New Roman" w:cs="Times New Roman"/>
          <w:sz w:val="21"/>
          <w:szCs w:val="21"/>
        </w:rPr>
        <w:t xml:space="preserve"> </w:t>
      </w:r>
      <w:r w:rsidR="00F859A7" w:rsidRPr="00F859A7">
        <w:rPr>
          <w:rFonts w:ascii="Times New Roman" w:hAnsi="Times New Roman" w:cs="Times New Roman"/>
          <w:b/>
          <w:sz w:val="21"/>
          <w:szCs w:val="21"/>
        </w:rPr>
        <w:t xml:space="preserve">has taken, since the yearend, </w:t>
      </w:r>
      <w:r w:rsidR="007E66DC" w:rsidRPr="00F859A7">
        <w:rPr>
          <w:rFonts w:ascii="Times New Roman" w:hAnsi="Times New Roman" w:cs="Times New Roman"/>
          <w:b/>
          <w:sz w:val="21"/>
          <w:szCs w:val="21"/>
        </w:rPr>
        <w:t>the role of financial market</w:t>
      </w:r>
      <w:r w:rsidR="00F859A7" w:rsidRPr="00F859A7">
        <w:rPr>
          <w:rFonts w:ascii="Times New Roman" w:hAnsi="Times New Roman" w:cs="Times New Roman"/>
          <w:b/>
          <w:sz w:val="21"/>
          <w:szCs w:val="21"/>
        </w:rPr>
        <w:t xml:space="preserve">'s </w:t>
      </w:r>
      <w:r w:rsidR="00B76D93">
        <w:rPr>
          <w:rFonts w:ascii="Sylfaen" w:hAnsi="Sylfaen" w:cs="Times New Roman"/>
          <w:b/>
          <w:sz w:val="21"/>
          <w:szCs w:val="21"/>
        </w:rPr>
        <w:t xml:space="preserve">leading interest </w:t>
      </w:r>
      <w:r w:rsidR="007E66DC" w:rsidRPr="00F859A7">
        <w:rPr>
          <w:rFonts w:ascii="Times New Roman" w:hAnsi="Times New Roman" w:cs="Times New Roman"/>
          <w:b/>
          <w:sz w:val="21"/>
          <w:szCs w:val="21"/>
        </w:rPr>
        <w:t>rate</w:t>
      </w:r>
      <w:r w:rsidR="00F859A7">
        <w:rPr>
          <w:rFonts w:ascii="Times New Roman" w:hAnsi="Times New Roman" w:cs="Times New Roman"/>
          <w:sz w:val="21"/>
          <w:szCs w:val="21"/>
        </w:rPr>
        <w:t xml:space="preserve">. </w:t>
      </w:r>
      <w:r w:rsidR="00802EBB">
        <w:rPr>
          <w:rFonts w:ascii="Times New Roman" w:hAnsi="Times New Roman" w:cs="Times New Roman"/>
          <w:sz w:val="21"/>
          <w:szCs w:val="21"/>
        </w:rPr>
        <w:t>Following t</w:t>
      </w:r>
      <w:r w:rsidR="007E66DC" w:rsidRPr="007E66DC">
        <w:rPr>
          <w:rFonts w:ascii="Times New Roman" w:hAnsi="Times New Roman" w:cs="Times New Roman"/>
          <w:sz w:val="21"/>
          <w:szCs w:val="21"/>
        </w:rPr>
        <w:t xml:space="preserve">hese </w:t>
      </w:r>
      <w:r w:rsidR="00F859A7">
        <w:rPr>
          <w:rFonts w:ascii="Times New Roman" w:hAnsi="Times New Roman" w:cs="Times New Roman"/>
          <w:sz w:val="21"/>
          <w:szCs w:val="21"/>
        </w:rPr>
        <w:t>actions</w:t>
      </w:r>
      <w:r w:rsidR="00802EBB">
        <w:rPr>
          <w:rFonts w:ascii="Times New Roman" w:hAnsi="Times New Roman" w:cs="Times New Roman"/>
          <w:sz w:val="21"/>
          <w:szCs w:val="21"/>
        </w:rPr>
        <w:t xml:space="preserve">, the </w:t>
      </w:r>
      <w:r w:rsidR="00802EBB" w:rsidRPr="007E66DC">
        <w:rPr>
          <w:rFonts w:ascii="Times New Roman" w:hAnsi="Times New Roman" w:cs="Times New Roman"/>
          <w:sz w:val="21"/>
          <w:szCs w:val="21"/>
        </w:rPr>
        <w:t xml:space="preserve">currency and </w:t>
      </w:r>
      <w:r w:rsidR="00802EBB">
        <w:rPr>
          <w:rFonts w:ascii="Times New Roman" w:hAnsi="Times New Roman" w:cs="Times New Roman"/>
          <w:sz w:val="21"/>
          <w:szCs w:val="21"/>
        </w:rPr>
        <w:t xml:space="preserve">product </w:t>
      </w:r>
      <w:r w:rsidR="00802EBB" w:rsidRPr="007E66DC">
        <w:rPr>
          <w:rFonts w:ascii="Times New Roman" w:hAnsi="Times New Roman" w:cs="Times New Roman"/>
          <w:sz w:val="21"/>
          <w:szCs w:val="21"/>
        </w:rPr>
        <w:t xml:space="preserve">markets </w:t>
      </w:r>
      <w:r w:rsidR="00802EBB">
        <w:rPr>
          <w:rFonts w:ascii="Times New Roman" w:hAnsi="Times New Roman" w:cs="Times New Roman"/>
          <w:sz w:val="21"/>
          <w:szCs w:val="21"/>
        </w:rPr>
        <w:t xml:space="preserve">were able to see some </w:t>
      </w:r>
      <w:r w:rsidR="00F859A7" w:rsidRPr="007E66DC">
        <w:rPr>
          <w:rFonts w:ascii="Times New Roman" w:hAnsi="Times New Roman" w:cs="Times New Roman"/>
          <w:sz w:val="21"/>
          <w:szCs w:val="21"/>
        </w:rPr>
        <w:t>signs of stabilization</w:t>
      </w:r>
      <w:r w:rsidR="00802EBB">
        <w:rPr>
          <w:rFonts w:ascii="Times New Roman" w:hAnsi="Times New Roman" w:cs="Times New Roman"/>
          <w:sz w:val="21"/>
          <w:szCs w:val="21"/>
        </w:rPr>
        <w:t xml:space="preserve">, which is why </w:t>
      </w:r>
      <w:r w:rsidR="007E66DC" w:rsidRPr="007E66DC">
        <w:rPr>
          <w:rFonts w:ascii="Times New Roman" w:hAnsi="Times New Roman" w:cs="Times New Roman"/>
          <w:sz w:val="21"/>
          <w:szCs w:val="21"/>
        </w:rPr>
        <w:t xml:space="preserve">in late December the Central Bank lowered the </w:t>
      </w:r>
      <w:r w:rsidR="00802EBB" w:rsidRPr="00802EBB">
        <w:rPr>
          <w:rFonts w:ascii="Times New Roman" w:hAnsi="Times New Roman" w:cs="Times New Roman"/>
          <w:b/>
          <w:sz w:val="21"/>
          <w:szCs w:val="21"/>
        </w:rPr>
        <w:t>Reserve Requirement Ratio</w:t>
      </w:r>
      <w:r w:rsidR="00802EBB">
        <w:rPr>
          <w:rFonts w:ascii="Times New Roman" w:hAnsi="Times New Roman" w:cs="Times New Roman"/>
          <w:sz w:val="21"/>
          <w:szCs w:val="21"/>
        </w:rPr>
        <w:t xml:space="preserve"> </w:t>
      </w:r>
      <w:r w:rsidR="00802EBB" w:rsidRPr="00FB083F">
        <w:rPr>
          <w:rFonts w:ascii="Times New Roman" w:hAnsi="Times New Roman" w:cs="Times New Roman"/>
          <w:b/>
          <w:sz w:val="21"/>
          <w:szCs w:val="21"/>
        </w:rPr>
        <w:t>with re</w:t>
      </w:r>
      <w:r w:rsidR="00802EBB">
        <w:rPr>
          <w:rFonts w:ascii="Times New Roman" w:hAnsi="Times New Roman" w:cs="Times New Roman"/>
          <w:b/>
          <w:sz w:val="21"/>
          <w:szCs w:val="21"/>
        </w:rPr>
        <w:t>gard to</w:t>
      </w:r>
      <w:r w:rsidR="00802EBB" w:rsidRPr="00FB083F">
        <w:rPr>
          <w:rFonts w:ascii="Times New Roman" w:hAnsi="Times New Roman" w:cs="Times New Roman"/>
          <w:b/>
          <w:sz w:val="21"/>
          <w:szCs w:val="21"/>
        </w:rPr>
        <w:t xml:space="preserve"> funds </w:t>
      </w:r>
      <w:r w:rsidR="00802EBB" w:rsidRPr="00FB083F">
        <w:rPr>
          <w:rFonts w:ascii="Times New Roman" w:hAnsi="Times New Roman" w:cs="Times New Roman"/>
          <w:b/>
          <w:sz w:val="21"/>
          <w:szCs w:val="21"/>
        </w:rPr>
        <w:lastRenderedPageBreak/>
        <w:t>attracted in foreign currency</w:t>
      </w:r>
      <w:r w:rsidR="00802EBB" w:rsidRPr="007E66DC">
        <w:rPr>
          <w:rFonts w:ascii="Times New Roman" w:hAnsi="Times New Roman" w:cs="Times New Roman"/>
          <w:sz w:val="21"/>
          <w:szCs w:val="21"/>
        </w:rPr>
        <w:t xml:space="preserve"> </w:t>
      </w:r>
      <w:r w:rsidR="00802EBB">
        <w:rPr>
          <w:rFonts w:ascii="Times New Roman" w:hAnsi="Times New Roman" w:cs="Times New Roman"/>
          <w:sz w:val="21"/>
          <w:szCs w:val="21"/>
        </w:rPr>
        <w:t xml:space="preserve">from </w:t>
      </w:r>
      <w:r w:rsidR="00802EBB" w:rsidRPr="00802EBB">
        <w:rPr>
          <w:rFonts w:ascii="Times New Roman" w:hAnsi="Times New Roman" w:cs="Times New Roman"/>
          <w:b/>
          <w:sz w:val="21"/>
          <w:szCs w:val="21"/>
        </w:rPr>
        <w:t>24.0</w:t>
      </w:r>
      <w:r w:rsidR="00802EBB" w:rsidRPr="007E66DC">
        <w:rPr>
          <w:rFonts w:ascii="Times New Roman" w:hAnsi="Times New Roman" w:cs="Times New Roman"/>
          <w:sz w:val="21"/>
          <w:szCs w:val="21"/>
        </w:rPr>
        <w:t xml:space="preserve"> </w:t>
      </w:r>
      <w:r w:rsidR="00802EBB">
        <w:rPr>
          <w:rFonts w:ascii="Times New Roman" w:hAnsi="Times New Roman" w:cs="Times New Roman"/>
          <w:sz w:val="21"/>
          <w:szCs w:val="21"/>
        </w:rPr>
        <w:t>to</w:t>
      </w:r>
      <w:r w:rsidR="00802EBB" w:rsidRPr="007E66DC">
        <w:rPr>
          <w:rFonts w:ascii="Times New Roman" w:hAnsi="Times New Roman" w:cs="Times New Roman"/>
          <w:sz w:val="21"/>
          <w:szCs w:val="21"/>
        </w:rPr>
        <w:t xml:space="preserve"> </w:t>
      </w:r>
      <w:r w:rsidR="00802EBB" w:rsidRPr="00802EBB">
        <w:rPr>
          <w:rFonts w:ascii="Times New Roman" w:hAnsi="Times New Roman" w:cs="Times New Roman"/>
          <w:b/>
          <w:sz w:val="21"/>
          <w:szCs w:val="21"/>
        </w:rPr>
        <w:t>20.0%</w:t>
      </w:r>
      <w:r w:rsidR="00802EBB">
        <w:rPr>
          <w:rFonts w:ascii="Times New Roman" w:hAnsi="Times New Roman" w:cs="Times New Roman"/>
          <w:sz w:val="21"/>
          <w:szCs w:val="21"/>
        </w:rPr>
        <w:t xml:space="preserve"> and the </w:t>
      </w:r>
      <w:r w:rsidR="00802EBB" w:rsidRPr="00FB083F">
        <w:rPr>
          <w:rFonts w:ascii="Times New Roman" w:hAnsi="Times New Roman" w:cs="Times New Roman"/>
          <w:b/>
          <w:sz w:val="21"/>
          <w:szCs w:val="21"/>
        </w:rPr>
        <w:t xml:space="preserve">Lombard Repo Facility </w:t>
      </w:r>
      <w:r w:rsidR="00802EBB">
        <w:rPr>
          <w:rFonts w:ascii="Times New Roman" w:hAnsi="Times New Roman" w:cs="Times New Roman"/>
          <w:b/>
          <w:sz w:val="21"/>
          <w:szCs w:val="21"/>
        </w:rPr>
        <w:t>Rate</w:t>
      </w:r>
      <w:r w:rsidR="00802EBB" w:rsidRPr="007E66DC">
        <w:rPr>
          <w:rFonts w:ascii="Times New Roman" w:hAnsi="Times New Roman" w:cs="Times New Roman"/>
          <w:sz w:val="21"/>
          <w:szCs w:val="21"/>
        </w:rPr>
        <w:t xml:space="preserve"> </w:t>
      </w:r>
      <w:r w:rsidR="00802EBB">
        <w:rPr>
          <w:rFonts w:ascii="Times New Roman" w:hAnsi="Times New Roman" w:cs="Times New Roman"/>
          <w:sz w:val="21"/>
          <w:szCs w:val="21"/>
        </w:rPr>
        <w:t xml:space="preserve">from </w:t>
      </w:r>
      <w:r w:rsidR="00802EBB" w:rsidRPr="00802EBB">
        <w:rPr>
          <w:rFonts w:ascii="Times New Roman" w:hAnsi="Times New Roman" w:cs="Times New Roman"/>
          <w:b/>
          <w:sz w:val="21"/>
          <w:szCs w:val="21"/>
        </w:rPr>
        <w:t>21.0</w:t>
      </w:r>
      <w:r w:rsidR="00802EBB">
        <w:rPr>
          <w:rFonts w:ascii="Times New Roman" w:hAnsi="Times New Roman" w:cs="Times New Roman"/>
          <w:sz w:val="21"/>
          <w:szCs w:val="21"/>
        </w:rPr>
        <w:t xml:space="preserve"> to </w:t>
      </w:r>
      <w:r w:rsidR="00802EBB" w:rsidRPr="00802EBB">
        <w:rPr>
          <w:rFonts w:ascii="Times New Roman" w:hAnsi="Times New Roman" w:cs="Times New Roman"/>
          <w:b/>
          <w:sz w:val="21"/>
          <w:szCs w:val="21"/>
        </w:rPr>
        <w:t>20.0%</w:t>
      </w:r>
      <w:r w:rsidR="00802EBB">
        <w:rPr>
          <w:rFonts w:ascii="Times New Roman" w:hAnsi="Times New Roman" w:cs="Times New Roman"/>
          <w:sz w:val="21"/>
          <w:szCs w:val="21"/>
        </w:rPr>
        <w:t xml:space="preserve">. </w:t>
      </w:r>
      <w:r w:rsidR="005115A3">
        <w:rPr>
          <w:rFonts w:ascii="Times New Roman" w:hAnsi="Times New Roman" w:cs="Times New Roman"/>
          <w:sz w:val="21"/>
          <w:szCs w:val="21"/>
        </w:rPr>
        <w:t>In early 2015, t</w:t>
      </w:r>
      <w:r w:rsidR="003916F1">
        <w:rPr>
          <w:rFonts w:ascii="Times New Roman" w:hAnsi="Times New Roman" w:cs="Times New Roman"/>
          <w:sz w:val="21"/>
          <w:szCs w:val="21"/>
        </w:rPr>
        <w:t xml:space="preserve">he </w:t>
      </w:r>
      <w:r w:rsidR="003916F1" w:rsidRPr="003916F1">
        <w:rPr>
          <w:rFonts w:ascii="Times New Roman" w:hAnsi="Times New Roman" w:cs="Times New Roman"/>
          <w:sz w:val="21"/>
          <w:szCs w:val="21"/>
        </w:rPr>
        <w:t>Lombard Repo Facility Rate</w:t>
      </w:r>
      <w:r w:rsidR="003916F1" w:rsidRPr="007E66DC">
        <w:rPr>
          <w:rFonts w:ascii="Times New Roman" w:hAnsi="Times New Roman" w:cs="Times New Roman"/>
          <w:sz w:val="21"/>
          <w:szCs w:val="21"/>
        </w:rPr>
        <w:t xml:space="preserve"> </w:t>
      </w:r>
      <w:r w:rsidR="003916F1">
        <w:rPr>
          <w:rFonts w:ascii="Times New Roman" w:hAnsi="Times New Roman" w:cs="Times New Roman"/>
          <w:sz w:val="21"/>
          <w:szCs w:val="21"/>
        </w:rPr>
        <w:t xml:space="preserve">was reduced further to </w:t>
      </w:r>
      <w:r w:rsidR="003916F1" w:rsidRPr="003916F1">
        <w:rPr>
          <w:rFonts w:ascii="Times New Roman" w:hAnsi="Times New Roman" w:cs="Times New Roman"/>
          <w:b/>
          <w:sz w:val="21"/>
          <w:szCs w:val="21"/>
        </w:rPr>
        <w:t>14.5%</w:t>
      </w:r>
      <w:r w:rsidR="005115A3">
        <w:rPr>
          <w:rFonts w:ascii="Times New Roman" w:hAnsi="Times New Roman" w:cs="Times New Roman"/>
          <w:sz w:val="21"/>
          <w:szCs w:val="21"/>
        </w:rPr>
        <w:t xml:space="preserve">, </w:t>
      </w:r>
      <w:r w:rsidR="003916F1">
        <w:rPr>
          <w:rFonts w:ascii="Times New Roman" w:hAnsi="Times New Roman" w:cs="Times New Roman"/>
          <w:sz w:val="21"/>
          <w:szCs w:val="21"/>
        </w:rPr>
        <w:t xml:space="preserve">which </w:t>
      </w:r>
      <w:r w:rsidR="005115A3">
        <w:rPr>
          <w:rFonts w:ascii="Times New Roman" w:hAnsi="Times New Roman" w:cs="Times New Roman"/>
          <w:sz w:val="21"/>
          <w:szCs w:val="21"/>
        </w:rPr>
        <w:t>straightforward led</w:t>
      </w:r>
      <w:r w:rsidR="003916F1">
        <w:rPr>
          <w:rFonts w:ascii="Times New Roman" w:hAnsi="Times New Roman" w:cs="Times New Roman"/>
          <w:sz w:val="21"/>
          <w:szCs w:val="21"/>
        </w:rPr>
        <w:t xml:space="preserve"> </w:t>
      </w:r>
      <w:r w:rsidR="005115A3" w:rsidRPr="007E66DC">
        <w:rPr>
          <w:rFonts w:ascii="Times New Roman" w:hAnsi="Times New Roman" w:cs="Times New Roman"/>
          <w:sz w:val="21"/>
          <w:szCs w:val="21"/>
        </w:rPr>
        <w:t xml:space="preserve">short-term </w:t>
      </w:r>
      <w:r w:rsidR="005115A3">
        <w:rPr>
          <w:rFonts w:ascii="Times New Roman" w:hAnsi="Times New Roman" w:cs="Times New Roman"/>
          <w:sz w:val="21"/>
          <w:szCs w:val="21"/>
        </w:rPr>
        <w:t>dram</w:t>
      </w:r>
      <w:r w:rsidR="005115A3" w:rsidRPr="007E66DC">
        <w:rPr>
          <w:rFonts w:ascii="Times New Roman" w:hAnsi="Times New Roman" w:cs="Times New Roman"/>
          <w:sz w:val="21"/>
          <w:szCs w:val="21"/>
        </w:rPr>
        <w:t xml:space="preserve"> market rates </w:t>
      </w:r>
      <w:r w:rsidR="005115A3">
        <w:rPr>
          <w:rFonts w:ascii="Times New Roman" w:hAnsi="Times New Roman" w:cs="Times New Roman"/>
          <w:sz w:val="21"/>
          <w:szCs w:val="21"/>
        </w:rPr>
        <w:t xml:space="preserve">down. </w:t>
      </w:r>
    </w:p>
    <w:p w14:paraId="406B933B" w14:textId="00DB2405" w:rsidR="00A9653E" w:rsidRPr="00EC356F" w:rsidRDefault="00F538B8" w:rsidP="00A9653E">
      <w:pPr>
        <w:spacing w:line="360" w:lineRule="auto"/>
        <w:jc w:val="both"/>
        <w:rPr>
          <w:rFonts w:ascii="Times New Roman" w:hAnsi="Times New Roman" w:cs="Times New Roman"/>
          <w:sz w:val="21"/>
          <w:szCs w:val="21"/>
        </w:rPr>
      </w:pPr>
      <w:r w:rsidRPr="00F538B8">
        <w:rPr>
          <w:rFonts w:ascii="Times New Roman" w:hAnsi="Times New Roman" w:cs="Times New Roman"/>
          <w:sz w:val="21"/>
          <w:szCs w:val="21"/>
        </w:rPr>
        <w:t xml:space="preserve">At the same time, </w:t>
      </w:r>
      <w:r>
        <w:rPr>
          <w:rFonts w:ascii="Times New Roman" w:hAnsi="Times New Roman" w:cs="Times New Roman"/>
          <w:sz w:val="21"/>
          <w:szCs w:val="21"/>
        </w:rPr>
        <w:t xml:space="preserve">to </w:t>
      </w:r>
      <w:r w:rsidR="00B76D93">
        <w:rPr>
          <w:rFonts w:ascii="Times New Roman" w:hAnsi="Times New Roman" w:cs="Times New Roman"/>
          <w:sz w:val="21"/>
          <w:szCs w:val="21"/>
        </w:rPr>
        <w:t xml:space="preserve">moderate </w:t>
      </w:r>
      <w:r w:rsidRPr="00F538B8">
        <w:rPr>
          <w:rFonts w:ascii="Times New Roman" w:hAnsi="Times New Roman" w:cs="Times New Roman"/>
          <w:sz w:val="21"/>
          <w:szCs w:val="21"/>
        </w:rPr>
        <w:t xml:space="preserve">future inflationary pressures and </w:t>
      </w:r>
      <w:r w:rsidR="00B06468">
        <w:rPr>
          <w:rFonts w:ascii="Times New Roman" w:hAnsi="Times New Roman" w:cs="Times New Roman"/>
          <w:sz w:val="21"/>
          <w:szCs w:val="21"/>
        </w:rPr>
        <w:t xml:space="preserve">have the </w:t>
      </w:r>
      <w:r w:rsidRPr="00F538B8">
        <w:rPr>
          <w:rFonts w:ascii="Times New Roman" w:hAnsi="Times New Roman" w:cs="Times New Roman"/>
          <w:sz w:val="21"/>
          <w:szCs w:val="21"/>
        </w:rPr>
        <w:t>inflationary expectations anchored around the target</w:t>
      </w:r>
      <w:r w:rsidR="00B06468">
        <w:rPr>
          <w:rFonts w:ascii="Times New Roman" w:hAnsi="Times New Roman" w:cs="Times New Roman"/>
          <w:sz w:val="21"/>
          <w:szCs w:val="21"/>
        </w:rPr>
        <w:t>, in</w:t>
      </w:r>
      <w:r w:rsidRPr="00F538B8">
        <w:rPr>
          <w:rFonts w:ascii="Times New Roman" w:hAnsi="Times New Roman" w:cs="Times New Roman"/>
          <w:sz w:val="21"/>
          <w:szCs w:val="21"/>
        </w:rPr>
        <w:t xml:space="preserve"> late December the Central Bank</w:t>
      </w:r>
      <w:r w:rsidR="00B06468">
        <w:rPr>
          <w:rFonts w:ascii="Times New Roman" w:hAnsi="Times New Roman" w:cs="Times New Roman"/>
          <w:sz w:val="21"/>
          <w:szCs w:val="21"/>
        </w:rPr>
        <w:t xml:space="preserve"> </w:t>
      </w:r>
      <w:r w:rsidRPr="00F538B8">
        <w:rPr>
          <w:rFonts w:ascii="Times New Roman" w:hAnsi="Times New Roman" w:cs="Times New Roman"/>
          <w:sz w:val="21"/>
          <w:szCs w:val="21"/>
        </w:rPr>
        <w:t xml:space="preserve">raised </w:t>
      </w:r>
      <w:r w:rsidR="00B06468">
        <w:rPr>
          <w:rFonts w:ascii="Times New Roman" w:hAnsi="Times New Roman" w:cs="Times New Roman"/>
          <w:sz w:val="21"/>
          <w:szCs w:val="21"/>
        </w:rPr>
        <w:t>the</w:t>
      </w:r>
      <w:r w:rsidRPr="00F538B8">
        <w:rPr>
          <w:rFonts w:ascii="Times New Roman" w:hAnsi="Times New Roman" w:cs="Times New Roman"/>
          <w:sz w:val="21"/>
          <w:szCs w:val="21"/>
        </w:rPr>
        <w:t xml:space="preserve"> </w:t>
      </w:r>
      <w:r w:rsidR="00B06468">
        <w:rPr>
          <w:rFonts w:ascii="Times New Roman" w:hAnsi="Times New Roman" w:cs="Times New Roman"/>
          <w:sz w:val="21"/>
          <w:szCs w:val="21"/>
        </w:rPr>
        <w:t>R</w:t>
      </w:r>
      <w:r w:rsidRPr="00F538B8">
        <w:rPr>
          <w:rFonts w:ascii="Times New Roman" w:hAnsi="Times New Roman" w:cs="Times New Roman"/>
          <w:sz w:val="21"/>
          <w:szCs w:val="21"/>
        </w:rPr>
        <w:t xml:space="preserve">efinancing </w:t>
      </w:r>
      <w:r w:rsidR="00B06468">
        <w:rPr>
          <w:rFonts w:ascii="Times New Roman" w:hAnsi="Times New Roman" w:cs="Times New Roman"/>
          <w:sz w:val="21"/>
          <w:szCs w:val="21"/>
        </w:rPr>
        <w:t>R</w:t>
      </w:r>
      <w:r w:rsidRPr="00F538B8">
        <w:rPr>
          <w:rFonts w:ascii="Times New Roman" w:hAnsi="Times New Roman" w:cs="Times New Roman"/>
          <w:sz w:val="21"/>
          <w:szCs w:val="21"/>
        </w:rPr>
        <w:t xml:space="preserve">ate by 1.75 </w:t>
      </w:r>
      <w:r w:rsidR="00106258">
        <w:rPr>
          <w:rFonts w:ascii="Times New Roman" w:hAnsi="Times New Roman" w:cs="Times New Roman"/>
          <w:sz w:val="21"/>
          <w:szCs w:val="21"/>
        </w:rPr>
        <w:t>pp</w:t>
      </w:r>
      <w:r w:rsidR="003C1EBD">
        <w:rPr>
          <w:rFonts w:ascii="Times New Roman" w:hAnsi="Times New Roman" w:cs="Times New Roman"/>
          <w:sz w:val="21"/>
          <w:szCs w:val="21"/>
        </w:rPr>
        <w:t>.</w:t>
      </w:r>
      <w:r w:rsidR="00B06468">
        <w:rPr>
          <w:rFonts w:ascii="Times New Roman" w:hAnsi="Times New Roman" w:cs="Times New Roman"/>
          <w:sz w:val="21"/>
          <w:szCs w:val="21"/>
        </w:rPr>
        <w:t xml:space="preserve"> In early </w:t>
      </w:r>
      <w:r w:rsidRPr="00F538B8">
        <w:rPr>
          <w:rFonts w:ascii="Times New Roman" w:hAnsi="Times New Roman" w:cs="Times New Roman"/>
          <w:sz w:val="21"/>
          <w:szCs w:val="21"/>
        </w:rPr>
        <w:t>2015</w:t>
      </w:r>
      <w:r w:rsidR="00B06468">
        <w:rPr>
          <w:rFonts w:ascii="Times New Roman" w:hAnsi="Times New Roman" w:cs="Times New Roman"/>
          <w:sz w:val="21"/>
          <w:szCs w:val="21"/>
        </w:rPr>
        <w:t>,</w:t>
      </w:r>
      <w:r w:rsidRPr="00F538B8">
        <w:rPr>
          <w:rFonts w:ascii="Times New Roman" w:hAnsi="Times New Roman" w:cs="Times New Roman"/>
          <w:sz w:val="21"/>
          <w:szCs w:val="21"/>
        </w:rPr>
        <w:t xml:space="preserve"> the </w:t>
      </w:r>
      <w:r w:rsidR="00B06468">
        <w:rPr>
          <w:rFonts w:ascii="Times New Roman" w:hAnsi="Times New Roman" w:cs="Times New Roman"/>
          <w:sz w:val="21"/>
          <w:szCs w:val="21"/>
        </w:rPr>
        <w:t>R</w:t>
      </w:r>
      <w:r w:rsidRPr="00F538B8">
        <w:rPr>
          <w:rFonts w:ascii="Times New Roman" w:hAnsi="Times New Roman" w:cs="Times New Roman"/>
          <w:sz w:val="21"/>
          <w:szCs w:val="21"/>
        </w:rPr>
        <w:t xml:space="preserve">efinancing </w:t>
      </w:r>
      <w:r w:rsidR="00B06468">
        <w:rPr>
          <w:rFonts w:ascii="Times New Roman" w:hAnsi="Times New Roman" w:cs="Times New Roman"/>
          <w:sz w:val="21"/>
          <w:szCs w:val="21"/>
        </w:rPr>
        <w:t>R</w:t>
      </w:r>
      <w:r w:rsidRPr="00F538B8">
        <w:rPr>
          <w:rFonts w:ascii="Times New Roman" w:hAnsi="Times New Roman" w:cs="Times New Roman"/>
          <w:sz w:val="21"/>
          <w:szCs w:val="21"/>
        </w:rPr>
        <w:t xml:space="preserve">ate </w:t>
      </w:r>
      <w:r w:rsidR="00B06468">
        <w:rPr>
          <w:rFonts w:ascii="Times New Roman" w:hAnsi="Times New Roman" w:cs="Times New Roman"/>
          <w:sz w:val="21"/>
          <w:szCs w:val="21"/>
        </w:rPr>
        <w:t>was further increased to</w:t>
      </w:r>
      <w:r w:rsidRPr="00F538B8">
        <w:rPr>
          <w:rFonts w:ascii="Times New Roman" w:hAnsi="Times New Roman" w:cs="Times New Roman"/>
          <w:sz w:val="21"/>
          <w:szCs w:val="21"/>
        </w:rPr>
        <w:t xml:space="preserve"> 10.5%</w:t>
      </w:r>
      <w:r w:rsidR="00D30878">
        <w:rPr>
          <w:rFonts w:ascii="Times New Roman" w:hAnsi="Times New Roman" w:cs="Times New Roman"/>
          <w:sz w:val="21"/>
          <w:szCs w:val="21"/>
        </w:rPr>
        <w:t>,</w:t>
      </w:r>
      <w:r w:rsidRPr="00F538B8">
        <w:rPr>
          <w:rFonts w:ascii="Times New Roman" w:hAnsi="Times New Roman" w:cs="Times New Roman"/>
          <w:sz w:val="21"/>
          <w:szCs w:val="21"/>
        </w:rPr>
        <w:t xml:space="preserve"> reflecting </w:t>
      </w:r>
      <w:r w:rsidR="00B76D93">
        <w:rPr>
          <w:rFonts w:ascii="Times New Roman" w:hAnsi="Times New Roman" w:cs="Times New Roman"/>
          <w:sz w:val="21"/>
          <w:szCs w:val="21"/>
        </w:rPr>
        <w:t xml:space="preserve">upward </w:t>
      </w:r>
      <w:r w:rsidR="00E3403B">
        <w:rPr>
          <w:rFonts w:ascii="Times New Roman" w:hAnsi="Times New Roman" w:cs="Times New Roman"/>
          <w:sz w:val="21"/>
          <w:szCs w:val="21"/>
        </w:rPr>
        <w:t xml:space="preserve">trends </w:t>
      </w:r>
      <w:proofErr w:type="gramStart"/>
      <w:r w:rsidR="00E3403B">
        <w:rPr>
          <w:rFonts w:ascii="Times New Roman" w:hAnsi="Times New Roman" w:cs="Times New Roman"/>
          <w:sz w:val="21"/>
          <w:szCs w:val="21"/>
        </w:rPr>
        <w:t xml:space="preserve">of  </w:t>
      </w:r>
      <w:r w:rsidR="00E3403B" w:rsidRPr="00F538B8">
        <w:rPr>
          <w:rFonts w:ascii="Times New Roman" w:hAnsi="Times New Roman" w:cs="Times New Roman"/>
          <w:sz w:val="21"/>
          <w:szCs w:val="21"/>
        </w:rPr>
        <w:t>investment</w:t>
      </w:r>
      <w:proofErr w:type="gramEnd"/>
      <w:r w:rsidR="00E3403B" w:rsidRPr="00F538B8">
        <w:rPr>
          <w:rFonts w:ascii="Times New Roman" w:hAnsi="Times New Roman" w:cs="Times New Roman"/>
          <w:sz w:val="21"/>
          <w:szCs w:val="21"/>
        </w:rPr>
        <w:t xml:space="preserve"> risk and interest rate</w:t>
      </w:r>
      <w:r w:rsidR="00B76D93">
        <w:rPr>
          <w:rFonts w:ascii="Times New Roman" w:hAnsi="Times New Roman" w:cs="Times New Roman"/>
          <w:sz w:val="21"/>
          <w:szCs w:val="21"/>
        </w:rPr>
        <w:t>s</w:t>
      </w:r>
      <w:r w:rsidR="00E3403B" w:rsidRPr="00F538B8">
        <w:rPr>
          <w:rFonts w:ascii="Times New Roman" w:hAnsi="Times New Roman" w:cs="Times New Roman"/>
          <w:sz w:val="21"/>
          <w:szCs w:val="21"/>
        </w:rPr>
        <w:t xml:space="preserve"> </w:t>
      </w:r>
      <w:r w:rsidR="00E3403B">
        <w:rPr>
          <w:rFonts w:ascii="Times New Roman" w:hAnsi="Times New Roman" w:cs="Times New Roman"/>
          <w:sz w:val="21"/>
          <w:szCs w:val="21"/>
        </w:rPr>
        <w:t xml:space="preserve"> </w:t>
      </w:r>
      <w:r w:rsidRPr="00F538B8">
        <w:rPr>
          <w:rFonts w:ascii="Times New Roman" w:hAnsi="Times New Roman" w:cs="Times New Roman"/>
          <w:sz w:val="21"/>
          <w:szCs w:val="21"/>
        </w:rPr>
        <w:t xml:space="preserve">in developing countries over </w:t>
      </w:r>
      <w:r w:rsidR="00E3403B">
        <w:rPr>
          <w:rFonts w:ascii="Times New Roman" w:hAnsi="Times New Roman" w:cs="Times New Roman"/>
          <w:sz w:val="21"/>
          <w:szCs w:val="21"/>
        </w:rPr>
        <w:t>a</w:t>
      </w:r>
      <w:r w:rsidRPr="00F538B8">
        <w:rPr>
          <w:rFonts w:ascii="Times New Roman" w:hAnsi="Times New Roman" w:cs="Times New Roman"/>
          <w:sz w:val="21"/>
          <w:szCs w:val="21"/>
        </w:rPr>
        <w:t xml:space="preserve"> long</w:t>
      </w:r>
      <w:r w:rsidR="00E3403B">
        <w:rPr>
          <w:rFonts w:ascii="Times New Roman" w:hAnsi="Times New Roman" w:cs="Times New Roman"/>
          <w:sz w:val="21"/>
          <w:szCs w:val="21"/>
        </w:rPr>
        <w:t xml:space="preserve">er </w:t>
      </w:r>
      <w:r w:rsidR="00B76D93">
        <w:rPr>
          <w:rFonts w:ascii="Times New Roman" w:hAnsi="Times New Roman" w:cs="Times New Roman"/>
          <w:sz w:val="21"/>
          <w:szCs w:val="21"/>
        </w:rPr>
        <w:t xml:space="preserve">term </w:t>
      </w:r>
      <w:r w:rsidR="00FD7857">
        <w:rPr>
          <w:rFonts w:ascii="Times New Roman" w:hAnsi="Times New Roman" w:cs="Times New Roman"/>
          <w:sz w:val="21"/>
          <w:szCs w:val="21"/>
        </w:rPr>
        <w:t xml:space="preserve">(see details in section </w:t>
      </w:r>
      <w:r w:rsidR="00D30878" w:rsidRPr="00D30878">
        <w:rPr>
          <w:rFonts w:ascii="Times New Roman" w:hAnsi="Times New Roman" w:cs="Times New Roman"/>
          <w:sz w:val="21"/>
          <w:szCs w:val="21"/>
        </w:rPr>
        <w:t>''</w:t>
      </w:r>
      <w:r w:rsidR="00E3403B" w:rsidRPr="00EC356F">
        <w:rPr>
          <w:rFonts w:ascii="Times New Roman" w:hAnsi="Times New Roman" w:cs="Times New Roman"/>
          <w:sz w:val="21"/>
          <w:szCs w:val="21"/>
        </w:rPr>
        <w:t xml:space="preserve">3.1.1 Actual inflation and </w:t>
      </w:r>
      <w:r w:rsidR="00E3403B">
        <w:rPr>
          <w:rFonts w:ascii="Times New Roman" w:hAnsi="Times New Roman" w:cs="Times New Roman"/>
          <w:sz w:val="21"/>
          <w:szCs w:val="21"/>
        </w:rPr>
        <w:t xml:space="preserve">fulfillment of the inflation </w:t>
      </w:r>
      <w:r w:rsidR="00E3403B" w:rsidRPr="00EC356F">
        <w:rPr>
          <w:rFonts w:ascii="Times New Roman" w:hAnsi="Times New Roman" w:cs="Times New Roman"/>
          <w:sz w:val="21"/>
          <w:szCs w:val="21"/>
        </w:rPr>
        <w:t>target</w:t>
      </w:r>
      <w:r w:rsidR="00D30878" w:rsidRPr="00D30878">
        <w:rPr>
          <w:rFonts w:ascii="Times New Roman" w:hAnsi="Times New Roman" w:cs="Times New Roman"/>
          <w:sz w:val="21"/>
          <w:szCs w:val="21"/>
        </w:rPr>
        <w:t>''</w:t>
      </w:r>
      <w:r w:rsidR="00E3403B" w:rsidRPr="00EC356F">
        <w:rPr>
          <w:rFonts w:ascii="Times New Roman" w:hAnsi="Times New Roman" w:cs="Times New Roman"/>
          <w:sz w:val="21"/>
          <w:szCs w:val="21"/>
        </w:rPr>
        <w:t>)</w:t>
      </w:r>
      <w:r w:rsidR="00E3403B">
        <w:rPr>
          <w:rFonts w:ascii="Times New Roman" w:hAnsi="Times New Roman" w:cs="Times New Roman"/>
          <w:sz w:val="21"/>
          <w:szCs w:val="21"/>
        </w:rPr>
        <w:t>.</w:t>
      </w:r>
      <w:r w:rsidR="00FD7857">
        <w:rPr>
          <w:rFonts w:ascii="Times New Roman" w:hAnsi="Times New Roman" w:cs="Times New Roman"/>
          <w:sz w:val="21"/>
          <w:szCs w:val="21"/>
        </w:rPr>
        <w:t xml:space="preserve">  </w:t>
      </w:r>
    </w:p>
    <w:p w14:paraId="79FC242F" w14:textId="77777777" w:rsidR="001D73A7" w:rsidRPr="00A10AF1" w:rsidRDefault="001D73A7" w:rsidP="00A9653E">
      <w:pPr>
        <w:spacing w:line="360" w:lineRule="auto"/>
        <w:jc w:val="both"/>
        <w:rPr>
          <w:rFonts w:ascii="Times New Roman" w:hAnsi="Times New Roman" w:cs="Times New Roman"/>
          <w:sz w:val="21"/>
          <w:szCs w:val="21"/>
        </w:rPr>
      </w:pPr>
      <w:r w:rsidRPr="001D73A7">
        <w:rPr>
          <w:rFonts w:ascii="Times New Roman" w:hAnsi="Times New Roman" w:cs="Times New Roman"/>
          <w:b/>
          <w:sz w:val="21"/>
          <w:szCs w:val="21"/>
        </w:rPr>
        <w:t>According to the Central Bank forecasts</w:t>
      </w:r>
      <w:r>
        <w:rPr>
          <w:rFonts w:ascii="Times New Roman" w:hAnsi="Times New Roman" w:cs="Times New Roman"/>
          <w:sz w:val="21"/>
          <w:szCs w:val="21"/>
        </w:rPr>
        <w:t>,</w:t>
      </w:r>
      <w:r w:rsidRPr="001D73A7">
        <w:rPr>
          <w:rFonts w:ascii="Times New Roman" w:hAnsi="Times New Roman" w:cs="Times New Roman"/>
          <w:sz w:val="21"/>
          <w:szCs w:val="21"/>
        </w:rPr>
        <w:t xml:space="preserve"> </w:t>
      </w:r>
      <w:r w:rsidRPr="00C94860">
        <w:rPr>
          <w:rFonts w:ascii="Times New Roman" w:hAnsi="Times New Roman" w:cs="Times New Roman"/>
          <w:sz w:val="21"/>
          <w:szCs w:val="21"/>
        </w:rPr>
        <w:t>with a lower</w:t>
      </w:r>
      <w:r>
        <w:rPr>
          <w:rFonts w:ascii="Times New Roman" w:hAnsi="Times New Roman" w:cs="Times New Roman"/>
          <w:sz w:val="21"/>
          <w:szCs w:val="21"/>
        </w:rPr>
        <w:t xml:space="preserve"> base </w:t>
      </w:r>
      <w:r w:rsidRPr="001D73A7">
        <w:rPr>
          <w:rFonts w:ascii="Times New Roman" w:hAnsi="Times New Roman" w:cs="Times New Roman"/>
          <w:sz w:val="21"/>
          <w:szCs w:val="21"/>
        </w:rPr>
        <w:t xml:space="preserve">compared to the same period </w:t>
      </w:r>
      <w:r>
        <w:rPr>
          <w:rFonts w:ascii="Times New Roman" w:hAnsi="Times New Roman" w:cs="Times New Roman"/>
          <w:sz w:val="21"/>
          <w:szCs w:val="21"/>
        </w:rPr>
        <w:t xml:space="preserve">of the previous year as well as </w:t>
      </w:r>
      <w:r w:rsidRPr="001D73A7">
        <w:rPr>
          <w:rFonts w:ascii="Times New Roman" w:hAnsi="Times New Roman" w:cs="Times New Roman"/>
          <w:sz w:val="21"/>
          <w:szCs w:val="21"/>
        </w:rPr>
        <w:t xml:space="preserve">Armenia's membership to the Eurasia Economic Community </w:t>
      </w:r>
      <w:r>
        <w:rPr>
          <w:rFonts w:ascii="Times New Roman" w:hAnsi="Times New Roman" w:cs="Times New Roman"/>
          <w:sz w:val="21"/>
          <w:szCs w:val="21"/>
        </w:rPr>
        <w:t xml:space="preserve">from </w:t>
      </w:r>
      <w:r w:rsidRPr="001D73A7">
        <w:rPr>
          <w:rFonts w:ascii="Times New Roman" w:hAnsi="Times New Roman" w:cs="Times New Roman"/>
          <w:sz w:val="21"/>
          <w:szCs w:val="21"/>
        </w:rPr>
        <w:t>January 2015</w:t>
      </w:r>
      <w:r w:rsidR="00C151D2">
        <w:rPr>
          <w:rStyle w:val="FootnoteReference"/>
          <w:rFonts w:ascii="Times New Roman" w:hAnsi="Times New Roman" w:cs="Times New Roman"/>
          <w:sz w:val="21"/>
          <w:szCs w:val="21"/>
        </w:rPr>
        <w:footnoteReference w:customMarkFollows="1" w:id="2"/>
        <w:t>2</w:t>
      </w:r>
      <w:r>
        <w:rPr>
          <w:rFonts w:ascii="Times New Roman" w:hAnsi="Times New Roman" w:cs="Times New Roman"/>
          <w:sz w:val="21"/>
          <w:szCs w:val="21"/>
        </w:rPr>
        <w:t xml:space="preserve">, </w:t>
      </w:r>
      <w:r w:rsidRPr="001D73A7">
        <w:rPr>
          <w:rFonts w:ascii="Times New Roman" w:hAnsi="Times New Roman" w:cs="Times New Roman"/>
          <w:b/>
          <w:sz w:val="21"/>
          <w:szCs w:val="21"/>
        </w:rPr>
        <w:t>in the 1st quarter the 12-month inflation rate will increase slightly</w:t>
      </w:r>
      <w:r>
        <w:rPr>
          <w:rFonts w:ascii="Times New Roman" w:hAnsi="Times New Roman" w:cs="Times New Roman"/>
          <w:sz w:val="21"/>
          <w:szCs w:val="21"/>
        </w:rPr>
        <w:t xml:space="preserve">. However, in anticipation of </w:t>
      </w:r>
      <w:r w:rsidRPr="001D73A7">
        <w:rPr>
          <w:rFonts w:ascii="Times New Roman" w:hAnsi="Times New Roman" w:cs="Times New Roman"/>
          <w:sz w:val="21"/>
          <w:szCs w:val="21"/>
        </w:rPr>
        <w:t xml:space="preserve">weak demand </w:t>
      </w:r>
      <w:r>
        <w:rPr>
          <w:rFonts w:ascii="Times New Roman" w:hAnsi="Times New Roman" w:cs="Times New Roman"/>
          <w:sz w:val="21"/>
          <w:szCs w:val="21"/>
        </w:rPr>
        <w:t>in</w:t>
      </w:r>
      <w:r w:rsidRPr="001D73A7">
        <w:rPr>
          <w:rFonts w:ascii="Times New Roman" w:hAnsi="Times New Roman" w:cs="Times New Roman"/>
          <w:sz w:val="21"/>
          <w:szCs w:val="21"/>
        </w:rPr>
        <w:t xml:space="preserve"> external and </w:t>
      </w:r>
      <w:r>
        <w:rPr>
          <w:rFonts w:ascii="Times New Roman" w:hAnsi="Times New Roman" w:cs="Times New Roman"/>
          <w:sz w:val="21"/>
          <w:szCs w:val="21"/>
        </w:rPr>
        <w:t>domestic</w:t>
      </w:r>
      <w:r w:rsidRPr="001D73A7">
        <w:rPr>
          <w:rFonts w:ascii="Times New Roman" w:hAnsi="Times New Roman" w:cs="Times New Roman"/>
          <w:sz w:val="21"/>
          <w:szCs w:val="21"/>
        </w:rPr>
        <w:t xml:space="preserve"> economies</w:t>
      </w:r>
      <w:r>
        <w:rPr>
          <w:rFonts w:ascii="Times New Roman" w:hAnsi="Times New Roman" w:cs="Times New Roman"/>
          <w:sz w:val="21"/>
          <w:szCs w:val="21"/>
        </w:rPr>
        <w:t xml:space="preserve">, the inflation will reduce to approach its target </w:t>
      </w:r>
      <w:r w:rsidR="00BB4182">
        <w:rPr>
          <w:rFonts w:ascii="Times New Roman" w:hAnsi="Times New Roman" w:cs="Times New Roman"/>
          <w:sz w:val="21"/>
          <w:szCs w:val="21"/>
        </w:rPr>
        <w:t>a</w:t>
      </w:r>
      <w:r>
        <w:rPr>
          <w:rFonts w:ascii="Times New Roman" w:hAnsi="Times New Roman" w:cs="Times New Roman"/>
          <w:sz w:val="21"/>
          <w:szCs w:val="21"/>
        </w:rPr>
        <w:t xml:space="preserve">t </w:t>
      </w:r>
      <w:r w:rsidRPr="00A10AF1">
        <w:rPr>
          <w:rFonts w:ascii="Times New Roman" w:hAnsi="Times New Roman" w:cs="Times New Roman"/>
          <w:sz w:val="21"/>
          <w:szCs w:val="21"/>
        </w:rPr>
        <w:t xml:space="preserve">the end of the year. </w:t>
      </w:r>
    </w:p>
    <w:p w14:paraId="5905128A" w14:textId="77777777" w:rsidR="00C94860" w:rsidRPr="00C94860" w:rsidRDefault="00C94860" w:rsidP="00A9653E">
      <w:pPr>
        <w:spacing w:line="360" w:lineRule="auto"/>
        <w:jc w:val="both"/>
        <w:rPr>
          <w:rFonts w:ascii="Times New Roman" w:hAnsi="Times New Roman" w:cs="Times New Roman"/>
          <w:b/>
          <w:color w:val="0070C0"/>
          <w:sz w:val="18"/>
          <w:szCs w:val="18"/>
        </w:rPr>
      </w:pPr>
      <w:r w:rsidRPr="00C94860">
        <w:rPr>
          <w:rFonts w:ascii="Times New Roman" w:hAnsi="Times New Roman" w:cs="Times New Roman"/>
          <w:b/>
          <w:color w:val="0070C0"/>
          <w:sz w:val="18"/>
          <w:szCs w:val="18"/>
        </w:rPr>
        <w:t xml:space="preserve">In the 1st quarter of 2015, the Central Bank will continue reducing the Lombard Repo Facility Rate… </w:t>
      </w:r>
    </w:p>
    <w:p w14:paraId="32A50E87" w14:textId="72017C0D" w:rsidR="00477A30" w:rsidRDefault="001D73A7" w:rsidP="00A9653E">
      <w:pPr>
        <w:spacing w:line="360" w:lineRule="auto"/>
        <w:jc w:val="both"/>
        <w:rPr>
          <w:rFonts w:ascii="Times New Roman" w:hAnsi="Times New Roman" w:cs="Times New Roman"/>
          <w:sz w:val="21"/>
          <w:szCs w:val="21"/>
        </w:rPr>
      </w:pPr>
      <w:r w:rsidRPr="00A10AF1">
        <w:rPr>
          <w:rFonts w:ascii="Times New Roman" w:hAnsi="Times New Roman" w:cs="Times New Roman"/>
          <w:sz w:val="21"/>
          <w:szCs w:val="21"/>
        </w:rPr>
        <w:t>T</w:t>
      </w:r>
      <w:r w:rsidR="0076331C" w:rsidRPr="00A10AF1">
        <w:rPr>
          <w:rFonts w:ascii="Times New Roman" w:hAnsi="Times New Roman" w:cs="Times New Roman"/>
          <w:sz w:val="21"/>
          <w:szCs w:val="21"/>
        </w:rPr>
        <w:t xml:space="preserve">he Central Bank </w:t>
      </w:r>
      <w:r w:rsidR="00A9011E" w:rsidRPr="00A10AF1">
        <w:rPr>
          <w:rFonts w:ascii="Times New Roman" w:hAnsi="Times New Roman" w:cs="Times New Roman"/>
          <w:sz w:val="21"/>
          <w:szCs w:val="21"/>
        </w:rPr>
        <w:t>estimates</w:t>
      </w:r>
      <w:r w:rsidR="0076331C" w:rsidRPr="00A10AF1">
        <w:rPr>
          <w:rFonts w:ascii="Times New Roman" w:hAnsi="Times New Roman" w:cs="Times New Roman"/>
          <w:sz w:val="21"/>
          <w:szCs w:val="21"/>
        </w:rPr>
        <w:t xml:space="preserve"> </w:t>
      </w:r>
      <w:r w:rsidRPr="00A10AF1">
        <w:rPr>
          <w:rFonts w:ascii="Times New Roman" w:hAnsi="Times New Roman" w:cs="Times New Roman"/>
          <w:sz w:val="21"/>
          <w:szCs w:val="21"/>
        </w:rPr>
        <w:t>that</w:t>
      </w:r>
      <w:r w:rsidR="00245C86">
        <w:rPr>
          <w:rFonts w:ascii="Times New Roman" w:hAnsi="Times New Roman" w:cs="Times New Roman"/>
          <w:sz w:val="21"/>
          <w:szCs w:val="21"/>
        </w:rPr>
        <w:t>,</w:t>
      </w:r>
      <w:r w:rsidRPr="00A10AF1">
        <w:rPr>
          <w:rFonts w:ascii="Times New Roman" w:hAnsi="Times New Roman" w:cs="Times New Roman"/>
          <w:sz w:val="21"/>
          <w:szCs w:val="21"/>
        </w:rPr>
        <w:t xml:space="preserve"> </w:t>
      </w:r>
      <w:r w:rsidR="00A10AF1" w:rsidRPr="00A10AF1">
        <w:rPr>
          <w:rFonts w:ascii="Times New Roman" w:hAnsi="Times New Roman" w:cs="Times New Roman"/>
          <w:sz w:val="21"/>
          <w:szCs w:val="21"/>
          <w:lang w:val="hy-AM"/>
        </w:rPr>
        <w:t xml:space="preserve">driven by </w:t>
      </w:r>
      <w:r w:rsidR="00A10AF1">
        <w:rPr>
          <w:rFonts w:ascii="Times New Roman" w:hAnsi="Times New Roman" w:cs="Times New Roman"/>
          <w:sz w:val="21"/>
          <w:szCs w:val="21"/>
        </w:rPr>
        <w:t xml:space="preserve">the </w:t>
      </w:r>
      <w:r w:rsidR="00A10AF1" w:rsidRPr="00A10AF1">
        <w:rPr>
          <w:rFonts w:ascii="Times New Roman" w:hAnsi="Times New Roman" w:cs="Times New Roman"/>
          <w:sz w:val="21"/>
          <w:szCs w:val="21"/>
        </w:rPr>
        <w:t xml:space="preserve">latest </w:t>
      </w:r>
      <w:r w:rsidR="00A10AF1" w:rsidRPr="00A10AF1">
        <w:rPr>
          <w:rFonts w:ascii="Times New Roman" w:hAnsi="Times New Roman" w:cs="Times New Roman"/>
          <w:sz w:val="21"/>
          <w:szCs w:val="21"/>
          <w:lang w:val="hy-AM"/>
        </w:rPr>
        <w:t>events</w:t>
      </w:r>
      <w:r w:rsidR="00A10AF1" w:rsidRPr="00A10AF1">
        <w:rPr>
          <w:rFonts w:ascii="Times New Roman" w:hAnsi="Times New Roman" w:cs="Times New Roman"/>
          <w:sz w:val="21"/>
          <w:szCs w:val="21"/>
        </w:rPr>
        <w:t xml:space="preserve"> in the </w:t>
      </w:r>
      <w:r w:rsidR="00A10AF1" w:rsidRPr="00A10AF1">
        <w:rPr>
          <w:rFonts w:ascii="Times New Roman" w:hAnsi="Times New Roman" w:cs="Times New Roman"/>
          <w:sz w:val="21"/>
          <w:szCs w:val="21"/>
          <w:lang w:val="hy-AM"/>
        </w:rPr>
        <w:t xml:space="preserve">previous year and the </w:t>
      </w:r>
      <w:r w:rsidR="00A10AF1" w:rsidRPr="00A10AF1">
        <w:rPr>
          <w:rFonts w:ascii="Times New Roman" w:hAnsi="Times New Roman" w:cs="Times New Roman"/>
          <w:sz w:val="21"/>
          <w:szCs w:val="21"/>
        </w:rPr>
        <w:t xml:space="preserve">geopolitical situation </w:t>
      </w:r>
      <w:r w:rsidR="00A10AF1" w:rsidRPr="00A10AF1">
        <w:rPr>
          <w:rFonts w:ascii="Times New Roman" w:hAnsi="Times New Roman" w:cs="Times New Roman"/>
          <w:sz w:val="21"/>
          <w:szCs w:val="21"/>
          <w:lang w:val="hy-AM"/>
        </w:rPr>
        <w:t xml:space="preserve">in the </w:t>
      </w:r>
      <w:r w:rsidR="00A10AF1" w:rsidRPr="00A10AF1">
        <w:rPr>
          <w:rFonts w:ascii="Times New Roman" w:hAnsi="Times New Roman" w:cs="Times New Roman"/>
          <w:sz w:val="21"/>
          <w:szCs w:val="21"/>
        </w:rPr>
        <w:t>region</w:t>
      </w:r>
      <w:r w:rsidR="00A10AF1" w:rsidRPr="00A10AF1">
        <w:rPr>
          <w:rFonts w:ascii="Times New Roman" w:hAnsi="Times New Roman" w:cs="Times New Roman"/>
          <w:sz w:val="21"/>
          <w:szCs w:val="21"/>
          <w:lang w:val="hy-AM"/>
        </w:rPr>
        <w:t xml:space="preserve">, </w:t>
      </w:r>
      <w:r w:rsidR="00A10AF1">
        <w:rPr>
          <w:rFonts w:ascii="Times New Roman" w:hAnsi="Times New Roman" w:cs="Times New Roman"/>
          <w:sz w:val="21"/>
          <w:szCs w:val="21"/>
        </w:rPr>
        <w:t>the developments in</w:t>
      </w:r>
      <w:r w:rsidR="00A10AF1" w:rsidRPr="00A10AF1">
        <w:rPr>
          <w:rFonts w:ascii="Times New Roman" w:hAnsi="Times New Roman" w:cs="Times New Roman"/>
          <w:sz w:val="21"/>
          <w:szCs w:val="21"/>
        </w:rPr>
        <w:t xml:space="preserve"> </w:t>
      </w:r>
      <w:r w:rsidR="00A10AF1">
        <w:rPr>
          <w:rFonts w:ascii="Times New Roman" w:hAnsi="Times New Roman" w:cs="Times New Roman"/>
          <w:sz w:val="21"/>
          <w:szCs w:val="21"/>
        </w:rPr>
        <w:t xml:space="preserve">product and </w:t>
      </w:r>
      <w:r w:rsidR="00A10AF1" w:rsidRPr="00A10AF1">
        <w:rPr>
          <w:rFonts w:ascii="Times New Roman" w:hAnsi="Times New Roman" w:cs="Times New Roman"/>
          <w:sz w:val="21"/>
          <w:szCs w:val="21"/>
        </w:rPr>
        <w:t xml:space="preserve">financial </w:t>
      </w:r>
      <w:r w:rsidR="00A10AF1">
        <w:rPr>
          <w:rFonts w:ascii="Times New Roman" w:hAnsi="Times New Roman" w:cs="Times New Roman"/>
          <w:sz w:val="21"/>
          <w:szCs w:val="21"/>
        </w:rPr>
        <w:t xml:space="preserve">markets of Armenia are gradually playing out </w:t>
      </w:r>
      <w:r w:rsidR="00477A30">
        <w:rPr>
          <w:rFonts w:ascii="Times New Roman" w:hAnsi="Times New Roman" w:cs="Times New Roman"/>
          <w:sz w:val="21"/>
          <w:szCs w:val="21"/>
        </w:rPr>
        <w:t>as they incur the impact of the Central Bank policy action for the period December 201</w:t>
      </w:r>
      <w:r w:rsidR="007A0CEE">
        <w:rPr>
          <w:rFonts w:ascii="Times New Roman" w:hAnsi="Times New Roman" w:cs="Times New Roman"/>
          <w:sz w:val="21"/>
          <w:szCs w:val="21"/>
        </w:rPr>
        <w:t>4</w:t>
      </w:r>
      <w:r w:rsidR="00477A30">
        <w:rPr>
          <w:rFonts w:ascii="Times New Roman" w:hAnsi="Times New Roman" w:cs="Times New Roman"/>
          <w:sz w:val="21"/>
          <w:szCs w:val="21"/>
        </w:rPr>
        <w:t xml:space="preserve"> to February 10, 2015. In this circumstance, the </w:t>
      </w:r>
      <w:r w:rsidR="00477A30" w:rsidRPr="0012172D">
        <w:rPr>
          <w:rFonts w:ascii="Times New Roman" w:hAnsi="Times New Roman" w:cs="Times New Roman"/>
          <w:b/>
          <w:sz w:val="21"/>
          <w:szCs w:val="21"/>
        </w:rPr>
        <w:t>Central Bank will continue reducing the Lombard Repo Facility Rate during the 1st quarter of 2015</w:t>
      </w:r>
      <w:r w:rsidR="00477A30">
        <w:rPr>
          <w:rFonts w:ascii="Times New Roman" w:hAnsi="Times New Roman" w:cs="Times New Roman"/>
          <w:sz w:val="21"/>
          <w:szCs w:val="21"/>
        </w:rPr>
        <w:t xml:space="preserve">. </w:t>
      </w:r>
    </w:p>
    <w:p w14:paraId="012B1515" w14:textId="449D25B3" w:rsidR="00FA502E" w:rsidRDefault="0012172D" w:rsidP="00A9653E">
      <w:pPr>
        <w:spacing w:line="360" w:lineRule="auto"/>
        <w:jc w:val="both"/>
        <w:rPr>
          <w:rFonts w:ascii="Times New Roman" w:hAnsi="Times New Roman" w:cs="Times New Roman"/>
          <w:sz w:val="21"/>
          <w:szCs w:val="21"/>
        </w:rPr>
      </w:pPr>
      <w:r w:rsidRPr="00C94860">
        <w:rPr>
          <w:rFonts w:ascii="Times New Roman" w:hAnsi="Times New Roman" w:cs="Times New Roman"/>
          <w:sz w:val="21"/>
          <w:szCs w:val="21"/>
        </w:rPr>
        <w:t>As the economy</w:t>
      </w:r>
      <w:r>
        <w:rPr>
          <w:rFonts w:ascii="Times New Roman" w:hAnsi="Times New Roman" w:cs="Times New Roman"/>
          <w:sz w:val="21"/>
          <w:szCs w:val="21"/>
        </w:rPr>
        <w:t xml:space="preserve"> comes back to normal</w:t>
      </w:r>
      <w:r w:rsidR="007A0CEE">
        <w:rPr>
          <w:rFonts w:ascii="Times New Roman" w:hAnsi="Times New Roman" w:cs="Times New Roman"/>
          <w:sz w:val="21"/>
          <w:szCs w:val="21"/>
        </w:rPr>
        <w:t xml:space="preserve"> conditions</w:t>
      </w:r>
      <w:r>
        <w:rPr>
          <w:rFonts w:ascii="Times New Roman" w:hAnsi="Times New Roman" w:cs="Times New Roman"/>
          <w:sz w:val="21"/>
          <w:szCs w:val="21"/>
        </w:rPr>
        <w:t>, the</w:t>
      </w:r>
      <w:r w:rsidRPr="0012172D">
        <w:rPr>
          <w:rFonts w:ascii="Times New Roman" w:hAnsi="Times New Roman" w:cs="Times New Roman"/>
          <w:sz w:val="21"/>
          <w:szCs w:val="21"/>
        </w:rPr>
        <w:t xml:space="preserve"> Central Bank policy actions will reduce the </w:t>
      </w:r>
      <w:r>
        <w:rPr>
          <w:rFonts w:ascii="Times New Roman" w:hAnsi="Times New Roman" w:cs="Times New Roman"/>
          <w:sz w:val="21"/>
          <w:szCs w:val="21"/>
        </w:rPr>
        <w:t xml:space="preserve">spread </w:t>
      </w:r>
      <w:r w:rsidR="004B2227">
        <w:rPr>
          <w:rFonts w:ascii="Times New Roman" w:hAnsi="Times New Roman" w:cs="Times New Roman"/>
          <w:sz w:val="21"/>
          <w:szCs w:val="21"/>
        </w:rPr>
        <w:t>between the Bank</w:t>
      </w:r>
      <w:r w:rsidR="004B2227" w:rsidRPr="0012172D">
        <w:rPr>
          <w:rFonts w:ascii="Times New Roman" w:hAnsi="Times New Roman" w:cs="Times New Roman"/>
          <w:sz w:val="21"/>
          <w:szCs w:val="21"/>
        </w:rPr>
        <w:t>'s</w:t>
      </w:r>
      <w:r w:rsidR="004B2227">
        <w:rPr>
          <w:rFonts w:ascii="Times New Roman" w:hAnsi="Times New Roman" w:cs="Times New Roman"/>
          <w:sz w:val="21"/>
          <w:szCs w:val="21"/>
        </w:rPr>
        <w:t xml:space="preserve"> policy and </w:t>
      </w:r>
      <w:r w:rsidRPr="0012172D">
        <w:rPr>
          <w:rFonts w:ascii="Times New Roman" w:hAnsi="Times New Roman" w:cs="Times New Roman"/>
          <w:sz w:val="21"/>
          <w:szCs w:val="21"/>
        </w:rPr>
        <w:t xml:space="preserve">short-term </w:t>
      </w:r>
      <w:r w:rsidR="004B2227">
        <w:rPr>
          <w:rFonts w:ascii="Times New Roman" w:hAnsi="Times New Roman" w:cs="Times New Roman"/>
          <w:sz w:val="21"/>
          <w:szCs w:val="21"/>
        </w:rPr>
        <w:t>dram</w:t>
      </w:r>
      <w:r w:rsidRPr="0012172D">
        <w:rPr>
          <w:rFonts w:ascii="Times New Roman" w:hAnsi="Times New Roman" w:cs="Times New Roman"/>
          <w:sz w:val="21"/>
          <w:szCs w:val="21"/>
        </w:rPr>
        <w:t xml:space="preserve"> market rates</w:t>
      </w:r>
      <w:r w:rsidR="004B2227" w:rsidRPr="004B2227">
        <w:rPr>
          <w:rFonts w:ascii="Times New Roman" w:hAnsi="Times New Roman" w:cs="Times New Roman"/>
          <w:b/>
          <w:sz w:val="21"/>
          <w:szCs w:val="21"/>
        </w:rPr>
        <w:t xml:space="preserve">, </w:t>
      </w:r>
      <w:r w:rsidR="00250AB4">
        <w:rPr>
          <w:rFonts w:ascii="Times New Roman" w:hAnsi="Times New Roman" w:cs="Times New Roman"/>
          <w:b/>
          <w:sz w:val="21"/>
          <w:szCs w:val="21"/>
        </w:rPr>
        <w:t>reviving the leading role of</w:t>
      </w:r>
      <w:r w:rsidR="00250AB4" w:rsidRPr="004B2227">
        <w:rPr>
          <w:rFonts w:ascii="Times New Roman" w:hAnsi="Times New Roman" w:cs="Times New Roman"/>
          <w:b/>
          <w:sz w:val="21"/>
          <w:szCs w:val="21"/>
        </w:rPr>
        <w:t xml:space="preserve"> </w:t>
      </w:r>
      <w:r w:rsidR="004B2227" w:rsidRPr="004B2227">
        <w:rPr>
          <w:rFonts w:ascii="Times New Roman" w:hAnsi="Times New Roman" w:cs="Times New Roman"/>
          <w:b/>
          <w:sz w:val="21"/>
          <w:szCs w:val="21"/>
        </w:rPr>
        <w:t xml:space="preserve">the Refinancing </w:t>
      </w:r>
      <w:proofErr w:type="gramStart"/>
      <w:r w:rsidR="004B2227" w:rsidRPr="004B2227">
        <w:rPr>
          <w:rFonts w:ascii="Times New Roman" w:hAnsi="Times New Roman" w:cs="Times New Roman"/>
          <w:b/>
          <w:sz w:val="21"/>
          <w:szCs w:val="21"/>
        </w:rPr>
        <w:t>Rate  in</w:t>
      </w:r>
      <w:proofErr w:type="gramEnd"/>
      <w:r w:rsidR="004B2227" w:rsidRPr="004B2227">
        <w:rPr>
          <w:rFonts w:ascii="Times New Roman" w:hAnsi="Times New Roman" w:cs="Times New Roman"/>
          <w:b/>
          <w:sz w:val="21"/>
          <w:szCs w:val="21"/>
        </w:rPr>
        <w:t xml:space="preserve"> the market</w:t>
      </w:r>
      <w:r w:rsidR="004B2227">
        <w:rPr>
          <w:rFonts w:ascii="Times New Roman" w:hAnsi="Times New Roman" w:cs="Times New Roman"/>
          <w:sz w:val="21"/>
          <w:szCs w:val="21"/>
        </w:rPr>
        <w:t xml:space="preserve"> </w:t>
      </w:r>
      <w:r w:rsidRPr="0012172D">
        <w:rPr>
          <w:rFonts w:ascii="Times New Roman" w:hAnsi="Times New Roman" w:cs="Times New Roman"/>
          <w:sz w:val="21"/>
          <w:szCs w:val="21"/>
        </w:rPr>
        <w:t xml:space="preserve">and contributing to the financial market stabilization and </w:t>
      </w:r>
      <w:r w:rsidR="004B2227">
        <w:rPr>
          <w:rFonts w:ascii="Times New Roman" w:hAnsi="Times New Roman" w:cs="Times New Roman"/>
          <w:sz w:val="21"/>
          <w:szCs w:val="21"/>
        </w:rPr>
        <w:t xml:space="preserve">fulfillment of the inflation target in the </w:t>
      </w:r>
      <w:r w:rsidRPr="0012172D">
        <w:rPr>
          <w:rFonts w:ascii="Times New Roman" w:hAnsi="Times New Roman" w:cs="Times New Roman"/>
          <w:sz w:val="21"/>
          <w:szCs w:val="21"/>
        </w:rPr>
        <w:t>medium</w:t>
      </w:r>
      <w:r w:rsidR="004B2227">
        <w:rPr>
          <w:rFonts w:ascii="Times New Roman" w:hAnsi="Times New Roman" w:cs="Times New Roman"/>
          <w:sz w:val="21"/>
          <w:szCs w:val="21"/>
        </w:rPr>
        <w:t xml:space="preserve"> </w:t>
      </w:r>
      <w:r w:rsidRPr="0012172D">
        <w:rPr>
          <w:rFonts w:ascii="Times New Roman" w:hAnsi="Times New Roman" w:cs="Times New Roman"/>
          <w:sz w:val="21"/>
          <w:szCs w:val="21"/>
        </w:rPr>
        <w:t>term</w:t>
      </w:r>
      <w:r w:rsidR="00915D1A">
        <w:rPr>
          <w:rFonts w:ascii="Times New Roman" w:hAnsi="Times New Roman" w:cs="Times New Roman"/>
          <w:sz w:val="21"/>
          <w:szCs w:val="21"/>
        </w:rPr>
        <w:t xml:space="preserve">. </w:t>
      </w:r>
    </w:p>
    <w:p w14:paraId="6CD47768" w14:textId="5BBC25BC" w:rsidR="00A9653E" w:rsidRPr="00EC356F" w:rsidRDefault="00A9653E" w:rsidP="00A9653E">
      <w:pPr>
        <w:spacing w:line="360" w:lineRule="auto"/>
        <w:jc w:val="both"/>
        <w:rPr>
          <w:rFonts w:ascii="Times New Roman" w:hAnsi="Times New Roman" w:cs="Times New Roman"/>
          <w:sz w:val="21"/>
          <w:szCs w:val="21"/>
        </w:rPr>
      </w:pPr>
      <w:r w:rsidRPr="00FA502E">
        <w:rPr>
          <w:rFonts w:ascii="Times New Roman" w:hAnsi="Times New Roman" w:cs="Times New Roman"/>
          <w:b/>
          <w:sz w:val="21"/>
          <w:szCs w:val="21"/>
        </w:rPr>
        <w:t>Risks to inflation deviating from the</w:t>
      </w:r>
      <w:r w:rsidRPr="00EC356F">
        <w:rPr>
          <w:rFonts w:ascii="Times New Roman" w:hAnsi="Times New Roman" w:cs="Times New Roman"/>
          <w:sz w:val="21"/>
          <w:szCs w:val="21"/>
        </w:rPr>
        <w:t xml:space="preserve"> </w:t>
      </w:r>
      <w:r w:rsidRPr="00EC356F">
        <w:rPr>
          <w:rFonts w:ascii="Times New Roman" w:hAnsi="Times New Roman" w:cs="Times New Roman"/>
          <w:b/>
          <w:sz w:val="21"/>
          <w:szCs w:val="21"/>
        </w:rPr>
        <w:t>projected value</w:t>
      </w:r>
      <w:r w:rsidRPr="00EC356F">
        <w:rPr>
          <w:rFonts w:ascii="Times New Roman" w:hAnsi="Times New Roman" w:cs="Times New Roman"/>
          <w:sz w:val="21"/>
          <w:szCs w:val="21"/>
        </w:rPr>
        <w:t xml:space="preserve"> are estimated as </w:t>
      </w:r>
      <w:r w:rsidRPr="00EC356F">
        <w:rPr>
          <w:rFonts w:ascii="Times New Roman" w:hAnsi="Times New Roman" w:cs="Times New Roman"/>
          <w:b/>
          <w:sz w:val="21"/>
          <w:szCs w:val="21"/>
        </w:rPr>
        <w:t>balanced</w:t>
      </w:r>
      <w:r w:rsidRPr="00EC356F">
        <w:rPr>
          <w:rFonts w:ascii="Times New Roman" w:hAnsi="Times New Roman" w:cs="Times New Roman"/>
          <w:sz w:val="21"/>
          <w:szCs w:val="21"/>
        </w:rPr>
        <w:t xml:space="preserve"> in both short and medium-term perspectives. </w:t>
      </w:r>
      <w:r w:rsidRPr="00EC356F">
        <w:rPr>
          <w:rFonts w:ascii="Times New Roman" w:hAnsi="Times New Roman" w:cs="Times New Roman"/>
          <w:b/>
          <w:sz w:val="21"/>
          <w:szCs w:val="21"/>
        </w:rPr>
        <w:t>External sector risks</w:t>
      </w:r>
      <w:r w:rsidRPr="00EC356F">
        <w:rPr>
          <w:rFonts w:ascii="Times New Roman" w:hAnsi="Times New Roman" w:cs="Times New Roman"/>
          <w:sz w:val="21"/>
          <w:szCs w:val="21"/>
        </w:rPr>
        <w:t xml:space="preserve"> are primarily associated with </w:t>
      </w:r>
      <w:r w:rsidR="00657375">
        <w:rPr>
          <w:rFonts w:ascii="Times New Roman" w:hAnsi="Times New Roman" w:cs="Times New Roman"/>
          <w:sz w:val="21"/>
          <w:szCs w:val="21"/>
        </w:rPr>
        <w:t xml:space="preserve">global economic growth rates bouncing back as well as </w:t>
      </w:r>
      <w:r w:rsidR="009C76A4">
        <w:rPr>
          <w:rFonts w:ascii="Times New Roman" w:hAnsi="Times New Roman" w:cs="Times New Roman"/>
          <w:sz w:val="21"/>
          <w:szCs w:val="21"/>
        </w:rPr>
        <w:t xml:space="preserve">economic and geopolitical </w:t>
      </w:r>
      <w:r w:rsidRPr="00EC356F">
        <w:rPr>
          <w:rFonts w:ascii="Times New Roman" w:hAnsi="Times New Roman" w:cs="Times New Roman"/>
          <w:sz w:val="21"/>
          <w:szCs w:val="21"/>
        </w:rPr>
        <w:t xml:space="preserve">development perspectives in emerging economies, and Russia in particular, and how their potential impact would be spilled over to basic commodities and food product markets. </w:t>
      </w:r>
      <w:r w:rsidRPr="00EC356F">
        <w:rPr>
          <w:rFonts w:ascii="Times New Roman" w:hAnsi="Times New Roman" w:cs="Times New Roman"/>
          <w:b/>
          <w:sz w:val="21"/>
          <w:szCs w:val="21"/>
        </w:rPr>
        <w:t xml:space="preserve">Risks </w:t>
      </w:r>
      <w:r w:rsidR="00250AB4">
        <w:rPr>
          <w:rFonts w:ascii="Times New Roman" w:hAnsi="Times New Roman" w:cs="Times New Roman"/>
          <w:b/>
          <w:sz w:val="21"/>
          <w:szCs w:val="21"/>
        </w:rPr>
        <w:t>coming</w:t>
      </w:r>
      <w:r w:rsidR="00250AB4" w:rsidRPr="00EC356F">
        <w:rPr>
          <w:rFonts w:ascii="Times New Roman" w:hAnsi="Times New Roman" w:cs="Times New Roman"/>
          <w:b/>
          <w:sz w:val="21"/>
          <w:szCs w:val="21"/>
        </w:rPr>
        <w:t xml:space="preserve"> </w:t>
      </w:r>
      <w:r w:rsidRPr="00EC356F">
        <w:rPr>
          <w:rFonts w:ascii="Times New Roman" w:hAnsi="Times New Roman" w:cs="Times New Roman"/>
          <w:b/>
          <w:sz w:val="21"/>
          <w:szCs w:val="21"/>
        </w:rPr>
        <w:t xml:space="preserve">from the domestic environment </w:t>
      </w:r>
      <w:r w:rsidRPr="00EC356F">
        <w:rPr>
          <w:rFonts w:ascii="Times New Roman" w:hAnsi="Times New Roman" w:cs="Times New Roman"/>
          <w:sz w:val="21"/>
          <w:szCs w:val="21"/>
        </w:rPr>
        <w:t xml:space="preserve">are attributable to domestic demand developments, particularly </w:t>
      </w:r>
      <w:r w:rsidR="001A2C3B">
        <w:rPr>
          <w:rFonts w:ascii="Times New Roman" w:hAnsi="Times New Roman" w:cs="Times New Roman"/>
          <w:sz w:val="21"/>
          <w:szCs w:val="21"/>
        </w:rPr>
        <w:t>private consumption growth rates</w:t>
      </w:r>
      <w:r w:rsidR="00D4255C">
        <w:rPr>
          <w:rFonts w:ascii="Times New Roman" w:hAnsi="Times New Roman" w:cs="Times New Roman"/>
          <w:sz w:val="21"/>
          <w:szCs w:val="21"/>
        </w:rPr>
        <w:t xml:space="preserve">, </w:t>
      </w:r>
      <w:r w:rsidRPr="00EC356F">
        <w:rPr>
          <w:rFonts w:ascii="Times New Roman" w:hAnsi="Times New Roman" w:cs="Times New Roman"/>
          <w:sz w:val="21"/>
          <w:szCs w:val="21"/>
        </w:rPr>
        <w:t>capital investment</w:t>
      </w:r>
      <w:r w:rsidR="00FA502E">
        <w:rPr>
          <w:rFonts w:ascii="Times New Roman" w:hAnsi="Times New Roman" w:cs="Times New Roman"/>
          <w:sz w:val="21"/>
          <w:szCs w:val="21"/>
        </w:rPr>
        <w:t xml:space="preserve"> </w:t>
      </w:r>
      <w:r w:rsidR="00D4255C">
        <w:rPr>
          <w:rFonts w:ascii="Times New Roman" w:hAnsi="Times New Roman" w:cs="Times New Roman"/>
          <w:sz w:val="21"/>
          <w:szCs w:val="21"/>
        </w:rPr>
        <w:t xml:space="preserve">recovery rates, the </w:t>
      </w:r>
      <w:r w:rsidR="00E711CA">
        <w:rPr>
          <w:rFonts w:ascii="Times New Roman" w:hAnsi="Times New Roman" w:cs="Times New Roman"/>
          <w:sz w:val="21"/>
          <w:szCs w:val="21"/>
        </w:rPr>
        <w:t xml:space="preserve">Government-led projects, the </w:t>
      </w:r>
      <w:r w:rsidR="00D4255C">
        <w:rPr>
          <w:rFonts w:ascii="Times New Roman" w:hAnsi="Times New Roman" w:cs="Times New Roman"/>
          <w:sz w:val="21"/>
          <w:szCs w:val="21"/>
        </w:rPr>
        <w:t>economic effects from Armenia</w:t>
      </w:r>
      <w:r w:rsidR="00E711CA" w:rsidRPr="0012172D">
        <w:rPr>
          <w:rFonts w:ascii="Times New Roman" w:hAnsi="Times New Roman" w:cs="Times New Roman"/>
          <w:sz w:val="21"/>
          <w:szCs w:val="21"/>
        </w:rPr>
        <w:t>'</w:t>
      </w:r>
      <w:r w:rsidR="00D4255C">
        <w:rPr>
          <w:rFonts w:ascii="Times New Roman" w:hAnsi="Times New Roman" w:cs="Times New Roman"/>
          <w:sz w:val="21"/>
          <w:szCs w:val="21"/>
        </w:rPr>
        <w:t xml:space="preserve">s membership to the Eurasia Economic </w:t>
      </w:r>
      <w:r w:rsidR="001843F3">
        <w:rPr>
          <w:rFonts w:ascii="Times New Roman" w:hAnsi="Times New Roman" w:cs="Times New Roman"/>
          <w:sz w:val="21"/>
          <w:szCs w:val="21"/>
        </w:rPr>
        <w:t>Community</w:t>
      </w:r>
      <w:r w:rsidR="00E711CA">
        <w:rPr>
          <w:rFonts w:ascii="Times New Roman" w:hAnsi="Times New Roman" w:cs="Times New Roman"/>
          <w:sz w:val="21"/>
          <w:szCs w:val="21"/>
        </w:rPr>
        <w:t>,</w:t>
      </w:r>
      <w:r w:rsidR="00D4255C">
        <w:rPr>
          <w:rFonts w:ascii="Times New Roman" w:hAnsi="Times New Roman" w:cs="Times New Roman"/>
          <w:sz w:val="21"/>
          <w:szCs w:val="21"/>
        </w:rPr>
        <w:t xml:space="preserve"> and</w:t>
      </w:r>
      <w:r w:rsidRPr="00EC356F">
        <w:rPr>
          <w:rFonts w:ascii="Times New Roman" w:hAnsi="Times New Roman" w:cs="Times New Roman"/>
          <w:sz w:val="21"/>
          <w:szCs w:val="21"/>
        </w:rPr>
        <w:t xml:space="preserve"> the developments in agriculture sector which is largely reliant on climatic conditions.</w:t>
      </w:r>
      <w:r w:rsidR="00E711CA">
        <w:rPr>
          <w:rFonts w:ascii="Times New Roman" w:hAnsi="Times New Roman" w:cs="Times New Roman"/>
          <w:sz w:val="21"/>
          <w:szCs w:val="21"/>
        </w:rPr>
        <w:t xml:space="preserve"> </w:t>
      </w:r>
      <w:r w:rsidRPr="00EC356F">
        <w:rPr>
          <w:rFonts w:ascii="Times New Roman" w:hAnsi="Times New Roman" w:cs="Times New Roman"/>
          <w:sz w:val="21"/>
          <w:szCs w:val="21"/>
        </w:rPr>
        <w:t xml:space="preserve">If such risks materialize, the Central Bank will react accordingly by maintaining the inflation target in the medium </w:t>
      </w:r>
      <w:r w:rsidR="006F3967">
        <w:rPr>
          <w:rFonts w:ascii="Times New Roman" w:hAnsi="Times New Roman" w:cs="Times New Roman"/>
          <w:sz w:val="21"/>
          <w:szCs w:val="21"/>
        </w:rPr>
        <w:t>haul</w:t>
      </w:r>
      <w:r w:rsidRPr="00EC356F">
        <w:rPr>
          <w:rFonts w:ascii="Times New Roman" w:hAnsi="Times New Roman" w:cs="Times New Roman"/>
          <w:sz w:val="21"/>
          <w:szCs w:val="21"/>
        </w:rPr>
        <w:t>.</w:t>
      </w:r>
    </w:p>
    <w:p w14:paraId="2DF5B424" w14:textId="77777777" w:rsidR="006A0A3F" w:rsidRDefault="006A0A3F" w:rsidP="00A9653E">
      <w:pPr>
        <w:spacing w:line="360" w:lineRule="auto"/>
        <w:jc w:val="both"/>
        <w:rPr>
          <w:rStyle w:val="longtext"/>
          <w:rFonts w:ascii="Times New Roman" w:hAnsi="Times New Roman" w:cs="Times New Roman"/>
          <w:b/>
          <w:color w:val="000000"/>
          <w:sz w:val="21"/>
          <w:szCs w:val="21"/>
          <w:shd w:val="clear" w:color="auto" w:fill="FFFFFF"/>
        </w:rPr>
      </w:pPr>
    </w:p>
    <w:p w14:paraId="460C828C"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shd w:val="clear" w:color="auto" w:fill="FFFFFF"/>
        </w:rPr>
      </w:pPr>
      <w:r w:rsidRPr="00EC356F">
        <w:rPr>
          <w:rStyle w:val="longtext"/>
          <w:rFonts w:ascii="Times New Roman" w:hAnsi="Times New Roman" w:cs="Times New Roman"/>
          <w:b/>
          <w:color w:val="000000"/>
          <w:sz w:val="21"/>
          <w:szCs w:val="21"/>
          <w:shd w:val="clear" w:color="auto" w:fill="FFFFFF"/>
        </w:rPr>
        <w:t>2. FORECAST, FORECAST CHANGES, RISKS</w:t>
      </w:r>
    </w:p>
    <w:p w14:paraId="68F91AE9"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shd w:val="clear" w:color="auto" w:fill="FFFFFF"/>
        </w:rPr>
      </w:pPr>
      <w:r w:rsidRPr="00EC356F">
        <w:rPr>
          <w:rStyle w:val="longtext"/>
          <w:rFonts w:ascii="Times New Roman" w:hAnsi="Times New Roman" w:cs="Times New Roman"/>
          <w:b/>
          <w:color w:val="000000"/>
          <w:sz w:val="21"/>
          <w:szCs w:val="21"/>
          <w:shd w:val="clear" w:color="auto" w:fill="FFFFFF"/>
        </w:rPr>
        <w:t>2.1 External environment</w:t>
      </w:r>
      <w:r w:rsidR="000C5BB7">
        <w:rPr>
          <w:rStyle w:val="FootnoteReference"/>
          <w:rFonts w:ascii="Times New Roman" w:hAnsi="Times New Roman" w:cs="Times New Roman"/>
          <w:b/>
          <w:color w:val="000000"/>
          <w:sz w:val="21"/>
          <w:szCs w:val="21"/>
          <w:shd w:val="clear" w:color="auto" w:fill="FFFFFF"/>
        </w:rPr>
        <w:footnoteReference w:customMarkFollows="1" w:id="3"/>
        <w:t>3</w:t>
      </w:r>
    </w:p>
    <w:p w14:paraId="378A459F" w14:textId="77777777" w:rsidR="00655EF4" w:rsidRPr="00C57DB6" w:rsidRDefault="00655EF4" w:rsidP="00A9653E">
      <w:pPr>
        <w:spacing w:line="360" w:lineRule="auto"/>
        <w:jc w:val="both"/>
        <w:rPr>
          <w:rStyle w:val="longtext"/>
          <w:rFonts w:ascii="Times New Roman" w:hAnsi="Times New Roman" w:cs="Times New Roman"/>
          <w:b/>
          <w:color w:val="0070C0"/>
          <w:sz w:val="18"/>
          <w:szCs w:val="18"/>
          <w:shd w:val="clear" w:color="auto" w:fill="FFFFFF"/>
        </w:rPr>
      </w:pPr>
      <w:r w:rsidRPr="00C57DB6">
        <w:rPr>
          <w:rStyle w:val="longtext"/>
          <w:rFonts w:ascii="Times New Roman" w:hAnsi="Times New Roman" w:cs="Times New Roman"/>
          <w:b/>
          <w:color w:val="0070C0"/>
          <w:sz w:val="18"/>
          <w:szCs w:val="18"/>
          <w:shd w:val="clear" w:color="auto" w:fill="FFFFFF"/>
        </w:rPr>
        <w:t>The global econom</w:t>
      </w:r>
      <w:r w:rsidR="00C57DB6" w:rsidRPr="00C57DB6">
        <w:rPr>
          <w:rStyle w:val="longtext"/>
          <w:rFonts w:ascii="Times New Roman" w:hAnsi="Times New Roman" w:cs="Times New Roman"/>
          <w:b/>
          <w:color w:val="0070C0"/>
          <w:sz w:val="18"/>
          <w:szCs w:val="18"/>
          <w:shd w:val="clear" w:color="auto" w:fill="FFFFFF"/>
        </w:rPr>
        <w:t>y and economic growth rates in Armenia</w:t>
      </w:r>
      <w:r w:rsidR="00C57DB6" w:rsidRPr="00C57DB6">
        <w:rPr>
          <w:rFonts w:ascii="Times New Roman" w:hAnsi="Times New Roman" w:cs="Times New Roman"/>
          <w:b/>
          <w:color w:val="0070C0"/>
          <w:sz w:val="18"/>
          <w:szCs w:val="18"/>
        </w:rPr>
        <w:t>'</w:t>
      </w:r>
      <w:r w:rsidR="00C57DB6" w:rsidRPr="00C57DB6">
        <w:rPr>
          <w:rStyle w:val="longtext"/>
          <w:rFonts w:ascii="Times New Roman" w:hAnsi="Times New Roman" w:cs="Times New Roman"/>
          <w:b/>
          <w:color w:val="0070C0"/>
          <w:sz w:val="18"/>
          <w:szCs w:val="18"/>
          <w:shd w:val="clear" w:color="auto" w:fill="FFFFFF"/>
        </w:rPr>
        <w:t>s main trade partner countries are expected to slow down remarkably…</w:t>
      </w:r>
    </w:p>
    <w:p w14:paraId="4E9DAA98"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shd w:val="clear" w:color="auto" w:fill="FFFFFF"/>
        </w:rPr>
      </w:pPr>
      <w:r w:rsidRPr="00EC356F">
        <w:rPr>
          <w:rStyle w:val="longtext"/>
          <w:rFonts w:ascii="Times New Roman" w:hAnsi="Times New Roman" w:cs="Times New Roman"/>
          <w:b/>
          <w:color w:val="000000"/>
          <w:sz w:val="21"/>
          <w:szCs w:val="21"/>
          <w:shd w:val="clear" w:color="auto" w:fill="FFFFFF"/>
        </w:rPr>
        <w:t>In 201</w:t>
      </w:r>
      <w:r w:rsidR="00EC6D6E">
        <w:rPr>
          <w:rStyle w:val="longtext"/>
          <w:rFonts w:ascii="Times New Roman" w:hAnsi="Times New Roman" w:cs="Times New Roman"/>
          <w:b/>
          <w:color w:val="000000"/>
          <w:sz w:val="21"/>
          <w:szCs w:val="21"/>
          <w:shd w:val="clear" w:color="auto" w:fill="FFFFFF"/>
        </w:rPr>
        <w:t>5</w:t>
      </w:r>
      <w:r w:rsidRPr="00EC356F">
        <w:rPr>
          <w:rStyle w:val="longtext"/>
          <w:rFonts w:ascii="Times New Roman" w:hAnsi="Times New Roman" w:cs="Times New Roman"/>
          <w:b/>
          <w:color w:val="000000"/>
          <w:sz w:val="21"/>
          <w:szCs w:val="21"/>
          <w:shd w:val="clear" w:color="auto" w:fill="FFFFFF"/>
        </w:rPr>
        <w:t xml:space="preserve">, </w:t>
      </w:r>
      <w:r w:rsidR="00EC6D6E">
        <w:rPr>
          <w:rStyle w:val="longtext"/>
          <w:rFonts w:ascii="Times New Roman" w:hAnsi="Times New Roman" w:cs="Times New Roman"/>
          <w:b/>
          <w:color w:val="000000"/>
          <w:sz w:val="21"/>
          <w:szCs w:val="21"/>
          <w:shd w:val="clear" w:color="auto" w:fill="FFFFFF"/>
        </w:rPr>
        <w:t xml:space="preserve">the </w:t>
      </w:r>
      <w:r w:rsidRPr="00EC356F">
        <w:rPr>
          <w:rStyle w:val="longtext"/>
          <w:rFonts w:ascii="Times New Roman" w:hAnsi="Times New Roman" w:cs="Times New Roman"/>
          <w:b/>
          <w:color w:val="000000"/>
          <w:sz w:val="21"/>
          <w:szCs w:val="21"/>
          <w:shd w:val="clear" w:color="auto" w:fill="FFFFFF"/>
        </w:rPr>
        <w:t xml:space="preserve">world economic </w:t>
      </w:r>
      <w:r w:rsidR="00EC6D6E">
        <w:rPr>
          <w:rStyle w:val="longtext"/>
          <w:rFonts w:ascii="Times New Roman" w:hAnsi="Times New Roman" w:cs="Times New Roman"/>
          <w:b/>
          <w:color w:val="000000"/>
          <w:sz w:val="21"/>
          <w:szCs w:val="21"/>
          <w:shd w:val="clear" w:color="auto" w:fill="FFFFFF"/>
        </w:rPr>
        <w:t xml:space="preserve">growth and </w:t>
      </w:r>
      <w:r w:rsidRPr="00EC356F">
        <w:rPr>
          <w:rStyle w:val="longtext"/>
          <w:rFonts w:ascii="Times New Roman" w:hAnsi="Times New Roman" w:cs="Times New Roman"/>
          <w:b/>
          <w:color w:val="000000"/>
          <w:sz w:val="21"/>
          <w:szCs w:val="21"/>
          <w:shd w:val="clear" w:color="auto" w:fill="FFFFFF"/>
        </w:rPr>
        <w:t xml:space="preserve">growth rates in </w:t>
      </w:r>
      <w:r w:rsidR="00EC6D6E">
        <w:rPr>
          <w:rStyle w:val="longtext"/>
          <w:rFonts w:ascii="Times New Roman" w:hAnsi="Times New Roman" w:cs="Times New Roman"/>
          <w:b/>
          <w:color w:val="000000"/>
          <w:sz w:val="21"/>
          <w:szCs w:val="21"/>
          <w:shd w:val="clear" w:color="auto" w:fill="FFFFFF"/>
        </w:rPr>
        <w:t xml:space="preserve">economies of </w:t>
      </w:r>
      <w:r w:rsidRPr="00EC356F">
        <w:rPr>
          <w:rStyle w:val="longtext"/>
          <w:rFonts w:ascii="Times New Roman" w:hAnsi="Times New Roman" w:cs="Times New Roman"/>
          <w:b/>
          <w:color w:val="000000"/>
          <w:sz w:val="21"/>
          <w:szCs w:val="21"/>
          <w:shd w:val="clear" w:color="auto" w:fill="FFFFFF"/>
        </w:rPr>
        <w:t>Armenia</w:t>
      </w:r>
      <w:r w:rsidR="00EC6D6E" w:rsidRPr="00EC6D6E">
        <w:rPr>
          <w:rFonts w:ascii="Times New Roman" w:hAnsi="Times New Roman" w:cs="Times New Roman"/>
          <w:b/>
          <w:sz w:val="21"/>
          <w:szCs w:val="21"/>
        </w:rPr>
        <w:t>'</w:t>
      </w:r>
      <w:r w:rsidRPr="00EC356F">
        <w:rPr>
          <w:rStyle w:val="longtext"/>
          <w:rFonts w:ascii="Times New Roman" w:hAnsi="Times New Roman" w:cs="Times New Roman"/>
          <w:b/>
          <w:color w:val="000000"/>
          <w:sz w:val="21"/>
          <w:szCs w:val="21"/>
          <w:shd w:val="clear" w:color="auto" w:fill="FFFFFF"/>
        </w:rPr>
        <w:t xml:space="preserve">s </w:t>
      </w:r>
      <w:r w:rsidR="00EC6D6E">
        <w:rPr>
          <w:rStyle w:val="longtext"/>
          <w:rFonts w:ascii="Times New Roman" w:hAnsi="Times New Roman" w:cs="Times New Roman"/>
          <w:b/>
          <w:color w:val="000000"/>
          <w:sz w:val="21"/>
          <w:szCs w:val="21"/>
          <w:shd w:val="clear" w:color="auto" w:fill="FFFFFF"/>
        </w:rPr>
        <w:t xml:space="preserve">main </w:t>
      </w:r>
      <w:r w:rsidRPr="00EC356F">
        <w:rPr>
          <w:rStyle w:val="longtext"/>
          <w:rFonts w:ascii="Times New Roman" w:hAnsi="Times New Roman" w:cs="Times New Roman"/>
          <w:b/>
          <w:color w:val="000000"/>
          <w:sz w:val="21"/>
          <w:szCs w:val="21"/>
          <w:shd w:val="clear" w:color="auto" w:fill="FFFFFF"/>
        </w:rPr>
        <w:t>trade partner</w:t>
      </w:r>
      <w:r w:rsidR="00EC6D6E">
        <w:rPr>
          <w:rStyle w:val="longtext"/>
          <w:rFonts w:ascii="Times New Roman" w:hAnsi="Times New Roman" w:cs="Times New Roman"/>
          <w:b/>
          <w:color w:val="000000"/>
          <w:sz w:val="21"/>
          <w:szCs w:val="21"/>
          <w:shd w:val="clear" w:color="auto" w:fill="FFFFFF"/>
        </w:rPr>
        <w:t xml:space="preserve"> countries</w:t>
      </w:r>
      <w:r w:rsidR="009C76A4">
        <w:rPr>
          <w:rStyle w:val="longtext"/>
          <w:rFonts w:ascii="Times New Roman" w:hAnsi="Times New Roman" w:cs="Times New Roman"/>
          <w:b/>
          <w:color w:val="000000"/>
          <w:sz w:val="21"/>
          <w:szCs w:val="21"/>
          <w:shd w:val="clear" w:color="auto" w:fill="FFFFFF"/>
        </w:rPr>
        <w:t xml:space="preserve"> </w:t>
      </w:r>
      <w:r w:rsidR="00BB65CA">
        <w:rPr>
          <w:rStyle w:val="longtext"/>
          <w:rFonts w:ascii="Times New Roman" w:hAnsi="Times New Roman" w:cs="Times New Roman"/>
          <w:b/>
          <w:color w:val="000000"/>
          <w:sz w:val="21"/>
          <w:szCs w:val="21"/>
          <w:shd w:val="clear" w:color="auto" w:fill="FFFFFF"/>
        </w:rPr>
        <w:t>are</w:t>
      </w:r>
      <w:r w:rsidRPr="00EC356F">
        <w:rPr>
          <w:rStyle w:val="longtext"/>
          <w:rFonts w:ascii="Times New Roman" w:hAnsi="Times New Roman" w:cs="Times New Roman"/>
          <w:b/>
          <w:color w:val="000000"/>
          <w:sz w:val="21"/>
          <w:szCs w:val="21"/>
          <w:shd w:val="clear" w:color="auto" w:fill="FFFFFF"/>
        </w:rPr>
        <w:t xml:space="preserve"> expected to slow down </w:t>
      </w:r>
      <w:r w:rsidR="00EC6D6E">
        <w:rPr>
          <w:rStyle w:val="longtext"/>
          <w:rFonts w:ascii="Times New Roman" w:hAnsi="Times New Roman" w:cs="Times New Roman"/>
          <w:b/>
          <w:color w:val="000000"/>
          <w:sz w:val="21"/>
          <w:szCs w:val="21"/>
          <w:shd w:val="clear" w:color="auto" w:fill="FFFFFF"/>
        </w:rPr>
        <w:t xml:space="preserve">remarkably </w:t>
      </w:r>
      <w:r w:rsidRPr="00EC356F">
        <w:rPr>
          <w:rStyle w:val="longtext"/>
          <w:rFonts w:ascii="Times New Roman" w:hAnsi="Times New Roman" w:cs="Times New Roman"/>
          <w:b/>
          <w:color w:val="000000"/>
          <w:sz w:val="21"/>
          <w:szCs w:val="21"/>
          <w:shd w:val="clear" w:color="auto" w:fill="FFFFFF"/>
        </w:rPr>
        <w:t xml:space="preserve">in comparison with previous forecast, which will be noticeable </w:t>
      </w:r>
      <w:r w:rsidR="00EC6D6E">
        <w:rPr>
          <w:rStyle w:val="longtext"/>
          <w:rFonts w:ascii="Times New Roman" w:hAnsi="Times New Roman" w:cs="Times New Roman"/>
          <w:b/>
          <w:color w:val="000000"/>
          <w:sz w:val="21"/>
          <w:szCs w:val="21"/>
          <w:shd w:val="clear" w:color="auto" w:fill="FFFFFF"/>
        </w:rPr>
        <w:t xml:space="preserve">mostly in developing </w:t>
      </w:r>
      <w:r w:rsidRPr="00EC356F">
        <w:rPr>
          <w:rStyle w:val="longtext"/>
          <w:rFonts w:ascii="Times New Roman" w:hAnsi="Times New Roman" w:cs="Times New Roman"/>
          <w:b/>
          <w:color w:val="000000"/>
          <w:sz w:val="21"/>
          <w:szCs w:val="21"/>
          <w:shd w:val="clear" w:color="auto" w:fill="FFFFFF"/>
        </w:rPr>
        <w:t>countries</w:t>
      </w:r>
      <w:r w:rsidR="00EC6D6E">
        <w:rPr>
          <w:rStyle w:val="longtext"/>
          <w:rFonts w:ascii="Times New Roman" w:hAnsi="Times New Roman" w:cs="Times New Roman"/>
          <w:b/>
          <w:color w:val="000000"/>
          <w:sz w:val="21"/>
          <w:szCs w:val="21"/>
          <w:shd w:val="clear" w:color="auto" w:fill="FFFFFF"/>
        </w:rPr>
        <w:t>, whereas economic activity in the U.S.A. will accelerate</w:t>
      </w:r>
      <w:r w:rsidRPr="00EC356F">
        <w:rPr>
          <w:rStyle w:val="longtext"/>
          <w:rFonts w:ascii="Times New Roman" w:hAnsi="Times New Roman" w:cs="Times New Roman"/>
          <w:b/>
          <w:color w:val="000000"/>
          <w:sz w:val="21"/>
          <w:szCs w:val="21"/>
          <w:shd w:val="clear" w:color="auto" w:fill="FFFFFF"/>
        </w:rPr>
        <w:t>.</w:t>
      </w:r>
    </w:p>
    <w:p w14:paraId="11A66E26" w14:textId="77777777" w:rsidR="00A9653E" w:rsidRPr="00EC356F" w:rsidRDefault="00131A86" w:rsidP="00A9653E">
      <w:pPr>
        <w:spacing w:line="360" w:lineRule="auto"/>
        <w:jc w:val="both"/>
        <w:rPr>
          <w:rStyle w:val="longtext"/>
          <w:rFonts w:ascii="Times New Roman" w:hAnsi="Times New Roman" w:cs="Times New Roman"/>
          <w:color w:val="000000"/>
          <w:sz w:val="21"/>
          <w:szCs w:val="21"/>
          <w:shd w:val="clear" w:color="auto" w:fill="FFFFFF"/>
        </w:rPr>
      </w:pPr>
      <w:r>
        <w:rPr>
          <w:rStyle w:val="longtext"/>
          <w:rFonts w:ascii="Times New Roman" w:hAnsi="Times New Roman" w:cs="Times New Roman"/>
          <w:color w:val="000000"/>
          <w:sz w:val="21"/>
          <w:szCs w:val="21"/>
          <w:shd w:val="clear" w:color="auto" w:fill="FFFFFF"/>
        </w:rPr>
        <w:t>As the</w:t>
      </w:r>
      <w:r w:rsidR="00F51A59">
        <w:rPr>
          <w:rStyle w:val="longtext"/>
          <w:rFonts w:ascii="Times New Roman" w:hAnsi="Times New Roman" w:cs="Times New Roman"/>
          <w:color w:val="000000"/>
          <w:sz w:val="21"/>
          <w:szCs w:val="21"/>
          <w:shd w:val="clear" w:color="auto" w:fill="FFFFFF"/>
        </w:rPr>
        <w:t xml:space="preserve"> </w:t>
      </w:r>
      <w:r w:rsidR="00F51A59" w:rsidRPr="00F51A59">
        <w:rPr>
          <w:rStyle w:val="longtext"/>
          <w:rFonts w:ascii="Times New Roman" w:hAnsi="Times New Roman" w:cs="Times New Roman"/>
          <w:color w:val="000000"/>
          <w:sz w:val="21"/>
          <w:szCs w:val="21"/>
          <w:shd w:val="clear" w:color="auto" w:fill="FFFFFF"/>
        </w:rPr>
        <w:t xml:space="preserve">economic activity </w:t>
      </w:r>
      <w:r w:rsidR="00F51A59">
        <w:rPr>
          <w:rStyle w:val="longtext"/>
          <w:rFonts w:ascii="Times New Roman" w:hAnsi="Times New Roman" w:cs="Times New Roman"/>
          <w:color w:val="000000"/>
          <w:sz w:val="21"/>
          <w:szCs w:val="21"/>
          <w:shd w:val="clear" w:color="auto" w:fill="FFFFFF"/>
        </w:rPr>
        <w:t>a</w:t>
      </w:r>
      <w:r w:rsidR="00F51A59" w:rsidRPr="00F51A59">
        <w:rPr>
          <w:rStyle w:val="longtext"/>
          <w:rFonts w:ascii="Times New Roman" w:hAnsi="Times New Roman" w:cs="Times New Roman"/>
          <w:color w:val="000000"/>
          <w:sz w:val="21"/>
          <w:szCs w:val="21"/>
          <w:shd w:val="clear" w:color="auto" w:fill="FFFFFF"/>
        </w:rPr>
        <w:t>nd demand re</w:t>
      </w:r>
      <w:r w:rsidR="00F51A59">
        <w:rPr>
          <w:rStyle w:val="longtext"/>
          <w:rFonts w:ascii="Times New Roman" w:hAnsi="Times New Roman" w:cs="Times New Roman"/>
          <w:color w:val="000000"/>
          <w:sz w:val="21"/>
          <w:szCs w:val="21"/>
          <w:shd w:val="clear" w:color="auto" w:fill="FFFFFF"/>
        </w:rPr>
        <w:t xml:space="preserve">bound and </w:t>
      </w:r>
      <w:r>
        <w:rPr>
          <w:rStyle w:val="longtext"/>
          <w:rFonts w:ascii="Times New Roman" w:hAnsi="Times New Roman" w:cs="Times New Roman"/>
          <w:color w:val="000000"/>
          <w:sz w:val="21"/>
          <w:szCs w:val="21"/>
          <w:shd w:val="clear" w:color="auto" w:fill="FFFFFF"/>
        </w:rPr>
        <w:t xml:space="preserve">the </w:t>
      </w:r>
      <w:r w:rsidR="00F51A59">
        <w:rPr>
          <w:rStyle w:val="longtext"/>
          <w:rFonts w:ascii="Times New Roman" w:hAnsi="Times New Roman" w:cs="Times New Roman"/>
          <w:color w:val="000000"/>
          <w:sz w:val="21"/>
          <w:szCs w:val="21"/>
          <w:shd w:val="clear" w:color="auto" w:fill="FFFFFF"/>
        </w:rPr>
        <w:t xml:space="preserve">inflation </w:t>
      </w:r>
      <w:r>
        <w:rPr>
          <w:rStyle w:val="longtext"/>
          <w:rFonts w:ascii="Times New Roman" w:hAnsi="Times New Roman" w:cs="Times New Roman"/>
          <w:color w:val="000000"/>
          <w:sz w:val="21"/>
          <w:szCs w:val="21"/>
          <w:shd w:val="clear" w:color="auto" w:fill="FFFFFF"/>
        </w:rPr>
        <w:t xml:space="preserve">rates </w:t>
      </w:r>
      <w:r w:rsidR="00F51A59">
        <w:rPr>
          <w:rStyle w:val="longtext"/>
          <w:rFonts w:ascii="Times New Roman" w:hAnsi="Times New Roman" w:cs="Times New Roman"/>
          <w:color w:val="000000"/>
          <w:sz w:val="21"/>
          <w:szCs w:val="21"/>
          <w:shd w:val="clear" w:color="auto" w:fill="FFFFFF"/>
        </w:rPr>
        <w:t>declin</w:t>
      </w:r>
      <w:r>
        <w:rPr>
          <w:rStyle w:val="longtext"/>
          <w:rFonts w:ascii="Times New Roman" w:hAnsi="Times New Roman" w:cs="Times New Roman"/>
          <w:color w:val="000000"/>
          <w:sz w:val="21"/>
          <w:szCs w:val="21"/>
          <w:shd w:val="clear" w:color="auto" w:fill="FFFFFF"/>
        </w:rPr>
        <w:t>e un</w:t>
      </w:r>
      <w:r w:rsidRPr="00F51A59">
        <w:rPr>
          <w:rStyle w:val="longtext"/>
          <w:rFonts w:ascii="Times New Roman" w:hAnsi="Times New Roman" w:cs="Times New Roman"/>
          <w:color w:val="000000"/>
          <w:sz w:val="21"/>
          <w:szCs w:val="21"/>
          <w:shd w:val="clear" w:color="auto" w:fill="FFFFFF"/>
        </w:rPr>
        <w:t>hurriedly</w:t>
      </w:r>
      <w:r>
        <w:rPr>
          <w:rStyle w:val="longtext"/>
          <w:rFonts w:ascii="Times New Roman" w:hAnsi="Times New Roman" w:cs="Times New Roman"/>
          <w:color w:val="000000"/>
          <w:sz w:val="21"/>
          <w:szCs w:val="21"/>
          <w:shd w:val="clear" w:color="auto" w:fill="FFFFFF"/>
        </w:rPr>
        <w:t>,</w:t>
      </w:r>
      <w:r w:rsidR="00F51A59" w:rsidRPr="00F51A59">
        <w:rPr>
          <w:rStyle w:val="longtext"/>
          <w:rFonts w:ascii="Times New Roman" w:hAnsi="Times New Roman" w:cs="Times New Roman"/>
          <w:color w:val="000000"/>
          <w:sz w:val="21"/>
          <w:szCs w:val="21"/>
          <w:shd w:val="clear" w:color="auto" w:fill="FFFFFF"/>
        </w:rPr>
        <w:t xml:space="preserve"> </w:t>
      </w:r>
      <w:r w:rsidRPr="00F51A59">
        <w:rPr>
          <w:rStyle w:val="longtext"/>
          <w:rFonts w:ascii="Times New Roman" w:hAnsi="Times New Roman" w:cs="Times New Roman"/>
          <w:color w:val="000000"/>
          <w:sz w:val="21"/>
          <w:szCs w:val="21"/>
          <w:shd w:val="clear" w:color="auto" w:fill="FFFFFF"/>
        </w:rPr>
        <w:t xml:space="preserve">the </w:t>
      </w:r>
      <w:r w:rsidRPr="00131A86">
        <w:rPr>
          <w:rStyle w:val="longtext"/>
          <w:rFonts w:ascii="Times New Roman" w:hAnsi="Times New Roman" w:cs="Times New Roman"/>
          <w:b/>
          <w:color w:val="000000"/>
          <w:sz w:val="21"/>
          <w:szCs w:val="21"/>
          <w:shd w:val="clear" w:color="auto" w:fill="FFFFFF"/>
        </w:rPr>
        <w:t>U.S. Federal Reserve System</w:t>
      </w:r>
      <w:r>
        <w:rPr>
          <w:rStyle w:val="longtext"/>
          <w:rFonts w:ascii="Times New Roman" w:hAnsi="Times New Roman" w:cs="Times New Roman"/>
          <w:color w:val="000000"/>
          <w:sz w:val="21"/>
          <w:szCs w:val="21"/>
          <w:shd w:val="clear" w:color="auto" w:fill="FFFFFF"/>
        </w:rPr>
        <w:t xml:space="preserve"> is expected to </w:t>
      </w:r>
      <w:r w:rsidR="00915D1A">
        <w:rPr>
          <w:rStyle w:val="longtext"/>
          <w:rFonts w:ascii="Times New Roman" w:hAnsi="Times New Roman" w:cs="Times New Roman"/>
          <w:color w:val="000000"/>
          <w:sz w:val="21"/>
          <w:szCs w:val="21"/>
          <w:shd w:val="clear" w:color="auto" w:fill="FFFFFF"/>
        </w:rPr>
        <w:t>raise</w:t>
      </w:r>
      <w:r>
        <w:rPr>
          <w:rStyle w:val="longtext"/>
          <w:rFonts w:ascii="Times New Roman" w:hAnsi="Times New Roman" w:cs="Times New Roman"/>
          <w:color w:val="000000"/>
          <w:sz w:val="21"/>
          <w:szCs w:val="21"/>
          <w:shd w:val="clear" w:color="auto" w:fill="FFFFFF"/>
        </w:rPr>
        <w:t xml:space="preserve"> the</w:t>
      </w:r>
      <w:r w:rsidR="00F51A59" w:rsidRPr="00F51A59">
        <w:rPr>
          <w:rStyle w:val="longtext"/>
          <w:rFonts w:ascii="Times New Roman" w:hAnsi="Times New Roman" w:cs="Times New Roman"/>
          <w:color w:val="000000"/>
          <w:sz w:val="21"/>
          <w:szCs w:val="21"/>
          <w:shd w:val="clear" w:color="auto" w:fill="FFFFFF"/>
        </w:rPr>
        <w:t xml:space="preserve"> policy </w:t>
      </w:r>
      <w:r>
        <w:rPr>
          <w:rStyle w:val="longtext"/>
          <w:rFonts w:ascii="Times New Roman" w:hAnsi="Times New Roman" w:cs="Times New Roman"/>
          <w:color w:val="000000"/>
          <w:sz w:val="21"/>
          <w:szCs w:val="21"/>
          <w:shd w:val="clear" w:color="auto" w:fill="FFFFFF"/>
        </w:rPr>
        <w:t>rates in the midst of 2015</w:t>
      </w:r>
      <w:r w:rsidR="00F51A59" w:rsidRPr="00F51A59">
        <w:rPr>
          <w:rStyle w:val="longtext"/>
          <w:rFonts w:ascii="Times New Roman" w:hAnsi="Times New Roman" w:cs="Times New Roman"/>
          <w:color w:val="000000"/>
          <w:sz w:val="21"/>
          <w:szCs w:val="21"/>
          <w:shd w:val="clear" w:color="auto" w:fill="FFFFFF"/>
        </w:rPr>
        <w:t xml:space="preserve">. </w:t>
      </w:r>
      <w:r>
        <w:rPr>
          <w:rStyle w:val="longtext"/>
          <w:rFonts w:ascii="Times New Roman" w:hAnsi="Times New Roman" w:cs="Times New Roman"/>
          <w:color w:val="000000"/>
          <w:sz w:val="21"/>
          <w:szCs w:val="21"/>
          <w:shd w:val="clear" w:color="auto" w:fill="FFFFFF"/>
        </w:rPr>
        <w:t>The e</w:t>
      </w:r>
      <w:r w:rsidR="00F51A59" w:rsidRPr="00F51A59">
        <w:rPr>
          <w:rStyle w:val="longtext"/>
          <w:rFonts w:ascii="Times New Roman" w:hAnsi="Times New Roman" w:cs="Times New Roman"/>
          <w:color w:val="000000"/>
          <w:sz w:val="21"/>
          <w:szCs w:val="21"/>
          <w:shd w:val="clear" w:color="auto" w:fill="FFFFFF"/>
        </w:rPr>
        <w:t>conomic growth</w:t>
      </w:r>
      <w:r>
        <w:rPr>
          <w:rStyle w:val="longtext"/>
          <w:rFonts w:ascii="Times New Roman" w:hAnsi="Times New Roman" w:cs="Times New Roman"/>
          <w:color w:val="000000"/>
          <w:sz w:val="21"/>
          <w:szCs w:val="21"/>
          <w:shd w:val="clear" w:color="auto" w:fill="FFFFFF"/>
        </w:rPr>
        <w:t xml:space="preserve"> in 2015</w:t>
      </w:r>
      <w:r w:rsidR="00F51A59" w:rsidRPr="00F51A59">
        <w:rPr>
          <w:rStyle w:val="longtext"/>
          <w:rFonts w:ascii="Times New Roman" w:hAnsi="Times New Roman" w:cs="Times New Roman"/>
          <w:color w:val="000000"/>
          <w:sz w:val="21"/>
          <w:szCs w:val="21"/>
          <w:shd w:val="clear" w:color="auto" w:fill="FFFFFF"/>
        </w:rPr>
        <w:t xml:space="preserve"> is estimated </w:t>
      </w:r>
      <w:r>
        <w:rPr>
          <w:rStyle w:val="longtext"/>
          <w:rFonts w:ascii="Times New Roman" w:hAnsi="Times New Roman" w:cs="Times New Roman"/>
          <w:color w:val="000000"/>
          <w:sz w:val="21"/>
          <w:szCs w:val="21"/>
          <w:shd w:val="clear" w:color="auto" w:fill="FFFFFF"/>
        </w:rPr>
        <w:t>to be</w:t>
      </w:r>
      <w:r w:rsidR="00F51A59" w:rsidRPr="00F51A59">
        <w:rPr>
          <w:rStyle w:val="longtext"/>
          <w:rFonts w:ascii="Times New Roman" w:hAnsi="Times New Roman" w:cs="Times New Roman"/>
          <w:color w:val="000000"/>
          <w:sz w:val="21"/>
          <w:szCs w:val="21"/>
          <w:shd w:val="clear" w:color="auto" w:fill="FFFFFF"/>
        </w:rPr>
        <w:t xml:space="preserve"> 2.5%, </w:t>
      </w:r>
      <w:r>
        <w:rPr>
          <w:rStyle w:val="longtext"/>
          <w:rFonts w:ascii="Times New Roman" w:hAnsi="Times New Roman" w:cs="Times New Roman"/>
          <w:color w:val="000000"/>
          <w:sz w:val="21"/>
          <w:szCs w:val="21"/>
          <w:shd w:val="clear" w:color="auto" w:fill="FFFFFF"/>
        </w:rPr>
        <w:t>which will speed up to 3.5% in 2017.</w:t>
      </w:r>
      <w:r w:rsidR="00A9653E" w:rsidRPr="00EC356F">
        <w:rPr>
          <w:rStyle w:val="longtext"/>
          <w:rFonts w:ascii="Times New Roman" w:hAnsi="Times New Roman" w:cs="Times New Roman"/>
          <w:color w:val="000000"/>
          <w:sz w:val="21"/>
          <w:szCs w:val="21"/>
          <w:shd w:val="clear" w:color="auto" w:fill="FFFFFF"/>
        </w:rPr>
        <w:t xml:space="preserve">      </w:t>
      </w:r>
    </w:p>
    <w:p w14:paraId="38DC74FB" w14:textId="5C0071BD" w:rsidR="00A07B17"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Pr="00EC356F">
        <w:rPr>
          <w:rFonts w:ascii="Times New Roman" w:hAnsi="Times New Roman" w:cs="Times New Roman"/>
          <w:b/>
          <w:sz w:val="21"/>
          <w:szCs w:val="21"/>
        </w:rPr>
        <w:t>Euro-area</w:t>
      </w:r>
      <w:r w:rsidRPr="00EC356F">
        <w:rPr>
          <w:rFonts w:ascii="Times New Roman" w:hAnsi="Times New Roman" w:cs="Times New Roman"/>
          <w:sz w:val="21"/>
          <w:szCs w:val="21"/>
        </w:rPr>
        <w:t xml:space="preserve">, </w:t>
      </w:r>
      <w:r w:rsidR="00AA67C4">
        <w:rPr>
          <w:rFonts w:ascii="Times New Roman" w:hAnsi="Times New Roman" w:cs="Times New Roman"/>
          <w:sz w:val="21"/>
          <w:szCs w:val="21"/>
        </w:rPr>
        <w:t xml:space="preserve">after </w:t>
      </w:r>
      <w:r w:rsidR="00AA67C4" w:rsidRPr="00AA67C4">
        <w:rPr>
          <w:rFonts w:ascii="Times New Roman" w:hAnsi="Times New Roman" w:cs="Times New Roman"/>
          <w:sz w:val="21"/>
          <w:szCs w:val="21"/>
        </w:rPr>
        <w:t>slowdown in economic activity in 201</w:t>
      </w:r>
      <w:r w:rsidR="00AA67C4">
        <w:rPr>
          <w:rFonts w:ascii="Times New Roman" w:hAnsi="Times New Roman" w:cs="Times New Roman"/>
          <w:sz w:val="21"/>
          <w:szCs w:val="21"/>
        </w:rPr>
        <w:t>4, the growth in 2015</w:t>
      </w:r>
      <w:r w:rsidR="00AA67C4" w:rsidRPr="00AA67C4">
        <w:rPr>
          <w:rFonts w:ascii="Times New Roman" w:hAnsi="Times New Roman" w:cs="Times New Roman"/>
          <w:sz w:val="21"/>
          <w:szCs w:val="21"/>
        </w:rPr>
        <w:t xml:space="preserve"> </w:t>
      </w:r>
      <w:r w:rsidR="00AA67C4">
        <w:rPr>
          <w:rFonts w:ascii="Times New Roman" w:hAnsi="Times New Roman" w:cs="Times New Roman"/>
          <w:sz w:val="21"/>
          <w:szCs w:val="21"/>
        </w:rPr>
        <w:t xml:space="preserve">is </w:t>
      </w:r>
      <w:r w:rsidR="00AA67C4" w:rsidRPr="00AA67C4">
        <w:rPr>
          <w:rFonts w:ascii="Times New Roman" w:hAnsi="Times New Roman" w:cs="Times New Roman"/>
          <w:sz w:val="21"/>
          <w:szCs w:val="21"/>
        </w:rPr>
        <w:t>expected</w:t>
      </w:r>
      <w:r w:rsidR="00AA67C4">
        <w:rPr>
          <w:rFonts w:ascii="Times New Roman" w:hAnsi="Times New Roman" w:cs="Times New Roman"/>
          <w:sz w:val="21"/>
          <w:szCs w:val="21"/>
        </w:rPr>
        <w:t xml:space="preserve"> to </w:t>
      </w:r>
      <w:r w:rsidR="00AA67C4" w:rsidRPr="00AA67C4">
        <w:rPr>
          <w:rFonts w:ascii="Times New Roman" w:hAnsi="Times New Roman" w:cs="Times New Roman"/>
          <w:sz w:val="21"/>
          <w:szCs w:val="21"/>
        </w:rPr>
        <w:t>accelerat</w:t>
      </w:r>
      <w:r w:rsidR="00AA67C4">
        <w:rPr>
          <w:rFonts w:ascii="Times New Roman" w:hAnsi="Times New Roman" w:cs="Times New Roman"/>
          <w:sz w:val="21"/>
          <w:szCs w:val="21"/>
        </w:rPr>
        <w:t>e to a certain extent</w:t>
      </w:r>
      <w:r w:rsidR="00AA67C4" w:rsidRPr="00AA67C4">
        <w:rPr>
          <w:rFonts w:ascii="Times New Roman" w:hAnsi="Times New Roman" w:cs="Times New Roman"/>
          <w:sz w:val="21"/>
          <w:szCs w:val="21"/>
        </w:rPr>
        <w:t>, which will be about 1.2%</w:t>
      </w:r>
      <w:r w:rsidR="00262368">
        <w:rPr>
          <w:rFonts w:ascii="Times New Roman" w:hAnsi="Times New Roman" w:cs="Times New Roman"/>
          <w:sz w:val="21"/>
          <w:szCs w:val="21"/>
        </w:rPr>
        <w:t>. In 2017, however, i.e.</w:t>
      </w:r>
      <w:r w:rsidR="00AA67C4">
        <w:rPr>
          <w:rFonts w:ascii="Times New Roman" w:hAnsi="Times New Roman" w:cs="Times New Roman"/>
          <w:sz w:val="21"/>
          <w:szCs w:val="21"/>
        </w:rPr>
        <w:t xml:space="preserve"> at the e</w:t>
      </w:r>
      <w:r w:rsidR="00262368">
        <w:rPr>
          <w:rFonts w:ascii="Times New Roman" w:hAnsi="Times New Roman" w:cs="Times New Roman"/>
          <w:sz w:val="21"/>
          <w:szCs w:val="21"/>
        </w:rPr>
        <w:t>nd of</w:t>
      </w:r>
      <w:r w:rsidR="00AA67C4" w:rsidRPr="00AA67C4">
        <w:rPr>
          <w:rFonts w:ascii="Times New Roman" w:hAnsi="Times New Roman" w:cs="Times New Roman"/>
          <w:sz w:val="21"/>
          <w:szCs w:val="21"/>
        </w:rPr>
        <w:t xml:space="preserve"> the forecast horizon</w:t>
      </w:r>
      <w:r w:rsidR="00262368">
        <w:rPr>
          <w:rFonts w:ascii="Times New Roman" w:hAnsi="Times New Roman" w:cs="Times New Roman"/>
          <w:sz w:val="21"/>
          <w:szCs w:val="21"/>
        </w:rPr>
        <w:t>, the growth will be around</w:t>
      </w:r>
      <w:r w:rsidR="00AA67C4" w:rsidRPr="00AA67C4">
        <w:rPr>
          <w:rFonts w:ascii="Times New Roman" w:hAnsi="Times New Roman" w:cs="Times New Roman"/>
          <w:sz w:val="21"/>
          <w:szCs w:val="21"/>
        </w:rPr>
        <w:t xml:space="preserve"> 1.0%</w:t>
      </w:r>
      <w:r w:rsidR="00262368">
        <w:rPr>
          <w:rFonts w:ascii="Times New Roman" w:hAnsi="Times New Roman" w:cs="Times New Roman"/>
          <w:sz w:val="21"/>
          <w:szCs w:val="21"/>
        </w:rPr>
        <w:t xml:space="preserve">. </w:t>
      </w:r>
      <w:r w:rsidR="00FD1B2D">
        <w:rPr>
          <w:rFonts w:ascii="Times New Roman" w:hAnsi="Times New Roman" w:cs="Times New Roman"/>
          <w:sz w:val="21"/>
          <w:szCs w:val="21"/>
        </w:rPr>
        <w:t xml:space="preserve">In the face of increasingly </w:t>
      </w:r>
      <w:r w:rsidR="00FD1B2D" w:rsidRPr="00AA67C4">
        <w:rPr>
          <w:rFonts w:ascii="Times New Roman" w:hAnsi="Times New Roman" w:cs="Times New Roman"/>
          <w:sz w:val="21"/>
          <w:szCs w:val="21"/>
        </w:rPr>
        <w:t>deflationary environment</w:t>
      </w:r>
      <w:r w:rsidR="00FD1B2D">
        <w:rPr>
          <w:rFonts w:ascii="Times New Roman" w:hAnsi="Times New Roman" w:cs="Times New Roman"/>
          <w:sz w:val="21"/>
          <w:szCs w:val="21"/>
        </w:rPr>
        <w:t xml:space="preserve">, </w:t>
      </w:r>
      <w:r w:rsidR="00AA67C4" w:rsidRPr="00AA67C4">
        <w:rPr>
          <w:rFonts w:ascii="Times New Roman" w:hAnsi="Times New Roman" w:cs="Times New Roman"/>
          <w:sz w:val="21"/>
          <w:szCs w:val="21"/>
        </w:rPr>
        <w:t xml:space="preserve">the European Central Bank </w:t>
      </w:r>
      <w:r w:rsidR="00FD1B2D" w:rsidRPr="00EC356F">
        <w:rPr>
          <w:rFonts w:ascii="Times New Roman" w:hAnsi="Times New Roman" w:cs="Times New Roman"/>
          <w:sz w:val="21"/>
          <w:szCs w:val="21"/>
        </w:rPr>
        <w:t xml:space="preserve">will continue </w:t>
      </w:r>
      <w:r w:rsidR="00FD1B2D">
        <w:rPr>
          <w:rFonts w:ascii="Times New Roman" w:hAnsi="Times New Roman" w:cs="Times New Roman"/>
          <w:sz w:val="21"/>
          <w:szCs w:val="21"/>
        </w:rPr>
        <w:t>its</w:t>
      </w:r>
      <w:r w:rsidR="00FD1B2D" w:rsidRPr="00EC356F">
        <w:rPr>
          <w:rFonts w:ascii="Times New Roman" w:hAnsi="Times New Roman" w:cs="Times New Roman"/>
          <w:sz w:val="21"/>
          <w:szCs w:val="21"/>
        </w:rPr>
        <w:t xml:space="preserve"> low-interest-rates policy</w:t>
      </w:r>
      <w:r w:rsidR="00FD1B2D">
        <w:rPr>
          <w:rFonts w:ascii="Times New Roman" w:hAnsi="Times New Roman" w:cs="Times New Roman"/>
          <w:sz w:val="21"/>
          <w:szCs w:val="21"/>
        </w:rPr>
        <w:t>.</w:t>
      </w:r>
      <w:r w:rsidR="00FD1B2D" w:rsidRPr="00AA67C4">
        <w:rPr>
          <w:rFonts w:ascii="Times New Roman" w:hAnsi="Times New Roman" w:cs="Times New Roman"/>
          <w:sz w:val="21"/>
          <w:szCs w:val="21"/>
        </w:rPr>
        <w:t xml:space="preserve"> </w:t>
      </w:r>
      <w:r w:rsidR="00B279EB">
        <w:rPr>
          <w:rFonts w:ascii="Times New Roman" w:hAnsi="Times New Roman" w:cs="Times New Roman"/>
          <w:sz w:val="21"/>
          <w:szCs w:val="21"/>
        </w:rPr>
        <w:t xml:space="preserve">It should be noted that </w:t>
      </w:r>
      <w:r w:rsidR="00A07B17">
        <w:rPr>
          <w:rFonts w:ascii="Times New Roman" w:hAnsi="Times New Roman" w:cs="Times New Roman"/>
          <w:sz w:val="21"/>
          <w:szCs w:val="21"/>
        </w:rPr>
        <w:t>p</w:t>
      </w:r>
      <w:r w:rsidR="00B279EB">
        <w:rPr>
          <w:rFonts w:ascii="Times New Roman" w:hAnsi="Times New Roman" w:cs="Times New Roman"/>
          <w:sz w:val="21"/>
          <w:szCs w:val="21"/>
        </w:rPr>
        <w:t>urchase</w:t>
      </w:r>
      <w:r w:rsidR="00A07B17">
        <w:rPr>
          <w:rFonts w:ascii="Times New Roman" w:hAnsi="Times New Roman" w:cs="Times New Roman"/>
          <w:sz w:val="21"/>
          <w:szCs w:val="21"/>
        </w:rPr>
        <w:t>s</w:t>
      </w:r>
      <w:r w:rsidR="00B279EB">
        <w:rPr>
          <w:rFonts w:ascii="Times New Roman" w:hAnsi="Times New Roman" w:cs="Times New Roman"/>
          <w:sz w:val="21"/>
          <w:szCs w:val="21"/>
        </w:rPr>
        <w:t xml:space="preserve"> of </w:t>
      </w:r>
      <w:r w:rsidR="00B279EB" w:rsidRPr="00AA67C4">
        <w:rPr>
          <w:rFonts w:ascii="Times New Roman" w:hAnsi="Times New Roman" w:cs="Times New Roman"/>
          <w:sz w:val="21"/>
          <w:szCs w:val="21"/>
        </w:rPr>
        <w:t>sovereign bond</w:t>
      </w:r>
      <w:r w:rsidR="00B279EB">
        <w:rPr>
          <w:rFonts w:ascii="Times New Roman" w:hAnsi="Times New Roman" w:cs="Times New Roman"/>
          <w:sz w:val="21"/>
          <w:szCs w:val="21"/>
        </w:rPr>
        <w:t xml:space="preserve">s in early 2015 </w:t>
      </w:r>
      <w:r w:rsidR="00B279EB" w:rsidRPr="00AA67C4">
        <w:rPr>
          <w:rFonts w:ascii="Times New Roman" w:hAnsi="Times New Roman" w:cs="Times New Roman"/>
          <w:sz w:val="21"/>
          <w:szCs w:val="21"/>
        </w:rPr>
        <w:t>(</w:t>
      </w:r>
      <w:r w:rsidR="00B279EB">
        <w:rPr>
          <w:rFonts w:ascii="Times New Roman" w:hAnsi="Times New Roman" w:cs="Times New Roman"/>
          <w:sz w:val="21"/>
          <w:szCs w:val="21"/>
        </w:rPr>
        <w:t xml:space="preserve">with a monthly purchase volume of EUR </w:t>
      </w:r>
      <w:r w:rsidR="00B279EB" w:rsidRPr="00AA67C4">
        <w:rPr>
          <w:rFonts w:ascii="Times New Roman" w:hAnsi="Times New Roman" w:cs="Times New Roman"/>
          <w:sz w:val="21"/>
          <w:szCs w:val="21"/>
        </w:rPr>
        <w:t>60 billion)</w:t>
      </w:r>
      <w:r w:rsidR="00B279EB">
        <w:rPr>
          <w:rFonts w:ascii="Times New Roman" w:hAnsi="Times New Roman" w:cs="Times New Roman"/>
          <w:sz w:val="21"/>
          <w:szCs w:val="21"/>
        </w:rPr>
        <w:t xml:space="preserve"> came</w:t>
      </w:r>
      <w:r w:rsidR="00B279EB" w:rsidRPr="00AA67C4">
        <w:rPr>
          <w:rFonts w:ascii="Times New Roman" w:hAnsi="Times New Roman" w:cs="Times New Roman"/>
          <w:sz w:val="21"/>
          <w:szCs w:val="21"/>
        </w:rPr>
        <w:t xml:space="preserve"> </w:t>
      </w:r>
      <w:r w:rsidR="00AA67C4" w:rsidRPr="00AA67C4">
        <w:rPr>
          <w:rFonts w:ascii="Times New Roman" w:hAnsi="Times New Roman" w:cs="Times New Roman"/>
          <w:sz w:val="21"/>
          <w:szCs w:val="21"/>
        </w:rPr>
        <w:t xml:space="preserve">in addition to the </w:t>
      </w:r>
      <w:r w:rsidR="00792C51" w:rsidRPr="00AA67C4">
        <w:rPr>
          <w:rFonts w:ascii="Times New Roman" w:hAnsi="Times New Roman" w:cs="Times New Roman"/>
          <w:sz w:val="21"/>
          <w:szCs w:val="21"/>
        </w:rPr>
        <w:t xml:space="preserve">program </w:t>
      </w:r>
      <w:r w:rsidR="00792C51">
        <w:rPr>
          <w:rFonts w:ascii="Times New Roman" w:hAnsi="Times New Roman" w:cs="Times New Roman"/>
          <w:sz w:val="21"/>
          <w:szCs w:val="21"/>
        </w:rPr>
        <w:t xml:space="preserve">of </w:t>
      </w:r>
      <w:r w:rsidR="00AA67C4" w:rsidRPr="00AA67C4">
        <w:rPr>
          <w:rFonts w:ascii="Times New Roman" w:hAnsi="Times New Roman" w:cs="Times New Roman"/>
          <w:sz w:val="21"/>
          <w:szCs w:val="21"/>
        </w:rPr>
        <w:t>asset-backed securit</w:t>
      </w:r>
      <w:r w:rsidR="00792C51">
        <w:rPr>
          <w:rFonts w:ascii="Times New Roman" w:hAnsi="Times New Roman" w:cs="Times New Roman"/>
          <w:sz w:val="21"/>
          <w:szCs w:val="21"/>
        </w:rPr>
        <w:t>y</w:t>
      </w:r>
      <w:r w:rsidR="00AA67C4" w:rsidRPr="00AA67C4">
        <w:rPr>
          <w:rFonts w:ascii="Times New Roman" w:hAnsi="Times New Roman" w:cs="Times New Roman"/>
          <w:sz w:val="21"/>
          <w:szCs w:val="21"/>
        </w:rPr>
        <w:t xml:space="preserve"> and covered bond purchase</w:t>
      </w:r>
      <w:r w:rsidR="00A07B17">
        <w:rPr>
          <w:rFonts w:ascii="Times New Roman" w:hAnsi="Times New Roman" w:cs="Times New Roman"/>
          <w:sz w:val="21"/>
          <w:szCs w:val="21"/>
        </w:rPr>
        <w:t>s</w:t>
      </w:r>
      <w:r w:rsidR="00AA67C4" w:rsidRPr="00AA67C4">
        <w:rPr>
          <w:rFonts w:ascii="Times New Roman" w:hAnsi="Times New Roman" w:cs="Times New Roman"/>
          <w:sz w:val="21"/>
          <w:szCs w:val="21"/>
        </w:rPr>
        <w:t xml:space="preserve"> </w:t>
      </w:r>
      <w:r w:rsidR="00A07B17">
        <w:rPr>
          <w:rFonts w:ascii="Times New Roman" w:hAnsi="Times New Roman" w:cs="Times New Roman"/>
          <w:sz w:val="21"/>
          <w:szCs w:val="21"/>
        </w:rPr>
        <w:t xml:space="preserve">launched in late 2014. </w:t>
      </w:r>
      <w:proofErr w:type="gramStart"/>
      <w:r w:rsidR="00AA67C4" w:rsidRPr="00AA67C4">
        <w:rPr>
          <w:rFonts w:ascii="Times New Roman" w:hAnsi="Times New Roman" w:cs="Times New Roman"/>
          <w:sz w:val="21"/>
          <w:szCs w:val="21"/>
        </w:rPr>
        <w:t>Th</w:t>
      </w:r>
      <w:r w:rsidR="00A07B17">
        <w:rPr>
          <w:rFonts w:ascii="Times New Roman" w:hAnsi="Times New Roman" w:cs="Times New Roman"/>
          <w:sz w:val="21"/>
          <w:szCs w:val="21"/>
        </w:rPr>
        <w:t xml:space="preserve">is </w:t>
      </w:r>
      <w:r w:rsidR="00AA67C4" w:rsidRPr="00AA67C4">
        <w:rPr>
          <w:rFonts w:ascii="Times New Roman" w:hAnsi="Times New Roman" w:cs="Times New Roman"/>
          <w:sz w:val="21"/>
          <w:szCs w:val="21"/>
        </w:rPr>
        <w:t xml:space="preserve"> program</w:t>
      </w:r>
      <w:proofErr w:type="gramEnd"/>
      <w:r w:rsidR="00AA67C4" w:rsidRPr="00AA67C4">
        <w:rPr>
          <w:rFonts w:ascii="Times New Roman" w:hAnsi="Times New Roman" w:cs="Times New Roman"/>
          <w:sz w:val="21"/>
          <w:szCs w:val="21"/>
        </w:rPr>
        <w:t xml:space="preserve"> will </w:t>
      </w:r>
      <w:r w:rsidR="00A07B17">
        <w:rPr>
          <w:rFonts w:ascii="Times New Roman" w:hAnsi="Times New Roman" w:cs="Times New Roman"/>
          <w:sz w:val="21"/>
          <w:szCs w:val="21"/>
        </w:rPr>
        <w:t>carry on</w:t>
      </w:r>
      <w:r w:rsidR="00AA67C4" w:rsidRPr="00AA67C4">
        <w:rPr>
          <w:rFonts w:ascii="Times New Roman" w:hAnsi="Times New Roman" w:cs="Times New Roman"/>
          <w:sz w:val="21"/>
          <w:szCs w:val="21"/>
        </w:rPr>
        <w:t xml:space="preserve"> </w:t>
      </w:r>
      <w:r w:rsidR="00A07B17">
        <w:rPr>
          <w:rFonts w:ascii="Times New Roman" w:hAnsi="Times New Roman" w:cs="Times New Roman"/>
          <w:sz w:val="21"/>
          <w:szCs w:val="21"/>
        </w:rPr>
        <w:t xml:space="preserve">by </w:t>
      </w:r>
      <w:r w:rsidR="00AA67C4" w:rsidRPr="00AA67C4">
        <w:rPr>
          <w:rFonts w:ascii="Times New Roman" w:hAnsi="Times New Roman" w:cs="Times New Roman"/>
          <w:sz w:val="21"/>
          <w:szCs w:val="21"/>
        </w:rPr>
        <w:t>September</w:t>
      </w:r>
      <w:r w:rsidR="00A07B17">
        <w:rPr>
          <w:rFonts w:ascii="Times New Roman" w:hAnsi="Times New Roman" w:cs="Times New Roman"/>
          <w:sz w:val="21"/>
          <w:szCs w:val="21"/>
        </w:rPr>
        <w:t xml:space="preserve"> 2016</w:t>
      </w:r>
      <w:r w:rsidR="00AA67C4" w:rsidRPr="00AA67C4">
        <w:rPr>
          <w:rFonts w:ascii="Times New Roman" w:hAnsi="Times New Roman" w:cs="Times New Roman"/>
          <w:sz w:val="21"/>
          <w:szCs w:val="21"/>
        </w:rPr>
        <w:t xml:space="preserve">, resulting in a more expansionary monetary policy </w:t>
      </w:r>
      <w:r w:rsidR="00A07B17">
        <w:rPr>
          <w:rFonts w:ascii="Times New Roman" w:hAnsi="Times New Roman" w:cs="Times New Roman"/>
          <w:sz w:val="21"/>
          <w:szCs w:val="21"/>
        </w:rPr>
        <w:t>with the</w:t>
      </w:r>
      <w:r w:rsidR="00AA67C4" w:rsidRPr="00AA67C4">
        <w:rPr>
          <w:rFonts w:ascii="Times New Roman" w:hAnsi="Times New Roman" w:cs="Times New Roman"/>
          <w:sz w:val="21"/>
          <w:szCs w:val="21"/>
        </w:rPr>
        <w:t xml:space="preserve"> aim to regulate inflation.</w:t>
      </w:r>
      <w:r w:rsidR="00A07B17">
        <w:rPr>
          <w:rFonts w:ascii="Times New Roman" w:hAnsi="Times New Roman" w:cs="Times New Roman"/>
          <w:sz w:val="21"/>
          <w:szCs w:val="21"/>
        </w:rPr>
        <w:t xml:space="preserve"> </w:t>
      </w:r>
    </w:p>
    <w:p w14:paraId="7C809E77" w14:textId="77777777" w:rsidR="00963CB0"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Style w:val="longtext"/>
          <w:rFonts w:ascii="Times New Roman" w:hAnsi="Times New Roman" w:cs="Times New Roman"/>
          <w:color w:val="000000"/>
          <w:sz w:val="21"/>
          <w:szCs w:val="21"/>
          <w:shd w:val="clear" w:color="auto" w:fill="FFFFFF"/>
        </w:rPr>
        <w:t xml:space="preserve">In </w:t>
      </w:r>
      <w:r w:rsidRPr="00EC356F">
        <w:rPr>
          <w:rStyle w:val="longtext"/>
          <w:rFonts w:ascii="Times New Roman" w:hAnsi="Times New Roman" w:cs="Times New Roman"/>
          <w:b/>
          <w:color w:val="000000"/>
          <w:sz w:val="21"/>
          <w:szCs w:val="21"/>
          <w:shd w:val="clear" w:color="auto" w:fill="FFFFFF"/>
        </w:rPr>
        <w:t>Russia</w:t>
      </w:r>
      <w:r w:rsidRPr="00EC356F">
        <w:rPr>
          <w:rStyle w:val="longtext"/>
          <w:rFonts w:ascii="Times New Roman" w:hAnsi="Times New Roman" w:cs="Times New Roman"/>
          <w:color w:val="000000"/>
          <w:sz w:val="21"/>
          <w:szCs w:val="21"/>
          <w:shd w:val="clear" w:color="auto" w:fill="FFFFFF"/>
        </w:rPr>
        <w:t xml:space="preserve">, </w:t>
      </w:r>
      <w:r w:rsidR="00A07B17">
        <w:rPr>
          <w:rStyle w:val="longtext"/>
          <w:rFonts w:ascii="Times New Roman" w:hAnsi="Times New Roman" w:cs="Times New Roman"/>
          <w:color w:val="000000"/>
          <w:sz w:val="21"/>
          <w:szCs w:val="21"/>
          <w:shd w:val="clear" w:color="auto" w:fill="FFFFFF"/>
        </w:rPr>
        <w:t>substantial</w:t>
      </w:r>
      <w:r w:rsidR="008611FE">
        <w:rPr>
          <w:rStyle w:val="longtext"/>
          <w:rFonts w:ascii="Times New Roman" w:hAnsi="Times New Roman" w:cs="Times New Roman"/>
          <w:color w:val="000000"/>
          <w:sz w:val="21"/>
          <w:szCs w:val="21"/>
          <w:shd w:val="clear" w:color="auto" w:fill="FFFFFF"/>
        </w:rPr>
        <w:t>ly</w:t>
      </w:r>
      <w:r w:rsidR="00A07B17">
        <w:rPr>
          <w:rStyle w:val="longtext"/>
          <w:rFonts w:ascii="Times New Roman" w:hAnsi="Times New Roman" w:cs="Times New Roman"/>
          <w:color w:val="000000"/>
          <w:sz w:val="21"/>
          <w:szCs w:val="21"/>
          <w:shd w:val="clear" w:color="auto" w:fill="FFFFFF"/>
        </w:rPr>
        <w:t xml:space="preserve"> volatil</w:t>
      </w:r>
      <w:r w:rsidR="008611FE">
        <w:rPr>
          <w:rStyle w:val="longtext"/>
          <w:rFonts w:ascii="Times New Roman" w:hAnsi="Times New Roman" w:cs="Times New Roman"/>
          <w:color w:val="000000"/>
          <w:sz w:val="21"/>
          <w:szCs w:val="21"/>
          <w:shd w:val="clear" w:color="auto" w:fill="FFFFFF"/>
        </w:rPr>
        <w:t>e patterns i</w:t>
      </w:r>
      <w:r w:rsidR="00A07B17">
        <w:rPr>
          <w:rStyle w:val="longtext"/>
          <w:rFonts w:ascii="Times New Roman" w:hAnsi="Times New Roman" w:cs="Times New Roman"/>
          <w:color w:val="000000"/>
          <w:sz w:val="21"/>
          <w:szCs w:val="21"/>
          <w:shd w:val="clear" w:color="auto" w:fill="FFFFFF"/>
        </w:rPr>
        <w:t xml:space="preserve">n </w:t>
      </w:r>
      <w:r w:rsidR="00A07B17" w:rsidRPr="00A07B17">
        <w:rPr>
          <w:rStyle w:val="longtext"/>
          <w:rFonts w:ascii="Times New Roman" w:hAnsi="Times New Roman" w:cs="Times New Roman"/>
          <w:color w:val="000000"/>
          <w:sz w:val="21"/>
          <w:szCs w:val="21"/>
          <w:shd w:val="clear" w:color="auto" w:fill="FFFFFF"/>
        </w:rPr>
        <w:t>econom</w:t>
      </w:r>
      <w:r w:rsidR="00A07B17">
        <w:rPr>
          <w:rStyle w:val="longtext"/>
          <w:rFonts w:ascii="Times New Roman" w:hAnsi="Times New Roman" w:cs="Times New Roman"/>
          <w:color w:val="000000"/>
          <w:sz w:val="21"/>
          <w:szCs w:val="21"/>
          <w:shd w:val="clear" w:color="auto" w:fill="FFFFFF"/>
        </w:rPr>
        <w:t xml:space="preserve">y </w:t>
      </w:r>
      <w:r w:rsidR="008611FE">
        <w:rPr>
          <w:rStyle w:val="longtext"/>
          <w:rFonts w:ascii="Times New Roman" w:hAnsi="Times New Roman" w:cs="Times New Roman"/>
          <w:color w:val="000000"/>
          <w:sz w:val="21"/>
          <w:szCs w:val="21"/>
          <w:shd w:val="clear" w:color="auto" w:fill="FFFFFF"/>
        </w:rPr>
        <w:t xml:space="preserve">observed </w:t>
      </w:r>
      <w:r w:rsidR="00A07B17">
        <w:rPr>
          <w:rStyle w:val="longtext"/>
          <w:rFonts w:ascii="Times New Roman" w:hAnsi="Times New Roman" w:cs="Times New Roman"/>
          <w:color w:val="000000"/>
          <w:sz w:val="21"/>
          <w:szCs w:val="21"/>
          <w:shd w:val="clear" w:color="auto" w:fill="FFFFFF"/>
        </w:rPr>
        <w:t xml:space="preserve">in late 2014 and early 2015 </w:t>
      </w:r>
      <w:r w:rsidR="008611FE">
        <w:rPr>
          <w:rStyle w:val="longtext"/>
          <w:rFonts w:ascii="Times New Roman" w:hAnsi="Times New Roman" w:cs="Times New Roman"/>
          <w:color w:val="000000"/>
          <w:sz w:val="21"/>
          <w:szCs w:val="21"/>
          <w:shd w:val="clear" w:color="auto" w:fill="FFFFFF"/>
        </w:rPr>
        <w:t xml:space="preserve">make it to expect </w:t>
      </w:r>
      <w:r w:rsidR="00A07B17" w:rsidRPr="00A07B17">
        <w:rPr>
          <w:rStyle w:val="longtext"/>
          <w:rFonts w:ascii="Times New Roman" w:hAnsi="Times New Roman" w:cs="Times New Roman"/>
          <w:color w:val="000000"/>
          <w:sz w:val="21"/>
          <w:szCs w:val="21"/>
          <w:shd w:val="clear" w:color="auto" w:fill="FFFFFF"/>
        </w:rPr>
        <w:t>economic slowdown</w:t>
      </w:r>
      <w:r w:rsidR="008611FE">
        <w:rPr>
          <w:rStyle w:val="longtext"/>
          <w:rFonts w:ascii="Times New Roman" w:hAnsi="Times New Roman" w:cs="Times New Roman"/>
          <w:color w:val="000000"/>
          <w:sz w:val="21"/>
          <w:szCs w:val="21"/>
          <w:shd w:val="clear" w:color="auto" w:fill="FFFFFF"/>
        </w:rPr>
        <w:t xml:space="preserve"> in 2015</w:t>
      </w:r>
      <w:r w:rsidR="00A07B17" w:rsidRPr="00A07B17">
        <w:rPr>
          <w:rStyle w:val="longtext"/>
          <w:rFonts w:ascii="Times New Roman" w:hAnsi="Times New Roman" w:cs="Times New Roman"/>
          <w:color w:val="000000"/>
          <w:sz w:val="21"/>
          <w:szCs w:val="21"/>
          <w:shd w:val="clear" w:color="auto" w:fill="FFFFFF"/>
        </w:rPr>
        <w:t xml:space="preserve"> around 2.0% (</w:t>
      </w:r>
      <w:r w:rsidR="008611FE">
        <w:rPr>
          <w:rStyle w:val="longtext"/>
          <w:rFonts w:ascii="Times New Roman" w:hAnsi="Times New Roman" w:cs="Times New Roman"/>
          <w:color w:val="000000"/>
          <w:sz w:val="21"/>
          <w:szCs w:val="21"/>
          <w:shd w:val="clear" w:color="auto" w:fill="FFFFFF"/>
        </w:rPr>
        <w:t xml:space="preserve">later the year, the economic decline </w:t>
      </w:r>
      <w:r w:rsidR="00C44708">
        <w:rPr>
          <w:rStyle w:val="longtext"/>
          <w:rFonts w:ascii="Times New Roman" w:hAnsi="Times New Roman" w:cs="Times New Roman"/>
          <w:color w:val="000000"/>
          <w:sz w:val="21"/>
          <w:szCs w:val="21"/>
          <w:shd w:val="clear" w:color="auto" w:fill="FFFFFF"/>
        </w:rPr>
        <w:t xml:space="preserve">is predicted to </w:t>
      </w:r>
      <w:r w:rsidR="008611FE">
        <w:rPr>
          <w:rStyle w:val="longtext"/>
          <w:rFonts w:ascii="Times New Roman" w:hAnsi="Times New Roman" w:cs="Times New Roman"/>
          <w:color w:val="000000"/>
          <w:sz w:val="21"/>
          <w:szCs w:val="21"/>
          <w:shd w:val="clear" w:color="auto" w:fill="FFFFFF"/>
        </w:rPr>
        <w:t xml:space="preserve">even deepen to </w:t>
      </w:r>
      <w:r w:rsidR="00A07B17" w:rsidRPr="00A07B17">
        <w:rPr>
          <w:rStyle w:val="longtext"/>
          <w:rFonts w:ascii="Times New Roman" w:hAnsi="Times New Roman" w:cs="Times New Roman"/>
          <w:color w:val="000000"/>
          <w:sz w:val="21"/>
          <w:szCs w:val="21"/>
          <w:shd w:val="clear" w:color="auto" w:fill="FFFFFF"/>
        </w:rPr>
        <w:t>3.8%)</w:t>
      </w:r>
      <w:r w:rsidR="008611FE">
        <w:rPr>
          <w:rStyle w:val="longtext"/>
          <w:rFonts w:ascii="Times New Roman" w:hAnsi="Times New Roman" w:cs="Times New Roman"/>
          <w:color w:val="000000"/>
          <w:sz w:val="21"/>
          <w:szCs w:val="21"/>
          <w:shd w:val="clear" w:color="auto" w:fill="FFFFFF"/>
        </w:rPr>
        <w:t>.</w:t>
      </w:r>
      <w:r w:rsidR="00A07B17" w:rsidRPr="00A07B17">
        <w:rPr>
          <w:rStyle w:val="longtext"/>
          <w:rFonts w:ascii="Times New Roman" w:hAnsi="Times New Roman" w:cs="Times New Roman"/>
          <w:color w:val="000000"/>
          <w:sz w:val="21"/>
          <w:szCs w:val="21"/>
          <w:shd w:val="clear" w:color="auto" w:fill="FFFFFF"/>
        </w:rPr>
        <w:t xml:space="preserve"> </w:t>
      </w:r>
      <w:r w:rsidR="003963D9">
        <w:rPr>
          <w:rStyle w:val="longtext"/>
          <w:rFonts w:ascii="Times New Roman" w:hAnsi="Times New Roman" w:cs="Times New Roman"/>
          <w:color w:val="000000"/>
          <w:sz w:val="21"/>
          <w:szCs w:val="21"/>
          <w:shd w:val="clear" w:color="auto" w:fill="FFFFFF"/>
        </w:rPr>
        <w:t xml:space="preserve">Recession </w:t>
      </w:r>
      <w:r w:rsidR="00A07B17" w:rsidRPr="00A07B17">
        <w:rPr>
          <w:rStyle w:val="longtext"/>
          <w:rFonts w:ascii="Times New Roman" w:hAnsi="Times New Roman" w:cs="Times New Roman"/>
          <w:color w:val="000000"/>
          <w:sz w:val="21"/>
          <w:szCs w:val="21"/>
          <w:shd w:val="clear" w:color="auto" w:fill="FFFFFF"/>
        </w:rPr>
        <w:t xml:space="preserve">in </w:t>
      </w:r>
      <w:r w:rsidR="003963D9">
        <w:rPr>
          <w:rStyle w:val="longtext"/>
          <w:rFonts w:ascii="Times New Roman" w:hAnsi="Times New Roman" w:cs="Times New Roman"/>
          <w:color w:val="000000"/>
          <w:sz w:val="21"/>
          <w:szCs w:val="21"/>
          <w:shd w:val="clear" w:color="auto" w:fill="FFFFFF"/>
        </w:rPr>
        <w:t xml:space="preserve">the </w:t>
      </w:r>
      <w:r w:rsidR="00A07B17" w:rsidRPr="00A07B17">
        <w:rPr>
          <w:rStyle w:val="longtext"/>
          <w:rFonts w:ascii="Times New Roman" w:hAnsi="Times New Roman" w:cs="Times New Roman"/>
          <w:color w:val="000000"/>
          <w:sz w:val="21"/>
          <w:szCs w:val="21"/>
          <w:shd w:val="clear" w:color="auto" w:fill="FFFFFF"/>
        </w:rPr>
        <w:t xml:space="preserve">economy will continue in 2016 </w:t>
      </w:r>
      <w:r w:rsidR="003963D9">
        <w:rPr>
          <w:rStyle w:val="longtext"/>
          <w:rFonts w:ascii="Times New Roman" w:hAnsi="Times New Roman" w:cs="Times New Roman"/>
          <w:color w:val="000000"/>
          <w:sz w:val="21"/>
          <w:szCs w:val="21"/>
          <w:shd w:val="clear" w:color="auto" w:fill="FFFFFF"/>
        </w:rPr>
        <w:t xml:space="preserve">too, </w:t>
      </w:r>
      <w:r w:rsidR="00A07B17" w:rsidRPr="00A07B17">
        <w:rPr>
          <w:rStyle w:val="longtext"/>
          <w:rFonts w:ascii="Times New Roman" w:hAnsi="Times New Roman" w:cs="Times New Roman"/>
          <w:color w:val="000000"/>
          <w:sz w:val="21"/>
          <w:szCs w:val="21"/>
          <w:shd w:val="clear" w:color="auto" w:fill="FFFFFF"/>
        </w:rPr>
        <w:t xml:space="preserve">and </w:t>
      </w:r>
      <w:r w:rsidR="003963D9">
        <w:rPr>
          <w:rStyle w:val="longtext"/>
          <w:rFonts w:ascii="Times New Roman" w:hAnsi="Times New Roman" w:cs="Times New Roman"/>
          <w:color w:val="000000"/>
          <w:sz w:val="21"/>
          <w:szCs w:val="21"/>
          <w:shd w:val="clear" w:color="auto" w:fill="FFFFFF"/>
        </w:rPr>
        <w:t xml:space="preserve">some </w:t>
      </w:r>
      <w:r w:rsidR="00A07B17" w:rsidRPr="00A07B17">
        <w:rPr>
          <w:rStyle w:val="longtext"/>
          <w:rFonts w:ascii="Times New Roman" w:hAnsi="Times New Roman" w:cs="Times New Roman"/>
          <w:color w:val="000000"/>
          <w:sz w:val="21"/>
          <w:szCs w:val="21"/>
          <w:shd w:val="clear" w:color="auto" w:fill="FFFFFF"/>
        </w:rPr>
        <w:t>positive growth in economic activity</w:t>
      </w:r>
      <w:r w:rsidR="003963D9">
        <w:rPr>
          <w:rStyle w:val="longtext"/>
          <w:rFonts w:ascii="Times New Roman" w:hAnsi="Times New Roman" w:cs="Times New Roman"/>
          <w:color w:val="000000"/>
          <w:sz w:val="21"/>
          <w:szCs w:val="21"/>
          <w:shd w:val="clear" w:color="auto" w:fill="FFFFFF"/>
        </w:rPr>
        <w:t xml:space="preserve"> will only be recorded in 2017</w:t>
      </w:r>
      <w:r w:rsidR="00A07B17" w:rsidRPr="00A07B17">
        <w:rPr>
          <w:rStyle w:val="longtext"/>
          <w:rFonts w:ascii="Times New Roman" w:hAnsi="Times New Roman" w:cs="Times New Roman"/>
          <w:color w:val="000000"/>
          <w:sz w:val="21"/>
          <w:szCs w:val="21"/>
          <w:shd w:val="clear" w:color="auto" w:fill="FFFFFF"/>
        </w:rPr>
        <w:t xml:space="preserve">, </w:t>
      </w:r>
      <w:r w:rsidR="003963D9">
        <w:rPr>
          <w:rStyle w:val="longtext"/>
          <w:rFonts w:ascii="Times New Roman" w:hAnsi="Times New Roman" w:cs="Times New Roman"/>
          <w:color w:val="000000"/>
          <w:sz w:val="21"/>
          <w:szCs w:val="21"/>
          <w:shd w:val="clear" w:color="auto" w:fill="FFFFFF"/>
        </w:rPr>
        <w:t xml:space="preserve">which will </w:t>
      </w:r>
      <w:r w:rsidR="00A07B17" w:rsidRPr="00A07B17">
        <w:rPr>
          <w:rStyle w:val="longtext"/>
          <w:rFonts w:ascii="Times New Roman" w:hAnsi="Times New Roman" w:cs="Times New Roman"/>
          <w:color w:val="000000"/>
          <w:sz w:val="21"/>
          <w:szCs w:val="21"/>
          <w:shd w:val="clear" w:color="auto" w:fill="FFFFFF"/>
        </w:rPr>
        <w:t xml:space="preserve">amount to </w:t>
      </w:r>
      <w:r w:rsidR="003963D9">
        <w:rPr>
          <w:rStyle w:val="longtext"/>
          <w:rFonts w:ascii="Times New Roman" w:hAnsi="Times New Roman" w:cs="Times New Roman"/>
          <w:color w:val="000000"/>
          <w:sz w:val="21"/>
          <w:szCs w:val="21"/>
          <w:shd w:val="clear" w:color="auto" w:fill="FFFFFF"/>
        </w:rPr>
        <w:t>nearly</w:t>
      </w:r>
      <w:r w:rsidR="00A07B17" w:rsidRPr="00A07B17">
        <w:rPr>
          <w:rStyle w:val="longtext"/>
          <w:rFonts w:ascii="Times New Roman" w:hAnsi="Times New Roman" w:cs="Times New Roman"/>
          <w:color w:val="000000"/>
          <w:sz w:val="21"/>
          <w:szCs w:val="21"/>
          <w:shd w:val="clear" w:color="auto" w:fill="FFFFFF"/>
        </w:rPr>
        <w:t xml:space="preserve"> 1.0% </w:t>
      </w:r>
      <w:r w:rsidR="003963D9">
        <w:rPr>
          <w:rStyle w:val="longtext"/>
          <w:rFonts w:ascii="Times New Roman" w:hAnsi="Times New Roman" w:cs="Times New Roman"/>
          <w:color w:val="000000"/>
          <w:sz w:val="21"/>
          <w:szCs w:val="21"/>
          <w:shd w:val="clear" w:color="auto" w:fill="FFFFFF"/>
        </w:rPr>
        <w:t xml:space="preserve">at the end </w:t>
      </w:r>
      <w:r w:rsidR="00A07B17" w:rsidRPr="00A07B17">
        <w:rPr>
          <w:rStyle w:val="longtext"/>
          <w:rFonts w:ascii="Times New Roman" w:hAnsi="Times New Roman" w:cs="Times New Roman"/>
          <w:color w:val="000000"/>
          <w:sz w:val="21"/>
          <w:szCs w:val="21"/>
          <w:shd w:val="clear" w:color="auto" w:fill="FFFFFF"/>
        </w:rPr>
        <w:t>of the forecast horizon</w:t>
      </w:r>
      <w:r w:rsidR="003963D9">
        <w:rPr>
          <w:rStyle w:val="longtext"/>
          <w:rFonts w:ascii="Times New Roman" w:hAnsi="Times New Roman" w:cs="Times New Roman"/>
          <w:color w:val="000000"/>
          <w:sz w:val="21"/>
          <w:szCs w:val="21"/>
          <w:shd w:val="clear" w:color="auto" w:fill="FFFFFF"/>
        </w:rPr>
        <w:t>.</w:t>
      </w:r>
      <w:r w:rsidR="00A07B17" w:rsidRPr="00A07B17">
        <w:rPr>
          <w:rStyle w:val="longtext"/>
          <w:rFonts w:ascii="Times New Roman" w:hAnsi="Times New Roman" w:cs="Times New Roman"/>
          <w:color w:val="000000"/>
          <w:sz w:val="21"/>
          <w:szCs w:val="21"/>
          <w:shd w:val="clear" w:color="auto" w:fill="FFFFFF"/>
        </w:rPr>
        <w:t xml:space="preserve"> </w:t>
      </w:r>
      <w:r w:rsidR="005A7714">
        <w:rPr>
          <w:rStyle w:val="longtext"/>
          <w:rFonts w:ascii="Times New Roman" w:hAnsi="Times New Roman" w:cs="Times New Roman"/>
          <w:color w:val="000000"/>
          <w:sz w:val="21"/>
          <w:szCs w:val="21"/>
          <w:shd w:val="clear" w:color="auto" w:fill="FFFFFF"/>
        </w:rPr>
        <w:t>Driven by</w:t>
      </w:r>
      <w:r w:rsidR="005A7714" w:rsidRPr="00A07B17">
        <w:rPr>
          <w:rStyle w:val="longtext"/>
          <w:rFonts w:ascii="Times New Roman" w:hAnsi="Times New Roman" w:cs="Times New Roman"/>
          <w:color w:val="000000"/>
          <w:sz w:val="21"/>
          <w:szCs w:val="21"/>
          <w:shd w:val="clear" w:color="auto" w:fill="FFFFFF"/>
        </w:rPr>
        <w:t xml:space="preserve"> </w:t>
      </w:r>
      <w:r w:rsidR="005A7714">
        <w:rPr>
          <w:rStyle w:val="longtext"/>
          <w:rFonts w:ascii="Times New Roman" w:hAnsi="Times New Roman" w:cs="Times New Roman"/>
          <w:color w:val="000000"/>
          <w:sz w:val="21"/>
          <w:szCs w:val="21"/>
          <w:shd w:val="clear" w:color="auto" w:fill="FFFFFF"/>
        </w:rPr>
        <w:t xml:space="preserve">the </w:t>
      </w:r>
      <w:r w:rsidR="005A7714" w:rsidRPr="00A07B17">
        <w:rPr>
          <w:rStyle w:val="longtext"/>
          <w:rFonts w:ascii="Times New Roman" w:hAnsi="Times New Roman" w:cs="Times New Roman"/>
          <w:color w:val="000000"/>
          <w:sz w:val="21"/>
          <w:szCs w:val="21"/>
          <w:shd w:val="clear" w:color="auto" w:fill="FFFFFF"/>
        </w:rPr>
        <w:t xml:space="preserve">exchange rate </w:t>
      </w:r>
      <w:r w:rsidR="00A07B17" w:rsidRPr="00A07B17">
        <w:rPr>
          <w:rStyle w:val="longtext"/>
          <w:rFonts w:ascii="Times New Roman" w:hAnsi="Times New Roman" w:cs="Times New Roman"/>
          <w:color w:val="000000"/>
          <w:sz w:val="21"/>
          <w:szCs w:val="21"/>
          <w:shd w:val="clear" w:color="auto" w:fill="FFFFFF"/>
        </w:rPr>
        <w:t>depreciation</w:t>
      </w:r>
      <w:r w:rsidR="005A7714">
        <w:rPr>
          <w:rStyle w:val="longtext"/>
          <w:rFonts w:ascii="Times New Roman" w:hAnsi="Times New Roman" w:cs="Times New Roman"/>
          <w:color w:val="000000"/>
          <w:sz w:val="21"/>
          <w:szCs w:val="21"/>
          <w:shd w:val="clear" w:color="auto" w:fill="FFFFFF"/>
        </w:rPr>
        <w:t>,</w:t>
      </w:r>
      <w:r w:rsidR="00A07B17" w:rsidRPr="00A07B17">
        <w:rPr>
          <w:rStyle w:val="longtext"/>
          <w:rFonts w:ascii="Times New Roman" w:hAnsi="Times New Roman" w:cs="Times New Roman"/>
          <w:color w:val="000000"/>
          <w:sz w:val="21"/>
          <w:szCs w:val="21"/>
          <w:shd w:val="clear" w:color="auto" w:fill="FFFFFF"/>
        </w:rPr>
        <w:t xml:space="preserve"> </w:t>
      </w:r>
      <w:r w:rsidR="005A7714">
        <w:rPr>
          <w:rStyle w:val="longtext"/>
          <w:rFonts w:ascii="Times New Roman" w:hAnsi="Times New Roman" w:cs="Times New Roman"/>
          <w:color w:val="000000"/>
          <w:sz w:val="21"/>
          <w:szCs w:val="21"/>
          <w:shd w:val="clear" w:color="auto" w:fill="FFFFFF"/>
        </w:rPr>
        <w:t xml:space="preserve">coupled with </w:t>
      </w:r>
      <w:r w:rsidR="00A07B17" w:rsidRPr="00A07B17">
        <w:rPr>
          <w:rStyle w:val="longtext"/>
          <w:rFonts w:ascii="Times New Roman" w:hAnsi="Times New Roman" w:cs="Times New Roman"/>
          <w:color w:val="000000"/>
          <w:sz w:val="21"/>
          <w:szCs w:val="21"/>
          <w:shd w:val="clear" w:color="auto" w:fill="FFFFFF"/>
        </w:rPr>
        <w:t>geopolitical factors</w:t>
      </w:r>
      <w:r w:rsidR="005A7714">
        <w:rPr>
          <w:rStyle w:val="longtext"/>
          <w:rFonts w:ascii="Times New Roman" w:hAnsi="Times New Roman" w:cs="Times New Roman"/>
          <w:color w:val="000000"/>
          <w:sz w:val="21"/>
          <w:szCs w:val="21"/>
          <w:shd w:val="clear" w:color="auto" w:fill="FFFFFF"/>
        </w:rPr>
        <w:t xml:space="preserve"> observed in late 2014, the inflation rate is expected to acc</w:t>
      </w:r>
      <w:r w:rsidR="00A07B17" w:rsidRPr="00A07B17">
        <w:rPr>
          <w:rStyle w:val="longtext"/>
          <w:rFonts w:ascii="Times New Roman" w:hAnsi="Times New Roman" w:cs="Times New Roman"/>
          <w:color w:val="000000"/>
          <w:sz w:val="21"/>
          <w:szCs w:val="21"/>
          <w:shd w:val="clear" w:color="auto" w:fill="FFFFFF"/>
        </w:rPr>
        <w:t>elerat</w:t>
      </w:r>
      <w:r w:rsidR="005A7714">
        <w:rPr>
          <w:rStyle w:val="longtext"/>
          <w:rFonts w:ascii="Times New Roman" w:hAnsi="Times New Roman" w:cs="Times New Roman"/>
          <w:color w:val="000000"/>
          <w:sz w:val="21"/>
          <w:szCs w:val="21"/>
          <w:shd w:val="clear" w:color="auto" w:fill="FFFFFF"/>
        </w:rPr>
        <w:t xml:space="preserve">e notably in 2015. The economic decline determined by </w:t>
      </w:r>
      <w:r w:rsidR="005A7714" w:rsidRPr="00A07B17">
        <w:rPr>
          <w:rStyle w:val="longtext"/>
          <w:rFonts w:ascii="Times New Roman" w:hAnsi="Times New Roman" w:cs="Times New Roman"/>
          <w:color w:val="000000"/>
          <w:sz w:val="21"/>
          <w:szCs w:val="21"/>
          <w:shd w:val="clear" w:color="auto" w:fill="FFFFFF"/>
        </w:rPr>
        <w:t>geopolitical</w:t>
      </w:r>
      <w:r w:rsidR="005A7714">
        <w:rPr>
          <w:rStyle w:val="longtext"/>
          <w:rFonts w:ascii="Times New Roman" w:hAnsi="Times New Roman" w:cs="Times New Roman"/>
          <w:color w:val="000000"/>
          <w:sz w:val="21"/>
          <w:szCs w:val="21"/>
          <w:shd w:val="clear" w:color="auto" w:fill="FFFFFF"/>
        </w:rPr>
        <w:t xml:space="preserve"> situation and domestic developments will reflect mainly a weak </w:t>
      </w:r>
      <w:r w:rsidR="00A07B17" w:rsidRPr="00A07B17">
        <w:rPr>
          <w:rStyle w:val="longtext"/>
          <w:rFonts w:ascii="Times New Roman" w:hAnsi="Times New Roman" w:cs="Times New Roman"/>
          <w:color w:val="000000"/>
          <w:sz w:val="21"/>
          <w:szCs w:val="21"/>
          <w:shd w:val="clear" w:color="auto" w:fill="FFFFFF"/>
        </w:rPr>
        <w:t xml:space="preserve">investment </w:t>
      </w:r>
      <w:r w:rsidR="005A7714">
        <w:rPr>
          <w:rStyle w:val="longtext"/>
          <w:rFonts w:ascii="Times New Roman" w:hAnsi="Times New Roman" w:cs="Times New Roman"/>
          <w:color w:val="000000"/>
          <w:sz w:val="21"/>
          <w:szCs w:val="21"/>
          <w:shd w:val="clear" w:color="auto" w:fill="FFFFFF"/>
        </w:rPr>
        <w:t xml:space="preserve">climate and will be accompanied by </w:t>
      </w:r>
      <w:r w:rsidR="00A07B17" w:rsidRPr="00A07B17">
        <w:rPr>
          <w:rStyle w:val="longtext"/>
          <w:rFonts w:ascii="Times New Roman" w:hAnsi="Times New Roman" w:cs="Times New Roman"/>
          <w:color w:val="000000"/>
          <w:sz w:val="21"/>
          <w:szCs w:val="21"/>
          <w:shd w:val="clear" w:color="auto" w:fill="FFFFFF"/>
        </w:rPr>
        <w:t>capital outflows. At the same time, the</w:t>
      </w:r>
      <w:r w:rsidR="00DC0134">
        <w:rPr>
          <w:rStyle w:val="longtext"/>
          <w:rFonts w:ascii="Times New Roman" w:hAnsi="Times New Roman" w:cs="Times New Roman"/>
          <w:color w:val="000000"/>
          <w:sz w:val="21"/>
          <w:szCs w:val="21"/>
          <w:shd w:val="clear" w:color="auto" w:fill="FFFFFF"/>
        </w:rPr>
        <w:t xml:space="preserve"> exchange rate</w:t>
      </w:r>
      <w:r w:rsidR="00A07B17" w:rsidRPr="00A07B17">
        <w:rPr>
          <w:rStyle w:val="longtext"/>
          <w:rFonts w:ascii="Times New Roman" w:hAnsi="Times New Roman" w:cs="Times New Roman"/>
          <w:color w:val="000000"/>
          <w:sz w:val="21"/>
          <w:szCs w:val="21"/>
          <w:shd w:val="clear" w:color="auto" w:fill="FFFFFF"/>
        </w:rPr>
        <w:t xml:space="preserve"> depreciation </w:t>
      </w:r>
      <w:r w:rsidR="00DC0134">
        <w:rPr>
          <w:rStyle w:val="longtext"/>
          <w:rFonts w:ascii="Times New Roman" w:hAnsi="Times New Roman" w:cs="Times New Roman"/>
          <w:color w:val="000000"/>
          <w:sz w:val="21"/>
          <w:szCs w:val="21"/>
          <w:shd w:val="clear" w:color="auto" w:fill="FFFFFF"/>
        </w:rPr>
        <w:t>in</w:t>
      </w:r>
      <w:r w:rsidR="00A07B17" w:rsidRPr="00A07B17">
        <w:rPr>
          <w:rStyle w:val="longtext"/>
          <w:rFonts w:ascii="Times New Roman" w:hAnsi="Times New Roman" w:cs="Times New Roman"/>
          <w:color w:val="000000"/>
          <w:sz w:val="21"/>
          <w:szCs w:val="21"/>
          <w:shd w:val="clear" w:color="auto" w:fill="FFFFFF"/>
        </w:rPr>
        <w:t xml:space="preserve"> </w:t>
      </w:r>
      <w:r w:rsidR="00DC0134">
        <w:rPr>
          <w:rStyle w:val="longtext"/>
          <w:rFonts w:ascii="Times New Roman" w:hAnsi="Times New Roman" w:cs="Times New Roman"/>
          <w:color w:val="000000"/>
          <w:sz w:val="21"/>
          <w:szCs w:val="21"/>
          <w:shd w:val="clear" w:color="auto" w:fill="FFFFFF"/>
        </w:rPr>
        <w:t xml:space="preserve">a </w:t>
      </w:r>
      <w:r w:rsidR="00A07B17" w:rsidRPr="00A07B17">
        <w:rPr>
          <w:rStyle w:val="longtext"/>
          <w:rFonts w:ascii="Times New Roman" w:hAnsi="Times New Roman" w:cs="Times New Roman"/>
          <w:color w:val="000000"/>
          <w:sz w:val="21"/>
          <w:szCs w:val="21"/>
          <w:shd w:val="clear" w:color="auto" w:fill="FFFFFF"/>
        </w:rPr>
        <w:t xml:space="preserve">long-term </w:t>
      </w:r>
      <w:r w:rsidR="00DC0134">
        <w:rPr>
          <w:rStyle w:val="longtext"/>
          <w:rFonts w:ascii="Times New Roman" w:hAnsi="Times New Roman" w:cs="Times New Roman"/>
          <w:color w:val="000000"/>
          <w:sz w:val="21"/>
          <w:szCs w:val="21"/>
          <w:shd w:val="clear" w:color="auto" w:fill="FFFFFF"/>
        </w:rPr>
        <w:t xml:space="preserve">perspective will somehow </w:t>
      </w:r>
      <w:r w:rsidR="00A07B17" w:rsidRPr="00A07B17">
        <w:rPr>
          <w:rStyle w:val="longtext"/>
          <w:rFonts w:ascii="Times New Roman" w:hAnsi="Times New Roman" w:cs="Times New Roman"/>
          <w:color w:val="000000"/>
          <w:sz w:val="21"/>
          <w:szCs w:val="21"/>
          <w:shd w:val="clear" w:color="auto" w:fill="FFFFFF"/>
        </w:rPr>
        <w:t>positive</w:t>
      </w:r>
      <w:r w:rsidR="00DC0134">
        <w:rPr>
          <w:rStyle w:val="longtext"/>
          <w:rFonts w:ascii="Times New Roman" w:hAnsi="Times New Roman" w:cs="Times New Roman"/>
          <w:color w:val="000000"/>
          <w:sz w:val="21"/>
          <w:szCs w:val="21"/>
          <w:shd w:val="clear" w:color="auto" w:fill="FFFFFF"/>
        </w:rPr>
        <w:t xml:space="preserve">ly influence </w:t>
      </w:r>
      <w:r w:rsidR="00963CB0">
        <w:rPr>
          <w:rStyle w:val="longtext"/>
          <w:rFonts w:ascii="Times New Roman" w:hAnsi="Times New Roman" w:cs="Times New Roman"/>
          <w:color w:val="000000"/>
          <w:sz w:val="21"/>
          <w:szCs w:val="21"/>
          <w:shd w:val="clear" w:color="auto" w:fill="FFFFFF"/>
        </w:rPr>
        <w:t xml:space="preserve">by improving </w:t>
      </w:r>
      <w:r w:rsidR="00DC0134">
        <w:rPr>
          <w:rStyle w:val="longtext"/>
          <w:rFonts w:ascii="Times New Roman" w:hAnsi="Times New Roman" w:cs="Times New Roman"/>
          <w:color w:val="000000"/>
          <w:sz w:val="21"/>
          <w:szCs w:val="21"/>
          <w:shd w:val="clear" w:color="auto" w:fill="FFFFFF"/>
        </w:rPr>
        <w:t>Russia</w:t>
      </w:r>
      <w:r w:rsidR="00DC0134" w:rsidRPr="00494330">
        <w:rPr>
          <w:rFonts w:ascii="Times New Roman" w:hAnsi="Times New Roman" w:cs="Times New Roman"/>
          <w:sz w:val="21"/>
          <w:szCs w:val="21"/>
        </w:rPr>
        <w:t>'</w:t>
      </w:r>
      <w:r w:rsidR="00DC0134">
        <w:rPr>
          <w:rFonts w:ascii="Times New Roman" w:hAnsi="Times New Roman" w:cs="Times New Roman"/>
          <w:sz w:val="21"/>
          <w:szCs w:val="21"/>
        </w:rPr>
        <w:t>s external position</w:t>
      </w:r>
      <w:r w:rsidR="00DC0134" w:rsidRPr="00A07B17">
        <w:rPr>
          <w:rStyle w:val="longtext"/>
          <w:rFonts w:ascii="Times New Roman" w:hAnsi="Times New Roman" w:cs="Times New Roman"/>
          <w:color w:val="000000"/>
          <w:sz w:val="21"/>
          <w:szCs w:val="21"/>
          <w:shd w:val="clear" w:color="auto" w:fill="FFFFFF"/>
        </w:rPr>
        <w:t xml:space="preserve"> </w:t>
      </w:r>
      <w:r w:rsidR="00DC0134">
        <w:rPr>
          <w:rStyle w:val="longtext"/>
          <w:rFonts w:ascii="Times New Roman" w:hAnsi="Times New Roman" w:cs="Times New Roman"/>
          <w:color w:val="000000"/>
          <w:sz w:val="21"/>
          <w:szCs w:val="21"/>
          <w:shd w:val="clear" w:color="auto" w:fill="FFFFFF"/>
        </w:rPr>
        <w:t xml:space="preserve">affected by decreased </w:t>
      </w:r>
      <w:r w:rsidR="00DC0134" w:rsidRPr="00A07B17">
        <w:rPr>
          <w:rStyle w:val="longtext"/>
          <w:rFonts w:ascii="Times New Roman" w:hAnsi="Times New Roman" w:cs="Times New Roman"/>
          <w:color w:val="000000"/>
          <w:sz w:val="21"/>
          <w:szCs w:val="21"/>
          <w:shd w:val="clear" w:color="auto" w:fill="FFFFFF"/>
        </w:rPr>
        <w:t>oil</w:t>
      </w:r>
      <w:r w:rsidR="00DC0134">
        <w:rPr>
          <w:rStyle w:val="longtext"/>
          <w:rFonts w:ascii="Times New Roman" w:hAnsi="Times New Roman" w:cs="Times New Roman"/>
          <w:color w:val="000000"/>
          <w:sz w:val="21"/>
          <w:szCs w:val="21"/>
          <w:shd w:val="clear" w:color="auto" w:fill="FFFFFF"/>
        </w:rPr>
        <w:t xml:space="preserve"> price, </w:t>
      </w:r>
      <w:r w:rsidR="00963CB0">
        <w:rPr>
          <w:rStyle w:val="longtext"/>
          <w:rFonts w:ascii="Times New Roman" w:hAnsi="Times New Roman" w:cs="Times New Roman"/>
          <w:color w:val="000000"/>
          <w:sz w:val="21"/>
          <w:szCs w:val="21"/>
          <w:shd w:val="clear" w:color="auto" w:fill="FFFFFF"/>
        </w:rPr>
        <w:t xml:space="preserve">restoring the </w:t>
      </w:r>
      <w:r w:rsidR="00A07B17" w:rsidRPr="00A07B17">
        <w:rPr>
          <w:rStyle w:val="longtext"/>
          <w:rFonts w:ascii="Times New Roman" w:hAnsi="Times New Roman" w:cs="Times New Roman"/>
          <w:color w:val="000000"/>
          <w:sz w:val="21"/>
          <w:szCs w:val="21"/>
          <w:shd w:val="clear" w:color="auto" w:fill="FFFFFF"/>
        </w:rPr>
        <w:t>economic growth</w:t>
      </w:r>
      <w:r w:rsidR="00DC0134">
        <w:rPr>
          <w:rStyle w:val="longtext"/>
          <w:rFonts w:ascii="Times New Roman" w:hAnsi="Times New Roman" w:cs="Times New Roman"/>
          <w:color w:val="000000"/>
          <w:sz w:val="21"/>
          <w:szCs w:val="21"/>
          <w:shd w:val="clear" w:color="auto" w:fill="FFFFFF"/>
        </w:rPr>
        <w:t xml:space="preserve"> </w:t>
      </w:r>
      <w:r w:rsidR="00963CB0">
        <w:rPr>
          <w:rStyle w:val="longtext"/>
          <w:rFonts w:ascii="Times New Roman" w:hAnsi="Times New Roman" w:cs="Times New Roman"/>
          <w:color w:val="000000"/>
          <w:sz w:val="21"/>
          <w:szCs w:val="21"/>
          <w:shd w:val="clear" w:color="auto" w:fill="FFFFFF"/>
        </w:rPr>
        <w:t>and retaining the</w:t>
      </w:r>
      <w:r w:rsidR="001E1926">
        <w:rPr>
          <w:rStyle w:val="longtext"/>
          <w:rFonts w:ascii="Times New Roman" w:hAnsi="Times New Roman" w:cs="Times New Roman"/>
          <w:color w:val="000000"/>
          <w:sz w:val="21"/>
          <w:szCs w:val="21"/>
          <w:shd w:val="clear" w:color="auto" w:fill="FFFFFF"/>
        </w:rPr>
        <w:t xml:space="preserve"> rate of </w:t>
      </w:r>
      <w:r w:rsidR="00A07B17" w:rsidRPr="00A07B17">
        <w:rPr>
          <w:rStyle w:val="longtext"/>
          <w:rFonts w:ascii="Times New Roman" w:hAnsi="Times New Roman" w:cs="Times New Roman"/>
          <w:color w:val="000000"/>
          <w:sz w:val="21"/>
          <w:szCs w:val="21"/>
          <w:shd w:val="clear" w:color="auto" w:fill="FFFFFF"/>
        </w:rPr>
        <w:t>employment</w:t>
      </w:r>
      <w:r w:rsidR="001E1926">
        <w:rPr>
          <w:rStyle w:val="longtext"/>
          <w:rFonts w:ascii="Times New Roman" w:hAnsi="Times New Roman" w:cs="Times New Roman"/>
          <w:color w:val="000000"/>
          <w:sz w:val="21"/>
          <w:szCs w:val="21"/>
          <w:shd w:val="clear" w:color="auto" w:fill="FFFFFF"/>
        </w:rPr>
        <w:t xml:space="preserve">. </w:t>
      </w:r>
    </w:p>
    <w:p w14:paraId="6D4C40E6" w14:textId="77777777" w:rsidR="00A9653E" w:rsidRPr="00EC356F" w:rsidRDefault="00BD29F5" w:rsidP="00A9653E">
      <w:pPr>
        <w:spacing w:line="360" w:lineRule="auto"/>
        <w:jc w:val="both"/>
        <w:rPr>
          <w:rStyle w:val="longtext"/>
          <w:rFonts w:ascii="Times New Roman" w:hAnsi="Times New Roman" w:cs="Times New Roman"/>
          <w:color w:val="000000"/>
          <w:sz w:val="21"/>
          <w:szCs w:val="21"/>
          <w:shd w:val="clear" w:color="auto" w:fill="FFFFFF"/>
        </w:rPr>
      </w:pPr>
      <w:r>
        <w:rPr>
          <w:rStyle w:val="longtext"/>
          <w:rFonts w:ascii="Times New Roman" w:hAnsi="Times New Roman" w:cs="Times New Roman"/>
          <w:color w:val="000000"/>
          <w:sz w:val="21"/>
          <w:szCs w:val="21"/>
          <w:shd w:val="clear" w:color="auto" w:fill="FFFFFF"/>
        </w:rPr>
        <w:lastRenderedPageBreak/>
        <w:t xml:space="preserve">In addition, the </w:t>
      </w:r>
      <w:r w:rsidRPr="00BD29F5">
        <w:rPr>
          <w:rStyle w:val="longtext"/>
          <w:rFonts w:ascii="Times New Roman" w:hAnsi="Times New Roman" w:cs="Times New Roman"/>
          <w:color w:val="000000"/>
          <w:sz w:val="21"/>
          <w:szCs w:val="21"/>
          <w:shd w:val="clear" w:color="auto" w:fill="FFFFFF"/>
        </w:rPr>
        <w:t xml:space="preserve">IMF January 2015 report </w:t>
      </w:r>
      <w:r>
        <w:rPr>
          <w:rStyle w:val="longtext"/>
          <w:rFonts w:ascii="Times New Roman" w:hAnsi="Times New Roman" w:cs="Times New Roman"/>
          <w:color w:val="000000"/>
          <w:sz w:val="21"/>
          <w:szCs w:val="21"/>
          <w:shd w:val="clear" w:color="auto" w:fill="FFFFFF"/>
        </w:rPr>
        <w:t xml:space="preserve">predicted </w:t>
      </w:r>
      <w:r w:rsidR="00323ED3">
        <w:rPr>
          <w:rStyle w:val="longtext"/>
          <w:rFonts w:ascii="Times New Roman" w:hAnsi="Times New Roman" w:cs="Times New Roman"/>
          <w:color w:val="000000"/>
          <w:sz w:val="21"/>
          <w:szCs w:val="21"/>
          <w:shd w:val="clear" w:color="auto" w:fill="FFFFFF"/>
        </w:rPr>
        <w:t xml:space="preserve">a </w:t>
      </w:r>
      <w:r w:rsidRPr="00BD29F5">
        <w:rPr>
          <w:rStyle w:val="longtext"/>
          <w:rFonts w:ascii="Times New Roman" w:hAnsi="Times New Roman" w:cs="Times New Roman"/>
          <w:color w:val="000000"/>
          <w:sz w:val="21"/>
          <w:szCs w:val="21"/>
          <w:shd w:val="clear" w:color="auto" w:fill="FFFFFF"/>
        </w:rPr>
        <w:t xml:space="preserve">3.5% </w:t>
      </w:r>
      <w:r>
        <w:rPr>
          <w:rStyle w:val="longtext"/>
          <w:rFonts w:ascii="Times New Roman" w:hAnsi="Times New Roman" w:cs="Times New Roman"/>
          <w:color w:val="000000"/>
          <w:sz w:val="21"/>
          <w:szCs w:val="21"/>
          <w:shd w:val="clear" w:color="auto" w:fill="FFFFFF"/>
        </w:rPr>
        <w:t>growth of global economy</w:t>
      </w:r>
      <w:r w:rsidRPr="00BD29F5">
        <w:rPr>
          <w:rStyle w:val="longtext"/>
          <w:rFonts w:ascii="Times New Roman" w:hAnsi="Times New Roman" w:cs="Times New Roman"/>
          <w:color w:val="000000"/>
          <w:sz w:val="21"/>
          <w:szCs w:val="21"/>
          <w:shd w:val="clear" w:color="auto" w:fill="FFFFFF"/>
        </w:rPr>
        <w:t xml:space="preserve"> (</w:t>
      </w:r>
      <w:r w:rsidR="00323ED3">
        <w:rPr>
          <w:rStyle w:val="longtext"/>
          <w:rFonts w:ascii="Times New Roman" w:hAnsi="Times New Roman" w:cs="Times New Roman"/>
          <w:color w:val="000000"/>
          <w:sz w:val="21"/>
          <w:szCs w:val="21"/>
          <w:shd w:val="clear" w:color="auto" w:fill="FFFFFF"/>
        </w:rPr>
        <w:t xml:space="preserve">with a </w:t>
      </w:r>
      <w:r w:rsidRPr="00BD29F5">
        <w:rPr>
          <w:rStyle w:val="longtext"/>
          <w:rFonts w:ascii="Times New Roman" w:hAnsi="Times New Roman" w:cs="Times New Roman"/>
          <w:color w:val="000000"/>
          <w:sz w:val="21"/>
          <w:szCs w:val="21"/>
          <w:shd w:val="clear" w:color="auto" w:fill="FFFFFF"/>
        </w:rPr>
        <w:t>down</w:t>
      </w:r>
      <w:r w:rsidR="00323ED3">
        <w:rPr>
          <w:rStyle w:val="longtext"/>
          <w:rFonts w:ascii="Times New Roman" w:hAnsi="Times New Roman" w:cs="Times New Roman"/>
          <w:color w:val="000000"/>
          <w:sz w:val="21"/>
          <w:szCs w:val="21"/>
          <w:shd w:val="clear" w:color="auto" w:fill="FFFFFF"/>
        </w:rPr>
        <w:t xml:space="preserve">side </w:t>
      </w:r>
      <w:r w:rsidRPr="00BD29F5">
        <w:rPr>
          <w:rStyle w:val="longtext"/>
          <w:rFonts w:ascii="Times New Roman" w:hAnsi="Times New Roman" w:cs="Times New Roman"/>
          <w:color w:val="000000"/>
          <w:sz w:val="21"/>
          <w:szCs w:val="21"/>
          <w:shd w:val="clear" w:color="auto" w:fill="FFFFFF"/>
        </w:rPr>
        <w:t xml:space="preserve">adjustment </w:t>
      </w:r>
      <w:r w:rsidR="00323ED3">
        <w:rPr>
          <w:rStyle w:val="longtext"/>
          <w:rFonts w:ascii="Times New Roman" w:hAnsi="Times New Roman" w:cs="Times New Roman"/>
          <w:color w:val="000000"/>
          <w:sz w:val="21"/>
          <w:szCs w:val="21"/>
          <w:shd w:val="clear" w:color="auto" w:fill="FFFFFF"/>
        </w:rPr>
        <w:t xml:space="preserve">of </w:t>
      </w:r>
      <w:r w:rsidR="00323ED3" w:rsidRPr="00BD29F5">
        <w:rPr>
          <w:rStyle w:val="longtext"/>
          <w:rFonts w:ascii="Times New Roman" w:hAnsi="Times New Roman" w:cs="Times New Roman"/>
          <w:color w:val="000000"/>
          <w:sz w:val="21"/>
          <w:szCs w:val="21"/>
          <w:shd w:val="clear" w:color="auto" w:fill="FFFFFF"/>
        </w:rPr>
        <w:t xml:space="preserve">0.3 </w:t>
      </w:r>
      <w:r w:rsidR="00323ED3">
        <w:rPr>
          <w:rStyle w:val="longtext"/>
          <w:rFonts w:ascii="Times New Roman" w:hAnsi="Times New Roman" w:cs="Times New Roman"/>
          <w:color w:val="000000"/>
          <w:sz w:val="21"/>
          <w:szCs w:val="21"/>
          <w:shd w:val="clear" w:color="auto" w:fill="FFFFFF"/>
        </w:rPr>
        <w:t>pp in comparison with</w:t>
      </w:r>
      <w:r w:rsidRPr="00BD29F5">
        <w:rPr>
          <w:rStyle w:val="longtext"/>
          <w:rFonts w:ascii="Times New Roman" w:hAnsi="Times New Roman" w:cs="Times New Roman"/>
          <w:color w:val="000000"/>
          <w:sz w:val="21"/>
          <w:szCs w:val="21"/>
          <w:shd w:val="clear" w:color="auto" w:fill="FFFFFF"/>
        </w:rPr>
        <w:t xml:space="preserve"> </w:t>
      </w:r>
      <w:r w:rsidR="00323ED3">
        <w:rPr>
          <w:rStyle w:val="longtext"/>
          <w:rFonts w:ascii="Times New Roman" w:hAnsi="Times New Roman" w:cs="Times New Roman"/>
          <w:color w:val="000000"/>
          <w:sz w:val="21"/>
          <w:szCs w:val="21"/>
          <w:shd w:val="clear" w:color="auto" w:fill="FFFFFF"/>
        </w:rPr>
        <w:t>previous [October] publication</w:t>
      </w:r>
      <w:r w:rsidRPr="00BD29F5">
        <w:rPr>
          <w:rStyle w:val="longtext"/>
          <w:rFonts w:ascii="Times New Roman" w:hAnsi="Times New Roman" w:cs="Times New Roman"/>
          <w:color w:val="000000"/>
          <w:sz w:val="21"/>
          <w:szCs w:val="21"/>
          <w:shd w:val="clear" w:color="auto" w:fill="FFFFFF"/>
        </w:rPr>
        <w:t xml:space="preserve">, </w:t>
      </w:r>
      <w:r w:rsidR="00323ED3">
        <w:rPr>
          <w:rStyle w:val="longtext"/>
          <w:rFonts w:ascii="Times New Roman" w:hAnsi="Times New Roman" w:cs="Times New Roman"/>
          <w:color w:val="000000"/>
          <w:sz w:val="21"/>
          <w:szCs w:val="21"/>
          <w:shd w:val="clear" w:color="auto" w:fill="FFFFFF"/>
        </w:rPr>
        <w:t xml:space="preserve">owing to </w:t>
      </w:r>
      <w:r w:rsidRPr="00BD29F5">
        <w:rPr>
          <w:rStyle w:val="longtext"/>
          <w:rFonts w:ascii="Times New Roman" w:hAnsi="Times New Roman" w:cs="Times New Roman"/>
          <w:color w:val="000000"/>
          <w:sz w:val="21"/>
          <w:szCs w:val="21"/>
          <w:shd w:val="clear" w:color="auto" w:fill="FFFFFF"/>
        </w:rPr>
        <w:t>developing countries</w:t>
      </w:r>
      <w:r w:rsidR="00323ED3">
        <w:rPr>
          <w:rStyle w:val="longtext"/>
          <w:rFonts w:ascii="Times New Roman" w:hAnsi="Times New Roman" w:cs="Times New Roman"/>
          <w:color w:val="000000"/>
          <w:sz w:val="21"/>
          <w:szCs w:val="21"/>
          <w:shd w:val="clear" w:color="auto" w:fill="FFFFFF"/>
        </w:rPr>
        <w:t>)</w:t>
      </w:r>
      <w:r w:rsidRPr="00BD29F5">
        <w:rPr>
          <w:rStyle w:val="longtext"/>
          <w:rFonts w:ascii="Times New Roman" w:hAnsi="Times New Roman" w:cs="Times New Roman"/>
          <w:color w:val="000000"/>
          <w:sz w:val="21"/>
          <w:szCs w:val="21"/>
          <w:shd w:val="clear" w:color="auto" w:fill="FFFFFF"/>
        </w:rPr>
        <w:t>.</w:t>
      </w:r>
      <w:r w:rsidR="00323ED3">
        <w:rPr>
          <w:rStyle w:val="longtext"/>
          <w:rFonts w:ascii="Times New Roman" w:hAnsi="Times New Roman" w:cs="Times New Roman"/>
          <w:color w:val="000000"/>
          <w:sz w:val="21"/>
          <w:szCs w:val="21"/>
          <w:shd w:val="clear" w:color="auto" w:fill="FFFFFF"/>
        </w:rPr>
        <w:t xml:space="preserve"> </w:t>
      </w:r>
    </w:p>
    <w:p w14:paraId="2162B98F" w14:textId="181854B3" w:rsidR="00A9653E" w:rsidRPr="00EC356F"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Fonts w:ascii="Times New Roman" w:hAnsi="Times New Roman" w:cs="Times New Roman"/>
          <w:b/>
          <w:sz w:val="21"/>
          <w:szCs w:val="21"/>
        </w:rPr>
        <w:t>Uncertainties</w:t>
      </w:r>
      <w:r w:rsidR="00323ED3">
        <w:rPr>
          <w:rFonts w:ascii="Times New Roman" w:hAnsi="Times New Roman" w:cs="Times New Roman"/>
          <w:b/>
          <w:sz w:val="21"/>
          <w:szCs w:val="21"/>
        </w:rPr>
        <w:t xml:space="preserve"> </w:t>
      </w:r>
      <w:r w:rsidRPr="00EC356F">
        <w:rPr>
          <w:rFonts w:ascii="Times New Roman" w:hAnsi="Times New Roman" w:cs="Times New Roman"/>
          <w:b/>
          <w:sz w:val="21"/>
          <w:szCs w:val="21"/>
        </w:rPr>
        <w:t xml:space="preserve">and risks </w:t>
      </w:r>
      <w:r w:rsidRPr="00EC356F">
        <w:rPr>
          <w:rFonts w:ascii="Times New Roman" w:hAnsi="Times New Roman" w:cs="Times New Roman"/>
          <w:sz w:val="21"/>
          <w:szCs w:val="21"/>
        </w:rPr>
        <w:t xml:space="preserve">about </w:t>
      </w:r>
      <w:r w:rsidR="00356424">
        <w:rPr>
          <w:rFonts w:ascii="Times New Roman" w:hAnsi="Times New Roman" w:cs="Times New Roman"/>
          <w:sz w:val="21"/>
          <w:szCs w:val="21"/>
        </w:rPr>
        <w:t>a</w:t>
      </w:r>
      <w:r w:rsidRPr="00EC356F">
        <w:rPr>
          <w:rFonts w:ascii="Times New Roman" w:hAnsi="Times New Roman" w:cs="Times New Roman"/>
          <w:sz w:val="21"/>
          <w:szCs w:val="21"/>
        </w:rPr>
        <w:t xml:space="preserve"> further pace of </w:t>
      </w:r>
      <w:r w:rsidR="00FA4F93">
        <w:rPr>
          <w:rFonts w:ascii="Times New Roman" w:hAnsi="Times New Roman" w:cs="Times New Roman"/>
          <w:sz w:val="21"/>
          <w:szCs w:val="21"/>
        </w:rPr>
        <w:t xml:space="preserve">the </w:t>
      </w:r>
      <w:r w:rsidRPr="00EC356F">
        <w:rPr>
          <w:rFonts w:ascii="Times New Roman" w:hAnsi="Times New Roman" w:cs="Times New Roman"/>
          <w:sz w:val="21"/>
          <w:szCs w:val="21"/>
        </w:rPr>
        <w:t xml:space="preserve">global economy </w:t>
      </w:r>
      <w:r w:rsidR="00323ED3">
        <w:rPr>
          <w:rFonts w:ascii="Times New Roman" w:hAnsi="Times New Roman" w:cs="Times New Roman"/>
          <w:b/>
          <w:sz w:val="21"/>
          <w:szCs w:val="21"/>
        </w:rPr>
        <w:t>have become</w:t>
      </w:r>
      <w:r w:rsidRPr="00EC356F">
        <w:rPr>
          <w:rFonts w:ascii="Times New Roman" w:hAnsi="Times New Roman" w:cs="Times New Roman"/>
          <w:b/>
          <w:sz w:val="21"/>
          <w:szCs w:val="21"/>
        </w:rPr>
        <w:t xml:space="preserve"> more essential</w:t>
      </w:r>
      <w:r w:rsidRPr="00EC356F">
        <w:rPr>
          <w:rFonts w:ascii="Times New Roman" w:hAnsi="Times New Roman" w:cs="Times New Roman"/>
          <w:sz w:val="21"/>
          <w:szCs w:val="21"/>
        </w:rPr>
        <w:t xml:space="preserve"> for developing countries. </w:t>
      </w:r>
      <w:r w:rsidR="00B05972">
        <w:rPr>
          <w:rFonts w:ascii="Times New Roman" w:hAnsi="Times New Roman" w:cs="Times New Roman"/>
          <w:sz w:val="21"/>
          <w:szCs w:val="21"/>
        </w:rPr>
        <w:t xml:space="preserve">These are attributable to the </w:t>
      </w:r>
      <w:r w:rsidRPr="00EC356F">
        <w:rPr>
          <w:rFonts w:ascii="Times New Roman" w:hAnsi="Times New Roman" w:cs="Times New Roman"/>
          <w:sz w:val="21"/>
          <w:szCs w:val="21"/>
        </w:rPr>
        <w:t>capital fl</w:t>
      </w:r>
      <w:r w:rsidR="00B05972">
        <w:rPr>
          <w:rFonts w:ascii="Times New Roman" w:hAnsi="Times New Roman" w:cs="Times New Roman"/>
          <w:sz w:val="21"/>
          <w:szCs w:val="21"/>
        </w:rPr>
        <w:t xml:space="preserve">eeing from developing countries to the developed ones and </w:t>
      </w:r>
      <w:r w:rsidR="00005F1E">
        <w:rPr>
          <w:rFonts w:ascii="Times New Roman" w:hAnsi="Times New Roman" w:cs="Times New Roman"/>
          <w:sz w:val="21"/>
          <w:szCs w:val="21"/>
        </w:rPr>
        <w:t xml:space="preserve">to </w:t>
      </w:r>
      <w:r w:rsidR="00005F1E" w:rsidRPr="00005F1E">
        <w:rPr>
          <w:rFonts w:ascii="Times New Roman" w:hAnsi="Times New Roman" w:cs="Times New Roman"/>
          <w:sz w:val="21"/>
          <w:szCs w:val="21"/>
        </w:rPr>
        <w:t>deteriorat</w:t>
      </w:r>
      <w:r w:rsidR="00005F1E">
        <w:rPr>
          <w:rFonts w:ascii="Times New Roman" w:hAnsi="Times New Roman" w:cs="Times New Roman"/>
          <w:sz w:val="21"/>
          <w:szCs w:val="21"/>
        </w:rPr>
        <w:t xml:space="preserve">ing </w:t>
      </w:r>
      <w:r w:rsidR="00005F1E" w:rsidRPr="00005F1E">
        <w:rPr>
          <w:rFonts w:ascii="Times New Roman" w:hAnsi="Times New Roman" w:cs="Times New Roman"/>
          <w:sz w:val="21"/>
          <w:szCs w:val="21"/>
        </w:rPr>
        <w:t xml:space="preserve">economic growth prospects </w:t>
      </w:r>
      <w:r w:rsidR="00005F1E">
        <w:rPr>
          <w:rFonts w:ascii="Times New Roman" w:hAnsi="Times New Roman" w:cs="Times New Roman"/>
          <w:sz w:val="21"/>
          <w:szCs w:val="21"/>
        </w:rPr>
        <w:t xml:space="preserve">as commodity prices fall in international markets. </w:t>
      </w:r>
      <w:r w:rsidR="00005F1E" w:rsidRPr="00005F1E">
        <w:rPr>
          <w:rFonts w:ascii="Times New Roman" w:hAnsi="Times New Roman" w:cs="Times New Roman"/>
          <w:sz w:val="21"/>
          <w:szCs w:val="21"/>
        </w:rPr>
        <w:t xml:space="preserve">It is </w:t>
      </w:r>
      <w:r w:rsidR="00005F1E" w:rsidRPr="00FE5C36">
        <w:rPr>
          <w:rFonts w:ascii="Times New Roman" w:hAnsi="Times New Roman" w:cs="Times New Roman"/>
          <w:sz w:val="21"/>
          <w:szCs w:val="21"/>
        </w:rPr>
        <w:t xml:space="preserve">noteworthy that </w:t>
      </w:r>
      <w:r w:rsidR="00FE5C36" w:rsidRPr="00FE5C36">
        <w:rPr>
          <w:rFonts w:ascii="Times New Roman" w:hAnsi="Times New Roman" w:cs="Times New Roman"/>
          <w:sz w:val="21"/>
          <w:szCs w:val="21"/>
        </w:rPr>
        <w:t>escalation</w:t>
      </w:r>
      <w:r w:rsidR="00FE5C36">
        <w:rPr>
          <w:rFonts w:ascii="Times New Roman" w:hAnsi="Times New Roman" w:cs="Times New Roman"/>
          <w:sz w:val="21"/>
          <w:szCs w:val="21"/>
        </w:rPr>
        <w:t xml:space="preserve"> of the aforementioned </w:t>
      </w:r>
      <w:r w:rsidR="00005F1E" w:rsidRPr="00FE5C36">
        <w:rPr>
          <w:rFonts w:ascii="Times New Roman" w:hAnsi="Times New Roman" w:cs="Times New Roman"/>
          <w:sz w:val="21"/>
          <w:szCs w:val="21"/>
        </w:rPr>
        <w:t>risks was</w:t>
      </w:r>
      <w:r w:rsidR="00FE5C36">
        <w:rPr>
          <w:rFonts w:ascii="Times New Roman" w:hAnsi="Times New Roman" w:cs="Times New Roman"/>
          <w:sz w:val="21"/>
          <w:szCs w:val="21"/>
        </w:rPr>
        <w:t xml:space="preserve"> reflected in </w:t>
      </w:r>
      <w:r w:rsidR="00FE5C36" w:rsidRPr="00005F1E">
        <w:rPr>
          <w:rFonts w:ascii="Times New Roman" w:hAnsi="Times New Roman" w:cs="Times New Roman"/>
          <w:sz w:val="21"/>
          <w:szCs w:val="21"/>
        </w:rPr>
        <w:t xml:space="preserve">developing countries </w:t>
      </w:r>
      <w:r w:rsidR="00FE5C36">
        <w:rPr>
          <w:rFonts w:ascii="Times New Roman" w:hAnsi="Times New Roman" w:cs="Times New Roman"/>
          <w:sz w:val="21"/>
          <w:szCs w:val="21"/>
        </w:rPr>
        <w:t xml:space="preserve">as </w:t>
      </w:r>
      <w:r w:rsidR="00005F1E" w:rsidRPr="00005F1E">
        <w:rPr>
          <w:rFonts w:ascii="Times New Roman" w:hAnsi="Times New Roman" w:cs="Times New Roman"/>
          <w:sz w:val="21"/>
          <w:szCs w:val="21"/>
        </w:rPr>
        <w:t xml:space="preserve">the level of </w:t>
      </w:r>
      <w:r w:rsidR="00C13745">
        <w:rPr>
          <w:rFonts w:ascii="Times New Roman" w:hAnsi="Times New Roman" w:cs="Times New Roman"/>
          <w:sz w:val="21"/>
          <w:szCs w:val="21"/>
        </w:rPr>
        <w:t>equilibrium</w:t>
      </w:r>
      <w:r w:rsidR="00FE5C36">
        <w:rPr>
          <w:rFonts w:ascii="Times New Roman" w:hAnsi="Times New Roman" w:cs="Times New Roman"/>
          <w:sz w:val="21"/>
          <w:szCs w:val="21"/>
        </w:rPr>
        <w:t xml:space="preserve"> </w:t>
      </w:r>
      <w:r w:rsidR="00005F1E" w:rsidRPr="00005F1E">
        <w:rPr>
          <w:rFonts w:ascii="Times New Roman" w:hAnsi="Times New Roman" w:cs="Times New Roman"/>
          <w:sz w:val="21"/>
          <w:szCs w:val="21"/>
        </w:rPr>
        <w:t xml:space="preserve">interest rates </w:t>
      </w:r>
      <w:r w:rsidR="00FE5C36">
        <w:rPr>
          <w:rFonts w:ascii="Times New Roman" w:hAnsi="Times New Roman" w:cs="Times New Roman"/>
          <w:sz w:val="21"/>
          <w:szCs w:val="21"/>
        </w:rPr>
        <w:t xml:space="preserve">has risen to a certain extent and the </w:t>
      </w:r>
      <w:r w:rsidR="00005F1E" w:rsidRPr="00005F1E">
        <w:rPr>
          <w:rFonts w:ascii="Times New Roman" w:hAnsi="Times New Roman" w:cs="Times New Roman"/>
          <w:sz w:val="21"/>
          <w:szCs w:val="21"/>
        </w:rPr>
        <w:t xml:space="preserve">economic growth potential </w:t>
      </w:r>
      <w:r w:rsidR="00FE5C36">
        <w:rPr>
          <w:rFonts w:ascii="Times New Roman" w:hAnsi="Times New Roman" w:cs="Times New Roman"/>
          <w:sz w:val="21"/>
          <w:szCs w:val="21"/>
        </w:rPr>
        <w:t xml:space="preserve">reduced. Downside risks to </w:t>
      </w:r>
      <w:r w:rsidR="00FE5C36" w:rsidRPr="00005F1E">
        <w:rPr>
          <w:rFonts w:ascii="Times New Roman" w:hAnsi="Times New Roman" w:cs="Times New Roman"/>
          <w:sz w:val="21"/>
          <w:szCs w:val="21"/>
        </w:rPr>
        <w:t xml:space="preserve">economic growth in </w:t>
      </w:r>
      <w:r w:rsidR="00FE5C36">
        <w:rPr>
          <w:rFonts w:ascii="Times New Roman" w:hAnsi="Times New Roman" w:cs="Times New Roman"/>
          <w:sz w:val="21"/>
          <w:szCs w:val="21"/>
        </w:rPr>
        <w:t xml:space="preserve">Euro-area member states are significant, too, which is due to a </w:t>
      </w:r>
      <w:r w:rsidR="00005F1E" w:rsidRPr="00005F1E">
        <w:rPr>
          <w:rFonts w:ascii="Times New Roman" w:hAnsi="Times New Roman" w:cs="Times New Roman"/>
          <w:sz w:val="21"/>
          <w:szCs w:val="21"/>
        </w:rPr>
        <w:t>slow</w:t>
      </w:r>
      <w:r w:rsidR="00FE5C36">
        <w:rPr>
          <w:rFonts w:ascii="Times New Roman" w:hAnsi="Times New Roman" w:cs="Times New Roman"/>
          <w:sz w:val="21"/>
          <w:szCs w:val="21"/>
        </w:rPr>
        <w:t>ing pace of</w:t>
      </w:r>
      <w:r w:rsidR="00005F1E" w:rsidRPr="00005F1E">
        <w:rPr>
          <w:rFonts w:ascii="Times New Roman" w:hAnsi="Times New Roman" w:cs="Times New Roman"/>
          <w:sz w:val="21"/>
          <w:szCs w:val="21"/>
        </w:rPr>
        <w:t xml:space="preserve"> structural reforms and geopolitical developments.</w:t>
      </w:r>
    </w:p>
    <w:p w14:paraId="63755C1E" w14:textId="77777777" w:rsidR="00A9653E"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Style w:val="longtext"/>
          <w:rFonts w:ascii="Times New Roman" w:hAnsi="Times New Roman" w:cs="Times New Roman"/>
          <w:color w:val="000000"/>
          <w:sz w:val="21"/>
          <w:szCs w:val="21"/>
          <w:shd w:val="clear" w:color="auto" w:fill="FFFFFF"/>
        </w:rPr>
        <w:t xml:space="preserve">With the global economy </w:t>
      </w:r>
      <w:r w:rsidR="000A6B89">
        <w:rPr>
          <w:rStyle w:val="longtext"/>
          <w:rFonts w:ascii="Times New Roman" w:hAnsi="Times New Roman" w:cs="Times New Roman"/>
          <w:color w:val="000000"/>
          <w:sz w:val="21"/>
          <w:szCs w:val="21"/>
          <w:shd w:val="clear" w:color="auto" w:fill="FFFFFF"/>
        </w:rPr>
        <w:t xml:space="preserve">growing at a </w:t>
      </w:r>
      <w:r w:rsidR="00D02419">
        <w:rPr>
          <w:rStyle w:val="longtext"/>
          <w:rFonts w:ascii="Times New Roman" w:hAnsi="Times New Roman" w:cs="Times New Roman"/>
          <w:color w:val="000000"/>
          <w:sz w:val="21"/>
          <w:szCs w:val="21"/>
          <w:shd w:val="clear" w:color="auto" w:fill="FFFFFF"/>
        </w:rPr>
        <w:t>slow</w:t>
      </w:r>
      <w:r w:rsidR="000A6B89">
        <w:rPr>
          <w:rStyle w:val="longtext"/>
          <w:rFonts w:ascii="Times New Roman" w:hAnsi="Times New Roman" w:cs="Times New Roman"/>
          <w:color w:val="000000"/>
          <w:sz w:val="21"/>
          <w:szCs w:val="21"/>
          <w:shd w:val="clear" w:color="auto" w:fill="FFFFFF"/>
        </w:rPr>
        <w:t xml:space="preserve"> rate, international markets of </w:t>
      </w:r>
      <w:r w:rsidR="000A6B89" w:rsidRPr="00EC356F">
        <w:rPr>
          <w:rStyle w:val="longtext"/>
          <w:rFonts w:ascii="Times New Roman" w:hAnsi="Times New Roman" w:cs="Times New Roman"/>
          <w:b/>
          <w:color w:val="000000"/>
          <w:sz w:val="21"/>
          <w:szCs w:val="21"/>
          <w:shd w:val="clear" w:color="auto" w:fill="FFFFFF"/>
        </w:rPr>
        <w:t>basic commodit</w:t>
      </w:r>
      <w:r w:rsidR="000A6B89">
        <w:rPr>
          <w:rStyle w:val="longtext"/>
          <w:rFonts w:ascii="Times New Roman" w:hAnsi="Times New Roman" w:cs="Times New Roman"/>
          <w:b/>
          <w:color w:val="000000"/>
          <w:sz w:val="21"/>
          <w:szCs w:val="21"/>
          <w:shd w:val="clear" w:color="auto" w:fill="FFFFFF"/>
        </w:rPr>
        <w:t>ies</w:t>
      </w:r>
      <w:r w:rsidR="000A6B89" w:rsidRPr="00EC356F">
        <w:rPr>
          <w:rStyle w:val="longtext"/>
          <w:rFonts w:ascii="Times New Roman" w:hAnsi="Times New Roman" w:cs="Times New Roman"/>
          <w:b/>
          <w:color w:val="000000"/>
          <w:sz w:val="21"/>
          <w:szCs w:val="21"/>
          <w:shd w:val="clear" w:color="auto" w:fill="FFFFFF"/>
        </w:rPr>
        <w:t xml:space="preserve"> and food product</w:t>
      </w:r>
      <w:r w:rsidR="000A6B89">
        <w:rPr>
          <w:rStyle w:val="longtext"/>
          <w:rFonts w:ascii="Times New Roman" w:hAnsi="Times New Roman" w:cs="Times New Roman"/>
          <w:b/>
          <w:color w:val="000000"/>
          <w:sz w:val="21"/>
          <w:szCs w:val="21"/>
          <w:shd w:val="clear" w:color="auto" w:fill="FFFFFF"/>
        </w:rPr>
        <w:t>s</w:t>
      </w:r>
      <w:r w:rsidR="000A6B89" w:rsidRPr="00EC356F">
        <w:rPr>
          <w:rStyle w:val="longtext"/>
          <w:rFonts w:ascii="Times New Roman" w:hAnsi="Times New Roman" w:cs="Times New Roman"/>
          <w:b/>
          <w:color w:val="000000"/>
          <w:sz w:val="21"/>
          <w:szCs w:val="21"/>
          <w:shd w:val="clear" w:color="auto" w:fill="FFFFFF"/>
        </w:rPr>
        <w:t xml:space="preserve"> </w:t>
      </w:r>
      <w:r w:rsidR="000A6B89">
        <w:rPr>
          <w:rStyle w:val="longtext"/>
          <w:rFonts w:ascii="Times New Roman" w:hAnsi="Times New Roman" w:cs="Times New Roman"/>
          <w:color w:val="000000"/>
          <w:sz w:val="21"/>
          <w:szCs w:val="21"/>
          <w:shd w:val="clear" w:color="auto" w:fill="FFFFFF"/>
        </w:rPr>
        <w:t xml:space="preserve">saw </w:t>
      </w:r>
      <w:r w:rsidR="000A6B89" w:rsidRPr="000A6B89">
        <w:rPr>
          <w:rStyle w:val="longtext"/>
          <w:rFonts w:ascii="Times New Roman" w:hAnsi="Times New Roman" w:cs="Times New Roman"/>
          <w:color w:val="000000"/>
          <w:sz w:val="21"/>
          <w:szCs w:val="21"/>
          <w:shd w:val="clear" w:color="auto" w:fill="FFFFFF"/>
        </w:rPr>
        <w:t>some signs of recovery</w:t>
      </w:r>
      <w:r w:rsidR="000A6B89">
        <w:rPr>
          <w:rStyle w:val="longtext"/>
          <w:rFonts w:ascii="Times New Roman" w:hAnsi="Times New Roman" w:cs="Times New Roman"/>
          <w:color w:val="000000"/>
          <w:sz w:val="21"/>
          <w:szCs w:val="21"/>
          <w:shd w:val="clear" w:color="auto" w:fill="FFFFFF"/>
        </w:rPr>
        <w:t xml:space="preserve"> after dramatic</w:t>
      </w:r>
      <w:r w:rsidR="000A6B89" w:rsidRPr="000A6B89">
        <w:rPr>
          <w:rStyle w:val="longtext"/>
          <w:rFonts w:ascii="Times New Roman" w:hAnsi="Times New Roman" w:cs="Times New Roman"/>
          <w:color w:val="000000"/>
          <w:sz w:val="21"/>
          <w:szCs w:val="21"/>
          <w:shd w:val="clear" w:color="auto" w:fill="FFFFFF"/>
        </w:rPr>
        <w:t xml:space="preserve"> deflation </w:t>
      </w:r>
      <w:r w:rsidR="000A6B89">
        <w:rPr>
          <w:rStyle w:val="longtext"/>
          <w:rFonts w:ascii="Times New Roman" w:hAnsi="Times New Roman" w:cs="Times New Roman"/>
          <w:color w:val="000000"/>
          <w:sz w:val="21"/>
          <w:szCs w:val="21"/>
          <w:shd w:val="clear" w:color="auto" w:fill="FFFFFF"/>
        </w:rPr>
        <w:t xml:space="preserve">recorded in late 2014. </w:t>
      </w:r>
      <w:r w:rsidRPr="00EC356F">
        <w:rPr>
          <w:rStyle w:val="longtext"/>
          <w:rFonts w:ascii="Times New Roman" w:hAnsi="Times New Roman" w:cs="Times New Roman"/>
          <w:color w:val="000000"/>
          <w:sz w:val="21"/>
          <w:szCs w:val="21"/>
          <w:shd w:val="clear" w:color="auto" w:fill="FFFFFF"/>
        </w:rPr>
        <w:t xml:space="preserve">In the meantime, individual commodity markets are predicted to develop under the influence of fundamental factors inherent in any such markets. </w:t>
      </w:r>
      <w:r w:rsidR="000A6B89">
        <w:rPr>
          <w:rStyle w:val="longtext"/>
          <w:rFonts w:ascii="Times New Roman" w:hAnsi="Times New Roman" w:cs="Times New Roman"/>
          <w:color w:val="000000"/>
          <w:sz w:val="21"/>
          <w:szCs w:val="21"/>
          <w:shd w:val="clear" w:color="auto" w:fill="FFFFFF"/>
        </w:rPr>
        <w:t>Specifically, r</w:t>
      </w:r>
      <w:r w:rsidRPr="00EC356F">
        <w:rPr>
          <w:rStyle w:val="longtext"/>
          <w:rFonts w:ascii="Times New Roman" w:hAnsi="Times New Roman" w:cs="Times New Roman"/>
          <w:color w:val="000000"/>
          <w:sz w:val="21"/>
          <w:szCs w:val="21"/>
          <w:shd w:val="clear" w:color="auto" w:fill="FFFFFF"/>
        </w:rPr>
        <w:t xml:space="preserve">isks associated with energy price developments will be determined by geopolitical events, whereas prices of food products will depend on weather conditions.   </w:t>
      </w:r>
    </w:p>
    <w:p w14:paraId="285BDB71" w14:textId="78762639" w:rsidR="00B34781" w:rsidRPr="00EC356F" w:rsidRDefault="00B34781" w:rsidP="00A9653E">
      <w:pPr>
        <w:spacing w:line="360" w:lineRule="auto"/>
        <w:jc w:val="both"/>
        <w:rPr>
          <w:rStyle w:val="longtext"/>
          <w:rFonts w:ascii="Times New Roman" w:hAnsi="Times New Roman" w:cs="Times New Roman"/>
          <w:color w:val="000000"/>
          <w:sz w:val="21"/>
          <w:szCs w:val="21"/>
          <w:shd w:val="clear" w:color="auto" w:fill="FFFFFF"/>
        </w:rPr>
      </w:pPr>
      <w:r>
        <w:rPr>
          <w:rFonts w:ascii="Times New Roman" w:hAnsi="Times New Roman" w:cs="Times New Roman"/>
          <w:sz w:val="21"/>
          <w:szCs w:val="21"/>
        </w:rPr>
        <w:t xml:space="preserve">As the global economy rebounds and </w:t>
      </w:r>
      <w:r w:rsidRPr="00F80062">
        <w:rPr>
          <w:rFonts w:ascii="Times New Roman" w:hAnsi="Times New Roman" w:cs="Times New Roman"/>
          <w:sz w:val="21"/>
          <w:szCs w:val="21"/>
        </w:rPr>
        <w:t xml:space="preserve">economic growth </w:t>
      </w:r>
      <w:r>
        <w:rPr>
          <w:rFonts w:ascii="Times New Roman" w:hAnsi="Times New Roman" w:cs="Times New Roman"/>
          <w:sz w:val="21"/>
          <w:szCs w:val="21"/>
        </w:rPr>
        <w:t>in Armenia</w:t>
      </w:r>
      <w:r w:rsidRPr="00C70AA4">
        <w:rPr>
          <w:rFonts w:ascii="Times New Roman" w:hAnsi="Times New Roman" w:cs="Times New Roman"/>
          <w:sz w:val="21"/>
          <w:szCs w:val="21"/>
        </w:rPr>
        <w:t>'</w:t>
      </w:r>
      <w:r>
        <w:rPr>
          <w:rFonts w:ascii="Times New Roman" w:hAnsi="Times New Roman" w:cs="Times New Roman"/>
          <w:sz w:val="21"/>
          <w:szCs w:val="21"/>
        </w:rPr>
        <w:t xml:space="preserve">s </w:t>
      </w:r>
      <w:r w:rsidRPr="00F80062">
        <w:rPr>
          <w:rFonts w:ascii="Times New Roman" w:hAnsi="Times New Roman" w:cs="Times New Roman"/>
          <w:sz w:val="21"/>
          <w:szCs w:val="21"/>
        </w:rPr>
        <w:t xml:space="preserve">main </w:t>
      </w:r>
      <w:r>
        <w:rPr>
          <w:rFonts w:ascii="Times New Roman" w:hAnsi="Times New Roman" w:cs="Times New Roman"/>
          <w:sz w:val="21"/>
          <w:szCs w:val="21"/>
        </w:rPr>
        <w:t xml:space="preserve">trade </w:t>
      </w:r>
      <w:r w:rsidRPr="00F80062">
        <w:rPr>
          <w:rFonts w:ascii="Times New Roman" w:hAnsi="Times New Roman" w:cs="Times New Roman"/>
          <w:sz w:val="21"/>
          <w:szCs w:val="21"/>
        </w:rPr>
        <w:t>partner countries gradual</w:t>
      </w:r>
      <w:r>
        <w:rPr>
          <w:rFonts w:ascii="Times New Roman" w:hAnsi="Times New Roman" w:cs="Times New Roman"/>
          <w:sz w:val="21"/>
          <w:szCs w:val="21"/>
        </w:rPr>
        <w:t>ly</w:t>
      </w:r>
      <w:r w:rsidRPr="00F80062">
        <w:rPr>
          <w:rFonts w:ascii="Times New Roman" w:hAnsi="Times New Roman" w:cs="Times New Roman"/>
          <w:sz w:val="21"/>
          <w:szCs w:val="21"/>
        </w:rPr>
        <w:t xml:space="preserve"> accelerat</w:t>
      </w:r>
      <w:r w:rsidR="006D11B2">
        <w:rPr>
          <w:rFonts w:ascii="Times New Roman" w:hAnsi="Times New Roman" w:cs="Times New Roman"/>
          <w:sz w:val="21"/>
          <w:szCs w:val="21"/>
        </w:rPr>
        <w:t>es</w:t>
      </w:r>
      <w:r w:rsidR="000009C7">
        <w:rPr>
          <w:rFonts w:ascii="Times New Roman" w:hAnsi="Times New Roman" w:cs="Times New Roman"/>
          <w:sz w:val="21"/>
          <w:szCs w:val="21"/>
        </w:rPr>
        <w:t xml:space="preserve"> in a medium run</w:t>
      </w:r>
      <w:r w:rsidR="006D11B2">
        <w:rPr>
          <w:rFonts w:ascii="Times New Roman" w:hAnsi="Times New Roman" w:cs="Times New Roman"/>
          <w:sz w:val="21"/>
          <w:szCs w:val="21"/>
        </w:rPr>
        <w:t>,</w:t>
      </w:r>
      <w:r>
        <w:rPr>
          <w:rFonts w:ascii="Times New Roman" w:hAnsi="Times New Roman" w:cs="Times New Roman"/>
          <w:sz w:val="21"/>
          <w:szCs w:val="21"/>
        </w:rPr>
        <w:t xml:space="preserve"> a</w:t>
      </w:r>
      <w:r w:rsidRPr="00F80062">
        <w:rPr>
          <w:rFonts w:ascii="Times New Roman" w:hAnsi="Times New Roman" w:cs="Times New Roman"/>
          <w:sz w:val="21"/>
          <w:szCs w:val="21"/>
        </w:rPr>
        <w:t xml:space="preserve"> steady </w:t>
      </w:r>
      <w:r>
        <w:rPr>
          <w:rFonts w:ascii="Times New Roman" w:hAnsi="Times New Roman" w:cs="Times New Roman"/>
          <w:sz w:val="21"/>
          <w:szCs w:val="21"/>
        </w:rPr>
        <w:t xml:space="preserve">price rise in international commodities and </w:t>
      </w:r>
      <w:r w:rsidRPr="00F80062">
        <w:rPr>
          <w:rFonts w:ascii="Times New Roman" w:hAnsi="Times New Roman" w:cs="Times New Roman"/>
          <w:sz w:val="21"/>
          <w:szCs w:val="21"/>
        </w:rPr>
        <w:t xml:space="preserve">food products markets as well as relative stabilization of exchange rates and further appreciation </w:t>
      </w:r>
      <w:r w:rsidR="00C13745">
        <w:rPr>
          <w:rFonts w:ascii="Times New Roman" w:hAnsi="Times New Roman" w:cs="Times New Roman"/>
          <w:sz w:val="21"/>
          <w:szCs w:val="21"/>
        </w:rPr>
        <w:t xml:space="preserve">trends </w:t>
      </w:r>
      <w:r>
        <w:rPr>
          <w:rFonts w:ascii="Times New Roman" w:hAnsi="Times New Roman" w:cs="Times New Roman"/>
          <w:sz w:val="21"/>
          <w:szCs w:val="21"/>
        </w:rPr>
        <w:t xml:space="preserve">will transmit </w:t>
      </w:r>
      <w:r w:rsidRPr="00F80062">
        <w:rPr>
          <w:rFonts w:ascii="Times New Roman" w:hAnsi="Times New Roman" w:cs="Times New Roman"/>
          <w:sz w:val="21"/>
          <w:szCs w:val="21"/>
        </w:rPr>
        <w:t xml:space="preserve">positive effects </w:t>
      </w:r>
      <w:r w:rsidR="00356424">
        <w:rPr>
          <w:rFonts w:ascii="Times New Roman" w:hAnsi="Times New Roman" w:cs="Times New Roman"/>
          <w:sz w:val="21"/>
          <w:szCs w:val="21"/>
        </w:rPr>
        <w:t>on</w:t>
      </w:r>
      <w:r>
        <w:rPr>
          <w:rFonts w:ascii="Times New Roman" w:hAnsi="Times New Roman" w:cs="Times New Roman"/>
          <w:sz w:val="21"/>
          <w:szCs w:val="21"/>
        </w:rPr>
        <w:t>to the Armenian economy.</w:t>
      </w:r>
    </w:p>
    <w:p w14:paraId="66FE5125"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 xml:space="preserve">Box 1 </w:t>
      </w:r>
    </w:p>
    <w:p w14:paraId="457BE324"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Developments in commodities markets in the forecast horizon</w:t>
      </w:r>
    </w:p>
    <w:p w14:paraId="3CC5A8BB" w14:textId="77777777" w:rsidR="00A9653E" w:rsidRPr="006246D1" w:rsidRDefault="00370461" w:rsidP="00A9653E">
      <w:pPr>
        <w:spacing w:line="360" w:lineRule="auto"/>
        <w:jc w:val="both"/>
        <w:rPr>
          <w:rFonts w:ascii="Times New Roman" w:hAnsi="Times New Roman" w:cs="Times New Roman"/>
          <w:i/>
          <w:sz w:val="21"/>
          <w:szCs w:val="21"/>
        </w:rPr>
      </w:pPr>
      <w:r w:rsidRPr="006246D1">
        <w:rPr>
          <w:rFonts w:ascii="Times New Roman" w:hAnsi="Times New Roman" w:cs="Times New Roman"/>
          <w:i/>
          <w:sz w:val="21"/>
          <w:szCs w:val="21"/>
        </w:rPr>
        <w:t xml:space="preserve">The </w:t>
      </w:r>
      <w:r w:rsidR="00A9653E" w:rsidRPr="006246D1">
        <w:rPr>
          <w:rFonts w:ascii="Times New Roman" w:hAnsi="Times New Roman" w:cs="Times New Roman"/>
          <w:i/>
          <w:sz w:val="21"/>
          <w:szCs w:val="21"/>
        </w:rPr>
        <w:t>International Energy Agency</w:t>
      </w:r>
      <w:r w:rsidRPr="006246D1">
        <w:rPr>
          <w:rFonts w:ascii="Times New Roman" w:hAnsi="Times New Roman" w:cs="Times New Roman"/>
          <w:i/>
          <w:sz w:val="21"/>
          <w:szCs w:val="21"/>
        </w:rPr>
        <w:t>'</w:t>
      </w:r>
      <w:r w:rsidR="00A9653E" w:rsidRPr="006246D1">
        <w:rPr>
          <w:rFonts w:ascii="Times New Roman" w:hAnsi="Times New Roman" w:cs="Times New Roman"/>
          <w:i/>
          <w:sz w:val="21"/>
          <w:szCs w:val="21"/>
        </w:rPr>
        <w:t xml:space="preserve">s </w:t>
      </w:r>
      <w:r w:rsidRPr="006246D1">
        <w:rPr>
          <w:rFonts w:ascii="Times New Roman" w:hAnsi="Times New Roman" w:cs="Times New Roman"/>
          <w:i/>
          <w:sz w:val="21"/>
          <w:szCs w:val="21"/>
        </w:rPr>
        <w:t>February 2015</w:t>
      </w:r>
      <w:r w:rsidR="00FB5E8E" w:rsidRPr="006246D1">
        <w:rPr>
          <w:rFonts w:ascii="Times New Roman" w:hAnsi="Times New Roman" w:cs="Times New Roman"/>
          <w:i/>
          <w:sz w:val="21"/>
          <w:szCs w:val="21"/>
          <w:lang w:val="hy-AM"/>
        </w:rPr>
        <w:t xml:space="preserve"> </w:t>
      </w:r>
      <w:r w:rsidR="00A9653E" w:rsidRPr="006246D1">
        <w:rPr>
          <w:rFonts w:ascii="Times New Roman" w:hAnsi="Times New Roman" w:cs="Times New Roman"/>
          <w:i/>
          <w:sz w:val="21"/>
          <w:szCs w:val="21"/>
        </w:rPr>
        <w:t>estimates</w:t>
      </w:r>
      <w:r w:rsidRPr="006246D1">
        <w:rPr>
          <w:rFonts w:ascii="Times New Roman" w:hAnsi="Times New Roman" w:cs="Times New Roman"/>
          <w:i/>
          <w:sz w:val="21"/>
          <w:szCs w:val="21"/>
        </w:rPr>
        <w:t xml:space="preserve"> indicate that in 2015 about</w:t>
      </w:r>
      <w:r w:rsidR="00A9653E" w:rsidRPr="006246D1">
        <w:rPr>
          <w:rFonts w:ascii="Times New Roman" w:hAnsi="Times New Roman" w:cs="Times New Roman"/>
          <w:i/>
          <w:sz w:val="21"/>
          <w:szCs w:val="21"/>
        </w:rPr>
        <w:t xml:space="preserve"> 6</w:t>
      </w:r>
      <w:r w:rsidRPr="006246D1">
        <w:rPr>
          <w:rFonts w:ascii="Times New Roman" w:hAnsi="Times New Roman" w:cs="Times New Roman"/>
          <w:i/>
          <w:sz w:val="21"/>
          <w:szCs w:val="21"/>
        </w:rPr>
        <w:t>1</w:t>
      </w:r>
      <w:r w:rsidR="00FB5E8E" w:rsidRPr="006246D1">
        <w:rPr>
          <w:rFonts w:ascii="Times New Roman" w:hAnsi="Times New Roman" w:cs="Times New Roman"/>
          <w:i/>
          <w:sz w:val="21"/>
          <w:szCs w:val="21"/>
        </w:rPr>
        <w:t>.9</w:t>
      </w:r>
      <w:r w:rsidR="00A9653E" w:rsidRPr="006246D1">
        <w:rPr>
          <w:rFonts w:ascii="Times New Roman" w:hAnsi="Times New Roman" w:cs="Times New Roman"/>
          <w:i/>
          <w:sz w:val="21"/>
          <w:szCs w:val="21"/>
        </w:rPr>
        <w:t xml:space="preserve">% of global oil demand will be met </w:t>
      </w:r>
      <w:r w:rsidR="00A16288">
        <w:rPr>
          <w:rFonts w:ascii="Times New Roman" w:hAnsi="Times New Roman" w:cs="Times New Roman"/>
          <w:i/>
          <w:sz w:val="21"/>
          <w:szCs w:val="21"/>
        </w:rPr>
        <w:t xml:space="preserve">thanks to oil </w:t>
      </w:r>
      <w:r w:rsidR="00A9653E" w:rsidRPr="006246D1">
        <w:rPr>
          <w:rFonts w:ascii="Times New Roman" w:hAnsi="Times New Roman" w:cs="Times New Roman"/>
          <w:i/>
          <w:sz w:val="21"/>
          <w:szCs w:val="21"/>
        </w:rPr>
        <w:t>produc</w:t>
      </w:r>
      <w:r w:rsidR="00A16288">
        <w:rPr>
          <w:rFonts w:ascii="Times New Roman" w:hAnsi="Times New Roman" w:cs="Times New Roman"/>
          <w:i/>
          <w:sz w:val="21"/>
          <w:szCs w:val="21"/>
        </w:rPr>
        <w:t xml:space="preserve">tion </w:t>
      </w:r>
      <w:r w:rsidR="00A9653E" w:rsidRPr="006246D1">
        <w:rPr>
          <w:rFonts w:ascii="Times New Roman" w:hAnsi="Times New Roman" w:cs="Times New Roman"/>
          <w:i/>
          <w:sz w:val="21"/>
          <w:szCs w:val="21"/>
        </w:rPr>
        <w:t xml:space="preserve">by non-OPEC countries (the growth was </w:t>
      </w:r>
      <w:r w:rsidRPr="006246D1">
        <w:rPr>
          <w:rFonts w:ascii="Times New Roman" w:hAnsi="Times New Roman" w:cs="Times New Roman"/>
          <w:i/>
          <w:sz w:val="21"/>
          <w:szCs w:val="21"/>
        </w:rPr>
        <w:t>2</w:t>
      </w:r>
      <w:r w:rsidR="00A9653E" w:rsidRPr="006246D1">
        <w:rPr>
          <w:rFonts w:ascii="Times New Roman" w:hAnsi="Times New Roman" w:cs="Times New Roman"/>
          <w:i/>
          <w:sz w:val="21"/>
          <w:szCs w:val="21"/>
        </w:rPr>
        <w:t>.</w:t>
      </w:r>
      <w:r w:rsidRPr="006246D1">
        <w:rPr>
          <w:rFonts w:ascii="Times New Roman" w:hAnsi="Times New Roman" w:cs="Times New Roman"/>
          <w:i/>
          <w:sz w:val="21"/>
          <w:szCs w:val="21"/>
        </w:rPr>
        <w:t>3</w:t>
      </w:r>
      <w:r w:rsidR="00A9653E" w:rsidRPr="006246D1">
        <w:rPr>
          <w:rFonts w:ascii="Times New Roman" w:hAnsi="Times New Roman" w:cs="Times New Roman"/>
          <w:i/>
          <w:sz w:val="21"/>
          <w:szCs w:val="21"/>
        </w:rPr>
        <w:t xml:space="preserve">% against the previous year), under which circumstance average demand for extraction of oil by OPEC countries will reach </w:t>
      </w:r>
      <w:r w:rsidR="00FB5E8E" w:rsidRPr="006246D1">
        <w:rPr>
          <w:rFonts w:ascii="Times New Roman" w:hAnsi="Times New Roman" w:cs="Times New Roman"/>
          <w:i/>
          <w:sz w:val="21"/>
          <w:szCs w:val="21"/>
        </w:rPr>
        <w:t>2</w:t>
      </w:r>
      <w:r w:rsidRPr="006246D1">
        <w:rPr>
          <w:rFonts w:ascii="Times New Roman" w:hAnsi="Times New Roman" w:cs="Times New Roman"/>
          <w:i/>
          <w:sz w:val="21"/>
          <w:szCs w:val="21"/>
        </w:rPr>
        <w:t>8</w:t>
      </w:r>
      <w:r w:rsidR="00A9653E" w:rsidRPr="006246D1">
        <w:rPr>
          <w:rFonts w:ascii="Times New Roman" w:hAnsi="Times New Roman" w:cs="Times New Roman"/>
          <w:i/>
          <w:sz w:val="21"/>
          <w:szCs w:val="21"/>
        </w:rPr>
        <w:t>.</w:t>
      </w:r>
      <w:r w:rsidRPr="006246D1">
        <w:rPr>
          <w:rFonts w:ascii="Times New Roman" w:hAnsi="Times New Roman" w:cs="Times New Roman"/>
          <w:i/>
          <w:sz w:val="21"/>
          <w:szCs w:val="21"/>
        </w:rPr>
        <w:t>9</w:t>
      </w:r>
      <w:r w:rsidR="00A9653E" w:rsidRPr="006246D1">
        <w:rPr>
          <w:rFonts w:ascii="Times New Roman" w:hAnsi="Times New Roman" w:cs="Times New Roman"/>
          <w:i/>
          <w:sz w:val="21"/>
          <w:szCs w:val="21"/>
        </w:rPr>
        <w:t xml:space="preserve"> million b/d. </w:t>
      </w:r>
      <w:r w:rsidR="002F7B1A" w:rsidRPr="006246D1">
        <w:rPr>
          <w:rFonts w:ascii="Times New Roman" w:hAnsi="Times New Roman" w:cs="Times New Roman"/>
          <w:i/>
          <w:sz w:val="21"/>
          <w:szCs w:val="21"/>
        </w:rPr>
        <w:t xml:space="preserve">Oil companies are expected to reduce their investments to some extent on the brink of steep deflationary patterns driven by </w:t>
      </w:r>
      <w:r w:rsidR="00BC6A9A" w:rsidRPr="006246D1">
        <w:rPr>
          <w:rFonts w:ascii="Times New Roman" w:hAnsi="Times New Roman" w:cs="Times New Roman"/>
          <w:i/>
          <w:sz w:val="21"/>
          <w:szCs w:val="21"/>
        </w:rPr>
        <w:t xml:space="preserve">increased oil extraction volumes by the U.S. companies at the end of 2014. However, in the short term the oil supply (mainly by non-OPEC countries) will persist at a high level, which will keep the prices low until mid-2015. In the medium term, however, </w:t>
      </w:r>
      <w:r w:rsidR="00512265" w:rsidRPr="006246D1">
        <w:rPr>
          <w:rFonts w:ascii="Times New Roman" w:hAnsi="Times New Roman" w:cs="Times New Roman"/>
          <w:i/>
          <w:sz w:val="21"/>
          <w:szCs w:val="21"/>
        </w:rPr>
        <w:t xml:space="preserve">international oil prices will tend to increase moderately in </w:t>
      </w:r>
      <w:r w:rsidR="009760C1" w:rsidRPr="006246D1">
        <w:rPr>
          <w:rFonts w:ascii="Times New Roman" w:hAnsi="Times New Roman" w:cs="Times New Roman"/>
          <w:i/>
          <w:sz w:val="21"/>
          <w:szCs w:val="21"/>
        </w:rPr>
        <w:t xml:space="preserve">line with adjusting a </w:t>
      </w:r>
      <w:r w:rsidR="00BC6A9A" w:rsidRPr="006246D1">
        <w:rPr>
          <w:rFonts w:ascii="Times New Roman" w:hAnsi="Times New Roman" w:cs="Times New Roman"/>
          <w:i/>
          <w:sz w:val="21"/>
          <w:szCs w:val="21"/>
        </w:rPr>
        <w:t xml:space="preserve">market </w:t>
      </w:r>
      <w:r w:rsidR="00512265" w:rsidRPr="006246D1">
        <w:rPr>
          <w:rFonts w:ascii="Times New Roman" w:hAnsi="Times New Roman" w:cs="Times New Roman"/>
          <w:i/>
          <w:sz w:val="21"/>
          <w:szCs w:val="21"/>
        </w:rPr>
        <w:t xml:space="preserve">balance </w:t>
      </w:r>
      <w:r w:rsidR="009760C1" w:rsidRPr="006246D1">
        <w:rPr>
          <w:rFonts w:ascii="Times New Roman" w:hAnsi="Times New Roman" w:cs="Times New Roman"/>
          <w:i/>
          <w:sz w:val="21"/>
          <w:szCs w:val="21"/>
        </w:rPr>
        <w:t xml:space="preserve">between </w:t>
      </w:r>
      <w:r w:rsidR="00BC6A9A" w:rsidRPr="006246D1">
        <w:rPr>
          <w:rFonts w:ascii="Times New Roman" w:hAnsi="Times New Roman" w:cs="Times New Roman"/>
          <w:i/>
          <w:sz w:val="21"/>
          <w:szCs w:val="21"/>
        </w:rPr>
        <w:t>supply and demand</w:t>
      </w:r>
      <w:r w:rsidR="009760C1" w:rsidRPr="006246D1">
        <w:rPr>
          <w:rFonts w:ascii="Times New Roman" w:hAnsi="Times New Roman" w:cs="Times New Roman"/>
          <w:i/>
          <w:sz w:val="21"/>
          <w:szCs w:val="21"/>
        </w:rPr>
        <w:t xml:space="preserve">, which will also be fuelled by a </w:t>
      </w:r>
      <w:r w:rsidR="00BC6A9A" w:rsidRPr="006246D1">
        <w:rPr>
          <w:rFonts w:ascii="Times New Roman" w:hAnsi="Times New Roman" w:cs="Times New Roman"/>
          <w:i/>
          <w:sz w:val="21"/>
          <w:szCs w:val="21"/>
        </w:rPr>
        <w:t xml:space="preserve">gradual increase in global demand. It should also be noted that </w:t>
      </w:r>
      <w:r w:rsidR="009760C1" w:rsidRPr="006246D1">
        <w:rPr>
          <w:rFonts w:ascii="Times New Roman" w:hAnsi="Times New Roman" w:cs="Times New Roman"/>
          <w:i/>
          <w:sz w:val="21"/>
          <w:szCs w:val="21"/>
        </w:rPr>
        <w:t xml:space="preserve">geopolitical risks associated with </w:t>
      </w:r>
      <w:r w:rsidR="00BC6A9A" w:rsidRPr="006246D1">
        <w:rPr>
          <w:rFonts w:ascii="Times New Roman" w:hAnsi="Times New Roman" w:cs="Times New Roman"/>
          <w:i/>
          <w:sz w:val="21"/>
          <w:szCs w:val="21"/>
        </w:rPr>
        <w:t>negotiations with Iran, Islamic groups</w:t>
      </w:r>
      <w:r w:rsidR="00176023" w:rsidRPr="006246D1">
        <w:rPr>
          <w:rFonts w:ascii="Times New Roman" w:hAnsi="Times New Roman" w:cs="Times New Roman"/>
          <w:i/>
          <w:sz w:val="21"/>
          <w:szCs w:val="21"/>
        </w:rPr>
        <w:t>'</w:t>
      </w:r>
      <w:r w:rsidR="00BC6A9A" w:rsidRPr="006246D1">
        <w:rPr>
          <w:rFonts w:ascii="Times New Roman" w:hAnsi="Times New Roman" w:cs="Times New Roman"/>
          <w:i/>
          <w:sz w:val="21"/>
          <w:szCs w:val="21"/>
        </w:rPr>
        <w:t xml:space="preserve"> actions, as well as the relations between Russia and the West will determin</w:t>
      </w:r>
      <w:r w:rsidR="009760C1" w:rsidRPr="006246D1">
        <w:rPr>
          <w:rFonts w:ascii="Times New Roman" w:hAnsi="Times New Roman" w:cs="Times New Roman"/>
          <w:i/>
          <w:sz w:val="21"/>
          <w:szCs w:val="21"/>
        </w:rPr>
        <w:t xml:space="preserve">e the main developments with energy prices in the medium run.  </w:t>
      </w:r>
    </w:p>
    <w:p w14:paraId="05E6E0CF" w14:textId="77777777" w:rsidR="00A9653E" w:rsidRPr="006246D1" w:rsidRDefault="00A9653E" w:rsidP="00A9653E">
      <w:pPr>
        <w:spacing w:line="360" w:lineRule="auto"/>
        <w:jc w:val="both"/>
        <w:rPr>
          <w:rFonts w:ascii="Times New Roman" w:hAnsi="Times New Roman" w:cs="Times New Roman"/>
          <w:i/>
          <w:sz w:val="21"/>
          <w:szCs w:val="21"/>
        </w:rPr>
      </w:pPr>
      <w:r w:rsidRPr="006246D1">
        <w:rPr>
          <w:rFonts w:ascii="Times New Roman" w:hAnsi="Times New Roman" w:cs="Times New Roman"/>
          <w:i/>
          <w:sz w:val="21"/>
          <w:szCs w:val="21"/>
        </w:rPr>
        <w:lastRenderedPageBreak/>
        <w:t xml:space="preserve">In </w:t>
      </w:r>
      <w:r w:rsidR="004D3E2A" w:rsidRPr="006246D1">
        <w:rPr>
          <w:rFonts w:ascii="Times New Roman" w:hAnsi="Times New Roman" w:cs="Times New Roman"/>
          <w:i/>
          <w:sz w:val="21"/>
          <w:szCs w:val="21"/>
        </w:rPr>
        <w:t>the short-term perspective, certain de</w:t>
      </w:r>
      <w:r w:rsidRPr="006246D1">
        <w:rPr>
          <w:rFonts w:ascii="Times New Roman" w:hAnsi="Times New Roman" w:cs="Times New Roman"/>
          <w:i/>
          <w:sz w:val="21"/>
          <w:szCs w:val="21"/>
        </w:rPr>
        <w:t>flationary patterns will be discernable in base metals markets</w:t>
      </w:r>
      <w:r w:rsidR="009760C1" w:rsidRPr="006246D1">
        <w:rPr>
          <w:rFonts w:ascii="Times New Roman" w:hAnsi="Times New Roman" w:cs="Times New Roman"/>
          <w:i/>
          <w:sz w:val="21"/>
          <w:szCs w:val="21"/>
        </w:rPr>
        <w:t xml:space="preserve"> </w:t>
      </w:r>
      <w:r w:rsidRPr="006246D1">
        <w:rPr>
          <w:rFonts w:ascii="Times New Roman" w:hAnsi="Times New Roman" w:cs="Times New Roman"/>
          <w:i/>
          <w:sz w:val="21"/>
          <w:szCs w:val="21"/>
        </w:rPr>
        <w:t xml:space="preserve">as the global economy </w:t>
      </w:r>
      <w:r w:rsidR="0030213D" w:rsidRPr="006246D1">
        <w:rPr>
          <w:rFonts w:ascii="Times New Roman" w:hAnsi="Times New Roman" w:cs="Times New Roman"/>
          <w:i/>
          <w:sz w:val="21"/>
          <w:szCs w:val="21"/>
        </w:rPr>
        <w:t>grows slowly</w:t>
      </w:r>
      <w:r w:rsidRPr="006246D1">
        <w:rPr>
          <w:rFonts w:ascii="Times New Roman" w:hAnsi="Times New Roman" w:cs="Times New Roman"/>
          <w:i/>
          <w:sz w:val="21"/>
          <w:szCs w:val="21"/>
        </w:rPr>
        <w:t xml:space="preserve">. </w:t>
      </w:r>
      <w:r w:rsidR="004D3E2A" w:rsidRPr="006246D1">
        <w:rPr>
          <w:rFonts w:ascii="Times New Roman" w:hAnsi="Times New Roman" w:cs="Times New Roman"/>
          <w:i/>
          <w:sz w:val="21"/>
          <w:szCs w:val="21"/>
        </w:rPr>
        <w:t xml:space="preserve">Later, in the medium </w:t>
      </w:r>
      <w:r w:rsidR="006A0573">
        <w:rPr>
          <w:rFonts w:ascii="Times New Roman" w:hAnsi="Times New Roman" w:cs="Times New Roman"/>
          <w:i/>
          <w:sz w:val="21"/>
          <w:szCs w:val="21"/>
        </w:rPr>
        <w:t>haul</w:t>
      </w:r>
      <w:r w:rsidR="004D3E2A" w:rsidRPr="006246D1">
        <w:rPr>
          <w:rFonts w:ascii="Times New Roman" w:hAnsi="Times New Roman" w:cs="Times New Roman"/>
          <w:i/>
          <w:sz w:val="21"/>
          <w:szCs w:val="21"/>
        </w:rPr>
        <w:t xml:space="preserve">, prices </w:t>
      </w:r>
      <w:r w:rsidR="002E75C9" w:rsidRPr="006246D1">
        <w:rPr>
          <w:rFonts w:ascii="Times New Roman" w:hAnsi="Times New Roman" w:cs="Times New Roman"/>
          <w:i/>
          <w:sz w:val="21"/>
          <w:szCs w:val="21"/>
        </w:rPr>
        <w:t>of</w:t>
      </w:r>
      <w:r w:rsidR="004D3E2A" w:rsidRPr="006246D1">
        <w:rPr>
          <w:rFonts w:ascii="Times New Roman" w:hAnsi="Times New Roman" w:cs="Times New Roman"/>
          <w:i/>
          <w:sz w:val="21"/>
          <w:szCs w:val="21"/>
        </w:rPr>
        <w:t xml:space="preserve"> base metals will demonstrate</w:t>
      </w:r>
      <w:r w:rsidR="00E3793A" w:rsidRPr="006246D1">
        <w:rPr>
          <w:rFonts w:ascii="Times New Roman" w:hAnsi="Times New Roman" w:cs="Times New Roman"/>
          <w:i/>
          <w:sz w:val="21"/>
          <w:szCs w:val="21"/>
        </w:rPr>
        <w:t xml:space="preserve"> primarily</w:t>
      </w:r>
      <w:r w:rsidR="004D3E2A" w:rsidRPr="006246D1">
        <w:rPr>
          <w:rFonts w:ascii="Times New Roman" w:hAnsi="Times New Roman" w:cs="Times New Roman"/>
          <w:i/>
          <w:sz w:val="21"/>
          <w:szCs w:val="21"/>
        </w:rPr>
        <w:t xml:space="preserve"> minor inflationary patterns. </w:t>
      </w:r>
    </w:p>
    <w:p w14:paraId="054B14A2" w14:textId="77777777" w:rsidR="00A9653E" w:rsidRPr="006246D1" w:rsidRDefault="00A9653E" w:rsidP="00A9653E">
      <w:pPr>
        <w:spacing w:line="360" w:lineRule="auto"/>
        <w:jc w:val="both"/>
        <w:rPr>
          <w:rFonts w:ascii="Times New Roman" w:hAnsi="Times New Roman" w:cs="Times New Roman"/>
          <w:i/>
          <w:color w:val="000000"/>
          <w:sz w:val="21"/>
          <w:szCs w:val="21"/>
        </w:rPr>
      </w:pPr>
      <w:r w:rsidRPr="006246D1">
        <w:rPr>
          <w:rFonts w:ascii="Times New Roman" w:hAnsi="Times New Roman" w:cs="Times New Roman"/>
          <w:i/>
          <w:sz w:val="21"/>
          <w:szCs w:val="21"/>
        </w:rPr>
        <w:t xml:space="preserve">According to </w:t>
      </w:r>
      <w:r w:rsidR="00EA7D7E" w:rsidRPr="006246D1">
        <w:rPr>
          <w:rFonts w:ascii="Times New Roman" w:hAnsi="Times New Roman" w:cs="Times New Roman"/>
          <w:i/>
          <w:sz w:val="21"/>
          <w:szCs w:val="21"/>
        </w:rPr>
        <w:t>February</w:t>
      </w:r>
      <w:r w:rsidR="00762491" w:rsidRPr="006246D1">
        <w:rPr>
          <w:rFonts w:ascii="Times New Roman" w:hAnsi="Times New Roman" w:cs="Times New Roman"/>
          <w:i/>
          <w:sz w:val="21"/>
          <w:szCs w:val="21"/>
        </w:rPr>
        <w:t xml:space="preserve"> </w:t>
      </w:r>
      <w:r w:rsidRPr="006246D1">
        <w:rPr>
          <w:rFonts w:ascii="Times New Roman" w:hAnsi="Times New Roman" w:cs="Times New Roman"/>
          <w:i/>
          <w:color w:val="000000"/>
          <w:sz w:val="21"/>
          <w:szCs w:val="21"/>
        </w:rPr>
        <w:t>estimates of the U.S. Department of Agriculture, in the 2014/2015 marketing year some 7</w:t>
      </w:r>
      <w:r w:rsidR="00D25CDA" w:rsidRPr="006246D1">
        <w:rPr>
          <w:rFonts w:ascii="Times New Roman" w:hAnsi="Times New Roman" w:cs="Times New Roman"/>
          <w:i/>
          <w:color w:val="000000"/>
          <w:sz w:val="21"/>
          <w:szCs w:val="21"/>
        </w:rPr>
        <w:t>2</w:t>
      </w:r>
      <w:r w:rsidR="00EA7D7E" w:rsidRPr="006246D1">
        <w:rPr>
          <w:rFonts w:ascii="Times New Roman" w:hAnsi="Times New Roman" w:cs="Times New Roman"/>
          <w:i/>
          <w:color w:val="000000"/>
          <w:sz w:val="21"/>
          <w:szCs w:val="21"/>
        </w:rPr>
        <w:t>5</w:t>
      </w:r>
      <w:r w:rsidRPr="006246D1">
        <w:rPr>
          <w:rFonts w:ascii="Times New Roman" w:hAnsi="Times New Roman" w:cs="Times New Roman"/>
          <w:i/>
          <w:color w:val="000000"/>
          <w:sz w:val="21"/>
          <w:szCs w:val="21"/>
        </w:rPr>
        <w:t>.</w:t>
      </w:r>
      <w:r w:rsidR="00EA7D7E" w:rsidRPr="006246D1">
        <w:rPr>
          <w:rFonts w:ascii="Times New Roman" w:hAnsi="Times New Roman" w:cs="Times New Roman"/>
          <w:i/>
          <w:color w:val="000000"/>
          <w:sz w:val="21"/>
          <w:szCs w:val="21"/>
        </w:rPr>
        <w:t>0</w:t>
      </w:r>
      <w:r w:rsidRPr="006246D1">
        <w:rPr>
          <w:rFonts w:ascii="Times New Roman" w:hAnsi="Times New Roman" w:cs="Times New Roman"/>
          <w:i/>
          <w:color w:val="000000"/>
          <w:sz w:val="21"/>
          <w:szCs w:val="21"/>
        </w:rPr>
        <w:t xml:space="preserve"> million tons of wheat crops is expected (the volume of crop has </w:t>
      </w:r>
      <w:r w:rsidR="00EA7D7E" w:rsidRPr="006246D1">
        <w:rPr>
          <w:rFonts w:ascii="Times New Roman" w:hAnsi="Times New Roman" w:cs="Times New Roman"/>
          <w:i/>
          <w:color w:val="000000"/>
          <w:sz w:val="21"/>
          <w:szCs w:val="21"/>
        </w:rPr>
        <w:t>increased</w:t>
      </w:r>
      <w:r w:rsidRPr="006246D1">
        <w:rPr>
          <w:rFonts w:ascii="Times New Roman" w:hAnsi="Times New Roman" w:cs="Times New Roman"/>
          <w:i/>
          <w:color w:val="000000"/>
          <w:sz w:val="21"/>
          <w:szCs w:val="21"/>
        </w:rPr>
        <w:t xml:space="preserve"> by about </w:t>
      </w:r>
      <w:r w:rsidR="00EA7D7E" w:rsidRPr="006246D1">
        <w:rPr>
          <w:rFonts w:ascii="Times New Roman" w:hAnsi="Times New Roman" w:cs="Times New Roman"/>
          <w:i/>
          <w:color w:val="000000"/>
          <w:sz w:val="21"/>
          <w:szCs w:val="21"/>
        </w:rPr>
        <w:t>9</w:t>
      </w:r>
      <w:r w:rsidRPr="006246D1">
        <w:rPr>
          <w:rFonts w:ascii="Times New Roman" w:hAnsi="Times New Roman" w:cs="Times New Roman"/>
          <w:i/>
          <w:color w:val="000000"/>
          <w:sz w:val="21"/>
          <w:szCs w:val="21"/>
        </w:rPr>
        <w:t xml:space="preserve"> million tons in comparison with the previous year). Furthermore, some growth of stock is expected in the forecast horizon, reflecting faster production rates over consumption (the stock will increase by nearly </w:t>
      </w:r>
      <w:r w:rsidR="00F80045" w:rsidRPr="006246D1">
        <w:rPr>
          <w:rFonts w:ascii="Times New Roman" w:hAnsi="Times New Roman" w:cs="Times New Roman"/>
          <w:i/>
          <w:color w:val="000000"/>
          <w:sz w:val="21"/>
          <w:szCs w:val="21"/>
        </w:rPr>
        <w:t>10</w:t>
      </w:r>
      <w:r w:rsidRPr="006246D1">
        <w:rPr>
          <w:rFonts w:ascii="Times New Roman" w:hAnsi="Times New Roman" w:cs="Times New Roman"/>
          <w:i/>
          <w:color w:val="000000"/>
          <w:sz w:val="21"/>
          <w:szCs w:val="21"/>
        </w:rPr>
        <w:t xml:space="preserve"> million ton</w:t>
      </w:r>
      <w:r w:rsidR="00D25CDA" w:rsidRPr="006246D1">
        <w:rPr>
          <w:rFonts w:ascii="Times New Roman" w:hAnsi="Times New Roman" w:cs="Times New Roman"/>
          <w:i/>
          <w:color w:val="000000"/>
          <w:sz w:val="21"/>
          <w:szCs w:val="21"/>
        </w:rPr>
        <w:t>s</w:t>
      </w:r>
      <w:r w:rsidRPr="006246D1">
        <w:rPr>
          <w:rFonts w:ascii="Times New Roman" w:hAnsi="Times New Roman" w:cs="Times New Roman"/>
          <w:i/>
          <w:color w:val="000000"/>
          <w:sz w:val="21"/>
          <w:szCs w:val="21"/>
        </w:rPr>
        <w:t xml:space="preserve"> against the previous year). </w:t>
      </w:r>
      <w:r w:rsidR="00012EF3" w:rsidRPr="006246D1">
        <w:rPr>
          <w:rFonts w:ascii="Times New Roman" w:hAnsi="Times New Roman" w:cs="Times New Roman"/>
          <w:i/>
          <w:color w:val="000000"/>
          <w:sz w:val="21"/>
          <w:szCs w:val="21"/>
        </w:rPr>
        <w:t xml:space="preserve">This will determine the short-term deflationary trends in the international wheat market. In the medium term, however, prices will trend slowly upward, following a </w:t>
      </w:r>
      <w:r w:rsidR="00012EF3" w:rsidRPr="006246D1">
        <w:rPr>
          <w:rFonts w:ascii="Times New Roman" w:hAnsi="Times New Roman" w:cs="Times New Roman"/>
          <w:i/>
          <w:sz w:val="21"/>
          <w:szCs w:val="21"/>
        </w:rPr>
        <w:t>steadier path.</w:t>
      </w:r>
      <w:r w:rsidRPr="006246D1">
        <w:rPr>
          <w:rFonts w:ascii="Times New Roman" w:hAnsi="Times New Roman" w:cs="Times New Roman"/>
          <w:i/>
          <w:sz w:val="21"/>
          <w:szCs w:val="21"/>
        </w:rPr>
        <w:t xml:space="preserve"> </w:t>
      </w:r>
    </w:p>
    <w:p w14:paraId="2C633D81" w14:textId="77777777" w:rsidR="00A9653E" w:rsidRPr="006246D1" w:rsidRDefault="00A9653E" w:rsidP="00A9653E">
      <w:pPr>
        <w:spacing w:line="360" w:lineRule="auto"/>
        <w:jc w:val="both"/>
        <w:rPr>
          <w:rFonts w:ascii="Times New Roman" w:hAnsi="Times New Roman" w:cs="Times New Roman"/>
          <w:i/>
          <w:color w:val="000000"/>
          <w:sz w:val="21"/>
          <w:szCs w:val="21"/>
        </w:rPr>
      </w:pPr>
      <w:r w:rsidRPr="006246D1">
        <w:rPr>
          <w:rFonts w:ascii="Times New Roman" w:hAnsi="Times New Roman" w:cs="Times New Roman"/>
          <w:i/>
          <w:color w:val="000000"/>
          <w:sz w:val="21"/>
          <w:szCs w:val="21"/>
        </w:rPr>
        <w:t>In the 2014/2015 marketing year, world production of rice will reach 47</w:t>
      </w:r>
      <w:r w:rsidR="00252F87" w:rsidRPr="006246D1">
        <w:rPr>
          <w:rFonts w:ascii="Times New Roman" w:hAnsi="Times New Roman" w:cs="Times New Roman"/>
          <w:i/>
          <w:color w:val="000000"/>
          <w:sz w:val="21"/>
          <w:szCs w:val="21"/>
        </w:rPr>
        <w:t>4</w:t>
      </w:r>
      <w:r w:rsidRPr="006246D1">
        <w:rPr>
          <w:rFonts w:ascii="Times New Roman" w:hAnsi="Times New Roman" w:cs="Times New Roman"/>
          <w:i/>
          <w:color w:val="000000"/>
          <w:sz w:val="21"/>
          <w:szCs w:val="21"/>
        </w:rPr>
        <w:t>.</w:t>
      </w:r>
      <w:r w:rsidR="00252F87" w:rsidRPr="006246D1">
        <w:rPr>
          <w:rFonts w:ascii="Times New Roman" w:hAnsi="Times New Roman" w:cs="Times New Roman"/>
          <w:i/>
          <w:color w:val="000000"/>
          <w:sz w:val="21"/>
          <w:szCs w:val="21"/>
        </w:rPr>
        <w:t>56</w:t>
      </w:r>
      <w:r w:rsidRPr="006246D1">
        <w:rPr>
          <w:rFonts w:ascii="Times New Roman" w:hAnsi="Times New Roman" w:cs="Times New Roman"/>
          <w:i/>
          <w:color w:val="000000"/>
          <w:sz w:val="21"/>
          <w:szCs w:val="21"/>
        </w:rPr>
        <w:t xml:space="preserve"> million tons (</w:t>
      </w:r>
      <w:r w:rsidR="004E4C71" w:rsidRPr="006246D1">
        <w:rPr>
          <w:rFonts w:ascii="Times New Roman" w:hAnsi="Times New Roman" w:cs="Times New Roman"/>
          <w:i/>
          <w:color w:val="000000"/>
          <w:sz w:val="21"/>
          <w:szCs w:val="21"/>
        </w:rPr>
        <w:t>roughly</w:t>
      </w:r>
      <w:r w:rsidR="00252F87" w:rsidRPr="006246D1">
        <w:rPr>
          <w:rFonts w:ascii="Times New Roman" w:hAnsi="Times New Roman" w:cs="Times New Roman"/>
          <w:i/>
          <w:color w:val="000000"/>
          <w:sz w:val="21"/>
          <w:szCs w:val="21"/>
        </w:rPr>
        <w:t xml:space="preserve"> 2.5 </w:t>
      </w:r>
      <w:r w:rsidRPr="006246D1">
        <w:rPr>
          <w:rFonts w:ascii="Times New Roman" w:hAnsi="Times New Roman" w:cs="Times New Roman"/>
          <w:i/>
          <w:color w:val="000000"/>
          <w:sz w:val="21"/>
          <w:szCs w:val="21"/>
        </w:rPr>
        <w:t>million ton</w:t>
      </w:r>
      <w:r w:rsidR="00252F87" w:rsidRPr="006246D1">
        <w:rPr>
          <w:rFonts w:ascii="Times New Roman" w:hAnsi="Times New Roman" w:cs="Times New Roman"/>
          <w:i/>
          <w:color w:val="000000"/>
          <w:sz w:val="21"/>
          <w:szCs w:val="21"/>
        </w:rPr>
        <w:t>s</w:t>
      </w:r>
      <w:r w:rsidRPr="006246D1">
        <w:rPr>
          <w:rFonts w:ascii="Times New Roman" w:hAnsi="Times New Roman" w:cs="Times New Roman"/>
          <w:i/>
          <w:color w:val="000000"/>
          <w:sz w:val="21"/>
          <w:szCs w:val="21"/>
        </w:rPr>
        <w:t xml:space="preserve"> </w:t>
      </w:r>
      <w:r w:rsidR="00252F87" w:rsidRPr="006246D1">
        <w:rPr>
          <w:rFonts w:ascii="Times New Roman" w:hAnsi="Times New Roman" w:cs="Times New Roman"/>
          <w:i/>
          <w:color w:val="000000"/>
          <w:sz w:val="21"/>
          <w:szCs w:val="21"/>
        </w:rPr>
        <w:t>less</w:t>
      </w:r>
      <w:r w:rsidRPr="006246D1">
        <w:rPr>
          <w:rFonts w:ascii="Times New Roman" w:hAnsi="Times New Roman" w:cs="Times New Roman"/>
          <w:i/>
          <w:color w:val="000000"/>
          <w:sz w:val="21"/>
          <w:szCs w:val="21"/>
        </w:rPr>
        <w:t xml:space="preserve"> compared to the previous year). On the back of increased consumption however, the world rice stock may </w:t>
      </w:r>
      <w:r w:rsidR="00951344" w:rsidRPr="006246D1">
        <w:rPr>
          <w:rFonts w:ascii="Times New Roman" w:hAnsi="Times New Roman" w:cs="Times New Roman"/>
          <w:i/>
          <w:color w:val="000000"/>
          <w:sz w:val="21"/>
          <w:szCs w:val="21"/>
        </w:rPr>
        <w:t>decrease</w:t>
      </w:r>
      <w:r w:rsidR="00252F87" w:rsidRPr="006246D1">
        <w:rPr>
          <w:rFonts w:ascii="Times New Roman" w:hAnsi="Times New Roman" w:cs="Times New Roman"/>
          <w:i/>
          <w:color w:val="000000"/>
          <w:sz w:val="21"/>
          <w:szCs w:val="21"/>
        </w:rPr>
        <w:t xml:space="preserve"> </w:t>
      </w:r>
      <w:r w:rsidR="00951344" w:rsidRPr="006246D1">
        <w:rPr>
          <w:rFonts w:ascii="Times New Roman" w:hAnsi="Times New Roman" w:cs="Times New Roman"/>
          <w:i/>
          <w:color w:val="000000"/>
          <w:sz w:val="21"/>
          <w:szCs w:val="21"/>
        </w:rPr>
        <w:t xml:space="preserve">by nearly </w:t>
      </w:r>
      <w:r w:rsidR="00252F87" w:rsidRPr="006246D1">
        <w:rPr>
          <w:rFonts w:ascii="Times New Roman" w:hAnsi="Times New Roman" w:cs="Times New Roman"/>
          <w:i/>
          <w:color w:val="000000"/>
          <w:sz w:val="21"/>
          <w:szCs w:val="21"/>
        </w:rPr>
        <w:t>8</w:t>
      </w:r>
      <w:r w:rsidR="00951344" w:rsidRPr="006246D1">
        <w:rPr>
          <w:rFonts w:ascii="Times New Roman" w:hAnsi="Times New Roman" w:cs="Times New Roman"/>
          <w:i/>
          <w:color w:val="000000"/>
          <w:sz w:val="21"/>
          <w:szCs w:val="21"/>
        </w:rPr>
        <w:t>.</w:t>
      </w:r>
      <w:r w:rsidR="00252F87" w:rsidRPr="006246D1">
        <w:rPr>
          <w:rFonts w:ascii="Times New Roman" w:hAnsi="Times New Roman" w:cs="Times New Roman"/>
          <w:i/>
          <w:color w:val="000000"/>
          <w:sz w:val="21"/>
          <w:szCs w:val="21"/>
        </w:rPr>
        <w:t>5</w:t>
      </w:r>
      <w:r w:rsidRPr="006246D1">
        <w:rPr>
          <w:rFonts w:ascii="Times New Roman" w:hAnsi="Times New Roman" w:cs="Times New Roman"/>
          <w:i/>
          <w:color w:val="000000"/>
          <w:sz w:val="21"/>
          <w:szCs w:val="21"/>
        </w:rPr>
        <w:t xml:space="preserve"> million tons in comparison with the previous year. </w:t>
      </w:r>
      <w:r w:rsidRPr="006246D1">
        <w:rPr>
          <w:rFonts w:ascii="Times New Roman" w:hAnsi="Times New Roman" w:cs="Times New Roman"/>
          <w:i/>
          <w:sz w:val="21"/>
          <w:szCs w:val="21"/>
        </w:rPr>
        <w:t xml:space="preserve">As a result, average international rice price will mostly </w:t>
      </w:r>
      <w:r w:rsidR="00252F87" w:rsidRPr="006246D1">
        <w:rPr>
          <w:rFonts w:ascii="Times New Roman" w:hAnsi="Times New Roman" w:cs="Times New Roman"/>
          <w:i/>
          <w:sz w:val="21"/>
          <w:szCs w:val="21"/>
        </w:rPr>
        <w:t>tend to grow slowly</w:t>
      </w:r>
      <w:r w:rsidRPr="006246D1">
        <w:rPr>
          <w:rFonts w:ascii="Times New Roman" w:hAnsi="Times New Roman" w:cs="Times New Roman"/>
          <w:i/>
          <w:sz w:val="21"/>
          <w:szCs w:val="21"/>
        </w:rPr>
        <w:t xml:space="preserve">. </w:t>
      </w:r>
    </w:p>
    <w:p w14:paraId="763B4F9B" w14:textId="77777777" w:rsidR="00A9653E" w:rsidRPr="00370461" w:rsidRDefault="006C16CF" w:rsidP="00A9653E">
      <w:pPr>
        <w:spacing w:line="360" w:lineRule="auto"/>
        <w:jc w:val="both"/>
        <w:rPr>
          <w:rFonts w:ascii="Times New Roman" w:hAnsi="Times New Roman" w:cs="Times New Roman"/>
          <w:color w:val="000000"/>
          <w:sz w:val="21"/>
          <w:szCs w:val="21"/>
        </w:rPr>
      </w:pPr>
      <w:r w:rsidRPr="006246D1">
        <w:rPr>
          <w:rFonts w:ascii="Times New Roman" w:hAnsi="Times New Roman" w:cs="Times New Roman"/>
          <w:i/>
          <w:sz w:val="21"/>
          <w:szCs w:val="21"/>
        </w:rPr>
        <w:t xml:space="preserve">In the 2014/2015 marketing year, uncertainties over production of </w:t>
      </w:r>
      <w:r w:rsidR="00A9653E" w:rsidRPr="006246D1">
        <w:rPr>
          <w:rFonts w:ascii="Times New Roman" w:hAnsi="Times New Roman" w:cs="Times New Roman"/>
          <w:i/>
          <w:sz w:val="21"/>
          <w:szCs w:val="21"/>
        </w:rPr>
        <w:t>cane crop</w:t>
      </w:r>
      <w:r w:rsidRPr="006246D1">
        <w:rPr>
          <w:rFonts w:ascii="Times New Roman" w:hAnsi="Times New Roman" w:cs="Times New Roman"/>
          <w:i/>
          <w:sz w:val="21"/>
          <w:szCs w:val="21"/>
        </w:rPr>
        <w:t>, fuelled by certain pressures in the cane market</w:t>
      </w:r>
      <w:r w:rsidR="00A9653E" w:rsidRPr="006246D1">
        <w:rPr>
          <w:rFonts w:ascii="Times New Roman" w:hAnsi="Times New Roman" w:cs="Times New Roman"/>
          <w:i/>
          <w:sz w:val="21"/>
          <w:szCs w:val="21"/>
        </w:rPr>
        <w:t xml:space="preserve"> in Brazil</w:t>
      </w:r>
      <w:r w:rsidRPr="006246D1">
        <w:rPr>
          <w:rFonts w:ascii="Times New Roman" w:hAnsi="Times New Roman" w:cs="Times New Roman"/>
          <w:i/>
          <w:sz w:val="21"/>
          <w:szCs w:val="21"/>
        </w:rPr>
        <w:t>,</w:t>
      </w:r>
      <w:r w:rsidR="00A9653E" w:rsidRPr="006246D1">
        <w:rPr>
          <w:rFonts w:ascii="Times New Roman" w:hAnsi="Times New Roman" w:cs="Times New Roman"/>
          <w:i/>
          <w:sz w:val="21"/>
          <w:szCs w:val="21"/>
        </w:rPr>
        <w:t xml:space="preserve"> will be largely compensated by generous harvest expected in </w:t>
      </w:r>
      <w:r w:rsidRPr="006246D1">
        <w:rPr>
          <w:rFonts w:ascii="Times New Roman" w:hAnsi="Times New Roman" w:cs="Times New Roman"/>
          <w:i/>
          <w:sz w:val="21"/>
          <w:szCs w:val="21"/>
        </w:rPr>
        <w:t xml:space="preserve">India, Thailand and </w:t>
      </w:r>
      <w:r w:rsidR="00A9653E" w:rsidRPr="006246D1">
        <w:rPr>
          <w:rFonts w:ascii="Times New Roman" w:hAnsi="Times New Roman" w:cs="Times New Roman"/>
          <w:i/>
          <w:sz w:val="21"/>
          <w:szCs w:val="21"/>
        </w:rPr>
        <w:t xml:space="preserve">the EU, </w:t>
      </w:r>
      <w:r w:rsidR="000A4D7E">
        <w:rPr>
          <w:rFonts w:ascii="Times New Roman" w:hAnsi="Times New Roman" w:cs="Times New Roman"/>
          <w:i/>
          <w:sz w:val="21"/>
          <w:szCs w:val="21"/>
        </w:rPr>
        <w:t xml:space="preserve">as well as </w:t>
      </w:r>
      <w:r w:rsidR="00A9653E" w:rsidRPr="006246D1">
        <w:rPr>
          <w:rFonts w:ascii="Times New Roman" w:hAnsi="Times New Roman" w:cs="Times New Roman"/>
          <w:i/>
          <w:sz w:val="21"/>
          <w:szCs w:val="21"/>
        </w:rPr>
        <w:t xml:space="preserve">Australia and Mexico. As a result, </w:t>
      </w:r>
      <w:r w:rsidR="00A9653E" w:rsidRPr="006246D1">
        <w:rPr>
          <w:rFonts w:ascii="Times New Roman" w:hAnsi="Times New Roman" w:cs="Times New Roman"/>
          <w:i/>
          <w:color w:val="000000"/>
          <w:sz w:val="21"/>
          <w:szCs w:val="21"/>
        </w:rPr>
        <w:t>in the medium run</w:t>
      </w:r>
      <w:r w:rsidR="00A9653E" w:rsidRPr="006246D1">
        <w:rPr>
          <w:rFonts w:ascii="Times New Roman" w:hAnsi="Times New Roman" w:cs="Times New Roman"/>
          <w:i/>
          <w:sz w:val="21"/>
          <w:szCs w:val="21"/>
        </w:rPr>
        <w:t xml:space="preserve"> international sugar price</w:t>
      </w:r>
      <w:r w:rsidR="00A9653E" w:rsidRPr="006246D1">
        <w:rPr>
          <w:rFonts w:ascii="Times New Roman" w:hAnsi="Times New Roman" w:cs="Times New Roman"/>
          <w:i/>
          <w:color w:val="000000"/>
          <w:sz w:val="21"/>
          <w:szCs w:val="21"/>
        </w:rPr>
        <w:t xml:space="preserve"> may trend slightly up. </w:t>
      </w:r>
      <w:r w:rsidR="00951344" w:rsidRPr="006246D1">
        <w:rPr>
          <w:rFonts w:ascii="Times New Roman" w:hAnsi="Times New Roman" w:cs="Times New Roman"/>
          <w:i/>
          <w:color w:val="000000"/>
          <w:sz w:val="21"/>
          <w:szCs w:val="21"/>
        </w:rPr>
        <w:t xml:space="preserve">It should be noted that short-term developments in the market will be greatly influenced by expectations about supply, as key </w:t>
      </w:r>
      <w:r w:rsidRPr="006246D1">
        <w:rPr>
          <w:rFonts w:ascii="Times New Roman" w:hAnsi="Times New Roman" w:cs="Times New Roman"/>
          <w:i/>
          <w:color w:val="000000"/>
          <w:sz w:val="21"/>
          <w:szCs w:val="21"/>
        </w:rPr>
        <w:t>producer</w:t>
      </w:r>
      <w:r w:rsidR="00951344" w:rsidRPr="006246D1">
        <w:rPr>
          <w:rFonts w:ascii="Times New Roman" w:hAnsi="Times New Roman" w:cs="Times New Roman"/>
          <w:i/>
          <w:color w:val="000000"/>
          <w:sz w:val="21"/>
          <w:szCs w:val="21"/>
        </w:rPr>
        <w:t xml:space="preserve"> countries</w:t>
      </w:r>
      <w:r w:rsidRPr="006246D1">
        <w:rPr>
          <w:rFonts w:ascii="Times New Roman" w:hAnsi="Times New Roman" w:cs="Times New Roman"/>
          <w:i/>
          <w:color w:val="000000"/>
          <w:sz w:val="21"/>
          <w:szCs w:val="21"/>
        </w:rPr>
        <w:t>, Brazil in particular,</w:t>
      </w:r>
      <w:r w:rsidR="00951344" w:rsidRPr="006246D1">
        <w:rPr>
          <w:rFonts w:ascii="Times New Roman" w:hAnsi="Times New Roman" w:cs="Times New Roman"/>
          <w:i/>
          <w:color w:val="000000"/>
          <w:sz w:val="21"/>
          <w:szCs w:val="21"/>
        </w:rPr>
        <w:t xml:space="preserve"> will adjust their estimations of domestic output</w:t>
      </w:r>
      <w:r w:rsidR="00951344" w:rsidRPr="00370461">
        <w:rPr>
          <w:rFonts w:ascii="Times New Roman" w:hAnsi="Times New Roman" w:cs="Times New Roman"/>
          <w:color w:val="000000"/>
          <w:sz w:val="21"/>
          <w:szCs w:val="21"/>
        </w:rPr>
        <w:t>.</w:t>
      </w:r>
    </w:p>
    <w:p w14:paraId="5C69F407"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2.2 Aggregate supply and Aggregate demand</w:t>
      </w:r>
    </w:p>
    <w:p w14:paraId="67C3A128"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Aggregate supply</w:t>
      </w:r>
    </w:p>
    <w:p w14:paraId="570A7BF5" w14:textId="77777777" w:rsidR="00D776E5" w:rsidRPr="007B26E1" w:rsidRDefault="007B26E1" w:rsidP="00A9653E">
      <w:pPr>
        <w:spacing w:line="360" w:lineRule="auto"/>
        <w:jc w:val="both"/>
        <w:rPr>
          <w:rFonts w:ascii="Times New Roman" w:hAnsi="Times New Roman" w:cs="Times New Roman"/>
          <w:b/>
          <w:bCs/>
          <w:iCs/>
          <w:color w:val="0070C0"/>
          <w:sz w:val="18"/>
          <w:szCs w:val="18"/>
        </w:rPr>
      </w:pPr>
      <w:r w:rsidRPr="007B26E1">
        <w:rPr>
          <w:rFonts w:ascii="Times New Roman" w:hAnsi="Times New Roman" w:cs="Times New Roman"/>
          <w:b/>
          <w:bCs/>
          <w:iCs/>
          <w:color w:val="0070C0"/>
          <w:sz w:val="18"/>
          <w:szCs w:val="18"/>
        </w:rPr>
        <w:t>The 2014 e</w:t>
      </w:r>
      <w:r w:rsidR="00D776E5" w:rsidRPr="007B26E1">
        <w:rPr>
          <w:rFonts w:ascii="Times New Roman" w:hAnsi="Times New Roman" w:cs="Times New Roman"/>
          <w:b/>
          <w:bCs/>
          <w:iCs/>
          <w:color w:val="0070C0"/>
          <w:sz w:val="18"/>
          <w:szCs w:val="18"/>
        </w:rPr>
        <w:t xml:space="preserve">conomic growth </w:t>
      </w:r>
      <w:r w:rsidRPr="007B26E1">
        <w:rPr>
          <w:rFonts w:ascii="Times New Roman" w:hAnsi="Times New Roman" w:cs="Times New Roman"/>
          <w:b/>
          <w:bCs/>
          <w:iCs/>
          <w:color w:val="0070C0"/>
          <w:sz w:val="18"/>
          <w:szCs w:val="18"/>
        </w:rPr>
        <w:t xml:space="preserve">is estimated within </w:t>
      </w:r>
      <w:r w:rsidR="00D776E5" w:rsidRPr="007B26E1">
        <w:rPr>
          <w:rFonts w:ascii="Times New Roman" w:hAnsi="Times New Roman" w:cs="Times New Roman"/>
          <w:b/>
          <w:bCs/>
          <w:iCs/>
          <w:color w:val="0070C0"/>
          <w:sz w:val="18"/>
          <w:szCs w:val="18"/>
        </w:rPr>
        <w:t>3.</w:t>
      </w:r>
      <w:r w:rsidRPr="007B26E1">
        <w:rPr>
          <w:rFonts w:ascii="Times New Roman" w:hAnsi="Times New Roman" w:cs="Times New Roman"/>
          <w:b/>
          <w:bCs/>
          <w:iCs/>
          <w:color w:val="0070C0"/>
          <w:sz w:val="18"/>
          <w:szCs w:val="18"/>
        </w:rPr>
        <w:t>2</w:t>
      </w:r>
      <w:r w:rsidR="000A4D7E">
        <w:rPr>
          <w:rFonts w:ascii="Times New Roman" w:hAnsi="Times New Roman" w:cs="Times New Roman"/>
          <w:b/>
          <w:bCs/>
          <w:iCs/>
          <w:color w:val="0070C0"/>
          <w:sz w:val="18"/>
          <w:szCs w:val="18"/>
        </w:rPr>
        <w:t>%</w:t>
      </w:r>
      <w:r w:rsidR="00D776E5" w:rsidRPr="007B26E1">
        <w:rPr>
          <w:rFonts w:ascii="Times New Roman" w:hAnsi="Times New Roman" w:cs="Times New Roman"/>
          <w:b/>
          <w:bCs/>
          <w:iCs/>
          <w:color w:val="0070C0"/>
          <w:sz w:val="18"/>
          <w:szCs w:val="18"/>
        </w:rPr>
        <w:t>-3.</w:t>
      </w:r>
      <w:r w:rsidRPr="007B26E1">
        <w:rPr>
          <w:rFonts w:ascii="Times New Roman" w:hAnsi="Times New Roman" w:cs="Times New Roman"/>
          <w:b/>
          <w:bCs/>
          <w:iCs/>
          <w:color w:val="0070C0"/>
          <w:sz w:val="18"/>
          <w:szCs w:val="18"/>
        </w:rPr>
        <w:t>5</w:t>
      </w:r>
      <w:r w:rsidR="00D776E5" w:rsidRPr="007B26E1">
        <w:rPr>
          <w:rFonts w:ascii="Times New Roman" w:hAnsi="Times New Roman" w:cs="Times New Roman"/>
          <w:b/>
          <w:bCs/>
          <w:iCs/>
          <w:color w:val="0070C0"/>
          <w:sz w:val="18"/>
          <w:szCs w:val="18"/>
        </w:rPr>
        <w:t>%...</w:t>
      </w:r>
    </w:p>
    <w:p w14:paraId="48424C95" w14:textId="4D4814B4" w:rsidR="00A9653E" w:rsidRPr="00EC356F" w:rsidRDefault="00D14F6F"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T</w:t>
      </w:r>
      <w:r w:rsidRPr="00D14F6F">
        <w:rPr>
          <w:rFonts w:ascii="Times New Roman" w:hAnsi="Times New Roman" w:cs="Times New Roman"/>
          <w:bCs/>
          <w:iCs/>
          <w:sz w:val="21"/>
          <w:szCs w:val="21"/>
        </w:rPr>
        <w:t xml:space="preserve">he Central Bank </w:t>
      </w:r>
      <w:r>
        <w:rPr>
          <w:rFonts w:ascii="Times New Roman" w:hAnsi="Times New Roman" w:cs="Times New Roman"/>
          <w:bCs/>
          <w:iCs/>
          <w:sz w:val="21"/>
          <w:szCs w:val="21"/>
        </w:rPr>
        <w:t xml:space="preserve">estimates of </w:t>
      </w:r>
      <w:r w:rsidRPr="00D14F6F">
        <w:rPr>
          <w:rFonts w:ascii="Times New Roman" w:hAnsi="Times New Roman" w:cs="Times New Roman"/>
          <w:bCs/>
          <w:iCs/>
          <w:sz w:val="21"/>
          <w:szCs w:val="21"/>
        </w:rPr>
        <w:t xml:space="preserve">economic growth </w:t>
      </w:r>
      <w:r>
        <w:rPr>
          <w:rFonts w:ascii="Times New Roman" w:hAnsi="Times New Roman" w:cs="Times New Roman"/>
          <w:bCs/>
          <w:iCs/>
          <w:sz w:val="21"/>
          <w:szCs w:val="21"/>
        </w:rPr>
        <w:t xml:space="preserve">of Armenia for </w:t>
      </w:r>
      <w:r w:rsidRPr="00D14F6F">
        <w:rPr>
          <w:rFonts w:ascii="Times New Roman" w:hAnsi="Times New Roman" w:cs="Times New Roman"/>
          <w:bCs/>
          <w:iCs/>
          <w:sz w:val="21"/>
          <w:szCs w:val="21"/>
        </w:rPr>
        <w:t xml:space="preserve">2014 </w:t>
      </w:r>
      <w:r>
        <w:rPr>
          <w:rFonts w:ascii="Times New Roman" w:hAnsi="Times New Roman" w:cs="Times New Roman"/>
          <w:bCs/>
          <w:iCs/>
          <w:sz w:val="21"/>
          <w:szCs w:val="21"/>
        </w:rPr>
        <w:t xml:space="preserve">did not change </w:t>
      </w:r>
      <w:r w:rsidRPr="00D14F6F">
        <w:rPr>
          <w:rFonts w:ascii="Times New Roman" w:hAnsi="Times New Roman" w:cs="Times New Roman"/>
          <w:bCs/>
          <w:iCs/>
          <w:sz w:val="21"/>
          <w:szCs w:val="21"/>
        </w:rPr>
        <w:t>notably</w:t>
      </w:r>
      <w:r>
        <w:rPr>
          <w:rFonts w:ascii="Times New Roman" w:hAnsi="Times New Roman" w:cs="Times New Roman"/>
          <w:bCs/>
          <w:iCs/>
          <w:sz w:val="21"/>
          <w:szCs w:val="21"/>
        </w:rPr>
        <w:t>,</w:t>
      </w:r>
      <w:r w:rsidRPr="00D14F6F">
        <w:rPr>
          <w:rFonts w:ascii="Times New Roman" w:hAnsi="Times New Roman" w:cs="Times New Roman"/>
          <w:bCs/>
          <w:iCs/>
          <w:sz w:val="21"/>
          <w:szCs w:val="21"/>
        </w:rPr>
        <w:t xml:space="preserve"> and </w:t>
      </w:r>
      <w:r>
        <w:rPr>
          <w:rFonts w:ascii="Times New Roman" w:hAnsi="Times New Roman" w:cs="Times New Roman"/>
          <w:bCs/>
          <w:iCs/>
          <w:sz w:val="21"/>
          <w:szCs w:val="21"/>
        </w:rPr>
        <w:t xml:space="preserve">are in the range </w:t>
      </w:r>
      <w:r w:rsidR="007E7237">
        <w:rPr>
          <w:rFonts w:ascii="Times New Roman" w:hAnsi="Times New Roman" w:cs="Times New Roman"/>
          <w:bCs/>
          <w:iCs/>
          <w:sz w:val="21"/>
          <w:szCs w:val="21"/>
        </w:rPr>
        <w:t xml:space="preserve">of </w:t>
      </w:r>
      <w:r w:rsidRPr="00D14F6F">
        <w:rPr>
          <w:rFonts w:ascii="Times New Roman" w:hAnsi="Times New Roman" w:cs="Times New Roman"/>
          <w:bCs/>
          <w:iCs/>
          <w:sz w:val="21"/>
          <w:szCs w:val="21"/>
        </w:rPr>
        <w:t>3.2</w:t>
      </w:r>
      <w:r w:rsidR="007E7237">
        <w:rPr>
          <w:rFonts w:ascii="Times New Roman" w:hAnsi="Times New Roman" w:cs="Times New Roman"/>
          <w:bCs/>
          <w:iCs/>
          <w:sz w:val="21"/>
          <w:szCs w:val="21"/>
        </w:rPr>
        <w:t>%</w:t>
      </w:r>
      <w:r w:rsidRPr="00D14F6F">
        <w:rPr>
          <w:rFonts w:ascii="Times New Roman" w:hAnsi="Times New Roman" w:cs="Times New Roman"/>
          <w:bCs/>
          <w:iCs/>
          <w:sz w:val="21"/>
          <w:szCs w:val="21"/>
        </w:rPr>
        <w:t>-3.5%</w:t>
      </w:r>
      <w:r>
        <w:rPr>
          <w:rFonts w:ascii="Times New Roman" w:hAnsi="Times New Roman" w:cs="Times New Roman"/>
          <w:bCs/>
          <w:iCs/>
          <w:sz w:val="21"/>
          <w:szCs w:val="21"/>
        </w:rPr>
        <w:t>.</w:t>
      </w:r>
      <w:r w:rsidRPr="00D14F6F">
        <w:rPr>
          <w:rFonts w:ascii="Times New Roman" w:hAnsi="Times New Roman" w:cs="Times New Roman"/>
          <w:bCs/>
          <w:iCs/>
          <w:sz w:val="21"/>
          <w:szCs w:val="21"/>
        </w:rPr>
        <w:t xml:space="preserve"> </w:t>
      </w:r>
      <w:r>
        <w:rPr>
          <w:rFonts w:ascii="Times New Roman" w:hAnsi="Times New Roman" w:cs="Times New Roman"/>
          <w:bCs/>
          <w:iCs/>
          <w:sz w:val="21"/>
          <w:szCs w:val="21"/>
        </w:rPr>
        <w:t>U</w:t>
      </w:r>
      <w:r w:rsidRPr="00D14F6F">
        <w:rPr>
          <w:rFonts w:ascii="Times New Roman" w:hAnsi="Times New Roman" w:cs="Times New Roman"/>
          <w:bCs/>
          <w:iCs/>
          <w:sz w:val="21"/>
          <w:szCs w:val="21"/>
        </w:rPr>
        <w:t xml:space="preserve">nfavorable external economic </w:t>
      </w:r>
      <w:proofErr w:type="gramStart"/>
      <w:r w:rsidRPr="00D14F6F">
        <w:rPr>
          <w:rFonts w:ascii="Times New Roman" w:hAnsi="Times New Roman" w:cs="Times New Roman"/>
          <w:bCs/>
          <w:iCs/>
          <w:sz w:val="21"/>
          <w:szCs w:val="21"/>
        </w:rPr>
        <w:t xml:space="preserve">environment </w:t>
      </w:r>
      <w:r>
        <w:rPr>
          <w:rFonts w:ascii="Times New Roman" w:hAnsi="Times New Roman" w:cs="Times New Roman"/>
          <w:bCs/>
          <w:iCs/>
          <w:sz w:val="21"/>
          <w:szCs w:val="21"/>
        </w:rPr>
        <w:t xml:space="preserve"> </w:t>
      </w:r>
      <w:r w:rsidRPr="00D14F6F">
        <w:rPr>
          <w:rFonts w:ascii="Times New Roman" w:hAnsi="Times New Roman" w:cs="Times New Roman"/>
          <w:bCs/>
          <w:iCs/>
          <w:sz w:val="21"/>
          <w:szCs w:val="21"/>
        </w:rPr>
        <w:t>in</w:t>
      </w:r>
      <w:proofErr w:type="gramEnd"/>
      <w:r w:rsidRPr="00D14F6F">
        <w:rPr>
          <w:rFonts w:ascii="Times New Roman" w:hAnsi="Times New Roman" w:cs="Times New Roman"/>
          <w:bCs/>
          <w:iCs/>
          <w:sz w:val="21"/>
          <w:szCs w:val="21"/>
        </w:rPr>
        <w:t xml:space="preserve"> 2015, particularly </w:t>
      </w:r>
      <w:r>
        <w:rPr>
          <w:rFonts w:ascii="Times New Roman" w:hAnsi="Times New Roman" w:cs="Times New Roman"/>
          <w:bCs/>
          <w:iCs/>
          <w:sz w:val="21"/>
          <w:szCs w:val="21"/>
        </w:rPr>
        <w:t xml:space="preserve">an </w:t>
      </w:r>
      <w:r w:rsidRPr="00D14F6F">
        <w:rPr>
          <w:rFonts w:ascii="Times New Roman" w:hAnsi="Times New Roman" w:cs="Times New Roman"/>
          <w:bCs/>
          <w:iCs/>
          <w:sz w:val="21"/>
          <w:szCs w:val="21"/>
        </w:rPr>
        <w:t>expected</w:t>
      </w:r>
      <w:r>
        <w:rPr>
          <w:rFonts w:ascii="Times New Roman" w:hAnsi="Times New Roman" w:cs="Times New Roman"/>
          <w:bCs/>
          <w:iCs/>
          <w:sz w:val="21"/>
          <w:szCs w:val="21"/>
        </w:rPr>
        <w:t xml:space="preserve"> economic </w:t>
      </w:r>
      <w:r w:rsidRPr="00D14F6F">
        <w:rPr>
          <w:rFonts w:ascii="Times New Roman" w:hAnsi="Times New Roman" w:cs="Times New Roman"/>
          <w:bCs/>
          <w:iCs/>
          <w:sz w:val="21"/>
          <w:szCs w:val="21"/>
        </w:rPr>
        <w:t>decline</w:t>
      </w:r>
      <w:r>
        <w:rPr>
          <w:rFonts w:ascii="Times New Roman" w:hAnsi="Times New Roman" w:cs="Times New Roman"/>
          <w:bCs/>
          <w:iCs/>
          <w:sz w:val="21"/>
          <w:szCs w:val="21"/>
        </w:rPr>
        <w:t xml:space="preserve"> in </w:t>
      </w:r>
      <w:r w:rsidRPr="00D14F6F">
        <w:rPr>
          <w:rFonts w:ascii="Times New Roman" w:hAnsi="Times New Roman" w:cs="Times New Roman"/>
          <w:bCs/>
          <w:iCs/>
          <w:sz w:val="21"/>
          <w:szCs w:val="21"/>
        </w:rPr>
        <w:t>Russia</w:t>
      </w:r>
      <w:r>
        <w:rPr>
          <w:rFonts w:ascii="Times New Roman" w:hAnsi="Times New Roman" w:cs="Times New Roman"/>
          <w:bCs/>
          <w:iCs/>
          <w:sz w:val="21"/>
          <w:szCs w:val="21"/>
        </w:rPr>
        <w:t>, Armenia</w:t>
      </w:r>
      <w:r w:rsidRPr="00D14F6F">
        <w:rPr>
          <w:rFonts w:ascii="Times New Roman" w:hAnsi="Times New Roman" w:cs="Times New Roman"/>
          <w:bCs/>
          <w:iCs/>
          <w:sz w:val="21"/>
          <w:szCs w:val="21"/>
        </w:rPr>
        <w:t>'s</w:t>
      </w:r>
      <w:r>
        <w:rPr>
          <w:rFonts w:ascii="Times New Roman" w:hAnsi="Times New Roman" w:cs="Times New Roman"/>
          <w:bCs/>
          <w:iCs/>
          <w:sz w:val="21"/>
          <w:szCs w:val="21"/>
        </w:rPr>
        <w:t xml:space="preserve"> main trade partner, </w:t>
      </w:r>
      <w:r w:rsidR="007E7237">
        <w:rPr>
          <w:rFonts w:ascii="Times New Roman" w:hAnsi="Times New Roman" w:cs="Times New Roman"/>
          <w:bCs/>
          <w:iCs/>
          <w:sz w:val="21"/>
          <w:szCs w:val="21"/>
        </w:rPr>
        <w:t xml:space="preserve">and </w:t>
      </w:r>
      <w:r w:rsidRPr="00D14F6F">
        <w:rPr>
          <w:rFonts w:ascii="Times New Roman" w:hAnsi="Times New Roman" w:cs="Times New Roman"/>
          <w:bCs/>
          <w:iCs/>
          <w:sz w:val="21"/>
          <w:szCs w:val="21"/>
        </w:rPr>
        <w:t>low</w:t>
      </w:r>
      <w:r>
        <w:rPr>
          <w:rFonts w:ascii="Times New Roman" w:hAnsi="Times New Roman" w:cs="Times New Roman"/>
          <w:bCs/>
          <w:iCs/>
          <w:sz w:val="21"/>
          <w:szCs w:val="21"/>
        </w:rPr>
        <w:t xml:space="preserve"> ore</w:t>
      </w:r>
      <w:r w:rsidRPr="00D14F6F">
        <w:rPr>
          <w:rFonts w:ascii="Times New Roman" w:hAnsi="Times New Roman" w:cs="Times New Roman"/>
          <w:bCs/>
          <w:iCs/>
          <w:sz w:val="21"/>
          <w:szCs w:val="21"/>
        </w:rPr>
        <w:t xml:space="preserve"> </w:t>
      </w:r>
      <w:r w:rsidR="00A54071">
        <w:rPr>
          <w:rFonts w:ascii="Times New Roman" w:hAnsi="Times New Roman" w:cs="Times New Roman"/>
          <w:bCs/>
          <w:iCs/>
          <w:sz w:val="21"/>
          <w:szCs w:val="21"/>
        </w:rPr>
        <w:t xml:space="preserve">mining </w:t>
      </w:r>
      <w:r w:rsidRPr="00D14F6F">
        <w:rPr>
          <w:rFonts w:ascii="Times New Roman" w:hAnsi="Times New Roman" w:cs="Times New Roman"/>
          <w:bCs/>
          <w:iCs/>
          <w:sz w:val="21"/>
          <w:szCs w:val="21"/>
        </w:rPr>
        <w:t>and metals price</w:t>
      </w:r>
      <w:r w:rsidR="00A54071">
        <w:rPr>
          <w:rFonts w:ascii="Times New Roman" w:hAnsi="Times New Roman" w:cs="Times New Roman"/>
          <w:bCs/>
          <w:iCs/>
          <w:sz w:val="21"/>
          <w:szCs w:val="21"/>
        </w:rPr>
        <w:t>s</w:t>
      </w:r>
      <w:r>
        <w:rPr>
          <w:rFonts w:ascii="Times New Roman" w:hAnsi="Times New Roman" w:cs="Times New Roman"/>
          <w:bCs/>
          <w:iCs/>
          <w:sz w:val="21"/>
          <w:szCs w:val="21"/>
        </w:rPr>
        <w:t xml:space="preserve"> as well as anticipated </w:t>
      </w:r>
      <w:r w:rsidRPr="00D14F6F">
        <w:rPr>
          <w:rFonts w:ascii="Times New Roman" w:hAnsi="Times New Roman" w:cs="Times New Roman"/>
          <w:bCs/>
          <w:iCs/>
          <w:sz w:val="21"/>
          <w:szCs w:val="21"/>
        </w:rPr>
        <w:t xml:space="preserve">decrease in domestic demand </w:t>
      </w:r>
      <w:r>
        <w:rPr>
          <w:rFonts w:ascii="Times New Roman" w:hAnsi="Times New Roman" w:cs="Times New Roman"/>
          <w:bCs/>
          <w:iCs/>
          <w:sz w:val="21"/>
          <w:szCs w:val="21"/>
        </w:rPr>
        <w:t xml:space="preserve">all </w:t>
      </w:r>
      <w:r w:rsidRPr="007B45BB">
        <w:rPr>
          <w:rFonts w:ascii="Times New Roman" w:hAnsi="Times New Roman" w:cs="Times New Roman"/>
          <w:b/>
          <w:bCs/>
          <w:iCs/>
          <w:sz w:val="21"/>
          <w:szCs w:val="21"/>
        </w:rPr>
        <w:t xml:space="preserve">served a basis for </w:t>
      </w:r>
      <w:r w:rsidR="007B45BB" w:rsidRPr="007B45BB">
        <w:rPr>
          <w:rFonts w:ascii="Times New Roman" w:hAnsi="Times New Roman" w:cs="Times New Roman"/>
          <w:b/>
          <w:bCs/>
          <w:iCs/>
          <w:sz w:val="21"/>
          <w:szCs w:val="21"/>
        </w:rPr>
        <w:t>adjusting Armenia's</w:t>
      </w:r>
      <w:r w:rsidR="007B45BB">
        <w:rPr>
          <w:rFonts w:ascii="Times New Roman" w:hAnsi="Times New Roman" w:cs="Times New Roman"/>
          <w:b/>
          <w:bCs/>
          <w:iCs/>
          <w:sz w:val="21"/>
          <w:szCs w:val="21"/>
        </w:rPr>
        <w:t xml:space="preserve"> </w:t>
      </w:r>
      <w:r w:rsidR="007B45BB" w:rsidRPr="007B45BB">
        <w:rPr>
          <w:rFonts w:ascii="Times New Roman" w:hAnsi="Times New Roman" w:cs="Times New Roman"/>
          <w:b/>
          <w:bCs/>
          <w:iCs/>
          <w:sz w:val="21"/>
          <w:szCs w:val="21"/>
        </w:rPr>
        <w:t xml:space="preserve">2015 </w:t>
      </w:r>
      <w:r w:rsidRPr="007B45BB">
        <w:rPr>
          <w:rFonts w:ascii="Times New Roman" w:hAnsi="Times New Roman" w:cs="Times New Roman"/>
          <w:b/>
          <w:bCs/>
          <w:iCs/>
          <w:sz w:val="21"/>
          <w:szCs w:val="21"/>
        </w:rPr>
        <w:t xml:space="preserve">economic growth forecast </w:t>
      </w:r>
      <w:r w:rsidR="007B45BB" w:rsidRPr="007B45BB">
        <w:rPr>
          <w:rFonts w:ascii="Times New Roman" w:hAnsi="Times New Roman" w:cs="Times New Roman"/>
          <w:b/>
          <w:bCs/>
          <w:iCs/>
          <w:sz w:val="21"/>
          <w:szCs w:val="21"/>
        </w:rPr>
        <w:t>considerably downside</w:t>
      </w:r>
      <w:r w:rsidR="007B45BB">
        <w:rPr>
          <w:rFonts w:ascii="Times New Roman" w:hAnsi="Times New Roman" w:cs="Times New Roman"/>
          <w:bCs/>
          <w:iCs/>
          <w:sz w:val="21"/>
          <w:szCs w:val="21"/>
        </w:rPr>
        <w:t xml:space="preserve">. </w:t>
      </w:r>
      <w:r w:rsidR="00200E71">
        <w:rPr>
          <w:rFonts w:ascii="Times New Roman" w:hAnsi="Times New Roman" w:cs="Times New Roman"/>
          <w:bCs/>
          <w:iCs/>
          <w:sz w:val="21"/>
          <w:szCs w:val="21"/>
        </w:rPr>
        <w:t>I</w:t>
      </w:r>
      <w:r w:rsidR="00200E71" w:rsidRPr="00D14F6F">
        <w:rPr>
          <w:rFonts w:ascii="Times New Roman" w:hAnsi="Times New Roman" w:cs="Times New Roman"/>
          <w:bCs/>
          <w:iCs/>
          <w:sz w:val="21"/>
          <w:szCs w:val="21"/>
        </w:rPr>
        <w:t>t is expected</w:t>
      </w:r>
      <w:r w:rsidR="00200E71">
        <w:rPr>
          <w:rFonts w:ascii="Times New Roman" w:hAnsi="Times New Roman" w:cs="Times New Roman"/>
          <w:bCs/>
          <w:iCs/>
          <w:sz w:val="21"/>
          <w:szCs w:val="21"/>
        </w:rPr>
        <w:t>, as a result,</w:t>
      </w:r>
      <w:r w:rsidR="00200E71" w:rsidRPr="00D14F6F">
        <w:rPr>
          <w:rFonts w:ascii="Times New Roman" w:hAnsi="Times New Roman" w:cs="Times New Roman"/>
          <w:bCs/>
          <w:iCs/>
          <w:sz w:val="21"/>
          <w:szCs w:val="21"/>
        </w:rPr>
        <w:t xml:space="preserve"> that economic growth</w:t>
      </w:r>
      <w:r w:rsidR="00200E71">
        <w:rPr>
          <w:rFonts w:ascii="Times New Roman" w:hAnsi="Times New Roman" w:cs="Times New Roman"/>
          <w:bCs/>
          <w:iCs/>
          <w:sz w:val="21"/>
          <w:szCs w:val="21"/>
        </w:rPr>
        <w:t xml:space="preserve"> will slow down </w:t>
      </w:r>
      <w:r w:rsidR="007E7237">
        <w:rPr>
          <w:rFonts w:ascii="Times New Roman" w:hAnsi="Times New Roman" w:cs="Times New Roman"/>
          <w:bCs/>
          <w:iCs/>
          <w:sz w:val="21"/>
          <w:szCs w:val="21"/>
        </w:rPr>
        <w:t xml:space="preserve">against </w:t>
      </w:r>
      <w:proofErr w:type="gramStart"/>
      <w:r w:rsidR="00200E71" w:rsidRPr="00D14F6F">
        <w:rPr>
          <w:rFonts w:ascii="Times New Roman" w:hAnsi="Times New Roman" w:cs="Times New Roman"/>
          <w:bCs/>
          <w:iCs/>
          <w:sz w:val="21"/>
          <w:szCs w:val="21"/>
        </w:rPr>
        <w:t>2014</w:t>
      </w:r>
      <w:r w:rsidR="00200E71">
        <w:rPr>
          <w:rFonts w:ascii="Times New Roman" w:hAnsi="Times New Roman" w:cs="Times New Roman"/>
          <w:bCs/>
          <w:iCs/>
          <w:sz w:val="21"/>
          <w:szCs w:val="21"/>
        </w:rPr>
        <w:t xml:space="preserve"> </w:t>
      </w:r>
      <w:r w:rsidR="00FD7F48">
        <w:rPr>
          <w:rFonts w:ascii="Sylfaen" w:hAnsi="Sylfaen" w:cs="Times New Roman"/>
          <w:bCs/>
          <w:iCs/>
          <w:sz w:val="21"/>
          <w:szCs w:val="21"/>
        </w:rPr>
        <w:t xml:space="preserve"> and</w:t>
      </w:r>
      <w:proofErr w:type="gramEnd"/>
      <w:r w:rsidR="00FD7F48">
        <w:rPr>
          <w:rFonts w:ascii="Sylfaen" w:hAnsi="Sylfaen" w:cs="Times New Roman"/>
          <w:bCs/>
          <w:iCs/>
          <w:sz w:val="21"/>
          <w:szCs w:val="21"/>
        </w:rPr>
        <w:t xml:space="preserve"> will be</w:t>
      </w:r>
      <w:r w:rsidR="00200E71">
        <w:rPr>
          <w:rFonts w:ascii="Times New Roman" w:hAnsi="Times New Roman" w:cs="Times New Roman"/>
          <w:bCs/>
          <w:iCs/>
          <w:sz w:val="21"/>
          <w:szCs w:val="21"/>
        </w:rPr>
        <w:t xml:space="preserve"> in the range </w:t>
      </w:r>
      <w:r w:rsidR="007E7237">
        <w:rPr>
          <w:rFonts w:ascii="Times New Roman" w:hAnsi="Times New Roman" w:cs="Times New Roman"/>
          <w:bCs/>
          <w:iCs/>
          <w:sz w:val="21"/>
          <w:szCs w:val="21"/>
        </w:rPr>
        <w:t xml:space="preserve">of </w:t>
      </w:r>
      <w:r w:rsidR="00200E71" w:rsidRPr="00D14F6F">
        <w:rPr>
          <w:rFonts w:ascii="Times New Roman" w:hAnsi="Times New Roman" w:cs="Times New Roman"/>
          <w:bCs/>
          <w:iCs/>
          <w:sz w:val="21"/>
          <w:szCs w:val="21"/>
        </w:rPr>
        <w:t>0.4</w:t>
      </w:r>
      <w:r w:rsidR="007E7237">
        <w:rPr>
          <w:rFonts w:ascii="Times New Roman" w:hAnsi="Times New Roman" w:cs="Times New Roman"/>
          <w:bCs/>
          <w:iCs/>
          <w:sz w:val="21"/>
          <w:szCs w:val="21"/>
        </w:rPr>
        <w:t>%</w:t>
      </w:r>
      <w:r w:rsidR="00200E71">
        <w:rPr>
          <w:rFonts w:ascii="Times New Roman" w:hAnsi="Times New Roman" w:cs="Times New Roman"/>
          <w:bCs/>
          <w:iCs/>
          <w:sz w:val="21"/>
          <w:szCs w:val="21"/>
        </w:rPr>
        <w:t>-</w:t>
      </w:r>
      <w:r w:rsidR="00200E71" w:rsidRPr="00D14F6F">
        <w:rPr>
          <w:rFonts w:ascii="Times New Roman" w:hAnsi="Times New Roman" w:cs="Times New Roman"/>
          <w:bCs/>
          <w:iCs/>
          <w:sz w:val="21"/>
          <w:szCs w:val="21"/>
        </w:rPr>
        <w:t>2.0</w:t>
      </w:r>
      <w:r w:rsidR="00200E71">
        <w:rPr>
          <w:rFonts w:ascii="Times New Roman" w:hAnsi="Times New Roman" w:cs="Times New Roman"/>
          <w:bCs/>
          <w:iCs/>
          <w:sz w:val="21"/>
          <w:szCs w:val="21"/>
        </w:rPr>
        <w:t>%</w:t>
      </w:r>
      <w:r w:rsidR="00200E71" w:rsidRPr="00D14F6F">
        <w:rPr>
          <w:rFonts w:ascii="Times New Roman" w:hAnsi="Times New Roman" w:cs="Times New Roman"/>
          <w:bCs/>
          <w:iCs/>
          <w:sz w:val="21"/>
          <w:szCs w:val="21"/>
        </w:rPr>
        <w:t xml:space="preserve"> </w:t>
      </w:r>
      <w:r w:rsidR="00200E71">
        <w:rPr>
          <w:rFonts w:ascii="Times New Roman" w:hAnsi="Times New Roman" w:cs="Times New Roman"/>
          <w:bCs/>
          <w:iCs/>
          <w:sz w:val="21"/>
          <w:szCs w:val="21"/>
        </w:rPr>
        <w:t xml:space="preserve">in 2015.                   </w:t>
      </w:r>
    </w:p>
    <w:p w14:paraId="3280BD28" w14:textId="77777777" w:rsidR="007B26E1" w:rsidRPr="009268F7" w:rsidRDefault="009268F7" w:rsidP="00A9653E">
      <w:pPr>
        <w:spacing w:line="360" w:lineRule="auto"/>
        <w:jc w:val="both"/>
        <w:rPr>
          <w:rFonts w:ascii="Times New Roman" w:hAnsi="Times New Roman" w:cs="Times New Roman"/>
          <w:b/>
          <w:bCs/>
          <w:iCs/>
          <w:color w:val="0070C0"/>
          <w:sz w:val="18"/>
          <w:szCs w:val="18"/>
        </w:rPr>
      </w:pPr>
      <w:r w:rsidRPr="009268F7">
        <w:rPr>
          <w:rFonts w:ascii="Times New Roman" w:hAnsi="Times New Roman" w:cs="Times New Roman"/>
          <w:b/>
          <w:bCs/>
          <w:iCs/>
          <w:color w:val="0070C0"/>
          <w:sz w:val="18"/>
          <w:szCs w:val="18"/>
        </w:rPr>
        <w:t>In 2015, the economic growth will slow down to be in the range</w:t>
      </w:r>
      <w:r w:rsidR="00C603FF">
        <w:rPr>
          <w:rFonts w:ascii="Times New Roman" w:hAnsi="Times New Roman" w:cs="Times New Roman"/>
          <w:b/>
          <w:bCs/>
          <w:iCs/>
          <w:color w:val="0070C0"/>
          <w:sz w:val="18"/>
          <w:szCs w:val="18"/>
        </w:rPr>
        <w:t xml:space="preserve"> of</w:t>
      </w:r>
      <w:r w:rsidRPr="009268F7">
        <w:rPr>
          <w:rFonts w:ascii="Times New Roman" w:hAnsi="Times New Roman" w:cs="Times New Roman"/>
          <w:b/>
          <w:bCs/>
          <w:iCs/>
          <w:color w:val="0070C0"/>
          <w:sz w:val="18"/>
          <w:szCs w:val="18"/>
        </w:rPr>
        <w:t xml:space="preserve"> 0.4</w:t>
      </w:r>
      <w:r w:rsidR="00C603FF">
        <w:rPr>
          <w:rFonts w:ascii="Times New Roman" w:hAnsi="Times New Roman" w:cs="Times New Roman"/>
          <w:b/>
          <w:bCs/>
          <w:iCs/>
          <w:color w:val="0070C0"/>
          <w:sz w:val="18"/>
          <w:szCs w:val="18"/>
        </w:rPr>
        <w:t>%</w:t>
      </w:r>
      <w:r w:rsidRPr="009268F7">
        <w:rPr>
          <w:rFonts w:ascii="Times New Roman" w:hAnsi="Times New Roman" w:cs="Times New Roman"/>
          <w:b/>
          <w:bCs/>
          <w:iCs/>
          <w:color w:val="0070C0"/>
          <w:sz w:val="18"/>
          <w:szCs w:val="18"/>
        </w:rPr>
        <w:t>-2.0%...</w:t>
      </w:r>
    </w:p>
    <w:p w14:paraId="0FE576E2" w14:textId="614F2324" w:rsidR="00096BDA" w:rsidRDefault="00096BDA" w:rsidP="00A9653E">
      <w:pPr>
        <w:spacing w:line="360" w:lineRule="auto"/>
        <w:jc w:val="both"/>
        <w:rPr>
          <w:rFonts w:ascii="Times New Roman" w:hAnsi="Times New Roman" w:cs="Times New Roman"/>
          <w:bCs/>
          <w:iCs/>
          <w:color w:val="000000"/>
          <w:sz w:val="21"/>
          <w:szCs w:val="21"/>
        </w:rPr>
      </w:pPr>
      <w:r>
        <w:rPr>
          <w:rFonts w:ascii="Times New Roman" w:hAnsi="Times New Roman" w:cs="Times New Roman"/>
          <w:bCs/>
          <w:iCs/>
          <w:color w:val="000000"/>
          <w:sz w:val="21"/>
          <w:szCs w:val="21"/>
        </w:rPr>
        <w:t xml:space="preserve">An </w:t>
      </w:r>
      <w:r w:rsidRPr="00096BDA">
        <w:rPr>
          <w:rFonts w:ascii="Times New Roman" w:hAnsi="Times New Roman" w:cs="Times New Roman"/>
          <w:bCs/>
          <w:iCs/>
          <w:color w:val="000000"/>
          <w:sz w:val="21"/>
          <w:szCs w:val="21"/>
        </w:rPr>
        <w:t>expansionary fiscal policy</w:t>
      </w:r>
      <w:r>
        <w:rPr>
          <w:rFonts w:ascii="Times New Roman" w:hAnsi="Times New Roman" w:cs="Times New Roman"/>
          <w:bCs/>
          <w:iCs/>
          <w:color w:val="000000"/>
          <w:sz w:val="21"/>
          <w:szCs w:val="21"/>
        </w:rPr>
        <w:t xml:space="preserve"> to be implemented in 2015</w:t>
      </w:r>
      <w:r w:rsidRPr="00096BDA">
        <w:rPr>
          <w:rFonts w:ascii="Times New Roman" w:hAnsi="Times New Roman" w:cs="Times New Roman"/>
          <w:bCs/>
          <w:iCs/>
          <w:color w:val="000000"/>
          <w:sz w:val="21"/>
          <w:szCs w:val="21"/>
        </w:rPr>
        <w:t xml:space="preserve">, </w:t>
      </w:r>
      <w:r>
        <w:rPr>
          <w:rFonts w:ascii="Times New Roman" w:hAnsi="Times New Roman" w:cs="Times New Roman"/>
          <w:bCs/>
          <w:iCs/>
          <w:color w:val="000000"/>
          <w:sz w:val="21"/>
          <w:szCs w:val="21"/>
        </w:rPr>
        <w:t xml:space="preserve">improving external economic environment and exploring </w:t>
      </w:r>
      <w:r w:rsidRPr="00096BDA">
        <w:rPr>
          <w:rFonts w:ascii="Times New Roman" w:hAnsi="Times New Roman" w:cs="Times New Roman"/>
          <w:bCs/>
          <w:iCs/>
          <w:color w:val="000000"/>
          <w:sz w:val="21"/>
          <w:szCs w:val="21"/>
        </w:rPr>
        <w:t xml:space="preserve">new export markets will </w:t>
      </w:r>
      <w:r w:rsidR="00EE50DC">
        <w:rPr>
          <w:rFonts w:ascii="Times New Roman" w:hAnsi="Times New Roman" w:cs="Times New Roman"/>
          <w:bCs/>
          <w:iCs/>
          <w:color w:val="000000"/>
          <w:sz w:val="21"/>
          <w:szCs w:val="21"/>
        </w:rPr>
        <w:t xml:space="preserve">play a decisive role in </w:t>
      </w:r>
      <w:r w:rsidRPr="00096BDA">
        <w:rPr>
          <w:rFonts w:ascii="Times New Roman" w:hAnsi="Times New Roman" w:cs="Times New Roman"/>
          <w:bCs/>
          <w:iCs/>
          <w:color w:val="000000"/>
          <w:sz w:val="21"/>
          <w:szCs w:val="21"/>
        </w:rPr>
        <w:t>restor</w:t>
      </w:r>
      <w:r w:rsidR="00EE50DC">
        <w:rPr>
          <w:rFonts w:ascii="Times New Roman" w:hAnsi="Times New Roman" w:cs="Times New Roman"/>
          <w:bCs/>
          <w:iCs/>
          <w:color w:val="000000"/>
          <w:sz w:val="21"/>
          <w:szCs w:val="21"/>
        </w:rPr>
        <w:t>ing</w:t>
      </w:r>
      <w:r w:rsidRPr="00096BDA">
        <w:rPr>
          <w:rFonts w:ascii="Times New Roman" w:hAnsi="Times New Roman" w:cs="Times New Roman"/>
          <w:bCs/>
          <w:iCs/>
          <w:color w:val="000000"/>
          <w:sz w:val="21"/>
          <w:szCs w:val="21"/>
        </w:rPr>
        <w:t xml:space="preserve"> </w:t>
      </w:r>
      <w:r w:rsidR="00EE50DC">
        <w:rPr>
          <w:rFonts w:ascii="Times New Roman" w:hAnsi="Times New Roman" w:cs="Times New Roman"/>
          <w:bCs/>
          <w:iCs/>
          <w:color w:val="000000"/>
          <w:sz w:val="21"/>
          <w:szCs w:val="21"/>
        </w:rPr>
        <w:t xml:space="preserve">the </w:t>
      </w:r>
      <w:r w:rsidRPr="00096BDA">
        <w:rPr>
          <w:rFonts w:ascii="Times New Roman" w:hAnsi="Times New Roman" w:cs="Times New Roman"/>
          <w:bCs/>
          <w:iCs/>
          <w:color w:val="000000"/>
          <w:sz w:val="21"/>
          <w:szCs w:val="21"/>
        </w:rPr>
        <w:t xml:space="preserve">economic growth </w:t>
      </w:r>
      <w:r w:rsidR="00EE50DC">
        <w:rPr>
          <w:rFonts w:ascii="Times New Roman" w:hAnsi="Times New Roman" w:cs="Times New Roman"/>
          <w:bCs/>
          <w:iCs/>
          <w:color w:val="000000"/>
          <w:sz w:val="21"/>
          <w:szCs w:val="21"/>
        </w:rPr>
        <w:t xml:space="preserve">in the </w:t>
      </w:r>
      <w:r w:rsidRPr="00096BDA">
        <w:rPr>
          <w:rFonts w:ascii="Times New Roman" w:hAnsi="Times New Roman" w:cs="Times New Roman"/>
          <w:bCs/>
          <w:iCs/>
          <w:color w:val="000000"/>
          <w:sz w:val="21"/>
          <w:szCs w:val="21"/>
        </w:rPr>
        <w:t>forecast horizon</w:t>
      </w:r>
      <w:r w:rsidR="00EE50DC">
        <w:rPr>
          <w:rFonts w:ascii="Times New Roman" w:hAnsi="Times New Roman" w:cs="Times New Roman"/>
          <w:bCs/>
          <w:iCs/>
          <w:color w:val="000000"/>
          <w:sz w:val="21"/>
          <w:szCs w:val="21"/>
        </w:rPr>
        <w:t xml:space="preserve"> amid a </w:t>
      </w:r>
      <w:r w:rsidR="008139C3">
        <w:rPr>
          <w:rFonts w:ascii="Times New Roman" w:hAnsi="Times New Roman" w:cs="Times New Roman"/>
          <w:bCs/>
          <w:iCs/>
          <w:color w:val="000000"/>
          <w:sz w:val="21"/>
          <w:szCs w:val="21"/>
        </w:rPr>
        <w:t xml:space="preserve">stable </w:t>
      </w:r>
      <w:r w:rsidR="00EE50DC">
        <w:rPr>
          <w:rFonts w:ascii="Times New Roman" w:hAnsi="Times New Roman" w:cs="Times New Roman"/>
          <w:bCs/>
          <w:iCs/>
          <w:color w:val="000000"/>
          <w:sz w:val="21"/>
          <w:szCs w:val="21"/>
        </w:rPr>
        <w:t>inflation</w:t>
      </w:r>
      <w:r w:rsidR="008139C3">
        <w:rPr>
          <w:rFonts w:ascii="Times New Roman" w:hAnsi="Times New Roman" w:cs="Times New Roman"/>
          <w:bCs/>
          <w:iCs/>
          <w:color w:val="000000"/>
          <w:sz w:val="21"/>
          <w:szCs w:val="21"/>
        </w:rPr>
        <w:t>ary</w:t>
      </w:r>
      <w:r w:rsidR="00EE50DC">
        <w:rPr>
          <w:rFonts w:ascii="Times New Roman" w:hAnsi="Times New Roman" w:cs="Times New Roman"/>
          <w:bCs/>
          <w:iCs/>
          <w:color w:val="000000"/>
          <w:sz w:val="21"/>
          <w:szCs w:val="21"/>
        </w:rPr>
        <w:t xml:space="preserve"> environment. Driven by the above mentioned developments, </w:t>
      </w:r>
      <w:r w:rsidRPr="00096BDA">
        <w:rPr>
          <w:rFonts w:ascii="Times New Roman" w:hAnsi="Times New Roman" w:cs="Times New Roman"/>
          <w:bCs/>
          <w:iCs/>
          <w:color w:val="000000"/>
          <w:sz w:val="21"/>
          <w:szCs w:val="21"/>
        </w:rPr>
        <w:t>it is expected that economic growth w</w:t>
      </w:r>
      <w:r w:rsidR="00CE3E9A">
        <w:rPr>
          <w:rFonts w:ascii="Times New Roman" w:hAnsi="Times New Roman" w:cs="Times New Roman"/>
          <w:bCs/>
          <w:iCs/>
          <w:color w:val="000000"/>
          <w:sz w:val="21"/>
          <w:szCs w:val="21"/>
        </w:rPr>
        <w:t>ould</w:t>
      </w:r>
      <w:r w:rsidRPr="00096BDA">
        <w:rPr>
          <w:rFonts w:ascii="Times New Roman" w:hAnsi="Times New Roman" w:cs="Times New Roman"/>
          <w:bCs/>
          <w:iCs/>
          <w:color w:val="000000"/>
          <w:sz w:val="21"/>
          <w:szCs w:val="21"/>
        </w:rPr>
        <w:t xml:space="preserve"> </w:t>
      </w:r>
      <w:r w:rsidR="00CE3E9A">
        <w:rPr>
          <w:rFonts w:ascii="Times New Roman" w:hAnsi="Times New Roman" w:cs="Times New Roman"/>
          <w:bCs/>
          <w:iCs/>
          <w:color w:val="000000"/>
          <w:sz w:val="21"/>
          <w:szCs w:val="21"/>
        </w:rPr>
        <w:t xml:space="preserve">speed up to a </w:t>
      </w:r>
      <w:r w:rsidRPr="00096BDA">
        <w:rPr>
          <w:rFonts w:ascii="Times New Roman" w:hAnsi="Times New Roman" w:cs="Times New Roman"/>
          <w:bCs/>
          <w:iCs/>
          <w:color w:val="000000"/>
          <w:sz w:val="21"/>
          <w:szCs w:val="21"/>
        </w:rPr>
        <w:t>2.5</w:t>
      </w:r>
      <w:r w:rsidR="00CE3E9A">
        <w:rPr>
          <w:rFonts w:ascii="Times New Roman" w:hAnsi="Times New Roman" w:cs="Times New Roman"/>
          <w:bCs/>
          <w:iCs/>
          <w:color w:val="000000"/>
          <w:sz w:val="21"/>
          <w:szCs w:val="21"/>
        </w:rPr>
        <w:t>%</w:t>
      </w:r>
      <w:r w:rsidRPr="00096BDA">
        <w:rPr>
          <w:rFonts w:ascii="Times New Roman" w:hAnsi="Times New Roman" w:cs="Times New Roman"/>
          <w:bCs/>
          <w:iCs/>
          <w:color w:val="000000"/>
          <w:sz w:val="21"/>
          <w:szCs w:val="21"/>
        </w:rPr>
        <w:t xml:space="preserve">-3.5% </w:t>
      </w:r>
      <w:r w:rsidR="00CE3E9A">
        <w:rPr>
          <w:rFonts w:ascii="Times New Roman" w:hAnsi="Times New Roman" w:cs="Times New Roman"/>
          <w:bCs/>
          <w:iCs/>
          <w:color w:val="000000"/>
          <w:sz w:val="21"/>
          <w:szCs w:val="21"/>
        </w:rPr>
        <w:t xml:space="preserve">range </w:t>
      </w:r>
      <w:r w:rsidR="00EE50DC">
        <w:rPr>
          <w:rFonts w:ascii="Times New Roman" w:hAnsi="Times New Roman" w:cs="Times New Roman"/>
          <w:bCs/>
          <w:iCs/>
          <w:color w:val="000000"/>
          <w:sz w:val="21"/>
          <w:szCs w:val="21"/>
        </w:rPr>
        <w:t xml:space="preserve">in the </w:t>
      </w:r>
      <w:r w:rsidR="00EE50DC">
        <w:rPr>
          <w:rFonts w:ascii="Times New Roman" w:hAnsi="Times New Roman" w:cs="Times New Roman"/>
          <w:bCs/>
          <w:iCs/>
          <w:color w:val="000000"/>
          <w:sz w:val="21"/>
          <w:szCs w:val="21"/>
        </w:rPr>
        <w:lastRenderedPageBreak/>
        <w:t xml:space="preserve">forecast horizon. The growth anticipated in the </w:t>
      </w:r>
      <w:r w:rsidR="00EE50DC" w:rsidRPr="00096BDA">
        <w:rPr>
          <w:rFonts w:ascii="Times New Roman" w:hAnsi="Times New Roman" w:cs="Times New Roman"/>
          <w:bCs/>
          <w:iCs/>
          <w:color w:val="000000"/>
          <w:sz w:val="21"/>
          <w:szCs w:val="21"/>
        </w:rPr>
        <w:t xml:space="preserve">tradable sector </w:t>
      </w:r>
      <w:r w:rsidR="00EE50DC">
        <w:rPr>
          <w:rFonts w:ascii="Times New Roman" w:hAnsi="Times New Roman" w:cs="Times New Roman"/>
          <w:bCs/>
          <w:iCs/>
          <w:color w:val="000000"/>
          <w:sz w:val="21"/>
          <w:szCs w:val="21"/>
        </w:rPr>
        <w:t xml:space="preserve">of the economy is believed to </w:t>
      </w:r>
      <w:r w:rsidR="00F40B2A">
        <w:rPr>
          <w:rFonts w:ascii="Times New Roman" w:hAnsi="Times New Roman" w:cs="Times New Roman"/>
          <w:bCs/>
          <w:iCs/>
          <w:color w:val="000000"/>
          <w:sz w:val="21"/>
          <w:szCs w:val="21"/>
        </w:rPr>
        <w:t>largely</w:t>
      </w:r>
      <w:r w:rsidR="00EE50DC">
        <w:rPr>
          <w:rFonts w:ascii="Times New Roman" w:hAnsi="Times New Roman" w:cs="Times New Roman"/>
          <w:bCs/>
          <w:iCs/>
          <w:color w:val="000000"/>
          <w:sz w:val="21"/>
          <w:szCs w:val="21"/>
        </w:rPr>
        <w:t xml:space="preserve"> contribute to the </w:t>
      </w:r>
      <w:r w:rsidR="00EE50DC" w:rsidRPr="00096BDA">
        <w:rPr>
          <w:rFonts w:ascii="Times New Roman" w:hAnsi="Times New Roman" w:cs="Times New Roman"/>
          <w:bCs/>
          <w:iCs/>
          <w:color w:val="000000"/>
          <w:sz w:val="21"/>
          <w:szCs w:val="21"/>
        </w:rPr>
        <w:t>economic growth</w:t>
      </w:r>
      <w:r w:rsidR="00EE50DC">
        <w:rPr>
          <w:rFonts w:ascii="Times New Roman" w:hAnsi="Times New Roman" w:cs="Times New Roman"/>
          <w:bCs/>
          <w:iCs/>
          <w:color w:val="000000"/>
          <w:sz w:val="21"/>
          <w:szCs w:val="21"/>
        </w:rPr>
        <w:t xml:space="preserve"> in the forecast horizon.</w:t>
      </w:r>
    </w:p>
    <w:p w14:paraId="710E7D49" w14:textId="77777777"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 xml:space="preserve">For </w:t>
      </w:r>
      <w:r w:rsidRPr="00EC356F">
        <w:rPr>
          <w:rFonts w:ascii="Times New Roman" w:hAnsi="Times New Roman" w:cs="Times New Roman"/>
          <w:b/>
          <w:bCs/>
          <w:iCs/>
          <w:color w:val="000000"/>
          <w:sz w:val="21"/>
          <w:szCs w:val="21"/>
        </w:rPr>
        <w:t>Industry</w:t>
      </w:r>
      <w:r w:rsidRPr="00EC356F">
        <w:rPr>
          <w:rFonts w:ascii="Times New Roman" w:hAnsi="Times New Roman" w:cs="Times New Roman"/>
          <w:bCs/>
          <w:iCs/>
          <w:color w:val="000000"/>
          <w:sz w:val="21"/>
          <w:szCs w:val="21"/>
        </w:rPr>
        <w:t xml:space="preserve">, the forecasts </w:t>
      </w:r>
      <w:r w:rsidR="00AD417F">
        <w:rPr>
          <w:rFonts w:ascii="Times New Roman" w:hAnsi="Times New Roman" w:cs="Times New Roman"/>
          <w:bCs/>
          <w:iCs/>
          <w:color w:val="000000"/>
          <w:sz w:val="21"/>
          <w:szCs w:val="21"/>
        </w:rPr>
        <w:t xml:space="preserve">of value added </w:t>
      </w:r>
      <w:r w:rsidRPr="00EC356F">
        <w:rPr>
          <w:rFonts w:ascii="Times New Roman" w:hAnsi="Times New Roman" w:cs="Times New Roman"/>
          <w:bCs/>
          <w:iCs/>
          <w:color w:val="000000"/>
          <w:sz w:val="21"/>
          <w:szCs w:val="21"/>
        </w:rPr>
        <w:t xml:space="preserve">were revised </w:t>
      </w:r>
      <w:r w:rsidR="00200E71">
        <w:rPr>
          <w:rFonts w:ascii="Times New Roman" w:hAnsi="Times New Roman" w:cs="Times New Roman"/>
          <w:bCs/>
          <w:iCs/>
          <w:color w:val="000000"/>
          <w:sz w:val="21"/>
          <w:szCs w:val="21"/>
        </w:rPr>
        <w:t xml:space="preserve">slightly </w:t>
      </w:r>
      <w:r w:rsidRPr="00EC356F">
        <w:rPr>
          <w:rFonts w:ascii="Times New Roman" w:hAnsi="Times New Roman" w:cs="Times New Roman"/>
          <w:bCs/>
          <w:iCs/>
          <w:color w:val="000000"/>
          <w:sz w:val="21"/>
          <w:szCs w:val="21"/>
        </w:rPr>
        <w:t>downs</w:t>
      </w:r>
      <w:r w:rsidR="00AE6F14">
        <w:rPr>
          <w:rFonts w:ascii="Times New Roman" w:hAnsi="Times New Roman" w:cs="Times New Roman"/>
          <w:bCs/>
          <w:iCs/>
          <w:color w:val="000000"/>
          <w:sz w:val="21"/>
          <w:szCs w:val="21"/>
        </w:rPr>
        <w:t xml:space="preserve">ide, with ore mining and </w:t>
      </w:r>
      <w:r w:rsidRPr="00EC356F">
        <w:rPr>
          <w:rFonts w:ascii="Times New Roman" w:hAnsi="Times New Roman" w:cs="Times New Roman"/>
          <w:bCs/>
          <w:iCs/>
          <w:color w:val="000000"/>
          <w:sz w:val="21"/>
          <w:szCs w:val="21"/>
        </w:rPr>
        <w:t xml:space="preserve">metallurgy </w:t>
      </w:r>
      <w:r w:rsidR="00F94771">
        <w:rPr>
          <w:rFonts w:ascii="Times New Roman" w:hAnsi="Times New Roman" w:cs="Times New Roman"/>
          <w:bCs/>
          <w:iCs/>
          <w:color w:val="000000"/>
          <w:sz w:val="21"/>
          <w:szCs w:val="21"/>
        </w:rPr>
        <w:t xml:space="preserve">growth rates </w:t>
      </w:r>
      <w:r w:rsidRPr="00EC356F">
        <w:rPr>
          <w:rFonts w:ascii="Times New Roman" w:hAnsi="Times New Roman" w:cs="Times New Roman"/>
          <w:bCs/>
          <w:iCs/>
          <w:color w:val="000000"/>
          <w:sz w:val="21"/>
          <w:szCs w:val="21"/>
        </w:rPr>
        <w:t xml:space="preserve">predicted to </w:t>
      </w:r>
      <w:r w:rsidR="00F94771">
        <w:rPr>
          <w:rFonts w:ascii="Times New Roman" w:hAnsi="Times New Roman" w:cs="Times New Roman"/>
          <w:bCs/>
          <w:iCs/>
          <w:color w:val="000000"/>
          <w:sz w:val="21"/>
          <w:szCs w:val="21"/>
        </w:rPr>
        <w:t xml:space="preserve">slow down </w:t>
      </w:r>
      <w:r w:rsidRPr="00EC356F">
        <w:rPr>
          <w:rFonts w:ascii="Times New Roman" w:hAnsi="Times New Roman" w:cs="Times New Roman"/>
          <w:bCs/>
          <w:iCs/>
          <w:color w:val="000000"/>
          <w:sz w:val="21"/>
          <w:szCs w:val="21"/>
        </w:rPr>
        <w:t xml:space="preserve">due to the falling </w:t>
      </w:r>
      <w:r w:rsidR="00C077D7">
        <w:rPr>
          <w:rFonts w:ascii="Times New Roman" w:hAnsi="Times New Roman" w:cs="Times New Roman"/>
          <w:bCs/>
          <w:iCs/>
          <w:color w:val="000000"/>
          <w:sz w:val="21"/>
          <w:szCs w:val="21"/>
        </w:rPr>
        <w:t xml:space="preserve">prices of non-ferrous metals in </w:t>
      </w:r>
      <w:r w:rsidRPr="00EC356F">
        <w:rPr>
          <w:rFonts w:ascii="Times New Roman" w:hAnsi="Times New Roman" w:cs="Times New Roman"/>
          <w:bCs/>
          <w:iCs/>
          <w:color w:val="000000"/>
          <w:sz w:val="21"/>
          <w:szCs w:val="21"/>
        </w:rPr>
        <w:t xml:space="preserve">global markets. Growth rates in production of building materials, </w:t>
      </w:r>
      <w:r w:rsidR="00A54071" w:rsidRPr="00EC356F">
        <w:rPr>
          <w:rFonts w:ascii="Times New Roman" w:hAnsi="Times New Roman" w:cs="Times New Roman"/>
          <w:bCs/>
          <w:iCs/>
          <w:color w:val="000000"/>
          <w:sz w:val="21"/>
          <w:szCs w:val="21"/>
        </w:rPr>
        <w:t xml:space="preserve">beverage </w:t>
      </w:r>
      <w:r w:rsidR="00A54071">
        <w:rPr>
          <w:rFonts w:ascii="Times New Roman" w:hAnsi="Times New Roman" w:cs="Times New Roman"/>
          <w:bCs/>
          <w:iCs/>
          <w:color w:val="000000"/>
          <w:sz w:val="21"/>
          <w:szCs w:val="21"/>
        </w:rPr>
        <w:t xml:space="preserve">and </w:t>
      </w:r>
      <w:r w:rsidRPr="00EC356F">
        <w:rPr>
          <w:rFonts w:ascii="Times New Roman" w:hAnsi="Times New Roman" w:cs="Times New Roman"/>
          <w:bCs/>
          <w:iCs/>
          <w:color w:val="000000"/>
          <w:sz w:val="21"/>
          <w:szCs w:val="21"/>
        </w:rPr>
        <w:t>processed food were also revised downside due to the reported slowing in growth rates in construction, external and domestic demand. As a result, in 201</w:t>
      </w:r>
      <w:r w:rsidR="00A54071">
        <w:rPr>
          <w:rFonts w:ascii="Times New Roman" w:hAnsi="Times New Roman" w:cs="Times New Roman"/>
          <w:bCs/>
          <w:iCs/>
          <w:color w:val="000000"/>
          <w:sz w:val="21"/>
          <w:szCs w:val="21"/>
        </w:rPr>
        <w:t>5</w:t>
      </w:r>
      <w:r w:rsidRPr="00EC356F">
        <w:rPr>
          <w:rFonts w:ascii="Times New Roman" w:hAnsi="Times New Roman" w:cs="Times New Roman"/>
          <w:bCs/>
          <w:iCs/>
          <w:color w:val="000000"/>
          <w:sz w:val="21"/>
          <w:szCs w:val="21"/>
        </w:rPr>
        <w:t xml:space="preserve"> value added in industry is expected to grow in the range </w:t>
      </w:r>
      <w:r w:rsidR="00CE3E9A">
        <w:rPr>
          <w:rFonts w:ascii="Times New Roman" w:hAnsi="Times New Roman" w:cs="Times New Roman"/>
          <w:bCs/>
          <w:iCs/>
          <w:color w:val="000000"/>
          <w:sz w:val="21"/>
          <w:szCs w:val="21"/>
        </w:rPr>
        <w:t xml:space="preserve">of </w:t>
      </w:r>
      <w:r w:rsidR="00A54071">
        <w:rPr>
          <w:rFonts w:ascii="Times New Roman" w:hAnsi="Times New Roman" w:cs="Times New Roman"/>
          <w:bCs/>
          <w:iCs/>
          <w:color w:val="000000"/>
          <w:sz w:val="21"/>
          <w:szCs w:val="21"/>
        </w:rPr>
        <w:t>1</w:t>
      </w:r>
      <w:r w:rsidRPr="00EC356F">
        <w:rPr>
          <w:rFonts w:ascii="Times New Roman" w:hAnsi="Times New Roman" w:cs="Times New Roman"/>
          <w:bCs/>
          <w:iCs/>
          <w:color w:val="000000"/>
          <w:sz w:val="21"/>
          <w:szCs w:val="21"/>
        </w:rPr>
        <w:t>.</w:t>
      </w:r>
      <w:r w:rsidR="00A54071">
        <w:rPr>
          <w:rFonts w:ascii="Times New Roman" w:hAnsi="Times New Roman" w:cs="Times New Roman"/>
          <w:bCs/>
          <w:iCs/>
          <w:color w:val="000000"/>
          <w:sz w:val="21"/>
          <w:szCs w:val="21"/>
        </w:rPr>
        <w:t>0</w:t>
      </w:r>
      <w:r w:rsidR="00CE3E9A">
        <w:rPr>
          <w:rFonts w:ascii="Times New Roman" w:hAnsi="Times New Roman" w:cs="Times New Roman"/>
          <w:bCs/>
          <w:iCs/>
          <w:color w:val="000000"/>
          <w:sz w:val="21"/>
          <w:szCs w:val="21"/>
        </w:rPr>
        <w:t>%</w:t>
      </w:r>
      <w:r w:rsidRPr="00EC356F">
        <w:rPr>
          <w:rFonts w:ascii="Times New Roman" w:hAnsi="Times New Roman" w:cs="Times New Roman"/>
          <w:bCs/>
          <w:iCs/>
          <w:color w:val="000000"/>
          <w:sz w:val="21"/>
          <w:szCs w:val="21"/>
        </w:rPr>
        <w:t>-</w:t>
      </w:r>
      <w:r w:rsidR="00D57A5E">
        <w:rPr>
          <w:rFonts w:ascii="Times New Roman" w:hAnsi="Times New Roman" w:cs="Times New Roman"/>
          <w:bCs/>
          <w:iCs/>
          <w:color w:val="000000"/>
          <w:sz w:val="21"/>
          <w:szCs w:val="21"/>
        </w:rPr>
        <w:t>1</w:t>
      </w:r>
      <w:r w:rsidRPr="00EC356F">
        <w:rPr>
          <w:rFonts w:ascii="Times New Roman" w:hAnsi="Times New Roman" w:cs="Times New Roman"/>
          <w:bCs/>
          <w:iCs/>
          <w:color w:val="000000"/>
          <w:sz w:val="21"/>
          <w:szCs w:val="21"/>
        </w:rPr>
        <w:t>.</w:t>
      </w:r>
      <w:r w:rsidR="00A54071">
        <w:rPr>
          <w:rFonts w:ascii="Times New Roman" w:hAnsi="Times New Roman" w:cs="Times New Roman"/>
          <w:bCs/>
          <w:iCs/>
          <w:color w:val="000000"/>
          <w:sz w:val="21"/>
          <w:szCs w:val="21"/>
        </w:rPr>
        <w:t>6</w:t>
      </w:r>
      <w:r w:rsidRPr="00EC356F">
        <w:rPr>
          <w:rFonts w:ascii="Times New Roman" w:hAnsi="Times New Roman" w:cs="Times New Roman"/>
          <w:bCs/>
          <w:iCs/>
          <w:color w:val="000000"/>
          <w:sz w:val="21"/>
          <w:szCs w:val="21"/>
        </w:rPr>
        <w:t xml:space="preserve">%. </w:t>
      </w:r>
      <w:r w:rsidR="00EA5287">
        <w:rPr>
          <w:rFonts w:ascii="Times New Roman" w:hAnsi="Times New Roman" w:cs="Times New Roman"/>
          <w:bCs/>
          <w:iCs/>
          <w:color w:val="000000"/>
          <w:sz w:val="21"/>
          <w:szCs w:val="21"/>
        </w:rPr>
        <w:t>E</w:t>
      </w:r>
      <w:r w:rsidR="00A54071">
        <w:rPr>
          <w:rFonts w:ascii="Times New Roman" w:hAnsi="Times New Roman" w:cs="Times New Roman"/>
          <w:bCs/>
          <w:iCs/>
          <w:color w:val="000000"/>
          <w:sz w:val="21"/>
          <w:szCs w:val="21"/>
        </w:rPr>
        <w:t xml:space="preserve">xploiting </w:t>
      </w:r>
      <w:r w:rsidR="00EA5287">
        <w:rPr>
          <w:rFonts w:ascii="Times New Roman" w:hAnsi="Times New Roman" w:cs="Times New Roman"/>
          <w:bCs/>
          <w:iCs/>
          <w:color w:val="000000"/>
          <w:sz w:val="21"/>
          <w:szCs w:val="21"/>
        </w:rPr>
        <w:t>the</w:t>
      </w:r>
      <w:r w:rsidR="00A54071">
        <w:rPr>
          <w:rFonts w:ascii="Times New Roman" w:hAnsi="Times New Roman" w:cs="Times New Roman"/>
          <w:bCs/>
          <w:iCs/>
          <w:color w:val="000000"/>
          <w:sz w:val="21"/>
          <w:szCs w:val="21"/>
        </w:rPr>
        <w:t xml:space="preserve"> Teghout mine and exploring </w:t>
      </w:r>
      <w:r w:rsidR="00A54071" w:rsidRPr="00A54071">
        <w:rPr>
          <w:rFonts w:ascii="Times New Roman" w:hAnsi="Times New Roman" w:cs="Times New Roman"/>
          <w:bCs/>
          <w:iCs/>
          <w:color w:val="000000"/>
          <w:sz w:val="21"/>
          <w:szCs w:val="21"/>
        </w:rPr>
        <w:t xml:space="preserve">new </w:t>
      </w:r>
      <w:r w:rsidR="00A54071">
        <w:rPr>
          <w:rFonts w:ascii="Times New Roman" w:hAnsi="Times New Roman" w:cs="Times New Roman"/>
          <w:bCs/>
          <w:iCs/>
          <w:color w:val="000000"/>
          <w:sz w:val="21"/>
          <w:szCs w:val="21"/>
        </w:rPr>
        <w:t xml:space="preserve">export </w:t>
      </w:r>
      <w:r w:rsidR="00A54071" w:rsidRPr="00A54071">
        <w:rPr>
          <w:rFonts w:ascii="Times New Roman" w:hAnsi="Times New Roman" w:cs="Times New Roman"/>
          <w:bCs/>
          <w:iCs/>
          <w:color w:val="000000"/>
          <w:sz w:val="21"/>
          <w:szCs w:val="21"/>
        </w:rPr>
        <w:t xml:space="preserve">markets </w:t>
      </w:r>
      <w:r w:rsidR="00EA5287">
        <w:rPr>
          <w:rFonts w:ascii="Times New Roman" w:hAnsi="Times New Roman" w:cs="Times New Roman"/>
          <w:bCs/>
          <w:iCs/>
          <w:color w:val="000000"/>
          <w:sz w:val="21"/>
          <w:szCs w:val="21"/>
        </w:rPr>
        <w:t>will</w:t>
      </w:r>
      <w:r w:rsidR="00A54071" w:rsidRPr="00A54071">
        <w:rPr>
          <w:rFonts w:ascii="Times New Roman" w:hAnsi="Times New Roman" w:cs="Times New Roman"/>
          <w:bCs/>
          <w:iCs/>
          <w:color w:val="000000"/>
          <w:sz w:val="21"/>
          <w:szCs w:val="21"/>
        </w:rPr>
        <w:t xml:space="preserve"> significantly contribute to </w:t>
      </w:r>
      <w:r w:rsidR="00EA5287">
        <w:rPr>
          <w:rFonts w:ascii="Times New Roman" w:hAnsi="Times New Roman" w:cs="Times New Roman"/>
          <w:bCs/>
          <w:iCs/>
          <w:color w:val="000000"/>
          <w:sz w:val="21"/>
          <w:szCs w:val="21"/>
        </w:rPr>
        <w:t xml:space="preserve">the </w:t>
      </w:r>
      <w:r w:rsidR="003174C9">
        <w:rPr>
          <w:rFonts w:ascii="Times New Roman" w:hAnsi="Times New Roman" w:cs="Times New Roman"/>
          <w:bCs/>
          <w:iCs/>
          <w:color w:val="000000"/>
          <w:sz w:val="21"/>
          <w:szCs w:val="21"/>
        </w:rPr>
        <w:t xml:space="preserve">expected </w:t>
      </w:r>
      <w:r w:rsidR="00A54071" w:rsidRPr="00A54071">
        <w:rPr>
          <w:rFonts w:ascii="Times New Roman" w:hAnsi="Times New Roman" w:cs="Times New Roman"/>
          <w:bCs/>
          <w:iCs/>
          <w:color w:val="000000"/>
          <w:sz w:val="21"/>
          <w:szCs w:val="21"/>
        </w:rPr>
        <w:t>moderate growth</w:t>
      </w:r>
      <w:r w:rsidR="00EA5287">
        <w:rPr>
          <w:rFonts w:ascii="Times New Roman" w:hAnsi="Times New Roman" w:cs="Times New Roman"/>
          <w:bCs/>
          <w:iCs/>
          <w:color w:val="000000"/>
          <w:sz w:val="21"/>
          <w:szCs w:val="21"/>
        </w:rPr>
        <w:t xml:space="preserve"> in 2015</w:t>
      </w:r>
      <w:r w:rsidR="00A54071" w:rsidRPr="00A54071">
        <w:rPr>
          <w:rFonts w:ascii="Times New Roman" w:hAnsi="Times New Roman" w:cs="Times New Roman"/>
          <w:bCs/>
          <w:iCs/>
          <w:color w:val="000000"/>
          <w:sz w:val="21"/>
          <w:szCs w:val="21"/>
        </w:rPr>
        <w:t>.</w:t>
      </w:r>
      <w:r w:rsidR="00A54071">
        <w:rPr>
          <w:rFonts w:ascii="Times New Roman" w:hAnsi="Times New Roman" w:cs="Times New Roman"/>
          <w:bCs/>
          <w:iCs/>
          <w:color w:val="000000"/>
          <w:sz w:val="21"/>
          <w:szCs w:val="21"/>
        </w:rPr>
        <w:t xml:space="preserve"> </w:t>
      </w:r>
    </w:p>
    <w:p w14:paraId="53E95AC5" w14:textId="77777777"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In</w:t>
      </w:r>
      <w:r w:rsidRPr="00EC356F">
        <w:rPr>
          <w:rFonts w:ascii="Times New Roman" w:hAnsi="Times New Roman" w:cs="Times New Roman"/>
          <w:b/>
          <w:bCs/>
          <w:iCs/>
          <w:color w:val="000000"/>
          <w:sz w:val="21"/>
          <w:szCs w:val="21"/>
        </w:rPr>
        <w:t xml:space="preserve"> forecast horizon</w:t>
      </w:r>
      <w:r w:rsidRPr="00EC356F">
        <w:rPr>
          <w:rFonts w:ascii="Times New Roman" w:hAnsi="Times New Roman" w:cs="Times New Roman"/>
          <w:bCs/>
          <w:iCs/>
          <w:color w:val="000000"/>
          <w:sz w:val="21"/>
          <w:szCs w:val="21"/>
        </w:rPr>
        <w:t>,</w:t>
      </w:r>
      <w:r w:rsidR="000F560F">
        <w:rPr>
          <w:rFonts w:ascii="Times New Roman" w:hAnsi="Times New Roman" w:cs="Times New Roman"/>
          <w:bCs/>
          <w:iCs/>
          <w:color w:val="000000"/>
          <w:sz w:val="21"/>
          <w:szCs w:val="21"/>
        </w:rPr>
        <w:t xml:space="preserve"> </w:t>
      </w:r>
      <w:r w:rsidRPr="00EC356F">
        <w:rPr>
          <w:rFonts w:ascii="Times New Roman" w:hAnsi="Times New Roman" w:cs="Times New Roman"/>
          <w:bCs/>
          <w:iCs/>
          <w:color w:val="000000"/>
          <w:sz w:val="21"/>
          <w:szCs w:val="21"/>
        </w:rPr>
        <w:t xml:space="preserve">the industry growth will </w:t>
      </w:r>
      <w:r w:rsidR="000F560F">
        <w:rPr>
          <w:rFonts w:ascii="Times New Roman" w:hAnsi="Times New Roman" w:cs="Times New Roman"/>
          <w:bCs/>
          <w:iCs/>
          <w:color w:val="000000"/>
          <w:sz w:val="21"/>
          <w:szCs w:val="21"/>
        </w:rPr>
        <w:t xml:space="preserve">speed up and </w:t>
      </w:r>
      <w:r w:rsidRPr="00EC356F">
        <w:rPr>
          <w:rFonts w:ascii="Times New Roman" w:hAnsi="Times New Roman" w:cs="Times New Roman"/>
          <w:bCs/>
          <w:iCs/>
          <w:color w:val="000000"/>
          <w:sz w:val="21"/>
          <w:szCs w:val="21"/>
        </w:rPr>
        <w:t xml:space="preserve">stabilize </w:t>
      </w:r>
      <w:r w:rsidR="00273952">
        <w:rPr>
          <w:rFonts w:ascii="Times New Roman" w:hAnsi="Times New Roman" w:cs="Times New Roman"/>
          <w:bCs/>
          <w:iCs/>
          <w:color w:val="000000"/>
          <w:sz w:val="21"/>
          <w:szCs w:val="21"/>
        </w:rPr>
        <w:t>within 4.</w:t>
      </w:r>
      <w:r w:rsidR="000F560F">
        <w:rPr>
          <w:rFonts w:ascii="Times New Roman" w:hAnsi="Times New Roman" w:cs="Times New Roman"/>
          <w:bCs/>
          <w:iCs/>
          <w:color w:val="000000"/>
          <w:sz w:val="21"/>
          <w:szCs w:val="21"/>
        </w:rPr>
        <w:t>1</w:t>
      </w:r>
      <w:r w:rsidR="00CE3E9A">
        <w:rPr>
          <w:rFonts w:ascii="Times New Roman" w:hAnsi="Times New Roman" w:cs="Times New Roman"/>
          <w:bCs/>
          <w:iCs/>
          <w:color w:val="000000"/>
          <w:sz w:val="21"/>
          <w:szCs w:val="21"/>
        </w:rPr>
        <w:t>%</w:t>
      </w:r>
      <w:r w:rsidR="00273952">
        <w:rPr>
          <w:rFonts w:ascii="Times New Roman" w:hAnsi="Times New Roman" w:cs="Times New Roman"/>
          <w:bCs/>
          <w:iCs/>
          <w:color w:val="000000"/>
          <w:sz w:val="21"/>
          <w:szCs w:val="21"/>
        </w:rPr>
        <w:t>-</w:t>
      </w:r>
      <w:r w:rsidR="000F560F">
        <w:rPr>
          <w:rFonts w:ascii="Times New Roman" w:hAnsi="Times New Roman" w:cs="Times New Roman"/>
          <w:bCs/>
          <w:iCs/>
          <w:color w:val="000000"/>
          <w:sz w:val="21"/>
          <w:szCs w:val="21"/>
        </w:rPr>
        <w:t>4</w:t>
      </w:r>
      <w:r w:rsidR="00273952">
        <w:rPr>
          <w:rFonts w:ascii="Times New Roman" w:hAnsi="Times New Roman" w:cs="Times New Roman"/>
          <w:bCs/>
          <w:iCs/>
          <w:color w:val="000000"/>
          <w:sz w:val="21"/>
          <w:szCs w:val="21"/>
        </w:rPr>
        <w:t>.</w:t>
      </w:r>
      <w:r w:rsidR="000F560F">
        <w:rPr>
          <w:rFonts w:ascii="Times New Roman" w:hAnsi="Times New Roman" w:cs="Times New Roman"/>
          <w:bCs/>
          <w:iCs/>
          <w:color w:val="000000"/>
          <w:sz w:val="21"/>
          <w:szCs w:val="21"/>
        </w:rPr>
        <w:t>6</w:t>
      </w:r>
      <w:r w:rsidR="00273952">
        <w:rPr>
          <w:rFonts w:ascii="Times New Roman" w:hAnsi="Times New Roman" w:cs="Times New Roman"/>
          <w:bCs/>
          <w:iCs/>
          <w:color w:val="000000"/>
          <w:sz w:val="21"/>
          <w:szCs w:val="21"/>
        </w:rPr>
        <w:t xml:space="preserve">%, and this </w:t>
      </w:r>
      <w:r w:rsidR="000F560F">
        <w:rPr>
          <w:rFonts w:ascii="Times New Roman" w:hAnsi="Times New Roman" w:cs="Times New Roman"/>
          <w:bCs/>
          <w:iCs/>
          <w:color w:val="000000"/>
          <w:sz w:val="21"/>
          <w:szCs w:val="21"/>
        </w:rPr>
        <w:t xml:space="preserve">will be underpinned by </w:t>
      </w:r>
      <w:r w:rsidR="00273952">
        <w:rPr>
          <w:rFonts w:ascii="Times New Roman" w:hAnsi="Times New Roman" w:cs="Times New Roman"/>
          <w:bCs/>
          <w:iCs/>
          <w:color w:val="000000"/>
          <w:sz w:val="21"/>
          <w:szCs w:val="21"/>
        </w:rPr>
        <w:t>implement</w:t>
      </w:r>
      <w:r w:rsidR="000F560F">
        <w:rPr>
          <w:rFonts w:ascii="Times New Roman" w:hAnsi="Times New Roman" w:cs="Times New Roman"/>
          <w:bCs/>
          <w:iCs/>
          <w:color w:val="000000"/>
          <w:sz w:val="21"/>
          <w:szCs w:val="21"/>
        </w:rPr>
        <w:t>ing a</w:t>
      </w:r>
      <w:r w:rsidR="00273952">
        <w:rPr>
          <w:rFonts w:ascii="Times New Roman" w:hAnsi="Times New Roman" w:cs="Times New Roman"/>
          <w:bCs/>
          <w:iCs/>
          <w:color w:val="000000"/>
          <w:sz w:val="21"/>
          <w:szCs w:val="21"/>
        </w:rPr>
        <w:t xml:space="preserve"> handful of </w:t>
      </w:r>
      <w:r w:rsidR="000F560F">
        <w:rPr>
          <w:rFonts w:ascii="Times New Roman" w:hAnsi="Times New Roman" w:cs="Times New Roman"/>
          <w:bCs/>
          <w:iCs/>
          <w:color w:val="000000"/>
          <w:sz w:val="21"/>
          <w:szCs w:val="21"/>
        </w:rPr>
        <w:t>investment</w:t>
      </w:r>
      <w:r w:rsidR="00273952">
        <w:rPr>
          <w:rFonts w:ascii="Times New Roman" w:hAnsi="Times New Roman" w:cs="Times New Roman"/>
          <w:bCs/>
          <w:iCs/>
          <w:color w:val="000000"/>
          <w:sz w:val="21"/>
          <w:szCs w:val="21"/>
        </w:rPr>
        <w:t xml:space="preserve"> projects</w:t>
      </w:r>
      <w:r w:rsidR="000F560F">
        <w:rPr>
          <w:rFonts w:ascii="Times New Roman" w:hAnsi="Times New Roman" w:cs="Times New Roman"/>
          <w:bCs/>
          <w:iCs/>
          <w:color w:val="000000"/>
          <w:sz w:val="21"/>
          <w:szCs w:val="21"/>
        </w:rPr>
        <w:t xml:space="preserve"> as well as improved profitability in tradable sub-industries, driven by the exchange rate </w:t>
      </w:r>
      <w:r w:rsidR="000F560F" w:rsidRPr="000F560F">
        <w:rPr>
          <w:rFonts w:ascii="Times New Roman" w:hAnsi="Times New Roman" w:cs="Times New Roman"/>
          <w:bCs/>
          <w:iCs/>
          <w:color w:val="000000"/>
          <w:sz w:val="21"/>
          <w:szCs w:val="21"/>
        </w:rPr>
        <w:t>depreciation</w:t>
      </w:r>
      <w:r w:rsidR="00273952">
        <w:rPr>
          <w:rFonts w:ascii="Times New Roman" w:hAnsi="Times New Roman" w:cs="Times New Roman"/>
          <w:bCs/>
          <w:iCs/>
          <w:color w:val="000000"/>
          <w:sz w:val="21"/>
          <w:szCs w:val="21"/>
        </w:rPr>
        <w:t xml:space="preserve">. </w:t>
      </w:r>
    </w:p>
    <w:p w14:paraId="3A4C1E25" w14:textId="77777777"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For</w:t>
      </w:r>
      <w:r w:rsidR="000F560F">
        <w:rPr>
          <w:rFonts w:ascii="Times New Roman" w:hAnsi="Times New Roman" w:cs="Times New Roman"/>
          <w:bCs/>
          <w:iCs/>
          <w:color w:val="000000"/>
          <w:sz w:val="21"/>
          <w:szCs w:val="21"/>
        </w:rPr>
        <w:t xml:space="preserve"> </w:t>
      </w:r>
      <w:r w:rsidRPr="00EC356F">
        <w:rPr>
          <w:rFonts w:ascii="Times New Roman" w:hAnsi="Times New Roman" w:cs="Times New Roman"/>
          <w:b/>
          <w:bCs/>
          <w:iCs/>
          <w:color w:val="000000"/>
          <w:sz w:val="21"/>
          <w:szCs w:val="21"/>
        </w:rPr>
        <w:t>Construction</w:t>
      </w:r>
      <w:r w:rsidRPr="00EC356F">
        <w:rPr>
          <w:rFonts w:ascii="Times New Roman" w:hAnsi="Times New Roman" w:cs="Times New Roman"/>
          <w:bCs/>
          <w:iCs/>
          <w:color w:val="000000"/>
          <w:sz w:val="21"/>
          <w:szCs w:val="21"/>
        </w:rPr>
        <w:t xml:space="preserve">, </w:t>
      </w:r>
      <w:r w:rsidR="00AD417F">
        <w:rPr>
          <w:rFonts w:ascii="Times New Roman" w:hAnsi="Times New Roman" w:cs="Times New Roman"/>
          <w:bCs/>
          <w:iCs/>
          <w:color w:val="000000"/>
          <w:sz w:val="21"/>
          <w:szCs w:val="21"/>
        </w:rPr>
        <w:t xml:space="preserve">the </w:t>
      </w:r>
      <w:r w:rsidRPr="00EC356F">
        <w:rPr>
          <w:rFonts w:ascii="Times New Roman" w:hAnsi="Times New Roman" w:cs="Times New Roman"/>
          <w:bCs/>
          <w:iCs/>
          <w:color w:val="000000"/>
          <w:sz w:val="21"/>
          <w:szCs w:val="21"/>
        </w:rPr>
        <w:t xml:space="preserve">forecasts of value added were revised </w:t>
      </w:r>
      <w:r w:rsidR="000F560F">
        <w:rPr>
          <w:rFonts w:ascii="Times New Roman" w:hAnsi="Times New Roman" w:cs="Times New Roman"/>
          <w:bCs/>
          <w:iCs/>
          <w:color w:val="000000"/>
          <w:sz w:val="21"/>
          <w:szCs w:val="21"/>
        </w:rPr>
        <w:t xml:space="preserve">markedly </w:t>
      </w:r>
      <w:r w:rsidRPr="00EC356F">
        <w:rPr>
          <w:rFonts w:ascii="Times New Roman" w:hAnsi="Times New Roman" w:cs="Times New Roman"/>
          <w:bCs/>
          <w:iCs/>
          <w:color w:val="000000"/>
          <w:sz w:val="21"/>
          <w:szCs w:val="21"/>
        </w:rPr>
        <w:t>downside, m</w:t>
      </w:r>
      <w:r w:rsidR="000F560F">
        <w:rPr>
          <w:rFonts w:ascii="Times New Roman" w:hAnsi="Times New Roman" w:cs="Times New Roman"/>
          <w:bCs/>
          <w:iCs/>
          <w:color w:val="000000"/>
          <w:sz w:val="21"/>
          <w:szCs w:val="21"/>
        </w:rPr>
        <w:t>ostly</w:t>
      </w:r>
      <w:r w:rsidRPr="00EC356F">
        <w:rPr>
          <w:rFonts w:ascii="Times New Roman" w:hAnsi="Times New Roman" w:cs="Times New Roman"/>
          <w:bCs/>
          <w:iCs/>
          <w:color w:val="000000"/>
          <w:sz w:val="21"/>
          <w:szCs w:val="21"/>
        </w:rPr>
        <w:t xml:space="preserve"> due to </w:t>
      </w:r>
      <w:r w:rsidR="000F560F">
        <w:rPr>
          <w:rFonts w:ascii="Times New Roman" w:hAnsi="Times New Roman" w:cs="Times New Roman"/>
          <w:bCs/>
          <w:iCs/>
          <w:color w:val="000000"/>
          <w:sz w:val="21"/>
          <w:szCs w:val="21"/>
        </w:rPr>
        <w:t xml:space="preserve">an anticipated </w:t>
      </w:r>
      <w:r w:rsidR="000F560F" w:rsidRPr="000F560F">
        <w:rPr>
          <w:rFonts w:ascii="Times New Roman" w:hAnsi="Times New Roman" w:cs="Times New Roman"/>
          <w:bCs/>
          <w:iCs/>
          <w:color w:val="000000"/>
          <w:sz w:val="21"/>
          <w:szCs w:val="21"/>
        </w:rPr>
        <w:t xml:space="preserve">reduction in remittances from Russia and expected decline in investment </w:t>
      </w:r>
      <w:r w:rsidR="000F560F">
        <w:rPr>
          <w:rFonts w:ascii="Times New Roman" w:hAnsi="Times New Roman" w:cs="Times New Roman"/>
          <w:bCs/>
          <w:iCs/>
          <w:color w:val="000000"/>
          <w:sz w:val="21"/>
          <w:szCs w:val="21"/>
        </w:rPr>
        <w:t xml:space="preserve">in </w:t>
      </w:r>
      <w:r w:rsidR="00EF2769" w:rsidRPr="000F560F">
        <w:rPr>
          <w:rFonts w:ascii="Times New Roman" w:hAnsi="Times New Roman" w:cs="Times New Roman"/>
          <w:bCs/>
          <w:iCs/>
          <w:color w:val="000000"/>
          <w:sz w:val="21"/>
          <w:szCs w:val="21"/>
        </w:rPr>
        <w:t xml:space="preserve">a number of </w:t>
      </w:r>
      <w:r w:rsidR="00EF2769">
        <w:rPr>
          <w:rFonts w:ascii="Times New Roman" w:hAnsi="Times New Roman" w:cs="Times New Roman"/>
          <w:bCs/>
          <w:iCs/>
          <w:color w:val="000000"/>
          <w:sz w:val="21"/>
          <w:szCs w:val="21"/>
        </w:rPr>
        <w:t xml:space="preserve">sectors of </w:t>
      </w:r>
      <w:r w:rsidR="000F560F" w:rsidRPr="000F560F">
        <w:rPr>
          <w:rFonts w:ascii="Times New Roman" w:hAnsi="Times New Roman" w:cs="Times New Roman"/>
          <w:bCs/>
          <w:iCs/>
          <w:color w:val="000000"/>
          <w:sz w:val="21"/>
          <w:szCs w:val="21"/>
        </w:rPr>
        <w:t xml:space="preserve">the </w:t>
      </w:r>
      <w:r w:rsidR="00EF2769">
        <w:rPr>
          <w:rFonts w:ascii="Times New Roman" w:hAnsi="Times New Roman" w:cs="Times New Roman"/>
          <w:bCs/>
          <w:iCs/>
          <w:color w:val="000000"/>
          <w:sz w:val="21"/>
          <w:szCs w:val="21"/>
        </w:rPr>
        <w:t xml:space="preserve">domestic </w:t>
      </w:r>
      <w:r w:rsidR="000F560F" w:rsidRPr="000F560F">
        <w:rPr>
          <w:rFonts w:ascii="Times New Roman" w:hAnsi="Times New Roman" w:cs="Times New Roman"/>
          <w:bCs/>
          <w:iCs/>
          <w:color w:val="000000"/>
          <w:sz w:val="21"/>
          <w:szCs w:val="21"/>
        </w:rPr>
        <w:t>economy, particularly in the non-tradable sector</w:t>
      </w:r>
      <w:r w:rsidR="00EF2769">
        <w:rPr>
          <w:rFonts w:ascii="Times New Roman" w:hAnsi="Times New Roman" w:cs="Times New Roman"/>
          <w:bCs/>
          <w:iCs/>
          <w:color w:val="000000"/>
          <w:sz w:val="21"/>
          <w:szCs w:val="21"/>
        </w:rPr>
        <w:t xml:space="preserve">. </w:t>
      </w:r>
      <w:r w:rsidRPr="00EC356F">
        <w:rPr>
          <w:rFonts w:ascii="Times New Roman" w:hAnsi="Times New Roman" w:cs="Times New Roman"/>
          <w:bCs/>
          <w:iCs/>
          <w:color w:val="000000"/>
          <w:sz w:val="21"/>
          <w:szCs w:val="21"/>
        </w:rPr>
        <w:t xml:space="preserve">As a result, value added is expected to </w:t>
      </w:r>
      <w:r w:rsidR="00831D26">
        <w:rPr>
          <w:rFonts w:ascii="Times New Roman" w:hAnsi="Times New Roman" w:cs="Times New Roman"/>
          <w:bCs/>
          <w:iCs/>
          <w:color w:val="000000"/>
          <w:sz w:val="21"/>
          <w:szCs w:val="21"/>
        </w:rPr>
        <w:t>decrease in 201</w:t>
      </w:r>
      <w:r w:rsidR="00EF2769">
        <w:rPr>
          <w:rFonts w:ascii="Times New Roman" w:hAnsi="Times New Roman" w:cs="Times New Roman"/>
          <w:bCs/>
          <w:iCs/>
          <w:color w:val="000000"/>
          <w:sz w:val="21"/>
          <w:szCs w:val="21"/>
        </w:rPr>
        <w:t>5</w:t>
      </w:r>
      <w:r w:rsidR="00831D26">
        <w:rPr>
          <w:rFonts w:ascii="Times New Roman" w:hAnsi="Times New Roman" w:cs="Times New Roman"/>
          <w:bCs/>
          <w:iCs/>
          <w:color w:val="000000"/>
          <w:sz w:val="21"/>
          <w:szCs w:val="21"/>
        </w:rPr>
        <w:t xml:space="preserve"> </w:t>
      </w:r>
      <w:r w:rsidR="00A9080B">
        <w:rPr>
          <w:rFonts w:ascii="Times New Roman" w:hAnsi="Times New Roman" w:cs="Times New Roman"/>
          <w:bCs/>
          <w:iCs/>
          <w:color w:val="000000"/>
          <w:sz w:val="21"/>
          <w:szCs w:val="21"/>
        </w:rPr>
        <w:t xml:space="preserve">in the range of </w:t>
      </w:r>
      <w:r w:rsidR="00EF2769">
        <w:rPr>
          <w:rFonts w:ascii="Times New Roman" w:hAnsi="Times New Roman" w:cs="Times New Roman"/>
          <w:bCs/>
          <w:iCs/>
          <w:color w:val="000000"/>
          <w:sz w:val="21"/>
          <w:szCs w:val="21"/>
        </w:rPr>
        <w:t>6.</w:t>
      </w:r>
      <w:r w:rsidR="00831D26">
        <w:rPr>
          <w:rFonts w:ascii="Times New Roman" w:hAnsi="Times New Roman" w:cs="Times New Roman"/>
          <w:bCs/>
          <w:iCs/>
          <w:color w:val="000000"/>
          <w:sz w:val="21"/>
          <w:szCs w:val="21"/>
        </w:rPr>
        <w:t>3</w:t>
      </w:r>
      <w:r w:rsidR="00A9080B">
        <w:rPr>
          <w:rFonts w:ascii="Times New Roman" w:hAnsi="Times New Roman" w:cs="Times New Roman"/>
          <w:bCs/>
          <w:iCs/>
          <w:color w:val="000000"/>
          <w:sz w:val="21"/>
          <w:szCs w:val="21"/>
        </w:rPr>
        <w:t>%</w:t>
      </w:r>
      <w:r w:rsidRPr="00EC356F">
        <w:rPr>
          <w:rFonts w:ascii="Times New Roman" w:hAnsi="Times New Roman" w:cs="Times New Roman"/>
          <w:bCs/>
          <w:iCs/>
          <w:color w:val="000000"/>
          <w:sz w:val="21"/>
          <w:szCs w:val="21"/>
        </w:rPr>
        <w:t>-</w:t>
      </w:r>
      <w:r w:rsidR="00EF2769">
        <w:rPr>
          <w:rFonts w:ascii="Times New Roman" w:hAnsi="Times New Roman" w:cs="Times New Roman"/>
          <w:bCs/>
          <w:iCs/>
          <w:color w:val="000000"/>
          <w:sz w:val="21"/>
          <w:szCs w:val="21"/>
        </w:rPr>
        <w:t>7</w:t>
      </w:r>
      <w:r w:rsidRPr="00EC356F">
        <w:rPr>
          <w:rFonts w:ascii="Times New Roman" w:hAnsi="Times New Roman" w:cs="Times New Roman"/>
          <w:bCs/>
          <w:iCs/>
          <w:color w:val="000000"/>
          <w:sz w:val="21"/>
          <w:szCs w:val="21"/>
        </w:rPr>
        <w:t>.</w:t>
      </w:r>
      <w:r w:rsidR="00EF2769">
        <w:rPr>
          <w:rFonts w:ascii="Times New Roman" w:hAnsi="Times New Roman" w:cs="Times New Roman"/>
          <w:bCs/>
          <w:iCs/>
          <w:color w:val="000000"/>
          <w:sz w:val="21"/>
          <w:szCs w:val="21"/>
        </w:rPr>
        <w:t>3</w:t>
      </w:r>
      <w:r w:rsidRPr="00EC356F">
        <w:rPr>
          <w:rFonts w:ascii="Times New Roman" w:hAnsi="Times New Roman" w:cs="Times New Roman"/>
          <w:bCs/>
          <w:iCs/>
          <w:color w:val="000000"/>
          <w:sz w:val="21"/>
          <w:szCs w:val="21"/>
        </w:rPr>
        <w:t>%</w:t>
      </w:r>
      <w:r w:rsidR="00831D26">
        <w:rPr>
          <w:rFonts w:ascii="Times New Roman" w:hAnsi="Times New Roman" w:cs="Times New Roman"/>
          <w:bCs/>
          <w:iCs/>
          <w:color w:val="000000"/>
          <w:sz w:val="21"/>
          <w:szCs w:val="21"/>
        </w:rPr>
        <w:t>.</w:t>
      </w:r>
    </w:p>
    <w:p w14:paraId="152D3E78" w14:textId="77777777"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In the</w:t>
      </w:r>
      <w:r w:rsidRPr="00EC356F">
        <w:rPr>
          <w:rFonts w:ascii="Times New Roman" w:hAnsi="Times New Roman" w:cs="Times New Roman"/>
          <w:b/>
          <w:bCs/>
          <w:iCs/>
          <w:color w:val="000000"/>
          <w:sz w:val="21"/>
          <w:szCs w:val="21"/>
        </w:rPr>
        <w:t xml:space="preserve"> forecast horizon</w:t>
      </w:r>
      <w:r w:rsidRPr="00EC356F">
        <w:rPr>
          <w:rFonts w:ascii="Times New Roman" w:hAnsi="Times New Roman" w:cs="Times New Roman"/>
          <w:bCs/>
          <w:iCs/>
          <w:color w:val="000000"/>
          <w:sz w:val="21"/>
          <w:szCs w:val="21"/>
        </w:rPr>
        <w:t>, the growth is expected to stabilize within 0</w:t>
      </w:r>
      <w:r w:rsidR="004648E6">
        <w:rPr>
          <w:rFonts w:ascii="Times New Roman" w:hAnsi="Times New Roman" w:cs="Times New Roman"/>
          <w:bCs/>
          <w:iCs/>
          <w:color w:val="000000"/>
          <w:sz w:val="21"/>
          <w:szCs w:val="21"/>
        </w:rPr>
        <w:t>%</w:t>
      </w:r>
      <w:r w:rsidRPr="00EC356F">
        <w:rPr>
          <w:rFonts w:ascii="Times New Roman" w:hAnsi="Times New Roman" w:cs="Times New Roman"/>
          <w:bCs/>
          <w:iCs/>
          <w:color w:val="000000"/>
          <w:sz w:val="21"/>
          <w:szCs w:val="21"/>
        </w:rPr>
        <w:t>-</w:t>
      </w:r>
      <w:r w:rsidR="005F6F0B">
        <w:rPr>
          <w:rFonts w:ascii="Times New Roman" w:hAnsi="Times New Roman" w:cs="Times New Roman"/>
          <w:bCs/>
          <w:iCs/>
          <w:color w:val="000000"/>
          <w:sz w:val="21"/>
          <w:szCs w:val="21"/>
        </w:rPr>
        <w:t>0.5</w:t>
      </w:r>
      <w:r w:rsidRPr="00EC356F">
        <w:rPr>
          <w:rFonts w:ascii="Times New Roman" w:hAnsi="Times New Roman" w:cs="Times New Roman"/>
          <w:bCs/>
          <w:iCs/>
          <w:color w:val="000000"/>
          <w:sz w:val="21"/>
          <w:szCs w:val="21"/>
        </w:rPr>
        <w:t xml:space="preserve">% as </w:t>
      </w:r>
      <w:r w:rsidR="005F6F0B">
        <w:rPr>
          <w:rFonts w:ascii="Times New Roman" w:hAnsi="Times New Roman" w:cs="Times New Roman"/>
          <w:bCs/>
          <w:iCs/>
          <w:color w:val="000000"/>
          <w:sz w:val="21"/>
          <w:szCs w:val="21"/>
        </w:rPr>
        <w:t xml:space="preserve">investment activity and </w:t>
      </w:r>
      <w:r w:rsidR="005F6F0B" w:rsidRPr="005F6F0B">
        <w:rPr>
          <w:rFonts w:ascii="Times New Roman" w:hAnsi="Times New Roman" w:cs="Times New Roman"/>
          <w:bCs/>
          <w:iCs/>
          <w:color w:val="000000"/>
          <w:sz w:val="21"/>
          <w:szCs w:val="21"/>
        </w:rPr>
        <w:t xml:space="preserve">money transfers from Russia </w:t>
      </w:r>
      <w:r w:rsidR="005F6F0B">
        <w:rPr>
          <w:rFonts w:ascii="Times New Roman" w:hAnsi="Times New Roman" w:cs="Times New Roman"/>
          <w:bCs/>
          <w:iCs/>
          <w:color w:val="000000"/>
          <w:sz w:val="21"/>
          <w:szCs w:val="21"/>
        </w:rPr>
        <w:t xml:space="preserve">rebound. </w:t>
      </w:r>
      <w:r w:rsidRPr="00EC356F">
        <w:rPr>
          <w:rFonts w:ascii="Times New Roman" w:hAnsi="Times New Roman" w:cs="Times New Roman"/>
          <w:bCs/>
          <w:iCs/>
          <w:color w:val="000000"/>
          <w:sz w:val="21"/>
          <w:szCs w:val="21"/>
        </w:rPr>
        <w:t xml:space="preserve"> </w:t>
      </w:r>
    </w:p>
    <w:p w14:paraId="03C250F2" w14:textId="1AD51DD1" w:rsidR="00831D26" w:rsidRPr="00EC356F" w:rsidRDefault="00831D26" w:rsidP="00831D26">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For</w:t>
      </w:r>
      <w:r w:rsidR="00FD571E">
        <w:rPr>
          <w:rFonts w:ascii="Times New Roman" w:hAnsi="Times New Roman" w:cs="Times New Roman"/>
          <w:bCs/>
          <w:iCs/>
          <w:color w:val="000000"/>
          <w:sz w:val="21"/>
          <w:szCs w:val="21"/>
        </w:rPr>
        <w:t xml:space="preserve"> </w:t>
      </w:r>
      <w:r w:rsidRPr="00EC356F">
        <w:rPr>
          <w:rFonts w:ascii="Times New Roman" w:hAnsi="Times New Roman" w:cs="Times New Roman"/>
          <w:b/>
          <w:bCs/>
          <w:iCs/>
          <w:color w:val="000000"/>
          <w:sz w:val="21"/>
          <w:szCs w:val="21"/>
        </w:rPr>
        <w:t>Services</w:t>
      </w:r>
      <w:r w:rsidRPr="00EC356F">
        <w:rPr>
          <w:rFonts w:ascii="Times New Roman" w:hAnsi="Times New Roman" w:cs="Times New Roman"/>
          <w:bCs/>
          <w:iCs/>
          <w:color w:val="000000"/>
          <w:sz w:val="21"/>
          <w:szCs w:val="21"/>
        </w:rPr>
        <w:t xml:space="preserve">, the forecasts </w:t>
      </w:r>
      <w:r w:rsidR="00AD417F">
        <w:rPr>
          <w:rFonts w:ascii="Times New Roman" w:hAnsi="Times New Roman" w:cs="Times New Roman"/>
          <w:bCs/>
          <w:iCs/>
          <w:color w:val="000000"/>
          <w:sz w:val="21"/>
          <w:szCs w:val="21"/>
        </w:rPr>
        <w:t xml:space="preserve">of value added </w:t>
      </w:r>
      <w:r w:rsidRPr="00EC356F">
        <w:rPr>
          <w:rFonts w:ascii="Times New Roman" w:hAnsi="Times New Roman" w:cs="Times New Roman"/>
          <w:bCs/>
          <w:iCs/>
          <w:color w:val="000000"/>
          <w:sz w:val="21"/>
          <w:szCs w:val="21"/>
        </w:rPr>
        <w:t xml:space="preserve">were </w:t>
      </w:r>
      <w:r w:rsidR="00A60001">
        <w:rPr>
          <w:rFonts w:ascii="Times New Roman" w:hAnsi="Times New Roman" w:cs="Times New Roman"/>
          <w:bCs/>
          <w:iCs/>
          <w:color w:val="000000"/>
          <w:sz w:val="21"/>
          <w:szCs w:val="21"/>
        </w:rPr>
        <w:t xml:space="preserve">also </w:t>
      </w:r>
      <w:r w:rsidRPr="00EC356F">
        <w:rPr>
          <w:rFonts w:ascii="Times New Roman" w:hAnsi="Times New Roman" w:cs="Times New Roman"/>
          <w:bCs/>
          <w:iCs/>
          <w:color w:val="000000"/>
          <w:sz w:val="21"/>
          <w:szCs w:val="21"/>
        </w:rPr>
        <w:t xml:space="preserve">revised </w:t>
      </w:r>
      <w:r w:rsidR="00A60001">
        <w:rPr>
          <w:rFonts w:ascii="Times New Roman" w:hAnsi="Times New Roman" w:cs="Times New Roman"/>
          <w:bCs/>
          <w:iCs/>
          <w:color w:val="000000"/>
          <w:sz w:val="21"/>
          <w:szCs w:val="21"/>
        </w:rPr>
        <w:t>downside in line with downside adjustment of the forecast</w:t>
      </w:r>
      <w:r w:rsidR="00C446FB">
        <w:rPr>
          <w:rFonts w:ascii="Times New Roman" w:hAnsi="Times New Roman" w:cs="Times New Roman"/>
          <w:bCs/>
          <w:iCs/>
          <w:color w:val="000000"/>
          <w:sz w:val="21"/>
          <w:szCs w:val="21"/>
        </w:rPr>
        <w:t>s</w:t>
      </w:r>
      <w:r w:rsidR="00A60001">
        <w:rPr>
          <w:rFonts w:ascii="Times New Roman" w:hAnsi="Times New Roman" w:cs="Times New Roman"/>
          <w:bCs/>
          <w:iCs/>
          <w:color w:val="000000"/>
          <w:sz w:val="21"/>
          <w:szCs w:val="21"/>
        </w:rPr>
        <w:t xml:space="preserve"> for </w:t>
      </w:r>
      <w:r w:rsidR="00FD571E">
        <w:rPr>
          <w:rFonts w:ascii="Times New Roman" w:hAnsi="Times New Roman" w:cs="Times New Roman"/>
          <w:bCs/>
          <w:iCs/>
          <w:color w:val="000000"/>
          <w:sz w:val="21"/>
          <w:szCs w:val="21"/>
        </w:rPr>
        <w:t xml:space="preserve">private spending in the </w:t>
      </w:r>
      <w:r w:rsidR="00A60001">
        <w:rPr>
          <w:rFonts w:ascii="Times New Roman" w:hAnsi="Times New Roman" w:cs="Times New Roman"/>
          <w:bCs/>
          <w:iCs/>
          <w:color w:val="000000"/>
          <w:sz w:val="21"/>
          <w:szCs w:val="21"/>
        </w:rPr>
        <w:t xml:space="preserve">domestic </w:t>
      </w:r>
      <w:r w:rsidR="00FD571E">
        <w:rPr>
          <w:rFonts w:ascii="Times New Roman" w:hAnsi="Times New Roman" w:cs="Times New Roman"/>
          <w:bCs/>
          <w:iCs/>
          <w:color w:val="000000"/>
          <w:sz w:val="21"/>
          <w:szCs w:val="21"/>
        </w:rPr>
        <w:t>economy</w:t>
      </w:r>
      <w:r w:rsidR="00AE1CD0">
        <w:rPr>
          <w:rFonts w:ascii="Times New Roman" w:hAnsi="Times New Roman" w:cs="Times New Roman"/>
          <w:bCs/>
          <w:iCs/>
          <w:color w:val="000000"/>
          <w:sz w:val="21"/>
          <w:szCs w:val="21"/>
        </w:rPr>
        <w:t xml:space="preserve">, which will leave an influence on both the volumes of trade turnover and other services provided. </w:t>
      </w:r>
      <w:r w:rsidR="00AE1CD0" w:rsidRPr="00EC356F">
        <w:rPr>
          <w:rFonts w:ascii="Times New Roman" w:hAnsi="Times New Roman" w:cs="Times New Roman"/>
          <w:bCs/>
          <w:iCs/>
          <w:color w:val="000000"/>
          <w:sz w:val="21"/>
          <w:szCs w:val="21"/>
        </w:rPr>
        <w:t xml:space="preserve">As a result, real growth of value added in services </w:t>
      </w:r>
      <w:r w:rsidR="00FD571E">
        <w:rPr>
          <w:rFonts w:ascii="Times New Roman" w:hAnsi="Times New Roman" w:cs="Times New Roman"/>
          <w:bCs/>
          <w:iCs/>
          <w:color w:val="000000"/>
          <w:sz w:val="21"/>
          <w:szCs w:val="21"/>
        </w:rPr>
        <w:t xml:space="preserve">in 2015 </w:t>
      </w:r>
      <w:r w:rsidR="00AE1CD0" w:rsidRPr="00EC356F">
        <w:rPr>
          <w:rFonts w:ascii="Times New Roman" w:hAnsi="Times New Roman" w:cs="Times New Roman"/>
          <w:bCs/>
          <w:iCs/>
          <w:color w:val="000000"/>
          <w:sz w:val="21"/>
          <w:szCs w:val="21"/>
        </w:rPr>
        <w:t xml:space="preserve">is predicted in </w:t>
      </w:r>
      <w:r w:rsidR="006C3C1E">
        <w:rPr>
          <w:rFonts w:ascii="Times New Roman" w:hAnsi="Times New Roman" w:cs="Times New Roman"/>
          <w:bCs/>
          <w:iCs/>
          <w:color w:val="000000"/>
          <w:sz w:val="21"/>
          <w:szCs w:val="21"/>
        </w:rPr>
        <w:t xml:space="preserve">the range of </w:t>
      </w:r>
      <w:r w:rsidR="004648E6">
        <w:rPr>
          <w:rFonts w:ascii="Times New Roman" w:hAnsi="Times New Roman" w:cs="Times New Roman"/>
          <w:bCs/>
          <w:iCs/>
          <w:color w:val="000000"/>
          <w:sz w:val="21"/>
          <w:szCs w:val="21"/>
        </w:rPr>
        <w:t>1</w:t>
      </w:r>
      <w:r w:rsidR="004648E6" w:rsidRPr="00EC356F">
        <w:rPr>
          <w:rFonts w:ascii="Times New Roman" w:hAnsi="Times New Roman" w:cs="Times New Roman"/>
          <w:bCs/>
          <w:iCs/>
          <w:color w:val="000000"/>
          <w:sz w:val="21"/>
          <w:szCs w:val="21"/>
        </w:rPr>
        <w:t>.</w:t>
      </w:r>
      <w:r w:rsidR="004648E6">
        <w:rPr>
          <w:rFonts w:ascii="Times New Roman" w:hAnsi="Times New Roman" w:cs="Times New Roman"/>
          <w:bCs/>
          <w:iCs/>
          <w:color w:val="000000"/>
          <w:sz w:val="21"/>
          <w:szCs w:val="21"/>
        </w:rPr>
        <w:t>6%</w:t>
      </w:r>
      <w:r w:rsidR="004648E6" w:rsidRPr="00EC356F">
        <w:rPr>
          <w:rFonts w:ascii="Times New Roman" w:hAnsi="Times New Roman" w:cs="Times New Roman"/>
          <w:bCs/>
          <w:iCs/>
          <w:color w:val="000000"/>
          <w:sz w:val="21"/>
          <w:szCs w:val="21"/>
        </w:rPr>
        <w:t>-</w:t>
      </w:r>
      <w:r w:rsidR="004648E6">
        <w:rPr>
          <w:rFonts w:ascii="Times New Roman" w:hAnsi="Times New Roman" w:cs="Times New Roman"/>
          <w:bCs/>
          <w:iCs/>
          <w:color w:val="000000"/>
          <w:sz w:val="21"/>
          <w:szCs w:val="21"/>
        </w:rPr>
        <w:t>2</w:t>
      </w:r>
      <w:r w:rsidR="004648E6" w:rsidRPr="00EC356F">
        <w:rPr>
          <w:rFonts w:ascii="Times New Roman" w:hAnsi="Times New Roman" w:cs="Times New Roman"/>
          <w:bCs/>
          <w:iCs/>
          <w:color w:val="000000"/>
          <w:sz w:val="21"/>
          <w:szCs w:val="21"/>
        </w:rPr>
        <w:t>.</w:t>
      </w:r>
      <w:r w:rsidR="004648E6">
        <w:rPr>
          <w:rFonts w:ascii="Times New Roman" w:hAnsi="Times New Roman" w:cs="Times New Roman"/>
          <w:bCs/>
          <w:iCs/>
          <w:color w:val="000000"/>
          <w:sz w:val="21"/>
          <w:szCs w:val="21"/>
        </w:rPr>
        <w:t>0</w:t>
      </w:r>
      <w:proofErr w:type="gramStart"/>
      <w:r w:rsidR="004648E6" w:rsidRPr="00EC356F">
        <w:rPr>
          <w:rFonts w:ascii="Times New Roman" w:hAnsi="Times New Roman" w:cs="Times New Roman"/>
          <w:bCs/>
          <w:iCs/>
          <w:color w:val="000000"/>
          <w:sz w:val="21"/>
          <w:szCs w:val="21"/>
        </w:rPr>
        <w:t>%</w:t>
      </w:r>
      <w:r w:rsidR="004648E6">
        <w:rPr>
          <w:rFonts w:ascii="Times New Roman" w:hAnsi="Times New Roman" w:cs="Times New Roman"/>
          <w:bCs/>
          <w:iCs/>
          <w:color w:val="000000"/>
          <w:sz w:val="21"/>
          <w:szCs w:val="21"/>
        </w:rPr>
        <w:t xml:space="preserve"> .</w:t>
      </w:r>
      <w:proofErr w:type="gramEnd"/>
      <w:r w:rsidR="004648E6">
        <w:rPr>
          <w:rFonts w:ascii="Times New Roman" w:hAnsi="Times New Roman" w:cs="Times New Roman"/>
          <w:bCs/>
          <w:iCs/>
          <w:color w:val="000000"/>
          <w:sz w:val="21"/>
          <w:szCs w:val="21"/>
        </w:rPr>
        <w:t xml:space="preserve"> </w:t>
      </w:r>
      <w:r w:rsidR="00FD571E">
        <w:rPr>
          <w:rFonts w:ascii="Times New Roman" w:hAnsi="Times New Roman" w:cs="Times New Roman"/>
          <w:bCs/>
          <w:iCs/>
          <w:color w:val="000000"/>
          <w:sz w:val="21"/>
          <w:szCs w:val="21"/>
        </w:rPr>
        <w:t xml:space="preserve">Note that expected </w:t>
      </w:r>
      <w:r w:rsidR="00FD571E" w:rsidRPr="00FD571E">
        <w:rPr>
          <w:rFonts w:ascii="Times New Roman" w:hAnsi="Times New Roman" w:cs="Times New Roman"/>
          <w:bCs/>
          <w:iCs/>
          <w:color w:val="000000"/>
          <w:sz w:val="21"/>
          <w:szCs w:val="21"/>
        </w:rPr>
        <w:t xml:space="preserve">growth of the tourism industry </w:t>
      </w:r>
      <w:r w:rsidR="00FD571E">
        <w:rPr>
          <w:rFonts w:ascii="Times New Roman" w:hAnsi="Times New Roman" w:cs="Times New Roman"/>
          <w:bCs/>
          <w:iCs/>
          <w:color w:val="000000"/>
          <w:sz w:val="21"/>
          <w:szCs w:val="21"/>
        </w:rPr>
        <w:t xml:space="preserve">could substantially </w:t>
      </w:r>
      <w:r w:rsidR="00FD571E" w:rsidRPr="00FD571E">
        <w:rPr>
          <w:rFonts w:ascii="Times New Roman" w:hAnsi="Times New Roman" w:cs="Times New Roman"/>
          <w:bCs/>
          <w:iCs/>
          <w:color w:val="000000"/>
          <w:sz w:val="21"/>
          <w:szCs w:val="21"/>
        </w:rPr>
        <w:t xml:space="preserve">contribute to </w:t>
      </w:r>
      <w:r w:rsidR="00806A13">
        <w:rPr>
          <w:rFonts w:ascii="Times New Roman" w:hAnsi="Times New Roman" w:cs="Times New Roman"/>
          <w:bCs/>
          <w:iCs/>
          <w:color w:val="000000"/>
          <w:sz w:val="21"/>
          <w:szCs w:val="21"/>
        </w:rPr>
        <w:t xml:space="preserve">an anticipated </w:t>
      </w:r>
      <w:r w:rsidR="00FD571E" w:rsidRPr="00FD571E">
        <w:rPr>
          <w:rFonts w:ascii="Times New Roman" w:hAnsi="Times New Roman" w:cs="Times New Roman"/>
          <w:bCs/>
          <w:iCs/>
          <w:color w:val="000000"/>
          <w:sz w:val="21"/>
          <w:szCs w:val="21"/>
        </w:rPr>
        <w:t xml:space="preserve">moderate growth </w:t>
      </w:r>
      <w:r w:rsidR="00806A13">
        <w:rPr>
          <w:rFonts w:ascii="Times New Roman" w:hAnsi="Times New Roman" w:cs="Times New Roman"/>
          <w:bCs/>
          <w:iCs/>
          <w:color w:val="000000"/>
          <w:sz w:val="21"/>
          <w:szCs w:val="21"/>
        </w:rPr>
        <w:t>during the year</w:t>
      </w:r>
      <w:r w:rsidR="00FD571E" w:rsidRPr="00FD571E">
        <w:rPr>
          <w:rFonts w:ascii="Times New Roman" w:hAnsi="Times New Roman" w:cs="Times New Roman"/>
          <w:bCs/>
          <w:iCs/>
          <w:color w:val="000000"/>
          <w:sz w:val="21"/>
          <w:szCs w:val="21"/>
        </w:rPr>
        <w:t>.</w:t>
      </w:r>
    </w:p>
    <w:p w14:paraId="50A8151A" w14:textId="77777777" w:rsidR="00A9653E" w:rsidRPr="00EC356F" w:rsidRDefault="00831D26" w:rsidP="00831D26">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In the</w:t>
      </w:r>
      <w:r w:rsidRPr="00EC356F">
        <w:rPr>
          <w:rFonts w:ascii="Times New Roman" w:hAnsi="Times New Roman" w:cs="Times New Roman"/>
          <w:b/>
          <w:bCs/>
          <w:iCs/>
          <w:color w:val="000000"/>
          <w:sz w:val="21"/>
          <w:szCs w:val="21"/>
        </w:rPr>
        <w:t xml:space="preserve"> forecast horizon</w:t>
      </w:r>
      <w:r w:rsidRPr="00EC356F">
        <w:rPr>
          <w:rFonts w:ascii="Times New Roman" w:hAnsi="Times New Roman" w:cs="Times New Roman"/>
          <w:bCs/>
          <w:iCs/>
          <w:color w:val="000000"/>
          <w:sz w:val="21"/>
          <w:szCs w:val="21"/>
        </w:rPr>
        <w:t>,</w:t>
      </w:r>
      <w:r w:rsidR="00D5077E">
        <w:rPr>
          <w:rFonts w:ascii="Times New Roman" w:hAnsi="Times New Roman" w:cs="Times New Roman"/>
          <w:bCs/>
          <w:iCs/>
          <w:color w:val="000000"/>
          <w:sz w:val="21"/>
          <w:szCs w:val="21"/>
        </w:rPr>
        <w:t xml:space="preserve"> </w:t>
      </w:r>
      <w:r w:rsidRPr="00EC356F">
        <w:rPr>
          <w:rFonts w:ascii="Times New Roman" w:hAnsi="Times New Roman" w:cs="Times New Roman"/>
          <w:bCs/>
          <w:iCs/>
          <w:color w:val="000000"/>
          <w:sz w:val="21"/>
          <w:szCs w:val="21"/>
        </w:rPr>
        <w:t xml:space="preserve">growth rates in services will </w:t>
      </w:r>
      <w:r w:rsidR="00D5077E">
        <w:rPr>
          <w:rFonts w:ascii="Times New Roman" w:hAnsi="Times New Roman" w:cs="Times New Roman"/>
          <w:bCs/>
          <w:iCs/>
          <w:color w:val="000000"/>
          <w:sz w:val="21"/>
          <w:szCs w:val="21"/>
        </w:rPr>
        <w:t xml:space="preserve">somehow accelerate and </w:t>
      </w:r>
      <w:r w:rsidRPr="00EC356F">
        <w:rPr>
          <w:rFonts w:ascii="Times New Roman" w:hAnsi="Times New Roman" w:cs="Times New Roman"/>
          <w:bCs/>
          <w:iCs/>
          <w:color w:val="000000"/>
          <w:sz w:val="21"/>
          <w:szCs w:val="21"/>
        </w:rPr>
        <w:t xml:space="preserve">stabilize </w:t>
      </w:r>
      <w:r w:rsidR="003836F9">
        <w:rPr>
          <w:rFonts w:ascii="Times New Roman" w:hAnsi="Times New Roman" w:cs="Times New Roman"/>
          <w:bCs/>
          <w:iCs/>
          <w:color w:val="000000"/>
          <w:sz w:val="21"/>
          <w:szCs w:val="21"/>
        </w:rPr>
        <w:t xml:space="preserve">within </w:t>
      </w:r>
      <w:r w:rsidR="00D5077E">
        <w:rPr>
          <w:rFonts w:ascii="Times New Roman" w:hAnsi="Times New Roman" w:cs="Times New Roman"/>
          <w:bCs/>
          <w:iCs/>
          <w:color w:val="000000"/>
          <w:sz w:val="21"/>
          <w:szCs w:val="21"/>
        </w:rPr>
        <w:t>2</w:t>
      </w:r>
      <w:r w:rsidR="003836F9">
        <w:rPr>
          <w:rFonts w:ascii="Times New Roman" w:hAnsi="Times New Roman" w:cs="Times New Roman"/>
          <w:bCs/>
          <w:iCs/>
          <w:color w:val="000000"/>
          <w:sz w:val="21"/>
          <w:szCs w:val="21"/>
        </w:rPr>
        <w:t>.</w:t>
      </w:r>
      <w:r w:rsidR="00D5077E">
        <w:rPr>
          <w:rFonts w:ascii="Times New Roman" w:hAnsi="Times New Roman" w:cs="Times New Roman"/>
          <w:bCs/>
          <w:iCs/>
          <w:color w:val="000000"/>
          <w:sz w:val="21"/>
          <w:szCs w:val="21"/>
        </w:rPr>
        <w:t>5</w:t>
      </w:r>
      <w:r w:rsidR="007A2495">
        <w:rPr>
          <w:rFonts w:ascii="Times New Roman" w:hAnsi="Times New Roman" w:cs="Times New Roman"/>
          <w:bCs/>
          <w:iCs/>
          <w:color w:val="000000"/>
          <w:sz w:val="21"/>
          <w:szCs w:val="21"/>
        </w:rPr>
        <w:t>%</w:t>
      </w:r>
      <w:r w:rsidR="003836F9">
        <w:rPr>
          <w:rFonts w:ascii="Times New Roman" w:hAnsi="Times New Roman" w:cs="Times New Roman"/>
          <w:bCs/>
          <w:iCs/>
          <w:color w:val="000000"/>
          <w:sz w:val="21"/>
          <w:szCs w:val="21"/>
        </w:rPr>
        <w:t>-</w:t>
      </w:r>
      <w:r w:rsidR="00D5077E">
        <w:rPr>
          <w:rFonts w:ascii="Times New Roman" w:hAnsi="Times New Roman" w:cs="Times New Roman"/>
          <w:bCs/>
          <w:iCs/>
          <w:color w:val="000000"/>
          <w:sz w:val="21"/>
          <w:szCs w:val="21"/>
        </w:rPr>
        <w:t>3</w:t>
      </w:r>
      <w:r w:rsidRPr="00EC356F">
        <w:rPr>
          <w:rFonts w:ascii="Times New Roman" w:hAnsi="Times New Roman" w:cs="Times New Roman"/>
          <w:bCs/>
          <w:iCs/>
          <w:color w:val="000000"/>
          <w:sz w:val="21"/>
          <w:szCs w:val="21"/>
        </w:rPr>
        <w:t>.</w:t>
      </w:r>
      <w:r w:rsidR="00D5077E">
        <w:rPr>
          <w:rFonts w:ascii="Times New Roman" w:hAnsi="Times New Roman" w:cs="Times New Roman"/>
          <w:bCs/>
          <w:iCs/>
          <w:color w:val="000000"/>
          <w:sz w:val="21"/>
          <w:szCs w:val="21"/>
        </w:rPr>
        <w:t>0</w:t>
      </w:r>
      <w:r w:rsidRPr="00EC356F">
        <w:rPr>
          <w:rFonts w:ascii="Times New Roman" w:hAnsi="Times New Roman" w:cs="Times New Roman"/>
          <w:bCs/>
          <w:iCs/>
          <w:color w:val="000000"/>
          <w:sz w:val="21"/>
          <w:szCs w:val="21"/>
        </w:rPr>
        <w:t>%</w:t>
      </w:r>
      <w:r w:rsidR="00D5077E">
        <w:rPr>
          <w:rFonts w:ascii="Times New Roman" w:hAnsi="Times New Roman" w:cs="Times New Roman"/>
          <w:bCs/>
          <w:iCs/>
          <w:color w:val="000000"/>
          <w:sz w:val="21"/>
          <w:szCs w:val="21"/>
        </w:rPr>
        <w:t xml:space="preserve"> as the </w:t>
      </w:r>
      <w:r w:rsidR="00D5077E" w:rsidRPr="00EC356F">
        <w:rPr>
          <w:rFonts w:ascii="Times New Roman" w:hAnsi="Times New Roman" w:cs="Times New Roman"/>
          <w:bCs/>
          <w:iCs/>
          <w:color w:val="000000"/>
          <w:sz w:val="21"/>
          <w:szCs w:val="21"/>
        </w:rPr>
        <w:t>domestic demand</w:t>
      </w:r>
      <w:r w:rsidR="00D5077E">
        <w:rPr>
          <w:rFonts w:ascii="Times New Roman" w:hAnsi="Times New Roman" w:cs="Times New Roman"/>
          <w:bCs/>
          <w:iCs/>
          <w:color w:val="000000"/>
          <w:sz w:val="21"/>
          <w:szCs w:val="21"/>
        </w:rPr>
        <w:t xml:space="preserve"> recovers </w:t>
      </w:r>
      <w:r w:rsidR="00AD417F">
        <w:rPr>
          <w:rFonts w:ascii="Times New Roman" w:hAnsi="Times New Roman" w:cs="Times New Roman"/>
          <w:bCs/>
          <w:iCs/>
          <w:color w:val="000000"/>
          <w:sz w:val="21"/>
          <w:szCs w:val="21"/>
        </w:rPr>
        <w:t>steadily</w:t>
      </w:r>
      <w:r w:rsidR="00D5077E">
        <w:rPr>
          <w:rFonts w:ascii="Times New Roman" w:hAnsi="Times New Roman" w:cs="Times New Roman"/>
          <w:bCs/>
          <w:iCs/>
          <w:color w:val="000000"/>
          <w:sz w:val="21"/>
          <w:szCs w:val="21"/>
        </w:rPr>
        <w:t xml:space="preserve">. </w:t>
      </w:r>
    </w:p>
    <w:p w14:paraId="5B3E6155" w14:textId="0F04C68A"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For</w:t>
      </w:r>
      <w:r w:rsidR="00D5077E">
        <w:rPr>
          <w:rFonts w:ascii="Times New Roman" w:hAnsi="Times New Roman" w:cs="Times New Roman"/>
          <w:bCs/>
          <w:iCs/>
          <w:color w:val="000000"/>
          <w:sz w:val="21"/>
          <w:szCs w:val="21"/>
        </w:rPr>
        <w:t xml:space="preserve"> </w:t>
      </w:r>
      <w:r w:rsidRPr="00EC356F">
        <w:rPr>
          <w:rFonts w:ascii="Times New Roman" w:hAnsi="Times New Roman" w:cs="Times New Roman"/>
          <w:b/>
          <w:bCs/>
          <w:iCs/>
          <w:color w:val="000000"/>
          <w:sz w:val="21"/>
          <w:szCs w:val="21"/>
        </w:rPr>
        <w:t>Agriculture</w:t>
      </w:r>
      <w:r w:rsidRPr="00EC356F">
        <w:rPr>
          <w:rFonts w:ascii="Times New Roman" w:hAnsi="Times New Roman" w:cs="Times New Roman"/>
          <w:bCs/>
          <w:iCs/>
          <w:color w:val="000000"/>
          <w:sz w:val="21"/>
          <w:szCs w:val="21"/>
        </w:rPr>
        <w:t xml:space="preserve">, the forecasts </w:t>
      </w:r>
      <w:r w:rsidR="00AD417F">
        <w:rPr>
          <w:rFonts w:ascii="Times New Roman" w:hAnsi="Times New Roman" w:cs="Times New Roman"/>
          <w:bCs/>
          <w:iCs/>
          <w:color w:val="000000"/>
          <w:sz w:val="21"/>
          <w:szCs w:val="21"/>
        </w:rPr>
        <w:t xml:space="preserve">of value added </w:t>
      </w:r>
      <w:r w:rsidRPr="00EC356F">
        <w:rPr>
          <w:rFonts w:ascii="Times New Roman" w:hAnsi="Times New Roman" w:cs="Times New Roman"/>
          <w:bCs/>
          <w:iCs/>
          <w:color w:val="000000"/>
          <w:sz w:val="21"/>
          <w:szCs w:val="21"/>
        </w:rPr>
        <w:t xml:space="preserve">were revised </w:t>
      </w:r>
      <w:r w:rsidR="00AD417F">
        <w:rPr>
          <w:rFonts w:ascii="Times New Roman" w:hAnsi="Times New Roman" w:cs="Times New Roman"/>
          <w:bCs/>
          <w:iCs/>
          <w:color w:val="000000"/>
          <w:sz w:val="21"/>
          <w:szCs w:val="21"/>
        </w:rPr>
        <w:t>downside</w:t>
      </w:r>
      <w:r w:rsidRPr="00EC356F">
        <w:rPr>
          <w:rFonts w:ascii="Times New Roman" w:hAnsi="Times New Roman" w:cs="Times New Roman"/>
          <w:bCs/>
          <w:iCs/>
          <w:color w:val="000000"/>
          <w:sz w:val="21"/>
          <w:szCs w:val="21"/>
        </w:rPr>
        <w:t xml:space="preserve">, </w:t>
      </w:r>
      <w:r w:rsidR="00AD417F">
        <w:rPr>
          <w:rFonts w:ascii="Times New Roman" w:hAnsi="Times New Roman" w:cs="Times New Roman"/>
          <w:bCs/>
          <w:iCs/>
          <w:color w:val="000000"/>
          <w:sz w:val="21"/>
          <w:szCs w:val="21"/>
        </w:rPr>
        <w:t xml:space="preserve">primarily due to </w:t>
      </w:r>
      <w:r w:rsidR="00D847E4">
        <w:rPr>
          <w:rFonts w:ascii="Times New Roman" w:hAnsi="Times New Roman" w:cs="Times New Roman"/>
          <w:bCs/>
          <w:iCs/>
          <w:color w:val="000000"/>
          <w:sz w:val="21"/>
          <w:szCs w:val="21"/>
        </w:rPr>
        <w:t xml:space="preserve">shortage of </w:t>
      </w:r>
      <w:r w:rsidR="00D847E4" w:rsidRPr="00D847E4">
        <w:rPr>
          <w:rFonts w:ascii="Times New Roman" w:hAnsi="Times New Roman" w:cs="Times New Roman"/>
          <w:bCs/>
          <w:iCs/>
          <w:color w:val="000000"/>
          <w:sz w:val="21"/>
          <w:szCs w:val="21"/>
        </w:rPr>
        <w:t xml:space="preserve">investment </w:t>
      </w:r>
      <w:r w:rsidR="00622628">
        <w:rPr>
          <w:rFonts w:ascii="Times New Roman" w:hAnsi="Times New Roman" w:cs="Times New Roman"/>
          <w:bCs/>
          <w:iCs/>
          <w:color w:val="000000"/>
          <w:sz w:val="21"/>
          <w:szCs w:val="21"/>
        </w:rPr>
        <w:t xml:space="preserve">sources </w:t>
      </w:r>
      <w:r w:rsidR="00D847E4">
        <w:rPr>
          <w:rFonts w:ascii="Times New Roman" w:hAnsi="Times New Roman" w:cs="Times New Roman"/>
          <w:bCs/>
          <w:iCs/>
          <w:color w:val="000000"/>
          <w:sz w:val="21"/>
          <w:szCs w:val="21"/>
        </w:rPr>
        <w:t>for the sector</w:t>
      </w:r>
      <w:r w:rsidR="00D847E4" w:rsidRPr="00D847E4">
        <w:rPr>
          <w:rFonts w:ascii="Times New Roman" w:hAnsi="Times New Roman" w:cs="Times New Roman"/>
          <w:bCs/>
          <w:iCs/>
          <w:color w:val="000000"/>
          <w:sz w:val="21"/>
          <w:szCs w:val="21"/>
        </w:rPr>
        <w:t xml:space="preserve">, as well as expected slower economic activity </w:t>
      </w:r>
      <w:r w:rsidR="00D847E4">
        <w:rPr>
          <w:rFonts w:ascii="Times New Roman" w:hAnsi="Times New Roman" w:cs="Times New Roman"/>
          <w:bCs/>
          <w:iCs/>
          <w:color w:val="000000"/>
          <w:sz w:val="21"/>
          <w:szCs w:val="21"/>
        </w:rPr>
        <w:t xml:space="preserve">in </w:t>
      </w:r>
      <w:r w:rsidR="00D847E4" w:rsidRPr="00D847E4">
        <w:rPr>
          <w:rFonts w:ascii="Times New Roman" w:hAnsi="Times New Roman" w:cs="Times New Roman"/>
          <w:bCs/>
          <w:iCs/>
          <w:color w:val="000000"/>
          <w:sz w:val="21"/>
          <w:szCs w:val="21"/>
        </w:rPr>
        <w:t>the processing industry.</w:t>
      </w:r>
      <w:r w:rsidR="00D847E4">
        <w:rPr>
          <w:rFonts w:ascii="Times New Roman" w:hAnsi="Times New Roman" w:cs="Times New Roman"/>
          <w:bCs/>
          <w:iCs/>
          <w:color w:val="000000"/>
          <w:sz w:val="21"/>
          <w:szCs w:val="21"/>
        </w:rPr>
        <w:t xml:space="preserve"> </w:t>
      </w:r>
      <w:r w:rsidR="00DA29A5" w:rsidRPr="00EC356F">
        <w:rPr>
          <w:rFonts w:ascii="Times New Roman" w:hAnsi="Times New Roman" w:cs="Times New Roman"/>
          <w:bCs/>
          <w:iCs/>
          <w:color w:val="000000"/>
          <w:sz w:val="21"/>
          <w:szCs w:val="21"/>
        </w:rPr>
        <w:t>As a result, the real growth of value added in the sector in 201</w:t>
      </w:r>
      <w:r w:rsidR="00D847E4">
        <w:rPr>
          <w:rFonts w:ascii="Times New Roman" w:hAnsi="Times New Roman" w:cs="Times New Roman"/>
          <w:bCs/>
          <w:iCs/>
          <w:color w:val="000000"/>
          <w:sz w:val="21"/>
          <w:szCs w:val="21"/>
        </w:rPr>
        <w:t>5</w:t>
      </w:r>
      <w:r w:rsidR="00DA29A5" w:rsidRPr="00EC356F">
        <w:rPr>
          <w:rFonts w:ascii="Times New Roman" w:hAnsi="Times New Roman" w:cs="Times New Roman"/>
          <w:bCs/>
          <w:iCs/>
          <w:color w:val="000000"/>
          <w:sz w:val="21"/>
          <w:szCs w:val="21"/>
        </w:rPr>
        <w:t xml:space="preserve"> is predicted in the range </w:t>
      </w:r>
      <w:r w:rsidR="007A2495">
        <w:rPr>
          <w:rFonts w:ascii="Times New Roman" w:hAnsi="Times New Roman" w:cs="Times New Roman"/>
          <w:bCs/>
          <w:iCs/>
          <w:color w:val="000000"/>
          <w:sz w:val="21"/>
          <w:szCs w:val="21"/>
        </w:rPr>
        <w:t xml:space="preserve">of </w:t>
      </w:r>
      <w:r w:rsidR="00D847E4">
        <w:rPr>
          <w:rFonts w:ascii="Times New Roman" w:hAnsi="Times New Roman" w:cs="Times New Roman"/>
          <w:bCs/>
          <w:iCs/>
          <w:color w:val="000000"/>
          <w:sz w:val="21"/>
          <w:szCs w:val="21"/>
        </w:rPr>
        <w:t>3.5</w:t>
      </w:r>
      <w:r w:rsidR="007A2495">
        <w:rPr>
          <w:rFonts w:ascii="Times New Roman" w:hAnsi="Times New Roman" w:cs="Times New Roman"/>
          <w:bCs/>
          <w:iCs/>
          <w:color w:val="000000"/>
          <w:sz w:val="21"/>
          <w:szCs w:val="21"/>
        </w:rPr>
        <w:t>%</w:t>
      </w:r>
      <w:r w:rsidR="00DA29A5" w:rsidRPr="00EC356F">
        <w:rPr>
          <w:rFonts w:ascii="Times New Roman" w:hAnsi="Times New Roman" w:cs="Times New Roman"/>
          <w:bCs/>
          <w:iCs/>
          <w:color w:val="000000"/>
          <w:sz w:val="21"/>
          <w:szCs w:val="21"/>
        </w:rPr>
        <w:t>-</w:t>
      </w:r>
      <w:r w:rsidR="00D847E4">
        <w:rPr>
          <w:rFonts w:ascii="Times New Roman" w:hAnsi="Times New Roman" w:cs="Times New Roman"/>
          <w:bCs/>
          <w:iCs/>
          <w:color w:val="000000"/>
          <w:sz w:val="21"/>
          <w:szCs w:val="21"/>
        </w:rPr>
        <w:t>4</w:t>
      </w:r>
      <w:r w:rsidR="00DA29A5" w:rsidRPr="00EC356F">
        <w:rPr>
          <w:rFonts w:ascii="Times New Roman" w:hAnsi="Times New Roman" w:cs="Times New Roman"/>
          <w:bCs/>
          <w:iCs/>
          <w:color w:val="000000"/>
          <w:sz w:val="21"/>
          <w:szCs w:val="21"/>
        </w:rPr>
        <w:t>.</w:t>
      </w:r>
      <w:r w:rsidR="00B83D28" w:rsidRPr="00B83D28">
        <w:rPr>
          <w:rFonts w:ascii="Times New Roman" w:hAnsi="Times New Roman" w:cs="Times New Roman"/>
          <w:bCs/>
          <w:iCs/>
          <w:color w:val="000000"/>
          <w:sz w:val="21"/>
          <w:szCs w:val="21"/>
        </w:rPr>
        <w:t>5</w:t>
      </w:r>
      <w:r w:rsidR="00DA29A5" w:rsidRPr="00EC356F">
        <w:rPr>
          <w:rFonts w:ascii="Times New Roman" w:hAnsi="Times New Roman" w:cs="Times New Roman"/>
          <w:bCs/>
          <w:iCs/>
          <w:color w:val="000000"/>
          <w:sz w:val="21"/>
          <w:szCs w:val="21"/>
        </w:rPr>
        <w:t>%.</w:t>
      </w:r>
    </w:p>
    <w:p w14:paraId="0328E063" w14:textId="496184CD" w:rsidR="00A9653E" w:rsidRPr="00EC356F" w:rsidRDefault="00A9653E" w:rsidP="00A9653E">
      <w:pPr>
        <w:spacing w:line="360" w:lineRule="auto"/>
        <w:jc w:val="both"/>
        <w:rPr>
          <w:rFonts w:ascii="Times New Roman" w:hAnsi="Times New Roman" w:cs="Times New Roman"/>
          <w:bCs/>
          <w:iCs/>
          <w:color w:val="000000"/>
          <w:sz w:val="21"/>
          <w:szCs w:val="21"/>
        </w:rPr>
      </w:pPr>
      <w:r w:rsidRPr="00EC356F">
        <w:rPr>
          <w:rFonts w:ascii="Times New Roman" w:hAnsi="Times New Roman" w:cs="Times New Roman"/>
          <w:bCs/>
          <w:iCs/>
          <w:color w:val="000000"/>
          <w:sz w:val="21"/>
          <w:szCs w:val="21"/>
        </w:rPr>
        <w:t>In the</w:t>
      </w:r>
      <w:r w:rsidRPr="00EC356F">
        <w:rPr>
          <w:rFonts w:ascii="Times New Roman" w:hAnsi="Times New Roman" w:cs="Times New Roman"/>
          <w:b/>
          <w:bCs/>
          <w:iCs/>
          <w:color w:val="000000"/>
          <w:sz w:val="21"/>
          <w:szCs w:val="21"/>
        </w:rPr>
        <w:t xml:space="preserve"> forecast horizon</w:t>
      </w:r>
      <w:r w:rsidRPr="00EC356F">
        <w:rPr>
          <w:rFonts w:ascii="Times New Roman" w:hAnsi="Times New Roman" w:cs="Times New Roman"/>
          <w:bCs/>
          <w:iCs/>
          <w:color w:val="000000"/>
          <w:sz w:val="21"/>
          <w:szCs w:val="21"/>
        </w:rPr>
        <w:t>,</w:t>
      </w:r>
      <w:r w:rsidR="00AD417F">
        <w:rPr>
          <w:rFonts w:ascii="Times New Roman" w:hAnsi="Times New Roman" w:cs="Times New Roman"/>
          <w:bCs/>
          <w:iCs/>
          <w:color w:val="000000"/>
          <w:sz w:val="21"/>
          <w:szCs w:val="21"/>
        </w:rPr>
        <w:t xml:space="preserve"> </w:t>
      </w:r>
      <w:r w:rsidRPr="00EC356F">
        <w:rPr>
          <w:rFonts w:ascii="Times New Roman" w:hAnsi="Times New Roman" w:cs="Times New Roman"/>
          <w:bCs/>
          <w:iCs/>
          <w:color w:val="000000"/>
          <w:sz w:val="21"/>
          <w:szCs w:val="21"/>
        </w:rPr>
        <w:t xml:space="preserve">underlying growth rates </w:t>
      </w:r>
      <w:r w:rsidR="00C326D4">
        <w:rPr>
          <w:rFonts w:ascii="Times New Roman" w:hAnsi="Times New Roman" w:cs="Times New Roman"/>
          <w:bCs/>
          <w:iCs/>
          <w:color w:val="000000"/>
          <w:sz w:val="21"/>
          <w:szCs w:val="21"/>
        </w:rPr>
        <w:t xml:space="preserve">will pick up and stabilize </w:t>
      </w:r>
      <w:r w:rsidR="00176023">
        <w:rPr>
          <w:rFonts w:ascii="Times New Roman" w:hAnsi="Times New Roman" w:cs="Times New Roman"/>
          <w:bCs/>
          <w:iCs/>
          <w:color w:val="000000"/>
          <w:sz w:val="21"/>
          <w:szCs w:val="21"/>
        </w:rPr>
        <w:t xml:space="preserve">within </w:t>
      </w:r>
      <w:r w:rsidR="00C326D4" w:rsidRPr="00EC356F">
        <w:rPr>
          <w:rFonts w:ascii="Times New Roman" w:hAnsi="Times New Roman" w:cs="Times New Roman"/>
          <w:bCs/>
          <w:iCs/>
          <w:color w:val="000000"/>
          <w:sz w:val="21"/>
          <w:szCs w:val="21"/>
        </w:rPr>
        <w:t>5.</w:t>
      </w:r>
      <w:r w:rsidR="00C326D4">
        <w:rPr>
          <w:rFonts w:ascii="Times New Roman" w:hAnsi="Times New Roman" w:cs="Times New Roman"/>
          <w:bCs/>
          <w:iCs/>
          <w:color w:val="000000"/>
          <w:sz w:val="21"/>
          <w:szCs w:val="21"/>
        </w:rPr>
        <w:t>0</w:t>
      </w:r>
      <w:r w:rsidR="00414321">
        <w:rPr>
          <w:rFonts w:ascii="Times New Roman" w:hAnsi="Times New Roman" w:cs="Times New Roman"/>
          <w:bCs/>
          <w:iCs/>
          <w:color w:val="000000"/>
          <w:sz w:val="21"/>
          <w:szCs w:val="21"/>
        </w:rPr>
        <w:t>%</w:t>
      </w:r>
      <w:r w:rsidR="00C326D4" w:rsidRPr="00EC356F">
        <w:rPr>
          <w:rFonts w:ascii="Times New Roman" w:hAnsi="Times New Roman" w:cs="Times New Roman"/>
          <w:bCs/>
          <w:iCs/>
          <w:color w:val="000000"/>
          <w:sz w:val="21"/>
          <w:szCs w:val="21"/>
        </w:rPr>
        <w:t>-5.</w:t>
      </w:r>
      <w:r w:rsidR="00C326D4">
        <w:rPr>
          <w:rFonts w:ascii="Times New Roman" w:hAnsi="Times New Roman" w:cs="Times New Roman"/>
          <w:bCs/>
          <w:iCs/>
          <w:color w:val="000000"/>
          <w:sz w:val="21"/>
          <w:szCs w:val="21"/>
        </w:rPr>
        <w:t>5</w:t>
      </w:r>
      <w:r w:rsidR="00C326D4" w:rsidRPr="00EC356F">
        <w:rPr>
          <w:rFonts w:ascii="Times New Roman" w:hAnsi="Times New Roman" w:cs="Times New Roman"/>
          <w:bCs/>
          <w:iCs/>
          <w:color w:val="000000"/>
          <w:sz w:val="21"/>
          <w:szCs w:val="21"/>
        </w:rPr>
        <w:t>%</w:t>
      </w:r>
      <w:r w:rsidR="00C326D4">
        <w:rPr>
          <w:rFonts w:ascii="Times New Roman" w:hAnsi="Times New Roman" w:cs="Times New Roman"/>
          <w:bCs/>
          <w:iCs/>
          <w:color w:val="000000"/>
          <w:sz w:val="21"/>
          <w:szCs w:val="21"/>
        </w:rPr>
        <w:t xml:space="preserve"> as accessibility to </w:t>
      </w:r>
      <w:r w:rsidR="00C326D4" w:rsidRPr="00C326D4">
        <w:rPr>
          <w:rFonts w:ascii="Times New Roman" w:hAnsi="Times New Roman" w:cs="Times New Roman"/>
          <w:bCs/>
          <w:iCs/>
          <w:color w:val="000000"/>
          <w:sz w:val="21"/>
          <w:szCs w:val="21"/>
        </w:rPr>
        <w:t xml:space="preserve">investment </w:t>
      </w:r>
      <w:r w:rsidR="00622628">
        <w:rPr>
          <w:rFonts w:ascii="Times New Roman" w:hAnsi="Times New Roman" w:cs="Times New Roman"/>
          <w:bCs/>
          <w:iCs/>
          <w:color w:val="000000"/>
          <w:sz w:val="21"/>
          <w:szCs w:val="21"/>
        </w:rPr>
        <w:t xml:space="preserve">sources </w:t>
      </w:r>
      <w:r w:rsidR="00C326D4">
        <w:rPr>
          <w:rFonts w:ascii="Times New Roman" w:hAnsi="Times New Roman" w:cs="Times New Roman"/>
          <w:bCs/>
          <w:iCs/>
          <w:color w:val="000000"/>
          <w:sz w:val="21"/>
          <w:szCs w:val="21"/>
        </w:rPr>
        <w:t>recover</w:t>
      </w:r>
      <w:r w:rsidR="00C326D4" w:rsidRPr="00C326D4">
        <w:rPr>
          <w:rFonts w:ascii="Times New Roman" w:hAnsi="Times New Roman" w:cs="Times New Roman"/>
          <w:bCs/>
          <w:iCs/>
          <w:color w:val="000000"/>
          <w:sz w:val="21"/>
          <w:szCs w:val="21"/>
        </w:rPr>
        <w:t xml:space="preserve">, </w:t>
      </w:r>
      <w:r w:rsidR="00176023">
        <w:rPr>
          <w:rFonts w:ascii="Times New Roman" w:hAnsi="Times New Roman" w:cs="Times New Roman"/>
          <w:bCs/>
          <w:iCs/>
          <w:color w:val="000000"/>
          <w:sz w:val="21"/>
          <w:szCs w:val="21"/>
        </w:rPr>
        <w:t xml:space="preserve">the </w:t>
      </w:r>
      <w:r w:rsidR="00C326D4" w:rsidRPr="00C326D4">
        <w:rPr>
          <w:rFonts w:ascii="Times New Roman" w:hAnsi="Times New Roman" w:cs="Times New Roman"/>
          <w:bCs/>
          <w:iCs/>
          <w:color w:val="000000"/>
          <w:sz w:val="21"/>
          <w:szCs w:val="21"/>
        </w:rPr>
        <w:t>sector</w:t>
      </w:r>
      <w:r w:rsidR="00176023" w:rsidRPr="00C70AA4">
        <w:rPr>
          <w:rFonts w:ascii="Times New Roman" w:hAnsi="Times New Roman" w:cs="Times New Roman"/>
          <w:sz w:val="21"/>
          <w:szCs w:val="21"/>
        </w:rPr>
        <w:t>'</w:t>
      </w:r>
      <w:r w:rsidR="00176023">
        <w:rPr>
          <w:rFonts w:ascii="Times New Roman" w:hAnsi="Times New Roman" w:cs="Times New Roman"/>
          <w:sz w:val="21"/>
          <w:szCs w:val="21"/>
        </w:rPr>
        <w:t>s</w:t>
      </w:r>
      <w:r w:rsidR="00C326D4" w:rsidRPr="00C326D4">
        <w:rPr>
          <w:rFonts w:ascii="Times New Roman" w:hAnsi="Times New Roman" w:cs="Times New Roman"/>
          <w:bCs/>
          <w:iCs/>
          <w:color w:val="000000"/>
          <w:sz w:val="21"/>
          <w:szCs w:val="21"/>
        </w:rPr>
        <w:t xml:space="preserve"> export promotion policy continu</w:t>
      </w:r>
      <w:r w:rsidR="00176023">
        <w:rPr>
          <w:rFonts w:ascii="Times New Roman" w:hAnsi="Times New Roman" w:cs="Times New Roman"/>
          <w:bCs/>
          <w:iCs/>
          <w:color w:val="000000"/>
          <w:sz w:val="21"/>
          <w:szCs w:val="21"/>
        </w:rPr>
        <w:t>es</w:t>
      </w:r>
      <w:r w:rsidR="00C326D4" w:rsidRPr="00C326D4">
        <w:rPr>
          <w:rFonts w:ascii="Times New Roman" w:hAnsi="Times New Roman" w:cs="Times New Roman"/>
          <w:bCs/>
          <w:iCs/>
          <w:color w:val="000000"/>
          <w:sz w:val="21"/>
          <w:szCs w:val="21"/>
        </w:rPr>
        <w:t xml:space="preserve"> and </w:t>
      </w:r>
      <w:r w:rsidR="00176023">
        <w:rPr>
          <w:rFonts w:ascii="Times New Roman" w:hAnsi="Times New Roman" w:cs="Times New Roman"/>
          <w:bCs/>
          <w:iCs/>
          <w:color w:val="000000"/>
          <w:sz w:val="21"/>
          <w:szCs w:val="21"/>
        </w:rPr>
        <w:t xml:space="preserve">house farming facilities </w:t>
      </w:r>
      <w:r w:rsidR="00C326D4" w:rsidRPr="00C326D4">
        <w:rPr>
          <w:rFonts w:ascii="Times New Roman" w:hAnsi="Times New Roman" w:cs="Times New Roman"/>
          <w:bCs/>
          <w:iCs/>
          <w:color w:val="000000"/>
          <w:sz w:val="21"/>
          <w:szCs w:val="21"/>
        </w:rPr>
        <w:t>expan</w:t>
      </w:r>
      <w:r w:rsidR="00176023">
        <w:rPr>
          <w:rFonts w:ascii="Times New Roman" w:hAnsi="Times New Roman" w:cs="Times New Roman"/>
          <w:bCs/>
          <w:iCs/>
          <w:color w:val="000000"/>
          <w:sz w:val="21"/>
          <w:szCs w:val="21"/>
        </w:rPr>
        <w:t xml:space="preserve">d. </w:t>
      </w:r>
    </w:p>
    <w:p w14:paraId="5234D5A9"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lastRenderedPageBreak/>
        <w:t xml:space="preserve">In the forecast horizon, </w:t>
      </w:r>
      <w:r w:rsidRPr="00EC356F">
        <w:rPr>
          <w:rFonts w:ascii="Times New Roman" w:hAnsi="Times New Roman" w:cs="Times New Roman"/>
          <w:b/>
          <w:bCs/>
          <w:iCs/>
          <w:color w:val="000000"/>
          <w:sz w:val="21"/>
          <w:szCs w:val="21"/>
        </w:rPr>
        <w:t>risks to the economic growth are dual sided</w:t>
      </w:r>
      <w:r w:rsidR="00176023">
        <w:rPr>
          <w:rFonts w:ascii="Times New Roman" w:hAnsi="Times New Roman" w:cs="Times New Roman"/>
          <w:b/>
          <w:bCs/>
          <w:iCs/>
          <w:color w:val="000000"/>
          <w:sz w:val="21"/>
          <w:szCs w:val="21"/>
        </w:rPr>
        <w:t xml:space="preserve"> and </w:t>
      </w:r>
      <w:r w:rsidR="00414321">
        <w:rPr>
          <w:rFonts w:ascii="Times New Roman" w:hAnsi="Times New Roman" w:cs="Times New Roman"/>
          <w:b/>
          <w:bCs/>
          <w:iCs/>
          <w:color w:val="000000"/>
          <w:sz w:val="21"/>
          <w:szCs w:val="21"/>
        </w:rPr>
        <w:t xml:space="preserve">come in </w:t>
      </w:r>
      <w:r w:rsidR="00176023">
        <w:rPr>
          <w:rFonts w:ascii="Times New Roman" w:hAnsi="Times New Roman" w:cs="Times New Roman"/>
          <w:b/>
          <w:bCs/>
          <w:iCs/>
          <w:color w:val="000000"/>
          <w:sz w:val="21"/>
          <w:szCs w:val="21"/>
        </w:rPr>
        <w:t xml:space="preserve">mostly balanced. </w:t>
      </w:r>
      <w:r w:rsidR="00176023" w:rsidRPr="00176023">
        <w:rPr>
          <w:rFonts w:ascii="Times New Roman" w:hAnsi="Times New Roman" w:cs="Times New Roman"/>
          <w:bCs/>
          <w:iCs/>
          <w:color w:val="000000"/>
          <w:sz w:val="21"/>
          <w:szCs w:val="21"/>
        </w:rPr>
        <w:t>In particular</w:t>
      </w:r>
      <w:r w:rsidR="00176023">
        <w:rPr>
          <w:rFonts w:ascii="Times New Roman" w:hAnsi="Times New Roman" w:cs="Times New Roman"/>
          <w:bCs/>
          <w:iCs/>
          <w:color w:val="000000"/>
          <w:sz w:val="21"/>
          <w:szCs w:val="21"/>
        </w:rPr>
        <w:t>,</w:t>
      </w:r>
      <w:r w:rsidR="00176023" w:rsidRPr="00176023">
        <w:rPr>
          <w:rFonts w:ascii="Times New Roman" w:hAnsi="Times New Roman" w:cs="Times New Roman"/>
          <w:bCs/>
          <w:iCs/>
          <w:color w:val="000000"/>
          <w:sz w:val="21"/>
          <w:szCs w:val="21"/>
        </w:rPr>
        <w:t xml:space="preserve"> </w:t>
      </w:r>
      <w:r w:rsidR="00176023">
        <w:rPr>
          <w:rFonts w:ascii="Times New Roman" w:hAnsi="Times New Roman" w:cs="Times New Roman"/>
          <w:bCs/>
          <w:iCs/>
          <w:color w:val="000000"/>
          <w:sz w:val="21"/>
          <w:szCs w:val="21"/>
        </w:rPr>
        <w:t xml:space="preserve">further-than-expected decline in private spending is a </w:t>
      </w:r>
      <w:r w:rsidR="00176023" w:rsidRPr="00176023">
        <w:rPr>
          <w:rFonts w:ascii="Times New Roman" w:hAnsi="Times New Roman" w:cs="Times New Roman"/>
          <w:bCs/>
          <w:iCs/>
          <w:color w:val="000000"/>
          <w:sz w:val="21"/>
          <w:szCs w:val="21"/>
        </w:rPr>
        <w:t xml:space="preserve">negative risk to </w:t>
      </w:r>
      <w:r w:rsidR="00176023">
        <w:rPr>
          <w:rFonts w:ascii="Times New Roman" w:hAnsi="Times New Roman" w:cs="Times New Roman"/>
          <w:bCs/>
          <w:iCs/>
          <w:color w:val="000000"/>
          <w:sz w:val="21"/>
          <w:szCs w:val="21"/>
        </w:rPr>
        <w:t xml:space="preserve">the economic growth in the </w:t>
      </w:r>
      <w:r w:rsidR="00176023" w:rsidRPr="00176023">
        <w:rPr>
          <w:rFonts w:ascii="Times New Roman" w:hAnsi="Times New Roman" w:cs="Times New Roman"/>
          <w:bCs/>
          <w:iCs/>
          <w:color w:val="000000"/>
          <w:sz w:val="21"/>
          <w:szCs w:val="21"/>
        </w:rPr>
        <w:t>short</w:t>
      </w:r>
      <w:r w:rsidR="00176023">
        <w:rPr>
          <w:rFonts w:ascii="Times New Roman" w:hAnsi="Times New Roman" w:cs="Times New Roman"/>
          <w:bCs/>
          <w:iCs/>
          <w:color w:val="000000"/>
          <w:sz w:val="21"/>
          <w:szCs w:val="21"/>
        </w:rPr>
        <w:t xml:space="preserve"> </w:t>
      </w:r>
      <w:r w:rsidR="00176023" w:rsidRPr="00176023">
        <w:rPr>
          <w:rFonts w:ascii="Times New Roman" w:hAnsi="Times New Roman" w:cs="Times New Roman"/>
          <w:bCs/>
          <w:iCs/>
          <w:color w:val="000000"/>
          <w:sz w:val="21"/>
          <w:szCs w:val="21"/>
        </w:rPr>
        <w:t>term</w:t>
      </w:r>
      <w:r w:rsidR="00176023">
        <w:rPr>
          <w:rFonts w:ascii="Times New Roman" w:hAnsi="Times New Roman" w:cs="Times New Roman"/>
          <w:bCs/>
          <w:iCs/>
          <w:color w:val="000000"/>
          <w:sz w:val="21"/>
          <w:szCs w:val="21"/>
        </w:rPr>
        <w:t>. In the medium term, risks to the eco</w:t>
      </w:r>
      <w:r w:rsidR="00176023" w:rsidRPr="00176023">
        <w:rPr>
          <w:rFonts w:ascii="Times New Roman" w:hAnsi="Times New Roman" w:cs="Times New Roman"/>
          <w:bCs/>
          <w:iCs/>
          <w:color w:val="000000"/>
          <w:sz w:val="21"/>
          <w:szCs w:val="21"/>
        </w:rPr>
        <w:t xml:space="preserve">nomic growth </w:t>
      </w:r>
      <w:r w:rsidRPr="00EC356F">
        <w:rPr>
          <w:rFonts w:ascii="Times New Roman" w:hAnsi="Times New Roman" w:cs="Times New Roman"/>
          <w:sz w:val="21"/>
          <w:szCs w:val="21"/>
        </w:rPr>
        <w:t xml:space="preserve">depend on how </w:t>
      </w:r>
      <w:r w:rsidR="005919E8" w:rsidRPr="005919E8">
        <w:rPr>
          <w:rFonts w:ascii="Times New Roman" w:hAnsi="Times New Roman" w:cs="Times New Roman"/>
          <w:sz w:val="21"/>
          <w:szCs w:val="21"/>
        </w:rPr>
        <w:t>the global ec</w:t>
      </w:r>
      <w:r w:rsidRPr="00EC356F">
        <w:rPr>
          <w:rFonts w:ascii="Times New Roman" w:hAnsi="Times New Roman" w:cs="Times New Roman"/>
          <w:sz w:val="21"/>
          <w:szCs w:val="21"/>
        </w:rPr>
        <w:t>onom</w:t>
      </w:r>
      <w:r w:rsidR="005919E8" w:rsidRPr="005919E8">
        <w:rPr>
          <w:rFonts w:ascii="Times New Roman" w:hAnsi="Times New Roman" w:cs="Times New Roman"/>
          <w:sz w:val="21"/>
          <w:szCs w:val="21"/>
        </w:rPr>
        <w:t xml:space="preserve">y </w:t>
      </w:r>
      <w:r w:rsidRPr="00EC356F">
        <w:rPr>
          <w:rFonts w:ascii="Times New Roman" w:hAnsi="Times New Roman" w:cs="Times New Roman"/>
          <w:sz w:val="21"/>
          <w:szCs w:val="21"/>
        </w:rPr>
        <w:t xml:space="preserve">would </w:t>
      </w:r>
      <w:r w:rsidR="005919E8" w:rsidRPr="005919E8">
        <w:rPr>
          <w:rFonts w:ascii="Times New Roman" w:hAnsi="Times New Roman" w:cs="Times New Roman"/>
          <w:sz w:val="21"/>
          <w:szCs w:val="21"/>
        </w:rPr>
        <w:t xml:space="preserve">develop </w:t>
      </w:r>
      <w:r w:rsidRPr="00EC356F">
        <w:rPr>
          <w:rFonts w:ascii="Times New Roman" w:hAnsi="Times New Roman" w:cs="Times New Roman"/>
          <w:sz w:val="21"/>
          <w:szCs w:val="21"/>
        </w:rPr>
        <w:t xml:space="preserve">further and </w:t>
      </w:r>
      <w:r w:rsidR="005919E8" w:rsidRPr="005919E8">
        <w:rPr>
          <w:rFonts w:ascii="Times New Roman" w:hAnsi="Times New Roman" w:cs="Times New Roman"/>
          <w:sz w:val="21"/>
          <w:szCs w:val="21"/>
        </w:rPr>
        <w:t>what economic effects could be ex</w:t>
      </w:r>
      <w:r w:rsidR="005919E8">
        <w:rPr>
          <w:rFonts w:ascii="Times New Roman" w:hAnsi="Times New Roman" w:cs="Times New Roman"/>
          <w:sz w:val="21"/>
          <w:szCs w:val="21"/>
        </w:rPr>
        <w:t>pect</w:t>
      </w:r>
      <w:r w:rsidR="005919E8" w:rsidRPr="005919E8">
        <w:rPr>
          <w:rFonts w:ascii="Times New Roman" w:hAnsi="Times New Roman" w:cs="Times New Roman"/>
          <w:sz w:val="21"/>
          <w:szCs w:val="21"/>
        </w:rPr>
        <w:t xml:space="preserve">able from </w:t>
      </w:r>
      <w:r w:rsidR="005919E8">
        <w:rPr>
          <w:rFonts w:ascii="Times New Roman" w:hAnsi="Times New Roman" w:cs="Times New Roman"/>
          <w:sz w:val="21"/>
          <w:szCs w:val="21"/>
        </w:rPr>
        <w:t>int</w:t>
      </w:r>
      <w:r w:rsidR="005919E8" w:rsidRPr="005919E8">
        <w:rPr>
          <w:rFonts w:ascii="Times New Roman" w:hAnsi="Times New Roman" w:cs="Times New Roman"/>
          <w:sz w:val="21"/>
          <w:szCs w:val="21"/>
        </w:rPr>
        <w:t xml:space="preserve">egration processes in the region, on the one hand, and on </w:t>
      </w:r>
      <w:r w:rsidR="00F65025">
        <w:rPr>
          <w:rFonts w:ascii="Times New Roman" w:hAnsi="Times New Roman" w:cs="Times New Roman"/>
          <w:sz w:val="21"/>
          <w:szCs w:val="21"/>
        </w:rPr>
        <w:t>how investment activity in the tradable sector of the domestic economy would unfold</w:t>
      </w:r>
      <w:r w:rsidR="005919E8" w:rsidRPr="005919E8">
        <w:rPr>
          <w:rFonts w:ascii="Times New Roman" w:hAnsi="Times New Roman" w:cs="Times New Roman"/>
          <w:sz w:val="21"/>
          <w:szCs w:val="21"/>
        </w:rPr>
        <w:t>, on the other</w:t>
      </w:r>
      <w:r w:rsidRPr="00EC356F">
        <w:rPr>
          <w:rFonts w:ascii="Times New Roman" w:hAnsi="Times New Roman" w:cs="Times New Roman"/>
          <w:sz w:val="21"/>
          <w:szCs w:val="21"/>
        </w:rPr>
        <w:t xml:space="preserve">. </w:t>
      </w:r>
    </w:p>
    <w:tbl>
      <w:tblPr>
        <w:tblW w:w="6237" w:type="dxa"/>
        <w:tblInd w:w="108"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Look w:val="04A0" w:firstRow="1" w:lastRow="0" w:firstColumn="1" w:lastColumn="0" w:noHBand="0" w:noVBand="1"/>
      </w:tblPr>
      <w:tblGrid>
        <w:gridCol w:w="2455"/>
        <w:gridCol w:w="826"/>
        <w:gridCol w:w="985"/>
        <w:gridCol w:w="985"/>
        <w:gridCol w:w="986"/>
      </w:tblGrid>
      <w:tr w:rsidR="00A9653E" w:rsidRPr="00F65025" w14:paraId="196A2778" w14:textId="77777777" w:rsidTr="00DF2762">
        <w:trPr>
          <w:trHeight w:val="20"/>
        </w:trPr>
        <w:tc>
          <w:tcPr>
            <w:tcW w:w="6237" w:type="dxa"/>
            <w:gridSpan w:val="5"/>
            <w:tcBorders>
              <w:top w:val="single" w:sz="6" w:space="0" w:color="auto"/>
              <w:bottom w:val="single" w:sz="6" w:space="0" w:color="auto"/>
            </w:tcBorders>
            <w:shd w:val="clear" w:color="auto" w:fill="auto"/>
            <w:noWrap/>
            <w:vAlign w:val="bottom"/>
          </w:tcPr>
          <w:p w14:paraId="4FF587DE" w14:textId="77777777" w:rsidR="00A9653E" w:rsidRPr="00F65025" w:rsidRDefault="00A9653E" w:rsidP="00DF2762">
            <w:pPr>
              <w:spacing w:before="20" w:after="20"/>
              <w:contextualSpacing/>
              <w:jc w:val="center"/>
              <w:rPr>
                <w:rFonts w:ascii="Times New Roman" w:hAnsi="Times New Roman" w:cs="Times New Roman"/>
                <w:b/>
                <w:bCs/>
                <w:sz w:val="20"/>
                <w:szCs w:val="20"/>
                <w:lang w:val="hy-AM"/>
              </w:rPr>
            </w:pPr>
            <w:r w:rsidRPr="00F65025">
              <w:rPr>
                <w:rFonts w:ascii="Times New Roman" w:hAnsi="Times New Roman" w:cs="Times New Roman"/>
                <w:b/>
                <w:sz w:val="20"/>
                <w:szCs w:val="20"/>
              </w:rPr>
              <w:t>Real GDP Growth (Cumulative) Projection Probability Distribution</w:t>
            </w:r>
          </w:p>
        </w:tc>
      </w:tr>
      <w:tr w:rsidR="00A9653E" w:rsidRPr="00F65025" w14:paraId="09DAC1DD" w14:textId="77777777" w:rsidTr="00DF2762">
        <w:trPr>
          <w:trHeight w:val="20"/>
        </w:trPr>
        <w:tc>
          <w:tcPr>
            <w:tcW w:w="2455" w:type="dxa"/>
            <w:vMerge w:val="restart"/>
            <w:tcBorders>
              <w:top w:val="single" w:sz="6" w:space="0" w:color="auto"/>
              <w:bottom w:val="dashed" w:sz="4" w:space="0" w:color="auto"/>
            </w:tcBorders>
            <w:shd w:val="clear" w:color="auto" w:fill="auto"/>
            <w:vAlign w:val="center"/>
          </w:tcPr>
          <w:p w14:paraId="1878D594" w14:textId="77777777" w:rsidR="00A9653E" w:rsidRPr="00F65025" w:rsidRDefault="00A9653E" w:rsidP="00DF2762">
            <w:pPr>
              <w:spacing w:before="20" w:after="20"/>
              <w:contextualSpacing/>
              <w:jc w:val="center"/>
              <w:rPr>
                <w:rFonts w:ascii="Times New Roman" w:hAnsi="Times New Roman" w:cs="Times New Roman"/>
                <w:sz w:val="20"/>
                <w:szCs w:val="20"/>
              </w:rPr>
            </w:pPr>
            <w:r w:rsidRPr="00F65025">
              <w:rPr>
                <w:rFonts w:ascii="Times New Roman" w:hAnsi="Times New Roman" w:cs="Times New Roman"/>
                <w:sz w:val="20"/>
                <w:szCs w:val="20"/>
              </w:rPr>
              <w:t>Period</w:t>
            </w:r>
          </w:p>
        </w:tc>
        <w:tc>
          <w:tcPr>
            <w:tcW w:w="1811" w:type="dxa"/>
            <w:gridSpan w:val="2"/>
            <w:tcBorders>
              <w:top w:val="single" w:sz="6" w:space="0" w:color="auto"/>
              <w:bottom w:val="dashed" w:sz="4" w:space="0" w:color="auto"/>
            </w:tcBorders>
            <w:shd w:val="clear" w:color="auto" w:fill="auto"/>
            <w:vAlign w:val="bottom"/>
          </w:tcPr>
          <w:p w14:paraId="6EA63DF8" w14:textId="77777777" w:rsidR="00A9653E" w:rsidRPr="00F65025" w:rsidRDefault="00A9653E" w:rsidP="00DF2762">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30% probability interval</w:t>
            </w:r>
          </w:p>
        </w:tc>
        <w:tc>
          <w:tcPr>
            <w:tcW w:w="1971" w:type="dxa"/>
            <w:gridSpan w:val="2"/>
            <w:tcBorders>
              <w:top w:val="single" w:sz="6" w:space="0" w:color="auto"/>
              <w:bottom w:val="dashed" w:sz="4" w:space="0" w:color="auto"/>
            </w:tcBorders>
            <w:shd w:val="clear" w:color="auto" w:fill="auto"/>
            <w:vAlign w:val="bottom"/>
          </w:tcPr>
          <w:p w14:paraId="7AA43D90" w14:textId="77777777" w:rsidR="00A9653E" w:rsidRPr="00F65025" w:rsidRDefault="00A9653E" w:rsidP="00DF2762">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90% probability interval</w:t>
            </w:r>
          </w:p>
        </w:tc>
      </w:tr>
      <w:tr w:rsidR="00A9653E" w:rsidRPr="00F65025" w14:paraId="2CDE55BE" w14:textId="77777777" w:rsidTr="00DF2762">
        <w:trPr>
          <w:trHeight w:val="20"/>
        </w:trPr>
        <w:tc>
          <w:tcPr>
            <w:tcW w:w="2455" w:type="dxa"/>
            <w:vMerge/>
            <w:tcBorders>
              <w:top w:val="dashed" w:sz="4" w:space="0" w:color="auto"/>
              <w:bottom w:val="single" w:sz="6" w:space="0" w:color="auto"/>
            </w:tcBorders>
            <w:vAlign w:val="center"/>
          </w:tcPr>
          <w:p w14:paraId="284BFB33" w14:textId="77777777" w:rsidR="00A9653E" w:rsidRPr="00F65025" w:rsidRDefault="00A9653E" w:rsidP="00DF2762">
            <w:pPr>
              <w:spacing w:before="20" w:after="20"/>
              <w:contextualSpacing/>
              <w:rPr>
                <w:rFonts w:ascii="Times New Roman" w:hAnsi="Times New Roman" w:cs="Times New Roman"/>
                <w:sz w:val="20"/>
                <w:szCs w:val="20"/>
              </w:rPr>
            </w:pPr>
          </w:p>
        </w:tc>
        <w:tc>
          <w:tcPr>
            <w:tcW w:w="826" w:type="dxa"/>
            <w:tcBorders>
              <w:top w:val="dashed" w:sz="4" w:space="0" w:color="auto"/>
              <w:bottom w:val="single" w:sz="6" w:space="0" w:color="auto"/>
            </w:tcBorders>
            <w:shd w:val="clear" w:color="auto" w:fill="auto"/>
            <w:vAlign w:val="bottom"/>
          </w:tcPr>
          <w:p w14:paraId="05F0AB0C" w14:textId="77777777" w:rsidR="00A9653E" w:rsidRPr="00F65025" w:rsidRDefault="00A9653E" w:rsidP="00DF2762">
            <w:pPr>
              <w:spacing w:before="20" w:after="20"/>
              <w:contextualSpacing/>
              <w:jc w:val="center"/>
              <w:rPr>
                <w:rFonts w:ascii="Times New Roman" w:hAnsi="Times New Roman" w:cs="Times New Roman"/>
                <w:sz w:val="20"/>
                <w:szCs w:val="20"/>
              </w:rPr>
            </w:pPr>
            <w:r w:rsidRPr="00F65025">
              <w:rPr>
                <w:rFonts w:ascii="Times New Roman" w:hAnsi="Times New Roman" w:cs="Times New Roman"/>
                <w:sz w:val="20"/>
                <w:szCs w:val="20"/>
              </w:rPr>
              <w:t>Min</w:t>
            </w:r>
          </w:p>
        </w:tc>
        <w:tc>
          <w:tcPr>
            <w:tcW w:w="985" w:type="dxa"/>
            <w:tcBorders>
              <w:top w:val="dashed" w:sz="4" w:space="0" w:color="auto"/>
              <w:bottom w:val="single" w:sz="6" w:space="0" w:color="auto"/>
            </w:tcBorders>
            <w:shd w:val="clear" w:color="auto" w:fill="auto"/>
            <w:vAlign w:val="bottom"/>
          </w:tcPr>
          <w:p w14:paraId="7CDEA4D3" w14:textId="77777777" w:rsidR="00A9653E" w:rsidRPr="00F65025" w:rsidRDefault="00A9653E" w:rsidP="00DF2762">
            <w:pPr>
              <w:spacing w:before="20" w:after="20"/>
              <w:contextualSpacing/>
              <w:jc w:val="center"/>
              <w:rPr>
                <w:rFonts w:ascii="Times New Roman" w:hAnsi="Times New Roman" w:cs="Times New Roman"/>
                <w:sz w:val="20"/>
                <w:szCs w:val="20"/>
              </w:rPr>
            </w:pPr>
            <w:r w:rsidRPr="00F65025">
              <w:rPr>
                <w:rFonts w:ascii="Times New Roman" w:hAnsi="Times New Roman" w:cs="Times New Roman"/>
                <w:sz w:val="20"/>
                <w:szCs w:val="20"/>
              </w:rPr>
              <w:t>Max</w:t>
            </w:r>
          </w:p>
        </w:tc>
        <w:tc>
          <w:tcPr>
            <w:tcW w:w="985" w:type="dxa"/>
            <w:tcBorders>
              <w:top w:val="dashed" w:sz="4" w:space="0" w:color="auto"/>
              <w:bottom w:val="single" w:sz="6" w:space="0" w:color="auto"/>
            </w:tcBorders>
            <w:shd w:val="clear" w:color="auto" w:fill="auto"/>
            <w:vAlign w:val="bottom"/>
          </w:tcPr>
          <w:p w14:paraId="04663F12" w14:textId="77777777" w:rsidR="00A9653E" w:rsidRPr="00F65025" w:rsidRDefault="00A9653E" w:rsidP="00DF2762">
            <w:pPr>
              <w:spacing w:before="20" w:after="20"/>
              <w:contextualSpacing/>
              <w:jc w:val="center"/>
              <w:rPr>
                <w:rFonts w:ascii="Times New Roman" w:hAnsi="Times New Roman" w:cs="Times New Roman"/>
                <w:sz w:val="20"/>
                <w:szCs w:val="20"/>
              </w:rPr>
            </w:pPr>
            <w:r w:rsidRPr="00F65025">
              <w:rPr>
                <w:rFonts w:ascii="Times New Roman" w:hAnsi="Times New Roman" w:cs="Times New Roman"/>
                <w:sz w:val="20"/>
                <w:szCs w:val="20"/>
              </w:rPr>
              <w:t>Min</w:t>
            </w:r>
          </w:p>
        </w:tc>
        <w:tc>
          <w:tcPr>
            <w:tcW w:w="986" w:type="dxa"/>
            <w:tcBorders>
              <w:top w:val="dashed" w:sz="4" w:space="0" w:color="auto"/>
              <w:bottom w:val="single" w:sz="6" w:space="0" w:color="auto"/>
            </w:tcBorders>
            <w:shd w:val="clear" w:color="auto" w:fill="auto"/>
            <w:vAlign w:val="bottom"/>
          </w:tcPr>
          <w:p w14:paraId="618E584C" w14:textId="77777777" w:rsidR="00A9653E" w:rsidRPr="00F65025" w:rsidRDefault="00A9653E" w:rsidP="00DF2762">
            <w:pPr>
              <w:spacing w:before="20" w:after="20"/>
              <w:contextualSpacing/>
              <w:jc w:val="center"/>
              <w:rPr>
                <w:rFonts w:ascii="Times New Roman" w:hAnsi="Times New Roman" w:cs="Times New Roman"/>
                <w:sz w:val="20"/>
                <w:szCs w:val="20"/>
              </w:rPr>
            </w:pPr>
            <w:r w:rsidRPr="00F65025">
              <w:rPr>
                <w:rFonts w:ascii="Times New Roman" w:hAnsi="Times New Roman" w:cs="Times New Roman"/>
                <w:sz w:val="20"/>
                <w:szCs w:val="20"/>
              </w:rPr>
              <w:t>Max</w:t>
            </w:r>
          </w:p>
        </w:tc>
      </w:tr>
      <w:tr w:rsidR="00F65025" w:rsidRPr="00F65025" w14:paraId="39A2330D" w14:textId="77777777" w:rsidTr="00DF2762">
        <w:trPr>
          <w:trHeight w:val="20"/>
        </w:trPr>
        <w:tc>
          <w:tcPr>
            <w:tcW w:w="2455" w:type="dxa"/>
            <w:shd w:val="clear" w:color="auto" w:fill="auto"/>
            <w:vAlign w:val="center"/>
          </w:tcPr>
          <w:p w14:paraId="688C36B5" w14:textId="77777777" w:rsidR="00F65025" w:rsidRPr="00F65025" w:rsidRDefault="00F65025" w:rsidP="00F65025">
            <w:pPr>
              <w:spacing w:before="40" w:after="40"/>
              <w:contextualSpacing/>
              <w:rPr>
                <w:rFonts w:ascii="Times New Roman" w:hAnsi="Times New Roman" w:cs="Times New Roman"/>
                <w:bCs/>
                <w:sz w:val="20"/>
                <w:szCs w:val="20"/>
              </w:rPr>
            </w:pPr>
            <w:r w:rsidRPr="00F65025">
              <w:rPr>
                <w:rFonts w:ascii="Times New Roman" w:hAnsi="Times New Roman" w:cs="Times New Roman"/>
                <w:bCs/>
                <w:sz w:val="20"/>
                <w:szCs w:val="20"/>
              </w:rPr>
              <w:t>January-December 2014 / January-December 2013</w:t>
            </w:r>
          </w:p>
        </w:tc>
        <w:tc>
          <w:tcPr>
            <w:tcW w:w="826" w:type="dxa"/>
            <w:shd w:val="clear" w:color="auto" w:fill="auto"/>
            <w:noWrap/>
            <w:vAlign w:val="bottom"/>
          </w:tcPr>
          <w:p w14:paraId="661BB20A"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3.2%</w:t>
            </w:r>
          </w:p>
        </w:tc>
        <w:tc>
          <w:tcPr>
            <w:tcW w:w="985" w:type="dxa"/>
            <w:shd w:val="clear" w:color="auto" w:fill="auto"/>
            <w:noWrap/>
            <w:vAlign w:val="bottom"/>
          </w:tcPr>
          <w:p w14:paraId="4F8A263D"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3.5%</w:t>
            </w:r>
          </w:p>
        </w:tc>
        <w:tc>
          <w:tcPr>
            <w:tcW w:w="985" w:type="dxa"/>
            <w:shd w:val="clear" w:color="auto" w:fill="auto"/>
            <w:noWrap/>
            <w:vAlign w:val="bottom"/>
          </w:tcPr>
          <w:p w14:paraId="01E9CEA0"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2.7%</w:t>
            </w:r>
          </w:p>
        </w:tc>
        <w:tc>
          <w:tcPr>
            <w:tcW w:w="986" w:type="dxa"/>
            <w:shd w:val="clear" w:color="auto" w:fill="auto"/>
            <w:noWrap/>
            <w:vAlign w:val="bottom"/>
          </w:tcPr>
          <w:p w14:paraId="01A88926"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3.8%</w:t>
            </w:r>
          </w:p>
        </w:tc>
      </w:tr>
      <w:tr w:rsidR="00F65025" w:rsidRPr="00F65025" w14:paraId="1DA4739C" w14:textId="77777777" w:rsidTr="00DF2762">
        <w:trPr>
          <w:trHeight w:val="20"/>
        </w:trPr>
        <w:tc>
          <w:tcPr>
            <w:tcW w:w="2455" w:type="dxa"/>
            <w:shd w:val="clear" w:color="auto" w:fill="auto"/>
            <w:vAlign w:val="center"/>
          </w:tcPr>
          <w:p w14:paraId="1E8D45B2" w14:textId="77777777" w:rsidR="00F65025" w:rsidRPr="00F65025" w:rsidRDefault="00F65025" w:rsidP="00F65025">
            <w:pPr>
              <w:spacing w:before="40" w:after="40"/>
              <w:contextualSpacing/>
              <w:rPr>
                <w:rFonts w:ascii="Times New Roman" w:hAnsi="Times New Roman" w:cs="Times New Roman"/>
                <w:bCs/>
                <w:sz w:val="20"/>
                <w:szCs w:val="20"/>
              </w:rPr>
            </w:pPr>
            <w:r w:rsidRPr="00F65025">
              <w:rPr>
                <w:rFonts w:ascii="Times New Roman" w:hAnsi="Times New Roman" w:cs="Times New Roman"/>
                <w:bCs/>
                <w:sz w:val="20"/>
                <w:szCs w:val="20"/>
              </w:rPr>
              <w:t>January-December 2015 / January-December 2014</w:t>
            </w:r>
          </w:p>
        </w:tc>
        <w:tc>
          <w:tcPr>
            <w:tcW w:w="826" w:type="dxa"/>
            <w:shd w:val="clear" w:color="auto" w:fill="auto"/>
            <w:noWrap/>
            <w:vAlign w:val="bottom"/>
          </w:tcPr>
          <w:p w14:paraId="2CB78B71"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0.4%</w:t>
            </w:r>
          </w:p>
        </w:tc>
        <w:tc>
          <w:tcPr>
            <w:tcW w:w="985" w:type="dxa"/>
            <w:shd w:val="clear" w:color="auto" w:fill="auto"/>
            <w:noWrap/>
            <w:vAlign w:val="bottom"/>
          </w:tcPr>
          <w:p w14:paraId="186D365C"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2.0%</w:t>
            </w:r>
          </w:p>
        </w:tc>
        <w:tc>
          <w:tcPr>
            <w:tcW w:w="985" w:type="dxa"/>
            <w:shd w:val="clear" w:color="auto" w:fill="auto"/>
            <w:noWrap/>
            <w:vAlign w:val="bottom"/>
          </w:tcPr>
          <w:p w14:paraId="30CB25C3"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-2.3%</w:t>
            </w:r>
          </w:p>
        </w:tc>
        <w:tc>
          <w:tcPr>
            <w:tcW w:w="986" w:type="dxa"/>
            <w:shd w:val="clear" w:color="auto" w:fill="auto"/>
            <w:noWrap/>
            <w:vAlign w:val="bottom"/>
          </w:tcPr>
          <w:p w14:paraId="7C748879"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4.4%</w:t>
            </w:r>
          </w:p>
        </w:tc>
      </w:tr>
      <w:tr w:rsidR="00F65025" w:rsidRPr="00F65025" w14:paraId="0DD96DA6" w14:textId="77777777" w:rsidTr="00DF2762">
        <w:trPr>
          <w:trHeight w:val="20"/>
        </w:trPr>
        <w:tc>
          <w:tcPr>
            <w:tcW w:w="2455" w:type="dxa"/>
            <w:shd w:val="clear" w:color="auto" w:fill="auto"/>
            <w:vAlign w:val="center"/>
          </w:tcPr>
          <w:p w14:paraId="48F3DFA5" w14:textId="77777777" w:rsidR="00F65025" w:rsidRPr="00F65025" w:rsidRDefault="00F65025" w:rsidP="00F65025">
            <w:pPr>
              <w:spacing w:before="40" w:after="40"/>
              <w:contextualSpacing/>
              <w:rPr>
                <w:rFonts w:ascii="Times New Roman" w:hAnsi="Times New Roman" w:cs="Times New Roman"/>
                <w:bCs/>
                <w:sz w:val="20"/>
                <w:szCs w:val="20"/>
              </w:rPr>
            </w:pPr>
            <w:r w:rsidRPr="00F65025">
              <w:rPr>
                <w:rFonts w:ascii="Times New Roman" w:hAnsi="Times New Roman" w:cs="Times New Roman"/>
                <w:bCs/>
                <w:sz w:val="20"/>
                <w:szCs w:val="20"/>
              </w:rPr>
              <w:t>January-December 2016 / January-December 2015</w:t>
            </w:r>
          </w:p>
        </w:tc>
        <w:tc>
          <w:tcPr>
            <w:tcW w:w="826" w:type="dxa"/>
            <w:shd w:val="clear" w:color="auto" w:fill="auto"/>
            <w:noWrap/>
            <w:vAlign w:val="bottom"/>
          </w:tcPr>
          <w:p w14:paraId="4ED78AB7"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1.4%</w:t>
            </w:r>
          </w:p>
        </w:tc>
        <w:tc>
          <w:tcPr>
            <w:tcW w:w="985" w:type="dxa"/>
            <w:shd w:val="clear" w:color="auto" w:fill="auto"/>
            <w:noWrap/>
            <w:vAlign w:val="bottom"/>
          </w:tcPr>
          <w:p w14:paraId="3DF17D26"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3.2%</w:t>
            </w:r>
          </w:p>
        </w:tc>
        <w:tc>
          <w:tcPr>
            <w:tcW w:w="985" w:type="dxa"/>
            <w:shd w:val="clear" w:color="auto" w:fill="auto"/>
            <w:noWrap/>
            <w:vAlign w:val="bottom"/>
          </w:tcPr>
          <w:p w14:paraId="745AFF81"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-1.4%</w:t>
            </w:r>
          </w:p>
        </w:tc>
        <w:tc>
          <w:tcPr>
            <w:tcW w:w="986" w:type="dxa"/>
            <w:shd w:val="clear" w:color="auto" w:fill="auto"/>
            <w:noWrap/>
            <w:vAlign w:val="bottom"/>
          </w:tcPr>
          <w:p w14:paraId="6208FCDC"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6.0%</w:t>
            </w:r>
          </w:p>
        </w:tc>
      </w:tr>
      <w:tr w:rsidR="00F65025" w:rsidRPr="00F65025" w14:paraId="29B9C109" w14:textId="77777777" w:rsidTr="00DF2762">
        <w:trPr>
          <w:trHeight w:val="20"/>
        </w:trPr>
        <w:tc>
          <w:tcPr>
            <w:tcW w:w="2455" w:type="dxa"/>
            <w:shd w:val="clear" w:color="auto" w:fill="auto"/>
            <w:vAlign w:val="center"/>
          </w:tcPr>
          <w:p w14:paraId="69503818" w14:textId="77777777" w:rsidR="00F65025" w:rsidRPr="00F65025" w:rsidRDefault="00F65025" w:rsidP="00F65025">
            <w:pPr>
              <w:spacing w:before="40" w:after="40"/>
              <w:contextualSpacing/>
              <w:rPr>
                <w:rFonts w:ascii="Times New Roman" w:hAnsi="Times New Roman" w:cs="Times New Roman"/>
                <w:bCs/>
                <w:sz w:val="20"/>
                <w:szCs w:val="20"/>
              </w:rPr>
            </w:pPr>
            <w:r w:rsidRPr="00F65025">
              <w:rPr>
                <w:rFonts w:ascii="Times New Roman" w:hAnsi="Times New Roman" w:cs="Times New Roman"/>
                <w:bCs/>
                <w:sz w:val="20"/>
                <w:szCs w:val="20"/>
              </w:rPr>
              <w:t>January-December 2017 / January-December 2016</w:t>
            </w:r>
          </w:p>
        </w:tc>
        <w:tc>
          <w:tcPr>
            <w:tcW w:w="826" w:type="dxa"/>
            <w:shd w:val="clear" w:color="auto" w:fill="auto"/>
            <w:noWrap/>
            <w:vAlign w:val="bottom"/>
          </w:tcPr>
          <w:p w14:paraId="4584D2CD"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2.1%</w:t>
            </w:r>
          </w:p>
        </w:tc>
        <w:tc>
          <w:tcPr>
            <w:tcW w:w="985" w:type="dxa"/>
            <w:shd w:val="clear" w:color="auto" w:fill="auto"/>
            <w:noWrap/>
            <w:vAlign w:val="bottom"/>
          </w:tcPr>
          <w:p w14:paraId="1397D366"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4.1%</w:t>
            </w:r>
          </w:p>
        </w:tc>
        <w:tc>
          <w:tcPr>
            <w:tcW w:w="985" w:type="dxa"/>
            <w:shd w:val="clear" w:color="auto" w:fill="auto"/>
            <w:noWrap/>
            <w:vAlign w:val="bottom"/>
          </w:tcPr>
          <w:p w14:paraId="4295AA20"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-1.0%</w:t>
            </w:r>
          </w:p>
        </w:tc>
        <w:tc>
          <w:tcPr>
            <w:tcW w:w="986" w:type="dxa"/>
            <w:shd w:val="clear" w:color="auto" w:fill="auto"/>
            <w:noWrap/>
            <w:vAlign w:val="bottom"/>
          </w:tcPr>
          <w:p w14:paraId="02AC5EB4" w14:textId="77777777" w:rsidR="00F65025" w:rsidRPr="00F65025" w:rsidRDefault="00F65025" w:rsidP="00F65025">
            <w:pPr>
              <w:spacing w:before="40" w:after="40"/>
              <w:contextualSpacing/>
              <w:jc w:val="center"/>
              <w:rPr>
                <w:rFonts w:ascii="Times New Roman" w:hAnsi="Times New Roman" w:cs="Times New Roman"/>
                <w:sz w:val="20"/>
                <w:szCs w:val="20"/>
              </w:rPr>
            </w:pPr>
            <w:r w:rsidRPr="00F65025">
              <w:rPr>
                <w:rFonts w:ascii="Times New Roman" w:hAnsi="Times New Roman" w:cs="Times New Roman"/>
                <w:sz w:val="20"/>
                <w:szCs w:val="20"/>
              </w:rPr>
              <w:t>7.2%</w:t>
            </w:r>
          </w:p>
        </w:tc>
      </w:tr>
    </w:tbl>
    <w:p w14:paraId="562F3F1A" w14:textId="77777777" w:rsidR="00A9653E" w:rsidRPr="00EC356F" w:rsidRDefault="00A9653E" w:rsidP="00A9653E">
      <w:pPr>
        <w:tabs>
          <w:tab w:val="left" w:pos="600"/>
        </w:tabs>
        <w:ind w:firstLine="284"/>
        <w:jc w:val="both"/>
        <w:rPr>
          <w:rFonts w:ascii="Times New Roman" w:hAnsi="Times New Roman" w:cs="Times New Roman"/>
          <w:b/>
          <w:i/>
          <w:iCs/>
          <w:color w:val="FF0000"/>
          <w:sz w:val="21"/>
          <w:szCs w:val="21"/>
        </w:rPr>
      </w:pPr>
    </w:p>
    <w:p w14:paraId="6D94A834" w14:textId="77777777" w:rsidR="00977AB3" w:rsidRPr="00977AB3"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Labor market:</w:t>
      </w:r>
      <w:r w:rsidR="000C5BB7">
        <w:rPr>
          <w:rStyle w:val="FootnoteReference"/>
          <w:rFonts w:ascii="Times New Roman" w:hAnsi="Times New Roman" w:cs="Times New Roman"/>
          <w:sz w:val="21"/>
          <w:szCs w:val="21"/>
        </w:rPr>
        <w:footnoteReference w:customMarkFollows="1" w:id="4"/>
        <w:t>4</w:t>
      </w:r>
      <w:r w:rsidRPr="00EC356F">
        <w:rPr>
          <w:rFonts w:ascii="Times New Roman" w:hAnsi="Times New Roman" w:cs="Times New Roman"/>
          <w:sz w:val="21"/>
          <w:szCs w:val="21"/>
        </w:rPr>
        <w:t xml:space="preserve"> </w:t>
      </w:r>
      <w:r w:rsidRPr="00CA5D69">
        <w:rPr>
          <w:rFonts w:ascii="Times New Roman" w:hAnsi="Times New Roman" w:cs="Times New Roman"/>
          <w:sz w:val="21"/>
          <w:szCs w:val="21"/>
        </w:rPr>
        <w:t>Forecasts of labor market indicators</w:t>
      </w:r>
      <w:r w:rsidRPr="00EC356F">
        <w:rPr>
          <w:rFonts w:ascii="Times New Roman" w:hAnsi="Times New Roman" w:cs="Times New Roman"/>
          <w:sz w:val="21"/>
          <w:szCs w:val="21"/>
        </w:rPr>
        <w:t xml:space="preserve"> for 201</w:t>
      </w:r>
      <w:r w:rsidR="00CA5D69">
        <w:rPr>
          <w:rFonts w:ascii="Times New Roman" w:hAnsi="Times New Roman" w:cs="Times New Roman"/>
          <w:sz w:val="21"/>
          <w:szCs w:val="21"/>
        </w:rPr>
        <w:t>5</w:t>
      </w:r>
      <w:r w:rsidRPr="00EC356F">
        <w:rPr>
          <w:rFonts w:ascii="Times New Roman" w:hAnsi="Times New Roman" w:cs="Times New Roman"/>
          <w:sz w:val="21"/>
          <w:szCs w:val="21"/>
        </w:rPr>
        <w:t>-201</w:t>
      </w:r>
      <w:r w:rsidR="009B4FD6" w:rsidRPr="009B4FD6">
        <w:rPr>
          <w:rFonts w:ascii="Times New Roman" w:hAnsi="Times New Roman" w:cs="Times New Roman"/>
          <w:sz w:val="21"/>
          <w:szCs w:val="21"/>
        </w:rPr>
        <w:t>7</w:t>
      </w:r>
      <w:r w:rsidR="00CA5D69">
        <w:rPr>
          <w:rFonts w:ascii="Times New Roman" w:hAnsi="Times New Roman" w:cs="Times New Roman"/>
          <w:sz w:val="21"/>
          <w:szCs w:val="21"/>
        </w:rPr>
        <w:t xml:space="preserve"> </w:t>
      </w:r>
      <w:r w:rsidR="00260B3F">
        <w:rPr>
          <w:rFonts w:ascii="Times New Roman" w:hAnsi="Times New Roman" w:cs="Times New Roman"/>
          <w:sz w:val="21"/>
          <w:szCs w:val="21"/>
        </w:rPr>
        <w:t>have</w:t>
      </w:r>
      <w:r w:rsidR="00787520" w:rsidRPr="00787520">
        <w:rPr>
          <w:rFonts w:ascii="Times New Roman" w:hAnsi="Times New Roman" w:cs="Times New Roman"/>
          <w:sz w:val="21"/>
          <w:szCs w:val="21"/>
        </w:rPr>
        <w:t xml:space="preserve"> worsened compared to the previous forecasts, </w:t>
      </w:r>
      <w:r w:rsidRPr="00EC356F">
        <w:rPr>
          <w:rFonts w:ascii="Times New Roman" w:hAnsi="Times New Roman" w:cs="Times New Roman"/>
          <w:sz w:val="21"/>
          <w:szCs w:val="21"/>
        </w:rPr>
        <w:t xml:space="preserve">in response to the adjustment </w:t>
      </w:r>
      <w:r w:rsidR="00787520" w:rsidRPr="00787520">
        <w:rPr>
          <w:rFonts w:ascii="Times New Roman" w:hAnsi="Times New Roman" w:cs="Times New Roman"/>
          <w:sz w:val="21"/>
          <w:szCs w:val="21"/>
        </w:rPr>
        <w:t>of the</w:t>
      </w:r>
      <w:r w:rsidRPr="00EC356F">
        <w:rPr>
          <w:rFonts w:ascii="Times New Roman" w:hAnsi="Times New Roman" w:cs="Times New Roman"/>
          <w:sz w:val="21"/>
          <w:szCs w:val="21"/>
        </w:rPr>
        <w:t xml:space="preserve"> economic growth forecasts</w:t>
      </w:r>
      <w:r w:rsidR="00CA5D69">
        <w:rPr>
          <w:rFonts w:ascii="Times New Roman" w:hAnsi="Times New Roman" w:cs="Times New Roman"/>
          <w:sz w:val="21"/>
          <w:szCs w:val="21"/>
        </w:rPr>
        <w:t>.</w:t>
      </w:r>
      <w:r w:rsidRPr="00EC356F">
        <w:rPr>
          <w:rFonts w:ascii="Times New Roman" w:hAnsi="Times New Roman" w:cs="Times New Roman"/>
          <w:sz w:val="21"/>
          <w:szCs w:val="21"/>
        </w:rPr>
        <w:t xml:space="preserve"> Specifically</w:t>
      </w:r>
      <w:r w:rsidR="00CA5D69">
        <w:rPr>
          <w:rFonts w:ascii="Times New Roman" w:hAnsi="Times New Roman" w:cs="Times New Roman"/>
          <w:sz w:val="21"/>
          <w:szCs w:val="21"/>
        </w:rPr>
        <w:t xml:space="preserve">, </w:t>
      </w:r>
      <w:r w:rsidRPr="00EC356F">
        <w:rPr>
          <w:rFonts w:ascii="Times New Roman" w:hAnsi="Times New Roman" w:cs="Times New Roman"/>
          <w:sz w:val="21"/>
          <w:szCs w:val="21"/>
        </w:rPr>
        <w:t xml:space="preserve">in the forecast horizon average wage is expected to have </w:t>
      </w:r>
      <w:r w:rsidR="00FD014E" w:rsidRPr="00FD014E">
        <w:rPr>
          <w:rFonts w:ascii="Times New Roman" w:hAnsi="Times New Roman" w:cs="Times New Roman"/>
          <w:sz w:val="21"/>
          <w:szCs w:val="21"/>
        </w:rPr>
        <w:t xml:space="preserve">much slower growth rate </w:t>
      </w:r>
      <w:r w:rsidRPr="00EC356F">
        <w:rPr>
          <w:rFonts w:ascii="Times New Roman" w:hAnsi="Times New Roman" w:cs="Times New Roman"/>
          <w:sz w:val="21"/>
          <w:szCs w:val="21"/>
        </w:rPr>
        <w:t xml:space="preserve">and </w:t>
      </w:r>
      <w:r w:rsidR="00260B3F">
        <w:rPr>
          <w:rFonts w:ascii="Times New Roman" w:hAnsi="Times New Roman" w:cs="Times New Roman"/>
          <w:sz w:val="21"/>
          <w:szCs w:val="21"/>
        </w:rPr>
        <w:t>the un</w:t>
      </w:r>
      <w:r w:rsidRPr="00EC356F">
        <w:rPr>
          <w:rFonts w:ascii="Times New Roman" w:hAnsi="Times New Roman" w:cs="Times New Roman"/>
          <w:sz w:val="21"/>
          <w:szCs w:val="21"/>
        </w:rPr>
        <w:t>e</w:t>
      </w:r>
      <w:r w:rsidR="00260B3F">
        <w:rPr>
          <w:rFonts w:ascii="Times New Roman" w:hAnsi="Times New Roman" w:cs="Times New Roman"/>
          <w:sz w:val="21"/>
          <w:szCs w:val="21"/>
        </w:rPr>
        <w:t>m</w:t>
      </w:r>
      <w:r w:rsidRPr="00EC356F">
        <w:rPr>
          <w:rFonts w:ascii="Times New Roman" w:hAnsi="Times New Roman" w:cs="Times New Roman"/>
          <w:sz w:val="21"/>
          <w:szCs w:val="21"/>
        </w:rPr>
        <w:t>ployment rate</w:t>
      </w:r>
      <w:r w:rsidR="00260B3F">
        <w:rPr>
          <w:rFonts w:ascii="Times New Roman" w:hAnsi="Times New Roman" w:cs="Times New Roman"/>
          <w:sz w:val="21"/>
          <w:szCs w:val="21"/>
        </w:rPr>
        <w:t xml:space="preserve"> to be somewhat higher</w:t>
      </w:r>
      <w:r w:rsidRPr="00EC356F">
        <w:rPr>
          <w:rFonts w:ascii="Times New Roman" w:hAnsi="Times New Roman" w:cs="Times New Roman"/>
          <w:sz w:val="21"/>
          <w:szCs w:val="21"/>
        </w:rPr>
        <w:t xml:space="preserve">. </w:t>
      </w:r>
      <w:r w:rsidR="00977AB3" w:rsidRPr="00977AB3">
        <w:rPr>
          <w:rFonts w:ascii="Times New Roman" w:hAnsi="Times New Roman" w:cs="Times New Roman"/>
          <w:sz w:val="21"/>
          <w:szCs w:val="21"/>
        </w:rPr>
        <w:t xml:space="preserve">Thus, </w:t>
      </w:r>
      <w:r w:rsidR="00977AB3" w:rsidRPr="00EC356F">
        <w:rPr>
          <w:rFonts w:ascii="Times New Roman" w:hAnsi="Times New Roman" w:cs="Times New Roman"/>
          <w:sz w:val="21"/>
          <w:szCs w:val="21"/>
        </w:rPr>
        <w:t xml:space="preserve">average nominal wage is expected to </w:t>
      </w:r>
      <w:r w:rsidR="00977AB3" w:rsidRPr="00CA5D69">
        <w:rPr>
          <w:rFonts w:ascii="Times New Roman" w:hAnsi="Times New Roman" w:cs="Times New Roman"/>
          <w:b/>
          <w:sz w:val="21"/>
          <w:szCs w:val="21"/>
        </w:rPr>
        <w:t xml:space="preserve">grow </w:t>
      </w:r>
      <w:r w:rsidR="00977AB3" w:rsidRPr="00C0521B">
        <w:rPr>
          <w:rFonts w:ascii="Times New Roman" w:hAnsi="Times New Roman" w:cs="Times New Roman"/>
          <w:b/>
          <w:sz w:val="21"/>
          <w:szCs w:val="21"/>
        </w:rPr>
        <w:t xml:space="preserve">by </w:t>
      </w:r>
      <w:r w:rsidR="00CA5D69">
        <w:rPr>
          <w:rFonts w:ascii="Times New Roman" w:hAnsi="Times New Roman" w:cs="Times New Roman"/>
          <w:b/>
          <w:sz w:val="21"/>
          <w:szCs w:val="21"/>
        </w:rPr>
        <w:t>6</w:t>
      </w:r>
      <w:r w:rsidR="00977AB3" w:rsidRPr="00C0521B">
        <w:rPr>
          <w:rFonts w:ascii="Times New Roman" w:hAnsi="Times New Roman" w:cs="Times New Roman"/>
          <w:b/>
          <w:sz w:val="21"/>
          <w:szCs w:val="21"/>
        </w:rPr>
        <w:t>.2% in 201</w:t>
      </w:r>
      <w:r w:rsidR="00CA5D69">
        <w:rPr>
          <w:rFonts w:ascii="Times New Roman" w:hAnsi="Times New Roman" w:cs="Times New Roman"/>
          <w:b/>
          <w:sz w:val="21"/>
          <w:szCs w:val="21"/>
        </w:rPr>
        <w:t>5</w:t>
      </w:r>
      <w:r w:rsidR="00470C9E">
        <w:rPr>
          <w:rFonts w:ascii="Times New Roman" w:hAnsi="Times New Roman" w:cs="Times New Roman"/>
          <w:b/>
          <w:sz w:val="21"/>
          <w:szCs w:val="21"/>
        </w:rPr>
        <w:t xml:space="preserve"> and by </w:t>
      </w:r>
      <w:r w:rsidR="00977AB3" w:rsidRPr="00C0521B">
        <w:rPr>
          <w:rFonts w:ascii="Times New Roman" w:hAnsi="Times New Roman" w:cs="Times New Roman"/>
          <w:b/>
          <w:sz w:val="21"/>
          <w:szCs w:val="21"/>
        </w:rPr>
        <w:t>a</w:t>
      </w:r>
      <w:r w:rsidR="00470C9E">
        <w:rPr>
          <w:rFonts w:ascii="Times New Roman" w:hAnsi="Times New Roman" w:cs="Times New Roman"/>
          <w:b/>
          <w:sz w:val="21"/>
          <w:szCs w:val="21"/>
        </w:rPr>
        <w:t>bout</w:t>
      </w:r>
      <w:r w:rsidR="00977AB3" w:rsidRPr="00C0521B">
        <w:rPr>
          <w:rFonts w:ascii="Times New Roman" w:hAnsi="Times New Roman" w:cs="Times New Roman"/>
          <w:b/>
          <w:sz w:val="21"/>
          <w:szCs w:val="21"/>
        </w:rPr>
        <w:t xml:space="preserve"> </w:t>
      </w:r>
      <w:r w:rsidR="00470C9E">
        <w:rPr>
          <w:rFonts w:ascii="Times New Roman" w:hAnsi="Times New Roman" w:cs="Times New Roman"/>
          <w:b/>
          <w:sz w:val="21"/>
          <w:szCs w:val="21"/>
        </w:rPr>
        <w:t>5.0</w:t>
      </w:r>
      <w:r w:rsidR="00977AB3" w:rsidRPr="00C0521B">
        <w:rPr>
          <w:rFonts w:ascii="Times New Roman" w:hAnsi="Times New Roman" w:cs="Times New Roman"/>
          <w:b/>
          <w:sz w:val="21"/>
          <w:szCs w:val="21"/>
        </w:rPr>
        <w:t>% in the period 2016-2017</w:t>
      </w:r>
      <w:r w:rsidR="00977AB3" w:rsidRPr="00EC356F">
        <w:rPr>
          <w:rFonts w:ascii="Times New Roman" w:hAnsi="Times New Roman" w:cs="Times New Roman"/>
          <w:sz w:val="21"/>
          <w:szCs w:val="21"/>
        </w:rPr>
        <w:t>.</w:t>
      </w:r>
    </w:p>
    <w:p w14:paraId="7B05B1F9" w14:textId="77777777" w:rsidR="00236EF8" w:rsidRDefault="007A1FFE" w:rsidP="00A9653E">
      <w:pPr>
        <w:spacing w:line="360" w:lineRule="auto"/>
        <w:jc w:val="both"/>
        <w:rPr>
          <w:rFonts w:ascii="Times New Roman" w:hAnsi="Times New Roman" w:cs="Times New Roman"/>
          <w:sz w:val="21"/>
          <w:szCs w:val="21"/>
        </w:rPr>
      </w:pPr>
      <w:r w:rsidRPr="007A1FFE">
        <w:rPr>
          <w:rFonts w:ascii="Times New Roman" w:hAnsi="Times New Roman" w:cs="Times New Roman"/>
          <w:sz w:val="21"/>
          <w:szCs w:val="21"/>
        </w:rPr>
        <w:t xml:space="preserve">The nominal wage increase </w:t>
      </w:r>
      <w:r w:rsidR="005149CE">
        <w:rPr>
          <w:rFonts w:ascii="Times New Roman" w:hAnsi="Times New Roman" w:cs="Times New Roman"/>
          <w:sz w:val="21"/>
          <w:szCs w:val="21"/>
        </w:rPr>
        <w:t>of 8.1% in</w:t>
      </w:r>
      <w:r w:rsidR="00A9653E" w:rsidRPr="007A1FFE">
        <w:rPr>
          <w:rFonts w:ascii="Times New Roman" w:hAnsi="Times New Roman" w:cs="Times New Roman"/>
          <w:sz w:val="21"/>
          <w:szCs w:val="21"/>
        </w:rPr>
        <w:t xml:space="preserve"> 2014</w:t>
      </w:r>
      <w:r w:rsidRPr="007A1FFE">
        <w:rPr>
          <w:rFonts w:ascii="Times New Roman" w:hAnsi="Times New Roman" w:cs="Times New Roman"/>
          <w:sz w:val="21"/>
          <w:szCs w:val="21"/>
        </w:rPr>
        <w:t xml:space="preserve"> is higher than the average wage growth reported in recent years. </w:t>
      </w:r>
      <w:r w:rsidR="00A9653E" w:rsidRPr="00EC356F">
        <w:rPr>
          <w:rFonts w:ascii="Times New Roman" w:hAnsi="Times New Roman" w:cs="Times New Roman"/>
          <w:sz w:val="21"/>
          <w:szCs w:val="21"/>
        </w:rPr>
        <w:t xml:space="preserve">The wage increase during the year </w:t>
      </w:r>
      <w:r w:rsidRPr="007A1FFE">
        <w:rPr>
          <w:rFonts w:ascii="Times New Roman" w:hAnsi="Times New Roman" w:cs="Times New Roman"/>
          <w:sz w:val="21"/>
          <w:szCs w:val="21"/>
        </w:rPr>
        <w:t>was</w:t>
      </w:r>
      <w:r w:rsidR="00A9653E" w:rsidRPr="00EC356F">
        <w:rPr>
          <w:rFonts w:ascii="Times New Roman" w:hAnsi="Times New Roman" w:cs="Times New Roman"/>
          <w:sz w:val="21"/>
          <w:szCs w:val="21"/>
        </w:rPr>
        <w:t xml:space="preserve"> </w:t>
      </w:r>
      <w:r w:rsidR="00414321">
        <w:rPr>
          <w:rFonts w:ascii="Times New Roman" w:hAnsi="Times New Roman" w:cs="Times New Roman"/>
          <w:sz w:val="21"/>
          <w:szCs w:val="21"/>
        </w:rPr>
        <w:t xml:space="preserve">attributable to the </w:t>
      </w:r>
      <w:r w:rsidR="00414321" w:rsidRPr="00EC356F">
        <w:rPr>
          <w:rFonts w:ascii="Times New Roman" w:hAnsi="Times New Roman" w:cs="Times New Roman"/>
          <w:sz w:val="21"/>
          <w:szCs w:val="21"/>
        </w:rPr>
        <w:t xml:space="preserve">minimum wage threshold </w:t>
      </w:r>
      <w:r w:rsidR="00414321">
        <w:rPr>
          <w:rFonts w:ascii="Times New Roman" w:hAnsi="Times New Roman" w:cs="Times New Roman"/>
          <w:sz w:val="21"/>
          <w:szCs w:val="21"/>
        </w:rPr>
        <w:t xml:space="preserve">increased up to </w:t>
      </w:r>
      <w:r w:rsidRPr="007A1FFE">
        <w:rPr>
          <w:rFonts w:ascii="Times New Roman" w:hAnsi="Times New Roman" w:cs="Times New Roman"/>
          <w:sz w:val="21"/>
          <w:szCs w:val="21"/>
        </w:rPr>
        <w:t>AMD 50,000</w:t>
      </w:r>
      <w:r w:rsidR="00A9653E" w:rsidRPr="00EC356F">
        <w:rPr>
          <w:rFonts w:ascii="Times New Roman" w:hAnsi="Times New Roman" w:cs="Times New Roman"/>
          <w:sz w:val="21"/>
          <w:szCs w:val="21"/>
        </w:rPr>
        <w:t xml:space="preserve">, </w:t>
      </w:r>
      <w:r w:rsidR="005149CE">
        <w:rPr>
          <w:rFonts w:ascii="Times New Roman" w:hAnsi="Times New Roman" w:cs="Times New Roman"/>
          <w:sz w:val="21"/>
          <w:szCs w:val="21"/>
        </w:rPr>
        <w:t xml:space="preserve">the increase </w:t>
      </w:r>
      <w:r w:rsidR="00A9653E" w:rsidRPr="00EC356F">
        <w:rPr>
          <w:rFonts w:ascii="Times New Roman" w:hAnsi="Times New Roman" w:cs="Times New Roman"/>
          <w:sz w:val="21"/>
          <w:szCs w:val="21"/>
        </w:rPr>
        <w:t xml:space="preserve">in wages in </w:t>
      </w:r>
      <w:r w:rsidR="005149CE">
        <w:rPr>
          <w:rFonts w:ascii="Times New Roman" w:hAnsi="Times New Roman" w:cs="Times New Roman"/>
          <w:sz w:val="21"/>
          <w:szCs w:val="21"/>
        </w:rPr>
        <w:t xml:space="preserve">some undertakings in the </w:t>
      </w:r>
      <w:r w:rsidR="00A9653E" w:rsidRPr="00EC356F">
        <w:rPr>
          <w:rFonts w:ascii="Times New Roman" w:hAnsi="Times New Roman" w:cs="Times New Roman"/>
          <w:sz w:val="21"/>
          <w:szCs w:val="21"/>
        </w:rPr>
        <w:t xml:space="preserve">private sector in the context of the funded pension reform and wage increases in the public sector </w:t>
      </w:r>
      <w:r w:rsidR="005149CE">
        <w:rPr>
          <w:rFonts w:ascii="Times New Roman" w:hAnsi="Times New Roman" w:cs="Times New Roman"/>
          <w:sz w:val="21"/>
          <w:szCs w:val="21"/>
        </w:rPr>
        <w:t xml:space="preserve">during the second half of </w:t>
      </w:r>
      <w:r w:rsidR="00A9653E" w:rsidRPr="00EC356F">
        <w:rPr>
          <w:rFonts w:ascii="Times New Roman" w:hAnsi="Times New Roman" w:cs="Times New Roman"/>
          <w:sz w:val="21"/>
          <w:szCs w:val="21"/>
        </w:rPr>
        <w:t xml:space="preserve">the year. </w:t>
      </w:r>
    </w:p>
    <w:p w14:paraId="24898AA1" w14:textId="77777777" w:rsidR="00DF1552" w:rsidRDefault="004C3492" w:rsidP="00A9653E">
      <w:pPr>
        <w:spacing w:line="360" w:lineRule="auto"/>
        <w:jc w:val="both"/>
        <w:rPr>
          <w:rFonts w:ascii="Times New Roman" w:hAnsi="Times New Roman" w:cs="Times New Roman"/>
          <w:sz w:val="21"/>
          <w:szCs w:val="21"/>
        </w:rPr>
      </w:pPr>
      <w:r w:rsidRPr="00E7644D">
        <w:rPr>
          <w:rFonts w:ascii="Times New Roman" w:hAnsi="Times New Roman" w:cs="Times New Roman"/>
          <w:sz w:val="21"/>
          <w:szCs w:val="21"/>
        </w:rPr>
        <w:t xml:space="preserve">On the back of wage increases in the public sector </w:t>
      </w:r>
      <w:r w:rsidR="00804625" w:rsidRPr="00E7644D">
        <w:rPr>
          <w:rFonts w:ascii="Times New Roman" w:hAnsi="Times New Roman" w:cs="Times New Roman"/>
          <w:sz w:val="21"/>
          <w:szCs w:val="21"/>
        </w:rPr>
        <w:t>in the second half of 2014</w:t>
      </w:r>
      <w:r w:rsidR="009B417A" w:rsidRPr="00E7644D">
        <w:rPr>
          <w:rFonts w:ascii="Times New Roman" w:hAnsi="Times New Roman" w:cs="Times New Roman"/>
          <w:sz w:val="21"/>
          <w:szCs w:val="21"/>
        </w:rPr>
        <w:t>, average wage growth</w:t>
      </w:r>
      <w:r w:rsidR="009B417A">
        <w:rPr>
          <w:rFonts w:ascii="Times New Roman" w:hAnsi="Times New Roman" w:cs="Times New Roman"/>
          <w:sz w:val="21"/>
          <w:szCs w:val="21"/>
        </w:rPr>
        <w:t xml:space="preserve"> rates are expected to remain strong over the first half of 2015. </w:t>
      </w:r>
      <w:r w:rsidR="00DF1552">
        <w:rPr>
          <w:rFonts w:ascii="Times New Roman" w:hAnsi="Times New Roman" w:cs="Times New Roman"/>
          <w:sz w:val="21"/>
          <w:szCs w:val="21"/>
        </w:rPr>
        <w:t>Starting from the mid-2015, t</w:t>
      </w:r>
      <w:r w:rsidR="00804625" w:rsidRPr="00EC356F">
        <w:rPr>
          <w:rFonts w:ascii="Times New Roman" w:hAnsi="Times New Roman" w:cs="Times New Roman"/>
          <w:sz w:val="21"/>
          <w:szCs w:val="21"/>
        </w:rPr>
        <w:t>he minimum wage threshold</w:t>
      </w:r>
      <w:r w:rsidR="00804625" w:rsidRPr="007A1FFE">
        <w:rPr>
          <w:rFonts w:ascii="Times New Roman" w:hAnsi="Times New Roman" w:cs="Times New Roman"/>
          <w:sz w:val="21"/>
          <w:szCs w:val="21"/>
        </w:rPr>
        <w:t xml:space="preserve"> </w:t>
      </w:r>
      <w:r w:rsidR="00DF1552">
        <w:rPr>
          <w:rFonts w:ascii="Times New Roman" w:hAnsi="Times New Roman" w:cs="Times New Roman"/>
          <w:sz w:val="21"/>
          <w:szCs w:val="21"/>
        </w:rPr>
        <w:t xml:space="preserve">will rise to </w:t>
      </w:r>
      <w:r w:rsidR="00804625" w:rsidRPr="007A1FFE">
        <w:rPr>
          <w:rFonts w:ascii="Times New Roman" w:hAnsi="Times New Roman" w:cs="Times New Roman"/>
          <w:sz w:val="21"/>
          <w:szCs w:val="21"/>
        </w:rPr>
        <w:t>AMD 5</w:t>
      </w:r>
      <w:r w:rsidR="00DF1552">
        <w:rPr>
          <w:rFonts w:ascii="Times New Roman" w:hAnsi="Times New Roman" w:cs="Times New Roman"/>
          <w:sz w:val="21"/>
          <w:szCs w:val="21"/>
        </w:rPr>
        <w:t>5</w:t>
      </w:r>
      <w:r w:rsidR="00804625" w:rsidRPr="007A1FFE">
        <w:rPr>
          <w:rFonts w:ascii="Times New Roman" w:hAnsi="Times New Roman" w:cs="Times New Roman"/>
          <w:sz w:val="21"/>
          <w:szCs w:val="21"/>
        </w:rPr>
        <w:t>,000</w:t>
      </w:r>
      <w:r w:rsidR="00DF1552">
        <w:rPr>
          <w:rFonts w:ascii="Times New Roman" w:hAnsi="Times New Roman" w:cs="Times New Roman"/>
          <w:sz w:val="21"/>
          <w:szCs w:val="21"/>
        </w:rPr>
        <w:t xml:space="preserve">. </w:t>
      </w:r>
    </w:p>
    <w:p w14:paraId="4B980EFD" w14:textId="77777777" w:rsidR="00860132" w:rsidRDefault="00F3338C"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With </w:t>
      </w:r>
      <w:r w:rsidR="00DF1552">
        <w:rPr>
          <w:rFonts w:ascii="Times New Roman" w:hAnsi="Times New Roman" w:cs="Times New Roman"/>
          <w:sz w:val="21"/>
          <w:szCs w:val="21"/>
        </w:rPr>
        <w:t>the</w:t>
      </w:r>
      <w:r>
        <w:rPr>
          <w:rFonts w:ascii="Times New Roman" w:hAnsi="Times New Roman" w:cs="Times New Roman"/>
          <w:sz w:val="21"/>
          <w:szCs w:val="21"/>
        </w:rPr>
        <w:t xml:space="preserve"> economic growth expected to </w:t>
      </w:r>
      <w:r w:rsidR="00DF1552">
        <w:rPr>
          <w:rFonts w:ascii="Times New Roman" w:hAnsi="Times New Roman" w:cs="Times New Roman"/>
          <w:sz w:val="21"/>
          <w:szCs w:val="21"/>
        </w:rPr>
        <w:t>grow at a slow pace</w:t>
      </w:r>
      <w:r>
        <w:rPr>
          <w:rFonts w:ascii="Times New Roman" w:hAnsi="Times New Roman" w:cs="Times New Roman"/>
          <w:sz w:val="21"/>
          <w:szCs w:val="21"/>
        </w:rPr>
        <w:t xml:space="preserve">, </w:t>
      </w:r>
      <w:r w:rsidR="00DF1552">
        <w:rPr>
          <w:rFonts w:ascii="Times New Roman" w:hAnsi="Times New Roman" w:cs="Times New Roman"/>
          <w:sz w:val="21"/>
          <w:szCs w:val="21"/>
        </w:rPr>
        <w:t xml:space="preserve">the </w:t>
      </w:r>
      <w:r w:rsidR="00414321">
        <w:rPr>
          <w:rFonts w:ascii="Times New Roman" w:hAnsi="Times New Roman" w:cs="Times New Roman"/>
          <w:sz w:val="21"/>
          <w:szCs w:val="21"/>
        </w:rPr>
        <w:t xml:space="preserve">stabilizing </w:t>
      </w:r>
      <w:r>
        <w:rPr>
          <w:rFonts w:ascii="Times New Roman" w:hAnsi="Times New Roman" w:cs="Times New Roman"/>
          <w:sz w:val="21"/>
          <w:szCs w:val="21"/>
        </w:rPr>
        <w:t xml:space="preserve">inflation rate and the </w:t>
      </w:r>
      <w:r w:rsidR="00DF1552">
        <w:rPr>
          <w:rFonts w:ascii="Times New Roman" w:hAnsi="Times New Roman" w:cs="Times New Roman"/>
          <w:sz w:val="21"/>
          <w:szCs w:val="21"/>
        </w:rPr>
        <w:t>Republic of Armenia G</w:t>
      </w:r>
      <w:r>
        <w:rPr>
          <w:rFonts w:ascii="Times New Roman" w:hAnsi="Times New Roman" w:cs="Times New Roman"/>
          <w:sz w:val="21"/>
          <w:szCs w:val="21"/>
        </w:rPr>
        <w:t xml:space="preserve">overnment policy further steered to </w:t>
      </w:r>
      <w:r w:rsidR="00DF1552">
        <w:rPr>
          <w:rFonts w:ascii="Times New Roman" w:hAnsi="Times New Roman" w:cs="Times New Roman"/>
          <w:sz w:val="21"/>
          <w:szCs w:val="21"/>
        </w:rPr>
        <w:t xml:space="preserve">minimum </w:t>
      </w:r>
      <w:r>
        <w:rPr>
          <w:rFonts w:ascii="Times New Roman" w:hAnsi="Times New Roman" w:cs="Times New Roman"/>
          <w:sz w:val="21"/>
          <w:szCs w:val="21"/>
        </w:rPr>
        <w:t xml:space="preserve">wage increases, </w:t>
      </w:r>
      <w:r w:rsidR="00414321">
        <w:rPr>
          <w:rFonts w:ascii="Times New Roman" w:hAnsi="Times New Roman" w:cs="Times New Roman"/>
          <w:sz w:val="21"/>
          <w:szCs w:val="21"/>
        </w:rPr>
        <w:t xml:space="preserve">the </w:t>
      </w:r>
      <w:r>
        <w:rPr>
          <w:rFonts w:ascii="Times New Roman" w:hAnsi="Times New Roman" w:cs="Times New Roman"/>
          <w:sz w:val="21"/>
          <w:szCs w:val="21"/>
        </w:rPr>
        <w:t xml:space="preserve">average nominal wage is predicted to grow by about </w:t>
      </w:r>
      <w:r w:rsidR="00DF1552">
        <w:rPr>
          <w:rFonts w:ascii="Times New Roman" w:hAnsi="Times New Roman" w:cs="Times New Roman"/>
          <w:sz w:val="21"/>
          <w:szCs w:val="21"/>
        </w:rPr>
        <w:t>5</w:t>
      </w:r>
      <w:r w:rsidR="00004B40">
        <w:rPr>
          <w:rFonts w:ascii="Times New Roman" w:hAnsi="Times New Roman" w:cs="Times New Roman"/>
          <w:sz w:val="21"/>
          <w:szCs w:val="21"/>
        </w:rPr>
        <w:t xml:space="preserve">% </w:t>
      </w:r>
      <w:r w:rsidR="00DF1552">
        <w:rPr>
          <w:rFonts w:ascii="Times New Roman" w:hAnsi="Times New Roman" w:cs="Times New Roman"/>
          <w:sz w:val="21"/>
          <w:szCs w:val="21"/>
        </w:rPr>
        <w:t xml:space="preserve">annually </w:t>
      </w:r>
      <w:r w:rsidR="00004B40">
        <w:rPr>
          <w:rFonts w:ascii="Times New Roman" w:hAnsi="Times New Roman" w:cs="Times New Roman"/>
          <w:sz w:val="21"/>
          <w:szCs w:val="21"/>
        </w:rPr>
        <w:t>in</w:t>
      </w:r>
      <w:r w:rsidR="00DF1552">
        <w:rPr>
          <w:rFonts w:ascii="Times New Roman" w:hAnsi="Times New Roman" w:cs="Times New Roman"/>
          <w:sz w:val="21"/>
          <w:szCs w:val="21"/>
        </w:rPr>
        <w:t xml:space="preserve"> the period </w:t>
      </w:r>
      <w:r w:rsidR="00004B40">
        <w:rPr>
          <w:rFonts w:ascii="Times New Roman" w:hAnsi="Times New Roman" w:cs="Times New Roman"/>
          <w:sz w:val="21"/>
          <w:szCs w:val="21"/>
        </w:rPr>
        <w:t xml:space="preserve">2016-2017. </w:t>
      </w:r>
    </w:p>
    <w:p w14:paraId="2383EB36" w14:textId="77777777" w:rsidR="00C9194B" w:rsidRDefault="00860132"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Relatively high growth of wages expected for the </w:t>
      </w:r>
      <w:r w:rsidR="002C6493">
        <w:rPr>
          <w:rFonts w:ascii="Times New Roman" w:hAnsi="Times New Roman" w:cs="Times New Roman"/>
          <w:sz w:val="21"/>
          <w:szCs w:val="21"/>
        </w:rPr>
        <w:t xml:space="preserve">first half of 2015 </w:t>
      </w:r>
      <w:r>
        <w:rPr>
          <w:rFonts w:ascii="Times New Roman" w:hAnsi="Times New Roman" w:cs="Times New Roman"/>
          <w:sz w:val="21"/>
          <w:szCs w:val="21"/>
        </w:rPr>
        <w:t>outstrips the productivity growth projected for the aforementioned period</w:t>
      </w:r>
      <w:r w:rsidR="002C6493">
        <w:rPr>
          <w:rFonts w:ascii="Times New Roman" w:hAnsi="Times New Roman" w:cs="Times New Roman"/>
          <w:sz w:val="21"/>
          <w:szCs w:val="21"/>
        </w:rPr>
        <w:t>, which is determined by existing rigidities in the labor market</w:t>
      </w:r>
      <w:r>
        <w:rPr>
          <w:rFonts w:ascii="Times New Roman" w:hAnsi="Times New Roman" w:cs="Times New Roman"/>
          <w:sz w:val="21"/>
          <w:szCs w:val="21"/>
        </w:rPr>
        <w:t xml:space="preserve">. </w:t>
      </w:r>
      <w:r w:rsidR="002C6493">
        <w:rPr>
          <w:rFonts w:ascii="Times New Roman" w:hAnsi="Times New Roman" w:cs="Times New Roman"/>
          <w:sz w:val="21"/>
          <w:szCs w:val="21"/>
        </w:rPr>
        <w:lastRenderedPageBreak/>
        <w:t>In the meantime, t</w:t>
      </w:r>
      <w:r w:rsidR="00BF3507">
        <w:rPr>
          <w:rFonts w:ascii="Times New Roman" w:hAnsi="Times New Roman" w:cs="Times New Roman"/>
          <w:sz w:val="21"/>
          <w:szCs w:val="21"/>
        </w:rPr>
        <w:t xml:space="preserve">hese developments are expected </w:t>
      </w:r>
      <w:r w:rsidR="00085EC8">
        <w:rPr>
          <w:rFonts w:ascii="Times New Roman" w:hAnsi="Times New Roman" w:cs="Times New Roman"/>
          <w:sz w:val="21"/>
          <w:szCs w:val="21"/>
        </w:rPr>
        <w:t xml:space="preserve">to </w:t>
      </w:r>
      <w:r w:rsidR="00BF3507">
        <w:rPr>
          <w:rFonts w:ascii="Times New Roman" w:hAnsi="Times New Roman" w:cs="Times New Roman"/>
          <w:sz w:val="21"/>
          <w:szCs w:val="21"/>
        </w:rPr>
        <w:t xml:space="preserve">push unit labor costs </w:t>
      </w:r>
      <w:r w:rsidR="00C9194B">
        <w:rPr>
          <w:rFonts w:ascii="Times New Roman" w:hAnsi="Times New Roman" w:cs="Times New Roman"/>
          <w:sz w:val="21"/>
          <w:szCs w:val="21"/>
        </w:rPr>
        <w:t xml:space="preserve">slightly </w:t>
      </w:r>
      <w:r w:rsidR="00BF3507">
        <w:rPr>
          <w:rFonts w:ascii="Times New Roman" w:hAnsi="Times New Roman" w:cs="Times New Roman"/>
          <w:sz w:val="21"/>
          <w:szCs w:val="21"/>
        </w:rPr>
        <w:t>up</w:t>
      </w:r>
      <w:r w:rsidR="002C6493">
        <w:rPr>
          <w:rFonts w:ascii="Times New Roman" w:hAnsi="Times New Roman" w:cs="Times New Roman"/>
          <w:sz w:val="21"/>
          <w:szCs w:val="21"/>
        </w:rPr>
        <w:t xml:space="preserve">, </w:t>
      </w:r>
      <w:r w:rsidR="001D45A9">
        <w:rPr>
          <w:rFonts w:ascii="Times New Roman" w:hAnsi="Times New Roman" w:cs="Times New Roman"/>
          <w:sz w:val="21"/>
          <w:szCs w:val="21"/>
        </w:rPr>
        <w:t xml:space="preserve">and the consumer market will </w:t>
      </w:r>
      <w:r w:rsidR="00C9194B">
        <w:rPr>
          <w:rFonts w:ascii="Times New Roman" w:hAnsi="Times New Roman" w:cs="Times New Roman"/>
          <w:sz w:val="21"/>
          <w:szCs w:val="21"/>
        </w:rPr>
        <w:t>incur weak inflationary pressures, 0.</w:t>
      </w:r>
      <w:r w:rsidR="00FA54A4">
        <w:rPr>
          <w:rFonts w:ascii="Times New Roman" w:hAnsi="Times New Roman" w:cs="Times New Roman"/>
          <w:sz w:val="21"/>
          <w:szCs w:val="21"/>
        </w:rPr>
        <w:t>15</w:t>
      </w:r>
      <w:r w:rsidR="00414321">
        <w:rPr>
          <w:rFonts w:ascii="Times New Roman" w:hAnsi="Times New Roman" w:cs="Times New Roman"/>
          <w:sz w:val="21"/>
          <w:szCs w:val="21"/>
        </w:rPr>
        <w:t xml:space="preserve"> pp </w:t>
      </w:r>
      <w:r w:rsidR="00FA54A4">
        <w:rPr>
          <w:rFonts w:ascii="Times New Roman" w:hAnsi="Times New Roman" w:cs="Times New Roman"/>
          <w:sz w:val="21"/>
          <w:szCs w:val="21"/>
        </w:rPr>
        <w:t>-</w:t>
      </w:r>
      <w:r w:rsidR="00414321">
        <w:rPr>
          <w:rFonts w:ascii="Times New Roman" w:hAnsi="Times New Roman" w:cs="Times New Roman"/>
          <w:sz w:val="21"/>
          <w:szCs w:val="21"/>
        </w:rPr>
        <w:t xml:space="preserve"> </w:t>
      </w:r>
      <w:r w:rsidR="00FA54A4">
        <w:rPr>
          <w:rFonts w:ascii="Times New Roman" w:hAnsi="Times New Roman" w:cs="Times New Roman"/>
          <w:sz w:val="21"/>
          <w:szCs w:val="21"/>
        </w:rPr>
        <w:t xml:space="preserve">0.25 </w:t>
      </w:r>
      <w:r w:rsidR="00C9194B">
        <w:rPr>
          <w:rFonts w:ascii="Times New Roman" w:hAnsi="Times New Roman" w:cs="Times New Roman"/>
          <w:sz w:val="21"/>
          <w:szCs w:val="21"/>
        </w:rPr>
        <w:t xml:space="preserve">pp, from the supply side, which will phase out in the forecast horizon. </w:t>
      </w:r>
      <w:r w:rsidR="00F52CE9" w:rsidRPr="00F52CE9">
        <w:rPr>
          <w:rFonts w:ascii="Times New Roman" w:hAnsi="Times New Roman" w:cs="Times New Roman"/>
          <w:b/>
          <w:sz w:val="21"/>
          <w:szCs w:val="21"/>
        </w:rPr>
        <w:t>Thus, one may conclude that, in the forecast horizon, the inflationary pressures from the labor market are not significant</w:t>
      </w:r>
      <w:r w:rsidR="00F52CE9" w:rsidRPr="00F52CE9">
        <w:rPr>
          <w:rFonts w:ascii="Times New Roman" w:hAnsi="Times New Roman" w:cs="Times New Roman"/>
          <w:sz w:val="21"/>
          <w:szCs w:val="21"/>
        </w:rPr>
        <w:t>.</w:t>
      </w:r>
    </w:p>
    <w:p w14:paraId="16E32E4B"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In anticipation of slow</w:t>
      </w:r>
      <w:r w:rsidR="00B95B52">
        <w:rPr>
          <w:rFonts w:ascii="Times New Roman" w:hAnsi="Times New Roman" w:cs="Times New Roman"/>
          <w:sz w:val="21"/>
          <w:szCs w:val="21"/>
        </w:rPr>
        <w:t>er</w:t>
      </w:r>
      <w:r w:rsidRPr="00EC356F">
        <w:rPr>
          <w:rFonts w:ascii="Times New Roman" w:hAnsi="Times New Roman" w:cs="Times New Roman"/>
          <w:sz w:val="21"/>
          <w:szCs w:val="21"/>
        </w:rPr>
        <w:t xml:space="preserve"> economic growth in 201</w:t>
      </w:r>
      <w:r w:rsidR="00B95B52">
        <w:rPr>
          <w:rFonts w:ascii="Times New Roman" w:hAnsi="Times New Roman" w:cs="Times New Roman"/>
          <w:sz w:val="21"/>
          <w:szCs w:val="21"/>
        </w:rPr>
        <w:t>5</w:t>
      </w:r>
      <w:r w:rsidRPr="00EC356F">
        <w:rPr>
          <w:rFonts w:ascii="Times New Roman" w:hAnsi="Times New Roman" w:cs="Times New Roman"/>
          <w:sz w:val="21"/>
          <w:szCs w:val="21"/>
        </w:rPr>
        <w:t xml:space="preserve">, </w:t>
      </w:r>
      <w:r w:rsidR="00B95B52">
        <w:rPr>
          <w:rFonts w:ascii="Times New Roman" w:hAnsi="Times New Roman" w:cs="Times New Roman"/>
          <w:sz w:val="21"/>
          <w:szCs w:val="21"/>
        </w:rPr>
        <w:t xml:space="preserve">the </w:t>
      </w:r>
      <w:r w:rsidRPr="00EC356F">
        <w:rPr>
          <w:rFonts w:ascii="Times New Roman" w:hAnsi="Times New Roman" w:cs="Times New Roman"/>
          <w:sz w:val="21"/>
          <w:szCs w:val="21"/>
        </w:rPr>
        <w:t>average unemployment rate will amount to 1</w:t>
      </w:r>
      <w:r w:rsidR="00B95B52">
        <w:rPr>
          <w:rFonts w:ascii="Times New Roman" w:hAnsi="Times New Roman" w:cs="Times New Roman"/>
          <w:sz w:val="21"/>
          <w:szCs w:val="21"/>
        </w:rPr>
        <w:t>8</w:t>
      </w:r>
      <w:r w:rsidRPr="00EC356F">
        <w:rPr>
          <w:rFonts w:ascii="Times New Roman" w:hAnsi="Times New Roman" w:cs="Times New Roman"/>
          <w:sz w:val="21"/>
          <w:szCs w:val="21"/>
        </w:rPr>
        <w:t>.</w:t>
      </w:r>
      <w:r w:rsidR="00B95B52">
        <w:rPr>
          <w:rFonts w:ascii="Times New Roman" w:hAnsi="Times New Roman" w:cs="Times New Roman"/>
          <w:sz w:val="21"/>
          <w:szCs w:val="21"/>
        </w:rPr>
        <w:t>5</w:t>
      </w:r>
      <w:r w:rsidRPr="00EC356F">
        <w:rPr>
          <w:rFonts w:ascii="Times New Roman" w:hAnsi="Times New Roman" w:cs="Times New Roman"/>
          <w:sz w:val="21"/>
          <w:szCs w:val="21"/>
        </w:rPr>
        <w:t xml:space="preserve">%. In the </w:t>
      </w:r>
      <w:r w:rsidR="00B95B52">
        <w:rPr>
          <w:rFonts w:ascii="Times New Roman" w:hAnsi="Times New Roman" w:cs="Times New Roman"/>
          <w:sz w:val="21"/>
          <w:szCs w:val="21"/>
        </w:rPr>
        <w:t xml:space="preserve">forecast horizon, </w:t>
      </w:r>
      <w:r w:rsidR="00B95B52" w:rsidRPr="00B95B52">
        <w:rPr>
          <w:rFonts w:ascii="Times New Roman" w:hAnsi="Times New Roman" w:cs="Times New Roman"/>
          <w:sz w:val="21"/>
          <w:szCs w:val="21"/>
        </w:rPr>
        <w:t xml:space="preserve">the unemployment rate will be </w:t>
      </w:r>
      <w:r w:rsidR="00B95B52">
        <w:rPr>
          <w:rFonts w:ascii="Times New Roman" w:hAnsi="Times New Roman" w:cs="Times New Roman"/>
          <w:sz w:val="21"/>
          <w:szCs w:val="21"/>
        </w:rPr>
        <w:t>above</w:t>
      </w:r>
      <w:r w:rsidR="00B95B52" w:rsidRPr="00B95B52">
        <w:rPr>
          <w:rFonts w:ascii="Times New Roman" w:hAnsi="Times New Roman" w:cs="Times New Roman"/>
          <w:sz w:val="21"/>
          <w:szCs w:val="21"/>
        </w:rPr>
        <w:t xml:space="preserve"> its equilibrium</w:t>
      </w:r>
      <w:r w:rsidR="00B95B52">
        <w:rPr>
          <w:rFonts w:ascii="Times New Roman" w:hAnsi="Times New Roman" w:cs="Times New Roman"/>
          <w:sz w:val="21"/>
          <w:szCs w:val="21"/>
        </w:rPr>
        <w:t>, reflecting a</w:t>
      </w:r>
      <w:r w:rsidR="00B95B52" w:rsidRPr="00B95B52">
        <w:rPr>
          <w:rFonts w:ascii="Times New Roman" w:hAnsi="Times New Roman" w:cs="Times New Roman"/>
          <w:sz w:val="21"/>
          <w:szCs w:val="21"/>
        </w:rPr>
        <w:t xml:space="preserve"> negative GDP gap</w:t>
      </w:r>
      <w:r w:rsidR="00B95B52">
        <w:rPr>
          <w:rFonts w:ascii="Times New Roman" w:hAnsi="Times New Roman" w:cs="Times New Roman"/>
          <w:sz w:val="21"/>
          <w:szCs w:val="21"/>
        </w:rPr>
        <w:t>,</w:t>
      </w:r>
      <w:r w:rsidR="00B95B52" w:rsidRPr="00B95B52">
        <w:rPr>
          <w:rFonts w:ascii="Times New Roman" w:hAnsi="Times New Roman" w:cs="Times New Roman"/>
          <w:sz w:val="21"/>
          <w:szCs w:val="21"/>
        </w:rPr>
        <w:t xml:space="preserve"> and </w:t>
      </w:r>
      <w:r w:rsidR="00B95B52">
        <w:rPr>
          <w:rFonts w:ascii="Times New Roman" w:hAnsi="Times New Roman" w:cs="Times New Roman"/>
          <w:sz w:val="21"/>
          <w:szCs w:val="21"/>
        </w:rPr>
        <w:t>de</w:t>
      </w:r>
      <w:r w:rsidR="00B95B52" w:rsidRPr="00B95B52">
        <w:rPr>
          <w:rFonts w:ascii="Times New Roman" w:hAnsi="Times New Roman" w:cs="Times New Roman"/>
          <w:sz w:val="21"/>
          <w:szCs w:val="21"/>
        </w:rPr>
        <w:t xml:space="preserve">flationary pressures created by </w:t>
      </w:r>
      <w:r w:rsidR="00B95B52">
        <w:rPr>
          <w:rFonts w:ascii="Times New Roman" w:hAnsi="Times New Roman" w:cs="Times New Roman"/>
          <w:sz w:val="21"/>
          <w:szCs w:val="21"/>
        </w:rPr>
        <w:t xml:space="preserve">it, in </w:t>
      </w:r>
      <w:r w:rsidR="00B95B52" w:rsidRPr="00B95B52">
        <w:rPr>
          <w:rFonts w:ascii="Times New Roman" w:hAnsi="Times New Roman" w:cs="Times New Roman"/>
          <w:sz w:val="21"/>
          <w:szCs w:val="21"/>
        </w:rPr>
        <w:t>the above-mentioned period.</w:t>
      </w:r>
      <w:r w:rsidRPr="00EC356F">
        <w:rPr>
          <w:rFonts w:ascii="Times New Roman" w:hAnsi="Times New Roman" w:cs="Times New Roman"/>
          <w:sz w:val="21"/>
          <w:szCs w:val="21"/>
        </w:rPr>
        <w:t xml:space="preserve">  </w:t>
      </w:r>
    </w:p>
    <w:p w14:paraId="2473A526" w14:textId="77777777" w:rsidR="006A0A3F" w:rsidRDefault="006A0A3F" w:rsidP="00A9653E">
      <w:pPr>
        <w:spacing w:line="360" w:lineRule="auto"/>
        <w:jc w:val="both"/>
        <w:rPr>
          <w:rFonts w:ascii="Times New Roman" w:hAnsi="Times New Roman" w:cs="Times New Roman"/>
          <w:b/>
          <w:sz w:val="21"/>
          <w:szCs w:val="21"/>
        </w:rPr>
      </w:pPr>
    </w:p>
    <w:p w14:paraId="03937B99"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Aggregate demand</w:t>
      </w:r>
      <w:r w:rsidR="000C5BB7">
        <w:rPr>
          <w:rStyle w:val="FootnoteReference"/>
          <w:rFonts w:ascii="Times New Roman" w:hAnsi="Times New Roman" w:cs="Times New Roman"/>
          <w:sz w:val="21"/>
          <w:szCs w:val="21"/>
        </w:rPr>
        <w:footnoteReference w:customMarkFollows="1" w:id="5"/>
        <w:t>5</w:t>
      </w:r>
    </w:p>
    <w:p w14:paraId="4BF9596C" w14:textId="68089F95" w:rsidR="009D1B25" w:rsidRDefault="00D423D0" w:rsidP="00E530A0">
      <w:pPr>
        <w:spacing w:line="360" w:lineRule="auto"/>
        <w:jc w:val="both"/>
        <w:rPr>
          <w:rFonts w:ascii="Times New Roman" w:hAnsi="Times New Roman" w:cs="Times New Roman"/>
          <w:b/>
          <w:sz w:val="21"/>
          <w:szCs w:val="21"/>
        </w:rPr>
      </w:pPr>
      <w:r w:rsidRPr="009D1B25">
        <w:rPr>
          <w:rFonts w:ascii="Times New Roman" w:hAnsi="Times New Roman" w:cs="Times New Roman"/>
          <w:b/>
          <w:bCs/>
          <w:iCs/>
          <w:color w:val="000000"/>
          <w:sz w:val="21"/>
          <w:szCs w:val="21"/>
        </w:rPr>
        <w:t xml:space="preserve">Driven by an anticipated decline in remittances from Russia, a main trading partner, and weak investment activity in the domestic economy, the private sector spending in Armenia is likely to reduce by 5.2% in 2015. </w:t>
      </w:r>
      <w:r w:rsidR="00E530A0" w:rsidRPr="009D1B25">
        <w:rPr>
          <w:rFonts w:ascii="Times New Roman" w:hAnsi="Times New Roman" w:cs="Times New Roman"/>
          <w:b/>
          <w:sz w:val="21"/>
          <w:szCs w:val="21"/>
        </w:rPr>
        <w:t xml:space="preserve">However, </w:t>
      </w:r>
      <w:r w:rsidR="00A4420A" w:rsidRPr="009D1B25">
        <w:rPr>
          <w:rFonts w:ascii="Times New Roman" w:hAnsi="Times New Roman" w:cs="Times New Roman"/>
          <w:b/>
          <w:sz w:val="21"/>
          <w:szCs w:val="21"/>
        </w:rPr>
        <w:t xml:space="preserve">anticipated slackening of </w:t>
      </w:r>
      <w:r w:rsidRPr="009D1B25">
        <w:rPr>
          <w:rFonts w:ascii="Times New Roman" w:hAnsi="Times New Roman" w:cs="Times New Roman"/>
          <w:b/>
          <w:sz w:val="21"/>
          <w:szCs w:val="21"/>
        </w:rPr>
        <w:t xml:space="preserve">private spending </w:t>
      </w:r>
      <w:r w:rsidR="00A4420A" w:rsidRPr="009D1B25">
        <w:rPr>
          <w:rFonts w:ascii="Times New Roman" w:hAnsi="Times New Roman" w:cs="Times New Roman"/>
          <w:b/>
          <w:sz w:val="21"/>
          <w:szCs w:val="21"/>
        </w:rPr>
        <w:t xml:space="preserve">will diminish in 2015 thanks to persisting effect from </w:t>
      </w:r>
      <w:r w:rsidR="00E530A0" w:rsidRPr="009D1B25">
        <w:rPr>
          <w:rFonts w:ascii="Times New Roman" w:hAnsi="Times New Roman" w:cs="Times New Roman"/>
          <w:b/>
          <w:sz w:val="21"/>
          <w:szCs w:val="21"/>
        </w:rPr>
        <w:t>e</w:t>
      </w:r>
      <w:r w:rsidR="00A9653E" w:rsidRPr="009D1B25">
        <w:rPr>
          <w:rFonts w:ascii="Times New Roman" w:hAnsi="Times New Roman" w:cs="Times New Roman"/>
          <w:b/>
          <w:sz w:val="21"/>
          <w:szCs w:val="21"/>
        </w:rPr>
        <w:t xml:space="preserve">xpansionary </w:t>
      </w:r>
      <w:r w:rsidR="00567275" w:rsidRPr="009D1B25">
        <w:rPr>
          <w:rFonts w:ascii="Times New Roman" w:hAnsi="Times New Roman" w:cs="Times New Roman"/>
          <w:b/>
          <w:sz w:val="21"/>
          <w:szCs w:val="21"/>
        </w:rPr>
        <w:t xml:space="preserve">monetary and </w:t>
      </w:r>
      <w:r w:rsidR="00A9653E" w:rsidRPr="009D1B25">
        <w:rPr>
          <w:rFonts w:ascii="Times New Roman" w:hAnsi="Times New Roman" w:cs="Times New Roman"/>
          <w:b/>
          <w:sz w:val="21"/>
          <w:szCs w:val="21"/>
        </w:rPr>
        <w:t>fiscal polic</w:t>
      </w:r>
      <w:r w:rsidR="00567275" w:rsidRPr="009D1B25">
        <w:rPr>
          <w:rFonts w:ascii="Times New Roman" w:hAnsi="Times New Roman" w:cs="Times New Roman"/>
          <w:b/>
          <w:sz w:val="21"/>
          <w:szCs w:val="21"/>
        </w:rPr>
        <w:t>ies i</w:t>
      </w:r>
      <w:r w:rsidR="00A9653E" w:rsidRPr="009D1B25">
        <w:rPr>
          <w:rFonts w:ascii="Times New Roman" w:hAnsi="Times New Roman" w:cs="Times New Roman"/>
          <w:b/>
          <w:sz w:val="21"/>
          <w:szCs w:val="21"/>
        </w:rPr>
        <w:t>mplement</w:t>
      </w:r>
      <w:r w:rsidR="00567275" w:rsidRPr="009D1B25">
        <w:rPr>
          <w:rFonts w:ascii="Times New Roman" w:hAnsi="Times New Roman" w:cs="Times New Roman"/>
          <w:b/>
          <w:sz w:val="21"/>
          <w:szCs w:val="21"/>
        </w:rPr>
        <w:t xml:space="preserve">ed </w:t>
      </w:r>
      <w:r w:rsidR="00A4420A" w:rsidRPr="009D1B25">
        <w:rPr>
          <w:rFonts w:ascii="Times New Roman" w:hAnsi="Times New Roman" w:cs="Times New Roman"/>
          <w:b/>
          <w:sz w:val="21"/>
          <w:szCs w:val="21"/>
        </w:rPr>
        <w:t>in</w:t>
      </w:r>
      <w:r w:rsidR="00A4420A">
        <w:rPr>
          <w:rFonts w:ascii="Times New Roman" w:hAnsi="Times New Roman" w:cs="Times New Roman"/>
          <w:b/>
          <w:sz w:val="21"/>
          <w:szCs w:val="21"/>
        </w:rPr>
        <w:t xml:space="preserve"> the previous year and if new fiscal </w:t>
      </w:r>
      <w:r w:rsidR="0014422C">
        <w:rPr>
          <w:rFonts w:ascii="Times New Roman" w:hAnsi="Times New Roman" w:cs="Times New Roman"/>
          <w:b/>
          <w:sz w:val="21"/>
          <w:szCs w:val="21"/>
        </w:rPr>
        <w:t>stimulus</w:t>
      </w:r>
      <w:r w:rsidR="0014422C" w:rsidRPr="00A4420A">
        <w:rPr>
          <w:rFonts w:ascii="Times New Roman" w:hAnsi="Times New Roman" w:cs="Times New Roman"/>
          <w:b/>
          <w:sz w:val="21"/>
          <w:szCs w:val="21"/>
        </w:rPr>
        <w:t xml:space="preserve"> </w:t>
      </w:r>
      <w:r w:rsidR="0014422C">
        <w:rPr>
          <w:rFonts w:ascii="Times New Roman" w:hAnsi="Times New Roman" w:cs="Times New Roman"/>
          <w:b/>
          <w:sz w:val="21"/>
          <w:szCs w:val="21"/>
        </w:rPr>
        <w:t xml:space="preserve">is </w:t>
      </w:r>
      <w:r w:rsidR="00A4420A">
        <w:rPr>
          <w:rFonts w:ascii="Times New Roman" w:hAnsi="Times New Roman" w:cs="Times New Roman"/>
          <w:b/>
          <w:sz w:val="21"/>
          <w:szCs w:val="21"/>
        </w:rPr>
        <w:t>provided to the economy</w:t>
      </w:r>
      <w:r w:rsidR="009D1B25">
        <w:rPr>
          <w:rFonts w:ascii="Times New Roman" w:hAnsi="Times New Roman" w:cs="Times New Roman"/>
          <w:b/>
          <w:sz w:val="21"/>
          <w:szCs w:val="21"/>
        </w:rPr>
        <w:t xml:space="preserve"> during 2015.</w:t>
      </w:r>
      <w:r w:rsidR="00A4420A">
        <w:rPr>
          <w:rFonts w:ascii="Times New Roman" w:hAnsi="Times New Roman" w:cs="Times New Roman"/>
          <w:b/>
          <w:sz w:val="21"/>
          <w:szCs w:val="21"/>
        </w:rPr>
        <w:t xml:space="preserve"> </w:t>
      </w:r>
    </w:p>
    <w:p w14:paraId="6537AD3D" w14:textId="2DDF1216" w:rsidR="00253048" w:rsidRPr="00253048" w:rsidRDefault="00E7644D" w:rsidP="00253048">
      <w:pPr>
        <w:spacing w:line="360" w:lineRule="auto"/>
        <w:jc w:val="both"/>
        <w:rPr>
          <w:rFonts w:ascii="Times New Roman" w:hAnsi="Times New Roman" w:cs="Times New Roman"/>
          <w:b/>
          <w:sz w:val="21"/>
          <w:szCs w:val="21"/>
        </w:rPr>
      </w:pPr>
      <w:r w:rsidRPr="008A0DDB">
        <w:rPr>
          <w:rFonts w:ascii="Times New Roman" w:hAnsi="Times New Roman" w:cs="Times New Roman"/>
          <w:b/>
          <w:sz w:val="21"/>
          <w:szCs w:val="21"/>
        </w:rPr>
        <w:t xml:space="preserve">A tight monetary policy in late 2014, carried out to maintain price and financial stability, was geared up </w:t>
      </w:r>
      <w:r w:rsidR="00414321" w:rsidRPr="008A0DDB">
        <w:rPr>
          <w:rFonts w:ascii="Times New Roman" w:hAnsi="Times New Roman" w:cs="Times New Roman"/>
          <w:b/>
          <w:sz w:val="21"/>
          <w:szCs w:val="21"/>
        </w:rPr>
        <w:t xml:space="preserve">in order to start </w:t>
      </w:r>
      <w:r w:rsidR="00DD07EC" w:rsidRPr="008A0DDB">
        <w:rPr>
          <w:rFonts w:ascii="Times New Roman" w:hAnsi="Times New Roman" w:cs="Times New Roman"/>
          <w:b/>
          <w:sz w:val="21"/>
          <w:szCs w:val="21"/>
        </w:rPr>
        <w:t xml:space="preserve">loosening </w:t>
      </w:r>
      <w:r w:rsidRPr="008A0DDB">
        <w:rPr>
          <w:rFonts w:ascii="Times New Roman" w:hAnsi="Times New Roman" w:cs="Times New Roman"/>
          <w:b/>
          <w:sz w:val="21"/>
          <w:szCs w:val="21"/>
        </w:rPr>
        <w:t xml:space="preserve">monetary conditions in early 2015, which </w:t>
      </w:r>
      <w:proofErr w:type="gramStart"/>
      <w:r w:rsidRPr="008A0DDB">
        <w:rPr>
          <w:rFonts w:ascii="Times New Roman" w:hAnsi="Times New Roman" w:cs="Times New Roman"/>
          <w:b/>
          <w:sz w:val="21"/>
          <w:szCs w:val="21"/>
        </w:rPr>
        <w:t xml:space="preserve">will </w:t>
      </w:r>
      <w:r w:rsidR="00DD07EC" w:rsidRPr="008A0DDB">
        <w:rPr>
          <w:rFonts w:ascii="Times New Roman" w:hAnsi="Times New Roman" w:cs="Times New Roman"/>
          <w:b/>
          <w:sz w:val="21"/>
          <w:szCs w:val="21"/>
        </w:rPr>
        <w:t xml:space="preserve"> mitigate</w:t>
      </w:r>
      <w:proofErr w:type="gramEnd"/>
      <w:r w:rsidR="00DD07EC" w:rsidRPr="008A0DDB">
        <w:rPr>
          <w:rFonts w:ascii="Times New Roman" w:hAnsi="Times New Roman" w:cs="Times New Roman"/>
          <w:b/>
          <w:sz w:val="21"/>
          <w:szCs w:val="21"/>
        </w:rPr>
        <w:t xml:space="preserve"> </w:t>
      </w:r>
      <w:r w:rsidRPr="008A0DDB">
        <w:rPr>
          <w:rFonts w:ascii="Times New Roman" w:hAnsi="Times New Roman" w:cs="Times New Roman"/>
          <w:b/>
          <w:sz w:val="21"/>
          <w:szCs w:val="21"/>
        </w:rPr>
        <w:t xml:space="preserve"> </w:t>
      </w:r>
      <w:r w:rsidR="00DD07EC" w:rsidRPr="008A0DDB">
        <w:rPr>
          <w:rFonts w:ascii="Times New Roman" w:hAnsi="Times New Roman" w:cs="Times New Roman"/>
          <w:b/>
          <w:sz w:val="21"/>
          <w:szCs w:val="21"/>
        </w:rPr>
        <w:t xml:space="preserve">tight </w:t>
      </w:r>
      <w:r w:rsidRPr="008A0DDB">
        <w:rPr>
          <w:rFonts w:ascii="Times New Roman" w:hAnsi="Times New Roman" w:cs="Times New Roman"/>
          <w:b/>
          <w:sz w:val="21"/>
          <w:szCs w:val="21"/>
        </w:rPr>
        <w:t>monetary policy's contractionary effect on private spending in the period 2016-2017</w:t>
      </w:r>
      <w:r w:rsidR="00DC5439">
        <w:rPr>
          <w:rFonts w:ascii="Times New Roman" w:hAnsi="Times New Roman" w:cs="Times New Roman"/>
          <w:b/>
          <w:sz w:val="21"/>
          <w:szCs w:val="21"/>
        </w:rPr>
        <w:t>.</w:t>
      </w:r>
      <w:r w:rsidR="00253048">
        <w:rPr>
          <w:rFonts w:ascii="Times New Roman" w:hAnsi="Times New Roman" w:cs="Times New Roman"/>
          <w:b/>
          <w:sz w:val="21"/>
          <w:szCs w:val="21"/>
        </w:rPr>
        <w:t>I</w:t>
      </w:r>
      <w:r w:rsidR="00253048" w:rsidRPr="00253048">
        <w:rPr>
          <w:rFonts w:ascii="Times New Roman" w:hAnsi="Times New Roman" w:cs="Times New Roman"/>
          <w:b/>
          <w:sz w:val="21"/>
          <w:szCs w:val="21"/>
        </w:rPr>
        <w:t>n 2016-2017</w:t>
      </w:r>
      <w:r w:rsidR="00253048">
        <w:rPr>
          <w:rFonts w:ascii="Times New Roman" w:hAnsi="Times New Roman" w:cs="Times New Roman"/>
          <w:b/>
          <w:sz w:val="21"/>
          <w:szCs w:val="21"/>
        </w:rPr>
        <w:t>,</w:t>
      </w:r>
      <w:r w:rsidR="00253048" w:rsidRPr="00253048">
        <w:rPr>
          <w:rFonts w:ascii="Times New Roman" w:hAnsi="Times New Roman" w:cs="Times New Roman"/>
          <w:b/>
          <w:sz w:val="21"/>
          <w:szCs w:val="21"/>
        </w:rPr>
        <w:t xml:space="preserve"> </w:t>
      </w:r>
      <w:r w:rsidR="00253048">
        <w:rPr>
          <w:rFonts w:ascii="Times New Roman" w:hAnsi="Times New Roman" w:cs="Times New Roman"/>
          <w:b/>
          <w:sz w:val="21"/>
          <w:szCs w:val="21"/>
        </w:rPr>
        <w:t xml:space="preserve">the </w:t>
      </w:r>
      <w:r w:rsidR="00253048" w:rsidRPr="00253048">
        <w:rPr>
          <w:rFonts w:ascii="Times New Roman" w:hAnsi="Times New Roman" w:cs="Times New Roman"/>
          <w:b/>
          <w:sz w:val="21"/>
          <w:szCs w:val="21"/>
        </w:rPr>
        <w:t xml:space="preserve">private </w:t>
      </w:r>
      <w:r w:rsidR="00253048">
        <w:rPr>
          <w:rFonts w:ascii="Times New Roman" w:hAnsi="Times New Roman" w:cs="Times New Roman"/>
          <w:b/>
          <w:sz w:val="21"/>
          <w:szCs w:val="21"/>
        </w:rPr>
        <w:t>spending will bounce back, growing at</w:t>
      </w:r>
      <w:r w:rsidR="00253048" w:rsidRPr="00253048">
        <w:rPr>
          <w:rFonts w:ascii="Times New Roman" w:hAnsi="Times New Roman" w:cs="Times New Roman"/>
          <w:b/>
          <w:sz w:val="21"/>
          <w:szCs w:val="21"/>
        </w:rPr>
        <w:t xml:space="preserve"> </w:t>
      </w:r>
      <w:r w:rsidR="00253048">
        <w:rPr>
          <w:rFonts w:ascii="Times New Roman" w:hAnsi="Times New Roman" w:cs="Times New Roman"/>
          <w:b/>
          <w:sz w:val="21"/>
          <w:szCs w:val="21"/>
        </w:rPr>
        <w:t xml:space="preserve">a </w:t>
      </w:r>
      <w:r w:rsidR="00253048" w:rsidRPr="00253048">
        <w:rPr>
          <w:rFonts w:ascii="Times New Roman" w:hAnsi="Times New Roman" w:cs="Times New Roman"/>
          <w:b/>
          <w:sz w:val="21"/>
          <w:szCs w:val="21"/>
        </w:rPr>
        <w:t>moderate rate</w:t>
      </w:r>
      <w:r w:rsidR="00253048">
        <w:rPr>
          <w:rFonts w:ascii="Times New Roman" w:hAnsi="Times New Roman" w:cs="Times New Roman"/>
          <w:b/>
          <w:sz w:val="21"/>
          <w:szCs w:val="21"/>
        </w:rPr>
        <w:t>. The</w:t>
      </w:r>
      <w:r w:rsidR="00253048" w:rsidRPr="00253048">
        <w:rPr>
          <w:rFonts w:ascii="Times New Roman" w:hAnsi="Times New Roman" w:cs="Times New Roman"/>
          <w:b/>
          <w:sz w:val="21"/>
          <w:szCs w:val="21"/>
        </w:rPr>
        <w:t xml:space="preserve"> negative impact </w:t>
      </w:r>
      <w:r w:rsidR="00253048">
        <w:rPr>
          <w:rFonts w:ascii="Times New Roman" w:hAnsi="Times New Roman" w:cs="Times New Roman"/>
          <w:b/>
          <w:sz w:val="21"/>
          <w:szCs w:val="21"/>
        </w:rPr>
        <w:t xml:space="preserve">of </w:t>
      </w:r>
      <w:r w:rsidR="00253048" w:rsidRPr="00253048">
        <w:rPr>
          <w:rFonts w:ascii="Times New Roman" w:hAnsi="Times New Roman" w:cs="Times New Roman"/>
          <w:b/>
          <w:sz w:val="21"/>
          <w:szCs w:val="21"/>
        </w:rPr>
        <w:t xml:space="preserve">private spending </w:t>
      </w:r>
      <w:r w:rsidR="00253048">
        <w:rPr>
          <w:rFonts w:ascii="Times New Roman" w:hAnsi="Times New Roman" w:cs="Times New Roman"/>
          <w:b/>
          <w:sz w:val="21"/>
          <w:szCs w:val="21"/>
        </w:rPr>
        <w:t xml:space="preserve">on </w:t>
      </w:r>
      <w:r w:rsidR="00253048" w:rsidRPr="00253048">
        <w:rPr>
          <w:rFonts w:ascii="Times New Roman" w:hAnsi="Times New Roman" w:cs="Times New Roman"/>
          <w:b/>
          <w:sz w:val="21"/>
          <w:szCs w:val="21"/>
        </w:rPr>
        <w:t xml:space="preserve">economic growth during this period </w:t>
      </w:r>
      <w:r w:rsidR="00253048">
        <w:rPr>
          <w:rFonts w:ascii="Times New Roman" w:hAnsi="Times New Roman" w:cs="Times New Roman"/>
          <w:b/>
          <w:sz w:val="21"/>
          <w:szCs w:val="21"/>
        </w:rPr>
        <w:t xml:space="preserve">will alleviate owing to </w:t>
      </w:r>
      <w:r w:rsidR="00253048" w:rsidRPr="009D1B25">
        <w:rPr>
          <w:rFonts w:ascii="Times New Roman" w:hAnsi="Times New Roman" w:cs="Times New Roman"/>
          <w:b/>
          <w:sz w:val="21"/>
          <w:szCs w:val="21"/>
        </w:rPr>
        <w:t xml:space="preserve">persisting effect from expansionary </w:t>
      </w:r>
      <w:r w:rsidR="00253048">
        <w:rPr>
          <w:rFonts w:ascii="Times New Roman" w:hAnsi="Times New Roman" w:cs="Times New Roman"/>
          <w:b/>
          <w:sz w:val="21"/>
          <w:szCs w:val="21"/>
        </w:rPr>
        <w:t>fis</w:t>
      </w:r>
      <w:r w:rsidR="00253048" w:rsidRPr="009D1B25">
        <w:rPr>
          <w:rFonts w:ascii="Times New Roman" w:hAnsi="Times New Roman" w:cs="Times New Roman"/>
          <w:b/>
          <w:sz w:val="21"/>
          <w:szCs w:val="21"/>
        </w:rPr>
        <w:t>cal polic</w:t>
      </w:r>
      <w:r w:rsidR="00253048">
        <w:rPr>
          <w:rFonts w:ascii="Times New Roman" w:hAnsi="Times New Roman" w:cs="Times New Roman"/>
          <w:b/>
          <w:sz w:val="21"/>
          <w:szCs w:val="21"/>
        </w:rPr>
        <w:t>y to be</w:t>
      </w:r>
      <w:r w:rsidR="00253048" w:rsidRPr="009D1B25">
        <w:rPr>
          <w:rFonts w:ascii="Times New Roman" w:hAnsi="Times New Roman" w:cs="Times New Roman"/>
          <w:b/>
          <w:sz w:val="21"/>
          <w:szCs w:val="21"/>
        </w:rPr>
        <w:t xml:space="preserve"> implemented </w:t>
      </w:r>
      <w:r w:rsidR="00253048">
        <w:rPr>
          <w:rFonts w:ascii="Times New Roman" w:hAnsi="Times New Roman" w:cs="Times New Roman"/>
          <w:b/>
          <w:sz w:val="21"/>
          <w:szCs w:val="21"/>
        </w:rPr>
        <w:t xml:space="preserve">in 2015 and a positive contribution from </w:t>
      </w:r>
      <w:r w:rsidR="00253048" w:rsidRPr="00253048">
        <w:rPr>
          <w:rFonts w:ascii="Times New Roman" w:hAnsi="Times New Roman" w:cs="Times New Roman"/>
          <w:b/>
          <w:sz w:val="21"/>
          <w:szCs w:val="21"/>
        </w:rPr>
        <w:t>net exports</w:t>
      </w:r>
      <w:r w:rsidR="00253048">
        <w:rPr>
          <w:rFonts w:ascii="Times New Roman" w:hAnsi="Times New Roman" w:cs="Times New Roman"/>
          <w:b/>
          <w:sz w:val="21"/>
          <w:szCs w:val="21"/>
        </w:rPr>
        <w:t>.</w:t>
      </w:r>
    </w:p>
    <w:p w14:paraId="23FDDD25" w14:textId="77777777" w:rsidR="00253048" w:rsidRPr="0036572C" w:rsidRDefault="00253048" w:rsidP="00253048">
      <w:pPr>
        <w:spacing w:line="360" w:lineRule="auto"/>
        <w:jc w:val="both"/>
        <w:rPr>
          <w:rFonts w:ascii="Times New Roman" w:hAnsi="Times New Roman" w:cs="Times New Roman"/>
          <w:b/>
          <w:sz w:val="21"/>
          <w:szCs w:val="21"/>
        </w:rPr>
      </w:pPr>
      <w:r w:rsidRPr="00253048">
        <w:rPr>
          <w:rFonts w:ascii="Times New Roman" w:hAnsi="Times New Roman" w:cs="Times New Roman"/>
          <w:b/>
          <w:sz w:val="21"/>
          <w:szCs w:val="21"/>
        </w:rPr>
        <w:t xml:space="preserve">Although </w:t>
      </w:r>
      <w:r>
        <w:rPr>
          <w:rFonts w:ascii="Times New Roman" w:hAnsi="Times New Roman" w:cs="Times New Roman"/>
          <w:b/>
          <w:sz w:val="21"/>
          <w:szCs w:val="21"/>
        </w:rPr>
        <w:t xml:space="preserve">such a development with </w:t>
      </w:r>
      <w:r w:rsidRPr="00253048">
        <w:rPr>
          <w:rFonts w:ascii="Times New Roman" w:hAnsi="Times New Roman" w:cs="Times New Roman"/>
          <w:b/>
          <w:sz w:val="21"/>
          <w:szCs w:val="21"/>
        </w:rPr>
        <w:t xml:space="preserve">private </w:t>
      </w:r>
      <w:r>
        <w:rPr>
          <w:rFonts w:ascii="Times New Roman" w:hAnsi="Times New Roman" w:cs="Times New Roman"/>
          <w:b/>
          <w:sz w:val="21"/>
          <w:szCs w:val="21"/>
        </w:rPr>
        <w:t xml:space="preserve">spending </w:t>
      </w:r>
      <w:r w:rsidR="00D56E14">
        <w:rPr>
          <w:rFonts w:ascii="Times New Roman" w:hAnsi="Times New Roman" w:cs="Times New Roman"/>
          <w:b/>
          <w:sz w:val="21"/>
          <w:szCs w:val="21"/>
        </w:rPr>
        <w:t xml:space="preserve">will somewhat negatively affect the </w:t>
      </w:r>
      <w:r w:rsidRPr="00253048">
        <w:rPr>
          <w:rFonts w:ascii="Times New Roman" w:hAnsi="Times New Roman" w:cs="Times New Roman"/>
          <w:b/>
          <w:sz w:val="21"/>
          <w:szCs w:val="21"/>
        </w:rPr>
        <w:t xml:space="preserve">economic growth, </w:t>
      </w:r>
      <w:r w:rsidR="00D56E14">
        <w:rPr>
          <w:rFonts w:ascii="Times New Roman" w:hAnsi="Times New Roman" w:cs="Times New Roman"/>
          <w:b/>
          <w:sz w:val="21"/>
          <w:szCs w:val="21"/>
        </w:rPr>
        <w:t xml:space="preserve">it will </w:t>
      </w:r>
      <w:r w:rsidRPr="00253048">
        <w:rPr>
          <w:rFonts w:ascii="Times New Roman" w:hAnsi="Times New Roman" w:cs="Times New Roman"/>
          <w:b/>
          <w:sz w:val="21"/>
          <w:szCs w:val="21"/>
        </w:rPr>
        <w:t xml:space="preserve">however contribute to the </w:t>
      </w:r>
      <w:r w:rsidR="00D56E14">
        <w:rPr>
          <w:rFonts w:ascii="Times New Roman" w:hAnsi="Times New Roman" w:cs="Times New Roman"/>
          <w:b/>
          <w:sz w:val="21"/>
          <w:szCs w:val="21"/>
        </w:rPr>
        <w:t xml:space="preserve">equilibrium and stability in the economy in </w:t>
      </w:r>
      <w:r w:rsidR="00D56E14" w:rsidRPr="0036572C">
        <w:rPr>
          <w:rFonts w:ascii="Times New Roman" w:hAnsi="Times New Roman" w:cs="Times New Roman"/>
          <w:b/>
          <w:sz w:val="21"/>
          <w:szCs w:val="21"/>
        </w:rPr>
        <w:t xml:space="preserve">future. </w:t>
      </w:r>
    </w:p>
    <w:p w14:paraId="5D19A211" w14:textId="53F7AEB9" w:rsidR="008132AD" w:rsidRPr="008132AD" w:rsidRDefault="008132AD" w:rsidP="00A9653E">
      <w:pPr>
        <w:spacing w:line="360" w:lineRule="auto"/>
        <w:jc w:val="both"/>
        <w:rPr>
          <w:rFonts w:ascii="Times New Roman" w:hAnsi="Times New Roman" w:cs="Times New Roman"/>
          <w:b/>
          <w:color w:val="0070C0"/>
          <w:sz w:val="18"/>
          <w:szCs w:val="18"/>
        </w:rPr>
      </w:pPr>
      <w:r w:rsidRPr="008132AD">
        <w:rPr>
          <w:rFonts w:ascii="Times New Roman" w:hAnsi="Times New Roman" w:cs="Times New Roman"/>
          <w:b/>
          <w:color w:val="0070C0"/>
          <w:sz w:val="18"/>
          <w:szCs w:val="18"/>
        </w:rPr>
        <w:t>In 2015, the private consumption will decrease by 3.3% and private investment, by 14%</w:t>
      </w:r>
      <w:r w:rsidR="00D1744A">
        <w:rPr>
          <w:rFonts w:ascii="Times New Roman" w:hAnsi="Times New Roman" w:cs="Times New Roman"/>
          <w:b/>
          <w:color w:val="0070C0"/>
          <w:sz w:val="18"/>
          <w:szCs w:val="18"/>
        </w:rPr>
        <w:t>.</w:t>
      </w:r>
    </w:p>
    <w:p w14:paraId="3B6B46E9" w14:textId="77777777" w:rsidR="00014582" w:rsidRDefault="005D13A6" w:rsidP="00A9653E">
      <w:pPr>
        <w:spacing w:line="360" w:lineRule="auto"/>
        <w:jc w:val="both"/>
        <w:rPr>
          <w:rFonts w:ascii="Times New Roman" w:hAnsi="Times New Roman" w:cs="Times New Roman"/>
          <w:sz w:val="21"/>
          <w:szCs w:val="21"/>
        </w:rPr>
      </w:pPr>
      <w:r w:rsidRPr="0036572C">
        <w:rPr>
          <w:rFonts w:ascii="Times New Roman" w:hAnsi="Times New Roman" w:cs="Times New Roman"/>
          <w:sz w:val="21"/>
          <w:szCs w:val="21"/>
          <w:lang w:val="hy-AM"/>
        </w:rPr>
        <w:t xml:space="preserve">In </w:t>
      </w:r>
      <w:r w:rsidR="004F21B6" w:rsidRPr="0036572C">
        <w:rPr>
          <w:rFonts w:ascii="Times New Roman" w:hAnsi="Times New Roman" w:cs="Times New Roman"/>
          <w:sz w:val="21"/>
          <w:szCs w:val="21"/>
        </w:rPr>
        <w:t>201</w:t>
      </w:r>
      <w:r w:rsidR="00950F5F">
        <w:rPr>
          <w:rFonts w:ascii="Times New Roman" w:hAnsi="Times New Roman" w:cs="Times New Roman"/>
          <w:sz w:val="21"/>
          <w:szCs w:val="21"/>
        </w:rPr>
        <w:t>5</w:t>
      </w:r>
      <w:r w:rsidR="004F21B6" w:rsidRPr="0036572C">
        <w:rPr>
          <w:rFonts w:ascii="Times New Roman" w:hAnsi="Times New Roman" w:cs="Times New Roman"/>
          <w:sz w:val="21"/>
          <w:szCs w:val="21"/>
        </w:rPr>
        <w:t xml:space="preserve">, </w:t>
      </w:r>
      <w:r w:rsidR="00950F5F">
        <w:rPr>
          <w:rFonts w:ascii="Times New Roman" w:hAnsi="Times New Roman" w:cs="Times New Roman"/>
          <w:sz w:val="21"/>
          <w:szCs w:val="21"/>
        </w:rPr>
        <w:t xml:space="preserve">the expenditures of </w:t>
      </w:r>
      <w:r w:rsidR="004F21B6" w:rsidRPr="0036572C">
        <w:rPr>
          <w:rFonts w:ascii="Times New Roman" w:hAnsi="Times New Roman" w:cs="Times New Roman"/>
          <w:sz w:val="21"/>
          <w:szCs w:val="21"/>
        </w:rPr>
        <w:t xml:space="preserve">private </w:t>
      </w:r>
      <w:r w:rsidR="00950F5F">
        <w:rPr>
          <w:rFonts w:ascii="Times New Roman" w:hAnsi="Times New Roman" w:cs="Times New Roman"/>
          <w:sz w:val="21"/>
          <w:szCs w:val="21"/>
        </w:rPr>
        <w:t xml:space="preserve">consumption were revised markedly downside, </w:t>
      </w:r>
      <w:r w:rsidR="004F21B6" w:rsidRPr="0036572C">
        <w:rPr>
          <w:rFonts w:ascii="Times New Roman" w:hAnsi="Times New Roman" w:cs="Times New Roman"/>
          <w:sz w:val="21"/>
          <w:szCs w:val="21"/>
        </w:rPr>
        <w:t xml:space="preserve">which was determined by </w:t>
      </w:r>
      <w:r w:rsidR="00950F5F">
        <w:rPr>
          <w:rFonts w:ascii="Times New Roman" w:hAnsi="Times New Roman" w:cs="Times New Roman"/>
          <w:sz w:val="21"/>
          <w:szCs w:val="21"/>
        </w:rPr>
        <w:t xml:space="preserve">considerable reduction in </w:t>
      </w:r>
      <w:r w:rsidR="00A9653E" w:rsidRPr="0036572C">
        <w:rPr>
          <w:rFonts w:ascii="Times New Roman" w:hAnsi="Times New Roman" w:cs="Times New Roman"/>
          <w:sz w:val="21"/>
          <w:szCs w:val="21"/>
        </w:rPr>
        <w:t>remittances from Russia a</w:t>
      </w:r>
      <w:r w:rsidR="00950F5F">
        <w:rPr>
          <w:rFonts w:ascii="Times New Roman" w:hAnsi="Times New Roman" w:cs="Times New Roman"/>
          <w:sz w:val="21"/>
          <w:szCs w:val="21"/>
        </w:rPr>
        <w:t xml:space="preserve">nd anticipated slowing of growth rates of credit to the economy. Estimates suggest that final consumption expenditures of households </w:t>
      </w:r>
      <w:r w:rsidR="00014582">
        <w:rPr>
          <w:rFonts w:ascii="Times New Roman" w:hAnsi="Times New Roman" w:cs="Times New Roman"/>
          <w:sz w:val="21"/>
          <w:szCs w:val="21"/>
        </w:rPr>
        <w:t xml:space="preserve">will reduce in 2015 by 3.3% in real terms. </w:t>
      </w:r>
    </w:p>
    <w:p w14:paraId="1D8C1F3B" w14:textId="77777777" w:rsidR="00E10481" w:rsidRDefault="003612A2" w:rsidP="00A9653E">
      <w:pPr>
        <w:spacing w:line="360" w:lineRule="auto"/>
        <w:jc w:val="both"/>
        <w:rPr>
          <w:rFonts w:ascii="Times New Roman" w:hAnsi="Times New Roman" w:cs="Times New Roman"/>
          <w:sz w:val="21"/>
          <w:szCs w:val="21"/>
        </w:rPr>
      </w:pPr>
      <w:r w:rsidRPr="003612A2">
        <w:rPr>
          <w:rFonts w:ascii="Times New Roman" w:hAnsi="Times New Roman" w:cs="Times New Roman"/>
          <w:sz w:val="21"/>
          <w:szCs w:val="21"/>
        </w:rPr>
        <w:lastRenderedPageBreak/>
        <w:t xml:space="preserve">The above factors, as well as </w:t>
      </w:r>
      <w:r>
        <w:rPr>
          <w:rFonts w:ascii="Times New Roman" w:hAnsi="Times New Roman" w:cs="Times New Roman"/>
          <w:sz w:val="21"/>
          <w:szCs w:val="21"/>
        </w:rPr>
        <w:t xml:space="preserve">current and expected sluggishness in </w:t>
      </w:r>
      <w:r w:rsidRPr="003612A2">
        <w:rPr>
          <w:rFonts w:ascii="Times New Roman" w:hAnsi="Times New Roman" w:cs="Times New Roman"/>
          <w:sz w:val="21"/>
          <w:szCs w:val="21"/>
        </w:rPr>
        <w:t xml:space="preserve">investment activity will </w:t>
      </w:r>
      <w:r>
        <w:rPr>
          <w:rFonts w:ascii="Times New Roman" w:hAnsi="Times New Roman" w:cs="Times New Roman"/>
          <w:sz w:val="21"/>
          <w:szCs w:val="21"/>
        </w:rPr>
        <w:t xml:space="preserve">lead to </w:t>
      </w:r>
      <w:r w:rsidRPr="003612A2">
        <w:rPr>
          <w:rFonts w:ascii="Times New Roman" w:hAnsi="Times New Roman" w:cs="Times New Roman"/>
          <w:sz w:val="21"/>
          <w:szCs w:val="21"/>
        </w:rPr>
        <w:t xml:space="preserve">around 14% reduction </w:t>
      </w:r>
      <w:r>
        <w:rPr>
          <w:rFonts w:ascii="Times New Roman" w:hAnsi="Times New Roman" w:cs="Times New Roman"/>
          <w:sz w:val="21"/>
          <w:szCs w:val="21"/>
        </w:rPr>
        <w:t xml:space="preserve">in </w:t>
      </w:r>
      <w:r w:rsidRPr="003612A2">
        <w:rPr>
          <w:rFonts w:ascii="Times New Roman" w:hAnsi="Times New Roman" w:cs="Times New Roman"/>
          <w:sz w:val="21"/>
          <w:szCs w:val="21"/>
        </w:rPr>
        <w:t>private investment</w:t>
      </w:r>
      <w:r>
        <w:rPr>
          <w:rFonts w:ascii="Times New Roman" w:hAnsi="Times New Roman" w:cs="Times New Roman"/>
          <w:sz w:val="21"/>
          <w:szCs w:val="21"/>
        </w:rPr>
        <w:t xml:space="preserve"> in 2015</w:t>
      </w:r>
      <w:r w:rsidRPr="003612A2">
        <w:rPr>
          <w:rFonts w:ascii="Times New Roman" w:hAnsi="Times New Roman" w:cs="Times New Roman"/>
          <w:sz w:val="21"/>
          <w:szCs w:val="21"/>
        </w:rPr>
        <w:t>, which is significantly lower compared to the previous forecast</w:t>
      </w:r>
      <w:r>
        <w:rPr>
          <w:rFonts w:ascii="Times New Roman" w:hAnsi="Times New Roman" w:cs="Times New Roman"/>
          <w:sz w:val="21"/>
          <w:szCs w:val="21"/>
        </w:rPr>
        <w:t>s.</w:t>
      </w:r>
      <w:r w:rsidRPr="003612A2">
        <w:rPr>
          <w:rFonts w:ascii="Times New Roman" w:hAnsi="Times New Roman" w:cs="Times New Roman"/>
          <w:sz w:val="21"/>
          <w:szCs w:val="21"/>
        </w:rPr>
        <w:t xml:space="preserve"> </w:t>
      </w:r>
      <w:r w:rsidR="005A1C7A">
        <w:rPr>
          <w:rFonts w:ascii="Times New Roman" w:hAnsi="Times New Roman" w:cs="Times New Roman"/>
          <w:sz w:val="21"/>
          <w:szCs w:val="21"/>
        </w:rPr>
        <w:t xml:space="preserve">Expected decline in </w:t>
      </w:r>
      <w:r w:rsidR="005A1C7A" w:rsidRPr="003612A2">
        <w:rPr>
          <w:rFonts w:ascii="Times New Roman" w:hAnsi="Times New Roman" w:cs="Times New Roman"/>
          <w:sz w:val="21"/>
          <w:szCs w:val="21"/>
        </w:rPr>
        <w:t>private investment</w:t>
      </w:r>
      <w:r w:rsidR="005A1C7A">
        <w:rPr>
          <w:rFonts w:ascii="Times New Roman" w:hAnsi="Times New Roman" w:cs="Times New Roman"/>
          <w:sz w:val="21"/>
          <w:szCs w:val="21"/>
        </w:rPr>
        <w:t xml:space="preserve"> in </w:t>
      </w:r>
      <w:r w:rsidRPr="003612A2">
        <w:rPr>
          <w:rFonts w:ascii="Times New Roman" w:hAnsi="Times New Roman" w:cs="Times New Roman"/>
          <w:sz w:val="21"/>
          <w:szCs w:val="21"/>
        </w:rPr>
        <w:t xml:space="preserve">2015 </w:t>
      </w:r>
      <w:r w:rsidR="005A1C7A">
        <w:rPr>
          <w:rFonts w:ascii="Times New Roman" w:hAnsi="Times New Roman" w:cs="Times New Roman"/>
          <w:sz w:val="21"/>
          <w:szCs w:val="21"/>
        </w:rPr>
        <w:t xml:space="preserve">will be determined by reduced investment in companies engaged in </w:t>
      </w:r>
      <w:r w:rsidRPr="003612A2">
        <w:rPr>
          <w:rFonts w:ascii="Times New Roman" w:hAnsi="Times New Roman" w:cs="Times New Roman"/>
          <w:sz w:val="21"/>
          <w:szCs w:val="21"/>
        </w:rPr>
        <w:t xml:space="preserve">construction and other non-tradable sectors of the economy, </w:t>
      </w:r>
      <w:r w:rsidR="005A1C7A">
        <w:rPr>
          <w:rFonts w:ascii="Times New Roman" w:hAnsi="Times New Roman" w:cs="Times New Roman"/>
          <w:sz w:val="21"/>
          <w:szCs w:val="21"/>
        </w:rPr>
        <w:t xml:space="preserve">which will outweigh the </w:t>
      </w:r>
      <w:r w:rsidRPr="003612A2">
        <w:rPr>
          <w:rFonts w:ascii="Times New Roman" w:hAnsi="Times New Roman" w:cs="Times New Roman"/>
          <w:sz w:val="21"/>
          <w:szCs w:val="21"/>
        </w:rPr>
        <w:t>investment</w:t>
      </w:r>
      <w:r w:rsidR="005A1C7A">
        <w:rPr>
          <w:rFonts w:ascii="Times New Roman" w:hAnsi="Times New Roman" w:cs="Times New Roman"/>
          <w:sz w:val="21"/>
          <w:szCs w:val="21"/>
        </w:rPr>
        <w:t>s</w:t>
      </w:r>
      <w:r w:rsidRPr="003612A2">
        <w:rPr>
          <w:rFonts w:ascii="Times New Roman" w:hAnsi="Times New Roman" w:cs="Times New Roman"/>
          <w:sz w:val="21"/>
          <w:szCs w:val="21"/>
        </w:rPr>
        <w:t xml:space="preserve"> in the tradable sector</w:t>
      </w:r>
      <w:r w:rsidR="005A1C7A">
        <w:rPr>
          <w:rFonts w:ascii="Times New Roman" w:hAnsi="Times New Roman" w:cs="Times New Roman"/>
          <w:sz w:val="21"/>
          <w:szCs w:val="21"/>
        </w:rPr>
        <w:t>. The expected growth of</w:t>
      </w:r>
      <w:r w:rsidRPr="003612A2">
        <w:rPr>
          <w:rFonts w:ascii="Times New Roman" w:hAnsi="Times New Roman" w:cs="Times New Roman"/>
          <w:sz w:val="21"/>
          <w:szCs w:val="21"/>
        </w:rPr>
        <w:t xml:space="preserve"> investment</w:t>
      </w:r>
      <w:r w:rsidR="005A1C7A">
        <w:rPr>
          <w:rFonts w:ascii="Times New Roman" w:hAnsi="Times New Roman" w:cs="Times New Roman"/>
          <w:sz w:val="21"/>
          <w:szCs w:val="21"/>
        </w:rPr>
        <w:t xml:space="preserve">s </w:t>
      </w:r>
      <w:r w:rsidR="005A1C7A" w:rsidRPr="003612A2">
        <w:rPr>
          <w:rFonts w:ascii="Times New Roman" w:hAnsi="Times New Roman" w:cs="Times New Roman"/>
          <w:sz w:val="21"/>
          <w:szCs w:val="21"/>
        </w:rPr>
        <w:t>in the tradable sector</w:t>
      </w:r>
      <w:r w:rsidR="005A1C7A">
        <w:rPr>
          <w:rFonts w:ascii="Times New Roman" w:hAnsi="Times New Roman" w:cs="Times New Roman"/>
          <w:sz w:val="21"/>
          <w:szCs w:val="21"/>
        </w:rPr>
        <w:t>, in turn,</w:t>
      </w:r>
      <w:r w:rsidRPr="003612A2">
        <w:rPr>
          <w:rFonts w:ascii="Times New Roman" w:hAnsi="Times New Roman" w:cs="Times New Roman"/>
          <w:sz w:val="21"/>
          <w:szCs w:val="21"/>
        </w:rPr>
        <w:t xml:space="preserve"> is </w:t>
      </w:r>
      <w:r w:rsidR="005A1C7A">
        <w:rPr>
          <w:rFonts w:ascii="Times New Roman" w:hAnsi="Times New Roman" w:cs="Times New Roman"/>
          <w:sz w:val="21"/>
          <w:szCs w:val="21"/>
        </w:rPr>
        <w:t xml:space="preserve">linked to </w:t>
      </w:r>
      <w:r w:rsidR="005A1C7A" w:rsidRPr="003612A2">
        <w:rPr>
          <w:rFonts w:ascii="Times New Roman" w:hAnsi="Times New Roman" w:cs="Times New Roman"/>
          <w:sz w:val="21"/>
          <w:szCs w:val="21"/>
        </w:rPr>
        <w:t>increase</w:t>
      </w:r>
      <w:r w:rsidR="005A1C7A">
        <w:rPr>
          <w:rFonts w:ascii="Times New Roman" w:hAnsi="Times New Roman" w:cs="Times New Roman"/>
          <w:sz w:val="21"/>
          <w:szCs w:val="21"/>
        </w:rPr>
        <w:t xml:space="preserve">d </w:t>
      </w:r>
      <w:r w:rsidR="005A1C7A" w:rsidRPr="003612A2">
        <w:rPr>
          <w:rFonts w:ascii="Times New Roman" w:hAnsi="Times New Roman" w:cs="Times New Roman"/>
          <w:sz w:val="21"/>
          <w:szCs w:val="21"/>
        </w:rPr>
        <w:t xml:space="preserve">profitability </w:t>
      </w:r>
      <w:r w:rsidR="005A1C7A">
        <w:rPr>
          <w:rFonts w:ascii="Times New Roman" w:hAnsi="Times New Roman" w:cs="Times New Roman"/>
          <w:sz w:val="21"/>
          <w:szCs w:val="21"/>
        </w:rPr>
        <w:t xml:space="preserve">there as a result of the dram </w:t>
      </w:r>
      <w:r w:rsidRPr="003612A2">
        <w:rPr>
          <w:rFonts w:ascii="Times New Roman" w:hAnsi="Times New Roman" w:cs="Times New Roman"/>
          <w:sz w:val="21"/>
          <w:szCs w:val="21"/>
        </w:rPr>
        <w:t>exchange rate de</w:t>
      </w:r>
      <w:r w:rsidR="005A1C7A">
        <w:rPr>
          <w:rFonts w:ascii="Times New Roman" w:hAnsi="Times New Roman" w:cs="Times New Roman"/>
          <w:sz w:val="21"/>
          <w:szCs w:val="21"/>
        </w:rPr>
        <w:t xml:space="preserve">preciation in late 2014. </w:t>
      </w:r>
    </w:p>
    <w:p w14:paraId="2396D1F5" w14:textId="77777777" w:rsidR="001F5BDC" w:rsidRPr="001F5BDC" w:rsidRDefault="001F5BDC" w:rsidP="00A9653E">
      <w:pPr>
        <w:spacing w:line="360" w:lineRule="auto"/>
        <w:jc w:val="both"/>
        <w:rPr>
          <w:rFonts w:ascii="Times New Roman" w:hAnsi="Times New Roman" w:cs="Times New Roman"/>
          <w:b/>
          <w:color w:val="0070C0"/>
          <w:sz w:val="18"/>
          <w:szCs w:val="18"/>
        </w:rPr>
      </w:pPr>
      <w:r w:rsidRPr="001F5BDC">
        <w:rPr>
          <w:rFonts w:ascii="Times New Roman" w:hAnsi="Times New Roman" w:cs="Times New Roman"/>
          <w:b/>
          <w:color w:val="0070C0"/>
          <w:sz w:val="18"/>
          <w:szCs w:val="18"/>
        </w:rPr>
        <w:t>In 2016-2017, the private consumption is expected to grow by 1</w:t>
      </w:r>
      <w:r w:rsidR="00C07275">
        <w:rPr>
          <w:rFonts w:ascii="Times New Roman" w:hAnsi="Times New Roman" w:cs="Times New Roman"/>
          <w:b/>
          <w:color w:val="0070C0"/>
          <w:sz w:val="18"/>
          <w:szCs w:val="18"/>
        </w:rPr>
        <w:t>%</w:t>
      </w:r>
      <w:r w:rsidRPr="001F5BDC">
        <w:rPr>
          <w:rFonts w:ascii="Times New Roman" w:hAnsi="Times New Roman" w:cs="Times New Roman"/>
          <w:b/>
          <w:color w:val="0070C0"/>
          <w:sz w:val="18"/>
          <w:szCs w:val="18"/>
        </w:rPr>
        <w:t>-3% and private investment, by 3</w:t>
      </w:r>
      <w:r w:rsidR="00C07275">
        <w:rPr>
          <w:rFonts w:ascii="Times New Roman" w:hAnsi="Times New Roman" w:cs="Times New Roman"/>
          <w:b/>
          <w:color w:val="0070C0"/>
          <w:sz w:val="18"/>
          <w:szCs w:val="18"/>
        </w:rPr>
        <w:t>%</w:t>
      </w:r>
      <w:r w:rsidRPr="001F5BDC">
        <w:rPr>
          <w:rFonts w:ascii="Times New Roman" w:hAnsi="Times New Roman" w:cs="Times New Roman"/>
          <w:b/>
          <w:color w:val="0070C0"/>
          <w:sz w:val="18"/>
          <w:szCs w:val="18"/>
        </w:rPr>
        <w:t>-4%...</w:t>
      </w:r>
    </w:p>
    <w:p w14:paraId="6C016E55" w14:textId="77777777" w:rsidR="00383E7A" w:rsidRDefault="005A1C7A"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The 2015 e</w:t>
      </w:r>
      <w:r w:rsidRPr="005A1C7A">
        <w:rPr>
          <w:rFonts w:ascii="Times New Roman" w:hAnsi="Times New Roman" w:cs="Times New Roman"/>
          <w:sz w:val="21"/>
          <w:szCs w:val="21"/>
        </w:rPr>
        <w:t xml:space="preserve">xpansionary fiscal policy, gradual </w:t>
      </w:r>
      <w:r>
        <w:rPr>
          <w:rFonts w:ascii="Times New Roman" w:hAnsi="Times New Roman" w:cs="Times New Roman"/>
          <w:sz w:val="21"/>
          <w:szCs w:val="21"/>
        </w:rPr>
        <w:t xml:space="preserve">easing of monetary conditions in the </w:t>
      </w:r>
      <w:r w:rsidRPr="005A1C7A">
        <w:rPr>
          <w:rFonts w:ascii="Times New Roman" w:hAnsi="Times New Roman" w:cs="Times New Roman"/>
          <w:sz w:val="21"/>
          <w:szCs w:val="21"/>
        </w:rPr>
        <w:t>forecast horizon</w:t>
      </w:r>
      <w:r w:rsidR="00383E7A">
        <w:rPr>
          <w:rFonts w:ascii="Times New Roman" w:hAnsi="Times New Roman" w:cs="Times New Roman"/>
          <w:sz w:val="21"/>
          <w:szCs w:val="21"/>
        </w:rPr>
        <w:t xml:space="preserve">, </w:t>
      </w:r>
      <w:r w:rsidR="00383E7A" w:rsidRPr="005A1C7A">
        <w:rPr>
          <w:rFonts w:ascii="Times New Roman" w:hAnsi="Times New Roman" w:cs="Times New Roman"/>
          <w:sz w:val="21"/>
          <w:szCs w:val="21"/>
        </w:rPr>
        <w:t xml:space="preserve">lingering effects of monetary incentives </w:t>
      </w:r>
      <w:r w:rsidR="00383E7A">
        <w:rPr>
          <w:rFonts w:ascii="Times New Roman" w:hAnsi="Times New Roman" w:cs="Times New Roman"/>
          <w:sz w:val="21"/>
          <w:szCs w:val="21"/>
        </w:rPr>
        <w:t xml:space="preserve">provided to the </w:t>
      </w:r>
      <w:r w:rsidRPr="005A1C7A">
        <w:rPr>
          <w:rFonts w:ascii="Times New Roman" w:hAnsi="Times New Roman" w:cs="Times New Roman"/>
          <w:sz w:val="21"/>
          <w:szCs w:val="21"/>
        </w:rPr>
        <w:t xml:space="preserve">economy during 2014, as well as </w:t>
      </w:r>
      <w:r w:rsidR="00383E7A">
        <w:rPr>
          <w:rFonts w:ascii="Times New Roman" w:hAnsi="Times New Roman" w:cs="Times New Roman"/>
          <w:sz w:val="21"/>
          <w:szCs w:val="21"/>
        </w:rPr>
        <w:t xml:space="preserve">improving external economic environment and </w:t>
      </w:r>
      <w:r w:rsidRPr="005A1C7A">
        <w:rPr>
          <w:rFonts w:ascii="Times New Roman" w:hAnsi="Times New Roman" w:cs="Times New Roman"/>
          <w:sz w:val="21"/>
          <w:szCs w:val="21"/>
        </w:rPr>
        <w:t>Russia's economic recovery</w:t>
      </w:r>
      <w:r w:rsidR="00383E7A">
        <w:rPr>
          <w:rFonts w:ascii="Times New Roman" w:hAnsi="Times New Roman" w:cs="Times New Roman"/>
          <w:sz w:val="21"/>
          <w:szCs w:val="21"/>
        </w:rPr>
        <w:t>,</w:t>
      </w:r>
      <w:r w:rsidRPr="005A1C7A">
        <w:rPr>
          <w:rFonts w:ascii="Times New Roman" w:hAnsi="Times New Roman" w:cs="Times New Roman"/>
          <w:sz w:val="21"/>
          <w:szCs w:val="21"/>
        </w:rPr>
        <w:t xml:space="preserve"> </w:t>
      </w:r>
      <w:r w:rsidR="00383E7A">
        <w:rPr>
          <w:rFonts w:ascii="Times New Roman" w:hAnsi="Times New Roman" w:cs="Times New Roman"/>
          <w:sz w:val="21"/>
          <w:szCs w:val="21"/>
        </w:rPr>
        <w:t xml:space="preserve">in particular, will cushion the decline in </w:t>
      </w:r>
      <w:r w:rsidRPr="005A1C7A">
        <w:rPr>
          <w:rFonts w:ascii="Times New Roman" w:hAnsi="Times New Roman" w:cs="Times New Roman"/>
          <w:sz w:val="21"/>
          <w:szCs w:val="21"/>
        </w:rPr>
        <w:t xml:space="preserve">private consumption and investment </w:t>
      </w:r>
      <w:r w:rsidR="00383E7A">
        <w:rPr>
          <w:rFonts w:ascii="Times New Roman" w:hAnsi="Times New Roman" w:cs="Times New Roman"/>
          <w:sz w:val="21"/>
          <w:szCs w:val="21"/>
        </w:rPr>
        <w:t>in</w:t>
      </w:r>
      <w:r w:rsidRPr="005A1C7A">
        <w:rPr>
          <w:rFonts w:ascii="Times New Roman" w:hAnsi="Times New Roman" w:cs="Times New Roman"/>
          <w:sz w:val="21"/>
          <w:szCs w:val="21"/>
        </w:rPr>
        <w:t xml:space="preserve"> 2015 and </w:t>
      </w:r>
      <w:r w:rsidR="00383E7A">
        <w:rPr>
          <w:rFonts w:ascii="Times New Roman" w:hAnsi="Times New Roman" w:cs="Times New Roman"/>
          <w:sz w:val="21"/>
          <w:szCs w:val="21"/>
        </w:rPr>
        <w:t xml:space="preserve">even </w:t>
      </w:r>
      <w:r w:rsidRPr="005A1C7A">
        <w:rPr>
          <w:rFonts w:ascii="Times New Roman" w:hAnsi="Times New Roman" w:cs="Times New Roman"/>
          <w:sz w:val="21"/>
          <w:szCs w:val="21"/>
        </w:rPr>
        <w:t>stimulate their growth in 2016-2017</w:t>
      </w:r>
      <w:r w:rsidR="00383E7A">
        <w:rPr>
          <w:rFonts w:ascii="Times New Roman" w:hAnsi="Times New Roman" w:cs="Times New Roman"/>
          <w:sz w:val="21"/>
          <w:szCs w:val="21"/>
        </w:rPr>
        <w:t>.</w:t>
      </w:r>
      <w:r w:rsidRPr="005A1C7A">
        <w:rPr>
          <w:rFonts w:ascii="Times New Roman" w:hAnsi="Times New Roman" w:cs="Times New Roman"/>
          <w:sz w:val="21"/>
          <w:szCs w:val="21"/>
        </w:rPr>
        <w:t xml:space="preserve"> </w:t>
      </w:r>
      <w:r w:rsidR="00383E7A">
        <w:rPr>
          <w:rFonts w:ascii="Times New Roman" w:hAnsi="Times New Roman" w:cs="Times New Roman"/>
          <w:sz w:val="21"/>
          <w:szCs w:val="21"/>
        </w:rPr>
        <w:t>A</w:t>
      </w:r>
      <w:r w:rsidRPr="005A1C7A">
        <w:rPr>
          <w:rFonts w:ascii="Times New Roman" w:hAnsi="Times New Roman" w:cs="Times New Roman"/>
          <w:sz w:val="21"/>
          <w:szCs w:val="21"/>
        </w:rPr>
        <w:t>s a result</w:t>
      </w:r>
      <w:r w:rsidR="00383E7A">
        <w:rPr>
          <w:rFonts w:ascii="Times New Roman" w:hAnsi="Times New Roman" w:cs="Times New Roman"/>
          <w:sz w:val="21"/>
          <w:szCs w:val="21"/>
        </w:rPr>
        <w:t>,</w:t>
      </w:r>
      <w:r w:rsidRPr="005A1C7A">
        <w:rPr>
          <w:rFonts w:ascii="Times New Roman" w:hAnsi="Times New Roman" w:cs="Times New Roman"/>
          <w:sz w:val="21"/>
          <w:szCs w:val="21"/>
        </w:rPr>
        <w:t xml:space="preserve"> </w:t>
      </w:r>
      <w:r w:rsidR="00383E7A">
        <w:rPr>
          <w:rFonts w:ascii="Times New Roman" w:hAnsi="Times New Roman" w:cs="Times New Roman"/>
          <w:sz w:val="21"/>
          <w:szCs w:val="21"/>
        </w:rPr>
        <w:t xml:space="preserve">the </w:t>
      </w:r>
      <w:r w:rsidR="00383E7A" w:rsidRPr="005A1C7A">
        <w:rPr>
          <w:rFonts w:ascii="Times New Roman" w:hAnsi="Times New Roman" w:cs="Times New Roman"/>
          <w:sz w:val="21"/>
          <w:szCs w:val="21"/>
        </w:rPr>
        <w:t xml:space="preserve">private consumption </w:t>
      </w:r>
      <w:r w:rsidRPr="005A1C7A">
        <w:rPr>
          <w:rFonts w:ascii="Times New Roman" w:hAnsi="Times New Roman" w:cs="Times New Roman"/>
          <w:sz w:val="21"/>
          <w:szCs w:val="21"/>
        </w:rPr>
        <w:t xml:space="preserve">is expected </w:t>
      </w:r>
      <w:r w:rsidR="00383E7A">
        <w:rPr>
          <w:rFonts w:ascii="Times New Roman" w:hAnsi="Times New Roman" w:cs="Times New Roman"/>
          <w:sz w:val="21"/>
          <w:szCs w:val="21"/>
        </w:rPr>
        <w:t xml:space="preserve">to grow </w:t>
      </w:r>
      <w:r w:rsidRPr="005A1C7A">
        <w:rPr>
          <w:rFonts w:ascii="Times New Roman" w:hAnsi="Times New Roman" w:cs="Times New Roman"/>
          <w:sz w:val="21"/>
          <w:szCs w:val="21"/>
        </w:rPr>
        <w:t>in 2016 and 2017</w:t>
      </w:r>
      <w:r w:rsidR="00383E7A">
        <w:rPr>
          <w:rFonts w:ascii="Times New Roman" w:hAnsi="Times New Roman" w:cs="Times New Roman"/>
          <w:sz w:val="21"/>
          <w:szCs w:val="21"/>
        </w:rPr>
        <w:t xml:space="preserve"> by </w:t>
      </w:r>
      <w:r w:rsidRPr="005A1C7A">
        <w:rPr>
          <w:rFonts w:ascii="Times New Roman" w:hAnsi="Times New Roman" w:cs="Times New Roman"/>
          <w:sz w:val="21"/>
          <w:szCs w:val="21"/>
        </w:rPr>
        <w:t>1</w:t>
      </w:r>
      <w:r w:rsidR="00C07275">
        <w:rPr>
          <w:rFonts w:ascii="Times New Roman" w:hAnsi="Times New Roman" w:cs="Times New Roman"/>
          <w:sz w:val="21"/>
          <w:szCs w:val="21"/>
        </w:rPr>
        <w:t>%</w:t>
      </w:r>
      <w:r w:rsidRPr="005A1C7A">
        <w:rPr>
          <w:rFonts w:ascii="Times New Roman" w:hAnsi="Times New Roman" w:cs="Times New Roman"/>
          <w:sz w:val="21"/>
          <w:szCs w:val="21"/>
        </w:rPr>
        <w:t>-1.5% and 2</w:t>
      </w:r>
      <w:r w:rsidR="00C07275">
        <w:rPr>
          <w:rFonts w:ascii="Times New Roman" w:hAnsi="Times New Roman" w:cs="Times New Roman"/>
          <w:sz w:val="21"/>
          <w:szCs w:val="21"/>
        </w:rPr>
        <w:t>%</w:t>
      </w:r>
      <w:r w:rsidRPr="005A1C7A">
        <w:rPr>
          <w:rFonts w:ascii="Times New Roman" w:hAnsi="Times New Roman" w:cs="Times New Roman"/>
          <w:sz w:val="21"/>
          <w:szCs w:val="21"/>
        </w:rPr>
        <w:t>-3%, respectively.</w:t>
      </w:r>
      <w:r w:rsidR="00383E7A">
        <w:rPr>
          <w:rFonts w:ascii="Times New Roman" w:hAnsi="Times New Roman" w:cs="Times New Roman"/>
          <w:sz w:val="21"/>
          <w:szCs w:val="21"/>
        </w:rPr>
        <w:t xml:space="preserve"> </w:t>
      </w:r>
    </w:p>
    <w:p w14:paraId="0DF293EA" w14:textId="5FF6CCB7" w:rsidR="00221163" w:rsidRDefault="00CD3CA7"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w:t>
      </w:r>
      <w:r w:rsidRPr="00CD3CA7">
        <w:rPr>
          <w:rFonts w:ascii="Times New Roman" w:hAnsi="Times New Roman" w:cs="Times New Roman"/>
          <w:sz w:val="21"/>
          <w:szCs w:val="21"/>
        </w:rPr>
        <w:t xml:space="preserve">private investment </w:t>
      </w:r>
      <w:r>
        <w:rPr>
          <w:rFonts w:ascii="Times New Roman" w:hAnsi="Times New Roman" w:cs="Times New Roman"/>
          <w:sz w:val="21"/>
          <w:szCs w:val="21"/>
        </w:rPr>
        <w:t xml:space="preserve">in </w:t>
      </w:r>
      <w:r w:rsidRPr="00CD3CA7">
        <w:rPr>
          <w:rFonts w:ascii="Times New Roman" w:hAnsi="Times New Roman" w:cs="Times New Roman"/>
          <w:sz w:val="21"/>
          <w:szCs w:val="21"/>
        </w:rPr>
        <w:t xml:space="preserve">2016-2017 </w:t>
      </w:r>
      <w:r>
        <w:rPr>
          <w:rFonts w:ascii="Times New Roman" w:hAnsi="Times New Roman" w:cs="Times New Roman"/>
          <w:sz w:val="21"/>
          <w:szCs w:val="21"/>
        </w:rPr>
        <w:t>i</w:t>
      </w:r>
      <w:r w:rsidRPr="00CD3CA7">
        <w:rPr>
          <w:rFonts w:ascii="Times New Roman" w:hAnsi="Times New Roman" w:cs="Times New Roman"/>
          <w:sz w:val="21"/>
          <w:szCs w:val="21"/>
        </w:rPr>
        <w:t xml:space="preserve">s expected to </w:t>
      </w:r>
      <w:r>
        <w:rPr>
          <w:rFonts w:ascii="Times New Roman" w:hAnsi="Times New Roman" w:cs="Times New Roman"/>
          <w:sz w:val="21"/>
          <w:szCs w:val="21"/>
        </w:rPr>
        <w:t xml:space="preserve">post a </w:t>
      </w:r>
      <w:r w:rsidRPr="00CD3CA7">
        <w:rPr>
          <w:rFonts w:ascii="Times New Roman" w:hAnsi="Times New Roman" w:cs="Times New Roman"/>
          <w:sz w:val="21"/>
          <w:szCs w:val="21"/>
        </w:rPr>
        <w:t>3</w:t>
      </w:r>
      <w:r w:rsidR="000C1F47">
        <w:rPr>
          <w:rFonts w:ascii="Times New Roman" w:hAnsi="Times New Roman" w:cs="Times New Roman"/>
          <w:sz w:val="21"/>
          <w:szCs w:val="21"/>
        </w:rPr>
        <w:t>%</w:t>
      </w:r>
      <w:r w:rsidRPr="00CD3CA7">
        <w:rPr>
          <w:rFonts w:ascii="Times New Roman" w:hAnsi="Times New Roman" w:cs="Times New Roman"/>
          <w:sz w:val="21"/>
          <w:szCs w:val="21"/>
        </w:rPr>
        <w:t xml:space="preserve">-4% </w:t>
      </w:r>
      <w:r>
        <w:rPr>
          <w:rFonts w:ascii="Times New Roman" w:hAnsi="Times New Roman" w:cs="Times New Roman"/>
          <w:sz w:val="21"/>
          <w:szCs w:val="21"/>
        </w:rPr>
        <w:t xml:space="preserve">growth. </w:t>
      </w:r>
      <w:r w:rsidR="00946A6C">
        <w:rPr>
          <w:rFonts w:ascii="Times New Roman" w:hAnsi="Times New Roman" w:cs="Times New Roman"/>
          <w:sz w:val="21"/>
          <w:szCs w:val="21"/>
        </w:rPr>
        <w:t xml:space="preserve">There will be more investments owing to the ones expected in the tradable sectors of the economy, </w:t>
      </w:r>
      <w:r w:rsidRPr="00CD3CA7">
        <w:rPr>
          <w:rFonts w:ascii="Times New Roman" w:hAnsi="Times New Roman" w:cs="Times New Roman"/>
          <w:sz w:val="21"/>
          <w:szCs w:val="21"/>
        </w:rPr>
        <w:t xml:space="preserve">for which </w:t>
      </w:r>
      <w:r w:rsidR="00946A6C" w:rsidRPr="00CD3CA7">
        <w:rPr>
          <w:rFonts w:ascii="Times New Roman" w:hAnsi="Times New Roman" w:cs="Times New Roman"/>
          <w:sz w:val="21"/>
          <w:szCs w:val="21"/>
        </w:rPr>
        <w:t xml:space="preserve">recent </w:t>
      </w:r>
      <w:r w:rsidR="00946A6C">
        <w:rPr>
          <w:rFonts w:ascii="Times New Roman" w:hAnsi="Times New Roman" w:cs="Times New Roman"/>
          <w:sz w:val="21"/>
          <w:szCs w:val="21"/>
        </w:rPr>
        <w:t xml:space="preserve">depreciation of the dram exchange rate and resultant </w:t>
      </w:r>
      <w:r w:rsidR="00946A6C" w:rsidRPr="00CD3CA7">
        <w:rPr>
          <w:rFonts w:ascii="Times New Roman" w:hAnsi="Times New Roman" w:cs="Times New Roman"/>
          <w:sz w:val="21"/>
          <w:szCs w:val="21"/>
        </w:rPr>
        <w:t>structural changes in the economy</w:t>
      </w:r>
      <w:r w:rsidR="00946A6C">
        <w:rPr>
          <w:rFonts w:ascii="Times New Roman" w:hAnsi="Times New Roman" w:cs="Times New Roman"/>
          <w:sz w:val="21"/>
          <w:szCs w:val="21"/>
        </w:rPr>
        <w:t xml:space="preserve"> will be </w:t>
      </w:r>
      <w:r w:rsidR="000C1F47">
        <w:rPr>
          <w:rFonts w:ascii="Times New Roman" w:hAnsi="Times New Roman" w:cs="Times New Roman"/>
          <w:sz w:val="21"/>
          <w:szCs w:val="21"/>
        </w:rPr>
        <w:t xml:space="preserve">an important </w:t>
      </w:r>
      <w:r w:rsidR="00946A6C">
        <w:rPr>
          <w:rFonts w:ascii="Times New Roman" w:hAnsi="Times New Roman" w:cs="Times New Roman"/>
          <w:sz w:val="21"/>
          <w:szCs w:val="21"/>
        </w:rPr>
        <w:t xml:space="preserve">incentive. On the back of these developments, </w:t>
      </w:r>
      <w:r w:rsidR="00946A6C" w:rsidRPr="00CD3CA7">
        <w:rPr>
          <w:rFonts w:ascii="Times New Roman" w:hAnsi="Times New Roman" w:cs="Times New Roman"/>
          <w:sz w:val="21"/>
          <w:szCs w:val="21"/>
        </w:rPr>
        <w:t>recovery in investment activity</w:t>
      </w:r>
      <w:r w:rsidR="00946A6C">
        <w:rPr>
          <w:rFonts w:ascii="Times New Roman" w:hAnsi="Times New Roman" w:cs="Times New Roman"/>
          <w:sz w:val="21"/>
          <w:szCs w:val="21"/>
        </w:rPr>
        <w:t xml:space="preserve"> in the </w:t>
      </w:r>
      <w:r w:rsidRPr="00CD3CA7">
        <w:rPr>
          <w:rFonts w:ascii="Times New Roman" w:hAnsi="Times New Roman" w:cs="Times New Roman"/>
          <w:sz w:val="21"/>
          <w:szCs w:val="21"/>
        </w:rPr>
        <w:t>non-tradable sector</w:t>
      </w:r>
      <w:r w:rsidR="00946A6C">
        <w:rPr>
          <w:rFonts w:ascii="Times New Roman" w:hAnsi="Times New Roman" w:cs="Times New Roman"/>
          <w:sz w:val="21"/>
          <w:szCs w:val="21"/>
        </w:rPr>
        <w:t xml:space="preserve"> could be expected in </w:t>
      </w:r>
      <w:r w:rsidRPr="00CD3CA7">
        <w:rPr>
          <w:rFonts w:ascii="Times New Roman" w:hAnsi="Times New Roman" w:cs="Times New Roman"/>
          <w:sz w:val="21"/>
          <w:szCs w:val="21"/>
        </w:rPr>
        <w:t>2016-2017</w:t>
      </w:r>
      <w:r w:rsidR="00221163">
        <w:rPr>
          <w:rFonts w:ascii="Times New Roman" w:hAnsi="Times New Roman" w:cs="Times New Roman"/>
          <w:sz w:val="21"/>
          <w:szCs w:val="21"/>
        </w:rPr>
        <w:t xml:space="preserve">, </w:t>
      </w:r>
      <w:r w:rsidR="00D1744A">
        <w:rPr>
          <w:rFonts w:ascii="Times New Roman" w:hAnsi="Times New Roman" w:cs="Times New Roman"/>
          <w:sz w:val="21"/>
          <w:szCs w:val="21"/>
        </w:rPr>
        <w:t xml:space="preserve">although </w:t>
      </w:r>
      <w:r w:rsidR="00946A6C">
        <w:rPr>
          <w:rFonts w:ascii="Times New Roman" w:hAnsi="Times New Roman" w:cs="Times New Roman"/>
          <w:sz w:val="21"/>
          <w:szCs w:val="21"/>
        </w:rPr>
        <w:t>rather weaker than in the tradable sector</w:t>
      </w:r>
      <w:r w:rsidR="00221163">
        <w:rPr>
          <w:rFonts w:ascii="Times New Roman" w:hAnsi="Times New Roman" w:cs="Times New Roman"/>
          <w:sz w:val="21"/>
          <w:szCs w:val="21"/>
        </w:rPr>
        <w:t xml:space="preserve">. </w:t>
      </w:r>
    </w:p>
    <w:p w14:paraId="2E21342D" w14:textId="1A187CB2" w:rsidR="00A9653E" w:rsidRPr="00EC356F" w:rsidRDefault="0033786C" w:rsidP="00A9653E">
      <w:pPr>
        <w:spacing w:line="360" w:lineRule="auto"/>
        <w:jc w:val="both"/>
        <w:rPr>
          <w:rFonts w:ascii="Times New Roman" w:hAnsi="Times New Roman" w:cs="Times New Roman"/>
          <w:sz w:val="21"/>
          <w:szCs w:val="21"/>
        </w:rPr>
      </w:pPr>
      <w:r w:rsidRPr="0033786C">
        <w:rPr>
          <w:rFonts w:ascii="Times New Roman" w:hAnsi="Times New Roman" w:cs="Times New Roman"/>
          <w:b/>
          <w:sz w:val="21"/>
          <w:szCs w:val="21"/>
        </w:rPr>
        <w:t>In the forecast horizon</w:t>
      </w:r>
      <w:r>
        <w:rPr>
          <w:rFonts w:ascii="Times New Roman" w:hAnsi="Times New Roman" w:cs="Times New Roman"/>
          <w:sz w:val="21"/>
          <w:szCs w:val="21"/>
        </w:rPr>
        <w:t>, Armenia as a</w:t>
      </w:r>
      <w:r w:rsidR="00A9653E" w:rsidRPr="00EC356F">
        <w:rPr>
          <w:rFonts w:ascii="Times New Roman" w:hAnsi="Times New Roman" w:cs="Times New Roman"/>
          <w:sz w:val="21"/>
          <w:szCs w:val="21"/>
        </w:rPr>
        <w:t xml:space="preserve"> Eurasia </w:t>
      </w:r>
      <w:r w:rsidR="008864D9">
        <w:rPr>
          <w:rFonts w:ascii="Times New Roman" w:hAnsi="Times New Roman" w:cs="Times New Roman"/>
          <w:sz w:val="21"/>
          <w:szCs w:val="21"/>
        </w:rPr>
        <w:t>Economic Community</w:t>
      </w:r>
      <w:r>
        <w:rPr>
          <w:rFonts w:ascii="Times New Roman" w:hAnsi="Times New Roman" w:cs="Times New Roman"/>
          <w:sz w:val="21"/>
          <w:szCs w:val="21"/>
        </w:rPr>
        <w:t xml:space="preserve"> member will benefit from </w:t>
      </w:r>
      <w:r w:rsidR="00A9653E" w:rsidRPr="00EC356F">
        <w:rPr>
          <w:rFonts w:ascii="Times New Roman" w:hAnsi="Times New Roman" w:cs="Times New Roman"/>
          <w:sz w:val="21"/>
          <w:szCs w:val="21"/>
        </w:rPr>
        <w:t>more private investment flowing in</w:t>
      </w:r>
      <w:r>
        <w:rPr>
          <w:rFonts w:ascii="Times New Roman" w:hAnsi="Times New Roman" w:cs="Times New Roman"/>
          <w:sz w:val="21"/>
          <w:szCs w:val="21"/>
        </w:rPr>
        <w:t>to</w:t>
      </w:r>
      <w:r w:rsidR="00A9653E" w:rsidRPr="00EC356F">
        <w:rPr>
          <w:rFonts w:ascii="Times New Roman" w:hAnsi="Times New Roman" w:cs="Times New Roman"/>
          <w:sz w:val="21"/>
          <w:szCs w:val="21"/>
        </w:rPr>
        <w:t xml:space="preserve"> its economy </w:t>
      </w:r>
      <w:r w:rsidR="00D1744A">
        <w:rPr>
          <w:rFonts w:ascii="Times New Roman" w:hAnsi="Times New Roman" w:cs="Times New Roman"/>
          <w:sz w:val="21"/>
          <w:szCs w:val="21"/>
        </w:rPr>
        <w:t xml:space="preserve">as a result of </w:t>
      </w:r>
      <w:proofErr w:type="gramStart"/>
      <w:r w:rsidR="00D1744A">
        <w:rPr>
          <w:rFonts w:ascii="Times New Roman" w:hAnsi="Times New Roman" w:cs="Times New Roman"/>
          <w:sz w:val="21"/>
          <w:szCs w:val="21"/>
        </w:rPr>
        <w:t xml:space="preserve">the </w:t>
      </w:r>
      <w:r w:rsidR="00D1744A" w:rsidRPr="00EC356F">
        <w:rPr>
          <w:rFonts w:ascii="Times New Roman" w:hAnsi="Times New Roman" w:cs="Times New Roman"/>
          <w:sz w:val="21"/>
          <w:szCs w:val="21"/>
        </w:rPr>
        <w:t xml:space="preserve"> </w:t>
      </w:r>
      <w:r w:rsidR="00A9653E" w:rsidRPr="00EC356F">
        <w:rPr>
          <w:rFonts w:ascii="Times New Roman" w:hAnsi="Times New Roman" w:cs="Times New Roman"/>
          <w:sz w:val="21"/>
          <w:szCs w:val="21"/>
        </w:rPr>
        <w:t>implementation</w:t>
      </w:r>
      <w:proofErr w:type="gramEnd"/>
      <w:r w:rsidR="00A9653E" w:rsidRPr="00EC356F">
        <w:rPr>
          <w:rFonts w:ascii="Times New Roman" w:hAnsi="Times New Roman" w:cs="Times New Roman"/>
          <w:sz w:val="21"/>
          <w:szCs w:val="21"/>
        </w:rPr>
        <w:t xml:space="preserve"> of a variety of projects to be carried out with </w:t>
      </w:r>
      <w:r w:rsidR="008864D9">
        <w:rPr>
          <w:rFonts w:ascii="Times New Roman" w:hAnsi="Times New Roman" w:cs="Times New Roman"/>
          <w:sz w:val="21"/>
          <w:szCs w:val="21"/>
        </w:rPr>
        <w:t xml:space="preserve">EEC </w:t>
      </w:r>
      <w:r w:rsidR="00A9653E" w:rsidRPr="00EC356F">
        <w:rPr>
          <w:rFonts w:ascii="Times New Roman" w:hAnsi="Times New Roman" w:cs="Times New Roman"/>
          <w:sz w:val="21"/>
          <w:szCs w:val="21"/>
        </w:rPr>
        <w:t>member</w:t>
      </w:r>
      <w:r w:rsidR="008864D9">
        <w:rPr>
          <w:rFonts w:ascii="Times New Roman" w:hAnsi="Times New Roman" w:cs="Times New Roman"/>
          <w:sz w:val="21"/>
          <w:szCs w:val="21"/>
        </w:rPr>
        <w:t xml:space="preserve"> countries</w:t>
      </w:r>
      <w:r>
        <w:rPr>
          <w:rFonts w:ascii="Times New Roman" w:hAnsi="Times New Roman" w:cs="Times New Roman"/>
          <w:sz w:val="21"/>
          <w:szCs w:val="21"/>
        </w:rPr>
        <w:t xml:space="preserve"> and a free access to the EEC markets</w:t>
      </w:r>
      <w:r w:rsidR="00A9653E" w:rsidRPr="00EC356F">
        <w:rPr>
          <w:rFonts w:ascii="Times New Roman" w:hAnsi="Times New Roman" w:cs="Times New Roman"/>
          <w:sz w:val="21"/>
          <w:szCs w:val="21"/>
        </w:rPr>
        <w:t>.</w:t>
      </w:r>
    </w:p>
    <w:p w14:paraId="4ADB76B7" w14:textId="77777777" w:rsidR="003A59CE"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view of the </w:t>
      </w:r>
      <w:r w:rsidR="00F177D5">
        <w:rPr>
          <w:rFonts w:ascii="Times New Roman" w:hAnsi="Times New Roman" w:cs="Times New Roman"/>
          <w:sz w:val="21"/>
          <w:szCs w:val="21"/>
        </w:rPr>
        <w:t xml:space="preserve">aforementioned </w:t>
      </w:r>
      <w:r w:rsidRPr="00EC356F">
        <w:rPr>
          <w:rFonts w:ascii="Times New Roman" w:hAnsi="Times New Roman" w:cs="Times New Roman"/>
          <w:sz w:val="21"/>
          <w:szCs w:val="21"/>
        </w:rPr>
        <w:t>developments with private consumption and investment, in 201</w:t>
      </w:r>
      <w:r w:rsidR="00A742FB">
        <w:rPr>
          <w:rFonts w:ascii="Times New Roman" w:hAnsi="Times New Roman" w:cs="Times New Roman"/>
          <w:sz w:val="21"/>
          <w:szCs w:val="21"/>
        </w:rPr>
        <w:t>5</w:t>
      </w:r>
      <w:r w:rsidRPr="00EC356F">
        <w:rPr>
          <w:rFonts w:ascii="Times New Roman" w:hAnsi="Times New Roman" w:cs="Times New Roman"/>
          <w:sz w:val="21"/>
          <w:szCs w:val="21"/>
        </w:rPr>
        <w:t xml:space="preserve"> </w:t>
      </w:r>
      <w:r w:rsidR="00F177D5">
        <w:rPr>
          <w:rFonts w:ascii="Times New Roman" w:hAnsi="Times New Roman" w:cs="Times New Roman"/>
          <w:sz w:val="21"/>
          <w:szCs w:val="21"/>
        </w:rPr>
        <w:t xml:space="preserve">the private sector expenditures </w:t>
      </w:r>
      <w:r w:rsidRPr="00EC356F">
        <w:rPr>
          <w:rFonts w:ascii="Times New Roman" w:hAnsi="Times New Roman" w:cs="Times New Roman"/>
          <w:sz w:val="21"/>
          <w:szCs w:val="21"/>
        </w:rPr>
        <w:t xml:space="preserve">will </w:t>
      </w:r>
      <w:r w:rsidR="00F177D5">
        <w:rPr>
          <w:rFonts w:ascii="Times New Roman" w:hAnsi="Times New Roman" w:cs="Times New Roman"/>
          <w:sz w:val="21"/>
          <w:szCs w:val="21"/>
        </w:rPr>
        <w:t xml:space="preserve">reduce by </w:t>
      </w:r>
      <w:r w:rsidR="00A742FB">
        <w:rPr>
          <w:rFonts w:ascii="Times New Roman" w:hAnsi="Times New Roman" w:cs="Times New Roman"/>
          <w:sz w:val="21"/>
          <w:szCs w:val="21"/>
        </w:rPr>
        <w:t>5</w:t>
      </w:r>
      <w:r w:rsidR="00F177D5">
        <w:rPr>
          <w:rFonts w:ascii="Times New Roman" w:hAnsi="Times New Roman" w:cs="Times New Roman"/>
          <w:sz w:val="21"/>
          <w:szCs w:val="21"/>
        </w:rPr>
        <w:t xml:space="preserve">.2%. </w:t>
      </w:r>
      <w:r w:rsidR="002172D8">
        <w:rPr>
          <w:rFonts w:ascii="Times New Roman" w:hAnsi="Times New Roman" w:cs="Times New Roman"/>
          <w:sz w:val="21"/>
          <w:szCs w:val="21"/>
        </w:rPr>
        <w:t>Starting from 201</w:t>
      </w:r>
      <w:r w:rsidR="00A742FB">
        <w:rPr>
          <w:rFonts w:ascii="Times New Roman" w:hAnsi="Times New Roman" w:cs="Times New Roman"/>
          <w:sz w:val="21"/>
          <w:szCs w:val="21"/>
        </w:rPr>
        <w:t>6</w:t>
      </w:r>
      <w:r w:rsidR="002172D8">
        <w:rPr>
          <w:rFonts w:ascii="Times New Roman" w:hAnsi="Times New Roman" w:cs="Times New Roman"/>
          <w:sz w:val="21"/>
          <w:szCs w:val="21"/>
        </w:rPr>
        <w:t>, private spending will gradually recover and</w:t>
      </w:r>
      <w:r w:rsidRPr="00EC356F">
        <w:rPr>
          <w:rFonts w:ascii="Times New Roman" w:hAnsi="Times New Roman" w:cs="Times New Roman"/>
          <w:sz w:val="21"/>
          <w:szCs w:val="21"/>
        </w:rPr>
        <w:t xml:space="preserve"> in the end of </w:t>
      </w:r>
      <w:r w:rsidR="002172D8">
        <w:rPr>
          <w:rFonts w:ascii="Times New Roman" w:hAnsi="Times New Roman" w:cs="Times New Roman"/>
          <w:sz w:val="21"/>
          <w:szCs w:val="21"/>
        </w:rPr>
        <w:t xml:space="preserve">the </w:t>
      </w:r>
      <w:r w:rsidRPr="002172D8">
        <w:rPr>
          <w:rFonts w:ascii="Times New Roman" w:hAnsi="Times New Roman" w:cs="Times New Roman"/>
          <w:sz w:val="21"/>
          <w:szCs w:val="21"/>
        </w:rPr>
        <w:t>forecast horizon</w:t>
      </w:r>
      <w:r w:rsidRPr="00EC356F">
        <w:rPr>
          <w:rFonts w:ascii="Times New Roman" w:hAnsi="Times New Roman" w:cs="Times New Roman"/>
          <w:sz w:val="21"/>
          <w:szCs w:val="21"/>
        </w:rPr>
        <w:t xml:space="preserve"> will </w:t>
      </w:r>
      <w:r w:rsidR="00A742FB">
        <w:rPr>
          <w:rFonts w:ascii="Times New Roman" w:hAnsi="Times New Roman" w:cs="Times New Roman"/>
          <w:sz w:val="21"/>
          <w:szCs w:val="21"/>
        </w:rPr>
        <w:t>increase by 2</w:t>
      </w:r>
      <w:r w:rsidR="00EB2C36">
        <w:rPr>
          <w:rFonts w:ascii="Times New Roman" w:hAnsi="Times New Roman" w:cs="Times New Roman"/>
          <w:sz w:val="21"/>
          <w:szCs w:val="21"/>
        </w:rPr>
        <w:t>%</w:t>
      </w:r>
      <w:r w:rsidR="002172D8">
        <w:rPr>
          <w:rFonts w:ascii="Times New Roman" w:hAnsi="Times New Roman" w:cs="Times New Roman"/>
          <w:sz w:val="21"/>
          <w:szCs w:val="21"/>
        </w:rPr>
        <w:t>-</w:t>
      </w:r>
      <w:r w:rsidR="00A742FB">
        <w:rPr>
          <w:rFonts w:ascii="Times New Roman" w:hAnsi="Times New Roman" w:cs="Times New Roman"/>
          <w:sz w:val="21"/>
          <w:szCs w:val="21"/>
        </w:rPr>
        <w:t>3</w:t>
      </w:r>
      <w:r w:rsidR="002172D8">
        <w:rPr>
          <w:rFonts w:ascii="Times New Roman" w:hAnsi="Times New Roman" w:cs="Times New Roman"/>
          <w:sz w:val="21"/>
          <w:szCs w:val="21"/>
        </w:rPr>
        <w:t>.0%</w:t>
      </w:r>
      <w:r w:rsidR="00A742FB">
        <w:rPr>
          <w:rFonts w:ascii="Times New Roman" w:hAnsi="Times New Roman" w:cs="Times New Roman"/>
          <w:sz w:val="21"/>
          <w:szCs w:val="21"/>
        </w:rPr>
        <w:t>.</w:t>
      </w:r>
      <w:r w:rsidR="002172D8">
        <w:rPr>
          <w:rFonts w:ascii="Times New Roman" w:hAnsi="Times New Roman" w:cs="Times New Roman"/>
          <w:sz w:val="21"/>
          <w:szCs w:val="21"/>
        </w:rPr>
        <w:t xml:space="preserve"> </w:t>
      </w:r>
    </w:p>
    <w:p w14:paraId="6066388C" w14:textId="77777777" w:rsidR="009A0518" w:rsidRDefault="003772D1"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T</w:t>
      </w:r>
      <w:r w:rsidR="00A9653E" w:rsidRPr="003772D1">
        <w:rPr>
          <w:rFonts w:ascii="Times New Roman" w:hAnsi="Times New Roman" w:cs="Times New Roman"/>
          <w:sz w:val="21"/>
          <w:szCs w:val="21"/>
        </w:rPr>
        <w:t xml:space="preserve">he private spending gap </w:t>
      </w:r>
      <w:r>
        <w:rPr>
          <w:rFonts w:ascii="Times New Roman" w:hAnsi="Times New Roman" w:cs="Times New Roman"/>
          <w:sz w:val="21"/>
          <w:szCs w:val="21"/>
        </w:rPr>
        <w:t>in the period 201</w:t>
      </w:r>
      <w:r w:rsidR="009A0518">
        <w:rPr>
          <w:rFonts w:ascii="Times New Roman" w:hAnsi="Times New Roman" w:cs="Times New Roman"/>
          <w:sz w:val="21"/>
          <w:szCs w:val="21"/>
        </w:rPr>
        <w:t>5</w:t>
      </w:r>
      <w:r>
        <w:rPr>
          <w:rFonts w:ascii="Times New Roman" w:hAnsi="Times New Roman" w:cs="Times New Roman"/>
          <w:sz w:val="21"/>
          <w:szCs w:val="21"/>
        </w:rPr>
        <w:t>-201</w:t>
      </w:r>
      <w:r w:rsidR="009A0518">
        <w:rPr>
          <w:rFonts w:ascii="Times New Roman" w:hAnsi="Times New Roman" w:cs="Times New Roman"/>
          <w:sz w:val="21"/>
          <w:szCs w:val="21"/>
        </w:rPr>
        <w:t>7</w:t>
      </w:r>
      <w:r>
        <w:rPr>
          <w:rFonts w:ascii="Times New Roman" w:hAnsi="Times New Roman" w:cs="Times New Roman"/>
          <w:sz w:val="21"/>
          <w:szCs w:val="21"/>
        </w:rPr>
        <w:t xml:space="preserve"> is estimated </w:t>
      </w:r>
      <w:r w:rsidR="009E1168">
        <w:rPr>
          <w:rFonts w:ascii="Times New Roman" w:hAnsi="Times New Roman" w:cs="Times New Roman"/>
          <w:sz w:val="21"/>
          <w:szCs w:val="21"/>
        </w:rPr>
        <w:t xml:space="preserve">to be </w:t>
      </w:r>
      <w:r>
        <w:rPr>
          <w:rFonts w:ascii="Times New Roman" w:hAnsi="Times New Roman" w:cs="Times New Roman"/>
          <w:sz w:val="21"/>
          <w:szCs w:val="21"/>
        </w:rPr>
        <w:t>significantly negative</w:t>
      </w:r>
      <w:r w:rsidR="009A0518">
        <w:rPr>
          <w:rFonts w:ascii="Times New Roman" w:hAnsi="Times New Roman" w:cs="Times New Roman"/>
          <w:sz w:val="21"/>
          <w:szCs w:val="21"/>
        </w:rPr>
        <w:t xml:space="preserve">, although the </w:t>
      </w:r>
      <w:r w:rsidR="009A0518" w:rsidRPr="009A0518">
        <w:rPr>
          <w:rFonts w:ascii="Times New Roman" w:hAnsi="Times New Roman" w:cs="Times New Roman"/>
          <w:sz w:val="21"/>
          <w:szCs w:val="21"/>
        </w:rPr>
        <w:t xml:space="preserve">private spending growth </w:t>
      </w:r>
      <w:r w:rsidR="009A0518">
        <w:rPr>
          <w:rFonts w:ascii="Times New Roman" w:hAnsi="Times New Roman" w:cs="Times New Roman"/>
          <w:sz w:val="21"/>
          <w:szCs w:val="21"/>
        </w:rPr>
        <w:t>on</w:t>
      </w:r>
      <w:r w:rsidR="009A0518" w:rsidRPr="009A0518">
        <w:rPr>
          <w:rFonts w:ascii="Times New Roman" w:hAnsi="Times New Roman" w:cs="Times New Roman"/>
          <w:sz w:val="21"/>
          <w:szCs w:val="21"/>
        </w:rPr>
        <w:t xml:space="preserve"> the medium</w:t>
      </w:r>
      <w:r w:rsidR="009A0518">
        <w:rPr>
          <w:rFonts w:ascii="Times New Roman" w:hAnsi="Times New Roman" w:cs="Times New Roman"/>
          <w:sz w:val="21"/>
          <w:szCs w:val="21"/>
        </w:rPr>
        <w:t>-</w:t>
      </w:r>
      <w:r w:rsidR="009A0518" w:rsidRPr="009A0518">
        <w:rPr>
          <w:rFonts w:ascii="Times New Roman" w:hAnsi="Times New Roman" w:cs="Times New Roman"/>
          <w:sz w:val="21"/>
          <w:szCs w:val="21"/>
        </w:rPr>
        <w:t xml:space="preserve">term </w:t>
      </w:r>
      <w:r w:rsidR="009A0518">
        <w:rPr>
          <w:rFonts w:ascii="Times New Roman" w:hAnsi="Times New Roman" w:cs="Times New Roman"/>
          <w:sz w:val="21"/>
          <w:szCs w:val="21"/>
        </w:rPr>
        <w:t>path</w:t>
      </w:r>
      <w:r w:rsidR="009A0518" w:rsidRPr="009A0518">
        <w:rPr>
          <w:rFonts w:ascii="Times New Roman" w:hAnsi="Times New Roman" w:cs="Times New Roman"/>
          <w:sz w:val="21"/>
          <w:szCs w:val="21"/>
        </w:rPr>
        <w:t xml:space="preserve"> is </w:t>
      </w:r>
      <w:r w:rsidR="009A0518">
        <w:rPr>
          <w:rFonts w:ascii="Times New Roman" w:hAnsi="Times New Roman" w:cs="Times New Roman"/>
          <w:sz w:val="21"/>
          <w:szCs w:val="21"/>
        </w:rPr>
        <w:t xml:space="preserve">estimated to be </w:t>
      </w:r>
      <w:r w:rsidR="009A0518" w:rsidRPr="009A0518">
        <w:rPr>
          <w:rFonts w:ascii="Times New Roman" w:hAnsi="Times New Roman" w:cs="Times New Roman"/>
          <w:sz w:val="21"/>
          <w:szCs w:val="21"/>
        </w:rPr>
        <w:t xml:space="preserve">lower </w:t>
      </w:r>
      <w:r w:rsidR="009A0518">
        <w:rPr>
          <w:rFonts w:ascii="Times New Roman" w:hAnsi="Times New Roman" w:cs="Times New Roman"/>
          <w:sz w:val="21"/>
          <w:szCs w:val="21"/>
        </w:rPr>
        <w:t xml:space="preserve">in relation to former forecasts. </w:t>
      </w:r>
    </w:p>
    <w:p w14:paraId="4C944C8B" w14:textId="77777777" w:rsidR="00A9653E" w:rsidRPr="00EC356F" w:rsidRDefault="00724628" w:rsidP="00A9653E">
      <w:pPr>
        <w:spacing w:line="360" w:lineRule="auto"/>
        <w:jc w:val="both"/>
        <w:rPr>
          <w:rFonts w:ascii="Times New Roman" w:hAnsi="Times New Roman" w:cs="Times New Roman"/>
          <w:sz w:val="21"/>
          <w:szCs w:val="21"/>
        </w:rPr>
      </w:pPr>
      <w:r w:rsidRPr="00724628">
        <w:rPr>
          <w:rFonts w:ascii="Times New Roman" w:hAnsi="Times New Roman" w:cs="Times New Roman"/>
          <w:sz w:val="21"/>
          <w:szCs w:val="21"/>
        </w:rPr>
        <w:t xml:space="preserve">The expansionary fiscal policy to be implemented </w:t>
      </w:r>
      <w:r>
        <w:rPr>
          <w:rFonts w:ascii="Times New Roman" w:hAnsi="Times New Roman" w:cs="Times New Roman"/>
          <w:sz w:val="21"/>
          <w:szCs w:val="21"/>
        </w:rPr>
        <w:t xml:space="preserve">in the </w:t>
      </w:r>
      <w:r w:rsidRPr="00724628">
        <w:rPr>
          <w:rFonts w:ascii="Times New Roman" w:hAnsi="Times New Roman" w:cs="Times New Roman"/>
          <w:sz w:val="21"/>
          <w:szCs w:val="21"/>
        </w:rPr>
        <w:t xml:space="preserve">domestic economy, gradual </w:t>
      </w:r>
      <w:r>
        <w:rPr>
          <w:rFonts w:ascii="Times New Roman" w:hAnsi="Times New Roman" w:cs="Times New Roman"/>
          <w:sz w:val="21"/>
          <w:szCs w:val="21"/>
        </w:rPr>
        <w:t xml:space="preserve">easing of </w:t>
      </w:r>
      <w:r w:rsidRPr="00724628">
        <w:rPr>
          <w:rFonts w:ascii="Times New Roman" w:hAnsi="Times New Roman" w:cs="Times New Roman"/>
          <w:sz w:val="21"/>
          <w:szCs w:val="21"/>
        </w:rPr>
        <w:t xml:space="preserve">monetary policy, </w:t>
      </w:r>
      <w:r>
        <w:rPr>
          <w:rFonts w:ascii="Times New Roman" w:hAnsi="Times New Roman" w:cs="Times New Roman"/>
          <w:sz w:val="21"/>
          <w:szCs w:val="21"/>
        </w:rPr>
        <w:t xml:space="preserve">as well as </w:t>
      </w:r>
      <w:r w:rsidRPr="00724628">
        <w:rPr>
          <w:rFonts w:ascii="Times New Roman" w:hAnsi="Times New Roman" w:cs="Times New Roman"/>
          <w:sz w:val="21"/>
          <w:szCs w:val="21"/>
        </w:rPr>
        <w:t xml:space="preserve">acceleration </w:t>
      </w:r>
      <w:r>
        <w:rPr>
          <w:rFonts w:ascii="Times New Roman" w:hAnsi="Times New Roman" w:cs="Times New Roman"/>
          <w:sz w:val="21"/>
          <w:szCs w:val="21"/>
        </w:rPr>
        <w:t>of economic growth in</w:t>
      </w:r>
      <w:r w:rsidRPr="00724628">
        <w:rPr>
          <w:rFonts w:ascii="Times New Roman" w:hAnsi="Times New Roman" w:cs="Times New Roman"/>
          <w:sz w:val="21"/>
          <w:szCs w:val="21"/>
        </w:rPr>
        <w:t xml:space="preserve"> </w:t>
      </w:r>
      <w:r>
        <w:rPr>
          <w:rFonts w:ascii="Times New Roman" w:hAnsi="Times New Roman" w:cs="Times New Roman"/>
          <w:sz w:val="21"/>
          <w:szCs w:val="21"/>
        </w:rPr>
        <w:t>Armenia</w:t>
      </w:r>
      <w:r w:rsidRPr="00724628">
        <w:rPr>
          <w:rFonts w:ascii="Times New Roman" w:hAnsi="Times New Roman" w:cs="Times New Roman"/>
          <w:sz w:val="21"/>
          <w:szCs w:val="21"/>
        </w:rPr>
        <w:t>'</w:t>
      </w:r>
      <w:r>
        <w:rPr>
          <w:rFonts w:ascii="Times New Roman" w:hAnsi="Times New Roman" w:cs="Times New Roman"/>
          <w:sz w:val="21"/>
          <w:szCs w:val="21"/>
        </w:rPr>
        <w:t xml:space="preserve">s </w:t>
      </w:r>
      <w:r w:rsidRPr="00724628">
        <w:rPr>
          <w:rFonts w:ascii="Times New Roman" w:hAnsi="Times New Roman" w:cs="Times New Roman"/>
          <w:sz w:val="21"/>
          <w:szCs w:val="21"/>
        </w:rPr>
        <w:t xml:space="preserve">main trading partner countries </w:t>
      </w:r>
      <w:r>
        <w:rPr>
          <w:rFonts w:ascii="Times New Roman" w:hAnsi="Times New Roman" w:cs="Times New Roman"/>
          <w:sz w:val="21"/>
          <w:szCs w:val="21"/>
        </w:rPr>
        <w:t>will g</w:t>
      </w:r>
      <w:r w:rsidRPr="00724628">
        <w:rPr>
          <w:rFonts w:ascii="Times New Roman" w:hAnsi="Times New Roman" w:cs="Times New Roman"/>
          <w:sz w:val="21"/>
          <w:szCs w:val="21"/>
        </w:rPr>
        <w:t>radually reduce</w:t>
      </w:r>
      <w:r>
        <w:rPr>
          <w:rFonts w:ascii="Times New Roman" w:hAnsi="Times New Roman" w:cs="Times New Roman"/>
          <w:sz w:val="21"/>
          <w:szCs w:val="21"/>
        </w:rPr>
        <w:t xml:space="preserve"> the negative </w:t>
      </w:r>
      <w:r w:rsidRPr="00724628">
        <w:rPr>
          <w:rFonts w:ascii="Times New Roman" w:hAnsi="Times New Roman" w:cs="Times New Roman"/>
          <w:sz w:val="21"/>
          <w:szCs w:val="21"/>
        </w:rPr>
        <w:t xml:space="preserve">private spending </w:t>
      </w:r>
      <w:r>
        <w:rPr>
          <w:rFonts w:ascii="Times New Roman" w:hAnsi="Times New Roman" w:cs="Times New Roman"/>
          <w:sz w:val="21"/>
          <w:szCs w:val="21"/>
        </w:rPr>
        <w:t xml:space="preserve">gap and </w:t>
      </w:r>
      <w:r w:rsidR="00EB2C36">
        <w:rPr>
          <w:rFonts w:ascii="Times New Roman" w:hAnsi="Times New Roman" w:cs="Times New Roman"/>
          <w:sz w:val="21"/>
          <w:szCs w:val="21"/>
        </w:rPr>
        <w:t>help</w:t>
      </w:r>
      <w:r>
        <w:rPr>
          <w:rFonts w:ascii="Times New Roman" w:hAnsi="Times New Roman" w:cs="Times New Roman"/>
          <w:sz w:val="21"/>
          <w:szCs w:val="21"/>
        </w:rPr>
        <w:t xml:space="preserve"> these </w:t>
      </w:r>
      <w:r w:rsidRPr="00724628">
        <w:rPr>
          <w:rFonts w:ascii="Times New Roman" w:hAnsi="Times New Roman" w:cs="Times New Roman"/>
          <w:sz w:val="21"/>
          <w:szCs w:val="21"/>
        </w:rPr>
        <w:t>imbalance</w:t>
      </w:r>
      <w:r>
        <w:rPr>
          <w:rFonts w:ascii="Times New Roman" w:hAnsi="Times New Roman" w:cs="Times New Roman"/>
          <w:sz w:val="21"/>
          <w:szCs w:val="21"/>
        </w:rPr>
        <w:t xml:space="preserve">s phase out </w:t>
      </w:r>
      <w:r w:rsidRPr="00724628">
        <w:rPr>
          <w:rFonts w:ascii="Times New Roman" w:hAnsi="Times New Roman" w:cs="Times New Roman"/>
          <w:sz w:val="21"/>
          <w:szCs w:val="21"/>
        </w:rPr>
        <w:t>in 2017.</w:t>
      </w:r>
      <w:r>
        <w:rPr>
          <w:rFonts w:ascii="Times New Roman" w:hAnsi="Times New Roman" w:cs="Times New Roman"/>
          <w:sz w:val="21"/>
          <w:szCs w:val="21"/>
        </w:rPr>
        <w:t xml:space="preserve"> </w:t>
      </w:r>
    </w:p>
    <w:p w14:paraId="704949BC" w14:textId="77777777" w:rsidR="00A9653E" w:rsidRPr="00EC356F" w:rsidRDefault="00DE1F94"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lastRenderedPageBreak/>
        <w:t>F</w:t>
      </w:r>
      <w:r w:rsidR="009158C0" w:rsidRPr="00DE1F94">
        <w:rPr>
          <w:rFonts w:ascii="Times New Roman" w:hAnsi="Times New Roman" w:cs="Times New Roman"/>
          <w:sz w:val="21"/>
          <w:szCs w:val="21"/>
        </w:rPr>
        <w:t xml:space="preserve">rom the </w:t>
      </w:r>
      <w:r>
        <w:rPr>
          <w:rFonts w:ascii="Times New Roman" w:hAnsi="Times New Roman" w:cs="Times New Roman"/>
          <w:sz w:val="21"/>
          <w:szCs w:val="21"/>
        </w:rPr>
        <w:t>1st</w:t>
      </w:r>
      <w:r w:rsidR="009158C0" w:rsidRPr="00DE1F94">
        <w:rPr>
          <w:rFonts w:ascii="Times New Roman" w:hAnsi="Times New Roman" w:cs="Times New Roman"/>
          <w:sz w:val="21"/>
          <w:szCs w:val="21"/>
        </w:rPr>
        <w:t xml:space="preserve"> quarter </w:t>
      </w:r>
      <w:r>
        <w:rPr>
          <w:rFonts w:ascii="Times New Roman" w:hAnsi="Times New Roman" w:cs="Times New Roman"/>
          <w:sz w:val="21"/>
          <w:szCs w:val="21"/>
        </w:rPr>
        <w:t>2015</w:t>
      </w:r>
      <w:r w:rsidR="009158C0" w:rsidRPr="00DE1F94">
        <w:rPr>
          <w:rFonts w:ascii="Times New Roman" w:hAnsi="Times New Roman" w:cs="Times New Roman"/>
          <w:sz w:val="21"/>
          <w:szCs w:val="21"/>
        </w:rPr>
        <w:t xml:space="preserve"> to the </w:t>
      </w:r>
      <w:r>
        <w:rPr>
          <w:rFonts w:ascii="Times New Roman" w:hAnsi="Times New Roman" w:cs="Times New Roman"/>
          <w:sz w:val="21"/>
          <w:szCs w:val="21"/>
        </w:rPr>
        <w:t>2nd</w:t>
      </w:r>
      <w:r w:rsidR="009158C0" w:rsidRPr="00DE1F94">
        <w:rPr>
          <w:rFonts w:ascii="Times New Roman" w:hAnsi="Times New Roman" w:cs="Times New Roman"/>
          <w:sz w:val="21"/>
          <w:szCs w:val="21"/>
        </w:rPr>
        <w:t xml:space="preserve"> quarter 201</w:t>
      </w:r>
      <w:r>
        <w:rPr>
          <w:rFonts w:ascii="Times New Roman" w:hAnsi="Times New Roman" w:cs="Times New Roman"/>
          <w:sz w:val="21"/>
          <w:szCs w:val="21"/>
        </w:rPr>
        <w:t>6</w:t>
      </w:r>
      <w:r w:rsidR="00A9653E" w:rsidRPr="00DE1F94">
        <w:rPr>
          <w:rFonts w:ascii="Times New Roman" w:hAnsi="Times New Roman" w:cs="Times New Roman"/>
          <w:sz w:val="21"/>
          <w:szCs w:val="21"/>
        </w:rPr>
        <w:t xml:space="preserve">, the </w:t>
      </w:r>
      <w:r w:rsidR="00A9653E" w:rsidRPr="00DE1F94">
        <w:rPr>
          <w:rFonts w:ascii="Times New Roman" w:hAnsi="Times New Roman" w:cs="Times New Roman"/>
          <w:b/>
          <w:sz w:val="21"/>
          <w:szCs w:val="21"/>
        </w:rPr>
        <w:t xml:space="preserve">private spending will create </w:t>
      </w:r>
      <w:r w:rsidRPr="00DE1F94">
        <w:rPr>
          <w:rFonts w:ascii="Times New Roman" w:hAnsi="Times New Roman" w:cs="Times New Roman"/>
          <w:b/>
          <w:sz w:val="21"/>
          <w:szCs w:val="21"/>
        </w:rPr>
        <w:t>some 2</w:t>
      </w:r>
      <w:r w:rsidR="00A9653E" w:rsidRPr="00DE1F94">
        <w:rPr>
          <w:rFonts w:ascii="Times New Roman" w:hAnsi="Times New Roman" w:cs="Times New Roman"/>
          <w:b/>
          <w:sz w:val="21"/>
          <w:szCs w:val="21"/>
        </w:rPr>
        <w:t>.</w:t>
      </w:r>
      <w:r w:rsidRPr="00DE1F94">
        <w:rPr>
          <w:rFonts w:ascii="Times New Roman" w:hAnsi="Times New Roman" w:cs="Times New Roman"/>
          <w:b/>
          <w:sz w:val="21"/>
          <w:szCs w:val="21"/>
        </w:rPr>
        <w:t>9</w:t>
      </w:r>
      <w:r w:rsidR="001D4390">
        <w:rPr>
          <w:rFonts w:ascii="Times New Roman" w:hAnsi="Times New Roman" w:cs="Times New Roman"/>
          <w:b/>
          <w:sz w:val="21"/>
          <w:szCs w:val="21"/>
        </w:rPr>
        <w:t xml:space="preserve"> pp </w:t>
      </w:r>
      <w:r w:rsidR="00A9653E" w:rsidRPr="00DE1F94">
        <w:rPr>
          <w:rFonts w:ascii="Times New Roman" w:hAnsi="Times New Roman" w:cs="Times New Roman"/>
          <w:b/>
          <w:sz w:val="21"/>
          <w:szCs w:val="21"/>
        </w:rPr>
        <w:t>-</w:t>
      </w:r>
      <w:r w:rsidR="001D4390">
        <w:rPr>
          <w:rFonts w:ascii="Times New Roman" w:hAnsi="Times New Roman" w:cs="Times New Roman"/>
          <w:b/>
          <w:sz w:val="21"/>
          <w:szCs w:val="21"/>
        </w:rPr>
        <w:t xml:space="preserve"> </w:t>
      </w:r>
      <w:r w:rsidRPr="00DE1F94">
        <w:rPr>
          <w:rFonts w:ascii="Times New Roman" w:hAnsi="Times New Roman" w:cs="Times New Roman"/>
          <w:b/>
          <w:sz w:val="21"/>
          <w:szCs w:val="21"/>
        </w:rPr>
        <w:t>3</w:t>
      </w:r>
      <w:r w:rsidR="00A9653E" w:rsidRPr="00DE1F94">
        <w:rPr>
          <w:rFonts w:ascii="Times New Roman" w:hAnsi="Times New Roman" w:cs="Times New Roman"/>
          <w:b/>
          <w:sz w:val="21"/>
          <w:szCs w:val="21"/>
        </w:rPr>
        <w:t>.</w:t>
      </w:r>
      <w:r>
        <w:rPr>
          <w:rFonts w:ascii="Times New Roman" w:hAnsi="Times New Roman" w:cs="Times New Roman"/>
          <w:b/>
          <w:sz w:val="21"/>
          <w:szCs w:val="21"/>
        </w:rPr>
        <w:t xml:space="preserve">1 pp of </w:t>
      </w:r>
      <w:r w:rsidR="00A9653E" w:rsidRPr="00DE1F94">
        <w:rPr>
          <w:rFonts w:ascii="Times New Roman" w:hAnsi="Times New Roman" w:cs="Times New Roman"/>
          <w:b/>
          <w:sz w:val="21"/>
          <w:szCs w:val="21"/>
        </w:rPr>
        <w:t xml:space="preserve">contractionary impact on </w:t>
      </w:r>
      <w:r w:rsidR="002F7190" w:rsidRPr="00DE1F94">
        <w:rPr>
          <w:rFonts w:ascii="Times New Roman" w:hAnsi="Times New Roman" w:cs="Times New Roman"/>
          <w:b/>
          <w:sz w:val="21"/>
          <w:szCs w:val="21"/>
        </w:rPr>
        <w:t xml:space="preserve">the </w:t>
      </w:r>
      <w:r w:rsidR="00A9653E" w:rsidRPr="00DE1F94">
        <w:rPr>
          <w:rFonts w:ascii="Times New Roman" w:hAnsi="Times New Roman" w:cs="Times New Roman"/>
          <w:b/>
          <w:sz w:val="21"/>
          <w:szCs w:val="21"/>
        </w:rPr>
        <w:t>inflation</w:t>
      </w:r>
      <w:r w:rsidR="00A9653E" w:rsidRPr="00EC356F">
        <w:rPr>
          <w:rFonts w:ascii="Times New Roman" w:hAnsi="Times New Roman" w:cs="Times New Roman"/>
          <w:sz w:val="21"/>
          <w:szCs w:val="21"/>
        </w:rPr>
        <w:t xml:space="preserve">. </w:t>
      </w:r>
      <w:r w:rsidR="002F7190">
        <w:rPr>
          <w:rFonts w:ascii="Times New Roman" w:hAnsi="Times New Roman" w:cs="Times New Roman"/>
          <w:sz w:val="21"/>
          <w:szCs w:val="21"/>
        </w:rPr>
        <w:t xml:space="preserve">In the period </w:t>
      </w:r>
      <w:r>
        <w:rPr>
          <w:rFonts w:ascii="Times New Roman" w:hAnsi="Times New Roman" w:cs="Times New Roman"/>
          <w:sz w:val="21"/>
          <w:szCs w:val="21"/>
        </w:rPr>
        <w:t>from the second half of 2016 up to the end of 2017, t</w:t>
      </w:r>
      <w:r w:rsidR="00A9653E" w:rsidRPr="00EC356F">
        <w:rPr>
          <w:rFonts w:ascii="Times New Roman" w:hAnsi="Times New Roman" w:cs="Times New Roman"/>
          <w:sz w:val="21"/>
          <w:szCs w:val="21"/>
        </w:rPr>
        <w:t xml:space="preserve">he private spending </w:t>
      </w:r>
      <w:r w:rsidR="002F7190">
        <w:rPr>
          <w:rFonts w:ascii="Times New Roman" w:hAnsi="Times New Roman" w:cs="Times New Roman"/>
          <w:sz w:val="21"/>
          <w:szCs w:val="21"/>
        </w:rPr>
        <w:t>will leave no considerable impact on the inflation</w:t>
      </w:r>
      <w:r w:rsidR="00A9653E" w:rsidRPr="00EC356F">
        <w:rPr>
          <w:rFonts w:ascii="Times New Roman" w:hAnsi="Times New Roman" w:cs="Times New Roman"/>
          <w:sz w:val="21"/>
          <w:szCs w:val="21"/>
        </w:rPr>
        <w:t xml:space="preserve">. </w:t>
      </w:r>
    </w:p>
    <w:p w14:paraId="469E97F3" w14:textId="77777777" w:rsidR="00A9653E" w:rsidRPr="00EC356F" w:rsidRDefault="00FB7E77"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In </w:t>
      </w:r>
      <w:r w:rsidR="00DE1F94">
        <w:rPr>
          <w:rFonts w:ascii="Times New Roman" w:hAnsi="Times New Roman" w:cs="Times New Roman"/>
          <w:bCs/>
          <w:iCs/>
          <w:sz w:val="21"/>
          <w:szCs w:val="21"/>
        </w:rPr>
        <w:t xml:space="preserve">the light of developments in the global and domestic economy, </w:t>
      </w:r>
      <w:r>
        <w:rPr>
          <w:rFonts w:ascii="Times New Roman" w:hAnsi="Times New Roman" w:cs="Times New Roman"/>
          <w:bCs/>
          <w:iCs/>
          <w:sz w:val="21"/>
          <w:szCs w:val="21"/>
        </w:rPr>
        <w:t xml:space="preserve">the deficit of current account will </w:t>
      </w:r>
      <w:r w:rsidR="00DE75ED">
        <w:rPr>
          <w:rFonts w:ascii="Times New Roman" w:hAnsi="Times New Roman" w:cs="Times New Roman"/>
          <w:bCs/>
          <w:iCs/>
          <w:sz w:val="21"/>
          <w:szCs w:val="21"/>
        </w:rPr>
        <w:t xml:space="preserve">grow, according to the Central Bank estimates. </w:t>
      </w:r>
      <w:r w:rsidR="00DE75ED" w:rsidRPr="00DE75ED">
        <w:rPr>
          <w:rFonts w:ascii="Times New Roman" w:hAnsi="Times New Roman" w:cs="Times New Roman"/>
          <w:b/>
          <w:bCs/>
          <w:iCs/>
          <w:sz w:val="21"/>
          <w:szCs w:val="21"/>
        </w:rPr>
        <w:t>In 2014, t</w:t>
      </w:r>
      <w:r w:rsidR="004B78E9" w:rsidRPr="00DE75ED">
        <w:rPr>
          <w:rFonts w:ascii="Times New Roman" w:hAnsi="Times New Roman" w:cs="Times New Roman"/>
          <w:b/>
          <w:bCs/>
          <w:iCs/>
          <w:sz w:val="21"/>
          <w:szCs w:val="21"/>
        </w:rPr>
        <w:t>he growth of export and import of goods a</w:t>
      </w:r>
      <w:r w:rsidR="00027CEC" w:rsidRPr="00DE75ED">
        <w:rPr>
          <w:rFonts w:ascii="Times New Roman" w:hAnsi="Times New Roman" w:cs="Times New Roman"/>
          <w:b/>
          <w:bCs/>
          <w:iCs/>
          <w:sz w:val="21"/>
          <w:szCs w:val="21"/>
        </w:rPr>
        <w:t>n</w:t>
      </w:r>
      <w:r w:rsidR="004B78E9" w:rsidRPr="00DE75ED">
        <w:rPr>
          <w:rFonts w:ascii="Times New Roman" w:hAnsi="Times New Roman" w:cs="Times New Roman"/>
          <w:b/>
          <w:bCs/>
          <w:iCs/>
          <w:sz w:val="21"/>
          <w:szCs w:val="21"/>
        </w:rPr>
        <w:t xml:space="preserve">d services in real terms </w:t>
      </w:r>
      <w:r w:rsidR="00DE75ED" w:rsidRPr="00DE75ED">
        <w:rPr>
          <w:rFonts w:ascii="Times New Roman" w:hAnsi="Times New Roman" w:cs="Times New Roman"/>
          <w:b/>
          <w:bCs/>
          <w:iCs/>
          <w:sz w:val="21"/>
          <w:szCs w:val="21"/>
        </w:rPr>
        <w:t xml:space="preserve">is estimated </w:t>
      </w:r>
      <w:r w:rsidR="00027CEC" w:rsidRPr="00DE75ED">
        <w:rPr>
          <w:rFonts w:ascii="Times New Roman" w:hAnsi="Times New Roman" w:cs="Times New Roman"/>
          <w:b/>
          <w:bCs/>
          <w:iCs/>
          <w:sz w:val="21"/>
          <w:szCs w:val="21"/>
        </w:rPr>
        <w:t>around 6%</w:t>
      </w:r>
      <w:r w:rsidR="00DE75ED">
        <w:rPr>
          <w:rFonts w:ascii="Times New Roman" w:hAnsi="Times New Roman" w:cs="Times New Roman"/>
          <w:bCs/>
          <w:iCs/>
          <w:sz w:val="21"/>
          <w:szCs w:val="21"/>
        </w:rPr>
        <w:t>.</w:t>
      </w:r>
      <w:r w:rsidR="00027CEC">
        <w:rPr>
          <w:rFonts w:ascii="Times New Roman" w:hAnsi="Times New Roman" w:cs="Times New Roman"/>
          <w:bCs/>
          <w:iCs/>
          <w:sz w:val="21"/>
          <w:szCs w:val="21"/>
        </w:rPr>
        <w:t xml:space="preserve"> </w:t>
      </w:r>
      <w:r w:rsidR="00DE75ED">
        <w:rPr>
          <w:rFonts w:ascii="Times New Roman" w:hAnsi="Times New Roman" w:cs="Times New Roman"/>
          <w:bCs/>
          <w:iCs/>
          <w:sz w:val="21"/>
          <w:szCs w:val="21"/>
        </w:rPr>
        <w:t>Under r</w:t>
      </w:r>
      <w:r w:rsidR="00DE75ED" w:rsidRPr="00DE75ED">
        <w:rPr>
          <w:rFonts w:ascii="Times New Roman" w:hAnsi="Times New Roman" w:cs="Times New Roman"/>
          <w:bCs/>
          <w:iCs/>
          <w:sz w:val="21"/>
          <w:szCs w:val="21"/>
        </w:rPr>
        <w:t>ecent economic developments</w:t>
      </w:r>
      <w:r w:rsidR="00DE75ED">
        <w:rPr>
          <w:rFonts w:ascii="Times New Roman" w:hAnsi="Times New Roman" w:cs="Times New Roman"/>
          <w:bCs/>
          <w:iCs/>
          <w:sz w:val="21"/>
          <w:szCs w:val="21"/>
        </w:rPr>
        <w:t xml:space="preserve"> in Russia when, among others, the country saw </w:t>
      </w:r>
      <w:r w:rsidR="00DE75ED" w:rsidRPr="00DE75ED">
        <w:rPr>
          <w:rFonts w:ascii="Times New Roman" w:hAnsi="Times New Roman" w:cs="Times New Roman"/>
          <w:bCs/>
          <w:iCs/>
          <w:sz w:val="21"/>
          <w:szCs w:val="21"/>
        </w:rPr>
        <w:t>a s</w:t>
      </w:r>
      <w:r w:rsidR="00DE75ED">
        <w:rPr>
          <w:rFonts w:ascii="Times New Roman" w:hAnsi="Times New Roman" w:cs="Times New Roman"/>
          <w:bCs/>
          <w:iCs/>
          <w:sz w:val="21"/>
          <w:szCs w:val="21"/>
        </w:rPr>
        <w:t xml:space="preserve">teep depreciation of the ruble in the 4th quarter, remittances of individuals have reduced by an estimated 9.4%. In the 4th quarter alone, </w:t>
      </w:r>
      <w:r w:rsidR="00AA491E">
        <w:rPr>
          <w:rFonts w:ascii="Times New Roman" w:hAnsi="Times New Roman" w:cs="Times New Roman"/>
          <w:bCs/>
          <w:iCs/>
          <w:sz w:val="21"/>
          <w:szCs w:val="21"/>
        </w:rPr>
        <w:t xml:space="preserve">the decrease in remittances amounted to </w:t>
      </w:r>
      <w:r w:rsidR="00DE75ED" w:rsidRPr="00DE75ED">
        <w:rPr>
          <w:rFonts w:ascii="Times New Roman" w:hAnsi="Times New Roman" w:cs="Times New Roman"/>
          <w:bCs/>
          <w:iCs/>
          <w:sz w:val="21"/>
          <w:szCs w:val="21"/>
        </w:rPr>
        <w:t>31.2%</w:t>
      </w:r>
      <w:r w:rsidR="00AA491E">
        <w:rPr>
          <w:rFonts w:ascii="Times New Roman" w:hAnsi="Times New Roman" w:cs="Times New Roman"/>
          <w:bCs/>
          <w:iCs/>
          <w:sz w:val="21"/>
          <w:szCs w:val="21"/>
        </w:rPr>
        <w:t xml:space="preserve"> y/y</w:t>
      </w:r>
      <w:r w:rsidR="00DE75ED" w:rsidRPr="00DE75ED">
        <w:rPr>
          <w:rFonts w:ascii="Times New Roman" w:hAnsi="Times New Roman" w:cs="Times New Roman"/>
          <w:bCs/>
          <w:iCs/>
          <w:sz w:val="21"/>
          <w:szCs w:val="21"/>
        </w:rPr>
        <w:t>.</w:t>
      </w:r>
      <w:r w:rsidR="00AA491E">
        <w:rPr>
          <w:rFonts w:ascii="Times New Roman" w:hAnsi="Times New Roman" w:cs="Times New Roman"/>
          <w:bCs/>
          <w:iCs/>
          <w:sz w:val="21"/>
          <w:szCs w:val="21"/>
        </w:rPr>
        <w:t xml:space="preserve"> </w:t>
      </w:r>
      <w:r w:rsidR="00A805EE">
        <w:rPr>
          <w:rFonts w:ascii="Times New Roman" w:hAnsi="Times New Roman" w:cs="Times New Roman"/>
          <w:bCs/>
          <w:iCs/>
          <w:sz w:val="21"/>
          <w:szCs w:val="21"/>
        </w:rPr>
        <w:t xml:space="preserve">On the back of such developments, </w:t>
      </w:r>
      <w:r w:rsidR="00A9653E" w:rsidRPr="00EC356F">
        <w:rPr>
          <w:rFonts w:ascii="Times New Roman" w:hAnsi="Times New Roman" w:cs="Times New Roman"/>
          <w:bCs/>
          <w:iCs/>
          <w:sz w:val="21"/>
          <w:szCs w:val="21"/>
        </w:rPr>
        <w:t>the Current Account Deficit</w:t>
      </w:r>
      <w:r w:rsidR="002D4FFB">
        <w:rPr>
          <w:rFonts w:ascii="Times New Roman" w:hAnsi="Times New Roman" w:cs="Times New Roman"/>
          <w:bCs/>
          <w:iCs/>
          <w:sz w:val="21"/>
          <w:szCs w:val="21"/>
        </w:rPr>
        <w:t>-to-</w:t>
      </w:r>
      <w:r w:rsidR="00A9653E" w:rsidRPr="00EC356F">
        <w:rPr>
          <w:rFonts w:ascii="Times New Roman" w:hAnsi="Times New Roman" w:cs="Times New Roman"/>
          <w:bCs/>
          <w:iCs/>
          <w:sz w:val="21"/>
          <w:szCs w:val="21"/>
        </w:rPr>
        <w:t>GDP ratio</w:t>
      </w:r>
      <w:r w:rsidR="00AA491E">
        <w:rPr>
          <w:rFonts w:ascii="Times New Roman" w:hAnsi="Times New Roman" w:cs="Times New Roman"/>
          <w:bCs/>
          <w:iCs/>
          <w:sz w:val="21"/>
          <w:szCs w:val="21"/>
        </w:rPr>
        <w:t xml:space="preserve"> in 2014</w:t>
      </w:r>
      <w:r w:rsidR="00A9653E" w:rsidRPr="00EC356F">
        <w:rPr>
          <w:rFonts w:ascii="Times New Roman" w:hAnsi="Times New Roman" w:cs="Times New Roman"/>
          <w:bCs/>
          <w:iCs/>
          <w:sz w:val="21"/>
          <w:szCs w:val="21"/>
        </w:rPr>
        <w:t xml:space="preserve"> w</w:t>
      </w:r>
      <w:r w:rsidR="00AA491E">
        <w:rPr>
          <w:rFonts w:ascii="Times New Roman" w:hAnsi="Times New Roman" w:cs="Times New Roman"/>
          <w:bCs/>
          <w:iCs/>
          <w:sz w:val="21"/>
          <w:szCs w:val="21"/>
        </w:rPr>
        <w:t>as</w:t>
      </w:r>
      <w:r w:rsidR="00A805EE">
        <w:rPr>
          <w:rFonts w:ascii="Times New Roman" w:hAnsi="Times New Roman" w:cs="Times New Roman"/>
          <w:bCs/>
          <w:iCs/>
          <w:sz w:val="21"/>
          <w:szCs w:val="21"/>
        </w:rPr>
        <w:t xml:space="preserve"> an estimated 10</w:t>
      </w:r>
      <w:r w:rsidR="00512D41">
        <w:rPr>
          <w:rFonts w:ascii="Times New Roman" w:hAnsi="Times New Roman" w:cs="Times New Roman"/>
          <w:bCs/>
          <w:iCs/>
          <w:sz w:val="21"/>
          <w:szCs w:val="21"/>
        </w:rPr>
        <w:t>.</w:t>
      </w:r>
      <w:r w:rsidR="00AA491E">
        <w:rPr>
          <w:rFonts w:ascii="Times New Roman" w:hAnsi="Times New Roman" w:cs="Times New Roman"/>
          <w:bCs/>
          <w:iCs/>
          <w:sz w:val="21"/>
          <w:szCs w:val="21"/>
        </w:rPr>
        <w:t>7</w:t>
      </w:r>
      <w:r w:rsidR="00A805EE">
        <w:rPr>
          <w:rFonts w:ascii="Times New Roman" w:hAnsi="Times New Roman" w:cs="Times New Roman"/>
          <w:bCs/>
          <w:iCs/>
          <w:sz w:val="21"/>
          <w:szCs w:val="21"/>
        </w:rPr>
        <w:t>%</w:t>
      </w:r>
      <w:r w:rsidR="00AA491E">
        <w:rPr>
          <w:rFonts w:ascii="Times New Roman" w:hAnsi="Times New Roman" w:cs="Times New Roman"/>
          <w:bCs/>
          <w:iCs/>
          <w:sz w:val="21"/>
          <w:szCs w:val="21"/>
        </w:rPr>
        <w:t xml:space="preserve"> </w:t>
      </w:r>
      <w:r w:rsidR="00A805EE">
        <w:rPr>
          <w:rFonts w:ascii="Times New Roman" w:hAnsi="Times New Roman" w:cs="Times New Roman"/>
          <w:bCs/>
          <w:iCs/>
          <w:sz w:val="21"/>
          <w:szCs w:val="21"/>
        </w:rPr>
        <w:t>against the previous year</w:t>
      </w:r>
      <w:r w:rsidR="00AA491E" w:rsidRPr="00494330">
        <w:rPr>
          <w:rFonts w:ascii="Times New Roman" w:hAnsi="Times New Roman" w:cs="Times New Roman"/>
          <w:sz w:val="21"/>
          <w:szCs w:val="21"/>
        </w:rPr>
        <w:t>'</w:t>
      </w:r>
      <w:r w:rsidR="00A805EE">
        <w:rPr>
          <w:rFonts w:ascii="Times New Roman" w:hAnsi="Times New Roman" w:cs="Times New Roman"/>
          <w:bCs/>
          <w:iCs/>
          <w:sz w:val="21"/>
          <w:szCs w:val="21"/>
        </w:rPr>
        <w:t>s 8</w:t>
      </w:r>
      <w:r w:rsidR="00512D41">
        <w:rPr>
          <w:rFonts w:ascii="Times New Roman" w:hAnsi="Times New Roman" w:cs="Times New Roman"/>
          <w:bCs/>
          <w:iCs/>
          <w:sz w:val="21"/>
          <w:szCs w:val="21"/>
        </w:rPr>
        <w:t>.0</w:t>
      </w:r>
      <w:r w:rsidR="00A805EE">
        <w:rPr>
          <w:rFonts w:ascii="Times New Roman" w:hAnsi="Times New Roman" w:cs="Times New Roman"/>
          <w:bCs/>
          <w:iCs/>
          <w:sz w:val="21"/>
          <w:szCs w:val="21"/>
        </w:rPr>
        <w:t>%.</w:t>
      </w:r>
      <w:r w:rsidR="00AA491E">
        <w:rPr>
          <w:rFonts w:ascii="Times New Roman" w:hAnsi="Times New Roman" w:cs="Times New Roman"/>
          <w:bCs/>
          <w:iCs/>
          <w:sz w:val="21"/>
          <w:szCs w:val="21"/>
        </w:rPr>
        <w:t xml:space="preserve">             </w:t>
      </w:r>
      <w:r w:rsidR="00A805EE">
        <w:rPr>
          <w:rFonts w:ascii="Times New Roman" w:hAnsi="Times New Roman" w:cs="Times New Roman"/>
          <w:bCs/>
          <w:iCs/>
          <w:sz w:val="21"/>
          <w:szCs w:val="21"/>
        </w:rPr>
        <w:t xml:space="preserve"> </w:t>
      </w:r>
    </w:p>
    <w:p w14:paraId="4D38196C" w14:textId="387487F0" w:rsidR="00F3141C" w:rsidRDefault="00CA112C"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T</w:t>
      </w:r>
      <w:r w:rsidR="00A5506A">
        <w:rPr>
          <w:rFonts w:ascii="Times New Roman" w:hAnsi="Times New Roman" w:cs="Times New Roman"/>
          <w:bCs/>
          <w:iCs/>
          <w:sz w:val="21"/>
          <w:szCs w:val="21"/>
        </w:rPr>
        <w:t xml:space="preserve">he Current Account Deficit-to </w:t>
      </w:r>
      <w:r w:rsidRPr="00EC356F">
        <w:rPr>
          <w:rFonts w:ascii="Times New Roman" w:hAnsi="Times New Roman" w:cs="Times New Roman"/>
          <w:bCs/>
          <w:iCs/>
          <w:sz w:val="21"/>
          <w:szCs w:val="21"/>
        </w:rPr>
        <w:t xml:space="preserve">GDP ratio </w:t>
      </w:r>
      <w:r w:rsidR="00302F5B">
        <w:rPr>
          <w:rFonts w:ascii="Times New Roman" w:hAnsi="Times New Roman" w:cs="Times New Roman"/>
          <w:bCs/>
          <w:iCs/>
          <w:sz w:val="21"/>
          <w:szCs w:val="21"/>
        </w:rPr>
        <w:t xml:space="preserve">will reduce in 2015 as global economy grows </w:t>
      </w:r>
      <w:r w:rsidR="00D8505D">
        <w:rPr>
          <w:rFonts w:ascii="Times New Roman" w:hAnsi="Times New Roman" w:cs="Times New Roman"/>
          <w:bCs/>
          <w:iCs/>
          <w:sz w:val="21"/>
          <w:szCs w:val="21"/>
        </w:rPr>
        <w:t xml:space="preserve">slowly </w:t>
      </w:r>
      <w:r w:rsidR="00302F5B">
        <w:rPr>
          <w:rFonts w:ascii="Times New Roman" w:hAnsi="Times New Roman" w:cs="Times New Roman"/>
          <w:bCs/>
          <w:iCs/>
          <w:sz w:val="21"/>
          <w:szCs w:val="21"/>
        </w:rPr>
        <w:t xml:space="preserve">and </w:t>
      </w:r>
      <w:r w:rsidR="00D8505D">
        <w:rPr>
          <w:rFonts w:ascii="Times New Roman" w:hAnsi="Times New Roman" w:cs="Times New Roman"/>
          <w:bCs/>
          <w:iCs/>
          <w:sz w:val="21"/>
          <w:szCs w:val="21"/>
        </w:rPr>
        <w:t xml:space="preserve">there are new </w:t>
      </w:r>
      <w:r w:rsidR="00D8505D" w:rsidRPr="00D8505D">
        <w:rPr>
          <w:rFonts w:ascii="Times New Roman" w:hAnsi="Times New Roman" w:cs="Times New Roman"/>
          <w:bCs/>
          <w:iCs/>
          <w:sz w:val="21"/>
          <w:szCs w:val="21"/>
        </w:rPr>
        <w:t>forecast</w:t>
      </w:r>
      <w:r w:rsidR="00D8505D">
        <w:rPr>
          <w:rFonts w:ascii="Times New Roman" w:hAnsi="Times New Roman" w:cs="Times New Roman"/>
          <w:bCs/>
          <w:iCs/>
          <w:sz w:val="21"/>
          <w:szCs w:val="21"/>
        </w:rPr>
        <w:t>s</w:t>
      </w:r>
      <w:r w:rsidR="00D8505D" w:rsidRPr="00D8505D">
        <w:rPr>
          <w:rFonts w:ascii="Times New Roman" w:hAnsi="Times New Roman" w:cs="Times New Roman"/>
          <w:bCs/>
          <w:iCs/>
          <w:sz w:val="21"/>
          <w:szCs w:val="21"/>
        </w:rPr>
        <w:t xml:space="preserve"> </w:t>
      </w:r>
      <w:r w:rsidR="00D8505D">
        <w:rPr>
          <w:rFonts w:ascii="Times New Roman" w:hAnsi="Times New Roman" w:cs="Times New Roman"/>
          <w:bCs/>
          <w:iCs/>
          <w:sz w:val="21"/>
          <w:szCs w:val="21"/>
        </w:rPr>
        <w:t>for</w:t>
      </w:r>
      <w:r w:rsidR="00D8505D" w:rsidRPr="00D8505D">
        <w:rPr>
          <w:rFonts w:ascii="Times New Roman" w:hAnsi="Times New Roman" w:cs="Times New Roman"/>
          <w:bCs/>
          <w:iCs/>
          <w:sz w:val="21"/>
          <w:szCs w:val="21"/>
        </w:rPr>
        <w:t xml:space="preserve"> Russia's economic decline </w:t>
      </w:r>
      <w:r w:rsidR="00D8505D">
        <w:rPr>
          <w:rFonts w:ascii="Times New Roman" w:hAnsi="Times New Roman" w:cs="Times New Roman"/>
          <w:bCs/>
          <w:iCs/>
          <w:sz w:val="21"/>
          <w:szCs w:val="21"/>
        </w:rPr>
        <w:t xml:space="preserve">and weakening of the </w:t>
      </w:r>
      <w:r w:rsidR="00D8505D" w:rsidRPr="00D8505D">
        <w:rPr>
          <w:rFonts w:ascii="Times New Roman" w:hAnsi="Times New Roman" w:cs="Times New Roman"/>
          <w:bCs/>
          <w:iCs/>
          <w:sz w:val="21"/>
          <w:szCs w:val="21"/>
        </w:rPr>
        <w:t>domestic demand</w:t>
      </w:r>
      <w:r w:rsidR="007934C0">
        <w:rPr>
          <w:rFonts w:ascii="Times New Roman" w:hAnsi="Times New Roman" w:cs="Times New Roman"/>
          <w:bCs/>
          <w:iCs/>
          <w:sz w:val="21"/>
          <w:szCs w:val="21"/>
        </w:rPr>
        <w:t>.</w:t>
      </w:r>
      <w:r w:rsidR="00302F5B">
        <w:rPr>
          <w:rFonts w:ascii="Times New Roman" w:hAnsi="Times New Roman" w:cs="Times New Roman"/>
          <w:bCs/>
          <w:iCs/>
          <w:sz w:val="21"/>
          <w:szCs w:val="21"/>
        </w:rPr>
        <w:t xml:space="preserve"> </w:t>
      </w:r>
      <w:r w:rsidR="007934C0">
        <w:rPr>
          <w:rFonts w:ascii="Times New Roman" w:hAnsi="Times New Roman" w:cs="Times New Roman"/>
          <w:bCs/>
          <w:iCs/>
          <w:sz w:val="21"/>
          <w:szCs w:val="21"/>
        </w:rPr>
        <w:t>As the Armenian dram depreciated versus the U.S. dollar in late 2014, t</w:t>
      </w:r>
      <w:r w:rsidR="00302F5B">
        <w:rPr>
          <w:rFonts w:ascii="Times New Roman" w:hAnsi="Times New Roman" w:cs="Times New Roman"/>
          <w:bCs/>
          <w:iCs/>
          <w:sz w:val="21"/>
          <w:szCs w:val="21"/>
        </w:rPr>
        <w:t>he</w:t>
      </w:r>
      <w:r w:rsidR="004A581A">
        <w:rPr>
          <w:rFonts w:ascii="Times New Roman" w:hAnsi="Times New Roman" w:cs="Times New Roman"/>
          <w:bCs/>
          <w:iCs/>
          <w:sz w:val="21"/>
          <w:szCs w:val="21"/>
        </w:rPr>
        <w:t>re is prediction that the</w:t>
      </w:r>
      <w:r w:rsidR="00302F5B">
        <w:rPr>
          <w:rFonts w:ascii="Times New Roman" w:hAnsi="Times New Roman" w:cs="Times New Roman"/>
          <w:bCs/>
          <w:iCs/>
          <w:sz w:val="21"/>
          <w:szCs w:val="21"/>
        </w:rPr>
        <w:t xml:space="preserve"> export </w:t>
      </w:r>
      <w:r w:rsidR="007934C0">
        <w:rPr>
          <w:rFonts w:ascii="Times New Roman" w:hAnsi="Times New Roman" w:cs="Times New Roman"/>
          <w:bCs/>
          <w:iCs/>
          <w:sz w:val="21"/>
          <w:szCs w:val="21"/>
        </w:rPr>
        <w:t xml:space="preserve">volumes </w:t>
      </w:r>
      <w:r w:rsidR="00302F5B">
        <w:rPr>
          <w:rFonts w:ascii="Times New Roman" w:hAnsi="Times New Roman" w:cs="Times New Roman"/>
          <w:bCs/>
          <w:iCs/>
          <w:sz w:val="21"/>
          <w:szCs w:val="21"/>
        </w:rPr>
        <w:t xml:space="preserve">in real terms </w:t>
      </w:r>
      <w:r w:rsidR="004A581A">
        <w:rPr>
          <w:rFonts w:ascii="Times New Roman" w:hAnsi="Times New Roman" w:cs="Times New Roman"/>
          <w:bCs/>
          <w:iCs/>
          <w:sz w:val="21"/>
          <w:szCs w:val="21"/>
        </w:rPr>
        <w:t>would</w:t>
      </w:r>
      <w:r w:rsidR="00302F5B">
        <w:rPr>
          <w:rFonts w:ascii="Times New Roman" w:hAnsi="Times New Roman" w:cs="Times New Roman"/>
          <w:bCs/>
          <w:iCs/>
          <w:sz w:val="21"/>
          <w:szCs w:val="21"/>
        </w:rPr>
        <w:t xml:space="preserve"> </w:t>
      </w:r>
      <w:r w:rsidR="007934C0">
        <w:rPr>
          <w:rFonts w:ascii="Times New Roman" w:hAnsi="Times New Roman" w:cs="Times New Roman"/>
          <w:bCs/>
          <w:iCs/>
          <w:sz w:val="21"/>
          <w:szCs w:val="21"/>
        </w:rPr>
        <w:t xml:space="preserve">grow in 2015 </w:t>
      </w:r>
      <w:r w:rsidR="004A581A">
        <w:rPr>
          <w:rFonts w:ascii="Times New Roman" w:hAnsi="Times New Roman" w:cs="Times New Roman"/>
          <w:bCs/>
          <w:iCs/>
          <w:sz w:val="21"/>
          <w:szCs w:val="21"/>
        </w:rPr>
        <w:t>a</w:t>
      </w:r>
      <w:r w:rsidR="006F5B11">
        <w:rPr>
          <w:rFonts w:ascii="Times New Roman" w:hAnsi="Times New Roman" w:cs="Times New Roman"/>
          <w:bCs/>
          <w:iCs/>
          <w:sz w:val="21"/>
          <w:szCs w:val="21"/>
        </w:rPr>
        <w:t xml:space="preserve">s opposed to the reduction in </w:t>
      </w:r>
      <w:r w:rsidR="007934C0">
        <w:rPr>
          <w:rFonts w:ascii="Times New Roman" w:hAnsi="Times New Roman" w:cs="Times New Roman"/>
          <w:bCs/>
          <w:iCs/>
          <w:sz w:val="21"/>
          <w:szCs w:val="21"/>
        </w:rPr>
        <w:t xml:space="preserve">import volumes in real </w:t>
      </w:r>
      <w:r w:rsidR="007934C0" w:rsidRPr="006A7946">
        <w:rPr>
          <w:rFonts w:ascii="Times New Roman" w:hAnsi="Times New Roman" w:cs="Times New Roman"/>
          <w:bCs/>
          <w:iCs/>
          <w:sz w:val="21"/>
          <w:szCs w:val="21"/>
        </w:rPr>
        <w:t xml:space="preserve">terms. </w:t>
      </w:r>
      <w:r w:rsidR="00532517" w:rsidRPr="006A7946">
        <w:rPr>
          <w:rFonts w:ascii="Times New Roman" w:hAnsi="Times New Roman" w:cs="Times New Roman"/>
          <w:bCs/>
          <w:iCs/>
          <w:sz w:val="21"/>
          <w:szCs w:val="21"/>
        </w:rPr>
        <w:t xml:space="preserve">The </w:t>
      </w:r>
      <w:r w:rsidR="007934C0" w:rsidRPr="006A7946">
        <w:rPr>
          <w:rFonts w:ascii="Times New Roman" w:hAnsi="Times New Roman" w:cs="Times New Roman"/>
          <w:bCs/>
          <w:iCs/>
          <w:sz w:val="21"/>
          <w:szCs w:val="21"/>
        </w:rPr>
        <w:t xml:space="preserve">growth of export of goods and services </w:t>
      </w:r>
      <w:r w:rsidR="00532517" w:rsidRPr="006A7946">
        <w:rPr>
          <w:rFonts w:ascii="Times New Roman" w:hAnsi="Times New Roman" w:cs="Times New Roman"/>
          <w:bCs/>
          <w:iCs/>
          <w:sz w:val="21"/>
          <w:szCs w:val="21"/>
        </w:rPr>
        <w:t xml:space="preserve">will be fuelled primarily by increased volumes of export of </w:t>
      </w:r>
      <w:r w:rsidR="00051D14">
        <w:rPr>
          <w:rFonts w:ascii="Times New Roman" w:hAnsi="Times New Roman" w:cs="Times New Roman"/>
          <w:bCs/>
          <w:iCs/>
          <w:sz w:val="21"/>
          <w:szCs w:val="21"/>
        </w:rPr>
        <w:t xml:space="preserve">commodities </w:t>
      </w:r>
      <w:r w:rsidR="009E710A" w:rsidRPr="006A7946">
        <w:rPr>
          <w:rFonts w:ascii="Times New Roman" w:hAnsi="Times New Roman" w:cs="Times New Roman"/>
          <w:bCs/>
          <w:iCs/>
          <w:sz w:val="21"/>
          <w:szCs w:val="21"/>
        </w:rPr>
        <w:t xml:space="preserve">and </w:t>
      </w:r>
      <w:r w:rsidR="006A7946">
        <w:rPr>
          <w:rFonts w:ascii="Times New Roman" w:hAnsi="Times New Roman" w:cs="Times New Roman"/>
          <w:bCs/>
          <w:iCs/>
          <w:sz w:val="21"/>
          <w:szCs w:val="21"/>
        </w:rPr>
        <w:t xml:space="preserve">export of travel services. </w:t>
      </w:r>
      <w:r w:rsidR="006A7946" w:rsidRPr="006A7946">
        <w:rPr>
          <w:rFonts w:ascii="Times New Roman" w:hAnsi="Times New Roman" w:cs="Times New Roman"/>
          <w:b/>
          <w:bCs/>
          <w:iCs/>
          <w:sz w:val="21"/>
          <w:szCs w:val="21"/>
        </w:rPr>
        <w:t>I</w:t>
      </w:r>
      <w:r w:rsidR="00450547" w:rsidRPr="006A7946">
        <w:rPr>
          <w:rFonts w:ascii="Times New Roman" w:hAnsi="Times New Roman" w:cs="Times New Roman"/>
          <w:b/>
          <w:bCs/>
          <w:iCs/>
          <w:sz w:val="21"/>
          <w:szCs w:val="21"/>
        </w:rPr>
        <w:t>n 2015</w:t>
      </w:r>
      <w:r w:rsidR="006A7946" w:rsidRPr="006A7946">
        <w:rPr>
          <w:rFonts w:ascii="Times New Roman" w:hAnsi="Times New Roman" w:cs="Times New Roman"/>
          <w:b/>
          <w:bCs/>
          <w:iCs/>
          <w:sz w:val="21"/>
          <w:szCs w:val="21"/>
        </w:rPr>
        <w:t>,</w:t>
      </w:r>
      <w:r w:rsidR="00450547" w:rsidRPr="006A7946">
        <w:rPr>
          <w:rFonts w:ascii="Times New Roman" w:hAnsi="Times New Roman" w:cs="Times New Roman"/>
          <w:b/>
          <w:bCs/>
          <w:iCs/>
          <w:sz w:val="21"/>
          <w:szCs w:val="21"/>
        </w:rPr>
        <w:t xml:space="preserve"> the real growth of export of goods and services will be in the range</w:t>
      </w:r>
      <w:r w:rsidR="002D4FFB">
        <w:rPr>
          <w:rFonts w:ascii="Times New Roman" w:hAnsi="Times New Roman" w:cs="Times New Roman"/>
          <w:b/>
          <w:bCs/>
          <w:iCs/>
          <w:sz w:val="21"/>
          <w:szCs w:val="21"/>
        </w:rPr>
        <w:t xml:space="preserve"> of</w:t>
      </w:r>
      <w:r w:rsidR="00450547" w:rsidRPr="006A7946">
        <w:rPr>
          <w:rFonts w:ascii="Times New Roman" w:hAnsi="Times New Roman" w:cs="Times New Roman"/>
          <w:b/>
          <w:bCs/>
          <w:iCs/>
          <w:sz w:val="21"/>
          <w:szCs w:val="21"/>
        </w:rPr>
        <w:t xml:space="preserve"> 7.0</w:t>
      </w:r>
      <w:r w:rsidR="002D4FFB">
        <w:rPr>
          <w:rFonts w:ascii="Times New Roman" w:hAnsi="Times New Roman" w:cs="Times New Roman"/>
          <w:b/>
          <w:bCs/>
          <w:iCs/>
          <w:sz w:val="21"/>
          <w:szCs w:val="21"/>
        </w:rPr>
        <w:t>%</w:t>
      </w:r>
      <w:r w:rsidR="00450547" w:rsidRPr="006A7946">
        <w:rPr>
          <w:rFonts w:ascii="Times New Roman" w:hAnsi="Times New Roman" w:cs="Times New Roman"/>
          <w:b/>
          <w:bCs/>
          <w:iCs/>
          <w:sz w:val="21"/>
          <w:szCs w:val="21"/>
        </w:rPr>
        <w:t>-9</w:t>
      </w:r>
      <w:r w:rsidR="00F3141C" w:rsidRPr="006A7946">
        <w:rPr>
          <w:rFonts w:ascii="Times New Roman" w:hAnsi="Times New Roman" w:cs="Times New Roman"/>
          <w:b/>
          <w:bCs/>
          <w:iCs/>
          <w:sz w:val="21"/>
          <w:szCs w:val="21"/>
        </w:rPr>
        <w:t>.0%</w:t>
      </w:r>
      <w:r w:rsidR="00F3141C">
        <w:rPr>
          <w:rFonts w:ascii="Times New Roman" w:hAnsi="Times New Roman" w:cs="Times New Roman"/>
          <w:bCs/>
          <w:iCs/>
          <w:sz w:val="21"/>
          <w:szCs w:val="21"/>
        </w:rPr>
        <w:t xml:space="preserve">. </w:t>
      </w:r>
    </w:p>
    <w:p w14:paraId="7C341D65" w14:textId="698FE2C5" w:rsidR="006A7946" w:rsidRDefault="006A7946" w:rsidP="00A9653E">
      <w:pPr>
        <w:spacing w:line="360" w:lineRule="auto"/>
        <w:jc w:val="both"/>
        <w:rPr>
          <w:rFonts w:ascii="Times New Roman" w:hAnsi="Times New Roman" w:cs="Times New Roman"/>
          <w:b/>
          <w:bCs/>
          <w:iCs/>
          <w:sz w:val="21"/>
          <w:szCs w:val="21"/>
        </w:rPr>
      </w:pPr>
      <w:r>
        <w:rPr>
          <w:rFonts w:ascii="Times New Roman" w:hAnsi="Times New Roman" w:cs="Times New Roman"/>
          <w:bCs/>
          <w:iCs/>
          <w:sz w:val="21"/>
          <w:szCs w:val="21"/>
        </w:rPr>
        <w:t xml:space="preserve">As the domestic demand </w:t>
      </w:r>
      <w:r w:rsidR="00B6232E">
        <w:rPr>
          <w:rFonts w:ascii="Times New Roman" w:hAnsi="Times New Roman" w:cs="Times New Roman"/>
          <w:bCs/>
          <w:iCs/>
          <w:sz w:val="21"/>
          <w:szCs w:val="21"/>
        </w:rPr>
        <w:t>declines</w:t>
      </w:r>
      <w:r>
        <w:rPr>
          <w:rFonts w:ascii="Times New Roman" w:hAnsi="Times New Roman" w:cs="Times New Roman"/>
          <w:bCs/>
          <w:iCs/>
          <w:sz w:val="21"/>
          <w:szCs w:val="21"/>
        </w:rPr>
        <w:t xml:space="preserve">, for 2015 </w:t>
      </w:r>
      <w:r w:rsidRPr="006A7946">
        <w:rPr>
          <w:rFonts w:ascii="Times New Roman" w:hAnsi="Times New Roman" w:cs="Times New Roman"/>
          <w:b/>
          <w:bCs/>
          <w:iCs/>
          <w:sz w:val="21"/>
          <w:szCs w:val="21"/>
        </w:rPr>
        <w:t xml:space="preserve">the </w:t>
      </w:r>
      <w:r>
        <w:rPr>
          <w:rFonts w:ascii="Times New Roman" w:hAnsi="Times New Roman" w:cs="Times New Roman"/>
          <w:b/>
          <w:bCs/>
          <w:iCs/>
          <w:sz w:val="21"/>
          <w:szCs w:val="21"/>
        </w:rPr>
        <w:t>reduction in im</w:t>
      </w:r>
      <w:r w:rsidRPr="006A7946">
        <w:rPr>
          <w:rFonts w:ascii="Times New Roman" w:hAnsi="Times New Roman" w:cs="Times New Roman"/>
          <w:b/>
          <w:bCs/>
          <w:iCs/>
          <w:sz w:val="21"/>
          <w:szCs w:val="21"/>
        </w:rPr>
        <w:t xml:space="preserve">port of goods and services </w:t>
      </w:r>
      <w:r>
        <w:rPr>
          <w:rFonts w:ascii="Times New Roman" w:hAnsi="Times New Roman" w:cs="Times New Roman"/>
          <w:b/>
          <w:bCs/>
          <w:iCs/>
          <w:sz w:val="21"/>
          <w:szCs w:val="21"/>
        </w:rPr>
        <w:t>in real terms is expected within 4.0</w:t>
      </w:r>
      <w:r w:rsidR="002D4FFB">
        <w:rPr>
          <w:rFonts w:ascii="Times New Roman" w:hAnsi="Times New Roman" w:cs="Times New Roman"/>
          <w:b/>
          <w:bCs/>
          <w:iCs/>
          <w:sz w:val="21"/>
          <w:szCs w:val="21"/>
        </w:rPr>
        <w:t>%</w:t>
      </w:r>
      <w:r>
        <w:rPr>
          <w:rFonts w:ascii="Times New Roman" w:hAnsi="Times New Roman" w:cs="Times New Roman"/>
          <w:b/>
          <w:bCs/>
          <w:iCs/>
          <w:sz w:val="21"/>
          <w:szCs w:val="21"/>
        </w:rPr>
        <w:t xml:space="preserve">-6.0%. </w:t>
      </w:r>
    </w:p>
    <w:p w14:paraId="7658B1BC" w14:textId="77777777" w:rsidR="004C03F3" w:rsidRDefault="004C03F3" w:rsidP="00A9653E">
      <w:pPr>
        <w:spacing w:line="360" w:lineRule="auto"/>
        <w:jc w:val="both"/>
        <w:rPr>
          <w:rFonts w:ascii="Times New Roman" w:hAnsi="Times New Roman" w:cs="Times New Roman"/>
          <w:bCs/>
          <w:iCs/>
          <w:sz w:val="21"/>
          <w:szCs w:val="21"/>
        </w:rPr>
      </w:pPr>
      <w:r w:rsidRPr="004C03F3">
        <w:rPr>
          <w:rFonts w:ascii="Times New Roman" w:hAnsi="Times New Roman" w:cs="Times New Roman"/>
          <w:bCs/>
          <w:iCs/>
          <w:sz w:val="21"/>
          <w:szCs w:val="21"/>
        </w:rPr>
        <w:t xml:space="preserve">As a result, net external demand </w:t>
      </w:r>
      <w:r>
        <w:rPr>
          <w:rFonts w:ascii="Times New Roman" w:hAnsi="Times New Roman" w:cs="Times New Roman"/>
          <w:bCs/>
          <w:iCs/>
          <w:sz w:val="21"/>
          <w:szCs w:val="21"/>
        </w:rPr>
        <w:t xml:space="preserve">will leave a </w:t>
      </w:r>
      <w:r w:rsidRPr="004C03F3">
        <w:rPr>
          <w:rFonts w:ascii="Times New Roman" w:hAnsi="Times New Roman" w:cs="Times New Roman"/>
          <w:bCs/>
          <w:iCs/>
          <w:sz w:val="21"/>
          <w:szCs w:val="21"/>
        </w:rPr>
        <w:t>0.5</w:t>
      </w:r>
      <w:r w:rsidR="002D4FFB">
        <w:rPr>
          <w:rFonts w:ascii="Times New Roman" w:hAnsi="Times New Roman" w:cs="Times New Roman"/>
          <w:bCs/>
          <w:iCs/>
          <w:sz w:val="21"/>
          <w:szCs w:val="21"/>
        </w:rPr>
        <w:t xml:space="preserve"> pp </w:t>
      </w:r>
      <w:r w:rsidRPr="004C03F3">
        <w:rPr>
          <w:rFonts w:ascii="Times New Roman" w:hAnsi="Times New Roman" w:cs="Times New Roman"/>
          <w:bCs/>
          <w:iCs/>
          <w:sz w:val="21"/>
          <w:szCs w:val="21"/>
        </w:rPr>
        <w:t>-</w:t>
      </w:r>
      <w:r w:rsidR="002D4FFB">
        <w:rPr>
          <w:rFonts w:ascii="Times New Roman" w:hAnsi="Times New Roman" w:cs="Times New Roman"/>
          <w:bCs/>
          <w:iCs/>
          <w:sz w:val="21"/>
          <w:szCs w:val="21"/>
        </w:rPr>
        <w:t xml:space="preserve"> </w:t>
      </w:r>
      <w:r w:rsidRPr="004C03F3">
        <w:rPr>
          <w:rFonts w:ascii="Times New Roman" w:hAnsi="Times New Roman" w:cs="Times New Roman"/>
          <w:bCs/>
          <w:iCs/>
          <w:sz w:val="21"/>
          <w:szCs w:val="21"/>
        </w:rPr>
        <w:t>0.7 p</w:t>
      </w:r>
      <w:r>
        <w:rPr>
          <w:rFonts w:ascii="Times New Roman" w:hAnsi="Times New Roman" w:cs="Times New Roman"/>
          <w:bCs/>
          <w:iCs/>
          <w:sz w:val="21"/>
          <w:szCs w:val="21"/>
        </w:rPr>
        <w:t>p of</w:t>
      </w:r>
      <w:r w:rsidRPr="004C03F3">
        <w:rPr>
          <w:rFonts w:ascii="Times New Roman" w:hAnsi="Times New Roman" w:cs="Times New Roman"/>
          <w:bCs/>
          <w:iCs/>
          <w:sz w:val="21"/>
          <w:szCs w:val="21"/>
        </w:rPr>
        <w:t xml:space="preserve"> expansionary effect on</w:t>
      </w:r>
      <w:r>
        <w:rPr>
          <w:rFonts w:ascii="Times New Roman" w:hAnsi="Times New Roman" w:cs="Times New Roman"/>
          <w:bCs/>
          <w:iCs/>
          <w:sz w:val="21"/>
          <w:szCs w:val="21"/>
        </w:rPr>
        <w:t xml:space="preserve"> the</w:t>
      </w:r>
      <w:r w:rsidRPr="004C03F3">
        <w:rPr>
          <w:rFonts w:ascii="Times New Roman" w:hAnsi="Times New Roman" w:cs="Times New Roman"/>
          <w:bCs/>
          <w:iCs/>
          <w:sz w:val="21"/>
          <w:szCs w:val="21"/>
        </w:rPr>
        <w:t xml:space="preserve"> inflation</w:t>
      </w:r>
      <w:r>
        <w:rPr>
          <w:rFonts w:ascii="Times New Roman" w:hAnsi="Times New Roman" w:cs="Times New Roman"/>
          <w:bCs/>
          <w:iCs/>
          <w:sz w:val="21"/>
          <w:szCs w:val="21"/>
        </w:rPr>
        <w:t xml:space="preserve">. </w:t>
      </w:r>
    </w:p>
    <w:p w14:paraId="43A777DA" w14:textId="77777777" w:rsidR="008F0F4E" w:rsidRDefault="008F0F4E"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In consideration of </w:t>
      </w:r>
      <w:r w:rsidR="004C03F3">
        <w:rPr>
          <w:rFonts w:ascii="Times New Roman" w:hAnsi="Times New Roman" w:cs="Times New Roman"/>
          <w:bCs/>
          <w:iCs/>
          <w:sz w:val="21"/>
          <w:szCs w:val="21"/>
        </w:rPr>
        <w:t xml:space="preserve">new forecasts for </w:t>
      </w:r>
      <w:r w:rsidR="004C03F3" w:rsidRPr="00D8505D">
        <w:rPr>
          <w:rFonts w:ascii="Times New Roman" w:hAnsi="Times New Roman" w:cs="Times New Roman"/>
          <w:bCs/>
          <w:iCs/>
          <w:sz w:val="21"/>
          <w:szCs w:val="21"/>
        </w:rPr>
        <w:t xml:space="preserve">Russia's economic decline </w:t>
      </w:r>
      <w:r w:rsidR="004C03F3">
        <w:rPr>
          <w:rFonts w:ascii="Times New Roman" w:hAnsi="Times New Roman" w:cs="Times New Roman"/>
          <w:bCs/>
          <w:iCs/>
          <w:sz w:val="21"/>
          <w:szCs w:val="21"/>
        </w:rPr>
        <w:t xml:space="preserve">as well as </w:t>
      </w:r>
      <w:r>
        <w:rPr>
          <w:rFonts w:ascii="Times New Roman" w:hAnsi="Times New Roman" w:cs="Times New Roman"/>
          <w:bCs/>
          <w:iCs/>
          <w:sz w:val="21"/>
          <w:szCs w:val="21"/>
        </w:rPr>
        <w:t xml:space="preserve">the </w:t>
      </w:r>
      <w:r w:rsidR="004C03F3">
        <w:rPr>
          <w:rFonts w:ascii="Times New Roman" w:hAnsi="Times New Roman" w:cs="Times New Roman"/>
          <w:bCs/>
          <w:iCs/>
          <w:sz w:val="21"/>
          <w:szCs w:val="21"/>
        </w:rPr>
        <w:t xml:space="preserve">steep depreciation of the </w:t>
      </w:r>
      <w:r>
        <w:rPr>
          <w:rFonts w:ascii="Times New Roman" w:hAnsi="Times New Roman" w:cs="Times New Roman"/>
          <w:bCs/>
          <w:iCs/>
          <w:sz w:val="21"/>
          <w:szCs w:val="21"/>
        </w:rPr>
        <w:t xml:space="preserve">ruble </w:t>
      </w:r>
      <w:r w:rsidR="004C03F3">
        <w:rPr>
          <w:rFonts w:ascii="Times New Roman" w:hAnsi="Times New Roman" w:cs="Times New Roman"/>
          <w:bCs/>
          <w:iCs/>
          <w:sz w:val="21"/>
          <w:szCs w:val="21"/>
        </w:rPr>
        <w:t>exchange rate</w:t>
      </w:r>
      <w:r>
        <w:rPr>
          <w:rFonts w:ascii="Times New Roman" w:hAnsi="Times New Roman" w:cs="Times New Roman"/>
          <w:bCs/>
          <w:iCs/>
          <w:sz w:val="21"/>
          <w:szCs w:val="21"/>
        </w:rPr>
        <w:t xml:space="preserve"> </w:t>
      </w:r>
      <w:r w:rsidR="004C03F3">
        <w:rPr>
          <w:rFonts w:ascii="Times New Roman" w:hAnsi="Times New Roman" w:cs="Times New Roman"/>
          <w:bCs/>
          <w:iCs/>
          <w:sz w:val="21"/>
          <w:szCs w:val="21"/>
        </w:rPr>
        <w:t>during the 4th</w:t>
      </w:r>
      <w:r>
        <w:rPr>
          <w:rFonts w:ascii="Times New Roman" w:hAnsi="Times New Roman" w:cs="Times New Roman"/>
          <w:bCs/>
          <w:iCs/>
          <w:sz w:val="21"/>
          <w:szCs w:val="21"/>
        </w:rPr>
        <w:t xml:space="preserve"> </w:t>
      </w:r>
      <w:r w:rsidR="004C03F3">
        <w:rPr>
          <w:rFonts w:ascii="Times New Roman" w:hAnsi="Times New Roman" w:cs="Times New Roman"/>
          <w:bCs/>
          <w:iCs/>
          <w:sz w:val="21"/>
          <w:szCs w:val="21"/>
        </w:rPr>
        <w:t>quarter of 2</w:t>
      </w:r>
      <w:r>
        <w:rPr>
          <w:rFonts w:ascii="Times New Roman" w:hAnsi="Times New Roman" w:cs="Times New Roman"/>
          <w:bCs/>
          <w:iCs/>
          <w:sz w:val="21"/>
          <w:szCs w:val="21"/>
        </w:rPr>
        <w:t xml:space="preserve">014, </w:t>
      </w:r>
      <w:r w:rsidR="004C03F3">
        <w:rPr>
          <w:rFonts w:ascii="Times New Roman" w:hAnsi="Times New Roman" w:cs="Times New Roman"/>
          <w:bCs/>
          <w:iCs/>
          <w:sz w:val="21"/>
          <w:szCs w:val="21"/>
        </w:rPr>
        <w:t xml:space="preserve">the </w:t>
      </w:r>
      <w:r w:rsidR="004C03F3" w:rsidRPr="004C03F3">
        <w:rPr>
          <w:rFonts w:ascii="Times New Roman" w:hAnsi="Times New Roman" w:cs="Times New Roman"/>
          <w:b/>
          <w:bCs/>
          <w:iCs/>
          <w:sz w:val="21"/>
          <w:szCs w:val="21"/>
        </w:rPr>
        <w:t xml:space="preserve">dollar value of </w:t>
      </w:r>
      <w:r w:rsidR="00B6232E">
        <w:rPr>
          <w:rFonts w:ascii="Times New Roman" w:hAnsi="Times New Roman" w:cs="Times New Roman"/>
          <w:b/>
          <w:bCs/>
          <w:iCs/>
          <w:sz w:val="21"/>
          <w:szCs w:val="21"/>
        </w:rPr>
        <w:t xml:space="preserve">net </w:t>
      </w:r>
      <w:r w:rsidR="004C03F3" w:rsidRPr="004C03F3">
        <w:rPr>
          <w:rFonts w:ascii="Times New Roman" w:hAnsi="Times New Roman" w:cs="Times New Roman"/>
          <w:b/>
          <w:sz w:val="21"/>
          <w:szCs w:val="21"/>
        </w:rPr>
        <w:t xml:space="preserve">remittances of individuals </w:t>
      </w:r>
      <w:r w:rsidRPr="004C03F3">
        <w:rPr>
          <w:rFonts w:ascii="Times New Roman" w:hAnsi="Times New Roman" w:cs="Times New Roman"/>
          <w:b/>
          <w:bCs/>
          <w:iCs/>
          <w:sz w:val="21"/>
          <w:szCs w:val="21"/>
        </w:rPr>
        <w:t xml:space="preserve">is </w:t>
      </w:r>
      <w:r w:rsidR="004C03F3" w:rsidRPr="004C03F3">
        <w:rPr>
          <w:rFonts w:ascii="Times New Roman" w:hAnsi="Times New Roman" w:cs="Times New Roman"/>
          <w:b/>
          <w:bCs/>
          <w:iCs/>
          <w:sz w:val="21"/>
          <w:szCs w:val="21"/>
        </w:rPr>
        <w:t>expected to diminish by around 30.0%</w:t>
      </w:r>
      <w:r w:rsidR="004C03F3">
        <w:rPr>
          <w:rFonts w:ascii="Times New Roman" w:hAnsi="Times New Roman" w:cs="Times New Roman"/>
          <w:bCs/>
          <w:iCs/>
          <w:sz w:val="21"/>
          <w:szCs w:val="21"/>
        </w:rPr>
        <w:t xml:space="preserve">. </w:t>
      </w:r>
      <w:r w:rsidR="004C03F3" w:rsidRPr="004C03F3">
        <w:rPr>
          <w:rFonts w:ascii="Times New Roman" w:hAnsi="Times New Roman" w:cs="Times New Roman"/>
          <w:bCs/>
          <w:iCs/>
          <w:sz w:val="21"/>
          <w:szCs w:val="21"/>
        </w:rPr>
        <w:t>It should be noted</w:t>
      </w:r>
      <w:r w:rsidR="004C03F3">
        <w:rPr>
          <w:rFonts w:ascii="Times New Roman" w:hAnsi="Times New Roman" w:cs="Times New Roman"/>
          <w:bCs/>
          <w:iCs/>
          <w:sz w:val="21"/>
          <w:szCs w:val="21"/>
        </w:rPr>
        <w:t>,</w:t>
      </w:r>
      <w:r w:rsidR="004C03F3" w:rsidRPr="004C03F3">
        <w:rPr>
          <w:rFonts w:ascii="Times New Roman" w:hAnsi="Times New Roman" w:cs="Times New Roman"/>
          <w:bCs/>
          <w:iCs/>
          <w:sz w:val="21"/>
          <w:szCs w:val="21"/>
        </w:rPr>
        <w:t xml:space="preserve"> </w:t>
      </w:r>
      <w:r w:rsidR="004C03F3">
        <w:rPr>
          <w:rFonts w:ascii="Times New Roman" w:hAnsi="Times New Roman" w:cs="Times New Roman"/>
          <w:bCs/>
          <w:iCs/>
          <w:sz w:val="21"/>
          <w:szCs w:val="21"/>
        </w:rPr>
        <w:t xml:space="preserve">however, </w:t>
      </w:r>
      <w:r w:rsidR="004C03F3" w:rsidRPr="004C03F3">
        <w:rPr>
          <w:rFonts w:ascii="Times New Roman" w:hAnsi="Times New Roman" w:cs="Times New Roman"/>
          <w:bCs/>
          <w:iCs/>
          <w:sz w:val="21"/>
          <w:szCs w:val="21"/>
        </w:rPr>
        <w:t xml:space="preserve">that the ruble </w:t>
      </w:r>
      <w:r w:rsidR="004C03F3">
        <w:rPr>
          <w:rFonts w:ascii="Times New Roman" w:hAnsi="Times New Roman" w:cs="Times New Roman"/>
          <w:bCs/>
          <w:iCs/>
          <w:sz w:val="21"/>
          <w:szCs w:val="21"/>
        </w:rPr>
        <w:t>remittances of individuals</w:t>
      </w:r>
      <w:r w:rsidR="000C5BB7">
        <w:rPr>
          <w:rStyle w:val="FootnoteReference"/>
          <w:rFonts w:ascii="Times New Roman" w:hAnsi="Times New Roman" w:cs="Times New Roman"/>
          <w:bCs/>
          <w:iCs/>
          <w:sz w:val="21"/>
          <w:szCs w:val="21"/>
        </w:rPr>
        <w:footnoteReference w:customMarkFollows="1" w:id="6"/>
        <w:t>6</w:t>
      </w:r>
      <w:r w:rsidR="004C03F3">
        <w:rPr>
          <w:rFonts w:ascii="Times New Roman" w:hAnsi="Times New Roman" w:cs="Times New Roman"/>
          <w:bCs/>
          <w:iCs/>
          <w:sz w:val="21"/>
          <w:szCs w:val="21"/>
        </w:rPr>
        <w:t xml:space="preserve"> </w:t>
      </w:r>
      <w:r w:rsidR="00A133A7">
        <w:rPr>
          <w:rFonts w:ascii="Times New Roman" w:hAnsi="Times New Roman" w:cs="Times New Roman"/>
          <w:bCs/>
          <w:iCs/>
          <w:sz w:val="21"/>
          <w:szCs w:val="21"/>
        </w:rPr>
        <w:t xml:space="preserve">will grow </w:t>
      </w:r>
      <w:r w:rsidR="000C5BB7">
        <w:rPr>
          <w:rFonts w:ascii="Times New Roman" w:hAnsi="Times New Roman" w:cs="Times New Roman"/>
          <w:bCs/>
          <w:iCs/>
          <w:sz w:val="21"/>
          <w:szCs w:val="21"/>
        </w:rPr>
        <w:t xml:space="preserve">in </w:t>
      </w:r>
      <w:r w:rsidR="004C03F3" w:rsidRPr="004C03F3">
        <w:rPr>
          <w:rFonts w:ascii="Times New Roman" w:hAnsi="Times New Roman" w:cs="Times New Roman"/>
          <w:bCs/>
          <w:iCs/>
          <w:sz w:val="21"/>
          <w:szCs w:val="21"/>
        </w:rPr>
        <w:t>2015</w:t>
      </w:r>
      <w:r w:rsidR="00A133A7">
        <w:rPr>
          <w:rFonts w:ascii="Times New Roman" w:hAnsi="Times New Roman" w:cs="Times New Roman"/>
          <w:bCs/>
          <w:iCs/>
          <w:sz w:val="21"/>
          <w:szCs w:val="21"/>
        </w:rPr>
        <w:t xml:space="preserve">, but </w:t>
      </w:r>
      <w:r w:rsidR="004C03F3" w:rsidRPr="004C03F3">
        <w:rPr>
          <w:rFonts w:ascii="Times New Roman" w:hAnsi="Times New Roman" w:cs="Times New Roman"/>
          <w:bCs/>
          <w:iCs/>
          <w:sz w:val="21"/>
          <w:szCs w:val="21"/>
        </w:rPr>
        <w:t xml:space="preserve">their </w:t>
      </w:r>
      <w:r w:rsidR="00A133A7">
        <w:rPr>
          <w:rFonts w:ascii="Times New Roman" w:hAnsi="Times New Roman" w:cs="Times New Roman"/>
          <w:bCs/>
          <w:iCs/>
          <w:sz w:val="21"/>
          <w:szCs w:val="21"/>
        </w:rPr>
        <w:t>growth rates will slow down afterwards</w:t>
      </w:r>
      <w:r w:rsidR="004C03F3" w:rsidRPr="004C03F3">
        <w:rPr>
          <w:rFonts w:ascii="Times New Roman" w:hAnsi="Times New Roman" w:cs="Times New Roman"/>
          <w:bCs/>
          <w:iCs/>
          <w:sz w:val="21"/>
          <w:szCs w:val="21"/>
        </w:rPr>
        <w:t>.</w:t>
      </w:r>
    </w:p>
    <w:p w14:paraId="0AADB818" w14:textId="77777777" w:rsidR="00661AA5" w:rsidRDefault="008F0F4E"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The aforementioned </w:t>
      </w:r>
      <w:r w:rsidR="000A1A01">
        <w:rPr>
          <w:rFonts w:ascii="Times New Roman" w:hAnsi="Times New Roman" w:cs="Times New Roman"/>
          <w:bCs/>
          <w:iCs/>
          <w:sz w:val="21"/>
          <w:szCs w:val="21"/>
        </w:rPr>
        <w:t xml:space="preserve">developments </w:t>
      </w:r>
      <w:r w:rsidR="001A38D7">
        <w:rPr>
          <w:rFonts w:ascii="Times New Roman" w:hAnsi="Times New Roman" w:cs="Times New Roman"/>
          <w:bCs/>
          <w:iCs/>
          <w:sz w:val="21"/>
          <w:szCs w:val="21"/>
        </w:rPr>
        <w:t>will drive the</w:t>
      </w:r>
      <w:r w:rsidR="001A38D7" w:rsidRPr="00EC356F">
        <w:rPr>
          <w:rFonts w:ascii="Times New Roman" w:hAnsi="Times New Roman" w:cs="Times New Roman"/>
          <w:bCs/>
          <w:iCs/>
          <w:sz w:val="21"/>
          <w:szCs w:val="21"/>
        </w:rPr>
        <w:t xml:space="preserve"> Current Account Deficit</w:t>
      </w:r>
      <w:r w:rsidR="000A1A01">
        <w:rPr>
          <w:rFonts w:ascii="Times New Roman" w:hAnsi="Times New Roman" w:cs="Times New Roman"/>
          <w:bCs/>
          <w:iCs/>
          <w:sz w:val="21"/>
          <w:szCs w:val="21"/>
        </w:rPr>
        <w:t>-to-</w:t>
      </w:r>
      <w:r w:rsidR="001A38D7" w:rsidRPr="00EC356F">
        <w:rPr>
          <w:rFonts w:ascii="Times New Roman" w:hAnsi="Times New Roman" w:cs="Times New Roman"/>
          <w:bCs/>
          <w:iCs/>
          <w:sz w:val="21"/>
          <w:szCs w:val="21"/>
        </w:rPr>
        <w:t xml:space="preserve">GDP ratio </w:t>
      </w:r>
      <w:r w:rsidR="001A38D7">
        <w:rPr>
          <w:rFonts w:ascii="Times New Roman" w:hAnsi="Times New Roman" w:cs="Times New Roman"/>
          <w:bCs/>
          <w:iCs/>
          <w:sz w:val="21"/>
          <w:szCs w:val="21"/>
        </w:rPr>
        <w:t xml:space="preserve">to decrease </w:t>
      </w:r>
      <w:r w:rsidR="000A1A01">
        <w:rPr>
          <w:rFonts w:ascii="Times New Roman" w:hAnsi="Times New Roman" w:cs="Times New Roman"/>
          <w:bCs/>
          <w:iCs/>
          <w:sz w:val="21"/>
          <w:szCs w:val="21"/>
        </w:rPr>
        <w:t xml:space="preserve">in comparison with 2014 </w:t>
      </w:r>
      <w:r w:rsidR="001A38D7">
        <w:rPr>
          <w:rFonts w:ascii="Times New Roman" w:hAnsi="Times New Roman" w:cs="Times New Roman"/>
          <w:bCs/>
          <w:iCs/>
          <w:sz w:val="21"/>
          <w:szCs w:val="21"/>
        </w:rPr>
        <w:t xml:space="preserve">to </w:t>
      </w:r>
      <w:r w:rsidR="000A1A01">
        <w:rPr>
          <w:rFonts w:ascii="Times New Roman" w:hAnsi="Times New Roman" w:cs="Times New Roman"/>
          <w:bCs/>
          <w:iCs/>
          <w:sz w:val="21"/>
          <w:szCs w:val="21"/>
        </w:rPr>
        <w:t xml:space="preserve">be </w:t>
      </w:r>
      <w:r w:rsidR="006C577C">
        <w:rPr>
          <w:rFonts w:ascii="Times New Roman" w:hAnsi="Times New Roman" w:cs="Times New Roman"/>
          <w:bCs/>
          <w:iCs/>
          <w:sz w:val="21"/>
          <w:szCs w:val="21"/>
        </w:rPr>
        <w:t xml:space="preserve">in the range </w:t>
      </w:r>
      <w:r w:rsidR="00FA6BEE">
        <w:rPr>
          <w:rFonts w:ascii="Times New Roman" w:hAnsi="Times New Roman" w:cs="Times New Roman"/>
          <w:bCs/>
          <w:iCs/>
          <w:sz w:val="21"/>
          <w:szCs w:val="21"/>
        </w:rPr>
        <w:t xml:space="preserve">of </w:t>
      </w:r>
      <w:r w:rsidR="000A1A01">
        <w:rPr>
          <w:rFonts w:ascii="Times New Roman" w:hAnsi="Times New Roman" w:cs="Times New Roman"/>
          <w:bCs/>
          <w:iCs/>
          <w:sz w:val="21"/>
          <w:szCs w:val="21"/>
        </w:rPr>
        <w:t>8</w:t>
      </w:r>
      <w:r w:rsidR="001A38D7">
        <w:rPr>
          <w:rFonts w:ascii="Times New Roman" w:hAnsi="Times New Roman" w:cs="Times New Roman"/>
          <w:bCs/>
          <w:iCs/>
          <w:sz w:val="21"/>
          <w:szCs w:val="21"/>
        </w:rPr>
        <w:t>.</w:t>
      </w:r>
      <w:r w:rsidR="000A1A01">
        <w:rPr>
          <w:rFonts w:ascii="Times New Roman" w:hAnsi="Times New Roman" w:cs="Times New Roman"/>
          <w:bCs/>
          <w:iCs/>
          <w:sz w:val="21"/>
          <w:szCs w:val="21"/>
        </w:rPr>
        <w:t>5</w:t>
      </w:r>
      <w:r w:rsidR="00FA6BEE">
        <w:rPr>
          <w:rFonts w:ascii="Times New Roman" w:hAnsi="Times New Roman" w:cs="Times New Roman"/>
          <w:bCs/>
          <w:iCs/>
          <w:sz w:val="21"/>
          <w:szCs w:val="21"/>
        </w:rPr>
        <w:t>%</w:t>
      </w:r>
      <w:r w:rsidR="001A38D7">
        <w:rPr>
          <w:rFonts w:ascii="Times New Roman" w:hAnsi="Times New Roman" w:cs="Times New Roman"/>
          <w:bCs/>
          <w:iCs/>
          <w:sz w:val="21"/>
          <w:szCs w:val="21"/>
        </w:rPr>
        <w:t>-</w:t>
      </w:r>
      <w:r w:rsidR="000A1A01">
        <w:rPr>
          <w:rFonts w:ascii="Times New Roman" w:hAnsi="Times New Roman" w:cs="Times New Roman"/>
          <w:bCs/>
          <w:iCs/>
          <w:sz w:val="21"/>
          <w:szCs w:val="21"/>
        </w:rPr>
        <w:t>9</w:t>
      </w:r>
      <w:r w:rsidR="001A38D7">
        <w:rPr>
          <w:rFonts w:ascii="Times New Roman" w:hAnsi="Times New Roman" w:cs="Times New Roman"/>
          <w:bCs/>
          <w:iCs/>
          <w:sz w:val="21"/>
          <w:szCs w:val="21"/>
        </w:rPr>
        <w:t>.</w:t>
      </w:r>
      <w:r w:rsidR="000A1A01">
        <w:rPr>
          <w:rFonts w:ascii="Times New Roman" w:hAnsi="Times New Roman" w:cs="Times New Roman"/>
          <w:bCs/>
          <w:iCs/>
          <w:sz w:val="21"/>
          <w:szCs w:val="21"/>
        </w:rPr>
        <w:t>5</w:t>
      </w:r>
      <w:r w:rsidR="001A38D7">
        <w:rPr>
          <w:rFonts w:ascii="Times New Roman" w:hAnsi="Times New Roman" w:cs="Times New Roman"/>
          <w:bCs/>
          <w:iCs/>
          <w:sz w:val="21"/>
          <w:szCs w:val="21"/>
        </w:rPr>
        <w:t>% in 2015.</w:t>
      </w:r>
      <w:r w:rsidR="000420B3">
        <w:rPr>
          <w:rFonts w:ascii="Times New Roman" w:hAnsi="Times New Roman" w:cs="Times New Roman"/>
          <w:bCs/>
          <w:iCs/>
          <w:sz w:val="21"/>
          <w:szCs w:val="21"/>
        </w:rPr>
        <w:t xml:space="preserve"> </w:t>
      </w:r>
      <w:r w:rsidR="000420B3" w:rsidRPr="000420B3">
        <w:rPr>
          <w:rFonts w:ascii="Times New Roman" w:hAnsi="Times New Roman" w:cs="Times New Roman"/>
          <w:bCs/>
          <w:iCs/>
          <w:sz w:val="21"/>
          <w:szCs w:val="21"/>
        </w:rPr>
        <w:t xml:space="preserve">It is noteworthy that the current account </w:t>
      </w:r>
      <w:r w:rsidR="000420B3">
        <w:rPr>
          <w:rFonts w:ascii="Times New Roman" w:hAnsi="Times New Roman" w:cs="Times New Roman"/>
          <w:bCs/>
          <w:iCs/>
          <w:sz w:val="21"/>
          <w:szCs w:val="21"/>
        </w:rPr>
        <w:t xml:space="preserve">will keep on </w:t>
      </w:r>
      <w:r w:rsidR="000420B3" w:rsidRPr="000420B3">
        <w:rPr>
          <w:rFonts w:ascii="Times New Roman" w:hAnsi="Times New Roman" w:cs="Times New Roman"/>
          <w:bCs/>
          <w:iCs/>
          <w:sz w:val="21"/>
          <w:szCs w:val="21"/>
        </w:rPr>
        <w:t>improv</w:t>
      </w:r>
      <w:r w:rsidR="000420B3">
        <w:rPr>
          <w:rFonts w:ascii="Times New Roman" w:hAnsi="Times New Roman" w:cs="Times New Roman"/>
          <w:bCs/>
          <w:iCs/>
          <w:sz w:val="21"/>
          <w:szCs w:val="21"/>
        </w:rPr>
        <w:t xml:space="preserve">ing as </w:t>
      </w:r>
      <w:r w:rsidR="000420B3" w:rsidRPr="000420B3">
        <w:rPr>
          <w:rFonts w:ascii="Times New Roman" w:hAnsi="Times New Roman" w:cs="Times New Roman"/>
          <w:bCs/>
          <w:iCs/>
          <w:sz w:val="21"/>
          <w:szCs w:val="21"/>
        </w:rPr>
        <w:t xml:space="preserve">the trade balance </w:t>
      </w:r>
      <w:r w:rsidR="000420B3">
        <w:rPr>
          <w:rFonts w:ascii="Times New Roman" w:hAnsi="Times New Roman" w:cs="Times New Roman"/>
          <w:bCs/>
          <w:iCs/>
          <w:sz w:val="21"/>
          <w:szCs w:val="21"/>
        </w:rPr>
        <w:t xml:space="preserve">gets a better shape, despite </w:t>
      </w:r>
      <w:r w:rsidR="000420B3" w:rsidRPr="000420B3">
        <w:rPr>
          <w:rFonts w:ascii="Times New Roman" w:hAnsi="Times New Roman" w:cs="Times New Roman"/>
          <w:bCs/>
          <w:iCs/>
          <w:sz w:val="21"/>
          <w:szCs w:val="21"/>
        </w:rPr>
        <w:t>negative developments</w:t>
      </w:r>
      <w:r w:rsidR="000420B3">
        <w:rPr>
          <w:rFonts w:ascii="Times New Roman" w:hAnsi="Times New Roman" w:cs="Times New Roman"/>
          <w:bCs/>
          <w:iCs/>
          <w:sz w:val="21"/>
          <w:szCs w:val="21"/>
        </w:rPr>
        <w:t xml:space="preserve"> with </w:t>
      </w:r>
      <w:r w:rsidR="000420B3" w:rsidRPr="000420B3">
        <w:rPr>
          <w:rFonts w:ascii="Times New Roman" w:hAnsi="Times New Roman" w:cs="Times New Roman"/>
          <w:bCs/>
          <w:iCs/>
          <w:sz w:val="21"/>
          <w:szCs w:val="21"/>
        </w:rPr>
        <w:t>private transfers</w:t>
      </w:r>
      <w:r w:rsidR="000420B3">
        <w:rPr>
          <w:rFonts w:ascii="Times New Roman" w:hAnsi="Times New Roman" w:cs="Times New Roman"/>
          <w:bCs/>
          <w:iCs/>
          <w:sz w:val="21"/>
          <w:szCs w:val="21"/>
        </w:rPr>
        <w:t xml:space="preserve">. </w:t>
      </w:r>
    </w:p>
    <w:p w14:paraId="457C38A6" w14:textId="77777777" w:rsidR="008F0F4E" w:rsidRDefault="0066260D"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The current account </w:t>
      </w:r>
      <w:r w:rsidR="00661AA5">
        <w:rPr>
          <w:rFonts w:ascii="Times New Roman" w:hAnsi="Times New Roman" w:cs="Times New Roman"/>
          <w:bCs/>
          <w:iCs/>
          <w:sz w:val="21"/>
          <w:szCs w:val="21"/>
        </w:rPr>
        <w:t xml:space="preserve">position </w:t>
      </w:r>
      <w:r>
        <w:rPr>
          <w:rFonts w:ascii="Times New Roman" w:hAnsi="Times New Roman" w:cs="Times New Roman"/>
          <w:bCs/>
          <w:iCs/>
          <w:sz w:val="21"/>
          <w:szCs w:val="21"/>
        </w:rPr>
        <w:t xml:space="preserve">will </w:t>
      </w:r>
      <w:r w:rsidR="00BC4C73">
        <w:rPr>
          <w:rFonts w:ascii="Times New Roman" w:hAnsi="Times New Roman" w:cs="Times New Roman"/>
          <w:bCs/>
          <w:iCs/>
          <w:sz w:val="21"/>
          <w:szCs w:val="21"/>
        </w:rPr>
        <w:t>continue improving</w:t>
      </w:r>
      <w:r w:rsidR="00661AA5">
        <w:rPr>
          <w:rFonts w:ascii="Times New Roman" w:hAnsi="Times New Roman" w:cs="Times New Roman"/>
          <w:bCs/>
          <w:iCs/>
          <w:sz w:val="21"/>
          <w:szCs w:val="21"/>
        </w:rPr>
        <w:t xml:space="preserve"> in </w:t>
      </w:r>
      <w:r>
        <w:rPr>
          <w:rFonts w:ascii="Times New Roman" w:hAnsi="Times New Roman" w:cs="Times New Roman"/>
          <w:bCs/>
          <w:iCs/>
          <w:sz w:val="21"/>
          <w:szCs w:val="21"/>
        </w:rPr>
        <w:t>the medium-term perspective</w:t>
      </w:r>
      <w:r w:rsidR="00661AA5">
        <w:rPr>
          <w:rFonts w:ascii="Times New Roman" w:hAnsi="Times New Roman" w:cs="Times New Roman"/>
          <w:bCs/>
          <w:iCs/>
          <w:sz w:val="21"/>
          <w:szCs w:val="21"/>
        </w:rPr>
        <w:t xml:space="preserve">, and </w:t>
      </w:r>
      <w:r>
        <w:rPr>
          <w:rFonts w:ascii="Times New Roman" w:hAnsi="Times New Roman" w:cs="Times New Roman"/>
          <w:bCs/>
          <w:iCs/>
          <w:sz w:val="21"/>
          <w:szCs w:val="21"/>
        </w:rPr>
        <w:t>the</w:t>
      </w:r>
      <w:r w:rsidRPr="00EC356F">
        <w:rPr>
          <w:rFonts w:ascii="Times New Roman" w:hAnsi="Times New Roman" w:cs="Times New Roman"/>
          <w:bCs/>
          <w:iCs/>
          <w:sz w:val="21"/>
          <w:szCs w:val="21"/>
        </w:rPr>
        <w:t xml:space="preserve"> Current Account Deficit</w:t>
      </w:r>
      <w:r w:rsidR="00661AA5">
        <w:rPr>
          <w:rFonts w:ascii="Times New Roman" w:hAnsi="Times New Roman" w:cs="Times New Roman"/>
          <w:bCs/>
          <w:iCs/>
          <w:sz w:val="21"/>
          <w:szCs w:val="21"/>
        </w:rPr>
        <w:t>-to-</w:t>
      </w:r>
      <w:r w:rsidRPr="00EC356F">
        <w:rPr>
          <w:rFonts w:ascii="Times New Roman" w:hAnsi="Times New Roman" w:cs="Times New Roman"/>
          <w:bCs/>
          <w:iCs/>
          <w:sz w:val="21"/>
          <w:szCs w:val="21"/>
        </w:rPr>
        <w:t>GDP ratio</w:t>
      </w:r>
      <w:r>
        <w:rPr>
          <w:rFonts w:ascii="Times New Roman" w:hAnsi="Times New Roman" w:cs="Times New Roman"/>
          <w:bCs/>
          <w:iCs/>
          <w:sz w:val="21"/>
          <w:szCs w:val="21"/>
        </w:rPr>
        <w:t xml:space="preserve"> will </w:t>
      </w:r>
      <w:r w:rsidR="00661AA5">
        <w:rPr>
          <w:rFonts w:ascii="Times New Roman" w:hAnsi="Times New Roman" w:cs="Times New Roman"/>
          <w:bCs/>
          <w:iCs/>
          <w:sz w:val="21"/>
          <w:szCs w:val="21"/>
        </w:rPr>
        <w:t xml:space="preserve">reach </w:t>
      </w:r>
      <w:r w:rsidR="00FA6BEE">
        <w:rPr>
          <w:rFonts w:ascii="Times New Roman" w:hAnsi="Times New Roman" w:cs="Times New Roman"/>
          <w:bCs/>
          <w:iCs/>
          <w:sz w:val="21"/>
          <w:szCs w:val="21"/>
        </w:rPr>
        <w:t xml:space="preserve">a </w:t>
      </w:r>
      <w:r>
        <w:rPr>
          <w:rFonts w:ascii="Times New Roman" w:hAnsi="Times New Roman" w:cs="Times New Roman"/>
          <w:bCs/>
          <w:iCs/>
          <w:sz w:val="21"/>
          <w:szCs w:val="21"/>
        </w:rPr>
        <w:t>5.0</w:t>
      </w:r>
      <w:r w:rsidR="00FA6BEE">
        <w:rPr>
          <w:rFonts w:ascii="Times New Roman" w:hAnsi="Times New Roman" w:cs="Times New Roman"/>
          <w:bCs/>
          <w:iCs/>
          <w:sz w:val="21"/>
          <w:szCs w:val="21"/>
        </w:rPr>
        <w:t>%</w:t>
      </w:r>
      <w:r>
        <w:rPr>
          <w:rFonts w:ascii="Times New Roman" w:hAnsi="Times New Roman" w:cs="Times New Roman"/>
          <w:bCs/>
          <w:iCs/>
          <w:sz w:val="21"/>
          <w:szCs w:val="21"/>
        </w:rPr>
        <w:t>-6.0%</w:t>
      </w:r>
      <w:r w:rsidR="00FA6BEE">
        <w:rPr>
          <w:rFonts w:ascii="Times New Roman" w:hAnsi="Times New Roman" w:cs="Times New Roman"/>
          <w:bCs/>
          <w:iCs/>
          <w:sz w:val="21"/>
          <w:szCs w:val="21"/>
        </w:rPr>
        <w:t xml:space="preserve"> range</w:t>
      </w:r>
      <w:r>
        <w:rPr>
          <w:rFonts w:ascii="Times New Roman" w:hAnsi="Times New Roman" w:cs="Times New Roman"/>
          <w:bCs/>
          <w:iCs/>
          <w:sz w:val="21"/>
          <w:szCs w:val="21"/>
        </w:rPr>
        <w:t xml:space="preserve">. </w:t>
      </w:r>
    </w:p>
    <w:p w14:paraId="49962088" w14:textId="77777777" w:rsidR="007E50C6" w:rsidRDefault="007E50C6"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T</w:t>
      </w:r>
      <w:r w:rsidRPr="007E50C6">
        <w:rPr>
          <w:rFonts w:ascii="Times New Roman" w:hAnsi="Times New Roman" w:cs="Times New Roman"/>
          <w:bCs/>
          <w:iCs/>
          <w:sz w:val="21"/>
          <w:szCs w:val="21"/>
        </w:rPr>
        <w:t xml:space="preserve">he </w:t>
      </w:r>
      <w:r w:rsidRPr="00C521A9">
        <w:rPr>
          <w:rFonts w:ascii="Times New Roman" w:hAnsi="Times New Roman" w:cs="Times New Roman"/>
          <w:b/>
          <w:bCs/>
          <w:iCs/>
          <w:sz w:val="21"/>
          <w:szCs w:val="21"/>
        </w:rPr>
        <w:t>fiscal policy's impact</w:t>
      </w:r>
      <w:r w:rsidRPr="007E50C6">
        <w:rPr>
          <w:rFonts w:ascii="Times New Roman" w:hAnsi="Times New Roman" w:cs="Times New Roman"/>
          <w:bCs/>
          <w:iCs/>
          <w:sz w:val="21"/>
          <w:szCs w:val="21"/>
        </w:rPr>
        <w:t xml:space="preserve"> </w:t>
      </w:r>
      <w:r>
        <w:rPr>
          <w:rFonts w:ascii="Times New Roman" w:hAnsi="Times New Roman" w:cs="Times New Roman"/>
          <w:bCs/>
          <w:iCs/>
          <w:sz w:val="21"/>
          <w:szCs w:val="21"/>
        </w:rPr>
        <w:t xml:space="preserve">on the aggregate demand for 2015 </w:t>
      </w:r>
      <w:r w:rsidR="009C63A2">
        <w:rPr>
          <w:rFonts w:ascii="Times New Roman" w:hAnsi="Times New Roman" w:cs="Times New Roman"/>
          <w:bCs/>
          <w:iCs/>
          <w:sz w:val="21"/>
          <w:szCs w:val="21"/>
        </w:rPr>
        <w:t>was</w:t>
      </w:r>
      <w:r>
        <w:rPr>
          <w:rFonts w:ascii="Times New Roman" w:hAnsi="Times New Roman" w:cs="Times New Roman"/>
          <w:bCs/>
          <w:iCs/>
          <w:sz w:val="21"/>
          <w:szCs w:val="21"/>
        </w:rPr>
        <w:t xml:space="preserve"> assessed using the indicators laid down in the Republic of Armenia Law on State Budget 2015</w:t>
      </w:r>
      <w:r w:rsidR="006D4EF7">
        <w:rPr>
          <w:rFonts w:ascii="Times New Roman" w:hAnsi="Times New Roman" w:cs="Times New Roman"/>
          <w:bCs/>
          <w:iCs/>
          <w:sz w:val="21"/>
          <w:szCs w:val="21"/>
        </w:rPr>
        <w:t>.</w:t>
      </w:r>
      <w:r w:rsidRPr="007E50C6">
        <w:rPr>
          <w:rFonts w:ascii="Times New Roman" w:hAnsi="Times New Roman" w:cs="Times New Roman"/>
          <w:bCs/>
          <w:iCs/>
          <w:sz w:val="21"/>
          <w:szCs w:val="21"/>
        </w:rPr>
        <w:t xml:space="preserve"> </w:t>
      </w:r>
      <w:r w:rsidR="006D4EF7">
        <w:rPr>
          <w:rFonts w:ascii="Times New Roman" w:hAnsi="Times New Roman" w:cs="Times New Roman"/>
          <w:bCs/>
          <w:iCs/>
          <w:sz w:val="21"/>
          <w:szCs w:val="21"/>
        </w:rPr>
        <w:t>According to the assessment, the T</w:t>
      </w:r>
      <w:r w:rsidR="006D4EF7" w:rsidRPr="007E50C6">
        <w:rPr>
          <w:rFonts w:ascii="Times New Roman" w:hAnsi="Times New Roman" w:cs="Times New Roman"/>
          <w:bCs/>
          <w:iCs/>
          <w:sz w:val="21"/>
          <w:szCs w:val="21"/>
        </w:rPr>
        <w:t>ax</w:t>
      </w:r>
      <w:r w:rsidR="006D4EF7">
        <w:rPr>
          <w:rFonts w:ascii="Times New Roman" w:hAnsi="Times New Roman" w:cs="Times New Roman"/>
          <w:bCs/>
          <w:iCs/>
          <w:sz w:val="21"/>
          <w:szCs w:val="21"/>
        </w:rPr>
        <w:t>-</w:t>
      </w:r>
      <w:r w:rsidR="006D4EF7">
        <w:rPr>
          <w:rFonts w:ascii="Times New Roman" w:hAnsi="Times New Roman" w:cs="Times New Roman"/>
          <w:bCs/>
          <w:iCs/>
          <w:sz w:val="21"/>
          <w:szCs w:val="21"/>
        </w:rPr>
        <w:lastRenderedPageBreak/>
        <w:t>to-</w:t>
      </w:r>
      <w:r w:rsidR="006D4EF7" w:rsidRPr="007E50C6">
        <w:rPr>
          <w:rFonts w:ascii="Times New Roman" w:hAnsi="Times New Roman" w:cs="Times New Roman"/>
          <w:bCs/>
          <w:iCs/>
          <w:sz w:val="21"/>
          <w:szCs w:val="21"/>
        </w:rPr>
        <w:t xml:space="preserve">GDP ratio </w:t>
      </w:r>
      <w:r w:rsidR="006D4EF7">
        <w:rPr>
          <w:rFonts w:ascii="Times New Roman" w:hAnsi="Times New Roman" w:cs="Times New Roman"/>
          <w:bCs/>
          <w:iCs/>
          <w:sz w:val="21"/>
          <w:szCs w:val="21"/>
        </w:rPr>
        <w:t>is expected to stay unchanged but the E</w:t>
      </w:r>
      <w:r w:rsidR="006D4EF7" w:rsidRPr="007E50C6">
        <w:rPr>
          <w:rFonts w:ascii="Times New Roman" w:hAnsi="Times New Roman" w:cs="Times New Roman"/>
          <w:bCs/>
          <w:iCs/>
          <w:sz w:val="21"/>
          <w:szCs w:val="21"/>
        </w:rPr>
        <w:t>xpenditure</w:t>
      </w:r>
      <w:r w:rsidR="006D4EF7">
        <w:rPr>
          <w:rFonts w:ascii="Times New Roman" w:hAnsi="Times New Roman" w:cs="Times New Roman"/>
          <w:bCs/>
          <w:iCs/>
          <w:sz w:val="21"/>
          <w:szCs w:val="21"/>
        </w:rPr>
        <w:t>-to-</w:t>
      </w:r>
      <w:r w:rsidR="006D4EF7" w:rsidRPr="007E50C6">
        <w:rPr>
          <w:rFonts w:ascii="Times New Roman" w:hAnsi="Times New Roman" w:cs="Times New Roman"/>
          <w:bCs/>
          <w:iCs/>
          <w:sz w:val="21"/>
          <w:szCs w:val="21"/>
        </w:rPr>
        <w:t>GDP ratio</w:t>
      </w:r>
      <w:r w:rsidR="00D41D72">
        <w:rPr>
          <w:rStyle w:val="FootnoteReference"/>
          <w:rFonts w:ascii="Times New Roman" w:hAnsi="Times New Roman" w:cs="Times New Roman"/>
          <w:bCs/>
          <w:iCs/>
          <w:sz w:val="21"/>
          <w:szCs w:val="21"/>
        </w:rPr>
        <w:footnoteReference w:customMarkFollows="1" w:id="7"/>
        <w:t>7</w:t>
      </w:r>
      <w:r w:rsidR="006D4EF7" w:rsidRPr="007E50C6">
        <w:rPr>
          <w:rFonts w:ascii="Times New Roman" w:hAnsi="Times New Roman" w:cs="Times New Roman"/>
          <w:bCs/>
          <w:iCs/>
          <w:sz w:val="21"/>
          <w:szCs w:val="21"/>
        </w:rPr>
        <w:t xml:space="preserve"> </w:t>
      </w:r>
      <w:r w:rsidR="006D4EF7">
        <w:rPr>
          <w:rFonts w:ascii="Times New Roman" w:hAnsi="Times New Roman" w:cs="Times New Roman"/>
          <w:bCs/>
          <w:iCs/>
          <w:sz w:val="21"/>
          <w:szCs w:val="21"/>
        </w:rPr>
        <w:t xml:space="preserve">to increase </w:t>
      </w:r>
      <w:r w:rsidR="006D4EF7" w:rsidRPr="007E50C6">
        <w:rPr>
          <w:rFonts w:ascii="Times New Roman" w:hAnsi="Times New Roman" w:cs="Times New Roman"/>
          <w:bCs/>
          <w:iCs/>
          <w:sz w:val="21"/>
          <w:szCs w:val="21"/>
        </w:rPr>
        <w:t>by 1.1 p</w:t>
      </w:r>
      <w:r w:rsidR="006D4EF7">
        <w:rPr>
          <w:rFonts w:ascii="Times New Roman" w:hAnsi="Times New Roman" w:cs="Times New Roman"/>
          <w:bCs/>
          <w:iCs/>
          <w:sz w:val="21"/>
          <w:szCs w:val="21"/>
        </w:rPr>
        <w:t xml:space="preserve">p in relation to the </w:t>
      </w:r>
      <w:r w:rsidR="006D4EF7" w:rsidRPr="007E50C6">
        <w:rPr>
          <w:rFonts w:ascii="Times New Roman" w:hAnsi="Times New Roman" w:cs="Times New Roman"/>
          <w:bCs/>
          <w:iCs/>
          <w:sz w:val="21"/>
          <w:szCs w:val="21"/>
        </w:rPr>
        <w:t xml:space="preserve">preliminary indicators of </w:t>
      </w:r>
      <w:r w:rsidR="006D4EF7">
        <w:rPr>
          <w:rFonts w:ascii="Times New Roman" w:hAnsi="Times New Roman" w:cs="Times New Roman"/>
          <w:bCs/>
          <w:iCs/>
          <w:sz w:val="21"/>
          <w:szCs w:val="21"/>
        </w:rPr>
        <w:t xml:space="preserve">2014. </w:t>
      </w:r>
      <w:r w:rsidRPr="007E50C6">
        <w:rPr>
          <w:rFonts w:ascii="Times New Roman" w:hAnsi="Times New Roman" w:cs="Times New Roman"/>
          <w:bCs/>
          <w:iCs/>
          <w:sz w:val="21"/>
          <w:szCs w:val="21"/>
        </w:rPr>
        <w:t xml:space="preserve">Moreover, the </w:t>
      </w:r>
      <w:r w:rsidR="00BB54ED">
        <w:rPr>
          <w:rFonts w:ascii="Times New Roman" w:hAnsi="Times New Roman" w:cs="Times New Roman"/>
          <w:bCs/>
          <w:iCs/>
          <w:sz w:val="21"/>
          <w:szCs w:val="21"/>
        </w:rPr>
        <w:t xml:space="preserve">projected increase of expenditures is due to </w:t>
      </w:r>
      <w:r w:rsidRPr="007E50C6">
        <w:rPr>
          <w:rFonts w:ascii="Times New Roman" w:hAnsi="Times New Roman" w:cs="Times New Roman"/>
          <w:bCs/>
          <w:iCs/>
          <w:sz w:val="21"/>
          <w:szCs w:val="21"/>
        </w:rPr>
        <w:t xml:space="preserve">current expenses. As a result, the </w:t>
      </w:r>
      <w:r w:rsidR="00BB54ED">
        <w:rPr>
          <w:rFonts w:ascii="Times New Roman" w:hAnsi="Times New Roman" w:cs="Times New Roman"/>
          <w:bCs/>
          <w:iCs/>
          <w:sz w:val="21"/>
          <w:szCs w:val="21"/>
        </w:rPr>
        <w:t>D</w:t>
      </w:r>
      <w:r w:rsidRPr="007E50C6">
        <w:rPr>
          <w:rFonts w:ascii="Times New Roman" w:hAnsi="Times New Roman" w:cs="Times New Roman"/>
          <w:bCs/>
          <w:iCs/>
          <w:sz w:val="21"/>
          <w:szCs w:val="21"/>
        </w:rPr>
        <w:t>eficit</w:t>
      </w:r>
      <w:r w:rsidR="00BB54ED">
        <w:rPr>
          <w:rFonts w:ascii="Times New Roman" w:hAnsi="Times New Roman" w:cs="Times New Roman"/>
          <w:bCs/>
          <w:iCs/>
          <w:sz w:val="21"/>
          <w:szCs w:val="21"/>
        </w:rPr>
        <w:t>-to-</w:t>
      </w:r>
      <w:r w:rsidRPr="007E50C6">
        <w:rPr>
          <w:rFonts w:ascii="Times New Roman" w:hAnsi="Times New Roman" w:cs="Times New Roman"/>
          <w:bCs/>
          <w:iCs/>
          <w:sz w:val="21"/>
          <w:szCs w:val="21"/>
        </w:rPr>
        <w:t xml:space="preserve">GDP ratio </w:t>
      </w:r>
      <w:r w:rsidR="00BB54ED">
        <w:rPr>
          <w:rFonts w:ascii="Times New Roman" w:hAnsi="Times New Roman" w:cs="Times New Roman"/>
          <w:bCs/>
          <w:iCs/>
          <w:sz w:val="21"/>
          <w:szCs w:val="21"/>
        </w:rPr>
        <w:t xml:space="preserve">in </w:t>
      </w:r>
      <w:r w:rsidRPr="007E50C6">
        <w:rPr>
          <w:rFonts w:ascii="Times New Roman" w:hAnsi="Times New Roman" w:cs="Times New Roman"/>
          <w:bCs/>
          <w:iCs/>
          <w:sz w:val="21"/>
          <w:szCs w:val="21"/>
        </w:rPr>
        <w:t>2015 will be 2.3%.</w:t>
      </w:r>
    </w:p>
    <w:p w14:paraId="1F6ACE49" w14:textId="77777777" w:rsidR="00C26E92" w:rsidRDefault="000D3275"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In 201</w:t>
      </w:r>
      <w:r>
        <w:rPr>
          <w:rFonts w:ascii="Times New Roman" w:hAnsi="Times New Roman" w:cs="Times New Roman"/>
          <w:bCs/>
          <w:iCs/>
          <w:sz w:val="21"/>
          <w:szCs w:val="21"/>
        </w:rPr>
        <w:t>5</w:t>
      </w:r>
      <w:r w:rsidRPr="00EC356F">
        <w:rPr>
          <w:rFonts w:ascii="Times New Roman" w:hAnsi="Times New Roman" w:cs="Times New Roman"/>
          <w:bCs/>
          <w:iCs/>
          <w:sz w:val="21"/>
          <w:szCs w:val="21"/>
        </w:rPr>
        <w:t>, relative to 201</w:t>
      </w:r>
      <w:r>
        <w:rPr>
          <w:rFonts w:ascii="Times New Roman" w:hAnsi="Times New Roman" w:cs="Times New Roman"/>
          <w:bCs/>
          <w:iCs/>
          <w:sz w:val="21"/>
          <w:szCs w:val="21"/>
        </w:rPr>
        <w:t>4</w:t>
      </w:r>
      <w:r w:rsidRPr="00EC356F">
        <w:rPr>
          <w:rFonts w:ascii="Times New Roman" w:hAnsi="Times New Roman" w:cs="Times New Roman"/>
          <w:bCs/>
          <w:iCs/>
          <w:sz w:val="21"/>
          <w:szCs w:val="21"/>
        </w:rPr>
        <w:t xml:space="preserve">, the </w:t>
      </w:r>
      <w:r>
        <w:rPr>
          <w:rFonts w:ascii="Times New Roman" w:hAnsi="Times New Roman" w:cs="Times New Roman"/>
          <w:bCs/>
          <w:iCs/>
          <w:sz w:val="21"/>
          <w:szCs w:val="21"/>
        </w:rPr>
        <w:t>budget revenues are projected to leave a neutral impact and budget expenditures an expansionary impact on the aggregate demand</w:t>
      </w:r>
      <w:r w:rsidR="00D41D72">
        <w:rPr>
          <w:rStyle w:val="FootnoteReference"/>
          <w:rFonts w:ascii="Times New Roman" w:hAnsi="Times New Roman" w:cs="Times New Roman"/>
          <w:bCs/>
          <w:iCs/>
          <w:sz w:val="21"/>
          <w:szCs w:val="21"/>
        </w:rPr>
        <w:footnoteReference w:customMarkFollows="1" w:id="8"/>
        <w:t>8</w:t>
      </w:r>
      <w:r>
        <w:rPr>
          <w:rFonts w:ascii="Times New Roman" w:hAnsi="Times New Roman" w:cs="Times New Roman"/>
          <w:bCs/>
          <w:iCs/>
          <w:sz w:val="21"/>
          <w:szCs w:val="21"/>
        </w:rPr>
        <w:t xml:space="preserve">. </w:t>
      </w:r>
      <w:r w:rsidR="00C26E92" w:rsidRPr="00C26E92">
        <w:rPr>
          <w:rFonts w:ascii="Times New Roman" w:hAnsi="Times New Roman" w:cs="Times New Roman"/>
          <w:bCs/>
          <w:iCs/>
          <w:sz w:val="21"/>
          <w:szCs w:val="21"/>
        </w:rPr>
        <w:t xml:space="preserve">It is worth mentioning that domestic economic developments </w:t>
      </w:r>
      <w:r w:rsidR="00C26E92">
        <w:rPr>
          <w:rFonts w:ascii="Times New Roman" w:hAnsi="Times New Roman" w:cs="Times New Roman"/>
          <w:bCs/>
          <w:iCs/>
          <w:sz w:val="21"/>
          <w:szCs w:val="21"/>
        </w:rPr>
        <w:t xml:space="preserve">will be </w:t>
      </w:r>
      <w:r w:rsidR="00C26E92" w:rsidRPr="00C26E92">
        <w:rPr>
          <w:rFonts w:ascii="Times New Roman" w:hAnsi="Times New Roman" w:cs="Times New Roman"/>
          <w:bCs/>
          <w:iCs/>
          <w:sz w:val="21"/>
          <w:szCs w:val="21"/>
        </w:rPr>
        <w:t xml:space="preserve">largely </w:t>
      </w:r>
      <w:r w:rsidR="00C26E92">
        <w:rPr>
          <w:rFonts w:ascii="Times New Roman" w:hAnsi="Times New Roman" w:cs="Times New Roman"/>
          <w:bCs/>
          <w:iCs/>
          <w:sz w:val="21"/>
          <w:szCs w:val="21"/>
        </w:rPr>
        <w:t xml:space="preserve">determined by how </w:t>
      </w:r>
      <w:r w:rsidR="00C26E92" w:rsidRPr="00C26E92">
        <w:rPr>
          <w:rFonts w:ascii="Times New Roman" w:hAnsi="Times New Roman" w:cs="Times New Roman"/>
          <w:bCs/>
          <w:iCs/>
          <w:sz w:val="21"/>
          <w:szCs w:val="21"/>
        </w:rPr>
        <w:t xml:space="preserve">the state budget </w:t>
      </w:r>
      <w:r w:rsidR="00C26E92">
        <w:rPr>
          <w:rFonts w:ascii="Times New Roman" w:hAnsi="Times New Roman" w:cs="Times New Roman"/>
          <w:bCs/>
          <w:iCs/>
          <w:sz w:val="21"/>
          <w:szCs w:val="21"/>
        </w:rPr>
        <w:t xml:space="preserve">will be performed. </w:t>
      </w:r>
    </w:p>
    <w:p w14:paraId="5F7887EE" w14:textId="7E33B387" w:rsidR="00A9653E" w:rsidRPr="00EC356F" w:rsidRDefault="00A9653E" w:rsidP="00A9653E">
      <w:pPr>
        <w:spacing w:line="360" w:lineRule="auto"/>
        <w:jc w:val="both"/>
        <w:rPr>
          <w:rStyle w:val="longtext"/>
          <w:rFonts w:ascii="Times New Roman" w:hAnsi="Times New Roman" w:cs="Times New Roman"/>
          <w:b/>
          <w:sz w:val="21"/>
          <w:szCs w:val="21"/>
          <w:shd w:val="clear" w:color="auto" w:fill="FFFFFF"/>
        </w:rPr>
      </w:pPr>
      <w:r w:rsidRPr="00EC356F">
        <w:rPr>
          <w:rFonts w:ascii="Times New Roman" w:hAnsi="Times New Roman" w:cs="Times New Roman"/>
          <w:bCs/>
          <w:iCs/>
          <w:color w:val="000000"/>
          <w:sz w:val="21"/>
          <w:szCs w:val="21"/>
        </w:rPr>
        <w:t>The</w:t>
      </w:r>
      <w:r w:rsidR="00C26E92">
        <w:rPr>
          <w:rFonts w:ascii="Times New Roman" w:hAnsi="Times New Roman" w:cs="Times New Roman"/>
          <w:bCs/>
          <w:iCs/>
          <w:color w:val="000000"/>
          <w:sz w:val="21"/>
          <w:szCs w:val="21"/>
        </w:rPr>
        <w:t xml:space="preserve"> </w:t>
      </w:r>
      <w:r w:rsidR="00C26E92" w:rsidRPr="00C26E92">
        <w:rPr>
          <w:rFonts w:ascii="Times New Roman" w:hAnsi="Times New Roman" w:cs="Times New Roman"/>
          <w:b/>
          <w:bCs/>
          <w:iCs/>
          <w:color w:val="000000"/>
          <w:sz w:val="21"/>
          <w:szCs w:val="21"/>
        </w:rPr>
        <w:t>projections of the fiscal policy</w:t>
      </w:r>
      <w:r w:rsidR="00C26E92">
        <w:rPr>
          <w:rFonts w:ascii="Times New Roman" w:hAnsi="Times New Roman" w:cs="Times New Roman"/>
          <w:bCs/>
          <w:iCs/>
          <w:color w:val="000000"/>
          <w:sz w:val="21"/>
          <w:szCs w:val="21"/>
        </w:rPr>
        <w:t xml:space="preserve"> </w:t>
      </w:r>
      <w:r w:rsidRPr="00EC356F">
        <w:rPr>
          <w:rFonts w:ascii="Times New Roman" w:hAnsi="Times New Roman" w:cs="Times New Roman"/>
          <w:b/>
          <w:bCs/>
          <w:iCs/>
          <w:color w:val="000000"/>
          <w:sz w:val="21"/>
          <w:szCs w:val="21"/>
        </w:rPr>
        <w:t xml:space="preserve">in the forecast horizon </w:t>
      </w:r>
      <w:r w:rsidR="00C26E92">
        <w:rPr>
          <w:rFonts w:ascii="Times New Roman" w:hAnsi="Times New Roman" w:cs="Times New Roman"/>
          <w:bCs/>
          <w:iCs/>
          <w:color w:val="000000"/>
          <w:sz w:val="21"/>
          <w:szCs w:val="21"/>
        </w:rPr>
        <w:t xml:space="preserve">are based on underlying </w:t>
      </w:r>
      <w:r w:rsidRPr="00EC356F">
        <w:rPr>
          <w:rFonts w:ascii="Times New Roman" w:hAnsi="Times New Roman" w:cs="Times New Roman"/>
          <w:bCs/>
          <w:iCs/>
          <w:color w:val="000000"/>
          <w:sz w:val="21"/>
          <w:szCs w:val="21"/>
        </w:rPr>
        <w:t>macroeconomic indicators</w:t>
      </w:r>
      <w:r w:rsidR="00C26E92">
        <w:rPr>
          <w:rFonts w:ascii="Times New Roman" w:hAnsi="Times New Roman" w:cs="Times New Roman"/>
          <w:bCs/>
          <w:iCs/>
          <w:color w:val="000000"/>
          <w:sz w:val="21"/>
          <w:szCs w:val="21"/>
        </w:rPr>
        <w:t xml:space="preserve"> in</w:t>
      </w:r>
      <w:r w:rsidRPr="00EC356F">
        <w:rPr>
          <w:rFonts w:ascii="Times New Roman" w:hAnsi="Times New Roman" w:cs="Times New Roman"/>
          <w:bCs/>
          <w:iCs/>
          <w:color w:val="000000"/>
          <w:sz w:val="21"/>
          <w:szCs w:val="21"/>
        </w:rPr>
        <w:t xml:space="preserve"> the </w:t>
      </w:r>
      <w:r w:rsidRPr="00EC356F">
        <w:rPr>
          <w:rFonts w:ascii="Times New Roman" w:hAnsi="Times New Roman" w:cs="Times New Roman"/>
          <w:bCs/>
          <w:iCs/>
          <w:sz w:val="21"/>
          <w:szCs w:val="21"/>
        </w:rPr>
        <w:t>Republic of Armenia Medium-Term Public Expenditures Program, 2015-</w:t>
      </w:r>
      <w:r w:rsidR="00B84E22" w:rsidRPr="00EC356F">
        <w:rPr>
          <w:rFonts w:ascii="Times New Roman" w:hAnsi="Times New Roman" w:cs="Times New Roman"/>
          <w:bCs/>
          <w:iCs/>
          <w:sz w:val="21"/>
          <w:szCs w:val="21"/>
        </w:rPr>
        <w:t>201</w:t>
      </w:r>
      <w:r w:rsidR="00B84E22">
        <w:rPr>
          <w:rFonts w:ascii="Times New Roman" w:hAnsi="Times New Roman" w:cs="Times New Roman"/>
          <w:bCs/>
          <w:iCs/>
          <w:sz w:val="21"/>
          <w:szCs w:val="21"/>
        </w:rPr>
        <w:t>7</w:t>
      </w:r>
      <w:r w:rsidR="00C26E92">
        <w:rPr>
          <w:rFonts w:ascii="Times New Roman" w:hAnsi="Times New Roman" w:cs="Times New Roman"/>
          <w:bCs/>
          <w:iCs/>
          <w:sz w:val="21"/>
          <w:szCs w:val="21"/>
        </w:rPr>
        <w:t xml:space="preserve">, which is steered to maintaining a budget deficit adequate to sustainable public debt. The </w:t>
      </w:r>
      <w:r w:rsidR="00C26E92" w:rsidRPr="007E50C6">
        <w:rPr>
          <w:rFonts w:ascii="Times New Roman" w:hAnsi="Times New Roman" w:cs="Times New Roman"/>
          <w:bCs/>
          <w:iCs/>
          <w:sz w:val="21"/>
          <w:szCs w:val="21"/>
        </w:rPr>
        <w:t>fiscal</w:t>
      </w:r>
      <w:r w:rsidR="00C26E92">
        <w:rPr>
          <w:rFonts w:ascii="Times New Roman" w:hAnsi="Times New Roman" w:cs="Times New Roman"/>
          <w:bCs/>
          <w:iCs/>
          <w:sz w:val="21"/>
          <w:szCs w:val="21"/>
        </w:rPr>
        <w:t xml:space="preserve"> policy</w:t>
      </w:r>
      <w:r w:rsidR="00C26E92" w:rsidRPr="007E50C6">
        <w:rPr>
          <w:rFonts w:ascii="Times New Roman" w:hAnsi="Times New Roman" w:cs="Times New Roman"/>
          <w:bCs/>
          <w:iCs/>
          <w:sz w:val="21"/>
          <w:szCs w:val="21"/>
        </w:rPr>
        <w:t>'s</w:t>
      </w:r>
      <w:r w:rsidR="00C26E92">
        <w:rPr>
          <w:rFonts w:ascii="Times New Roman" w:hAnsi="Times New Roman" w:cs="Times New Roman"/>
          <w:bCs/>
          <w:iCs/>
          <w:sz w:val="21"/>
          <w:szCs w:val="21"/>
        </w:rPr>
        <w:t xml:space="preserve"> </w:t>
      </w:r>
      <w:r w:rsidR="00C26E92" w:rsidRPr="007E50C6">
        <w:rPr>
          <w:rFonts w:ascii="Times New Roman" w:hAnsi="Times New Roman" w:cs="Times New Roman"/>
          <w:bCs/>
          <w:iCs/>
          <w:sz w:val="21"/>
          <w:szCs w:val="21"/>
        </w:rPr>
        <w:t>impact</w:t>
      </w:r>
      <w:r w:rsidR="00C26E92">
        <w:rPr>
          <w:rFonts w:ascii="Times New Roman" w:hAnsi="Times New Roman" w:cs="Times New Roman"/>
          <w:bCs/>
          <w:iCs/>
          <w:sz w:val="21"/>
          <w:szCs w:val="21"/>
        </w:rPr>
        <w:t xml:space="preserve"> in the medium run is estimated to be </w:t>
      </w:r>
      <w:r w:rsidRPr="00EC356F">
        <w:rPr>
          <w:rStyle w:val="longtext"/>
          <w:rFonts w:ascii="Times New Roman" w:hAnsi="Times New Roman" w:cs="Times New Roman"/>
          <w:b/>
          <w:sz w:val="21"/>
          <w:szCs w:val="21"/>
          <w:shd w:val="clear" w:color="auto" w:fill="FFFFFF"/>
        </w:rPr>
        <w:t>non-inflationary</w:t>
      </w:r>
      <w:r w:rsidRPr="00C26E92">
        <w:rPr>
          <w:rStyle w:val="longtext"/>
          <w:rFonts w:ascii="Times New Roman" w:hAnsi="Times New Roman" w:cs="Times New Roman"/>
          <w:sz w:val="21"/>
          <w:szCs w:val="21"/>
          <w:shd w:val="clear" w:color="auto" w:fill="FFFFFF"/>
        </w:rPr>
        <w:t>.</w:t>
      </w:r>
    </w:p>
    <w:tbl>
      <w:tblPr>
        <w:tblW w:w="625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169"/>
        <w:gridCol w:w="649"/>
        <w:gridCol w:w="608"/>
        <w:gridCol w:w="608"/>
        <w:gridCol w:w="608"/>
        <w:gridCol w:w="608"/>
      </w:tblGrid>
      <w:tr w:rsidR="00A9653E" w:rsidRPr="009C63A2" w14:paraId="5CE788C0" w14:textId="77777777" w:rsidTr="00DF2762">
        <w:trPr>
          <w:trHeight w:val="20"/>
        </w:trPr>
        <w:tc>
          <w:tcPr>
            <w:tcW w:w="6250" w:type="dxa"/>
            <w:gridSpan w:val="6"/>
            <w:tcBorders>
              <w:bottom w:val="single" w:sz="4" w:space="0" w:color="auto"/>
            </w:tcBorders>
            <w:shd w:val="clear" w:color="auto" w:fill="auto"/>
          </w:tcPr>
          <w:p w14:paraId="2E03A541" w14:textId="77777777" w:rsidR="00A9653E" w:rsidRPr="009C63A2" w:rsidRDefault="00A9653E" w:rsidP="00DF2762">
            <w:pPr>
              <w:spacing w:before="20" w:after="20"/>
              <w:jc w:val="center"/>
              <w:rPr>
                <w:rFonts w:ascii="Times New Roman" w:eastAsia="Calibri" w:hAnsi="Times New Roman" w:cs="Times New Roman"/>
                <w:b/>
                <w:sz w:val="16"/>
                <w:szCs w:val="16"/>
              </w:rPr>
            </w:pPr>
            <w:r w:rsidRPr="009C63A2">
              <w:rPr>
                <w:rFonts w:ascii="Times New Roman" w:eastAsia="Calibri" w:hAnsi="Times New Roman" w:cs="Times New Roman"/>
                <w:b/>
                <w:sz w:val="16"/>
                <w:szCs w:val="16"/>
              </w:rPr>
              <w:t>Medium-term fiscal policy impact assessment</w:t>
            </w:r>
          </w:p>
        </w:tc>
      </w:tr>
      <w:tr w:rsidR="00B22FBF" w:rsidRPr="009C63A2" w14:paraId="24B9DB0D" w14:textId="77777777" w:rsidTr="00DF2762">
        <w:trPr>
          <w:trHeight w:val="20"/>
        </w:trPr>
        <w:tc>
          <w:tcPr>
            <w:tcW w:w="3169" w:type="dxa"/>
            <w:tcBorders>
              <w:bottom w:val="single" w:sz="4" w:space="0" w:color="auto"/>
              <w:right w:val="dashed" w:sz="4" w:space="0" w:color="auto"/>
            </w:tcBorders>
            <w:shd w:val="clear" w:color="auto" w:fill="auto"/>
          </w:tcPr>
          <w:p w14:paraId="39761B4C"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 in GDP</w:t>
            </w:r>
          </w:p>
        </w:tc>
        <w:tc>
          <w:tcPr>
            <w:tcW w:w="649" w:type="dxa"/>
            <w:tcBorders>
              <w:left w:val="dashed" w:sz="4" w:space="0" w:color="auto"/>
              <w:bottom w:val="single" w:sz="4" w:space="0" w:color="auto"/>
              <w:right w:val="dashed" w:sz="4" w:space="0" w:color="auto"/>
            </w:tcBorders>
            <w:shd w:val="clear" w:color="auto" w:fill="auto"/>
          </w:tcPr>
          <w:p w14:paraId="0301FB85" w14:textId="77777777" w:rsidR="00B22FBF" w:rsidRPr="009C63A2" w:rsidRDefault="00B22FBF" w:rsidP="00E76C5A">
            <w:pPr>
              <w:spacing w:before="20" w:after="20"/>
              <w:jc w:val="center"/>
              <w:rPr>
                <w:rFonts w:ascii="Times New Roman" w:eastAsia="Calibri" w:hAnsi="Times New Roman" w:cs="Times New Roman"/>
                <w:sz w:val="16"/>
                <w:szCs w:val="16"/>
              </w:rPr>
            </w:pPr>
            <w:r w:rsidRPr="009C63A2">
              <w:rPr>
                <w:rFonts w:ascii="Times New Roman" w:eastAsia="Calibri" w:hAnsi="Times New Roman" w:cs="Times New Roman"/>
                <w:sz w:val="16"/>
                <w:szCs w:val="16"/>
              </w:rPr>
              <w:t>2013</w:t>
            </w:r>
          </w:p>
        </w:tc>
        <w:tc>
          <w:tcPr>
            <w:tcW w:w="608" w:type="dxa"/>
            <w:tcBorders>
              <w:left w:val="dashed" w:sz="4" w:space="0" w:color="auto"/>
              <w:bottom w:val="single" w:sz="4" w:space="0" w:color="auto"/>
              <w:right w:val="dashed" w:sz="4" w:space="0" w:color="auto"/>
            </w:tcBorders>
            <w:shd w:val="clear" w:color="auto" w:fill="auto"/>
          </w:tcPr>
          <w:p w14:paraId="7E1AC6AC" w14:textId="77777777" w:rsidR="00B22FBF" w:rsidRPr="009C63A2" w:rsidRDefault="00B22FBF" w:rsidP="00E76C5A">
            <w:pPr>
              <w:spacing w:before="20" w:after="20"/>
              <w:jc w:val="center"/>
              <w:rPr>
                <w:rFonts w:ascii="Times New Roman" w:eastAsia="Calibri" w:hAnsi="Times New Roman" w:cs="Times New Roman"/>
                <w:sz w:val="16"/>
                <w:szCs w:val="16"/>
              </w:rPr>
            </w:pPr>
            <w:r w:rsidRPr="009C63A2">
              <w:rPr>
                <w:rFonts w:ascii="Times New Roman" w:eastAsia="Calibri" w:hAnsi="Times New Roman" w:cs="Times New Roman"/>
                <w:sz w:val="16"/>
                <w:szCs w:val="16"/>
              </w:rPr>
              <w:t>2014</w:t>
            </w:r>
            <w:r w:rsidR="00F95DEB" w:rsidRPr="009C63A2">
              <w:rPr>
                <w:rStyle w:val="FootnoteReference"/>
                <w:rFonts w:ascii="Times New Roman" w:eastAsia="Calibri" w:hAnsi="Times New Roman" w:cs="Times New Roman"/>
                <w:sz w:val="16"/>
                <w:szCs w:val="16"/>
              </w:rPr>
              <w:footnoteReference w:customMarkFollows="1" w:id="9"/>
              <w:t>9</w:t>
            </w:r>
          </w:p>
        </w:tc>
        <w:tc>
          <w:tcPr>
            <w:tcW w:w="608" w:type="dxa"/>
            <w:tcBorders>
              <w:left w:val="dashed" w:sz="4" w:space="0" w:color="auto"/>
              <w:bottom w:val="single" w:sz="4" w:space="0" w:color="auto"/>
              <w:right w:val="dashed" w:sz="4" w:space="0" w:color="auto"/>
            </w:tcBorders>
            <w:shd w:val="clear" w:color="auto" w:fill="auto"/>
          </w:tcPr>
          <w:p w14:paraId="6444BEE1" w14:textId="77777777" w:rsidR="00B22FBF" w:rsidRPr="009C63A2" w:rsidRDefault="00B22FBF" w:rsidP="00E76C5A">
            <w:pPr>
              <w:spacing w:before="20" w:after="20"/>
              <w:jc w:val="center"/>
              <w:rPr>
                <w:rFonts w:ascii="Times New Roman" w:eastAsia="Calibri" w:hAnsi="Times New Roman" w:cs="Times New Roman"/>
                <w:sz w:val="16"/>
                <w:szCs w:val="16"/>
              </w:rPr>
            </w:pPr>
            <w:r w:rsidRPr="009C63A2">
              <w:rPr>
                <w:rFonts w:ascii="Times New Roman" w:eastAsia="Calibri" w:hAnsi="Times New Roman" w:cs="Times New Roman"/>
                <w:sz w:val="16"/>
                <w:szCs w:val="16"/>
              </w:rPr>
              <w:t>2015</w:t>
            </w:r>
          </w:p>
        </w:tc>
        <w:tc>
          <w:tcPr>
            <w:tcW w:w="608" w:type="dxa"/>
            <w:tcBorders>
              <w:left w:val="dashed" w:sz="4" w:space="0" w:color="auto"/>
              <w:bottom w:val="single" w:sz="4" w:space="0" w:color="auto"/>
              <w:right w:val="dashed" w:sz="4" w:space="0" w:color="auto"/>
            </w:tcBorders>
            <w:shd w:val="clear" w:color="auto" w:fill="auto"/>
          </w:tcPr>
          <w:p w14:paraId="3C5B9B06" w14:textId="77777777" w:rsidR="00B22FBF" w:rsidRPr="009C63A2" w:rsidRDefault="00B22FBF" w:rsidP="00E76C5A">
            <w:pPr>
              <w:spacing w:before="20" w:after="20"/>
              <w:jc w:val="center"/>
              <w:rPr>
                <w:rFonts w:ascii="Times New Roman" w:eastAsia="Calibri" w:hAnsi="Times New Roman" w:cs="Times New Roman"/>
                <w:sz w:val="16"/>
                <w:szCs w:val="16"/>
              </w:rPr>
            </w:pPr>
            <w:r w:rsidRPr="009C63A2">
              <w:rPr>
                <w:rFonts w:ascii="Times New Roman" w:eastAsia="Calibri" w:hAnsi="Times New Roman" w:cs="Times New Roman"/>
                <w:sz w:val="16"/>
                <w:szCs w:val="16"/>
              </w:rPr>
              <w:t>2016</w:t>
            </w:r>
          </w:p>
        </w:tc>
        <w:tc>
          <w:tcPr>
            <w:tcW w:w="608" w:type="dxa"/>
            <w:tcBorders>
              <w:left w:val="dashed" w:sz="4" w:space="0" w:color="auto"/>
              <w:bottom w:val="single" w:sz="4" w:space="0" w:color="auto"/>
            </w:tcBorders>
            <w:shd w:val="clear" w:color="auto" w:fill="auto"/>
          </w:tcPr>
          <w:p w14:paraId="2157147E" w14:textId="77777777" w:rsidR="00B22FBF" w:rsidRPr="009C63A2" w:rsidRDefault="00B22FBF" w:rsidP="00E76C5A">
            <w:pPr>
              <w:spacing w:before="20" w:after="20"/>
              <w:jc w:val="center"/>
              <w:rPr>
                <w:rFonts w:ascii="Times New Roman" w:eastAsia="Calibri" w:hAnsi="Times New Roman" w:cs="Times New Roman"/>
                <w:sz w:val="16"/>
                <w:szCs w:val="16"/>
              </w:rPr>
            </w:pPr>
            <w:r w:rsidRPr="009C63A2">
              <w:rPr>
                <w:rFonts w:ascii="Times New Roman" w:eastAsia="Calibri" w:hAnsi="Times New Roman" w:cs="Times New Roman"/>
                <w:sz w:val="16"/>
                <w:szCs w:val="16"/>
              </w:rPr>
              <w:t>2017</w:t>
            </w:r>
          </w:p>
        </w:tc>
      </w:tr>
      <w:tr w:rsidR="00B22FBF" w:rsidRPr="009C63A2" w14:paraId="20B1F5D0" w14:textId="77777777" w:rsidTr="00E76C5A">
        <w:trPr>
          <w:trHeight w:val="20"/>
        </w:trPr>
        <w:tc>
          <w:tcPr>
            <w:tcW w:w="3169" w:type="dxa"/>
            <w:tcBorders>
              <w:top w:val="single" w:sz="4" w:space="0" w:color="auto"/>
              <w:bottom w:val="dashed" w:sz="4" w:space="0" w:color="auto"/>
              <w:right w:val="dashed" w:sz="4" w:space="0" w:color="auto"/>
            </w:tcBorders>
            <w:shd w:val="clear" w:color="auto" w:fill="auto"/>
          </w:tcPr>
          <w:p w14:paraId="09153AD2"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Budget revenues</w:t>
            </w:r>
          </w:p>
        </w:tc>
        <w:tc>
          <w:tcPr>
            <w:tcW w:w="649" w:type="dxa"/>
            <w:tcBorders>
              <w:top w:val="single" w:sz="4" w:space="0" w:color="auto"/>
              <w:left w:val="dashed" w:sz="4" w:space="0" w:color="auto"/>
              <w:bottom w:val="dashed" w:sz="4" w:space="0" w:color="auto"/>
              <w:right w:val="dashed" w:sz="4" w:space="0" w:color="auto"/>
            </w:tcBorders>
            <w:shd w:val="clear" w:color="auto" w:fill="auto"/>
            <w:vAlign w:val="bottom"/>
          </w:tcPr>
          <w:p w14:paraId="0E7E4D81"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24.3</w:t>
            </w:r>
          </w:p>
        </w:tc>
        <w:tc>
          <w:tcPr>
            <w:tcW w:w="608" w:type="dxa"/>
            <w:tcBorders>
              <w:top w:val="single" w:sz="4" w:space="0" w:color="auto"/>
              <w:left w:val="dashed" w:sz="4" w:space="0" w:color="auto"/>
              <w:bottom w:val="dashed" w:sz="4" w:space="0" w:color="auto"/>
              <w:right w:val="dashed" w:sz="4" w:space="0" w:color="auto"/>
            </w:tcBorders>
            <w:shd w:val="clear" w:color="auto" w:fill="auto"/>
            <w:vAlign w:val="bottom"/>
          </w:tcPr>
          <w:p w14:paraId="1E6FFEB8"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24.3</w:t>
            </w:r>
          </w:p>
        </w:tc>
        <w:tc>
          <w:tcPr>
            <w:tcW w:w="608" w:type="dxa"/>
            <w:tcBorders>
              <w:top w:val="single" w:sz="4" w:space="0" w:color="auto"/>
              <w:left w:val="dashed" w:sz="4" w:space="0" w:color="auto"/>
              <w:bottom w:val="dashed" w:sz="4" w:space="0" w:color="auto"/>
              <w:right w:val="dashed" w:sz="4" w:space="0" w:color="auto"/>
            </w:tcBorders>
            <w:shd w:val="clear" w:color="auto" w:fill="auto"/>
            <w:vAlign w:val="bottom"/>
          </w:tcPr>
          <w:p w14:paraId="498B9CCE"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24.4</w:t>
            </w:r>
          </w:p>
        </w:tc>
        <w:tc>
          <w:tcPr>
            <w:tcW w:w="608" w:type="dxa"/>
            <w:tcBorders>
              <w:top w:val="single" w:sz="4" w:space="0" w:color="auto"/>
              <w:left w:val="dashed" w:sz="4" w:space="0" w:color="auto"/>
              <w:bottom w:val="dashed" w:sz="4" w:space="0" w:color="auto"/>
              <w:right w:val="dashed" w:sz="4" w:space="0" w:color="auto"/>
            </w:tcBorders>
            <w:shd w:val="clear" w:color="auto" w:fill="auto"/>
            <w:vAlign w:val="bottom"/>
          </w:tcPr>
          <w:p w14:paraId="0C0B5B03"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23.6</w:t>
            </w:r>
          </w:p>
        </w:tc>
        <w:tc>
          <w:tcPr>
            <w:tcW w:w="608" w:type="dxa"/>
            <w:tcBorders>
              <w:top w:val="single" w:sz="4" w:space="0" w:color="auto"/>
              <w:left w:val="dashed" w:sz="4" w:space="0" w:color="auto"/>
              <w:bottom w:val="dashed" w:sz="4" w:space="0" w:color="auto"/>
            </w:tcBorders>
            <w:shd w:val="clear" w:color="auto" w:fill="auto"/>
            <w:vAlign w:val="bottom"/>
          </w:tcPr>
          <w:p w14:paraId="2AAF4334"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23.7</w:t>
            </w:r>
          </w:p>
        </w:tc>
      </w:tr>
      <w:tr w:rsidR="00B22FBF" w:rsidRPr="009C63A2" w14:paraId="1BE22BD3" w14:textId="77777777" w:rsidTr="00E76C5A">
        <w:trPr>
          <w:trHeight w:val="20"/>
        </w:trPr>
        <w:tc>
          <w:tcPr>
            <w:tcW w:w="3169" w:type="dxa"/>
            <w:tcBorders>
              <w:top w:val="dashed" w:sz="4" w:space="0" w:color="auto"/>
              <w:bottom w:val="dashed" w:sz="4" w:space="0" w:color="auto"/>
              <w:right w:val="dashed" w:sz="4" w:space="0" w:color="auto"/>
            </w:tcBorders>
            <w:shd w:val="clear" w:color="auto" w:fill="auto"/>
          </w:tcPr>
          <w:p w14:paraId="662FF0D2"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Budget expenditures</w:t>
            </w:r>
          </w:p>
        </w:tc>
        <w:tc>
          <w:tcPr>
            <w:tcW w:w="649" w:type="dxa"/>
            <w:tcBorders>
              <w:top w:val="dashed" w:sz="4" w:space="0" w:color="auto"/>
              <w:left w:val="dashed" w:sz="4" w:space="0" w:color="auto"/>
              <w:bottom w:val="dashed" w:sz="4" w:space="0" w:color="auto"/>
              <w:right w:val="dashed" w:sz="4" w:space="0" w:color="auto"/>
            </w:tcBorders>
            <w:shd w:val="clear" w:color="auto" w:fill="auto"/>
            <w:vAlign w:val="bottom"/>
          </w:tcPr>
          <w:p w14:paraId="58369456"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24.5</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40E57E3C"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26.4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3F289937"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26.7</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138AAF85"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25.4</w:t>
            </w:r>
          </w:p>
        </w:tc>
        <w:tc>
          <w:tcPr>
            <w:tcW w:w="608" w:type="dxa"/>
            <w:tcBorders>
              <w:top w:val="dashed" w:sz="4" w:space="0" w:color="auto"/>
              <w:left w:val="dashed" w:sz="4" w:space="0" w:color="auto"/>
              <w:bottom w:val="dashed" w:sz="4" w:space="0" w:color="auto"/>
            </w:tcBorders>
            <w:shd w:val="clear" w:color="auto" w:fill="auto"/>
            <w:vAlign w:val="bottom"/>
          </w:tcPr>
          <w:p w14:paraId="4A7C414E"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25.5</w:t>
            </w:r>
          </w:p>
        </w:tc>
      </w:tr>
      <w:tr w:rsidR="00B22FBF" w:rsidRPr="009C63A2" w14:paraId="255124C4" w14:textId="77777777" w:rsidTr="00E76C5A">
        <w:trPr>
          <w:trHeight w:val="20"/>
        </w:trPr>
        <w:tc>
          <w:tcPr>
            <w:tcW w:w="3169" w:type="dxa"/>
            <w:tcBorders>
              <w:top w:val="dashed" w:sz="4" w:space="0" w:color="auto"/>
              <w:bottom w:val="dashed" w:sz="4" w:space="0" w:color="auto"/>
              <w:right w:val="dashed" w:sz="4" w:space="0" w:color="auto"/>
            </w:tcBorders>
            <w:shd w:val="clear" w:color="auto" w:fill="auto"/>
          </w:tcPr>
          <w:p w14:paraId="4EB7F300"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Debt interest payment</w:t>
            </w:r>
          </w:p>
        </w:tc>
        <w:tc>
          <w:tcPr>
            <w:tcW w:w="649" w:type="dxa"/>
            <w:tcBorders>
              <w:top w:val="dashed" w:sz="4" w:space="0" w:color="auto"/>
              <w:left w:val="dashed" w:sz="4" w:space="0" w:color="auto"/>
              <w:bottom w:val="dashed" w:sz="4" w:space="0" w:color="auto"/>
              <w:right w:val="dashed" w:sz="4" w:space="0" w:color="auto"/>
            </w:tcBorders>
            <w:shd w:val="clear" w:color="auto" w:fill="auto"/>
            <w:vAlign w:val="bottom"/>
          </w:tcPr>
          <w:p w14:paraId="01F22D6E"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1.1</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42C5940D"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1.4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30CD8E51"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1.5</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58D990DE"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1.4</w:t>
            </w:r>
          </w:p>
        </w:tc>
        <w:tc>
          <w:tcPr>
            <w:tcW w:w="608" w:type="dxa"/>
            <w:tcBorders>
              <w:top w:val="dashed" w:sz="4" w:space="0" w:color="auto"/>
              <w:left w:val="dashed" w:sz="4" w:space="0" w:color="auto"/>
              <w:bottom w:val="dashed" w:sz="4" w:space="0" w:color="auto"/>
            </w:tcBorders>
            <w:shd w:val="clear" w:color="auto" w:fill="auto"/>
            <w:vAlign w:val="bottom"/>
          </w:tcPr>
          <w:p w14:paraId="2D976D84"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1.4</w:t>
            </w:r>
          </w:p>
        </w:tc>
      </w:tr>
      <w:tr w:rsidR="00B22FBF" w:rsidRPr="009C63A2" w14:paraId="2F3E0DBE" w14:textId="77777777" w:rsidTr="00E76C5A">
        <w:trPr>
          <w:trHeight w:val="20"/>
        </w:trPr>
        <w:tc>
          <w:tcPr>
            <w:tcW w:w="3169" w:type="dxa"/>
            <w:tcBorders>
              <w:top w:val="dashed" w:sz="4" w:space="0" w:color="auto"/>
              <w:bottom w:val="dashed" w:sz="4" w:space="0" w:color="auto"/>
              <w:right w:val="dashed" w:sz="4" w:space="0" w:color="auto"/>
            </w:tcBorders>
            <w:shd w:val="clear" w:color="auto" w:fill="auto"/>
          </w:tcPr>
          <w:p w14:paraId="34FC3571"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Budget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bottom"/>
          </w:tcPr>
          <w:p w14:paraId="4A9AF968"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-0.2</w:t>
            </w:r>
            <w:r w:rsidR="00414526" w:rsidRPr="009C63A2">
              <w:rPr>
                <w:rStyle w:val="FootnoteReference"/>
                <w:rFonts w:ascii="Times New Roman" w:eastAsia="Calibri" w:hAnsi="Times New Roman" w:cs="Times New Roman"/>
                <w:sz w:val="16"/>
                <w:szCs w:val="16"/>
              </w:rPr>
              <w:footnoteReference w:customMarkFollows="1" w:id="10"/>
              <w:t>10</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365EDDF4"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-2.1</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7075A4F1"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-2.3</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6C45A071"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-1.8</w:t>
            </w:r>
          </w:p>
        </w:tc>
        <w:tc>
          <w:tcPr>
            <w:tcW w:w="608" w:type="dxa"/>
            <w:tcBorders>
              <w:top w:val="dashed" w:sz="4" w:space="0" w:color="auto"/>
              <w:left w:val="dashed" w:sz="4" w:space="0" w:color="auto"/>
              <w:bottom w:val="dashed" w:sz="4" w:space="0" w:color="auto"/>
            </w:tcBorders>
            <w:shd w:val="clear" w:color="auto" w:fill="auto"/>
            <w:vAlign w:val="bottom"/>
          </w:tcPr>
          <w:p w14:paraId="462908A9"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-1.8</w:t>
            </w:r>
          </w:p>
        </w:tc>
      </w:tr>
      <w:tr w:rsidR="00B22FBF" w:rsidRPr="009C63A2" w14:paraId="51199A42" w14:textId="77777777" w:rsidTr="00E76C5A">
        <w:trPr>
          <w:trHeight w:val="20"/>
        </w:trPr>
        <w:tc>
          <w:tcPr>
            <w:tcW w:w="3169" w:type="dxa"/>
            <w:tcBorders>
              <w:top w:val="dashed" w:sz="4" w:space="0" w:color="auto"/>
              <w:bottom w:val="dashed" w:sz="4" w:space="0" w:color="auto"/>
              <w:right w:val="dashed" w:sz="4" w:space="0" w:color="auto"/>
            </w:tcBorders>
            <w:shd w:val="clear" w:color="auto" w:fill="auto"/>
          </w:tcPr>
          <w:p w14:paraId="7AA1FD66"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Primary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bottom"/>
          </w:tcPr>
          <w:p w14:paraId="338327EB"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0.9</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499F3192"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-0.7</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7B3D87A6"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-0.8</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0289F4CD"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-0.4</w:t>
            </w:r>
          </w:p>
        </w:tc>
        <w:tc>
          <w:tcPr>
            <w:tcW w:w="608" w:type="dxa"/>
            <w:tcBorders>
              <w:top w:val="dashed" w:sz="4" w:space="0" w:color="auto"/>
              <w:left w:val="dashed" w:sz="4" w:space="0" w:color="auto"/>
              <w:bottom w:val="dashed" w:sz="4" w:space="0" w:color="auto"/>
            </w:tcBorders>
            <w:shd w:val="clear" w:color="auto" w:fill="auto"/>
            <w:vAlign w:val="bottom"/>
          </w:tcPr>
          <w:p w14:paraId="01811BF1"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-0.4</w:t>
            </w:r>
          </w:p>
        </w:tc>
      </w:tr>
      <w:tr w:rsidR="00B22FBF" w:rsidRPr="009C63A2" w14:paraId="27B56E15" w14:textId="77777777" w:rsidTr="00E76C5A">
        <w:trPr>
          <w:trHeight w:val="20"/>
        </w:trPr>
        <w:tc>
          <w:tcPr>
            <w:tcW w:w="3169" w:type="dxa"/>
            <w:tcBorders>
              <w:top w:val="dashed" w:sz="4" w:space="0" w:color="auto"/>
              <w:bottom w:val="dashed" w:sz="4" w:space="0" w:color="auto"/>
              <w:right w:val="dashed" w:sz="4" w:space="0" w:color="auto"/>
            </w:tcBorders>
            <w:shd w:val="clear" w:color="auto" w:fill="auto"/>
          </w:tcPr>
          <w:p w14:paraId="5E3FBF2B"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One-off flows**</w:t>
            </w:r>
          </w:p>
        </w:tc>
        <w:tc>
          <w:tcPr>
            <w:tcW w:w="649" w:type="dxa"/>
            <w:tcBorders>
              <w:top w:val="dashed" w:sz="4" w:space="0" w:color="auto"/>
              <w:left w:val="dashed" w:sz="4" w:space="0" w:color="auto"/>
              <w:bottom w:val="dashed" w:sz="4" w:space="0" w:color="auto"/>
              <w:right w:val="dashed" w:sz="4" w:space="0" w:color="auto"/>
            </w:tcBorders>
            <w:shd w:val="clear" w:color="auto" w:fill="auto"/>
            <w:vAlign w:val="bottom"/>
          </w:tcPr>
          <w:p w14:paraId="4E95C29E"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0.5</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6257F3C0"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-0.7</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632EEA1C"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0.3</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19D81A74"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0.5</w:t>
            </w:r>
          </w:p>
        </w:tc>
        <w:tc>
          <w:tcPr>
            <w:tcW w:w="608" w:type="dxa"/>
            <w:tcBorders>
              <w:top w:val="dashed" w:sz="4" w:space="0" w:color="auto"/>
              <w:left w:val="dashed" w:sz="4" w:space="0" w:color="auto"/>
              <w:bottom w:val="dashed" w:sz="4" w:space="0" w:color="auto"/>
            </w:tcBorders>
            <w:shd w:val="clear" w:color="auto" w:fill="auto"/>
            <w:vAlign w:val="bottom"/>
          </w:tcPr>
          <w:p w14:paraId="127B854C"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-0.2</w:t>
            </w:r>
          </w:p>
        </w:tc>
      </w:tr>
      <w:tr w:rsidR="00B22FBF" w:rsidRPr="009C63A2" w14:paraId="26C3B2A2" w14:textId="77777777" w:rsidTr="00E76C5A">
        <w:trPr>
          <w:trHeight w:val="20"/>
        </w:trPr>
        <w:tc>
          <w:tcPr>
            <w:tcW w:w="3169" w:type="dxa"/>
            <w:tcBorders>
              <w:top w:val="dashed" w:sz="4" w:space="0" w:color="auto"/>
              <w:bottom w:val="dashed" w:sz="4" w:space="0" w:color="auto"/>
              <w:right w:val="dashed" w:sz="4" w:space="0" w:color="auto"/>
            </w:tcBorders>
            <w:shd w:val="clear" w:color="auto" w:fill="auto"/>
          </w:tcPr>
          <w:p w14:paraId="764CDB51"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Adjusted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bottom"/>
          </w:tcPr>
          <w:p w14:paraId="7D869B66"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30048454"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0.0</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38555020"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-1.1</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3BEFABA6"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-0.9</w:t>
            </w:r>
          </w:p>
        </w:tc>
        <w:tc>
          <w:tcPr>
            <w:tcW w:w="608" w:type="dxa"/>
            <w:tcBorders>
              <w:top w:val="dashed" w:sz="4" w:space="0" w:color="auto"/>
              <w:left w:val="dashed" w:sz="4" w:space="0" w:color="auto"/>
              <w:bottom w:val="dashed" w:sz="4" w:space="0" w:color="auto"/>
            </w:tcBorders>
            <w:shd w:val="clear" w:color="auto" w:fill="auto"/>
            <w:vAlign w:val="bottom"/>
          </w:tcPr>
          <w:p w14:paraId="7498D8D7"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-0.2</w:t>
            </w:r>
          </w:p>
        </w:tc>
      </w:tr>
      <w:tr w:rsidR="00B22FBF" w:rsidRPr="009C63A2" w14:paraId="46F855AF" w14:textId="77777777" w:rsidTr="00E76C5A">
        <w:trPr>
          <w:trHeight w:val="20"/>
        </w:trPr>
        <w:tc>
          <w:tcPr>
            <w:tcW w:w="3169" w:type="dxa"/>
            <w:tcBorders>
              <w:top w:val="dashed" w:sz="4" w:space="0" w:color="auto"/>
              <w:bottom w:val="dashed" w:sz="4" w:space="0" w:color="auto"/>
              <w:right w:val="dashed" w:sz="4" w:space="0" w:color="auto"/>
            </w:tcBorders>
            <w:shd w:val="clear" w:color="auto" w:fill="auto"/>
          </w:tcPr>
          <w:p w14:paraId="3CA8B483"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Cyclical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bottom"/>
          </w:tcPr>
          <w:p w14:paraId="2F21E041"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0.0</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41A4EF36"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0.2</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6F79BD09"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-0.3</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2C55FAFB"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-0.2</w:t>
            </w:r>
          </w:p>
        </w:tc>
        <w:tc>
          <w:tcPr>
            <w:tcW w:w="608" w:type="dxa"/>
            <w:tcBorders>
              <w:top w:val="dashed" w:sz="4" w:space="0" w:color="auto"/>
              <w:left w:val="dashed" w:sz="4" w:space="0" w:color="auto"/>
              <w:bottom w:val="dashed" w:sz="4" w:space="0" w:color="auto"/>
            </w:tcBorders>
            <w:shd w:val="clear" w:color="auto" w:fill="auto"/>
            <w:vAlign w:val="bottom"/>
          </w:tcPr>
          <w:p w14:paraId="798A3AA2"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0.0</w:t>
            </w:r>
          </w:p>
        </w:tc>
      </w:tr>
      <w:tr w:rsidR="00B22FBF" w:rsidRPr="009C63A2" w14:paraId="5932E853" w14:textId="77777777" w:rsidTr="00E76C5A">
        <w:trPr>
          <w:trHeight w:val="20"/>
        </w:trPr>
        <w:tc>
          <w:tcPr>
            <w:tcW w:w="3169" w:type="dxa"/>
            <w:tcBorders>
              <w:top w:val="dashed" w:sz="4" w:space="0" w:color="auto"/>
              <w:bottom w:val="dashed" w:sz="4" w:space="0" w:color="auto"/>
              <w:right w:val="dashed" w:sz="4" w:space="0" w:color="auto"/>
            </w:tcBorders>
            <w:shd w:val="clear" w:color="auto" w:fill="auto"/>
          </w:tcPr>
          <w:p w14:paraId="3FFBE5BA"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Cyclically adjusted primary balance (structural balance sheet)</w:t>
            </w:r>
          </w:p>
        </w:tc>
        <w:tc>
          <w:tcPr>
            <w:tcW w:w="649" w:type="dxa"/>
            <w:tcBorders>
              <w:top w:val="dashed" w:sz="4" w:space="0" w:color="auto"/>
              <w:left w:val="dashed" w:sz="4" w:space="0" w:color="auto"/>
              <w:bottom w:val="dashed" w:sz="4" w:space="0" w:color="auto"/>
              <w:right w:val="dashed" w:sz="4" w:space="0" w:color="auto"/>
            </w:tcBorders>
            <w:shd w:val="clear" w:color="auto" w:fill="auto"/>
            <w:vAlign w:val="bottom"/>
          </w:tcPr>
          <w:p w14:paraId="3DA8F187"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1546A389"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-0.2</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51FC69ED"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-0.8</w:t>
            </w:r>
          </w:p>
        </w:tc>
        <w:tc>
          <w:tcPr>
            <w:tcW w:w="608" w:type="dxa"/>
            <w:tcBorders>
              <w:top w:val="dashed" w:sz="4" w:space="0" w:color="auto"/>
              <w:left w:val="dashed" w:sz="4" w:space="0" w:color="auto"/>
              <w:bottom w:val="dashed" w:sz="4" w:space="0" w:color="auto"/>
              <w:right w:val="dashed" w:sz="4" w:space="0" w:color="auto"/>
            </w:tcBorders>
            <w:shd w:val="clear" w:color="auto" w:fill="auto"/>
            <w:vAlign w:val="bottom"/>
          </w:tcPr>
          <w:p w14:paraId="5B789AEA"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-0.7</w:t>
            </w:r>
          </w:p>
        </w:tc>
        <w:tc>
          <w:tcPr>
            <w:tcW w:w="608" w:type="dxa"/>
            <w:tcBorders>
              <w:top w:val="dashed" w:sz="4" w:space="0" w:color="auto"/>
              <w:left w:val="dashed" w:sz="4" w:space="0" w:color="auto"/>
              <w:bottom w:val="dashed" w:sz="4" w:space="0" w:color="auto"/>
            </w:tcBorders>
            <w:shd w:val="clear" w:color="auto" w:fill="auto"/>
            <w:vAlign w:val="bottom"/>
          </w:tcPr>
          <w:p w14:paraId="3CDBD97A"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-0.2</w:t>
            </w:r>
          </w:p>
        </w:tc>
      </w:tr>
      <w:tr w:rsidR="00B22FBF" w:rsidRPr="009C63A2" w14:paraId="6B0AC5E2" w14:textId="77777777" w:rsidTr="00E76C5A">
        <w:trPr>
          <w:trHeight w:val="20"/>
        </w:trPr>
        <w:tc>
          <w:tcPr>
            <w:tcW w:w="3169" w:type="dxa"/>
            <w:tcBorders>
              <w:top w:val="dashed" w:sz="4" w:space="0" w:color="auto"/>
              <w:right w:val="dashed" w:sz="4" w:space="0" w:color="auto"/>
            </w:tcBorders>
            <w:shd w:val="clear" w:color="auto" w:fill="auto"/>
          </w:tcPr>
          <w:p w14:paraId="11078B2D" w14:textId="77777777" w:rsidR="00B22FBF" w:rsidRPr="009C63A2" w:rsidRDefault="00B22FBF" w:rsidP="00DF2762">
            <w:pPr>
              <w:spacing w:before="30" w:after="20"/>
              <w:rPr>
                <w:rFonts w:ascii="Times New Roman" w:eastAsia="Calibri" w:hAnsi="Times New Roman" w:cs="Times New Roman"/>
                <w:sz w:val="16"/>
                <w:szCs w:val="16"/>
              </w:rPr>
            </w:pPr>
            <w:r w:rsidRPr="009C63A2">
              <w:rPr>
                <w:rFonts w:ascii="Times New Roman" w:eastAsia="Calibri" w:hAnsi="Times New Roman" w:cs="Times New Roman"/>
                <w:sz w:val="16"/>
                <w:szCs w:val="16"/>
              </w:rPr>
              <w:t>Fiscal stance*****</w:t>
            </w:r>
          </w:p>
        </w:tc>
        <w:tc>
          <w:tcPr>
            <w:tcW w:w="649" w:type="dxa"/>
            <w:tcBorders>
              <w:top w:val="dashed" w:sz="4" w:space="0" w:color="auto"/>
              <w:left w:val="dashed" w:sz="4" w:space="0" w:color="auto"/>
              <w:right w:val="dashed" w:sz="4" w:space="0" w:color="auto"/>
            </w:tcBorders>
            <w:shd w:val="clear" w:color="auto" w:fill="auto"/>
            <w:vAlign w:val="bottom"/>
          </w:tcPr>
          <w:p w14:paraId="6972FAB6" w14:textId="77777777" w:rsidR="00B22FBF" w:rsidRPr="009C63A2" w:rsidRDefault="00B22FBF" w:rsidP="00E76C5A">
            <w:pPr>
              <w:spacing w:before="40" w:after="40"/>
              <w:jc w:val="right"/>
              <w:rPr>
                <w:rFonts w:ascii="Times New Roman" w:eastAsia="Calibri" w:hAnsi="Times New Roman" w:cs="Times New Roman"/>
                <w:sz w:val="16"/>
                <w:szCs w:val="16"/>
              </w:rPr>
            </w:pPr>
          </w:p>
        </w:tc>
        <w:tc>
          <w:tcPr>
            <w:tcW w:w="608" w:type="dxa"/>
            <w:tcBorders>
              <w:top w:val="dashed" w:sz="4" w:space="0" w:color="auto"/>
              <w:left w:val="dashed" w:sz="4" w:space="0" w:color="auto"/>
              <w:right w:val="dashed" w:sz="4" w:space="0" w:color="auto"/>
            </w:tcBorders>
            <w:shd w:val="clear" w:color="auto" w:fill="auto"/>
            <w:vAlign w:val="bottom"/>
          </w:tcPr>
          <w:p w14:paraId="7B090F40"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0.6</w:t>
            </w:r>
          </w:p>
        </w:tc>
        <w:tc>
          <w:tcPr>
            <w:tcW w:w="608" w:type="dxa"/>
            <w:tcBorders>
              <w:top w:val="dashed" w:sz="4" w:space="0" w:color="auto"/>
              <w:left w:val="dashed" w:sz="4" w:space="0" w:color="auto"/>
              <w:right w:val="dashed" w:sz="4" w:space="0" w:color="auto"/>
            </w:tcBorders>
            <w:shd w:val="clear" w:color="auto" w:fill="auto"/>
            <w:vAlign w:val="bottom"/>
          </w:tcPr>
          <w:p w14:paraId="259B031C"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0.6</w:t>
            </w:r>
          </w:p>
        </w:tc>
        <w:tc>
          <w:tcPr>
            <w:tcW w:w="608" w:type="dxa"/>
            <w:tcBorders>
              <w:top w:val="dashed" w:sz="4" w:space="0" w:color="auto"/>
              <w:left w:val="dashed" w:sz="4" w:space="0" w:color="auto"/>
              <w:right w:val="dashed" w:sz="4" w:space="0" w:color="auto"/>
            </w:tcBorders>
            <w:shd w:val="clear" w:color="auto" w:fill="auto"/>
            <w:vAlign w:val="bottom"/>
          </w:tcPr>
          <w:p w14:paraId="46D32290"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-0.1</w:t>
            </w:r>
          </w:p>
        </w:tc>
        <w:tc>
          <w:tcPr>
            <w:tcW w:w="608" w:type="dxa"/>
            <w:tcBorders>
              <w:top w:val="dashed" w:sz="4" w:space="0" w:color="auto"/>
              <w:left w:val="dashed" w:sz="4" w:space="0" w:color="auto"/>
            </w:tcBorders>
            <w:shd w:val="clear" w:color="auto" w:fill="auto"/>
            <w:vAlign w:val="bottom"/>
          </w:tcPr>
          <w:p w14:paraId="2CE1BC8A" w14:textId="77777777" w:rsidR="00B22FBF" w:rsidRPr="009C63A2" w:rsidRDefault="00B22FBF" w:rsidP="00E76C5A">
            <w:pPr>
              <w:spacing w:before="40" w:after="40"/>
              <w:jc w:val="right"/>
              <w:rPr>
                <w:rFonts w:ascii="Times New Roman" w:eastAsia="Calibri" w:hAnsi="Times New Roman" w:cs="Times New Roman"/>
                <w:sz w:val="16"/>
                <w:szCs w:val="16"/>
              </w:rPr>
            </w:pPr>
            <w:r w:rsidRPr="009C63A2">
              <w:rPr>
                <w:rFonts w:ascii="Times New Roman" w:eastAsia="Calibri" w:hAnsi="Times New Roman" w:cs="Times New Roman"/>
                <w:sz w:val="16"/>
                <w:szCs w:val="16"/>
              </w:rPr>
              <w:t>-0.5</w:t>
            </w:r>
          </w:p>
        </w:tc>
      </w:tr>
      <w:tr w:rsidR="00A9653E" w:rsidRPr="009C63A2" w14:paraId="227D9D44" w14:textId="77777777" w:rsidTr="00DF2762">
        <w:trPr>
          <w:trHeight w:val="20"/>
        </w:trPr>
        <w:tc>
          <w:tcPr>
            <w:tcW w:w="6250" w:type="dxa"/>
            <w:gridSpan w:val="6"/>
            <w:shd w:val="clear" w:color="auto" w:fill="auto"/>
          </w:tcPr>
          <w:p w14:paraId="17566172" w14:textId="77777777" w:rsidR="00A9653E" w:rsidRPr="009C63A2" w:rsidRDefault="00A9653E" w:rsidP="00DF2762">
            <w:pPr>
              <w:pStyle w:val="FootnoteText"/>
              <w:spacing w:before="30" w:after="20"/>
              <w:rPr>
                <w:i/>
                <w:sz w:val="16"/>
                <w:szCs w:val="16"/>
              </w:rPr>
            </w:pPr>
            <w:r w:rsidRPr="009C63A2">
              <w:rPr>
                <w:i/>
                <w:sz w:val="16"/>
                <w:szCs w:val="16"/>
              </w:rPr>
              <w:t xml:space="preserve">* Budget balance </w:t>
            </w:r>
            <w:r w:rsidR="00B22FBF" w:rsidRPr="009C63A2">
              <w:rPr>
                <w:i/>
                <w:sz w:val="16"/>
                <w:szCs w:val="16"/>
              </w:rPr>
              <w:t>less</w:t>
            </w:r>
            <w:r w:rsidRPr="009C63A2">
              <w:rPr>
                <w:i/>
                <w:sz w:val="16"/>
                <w:szCs w:val="16"/>
              </w:rPr>
              <w:t xml:space="preserve"> debt interest payments.</w:t>
            </w:r>
          </w:p>
          <w:p w14:paraId="67E50D15" w14:textId="77777777" w:rsidR="00A9653E" w:rsidRPr="009C63A2" w:rsidRDefault="00A9653E" w:rsidP="00DF2762">
            <w:pPr>
              <w:pStyle w:val="FootnoteText"/>
              <w:spacing w:before="30" w:after="20"/>
              <w:rPr>
                <w:i/>
                <w:sz w:val="16"/>
                <w:szCs w:val="16"/>
              </w:rPr>
            </w:pPr>
            <w:r w:rsidRPr="009C63A2">
              <w:rPr>
                <w:i/>
                <w:sz w:val="16"/>
                <w:szCs w:val="16"/>
              </w:rPr>
              <w:t xml:space="preserve">** Temporary or one-off budget entries. In this case net credit is considered; the sign </w:t>
            </w:r>
            <w:r w:rsidR="00C43028" w:rsidRPr="009C63A2">
              <w:rPr>
                <w:b/>
                <w:i/>
                <w:sz w:val="16"/>
                <w:szCs w:val="16"/>
              </w:rPr>
              <w:t>“</w:t>
            </w:r>
            <w:r w:rsidRPr="009C63A2">
              <w:rPr>
                <w:b/>
                <w:i/>
                <w:sz w:val="16"/>
                <w:szCs w:val="16"/>
              </w:rPr>
              <w:t>+</w:t>
            </w:r>
            <w:r w:rsidR="00C43028" w:rsidRPr="009C63A2">
              <w:rPr>
                <w:b/>
                <w:i/>
                <w:sz w:val="16"/>
                <w:szCs w:val="16"/>
              </w:rPr>
              <w:t>”</w:t>
            </w:r>
            <w:r w:rsidRPr="009C63A2">
              <w:rPr>
                <w:i/>
                <w:sz w:val="16"/>
                <w:szCs w:val="16"/>
              </w:rPr>
              <w:t xml:space="preserve"> means resources allocated and the sign </w:t>
            </w:r>
            <w:r w:rsidRPr="009C63A2">
              <w:rPr>
                <w:b/>
                <w:i/>
                <w:sz w:val="16"/>
                <w:szCs w:val="16"/>
              </w:rPr>
              <w:t>“</w:t>
            </w:r>
            <w:r w:rsidR="00814092" w:rsidRPr="009C63A2">
              <w:rPr>
                <w:b/>
                <w:bCs/>
                <w:iCs/>
                <w:sz w:val="16"/>
                <w:szCs w:val="16"/>
              </w:rPr>
              <w:t>–</w:t>
            </w:r>
            <w:r w:rsidRPr="009C63A2">
              <w:rPr>
                <w:b/>
                <w:i/>
                <w:sz w:val="16"/>
                <w:szCs w:val="16"/>
              </w:rPr>
              <w:t>”</w:t>
            </w:r>
            <w:r w:rsidRPr="009C63A2">
              <w:rPr>
                <w:i/>
                <w:sz w:val="16"/>
                <w:szCs w:val="16"/>
              </w:rPr>
              <w:t xml:space="preserve"> means resources repaid.</w:t>
            </w:r>
          </w:p>
          <w:p w14:paraId="5933C115" w14:textId="77777777" w:rsidR="00A9653E" w:rsidRPr="009C63A2" w:rsidRDefault="00A9653E" w:rsidP="00DF2762">
            <w:pPr>
              <w:pStyle w:val="EndnoteText"/>
              <w:spacing w:before="30" w:after="20"/>
              <w:rPr>
                <w:i/>
                <w:sz w:val="16"/>
                <w:szCs w:val="16"/>
              </w:rPr>
            </w:pPr>
            <w:r w:rsidRPr="009C63A2">
              <w:rPr>
                <w:i/>
                <w:sz w:val="16"/>
                <w:szCs w:val="16"/>
              </w:rPr>
              <w:t xml:space="preserve">*** Primary balance sheet adjusted by </w:t>
            </w:r>
            <w:r w:rsidR="00B22FBF" w:rsidRPr="009C63A2">
              <w:rPr>
                <w:i/>
                <w:sz w:val="16"/>
                <w:szCs w:val="16"/>
              </w:rPr>
              <w:t xml:space="preserve">temporary or </w:t>
            </w:r>
            <w:r w:rsidRPr="009C63A2">
              <w:rPr>
                <w:i/>
                <w:sz w:val="16"/>
                <w:szCs w:val="16"/>
              </w:rPr>
              <w:t xml:space="preserve">one-off entries. </w:t>
            </w:r>
          </w:p>
          <w:p w14:paraId="31833665" w14:textId="77777777" w:rsidR="00A9653E" w:rsidRPr="009C63A2" w:rsidRDefault="00A9653E" w:rsidP="00DF2762">
            <w:pPr>
              <w:pStyle w:val="EndnoteText"/>
              <w:spacing w:before="30" w:after="20"/>
              <w:rPr>
                <w:i/>
                <w:sz w:val="16"/>
                <w:szCs w:val="16"/>
              </w:rPr>
            </w:pPr>
            <w:r w:rsidRPr="009C63A2">
              <w:rPr>
                <w:i/>
                <w:sz w:val="16"/>
                <w:szCs w:val="16"/>
              </w:rPr>
              <w:t>**** Central Bank estimate: a part of the budget balance which depends directly on the business cycles. The latter’s components depend on the GDP gap and revenues and expenditures elasticity coefficients on GDP gap.</w:t>
            </w:r>
          </w:p>
          <w:p w14:paraId="11CA8C86" w14:textId="77777777" w:rsidR="00A9653E" w:rsidRPr="009C63A2" w:rsidRDefault="00A9653E" w:rsidP="00DF2762">
            <w:pPr>
              <w:jc w:val="both"/>
              <w:rPr>
                <w:rFonts w:ascii="Times New Roman" w:eastAsia="Calibri" w:hAnsi="Times New Roman" w:cs="Times New Roman"/>
                <w:color w:val="FF0000"/>
                <w:sz w:val="18"/>
                <w:szCs w:val="18"/>
              </w:rPr>
            </w:pPr>
            <w:r w:rsidRPr="009C63A2">
              <w:rPr>
                <w:rFonts w:ascii="Times New Roman" w:hAnsi="Times New Roman" w:cs="Times New Roman"/>
                <w:i/>
                <w:sz w:val="16"/>
                <w:szCs w:val="16"/>
              </w:rPr>
              <w:t>***** Central Bank estimate: y/y change in the structural budget balance that reflects a discretionary nature of the fiscal policy (the positive sign denotes fiscal expansion and the negative sign denotes fiscal contraction).</w:t>
            </w:r>
          </w:p>
        </w:tc>
      </w:tr>
    </w:tbl>
    <w:p w14:paraId="4806F01A" w14:textId="77777777" w:rsidR="00A9653E" w:rsidRPr="00C43028" w:rsidRDefault="00A9653E" w:rsidP="00C43028">
      <w:pPr>
        <w:spacing w:line="360" w:lineRule="auto"/>
        <w:jc w:val="both"/>
        <w:rPr>
          <w:rFonts w:ascii="Times New Roman" w:hAnsi="Times New Roman" w:cs="Times New Roman"/>
          <w:b/>
          <w:bCs/>
          <w:iCs/>
          <w:sz w:val="21"/>
          <w:szCs w:val="21"/>
        </w:rPr>
      </w:pPr>
    </w:p>
    <w:p w14:paraId="4D35EA57" w14:textId="04DB10CF" w:rsidR="00A9653E" w:rsidRPr="00EC356F" w:rsidRDefault="00A9653E" w:rsidP="00A9653E">
      <w:pPr>
        <w:spacing w:line="360" w:lineRule="auto"/>
        <w:jc w:val="both"/>
        <w:rPr>
          <w:rFonts w:ascii="Times New Roman" w:hAnsi="Times New Roman" w:cs="Times New Roman"/>
          <w:b/>
          <w:bCs/>
          <w:iCs/>
          <w:sz w:val="21"/>
          <w:szCs w:val="21"/>
        </w:rPr>
      </w:pPr>
      <w:r w:rsidRPr="00EC356F">
        <w:rPr>
          <w:rFonts w:ascii="Times New Roman" w:hAnsi="Times New Roman" w:cs="Times New Roman"/>
          <w:b/>
          <w:bCs/>
          <w:iCs/>
          <w:sz w:val="21"/>
          <w:szCs w:val="21"/>
        </w:rPr>
        <w:t xml:space="preserve">To sum-up, </w:t>
      </w:r>
      <w:r w:rsidR="0080113C">
        <w:rPr>
          <w:rFonts w:ascii="Times New Roman" w:hAnsi="Times New Roman" w:cs="Times New Roman"/>
          <w:b/>
          <w:bCs/>
          <w:iCs/>
          <w:sz w:val="21"/>
          <w:szCs w:val="21"/>
        </w:rPr>
        <w:t xml:space="preserve">from the 1st quarter </w:t>
      </w:r>
      <w:r w:rsidR="0080113C" w:rsidRPr="00EC356F">
        <w:rPr>
          <w:rFonts w:ascii="Times New Roman" w:hAnsi="Times New Roman" w:cs="Times New Roman"/>
          <w:b/>
          <w:bCs/>
          <w:iCs/>
          <w:sz w:val="21"/>
          <w:szCs w:val="21"/>
        </w:rPr>
        <w:t>201</w:t>
      </w:r>
      <w:r w:rsidR="0080113C">
        <w:rPr>
          <w:rFonts w:ascii="Times New Roman" w:hAnsi="Times New Roman" w:cs="Times New Roman"/>
          <w:b/>
          <w:bCs/>
          <w:iCs/>
          <w:sz w:val="21"/>
          <w:szCs w:val="21"/>
        </w:rPr>
        <w:t>5</w:t>
      </w:r>
      <w:r w:rsidR="0080113C" w:rsidRPr="00EC356F">
        <w:rPr>
          <w:rFonts w:ascii="Times New Roman" w:hAnsi="Times New Roman" w:cs="Times New Roman"/>
          <w:b/>
          <w:bCs/>
          <w:iCs/>
          <w:sz w:val="21"/>
          <w:szCs w:val="21"/>
        </w:rPr>
        <w:t xml:space="preserve"> </w:t>
      </w:r>
      <w:r w:rsidR="0080113C">
        <w:rPr>
          <w:rFonts w:ascii="Times New Roman" w:hAnsi="Times New Roman" w:cs="Times New Roman"/>
          <w:b/>
          <w:bCs/>
          <w:iCs/>
          <w:sz w:val="21"/>
          <w:szCs w:val="21"/>
        </w:rPr>
        <w:t xml:space="preserve">up to the 1st quarter 2016 </w:t>
      </w:r>
      <w:r w:rsidRPr="00EC356F">
        <w:rPr>
          <w:rFonts w:ascii="Times New Roman" w:hAnsi="Times New Roman" w:cs="Times New Roman"/>
          <w:b/>
          <w:bCs/>
          <w:iCs/>
          <w:sz w:val="21"/>
          <w:szCs w:val="21"/>
        </w:rPr>
        <w:t xml:space="preserve">the combined impact of the fiscal </w:t>
      </w:r>
      <w:proofErr w:type="gramStart"/>
      <w:r w:rsidR="00936195">
        <w:rPr>
          <w:rFonts w:ascii="Times New Roman" w:hAnsi="Times New Roman" w:cs="Times New Roman"/>
          <w:b/>
          <w:bCs/>
          <w:iCs/>
          <w:sz w:val="21"/>
          <w:szCs w:val="21"/>
        </w:rPr>
        <w:t xml:space="preserve">policy </w:t>
      </w:r>
      <w:r w:rsidRPr="00EC356F">
        <w:rPr>
          <w:rFonts w:ascii="Times New Roman" w:hAnsi="Times New Roman" w:cs="Times New Roman"/>
          <w:b/>
          <w:bCs/>
          <w:iCs/>
          <w:sz w:val="21"/>
          <w:szCs w:val="21"/>
        </w:rPr>
        <w:t>,</w:t>
      </w:r>
      <w:proofErr w:type="gramEnd"/>
      <w:r w:rsidRPr="00EC356F">
        <w:rPr>
          <w:rFonts w:ascii="Times New Roman" w:hAnsi="Times New Roman" w:cs="Times New Roman"/>
          <w:b/>
          <w:bCs/>
          <w:iCs/>
          <w:sz w:val="21"/>
          <w:szCs w:val="21"/>
        </w:rPr>
        <w:t xml:space="preserve"> private demand and labor</w:t>
      </w:r>
      <w:r w:rsidR="00814092">
        <w:rPr>
          <w:rFonts w:ascii="Times New Roman" w:hAnsi="Times New Roman" w:cs="Times New Roman"/>
          <w:b/>
          <w:bCs/>
          <w:iCs/>
          <w:sz w:val="21"/>
          <w:szCs w:val="21"/>
        </w:rPr>
        <w:t xml:space="preserve"> </w:t>
      </w:r>
      <w:r w:rsidRPr="00EC356F">
        <w:rPr>
          <w:rFonts w:ascii="Times New Roman" w:hAnsi="Times New Roman" w:cs="Times New Roman"/>
          <w:b/>
          <w:bCs/>
          <w:iCs/>
          <w:sz w:val="21"/>
          <w:szCs w:val="21"/>
        </w:rPr>
        <w:t xml:space="preserve">market on domestic prices </w:t>
      </w:r>
      <w:r w:rsidR="00C7028F">
        <w:rPr>
          <w:rFonts w:ascii="Times New Roman" w:hAnsi="Times New Roman" w:cs="Times New Roman"/>
          <w:b/>
          <w:bCs/>
          <w:iCs/>
          <w:sz w:val="21"/>
          <w:szCs w:val="21"/>
        </w:rPr>
        <w:t xml:space="preserve">will </w:t>
      </w:r>
      <w:r w:rsidRPr="00EC356F">
        <w:rPr>
          <w:rFonts w:ascii="Times New Roman" w:hAnsi="Times New Roman" w:cs="Times New Roman"/>
          <w:b/>
          <w:bCs/>
          <w:iCs/>
          <w:sz w:val="21"/>
          <w:szCs w:val="21"/>
        </w:rPr>
        <w:t xml:space="preserve">be deflationary, </w:t>
      </w:r>
      <w:r w:rsidR="0080113C">
        <w:rPr>
          <w:rFonts w:ascii="Times New Roman" w:hAnsi="Times New Roman" w:cs="Times New Roman"/>
          <w:b/>
          <w:bCs/>
          <w:iCs/>
          <w:sz w:val="21"/>
          <w:szCs w:val="21"/>
        </w:rPr>
        <w:t>in the</w:t>
      </w:r>
      <w:r w:rsidR="00241742">
        <w:rPr>
          <w:rFonts w:ascii="Times New Roman" w:hAnsi="Times New Roman" w:cs="Times New Roman"/>
          <w:b/>
          <w:bCs/>
          <w:iCs/>
          <w:sz w:val="21"/>
          <w:szCs w:val="21"/>
        </w:rPr>
        <w:t xml:space="preserve"> </w:t>
      </w:r>
      <w:r w:rsidR="0080113C">
        <w:rPr>
          <w:rFonts w:ascii="Times New Roman" w:hAnsi="Times New Roman" w:cs="Times New Roman"/>
          <w:b/>
          <w:bCs/>
          <w:iCs/>
          <w:sz w:val="21"/>
          <w:szCs w:val="21"/>
        </w:rPr>
        <w:t xml:space="preserve">range </w:t>
      </w:r>
      <w:r w:rsidR="00EE4491">
        <w:rPr>
          <w:rFonts w:ascii="Times New Roman" w:hAnsi="Times New Roman" w:cs="Times New Roman"/>
          <w:b/>
          <w:bCs/>
          <w:iCs/>
          <w:sz w:val="21"/>
          <w:szCs w:val="21"/>
        </w:rPr>
        <w:t xml:space="preserve">of </w:t>
      </w:r>
      <w:r w:rsidRPr="00EC356F">
        <w:rPr>
          <w:rFonts w:ascii="Times New Roman" w:hAnsi="Times New Roman" w:cs="Times New Roman"/>
          <w:b/>
          <w:bCs/>
          <w:iCs/>
          <w:sz w:val="21"/>
          <w:szCs w:val="21"/>
        </w:rPr>
        <w:t>1.</w:t>
      </w:r>
      <w:r w:rsidR="0080113C">
        <w:rPr>
          <w:rFonts w:ascii="Times New Roman" w:hAnsi="Times New Roman" w:cs="Times New Roman"/>
          <w:b/>
          <w:bCs/>
          <w:iCs/>
          <w:sz w:val="21"/>
          <w:szCs w:val="21"/>
        </w:rPr>
        <w:t>9</w:t>
      </w:r>
      <w:r w:rsidR="00EE4491">
        <w:rPr>
          <w:rFonts w:ascii="Times New Roman" w:hAnsi="Times New Roman" w:cs="Times New Roman"/>
          <w:b/>
          <w:bCs/>
          <w:iCs/>
          <w:sz w:val="21"/>
          <w:szCs w:val="21"/>
        </w:rPr>
        <w:t xml:space="preserve"> pp </w:t>
      </w:r>
      <w:r w:rsidRPr="00EC356F">
        <w:rPr>
          <w:rFonts w:ascii="Times New Roman" w:hAnsi="Times New Roman" w:cs="Times New Roman"/>
          <w:b/>
          <w:bCs/>
          <w:iCs/>
          <w:sz w:val="21"/>
          <w:szCs w:val="21"/>
        </w:rPr>
        <w:t>-</w:t>
      </w:r>
      <w:r w:rsidR="00EE4491">
        <w:rPr>
          <w:rFonts w:ascii="Times New Roman" w:hAnsi="Times New Roman" w:cs="Times New Roman"/>
          <w:b/>
          <w:bCs/>
          <w:iCs/>
          <w:sz w:val="21"/>
          <w:szCs w:val="21"/>
        </w:rPr>
        <w:t xml:space="preserve"> </w:t>
      </w:r>
      <w:r w:rsidR="0080113C">
        <w:rPr>
          <w:rFonts w:ascii="Times New Roman" w:hAnsi="Times New Roman" w:cs="Times New Roman"/>
          <w:b/>
          <w:bCs/>
          <w:iCs/>
          <w:sz w:val="21"/>
          <w:szCs w:val="21"/>
        </w:rPr>
        <w:t>2</w:t>
      </w:r>
      <w:r w:rsidRPr="00EC356F">
        <w:rPr>
          <w:rFonts w:ascii="Times New Roman" w:hAnsi="Times New Roman" w:cs="Times New Roman"/>
          <w:b/>
          <w:bCs/>
          <w:iCs/>
          <w:sz w:val="21"/>
          <w:szCs w:val="21"/>
        </w:rPr>
        <w:t>.</w:t>
      </w:r>
      <w:r w:rsidR="0080113C">
        <w:rPr>
          <w:rFonts w:ascii="Times New Roman" w:hAnsi="Times New Roman" w:cs="Times New Roman"/>
          <w:b/>
          <w:bCs/>
          <w:iCs/>
          <w:sz w:val="21"/>
          <w:szCs w:val="21"/>
        </w:rPr>
        <w:t>1</w:t>
      </w:r>
      <w:r w:rsidRPr="00EC356F">
        <w:rPr>
          <w:rFonts w:ascii="Times New Roman" w:hAnsi="Times New Roman" w:cs="Times New Roman"/>
          <w:b/>
          <w:bCs/>
          <w:iCs/>
          <w:sz w:val="21"/>
          <w:szCs w:val="21"/>
        </w:rPr>
        <w:t xml:space="preserve"> pp, </w:t>
      </w:r>
      <w:r w:rsidR="0080113C" w:rsidRPr="0080113C">
        <w:rPr>
          <w:rFonts w:ascii="Times New Roman" w:hAnsi="Times New Roman" w:cs="Times New Roman"/>
          <w:b/>
          <w:bCs/>
          <w:iCs/>
          <w:sz w:val="21"/>
          <w:szCs w:val="21"/>
        </w:rPr>
        <w:t xml:space="preserve">which </w:t>
      </w:r>
      <w:r w:rsidR="0080113C">
        <w:rPr>
          <w:rFonts w:ascii="Times New Roman" w:hAnsi="Times New Roman" w:cs="Times New Roman"/>
          <w:b/>
          <w:bCs/>
          <w:iCs/>
          <w:sz w:val="21"/>
          <w:szCs w:val="21"/>
        </w:rPr>
        <w:t xml:space="preserve">will be determined by </w:t>
      </w:r>
      <w:r w:rsidR="0080113C" w:rsidRPr="0080113C">
        <w:rPr>
          <w:rFonts w:ascii="Times New Roman" w:hAnsi="Times New Roman" w:cs="Times New Roman"/>
          <w:b/>
          <w:bCs/>
          <w:iCs/>
          <w:sz w:val="21"/>
          <w:szCs w:val="21"/>
        </w:rPr>
        <w:t>pr</w:t>
      </w:r>
      <w:r w:rsidR="00244862">
        <w:rPr>
          <w:rFonts w:ascii="Times New Roman" w:hAnsi="Times New Roman" w:cs="Times New Roman"/>
          <w:b/>
          <w:bCs/>
          <w:iCs/>
          <w:sz w:val="21"/>
          <w:szCs w:val="21"/>
        </w:rPr>
        <w:t>imarily</w:t>
      </w:r>
      <w:r w:rsidR="0080113C" w:rsidRPr="0080113C">
        <w:rPr>
          <w:rFonts w:ascii="Times New Roman" w:hAnsi="Times New Roman" w:cs="Times New Roman"/>
          <w:b/>
          <w:bCs/>
          <w:iCs/>
          <w:sz w:val="21"/>
          <w:szCs w:val="21"/>
        </w:rPr>
        <w:t xml:space="preserve"> deflationary impact of private spending. </w:t>
      </w:r>
      <w:r w:rsidR="00701AA0">
        <w:rPr>
          <w:rFonts w:ascii="Times New Roman" w:hAnsi="Times New Roman" w:cs="Times New Roman"/>
          <w:b/>
          <w:bCs/>
          <w:iCs/>
          <w:sz w:val="21"/>
          <w:szCs w:val="21"/>
        </w:rPr>
        <w:t>Also, g</w:t>
      </w:r>
      <w:r w:rsidR="0080113C" w:rsidRPr="0080113C">
        <w:rPr>
          <w:rFonts w:ascii="Times New Roman" w:hAnsi="Times New Roman" w:cs="Times New Roman"/>
          <w:b/>
          <w:bCs/>
          <w:iCs/>
          <w:sz w:val="21"/>
          <w:szCs w:val="21"/>
        </w:rPr>
        <w:t xml:space="preserve">iven the </w:t>
      </w:r>
      <w:r w:rsidR="00701AA0" w:rsidRPr="0080113C">
        <w:rPr>
          <w:rFonts w:ascii="Times New Roman" w:hAnsi="Times New Roman" w:cs="Times New Roman"/>
          <w:b/>
          <w:bCs/>
          <w:iCs/>
          <w:sz w:val="21"/>
          <w:szCs w:val="21"/>
        </w:rPr>
        <w:t xml:space="preserve">0.5-0.7 percentage point </w:t>
      </w:r>
      <w:r w:rsidR="0080113C" w:rsidRPr="0080113C">
        <w:rPr>
          <w:rFonts w:ascii="Times New Roman" w:hAnsi="Times New Roman" w:cs="Times New Roman"/>
          <w:b/>
          <w:bCs/>
          <w:iCs/>
          <w:sz w:val="21"/>
          <w:szCs w:val="21"/>
        </w:rPr>
        <w:t>inflationary impact of net external demand</w:t>
      </w:r>
      <w:r w:rsidR="00701AA0">
        <w:rPr>
          <w:rFonts w:ascii="Times New Roman" w:hAnsi="Times New Roman" w:cs="Times New Roman"/>
          <w:b/>
          <w:bCs/>
          <w:iCs/>
          <w:sz w:val="21"/>
          <w:szCs w:val="21"/>
        </w:rPr>
        <w:t xml:space="preserve">, </w:t>
      </w:r>
      <w:r w:rsidR="00701AA0">
        <w:rPr>
          <w:rFonts w:ascii="Times New Roman" w:hAnsi="Times New Roman" w:cs="Times New Roman"/>
          <w:b/>
          <w:bCs/>
          <w:iCs/>
          <w:sz w:val="21"/>
          <w:szCs w:val="21"/>
        </w:rPr>
        <w:lastRenderedPageBreak/>
        <w:t>one may conclude</w:t>
      </w:r>
      <w:r w:rsidR="0080113C" w:rsidRPr="0080113C">
        <w:rPr>
          <w:rFonts w:ascii="Times New Roman" w:hAnsi="Times New Roman" w:cs="Times New Roman"/>
          <w:b/>
          <w:bCs/>
          <w:iCs/>
          <w:sz w:val="21"/>
          <w:szCs w:val="21"/>
        </w:rPr>
        <w:t xml:space="preserve"> that the total aggregate demand and labor market developments in the above</w:t>
      </w:r>
      <w:r w:rsidR="00701AA0">
        <w:rPr>
          <w:rFonts w:ascii="Times New Roman" w:hAnsi="Times New Roman" w:cs="Times New Roman"/>
          <w:b/>
          <w:bCs/>
          <w:iCs/>
          <w:sz w:val="21"/>
          <w:szCs w:val="21"/>
        </w:rPr>
        <w:t>-mentioned</w:t>
      </w:r>
      <w:r w:rsidR="0080113C" w:rsidRPr="0080113C">
        <w:rPr>
          <w:rFonts w:ascii="Times New Roman" w:hAnsi="Times New Roman" w:cs="Times New Roman"/>
          <w:b/>
          <w:bCs/>
          <w:iCs/>
          <w:sz w:val="21"/>
          <w:szCs w:val="21"/>
        </w:rPr>
        <w:t xml:space="preserve"> period will create </w:t>
      </w:r>
      <w:proofErr w:type="gramStart"/>
      <w:r w:rsidR="00936195">
        <w:rPr>
          <w:rFonts w:ascii="Times New Roman" w:hAnsi="Times New Roman" w:cs="Times New Roman"/>
          <w:b/>
          <w:bCs/>
          <w:iCs/>
          <w:sz w:val="21"/>
          <w:szCs w:val="21"/>
        </w:rPr>
        <w:t xml:space="preserve">on </w:t>
      </w:r>
      <w:r w:rsidR="00936195" w:rsidRPr="0080113C">
        <w:rPr>
          <w:rFonts w:ascii="Times New Roman" w:hAnsi="Times New Roman" w:cs="Times New Roman"/>
          <w:b/>
          <w:bCs/>
          <w:iCs/>
          <w:sz w:val="21"/>
          <w:szCs w:val="21"/>
        </w:rPr>
        <w:t xml:space="preserve"> </w:t>
      </w:r>
      <w:r w:rsidR="0080113C" w:rsidRPr="0080113C">
        <w:rPr>
          <w:rFonts w:ascii="Times New Roman" w:hAnsi="Times New Roman" w:cs="Times New Roman"/>
          <w:b/>
          <w:bCs/>
          <w:iCs/>
          <w:sz w:val="21"/>
          <w:szCs w:val="21"/>
        </w:rPr>
        <w:t>average</w:t>
      </w:r>
      <w:proofErr w:type="gramEnd"/>
      <w:r w:rsidR="0080113C" w:rsidRPr="0080113C">
        <w:rPr>
          <w:rFonts w:ascii="Times New Roman" w:hAnsi="Times New Roman" w:cs="Times New Roman"/>
          <w:b/>
          <w:bCs/>
          <w:iCs/>
          <w:sz w:val="21"/>
          <w:szCs w:val="21"/>
        </w:rPr>
        <w:t xml:space="preserve"> 1.3-1.5 percentage point deflationary pressures in the consumer market.</w:t>
      </w:r>
      <w:r w:rsidR="00701AA0">
        <w:rPr>
          <w:rFonts w:ascii="Times New Roman" w:hAnsi="Times New Roman" w:cs="Times New Roman"/>
          <w:b/>
          <w:bCs/>
          <w:iCs/>
          <w:sz w:val="21"/>
          <w:szCs w:val="21"/>
        </w:rPr>
        <w:t xml:space="preserve"> Starting from the second half of 2016 up until the end of the forecast horizon, </w:t>
      </w:r>
      <w:r w:rsidR="00735665" w:rsidRPr="00EC356F">
        <w:rPr>
          <w:rFonts w:ascii="Times New Roman" w:hAnsi="Times New Roman" w:cs="Times New Roman"/>
          <w:b/>
          <w:bCs/>
          <w:iCs/>
          <w:sz w:val="21"/>
          <w:szCs w:val="21"/>
        </w:rPr>
        <w:t xml:space="preserve">the impact of </w:t>
      </w:r>
      <w:r w:rsidR="00701AA0">
        <w:rPr>
          <w:rFonts w:ascii="Times New Roman" w:hAnsi="Times New Roman" w:cs="Times New Roman"/>
          <w:b/>
          <w:bCs/>
          <w:iCs/>
          <w:sz w:val="21"/>
          <w:szCs w:val="21"/>
        </w:rPr>
        <w:t xml:space="preserve">total aggregate </w:t>
      </w:r>
      <w:r w:rsidR="00735665" w:rsidRPr="00EC356F">
        <w:rPr>
          <w:rFonts w:ascii="Times New Roman" w:hAnsi="Times New Roman" w:cs="Times New Roman"/>
          <w:b/>
          <w:bCs/>
          <w:iCs/>
          <w:sz w:val="21"/>
          <w:szCs w:val="21"/>
        </w:rPr>
        <w:t xml:space="preserve">demand and labor market on </w:t>
      </w:r>
      <w:r w:rsidR="00735665">
        <w:rPr>
          <w:rFonts w:ascii="Times New Roman" w:hAnsi="Times New Roman" w:cs="Times New Roman"/>
          <w:b/>
          <w:bCs/>
          <w:iCs/>
          <w:sz w:val="21"/>
          <w:szCs w:val="21"/>
        </w:rPr>
        <w:t xml:space="preserve">the </w:t>
      </w:r>
      <w:r w:rsidR="00735665" w:rsidRPr="00EC356F">
        <w:rPr>
          <w:rFonts w:ascii="Times New Roman" w:hAnsi="Times New Roman" w:cs="Times New Roman"/>
          <w:b/>
          <w:bCs/>
          <w:iCs/>
          <w:sz w:val="21"/>
          <w:szCs w:val="21"/>
        </w:rPr>
        <w:t>inflation is estimated to be neutral.</w:t>
      </w:r>
    </w:p>
    <w:p w14:paraId="286BDDBB" w14:textId="77777777" w:rsidR="00A9653E" w:rsidRPr="00EC356F" w:rsidRDefault="00A9653E" w:rsidP="00A9653E">
      <w:pPr>
        <w:spacing w:line="360" w:lineRule="auto"/>
        <w:jc w:val="both"/>
        <w:rPr>
          <w:rFonts w:ascii="Times New Roman" w:hAnsi="Times New Roman" w:cs="Times New Roman"/>
          <w:b/>
          <w:bCs/>
          <w:iCs/>
          <w:color w:val="000000"/>
          <w:sz w:val="21"/>
          <w:szCs w:val="21"/>
        </w:rPr>
      </w:pPr>
      <w:r w:rsidRPr="00EC356F">
        <w:rPr>
          <w:rFonts w:ascii="Times New Roman" w:hAnsi="Times New Roman" w:cs="Times New Roman"/>
          <w:b/>
          <w:bCs/>
          <w:iCs/>
          <w:color w:val="000000"/>
          <w:sz w:val="21"/>
          <w:szCs w:val="21"/>
        </w:rPr>
        <w:t>2.3 Inflation forecasts and monetary policy directions in 3-year forecast horizon</w:t>
      </w:r>
    </w:p>
    <w:p w14:paraId="4D260568" w14:textId="77777777" w:rsidR="00553B74" w:rsidRPr="00B2624B" w:rsidRDefault="00B2624B" w:rsidP="00A9653E">
      <w:pPr>
        <w:spacing w:line="360" w:lineRule="auto"/>
        <w:jc w:val="both"/>
        <w:rPr>
          <w:rFonts w:ascii="Times New Roman" w:hAnsi="Times New Roman" w:cs="Times New Roman"/>
          <w:b/>
          <w:iCs/>
          <w:color w:val="0070C0"/>
          <w:sz w:val="18"/>
          <w:szCs w:val="18"/>
        </w:rPr>
      </w:pPr>
      <w:r w:rsidRPr="00B2624B">
        <w:rPr>
          <w:rFonts w:ascii="Times New Roman" w:hAnsi="Times New Roman" w:cs="Times New Roman"/>
          <w:b/>
          <w:iCs/>
          <w:color w:val="0070C0"/>
          <w:sz w:val="18"/>
          <w:szCs w:val="18"/>
        </w:rPr>
        <w:t xml:space="preserve">In the 4th quarter of 2014, global economic growth persisted at a slow pace, under which circumstance the world commodity and food product markets saw significant deflationary patterns… </w:t>
      </w:r>
    </w:p>
    <w:p w14:paraId="46AA42A5" w14:textId="6320969C" w:rsidR="003C5C11" w:rsidRDefault="00BE5C5D" w:rsidP="00A9653E">
      <w:pPr>
        <w:spacing w:line="360" w:lineRule="auto"/>
        <w:jc w:val="both"/>
        <w:rPr>
          <w:rFonts w:ascii="Times New Roman" w:hAnsi="Times New Roman" w:cs="Times New Roman"/>
          <w:iCs/>
          <w:sz w:val="21"/>
          <w:szCs w:val="21"/>
        </w:rPr>
      </w:pPr>
      <w:r>
        <w:rPr>
          <w:rFonts w:ascii="Times New Roman" w:hAnsi="Times New Roman" w:cs="Times New Roman"/>
          <w:iCs/>
          <w:sz w:val="21"/>
          <w:szCs w:val="21"/>
        </w:rPr>
        <w:t xml:space="preserve">In the 4th quarter of 2014, global </w:t>
      </w:r>
      <w:r w:rsidRPr="00BE5C5D">
        <w:rPr>
          <w:rFonts w:ascii="Times New Roman" w:hAnsi="Times New Roman" w:cs="Times New Roman"/>
          <w:iCs/>
          <w:sz w:val="21"/>
          <w:szCs w:val="21"/>
        </w:rPr>
        <w:t xml:space="preserve">economic growth </w:t>
      </w:r>
      <w:r>
        <w:rPr>
          <w:rFonts w:ascii="Times New Roman" w:hAnsi="Times New Roman" w:cs="Times New Roman"/>
          <w:iCs/>
          <w:sz w:val="21"/>
          <w:szCs w:val="21"/>
        </w:rPr>
        <w:t>persisted at a slow pace</w:t>
      </w:r>
      <w:r w:rsidRPr="00BE5C5D">
        <w:rPr>
          <w:rFonts w:ascii="Times New Roman" w:hAnsi="Times New Roman" w:cs="Times New Roman"/>
          <w:iCs/>
          <w:sz w:val="21"/>
          <w:szCs w:val="21"/>
        </w:rPr>
        <w:t xml:space="preserve"> mainly due to </w:t>
      </w:r>
      <w:r>
        <w:rPr>
          <w:rFonts w:ascii="Times New Roman" w:hAnsi="Times New Roman" w:cs="Times New Roman"/>
          <w:iCs/>
          <w:sz w:val="21"/>
          <w:szCs w:val="21"/>
        </w:rPr>
        <w:t xml:space="preserve">the </w:t>
      </w:r>
      <w:r w:rsidRPr="00BE5C5D">
        <w:rPr>
          <w:rFonts w:ascii="Times New Roman" w:hAnsi="Times New Roman" w:cs="Times New Roman"/>
          <w:iCs/>
          <w:sz w:val="21"/>
          <w:szCs w:val="21"/>
        </w:rPr>
        <w:t xml:space="preserve">developments in </w:t>
      </w:r>
      <w:r w:rsidR="00B2624B">
        <w:rPr>
          <w:rFonts w:ascii="Times New Roman" w:hAnsi="Times New Roman" w:cs="Times New Roman"/>
          <w:iCs/>
          <w:sz w:val="21"/>
          <w:szCs w:val="21"/>
        </w:rPr>
        <w:t>emerging economies</w:t>
      </w:r>
      <w:r>
        <w:rPr>
          <w:rFonts w:ascii="Times New Roman" w:hAnsi="Times New Roman" w:cs="Times New Roman"/>
          <w:iCs/>
          <w:sz w:val="21"/>
          <w:szCs w:val="21"/>
        </w:rPr>
        <w:t xml:space="preserve">, whereas </w:t>
      </w:r>
      <w:r w:rsidRPr="00BE5C5D">
        <w:rPr>
          <w:rFonts w:ascii="Times New Roman" w:hAnsi="Times New Roman" w:cs="Times New Roman"/>
          <w:iCs/>
          <w:sz w:val="21"/>
          <w:szCs w:val="21"/>
        </w:rPr>
        <w:t>the U</w:t>
      </w:r>
      <w:r>
        <w:rPr>
          <w:rFonts w:ascii="Times New Roman" w:hAnsi="Times New Roman" w:cs="Times New Roman"/>
          <w:iCs/>
          <w:sz w:val="21"/>
          <w:szCs w:val="21"/>
        </w:rPr>
        <w:t>.</w:t>
      </w:r>
      <w:r w:rsidRPr="00BE5C5D">
        <w:rPr>
          <w:rFonts w:ascii="Times New Roman" w:hAnsi="Times New Roman" w:cs="Times New Roman"/>
          <w:iCs/>
          <w:sz w:val="21"/>
          <w:szCs w:val="21"/>
        </w:rPr>
        <w:t>S</w:t>
      </w:r>
      <w:r>
        <w:rPr>
          <w:rFonts w:ascii="Times New Roman" w:hAnsi="Times New Roman" w:cs="Times New Roman"/>
          <w:iCs/>
          <w:sz w:val="21"/>
          <w:szCs w:val="21"/>
        </w:rPr>
        <w:t>.A.</w:t>
      </w:r>
      <w:r w:rsidRPr="00BE5C5D">
        <w:rPr>
          <w:rFonts w:ascii="Times New Roman" w:hAnsi="Times New Roman" w:cs="Times New Roman"/>
          <w:iCs/>
          <w:sz w:val="21"/>
          <w:szCs w:val="21"/>
        </w:rPr>
        <w:t xml:space="preserve"> </w:t>
      </w:r>
      <w:r>
        <w:rPr>
          <w:rFonts w:ascii="Times New Roman" w:hAnsi="Times New Roman" w:cs="Times New Roman"/>
          <w:iCs/>
          <w:sz w:val="21"/>
          <w:szCs w:val="21"/>
        </w:rPr>
        <w:t>saw</w:t>
      </w:r>
      <w:r w:rsidRPr="00BE5C5D">
        <w:rPr>
          <w:rFonts w:ascii="Times New Roman" w:hAnsi="Times New Roman" w:cs="Times New Roman"/>
          <w:iCs/>
          <w:sz w:val="21"/>
          <w:szCs w:val="21"/>
        </w:rPr>
        <w:t xml:space="preserve"> acceleration in </w:t>
      </w:r>
      <w:r>
        <w:rPr>
          <w:rFonts w:ascii="Times New Roman" w:hAnsi="Times New Roman" w:cs="Times New Roman"/>
          <w:iCs/>
          <w:sz w:val="21"/>
          <w:szCs w:val="21"/>
        </w:rPr>
        <w:t xml:space="preserve">their </w:t>
      </w:r>
      <w:r w:rsidRPr="00BE5C5D">
        <w:rPr>
          <w:rFonts w:ascii="Times New Roman" w:hAnsi="Times New Roman" w:cs="Times New Roman"/>
          <w:iCs/>
          <w:sz w:val="21"/>
          <w:szCs w:val="21"/>
        </w:rPr>
        <w:t>economic activity</w:t>
      </w:r>
      <w:r>
        <w:rPr>
          <w:rFonts w:ascii="Times New Roman" w:hAnsi="Times New Roman" w:cs="Times New Roman"/>
          <w:iCs/>
          <w:sz w:val="21"/>
          <w:szCs w:val="21"/>
        </w:rPr>
        <w:t>.</w:t>
      </w:r>
      <w:r w:rsidRPr="00BE5C5D">
        <w:rPr>
          <w:rFonts w:ascii="Times New Roman" w:hAnsi="Times New Roman" w:cs="Times New Roman"/>
          <w:iCs/>
          <w:sz w:val="21"/>
          <w:szCs w:val="21"/>
        </w:rPr>
        <w:t xml:space="preserve"> </w:t>
      </w:r>
      <w:r w:rsidR="0053540E">
        <w:rPr>
          <w:rFonts w:ascii="Times New Roman" w:hAnsi="Times New Roman" w:cs="Times New Roman"/>
          <w:iCs/>
          <w:sz w:val="21"/>
          <w:szCs w:val="21"/>
        </w:rPr>
        <w:t xml:space="preserve">This brought about </w:t>
      </w:r>
      <w:r w:rsidR="0053540E" w:rsidRPr="00BE5C5D">
        <w:rPr>
          <w:rFonts w:ascii="Times New Roman" w:hAnsi="Times New Roman" w:cs="Times New Roman"/>
          <w:iCs/>
          <w:sz w:val="21"/>
          <w:szCs w:val="21"/>
        </w:rPr>
        <w:t>expectations</w:t>
      </w:r>
      <w:r w:rsidR="0053540E">
        <w:rPr>
          <w:rFonts w:ascii="Times New Roman" w:hAnsi="Times New Roman" w:cs="Times New Roman"/>
          <w:iCs/>
          <w:sz w:val="21"/>
          <w:szCs w:val="21"/>
        </w:rPr>
        <w:t xml:space="preserve"> for further interest rate rise by </w:t>
      </w:r>
      <w:r w:rsidRPr="00BE5C5D">
        <w:rPr>
          <w:rFonts w:ascii="Times New Roman" w:hAnsi="Times New Roman" w:cs="Times New Roman"/>
          <w:iCs/>
          <w:sz w:val="21"/>
          <w:szCs w:val="21"/>
        </w:rPr>
        <w:t xml:space="preserve">the Federal Reserve System </w:t>
      </w:r>
      <w:r w:rsidR="0053540E">
        <w:rPr>
          <w:rFonts w:ascii="Times New Roman" w:hAnsi="Times New Roman" w:cs="Times New Roman"/>
          <w:iCs/>
          <w:sz w:val="21"/>
          <w:szCs w:val="21"/>
        </w:rPr>
        <w:t xml:space="preserve">and prompted a capital </w:t>
      </w:r>
      <w:r w:rsidR="00DF591C">
        <w:rPr>
          <w:rFonts w:ascii="Times New Roman" w:hAnsi="Times New Roman" w:cs="Times New Roman"/>
          <w:iCs/>
          <w:sz w:val="21"/>
          <w:szCs w:val="21"/>
        </w:rPr>
        <w:t>outflow</w:t>
      </w:r>
      <w:r w:rsidR="0053540E">
        <w:rPr>
          <w:rFonts w:ascii="Times New Roman" w:hAnsi="Times New Roman" w:cs="Times New Roman"/>
          <w:iCs/>
          <w:sz w:val="21"/>
          <w:szCs w:val="21"/>
        </w:rPr>
        <w:t xml:space="preserve"> </w:t>
      </w:r>
      <w:r w:rsidRPr="00BE5C5D">
        <w:rPr>
          <w:rFonts w:ascii="Times New Roman" w:hAnsi="Times New Roman" w:cs="Times New Roman"/>
          <w:iCs/>
          <w:sz w:val="21"/>
          <w:szCs w:val="21"/>
        </w:rPr>
        <w:t>from developing countries to the U</w:t>
      </w:r>
      <w:r w:rsidR="0053540E">
        <w:rPr>
          <w:rFonts w:ascii="Times New Roman" w:hAnsi="Times New Roman" w:cs="Times New Roman"/>
          <w:iCs/>
          <w:sz w:val="21"/>
          <w:szCs w:val="21"/>
        </w:rPr>
        <w:t>.</w:t>
      </w:r>
      <w:r w:rsidRPr="00BE5C5D">
        <w:rPr>
          <w:rFonts w:ascii="Times New Roman" w:hAnsi="Times New Roman" w:cs="Times New Roman"/>
          <w:iCs/>
          <w:sz w:val="21"/>
          <w:szCs w:val="21"/>
        </w:rPr>
        <w:t>S</w:t>
      </w:r>
      <w:r w:rsidR="0053540E">
        <w:rPr>
          <w:rFonts w:ascii="Times New Roman" w:hAnsi="Times New Roman" w:cs="Times New Roman"/>
          <w:iCs/>
          <w:sz w:val="21"/>
          <w:szCs w:val="21"/>
        </w:rPr>
        <w:t xml:space="preserve">.A. thus adding to </w:t>
      </w:r>
      <w:r w:rsidR="0053540E" w:rsidRPr="0053540E">
        <w:rPr>
          <w:rFonts w:ascii="Times New Roman" w:hAnsi="Times New Roman" w:cs="Times New Roman"/>
          <w:b/>
          <w:iCs/>
          <w:sz w:val="21"/>
          <w:szCs w:val="21"/>
        </w:rPr>
        <w:t>investment risks, slowing economic growth rates and currency devaluation in key developing countries</w:t>
      </w:r>
      <w:r w:rsidR="0053540E">
        <w:rPr>
          <w:rFonts w:ascii="Times New Roman" w:hAnsi="Times New Roman" w:cs="Times New Roman"/>
          <w:iCs/>
          <w:sz w:val="21"/>
          <w:szCs w:val="21"/>
        </w:rPr>
        <w:t xml:space="preserve">.  </w:t>
      </w:r>
    </w:p>
    <w:p w14:paraId="0CCB81F2" w14:textId="743ECE76" w:rsidR="00BC3AA7" w:rsidRDefault="005B61F5" w:rsidP="00A9653E">
      <w:pPr>
        <w:spacing w:line="360" w:lineRule="auto"/>
        <w:jc w:val="both"/>
        <w:rPr>
          <w:rFonts w:ascii="Times New Roman" w:hAnsi="Times New Roman" w:cs="Times New Roman"/>
          <w:iCs/>
          <w:sz w:val="21"/>
          <w:szCs w:val="21"/>
        </w:rPr>
      </w:pPr>
      <w:r>
        <w:rPr>
          <w:rFonts w:ascii="Times New Roman" w:hAnsi="Times New Roman" w:cs="Times New Roman"/>
          <w:iCs/>
          <w:sz w:val="21"/>
          <w:szCs w:val="21"/>
        </w:rPr>
        <w:t xml:space="preserve">Given the abovementioned developments as well as </w:t>
      </w:r>
      <w:r w:rsidR="00B96C24">
        <w:rPr>
          <w:rFonts w:ascii="Times New Roman" w:hAnsi="Times New Roman" w:cs="Times New Roman"/>
          <w:iCs/>
          <w:sz w:val="21"/>
          <w:szCs w:val="21"/>
        </w:rPr>
        <w:t xml:space="preserve">supply </w:t>
      </w:r>
      <w:r w:rsidR="00373136">
        <w:rPr>
          <w:rFonts w:ascii="Times New Roman" w:hAnsi="Times New Roman" w:cs="Times New Roman"/>
          <w:iCs/>
          <w:sz w:val="21"/>
          <w:szCs w:val="21"/>
        </w:rPr>
        <w:t>factors</w:t>
      </w:r>
      <w:r w:rsidR="003C5C11">
        <w:rPr>
          <w:rFonts w:ascii="Times New Roman" w:hAnsi="Times New Roman" w:cs="Times New Roman"/>
          <w:iCs/>
          <w:sz w:val="21"/>
          <w:szCs w:val="21"/>
        </w:rPr>
        <w:t xml:space="preserve"> and geopolitical issues</w:t>
      </w:r>
      <w:r w:rsidR="00B96C24">
        <w:rPr>
          <w:rFonts w:ascii="Times New Roman" w:hAnsi="Times New Roman" w:cs="Times New Roman"/>
          <w:iCs/>
          <w:sz w:val="21"/>
          <w:szCs w:val="21"/>
        </w:rPr>
        <w:t>,</w:t>
      </w:r>
      <w:r w:rsidR="00373136">
        <w:rPr>
          <w:rFonts w:ascii="Times New Roman" w:hAnsi="Times New Roman" w:cs="Times New Roman"/>
          <w:iCs/>
          <w:sz w:val="21"/>
          <w:szCs w:val="21"/>
        </w:rPr>
        <w:t xml:space="preserve"> </w:t>
      </w:r>
      <w:r w:rsidR="003C5C11">
        <w:rPr>
          <w:rFonts w:ascii="Times New Roman" w:hAnsi="Times New Roman" w:cs="Times New Roman"/>
          <w:iCs/>
          <w:sz w:val="21"/>
          <w:szCs w:val="21"/>
        </w:rPr>
        <w:t>t</w:t>
      </w:r>
      <w:r w:rsidR="003C5C11" w:rsidRPr="003C5C11">
        <w:rPr>
          <w:rFonts w:ascii="Times New Roman" w:hAnsi="Times New Roman" w:cs="Times New Roman"/>
          <w:iCs/>
          <w:sz w:val="21"/>
          <w:szCs w:val="21"/>
        </w:rPr>
        <w:t xml:space="preserve">he </w:t>
      </w:r>
      <w:r w:rsidR="003C5C11" w:rsidRPr="003C5C11">
        <w:rPr>
          <w:rFonts w:ascii="Times New Roman" w:hAnsi="Times New Roman" w:cs="Times New Roman"/>
          <w:b/>
          <w:iCs/>
          <w:sz w:val="21"/>
          <w:szCs w:val="21"/>
        </w:rPr>
        <w:t>basic commodity and food product markets</w:t>
      </w:r>
      <w:r w:rsidR="003C5C11">
        <w:rPr>
          <w:rFonts w:ascii="Times New Roman" w:hAnsi="Times New Roman" w:cs="Times New Roman"/>
          <w:iCs/>
          <w:sz w:val="21"/>
          <w:szCs w:val="21"/>
        </w:rPr>
        <w:t xml:space="preserve"> </w:t>
      </w:r>
      <w:r w:rsidR="006745E6">
        <w:rPr>
          <w:rFonts w:ascii="Times New Roman" w:hAnsi="Times New Roman" w:cs="Times New Roman"/>
          <w:iCs/>
          <w:sz w:val="21"/>
          <w:szCs w:val="21"/>
        </w:rPr>
        <w:t xml:space="preserve">are </w:t>
      </w:r>
      <w:r w:rsidR="003C5C11">
        <w:rPr>
          <w:rFonts w:ascii="Times New Roman" w:hAnsi="Times New Roman" w:cs="Times New Roman"/>
          <w:iCs/>
          <w:sz w:val="21"/>
          <w:szCs w:val="21"/>
        </w:rPr>
        <w:t>see</w:t>
      </w:r>
      <w:r w:rsidR="006745E6">
        <w:rPr>
          <w:rFonts w:ascii="Times New Roman" w:hAnsi="Times New Roman" w:cs="Times New Roman"/>
          <w:iCs/>
          <w:sz w:val="21"/>
          <w:szCs w:val="21"/>
        </w:rPr>
        <w:t>ing</w:t>
      </w:r>
      <w:r w:rsidR="003C5C11">
        <w:rPr>
          <w:rFonts w:ascii="Times New Roman" w:hAnsi="Times New Roman" w:cs="Times New Roman"/>
          <w:iCs/>
          <w:sz w:val="21"/>
          <w:szCs w:val="21"/>
        </w:rPr>
        <w:t xml:space="preserve"> </w:t>
      </w:r>
      <w:r w:rsidR="003C5C11" w:rsidRPr="003C5C11">
        <w:rPr>
          <w:rFonts w:ascii="Times New Roman" w:hAnsi="Times New Roman" w:cs="Times New Roman"/>
          <w:iCs/>
          <w:sz w:val="21"/>
          <w:szCs w:val="21"/>
        </w:rPr>
        <w:t>significant deflationary trends contribut</w:t>
      </w:r>
      <w:r w:rsidR="00EE4491">
        <w:rPr>
          <w:rFonts w:ascii="Times New Roman" w:hAnsi="Times New Roman" w:cs="Times New Roman"/>
          <w:iCs/>
          <w:sz w:val="21"/>
          <w:szCs w:val="21"/>
        </w:rPr>
        <w:t>ing</w:t>
      </w:r>
      <w:r w:rsidR="003C5C11">
        <w:rPr>
          <w:rFonts w:ascii="Times New Roman" w:hAnsi="Times New Roman" w:cs="Times New Roman"/>
          <w:iCs/>
          <w:sz w:val="21"/>
          <w:szCs w:val="21"/>
        </w:rPr>
        <w:t>, particularly,</w:t>
      </w:r>
      <w:r w:rsidR="003C5C11" w:rsidRPr="003C5C11">
        <w:rPr>
          <w:rFonts w:ascii="Times New Roman" w:hAnsi="Times New Roman" w:cs="Times New Roman"/>
          <w:iCs/>
          <w:sz w:val="21"/>
          <w:szCs w:val="21"/>
        </w:rPr>
        <w:t xml:space="preserve"> to </w:t>
      </w:r>
      <w:r w:rsidR="003C5C11">
        <w:rPr>
          <w:rFonts w:ascii="Times New Roman" w:hAnsi="Times New Roman" w:cs="Times New Roman"/>
          <w:iCs/>
          <w:sz w:val="21"/>
          <w:szCs w:val="21"/>
        </w:rPr>
        <w:t xml:space="preserve">adverse </w:t>
      </w:r>
      <w:r w:rsidR="003C5C11" w:rsidRPr="003C5C11">
        <w:rPr>
          <w:rFonts w:ascii="Times New Roman" w:hAnsi="Times New Roman" w:cs="Times New Roman"/>
          <w:iCs/>
          <w:sz w:val="21"/>
          <w:szCs w:val="21"/>
        </w:rPr>
        <w:t xml:space="preserve">economic conditions in Russia and devaluation of currencies </w:t>
      </w:r>
      <w:r w:rsidR="003C5C11">
        <w:rPr>
          <w:rFonts w:ascii="Times New Roman" w:hAnsi="Times New Roman" w:cs="Times New Roman"/>
          <w:iCs/>
          <w:sz w:val="21"/>
          <w:szCs w:val="21"/>
        </w:rPr>
        <w:t xml:space="preserve">of </w:t>
      </w:r>
      <w:r w:rsidR="003C5C11" w:rsidRPr="003C5C11">
        <w:rPr>
          <w:rFonts w:ascii="Times New Roman" w:hAnsi="Times New Roman" w:cs="Times New Roman"/>
          <w:iCs/>
          <w:sz w:val="21"/>
          <w:szCs w:val="21"/>
        </w:rPr>
        <w:t>other former Soviet countries</w:t>
      </w:r>
      <w:r w:rsidR="006745E6">
        <w:rPr>
          <w:rFonts w:ascii="Times New Roman" w:hAnsi="Times New Roman" w:cs="Times New Roman"/>
          <w:iCs/>
          <w:sz w:val="21"/>
          <w:szCs w:val="21"/>
        </w:rPr>
        <w:t xml:space="preserve">. </w:t>
      </w:r>
      <w:r w:rsidR="003C5C11" w:rsidRPr="003C5C11">
        <w:rPr>
          <w:rFonts w:ascii="Times New Roman" w:hAnsi="Times New Roman" w:cs="Times New Roman"/>
          <w:iCs/>
          <w:sz w:val="21"/>
          <w:szCs w:val="21"/>
        </w:rPr>
        <w:t xml:space="preserve"> </w:t>
      </w:r>
    </w:p>
    <w:p w14:paraId="7644D7C2" w14:textId="77777777" w:rsidR="00DC4C50" w:rsidRDefault="00A9653E" w:rsidP="00BC3AA7">
      <w:pPr>
        <w:spacing w:line="360" w:lineRule="auto"/>
        <w:jc w:val="both"/>
        <w:rPr>
          <w:rFonts w:ascii="Times New Roman" w:hAnsi="Times New Roman" w:cs="Times New Roman"/>
          <w:iCs/>
          <w:sz w:val="21"/>
          <w:szCs w:val="21"/>
        </w:rPr>
      </w:pPr>
      <w:r w:rsidRPr="00BC3AA7">
        <w:rPr>
          <w:rFonts w:ascii="Times New Roman" w:hAnsi="Times New Roman" w:cs="Times New Roman"/>
          <w:iCs/>
          <w:sz w:val="21"/>
          <w:szCs w:val="21"/>
        </w:rPr>
        <w:t xml:space="preserve">In the forecast horizon, </w:t>
      </w:r>
      <w:r w:rsidR="00BC3AA7" w:rsidRPr="00A75DE6">
        <w:rPr>
          <w:rFonts w:ascii="Times New Roman" w:hAnsi="Times New Roman" w:cs="Times New Roman"/>
          <w:b/>
          <w:iCs/>
          <w:sz w:val="21"/>
          <w:szCs w:val="21"/>
        </w:rPr>
        <w:t xml:space="preserve">global </w:t>
      </w:r>
      <w:r w:rsidRPr="00A75DE6">
        <w:rPr>
          <w:rFonts w:ascii="Times New Roman" w:hAnsi="Times New Roman" w:cs="Times New Roman"/>
          <w:b/>
          <w:iCs/>
          <w:sz w:val="21"/>
          <w:szCs w:val="21"/>
        </w:rPr>
        <w:t>econom</w:t>
      </w:r>
      <w:r w:rsidR="00A75DE6" w:rsidRPr="00A75DE6">
        <w:rPr>
          <w:rFonts w:ascii="Times New Roman" w:hAnsi="Times New Roman" w:cs="Times New Roman"/>
          <w:b/>
          <w:iCs/>
          <w:sz w:val="21"/>
          <w:szCs w:val="21"/>
        </w:rPr>
        <w:t>ic growth rates are predicted to slow down</w:t>
      </w:r>
      <w:r w:rsidR="00A75DE6">
        <w:rPr>
          <w:rFonts w:ascii="Times New Roman" w:hAnsi="Times New Roman" w:cs="Times New Roman"/>
          <w:iCs/>
          <w:sz w:val="21"/>
          <w:szCs w:val="21"/>
        </w:rPr>
        <w:t>,</w:t>
      </w:r>
      <w:r w:rsidRPr="00BC3AA7">
        <w:rPr>
          <w:rFonts w:ascii="Times New Roman" w:hAnsi="Times New Roman" w:cs="Times New Roman"/>
          <w:iCs/>
          <w:sz w:val="21"/>
          <w:szCs w:val="21"/>
        </w:rPr>
        <w:t xml:space="preserve"> </w:t>
      </w:r>
      <w:r w:rsidR="00BC3AA7">
        <w:rPr>
          <w:rFonts w:ascii="Times New Roman" w:hAnsi="Times New Roman" w:cs="Times New Roman"/>
          <w:iCs/>
          <w:sz w:val="21"/>
          <w:szCs w:val="21"/>
        </w:rPr>
        <w:t xml:space="preserve">and this will be observed in both developing and developed countries, </w:t>
      </w:r>
      <w:r w:rsidR="00A75DE6">
        <w:rPr>
          <w:rFonts w:ascii="Times New Roman" w:hAnsi="Times New Roman" w:cs="Times New Roman"/>
          <w:iCs/>
          <w:sz w:val="21"/>
          <w:szCs w:val="21"/>
        </w:rPr>
        <w:t xml:space="preserve">with the exception of </w:t>
      </w:r>
      <w:r w:rsidR="00BC3AA7">
        <w:rPr>
          <w:rFonts w:ascii="Times New Roman" w:hAnsi="Times New Roman" w:cs="Times New Roman"/>
          <w:iCs/>
          <w:sz w:val="21"/>
          <w:szCs w:val="21"/>
        </w:rPr>
        <w:t>the U.S.A.</w:t>
      </w:r>
      <w:r w:rsidR="004C115C">
        <w:rPr>
          <w:rFonts w:ascii="Times New Roman" w:hAnsi="Times New Roman" w:cs="Times New Roman"/>
          <w:iCs/>
          <w:sz w:val="21"/>
          <w:szCs w:val="21"/>
        </w:rPr>
        <w:t xml:space="preserve"> T</w:t>
      </w:r>
      <w:r w:rsidR="00A75DE6" w:rsidRPr="00A75DE6">
        <w:rPr>
          <w:rFonts w:ascii="Times New Roman" w:hAnsi="Times New Roman" w:cs="Times New Roman"/>
          <w:iCs/>
          <w:sz w:val="21"/>
          <w:szCs w:val="21"/>
        </w:rPr>
        <w:t>he</w:t>
      </w:r>
      <w:r w:rsidR="004C115C">
        <w:rPr>
          <w:rFonts w:ascii="Times New Roman" w:hAnsi="Times New Roman" w:cs="Times New Roman"/>
          <w:iCs/>
          <w:sz w:val="21"/>
          <w:szCs w:val="21"/>
        </w:rPr>
        <w:t xml:space="preserve"> </w:t>
      </w:r>
      <w:r w:rsidR="00A75DE6" w:rsidRPr="00A75DE6">
        <w:rPr>
          <w:rFonts w:ascii="Times New Roman" w:hAnsi="Times New Roman" w:cs="Times New Roman"/>
          <w:iCs/>
          <w:sz w:val="21"/>
          <w:szCs w:val="21"/>
        </w:rPr>
        <w:t xml:space="preserve">developments in the Russian economy </w:t>
      </w:r>
      <w:r w:rsidR="004C115C">
        <w:rPr>
          <w:rFonts w:ascii="Times New Roman" w:hAnsi="Times New Roman" w:cs="Times New Roman"/>
          <w:iCs/>
          <w:sz w:val="21"/>
          <w:szCs w:val="21"/>
        </w:rPr>
        <w:t>with</w:t>
      </w:r>
      <w:r w:rsidR="00A75DE6" w:rsidRPr="00A75DE6">
        <w:rPr>
          <w:rFonts w:ascii="Times New Roman" w:hAnsi="Times New Roman" w:cs="Times New Roman"/>
          <w:iCs/>
          <w:sz w:val="21"/>
          <w:szCs w:val="21"/>
        </w:rPr>
        <w:t xml:space="preserve"> </w:t>
      </w:r>
      <w:r w:rsidR="004C115C" w:rsidRPr="00A75DE6">
        <w:rPr>
          <w:rFonts w:ascii="Times New Roman" w:hAnsi="Times New Roman" w:cs="Times New Roman"/>
          <w:iCs/>
          <w:sz w:val="21"/>
          <w:szCs w:val="21"/>
        </w:rPr>
        <w:t xml:space="preserve">around 2.0% of economic </w:t>
      </w:r>
      <w:r w:rsidR="00EE4491">
        <w:rPr>
          <w:rFonts w:ascii="Times New Roman" w:hAnsi="Times New Roman" w:cs="Times New Roman"/>
          <w:iCs/>
          <w:sz w:val="21"/>
          <w:szCs w:val="21"/>
        </w:rPr>
        <w:t>decline</w:t>
      </w:r>
      <w:r w:rsidR="004C115C" w:rsidRPr="004C115C">
        <w:rPr>
          <w:rFonts w:ascii="Times New Roman" w:hAnsi="Times New Roman" w:cs="Times New Roman"/>
          <w:iCs/>
          <w:sz w:val="21"/>
          <w:szCs w:val="21"/>
        </w:rPr>
        <w:t xml:space="preserve"> </w:t>
      </w:r>
      <w:r w:rsidR="004C115C">
        <w:rPr>
          <w:rFonts w:ascii="Times New Roman" w:hAnsi="Times New Roman" w:cs="Times New Roman"/>
          <w:iCs/>
          <w:sz w:val="21"/>
          <w:szCs w:val="21"/>
        </w:rPr>
        <w:t xml:space="preserve">anticipated </w:t>
      </w:r>
      <w:r w:rsidR="004C115C" w:rsidRPr="00A75DE6">
        <w:rPr>
          <w:rFonts w:ascii="Times New Roman" w:hAnsi="Times New Roman" w:cs="Times New Roman"/>
          <w:iCs/>
          <w:sz w:val="21"/>
          <w:szCs w:val="21"/>
        </w:rPr>
        <w:t>in 2015</w:t>
      </w:r>
      <w:r w:rsidR="004C115C">
        <w:rPr>
          <w:rFonts w:ascii="Times New Roman" w:hAnsi="Times New Roman" w:cs="Times New Roman"/>
          <w:iCs/>
          <w:sz w:val="21"/>
          <w:szCs w:val="21"/>
        </w:rPr>
        <w:t xml:space="preserve"> </w:t>
      </w:r>
      <w:r w:rsidR="00DC4C50">
        <w:rPr>
          <w:rFonts w:ascii="Times New Roman" w:hAnsi="Times New Roman" w:cs="Times New Roman"/>
          <w:iCs/>
          <w:sz w:val="21"/>
          <w:szCs w:val="21"/>
        </w:rPr>
        <w:t>are noteworthy. Driven by geo</w:t>
      </w:r>
      <w:r w:rsidR="00A75DE6" w:rsidRPr="00A75DE6">
        <w:rPr>
          <w:rFonts w:ascii="Times New Roman" w:hAnsi="Times New Roman" w:cs="Times New Roman"/>
          <w:iCs/>
          <w:sz w:val="21"/>
          <w:szCs w:val="21"/>
        </w:rPr>
        <w:t xml:space="preserve">political and </w:t>
      </w:r>
      <w:r w:rsidR="00DC4C50">
        <w:rPr>
          <w:rFonts w:ascii="Times New Roman" w:hAnsi="Times New Roman" w:cs="Times New Roman"/>
          <w:iCs/>
          <w:sz w:val="21"/>
          <w:szCs w:val="21"/>
        </w:rPr>
        <w:t>ec</w:t>
      </w:r>
      <w:r w:rsidR="00A75DE6" w:rsidRPr="00A75DE6">
        <w:rPr>
          <w:rFonts w:ascii="Times New Roman" w:hAnsi="Times New Roman" w:cs="Times New Roman"/>
          <w:iCs/>
          <w:sz w:val="21"/>
          <w:szCs w:val="21"/>
        </w:rPr>
        <w:t xml:space="preserve">onomic </w:t>
      </w:r>
      <w:r w:rsidR="004C115C">
        <w:rPr>
          <w:rFonts w:ascii="Times New Roman" w:hAnsi="Times New Roman" w:cs="Times New Roman"/>
          <w:iCs/>
          <w:sz w:val="21"/>
          <w:szCs w:val="21"/>
        </w:rPr>
        <w:t xml:space="preserve">adversities, </w:t>
      </w:r>
      <w:r w:rsidR="00DC4C50">
        <w:rPr>
          <w:rFonts w:ascii="Times New Roman" w:hAnsi="Times New Roman" w:cs="Times New Roman"/>
          <w:iCs/>
          <w:sz w:val="21"/>
          <w:szCs w:val="21"/>
        </w:rPr>
        <w:t xml:space="preserve">the </w:t>
      </w:r>
      <w:r w:rsidR="00EE4491">
        <w:rPr>
          <w:rFonts w:ascii="Times New Roman" w:hAnsi="Times New Roman" w:cs="Times New Roman"/>
          <w:iCs/>
          <w:sz w:val="21"/>
          <w:szCs w:val="21"/>
        </w:rPr>
        <w:t>slowdown</w:t>
      </w:r>
      <w:r w:rsidR="00DC4C50">
        <w:rPr>
          <w:rFonts w:ascii="Times New Roman" w:hAnsi="Times New Roman" w:cs="Times New Roman"/>
          <w:iCs/>
          <w:sz w:val="21"/>
          <w:szCs w:val="21"/>
        </w:rPr>
        <w:t xml:space="preserve"> in the Russian economy will carry on throughout 2016, gradually approaching the </w:t>
      </w:r>
      <w:r w:rsidR="00DC4C50" w:rsidRPr="00A75DE6">
        <w:rPr>
          <w:rFonts w:ascii="Times New Roman" w:hAnsi="Times New Roman" w:cs="Times New Roman"/>
          <w:iCs/>
          <w:sz w:val="21"/>
          <w:szCs w:val="21"/>
        </w:rPr>
        <w:t xml:space="preserve">1.0% level </w:t>
      </w:r>
      <w:r w:rsidR="00DC4C50">
        <w:rPr>
          <w:rFonts w:ascii="Times New Roman" w:hAnsi="Times New Roman" w:cs="Times New Roman"/>
          <w:iCs/>
          <w:sz w:val="21"/>
          <w:szCs w:val="21"/>
        </w:rPr>
        <w:t xml:space="preserve">at the end of the forecast horizon. As </w:t>
      </w:r>
      <w:r w:rsidR="00DC4C50" w:rsidRPr="00A75DE6">
        <w:rPr>
          <w:rFonts w:ascii="Times New Roman" w:hAnsi="Times New Roman" w:cs="Times New Roman"/>
          <w:iCs/>
          <w:sz w:val="21"/>
          <w:szCs w:val="21"/>
        </w:rPr>
        <w:t xml:space="preserve">global economic growth </w:t>
      </w:r>
      <w:r w:rsidR="00DC4C50">
        <w:rPr>
          <w:rFonts w:ascii="Times New Roman" w:hAnsi="Times New Roman" w:cs="Times New Roman"/>
          <w:iCs/>
          <w:sz w:val="21"/>
          <w:szCs w:val="21"/>
        </w:rPr>
        <w:t xml:space="preserve">rates slow down, the </w:t>
      </w:r>
      <w:r w:rsidR="00DC4C50" w:rsidRPr="00DC4C50">
        <w:rPr>
          <w:rFonts w:ascii="Times New Roman" w:hAnsi="Times New Roman" w:cs="Times New Roman"/>
          <w:b/>
          <w:iCs/>
          <w:sz w:val="21"/>
          <w:szCs w:val="21"/>
        </w:rPr>
        <w:t>external environment will most likely be non-inflationary</w:t>
      </w:r>
      <w:r w:rsidR="00DC4C50">
        <w:rPr>
          <w:rFonts w:ascii="Times New Roman" w:hAnsi="Times New Roman" w:cs="Times New Roman"/>
          <w:iCs/>
          <w:sz w:val="21"/>
          <w:szCs w:val="21"/>
        </w:rPr>
        <w:t xml:space="preserve">.   </w:t>
      </w:r>
    </w:p>
    <w:p w14:paraId="4A162C2E" w14:textId="77777777" w:rsidR="001A3436" w:rsidRPr="001A3436" w:rsidRDefault="001A3436" w:rsidP="00BC3AA7">
      <w:pPr>
        <w:spacing w:line="360" w:lineRule="auto"/>
        <w:jc w:val="both"/>
        <w:rPr>
          <w:rFonts w:ascii="Times New Roman" w:hAnsi="Times New Roman" w:cs="Times New Roman"/>
          <w:b/>
          <w:iCs/>
          <w:color w:val="0070C0"/>
          <w:sz w:val="18"/>
          <w:szCs w:val="18"/>
        </w:rPr>
      </w:pPr>
      <w:r w:rsidRPr="001A3436">
        <w:rPr>
          <w:rFonts w:ascii="Times New Roman" w:hAnsi="Times New Roman" w:cs="Times New Roman"/>
          <w:b/>
          <w:iCs/>
          <w:color w:val="0070C0"/>
          <w:sz w:val="18"/>
          <w:szCs w:val="18"/>
        </w:rPr>
        <w:t xml:space="preserve">The 2014 economic growth is estimated to be in the range </w:t>
      </w:r>
      <w:r w:rsidR="00EE4491">
        <w:rPr>
          <w:rFonts w:ascii="Times New Roman" w:hAnsi="Times New Roman" w:cs="Times New Roman"/>
          <w:b/>
          <w:iCs/>
          <w:color w:val="0070C0"/>
          <w:sz w:val="18"/>
          <w:szCs w:val="18"/>
        </w:rPr>
        <w:t xml:space="preserve">of </w:t>
      </w:r>
      <w:r w:rsidRPr="001A3436">
        <w:rPr>
          <w:rFonts w:ascii="Times New Roman" w:hAnsi="Times New Roman" w:cs="Times New Roman"/>
          <w:b/>
          <w:iCs/>
          <w:color w:val="0070C0"/>
          <w:sz w:val="18"/>
          <w:szCs w:val="18"/>
        </w:rPr>
        <w:t>3.2</w:t>
      </w:r>
      <w:r w:rsidR="00EE4491">
        <w:rPr>
          <w:rFonts w:ascii="Times New Roman" w:hAnsi="Times New Roman" w:cs="Times New Roman"/>
          <w:b/>
          <w:iCs/>
          <w:color w:val="0070C0"/>
          <w:sz w:val="18"/>
          <w:szCs w:val="18"/>
        </w:rPr>
        <w:t>%</w:t>
      </w:r>
      <w:r w:rsidRPr="001A3436">
        <w:rPr>
          <w:rFonts w:ascii="Times New Roman" w:hAnsi="Times New Roman" w:cs="Times New Roman"/>
          <w:b/>
          <w:iCs/>
          <w:color w:val="0070C0"/>
          <w:sz w:val="18"/>
          <w:szCs w:val="18"/>
        </w:rPr>
        <w:t>-3.5%...</w:t>
      </w:r>
    </w:p>
    <w:p w14:paraId="4FA9C08B" w14:textId="77777777" w:rsidR="00A9653E" w:rsidRDefault="00186AF6" w:rsidP="00BC3AA7">
      <w:pPr>
        <w:spacing w:line="360" w:lineRule="auto"/>
        <w:jc w:val="both"/>
        <w:rPr>
          <w:rFonts w:ascii="Times New Roman" w:hAnsi="Times New Roman" w:cs="Times New Roman"/>
          <w:iCs/>
          <w:sz w:val="21"/>
          <w:szCs w:val="21"/>
        </w:rPr>
      </w:pPr>
      <w:r w:rsidRPr="00186AF6">
        <w:rPr>
          <w:rFonts w:ascii="Times New Roman" w:hAnsi="Times New Roman" w:cs="Times New Roman"/>
          <w:b/>
          <w:iCs/>
          <w:sz w:val="21"/>
          <w:szCs w:val="21"/>
        </w:rPr>
        <w:t>There was some slowing in economic activity during the 4th quarter of 2014</w:t>
      </w:r>
      <w:r w:rsidRPr="00186AF6">
        <w:rPr>
          <w:rFonts w:ascii="Times New Roman" w:hAnsi="Times New Roman" w:cs="Times New Roman"/>
          <w:iCs/>
          <w:sz w:val="21"/>
          <w:szCs w:val="21"/>
        </w:rPr>
        <w:t xml:space="preserve"> due to lower</w:t>
      </w:r>
      <w:r>
        <w:rPr>
          <w:rFonts w:ascii="Times New Roman" w:hAnsi="Times New Roman" w:cs="Times New Roman"/>
          <w:iCs/>
          <w:sz w:val="21"/>
          <w:szCs w:val="21"/>
        </w:rPr>
        <w:t>-</w:t>
      </w:r>
      <w:r w:rsidRPr="00186AF6">
        <w:rPr>
          <w:rFonts w:ascii="Times New Roman" w:hAnsi="Times New Roman" w:cs="Times New Roman"/>
          <w:iCs/>
          <w:sz w:val="21"/>
          <w:szCs w:val="21"/>
        </w:rPr>
        <w:t>than</w:t>
      </w:r>
      <w:r>
        <w:rPr>
          <w:rFonts w:ascii="Times New Roman" w:hAnsi="Times New Roman" w:cs="Times New Roman"/>
          <w:iCs/>
          <w:sz w:val="21"/>
          <w:szCs w:val="21"/>
        </w:rPr>
        <w:t>-</w:t>
      </w:r>
      <w:r w:rsidRPr="00186AF6">
        <w:rPr>
          <w:rFonts w:ascii="Times New Roman" w:hAnsi="Times New Roman" w:cs="Times New Roman"/>
          <w:iCs/>
          <w:sz w:val="21"/>
          <w:szCs w:val="21"/>
        </w:rPr>
        <w:t xml:space="preserve">expected growth in trade volumes. However, </w:t>
      </w:r>
      <w:r>
        <w:rPr>
          <w:rFonts w:ascii="Times New Roman" w:hAnsi="Times New Roman" w:cs="Times New Roman"/>
          <w:iCs/>
          <w:sz w:val="21"/>
          <w:szCs w:val="21"/>
        </w:rPr>
        <w:t xml:space="preserve">the 2014 </w:t>
      </w:r>
      <w:r w:rsidRPr="00186AF6">
        <w:rPr>
          <w:rFonts w:ascii="Times New Roman" w:hAnsi="Times New Roman" w:cs="Times New Roman"/>
          <w:iCs/>
          <w:sz w:val="21"/>
          <w:szCs w:val="21"/>
        </w:rPr>
        <w:t xml:space="preserve">growth </w:t>
      </w:r>
      <w:r>
        <w:rPr>
          <w:rFonts w:ascii="Times New Roman" w:hAnsi="Times New Roman" w:cs="Times New Roman"/>
          <w:iCs/>
          <w:sz w:val="21"/>
          <w:szCs w:val="21"/>
        </w:rPr>
        <w:t xml:space="preserve">estimation </w:t>
      </w:r>
      <w:r w:rsidRPr="00186AF6">
        <w:rPr>
          <w:rFonts w:ascii="Times New Roman" w:hAnsi="Times New Roman" w:cs="Times New Roman"/>
          <w:iCs/>
          <w:sz w:val="21"/>
          <w:szCs w:val="21"/>
        </w:rPr>
        <w:t>remain</w:t>
      </w:r>
      <w:r>
        <w:rPr>
          <w:rFonts w:ascii="Times New Roman" w:hAnsi="Times New Roman" w:cs="Times New Roman"/>
          <w:iCs/>
          <w:sz w:val="21"/>
          <w:szCs w:val="21"/>
        </w:rPr>
        <w:t xml:space="preserve">s almost </w:t>
      </w:r>
      <w:r w:rsidRPr="00186AF6">
        <w:rPr>
          <w:rFonts w:ascii="Times New Roman" w:hAnsi="Times New Roman" w:cs="Times New Roman"/>
          <w:iCs/>
          <w:sz w:val="21"/>
          <w:szCs w:val="21"/>
        </w:rPr>
        <w:t>unchanged</w:t>
      </w:r>
      <w:r>
        <w:rPr>
          <w:rFonts w:ascii="Times New Roman" w:hAnsi="Times New Roman" w:cs="Times New Roman"/>
          <w:iCs/>
          <w:sz w:val="21"/>
          <w:szCs w:val="21"/>
        </w:rPr>
        <w:t>: the</w:t>
      </w:r>
      <w:r w:rsidRPr="00186AF6">
        <w:rPr>
          <w:rFonts w:ascii="Times New Roman" w:hAnsi="Times New Roman" w:cs="Times New Roman"/>
          <w:iCs/>
          <w:sz w:val="21"/>
          <w:szCs w:val="21"/>
        </w:rPr>
        <w:t xml:space="preserve"> annual economic growth rate will be </w:t>
      </w:r>
      <w:r w:rsidRPr="001A3436">
        <w:rPr>
          <w:rFonts w:ascii="Times New Roman" w:hAnsi="Times New Roman" w:cs="Times New Roman"/>
          <w:b/>
          <w:iCs/>
          <w:sz w:val="21"/>
          <w:szCs w:val="21"/>
        </w:rPr>
        <w:t>within 3.2%-3.5%</w:t>
      </w:r>
      <w:r>
        <w:rPr>
          <w:rFonts w:ascii="Times New Roman" w:hAnsi="Times New Roman" w:cs="Times New Roman"/>
          <w:iCs/>
          <w:sz w:val="21"/>
          <w:szCs w:val="21"/>
        </w:rPr>
        <w:t>, with a</w:t>
      </w:r>
      <w:r w:rsidRPr="00186AF6">
        <w:rPr>
          <w:rFonts w:ascii="Times New Roman" w:hAnsi="Times New Roman" w:cs="Times New Roman"/>
          <w:iCs/>
          <w:sz w:val="21"/>
          <w:szCs w:val="21"/>
        </w:rPr>
        <w:t>griculture and services sectors remain</w:t>
      </w:r>
      <w:r>
        <w:rPr>
          <w:rFonts w:ascii="Times New Roman" w:hAnsi="Times New Roman" w:cs="Times New Roman"/>
          <w:iCs/>
          <w:sz w:val="21"/>
          <w:szCs w:val="21"/>
        </w:rPr>
        <w:t>ing</w:t>
      </w:r>
      <w:r w:rsidRPr="00186AF6">
        <w:rPr>
          <w:rFonts w:ascii="Times New Roman" w:hAnsi="Times New Roman" w:cs="Times New Roman"/>
          <w:iCs/>
          <w:sz w:val="21"/>
          <w:szCs w:val="21"/>
        </w:rPr>
        <w:t xml:space="preserve"> the main driving force (</w:t>
      </w:r>
      <w:r>
        <w:rPr>
          <w:rFonts w:ascii="Times New Roman" w:hAnsi="Times New Roman" w:cs="Times New Roman"/>
          <w:iCs/>
          <w:sz w:val="21"/>
          <w:szCs w:val="21"/>
        </w:rPr>
        <w:t xml:space="preserve">their </w:t>
      </w:r>
      <w:r w:rsidRPr="00186AF6">
        <w:rPr>
          <w:rFonts w:ascii="Times New Roman" w:hAnsi="Times New Roman" w:cs="Times New Roman"/>
          <w:iCs/>
          <w:sz w:val="21"/>
          <w:szCs w:val="21"/>
        </w:rPr>
        <w:t xml:space="preserve">contribution to </w:t>
      </w:r>
      <w:r>
        <w:rPr>
          <w:rFonts w:ascii="Times New Roman" w:hAnsi="Times New Roman" w:cs="Times New Roman"/>
          <w:iCs/>
          <w:sz w:val="21"/>
          <w:szCs w:val="21"/>
        </w:rPr>
        <w:t xml:space="preserve">the </w:t>
      </w:r>
      <w:r w:rsidRPr="00186AF6">
        <w:rPr>
          <w:rFonts w:ascii="Times New Roman" w:hAnsi="Times New Roman" w:cs="Times New Roman"/>
          <w:iCs/>
          <w:sz w:val="21"/>
          <w:szCs w:val="21"/>
        </w:rPr>
        <w:t xml:space="preserve">growth </w:t>
      </w:r>
      <w:r>
        <w:rPr>
          <w:rFonts w:ascii="Times New Roman" w:hAnsi="Times New Roman" w:cs="Times New Roman"/>
          <w:iCs/>
          <w:sz w:val="21"/>
          <w:szCs w:val="21"/>
        </w:rPr>
        <w:t xml:space="preserve">is </w:t>
      </w:r>
      <w:r w:rsidRPr="00186AF6">
        <w:rPr>
          <w:rFonts w:ascii="Times New Roman" w:hAnsi="Times New Roman" w:cs="Times New Roman"/>
          <w:iCs/>
          <w:sz w:val="21"/>
          <w:szCs w:val="21"/>
        </w:rPr>
        <w:t>3.2</w:t>
      </w:r>
      <w:r w:rsidR="00EE4491">
        <w:rPr>
          <w:rFonts w:ascii="Times New Roman" w:hAnsi="Times New Roman" w:cs="Times New Roman"/>
          <w:iCs/>
          <w:sz w:val="21"/>
          <w:szCs w:val="21"/>
        </w:rPr>
        <w:t xml:space="preserve"> pp </w:t>
      </w:r>
      <w:r w:rsidRPr="00186AF6">
        <w:rPr>
          <w:rFonts w:ascii="Times New Roman" w:hAnsi="Times New Roman" w:cs="Times New Roman"/>
          <w:iCs/>
          <w:sz w:val="21"/>
          <w:szCs w:val="21"/>
        </w:rPr>
        <w:t>-</w:t>
      </w:r>
      <w:r w:rsidR="00EE4491">
        <w:rPr>
          <w:rFonts w:ascii="Times New Roman" w:hAnsi="Times New Roman" w:cs="Times New Roman"/>
          <w:iCs/>
          <w:sz w:val="21"/>
          <w:szCs w:val="21"/>
        </w:rPr>
        <w:t xml:space="preserve"> </w:t>
      </w:r>
      <w:r w:rsidRPr="00186AF6">
        <w:rPr>
          <w:rFonts w:ascii="Times New Roman" w:hAnsi="Times New Roman" w:cs="Times New Roman"/>
          <w:iCs/>
          <w:sz w:val="21"/>
          <w:szCs w:val="21"/>
        </w:rPr>
        <w:t>3.4 p</w:t>
      </w:r>
      <w:r>
        <w:rPr>
          <w:rFonts w:ascii="Times New Roman" w:hAnsi="Times New Roman" w:cs="Times New Roman"/>
          <w:iCs/>
          <w:sz w:val="21"/>
          <w:szCs w:val="21"/>
        </w:rPr>
        <w:t>p</w:t>
      </w:r>
      <w:r w:rsidRPr="00186AF6">
        <w:rPr>
          <w:rFonts w:ascii="Times New Roman" w:hAnsi="Times New Roman" w:cs="Times New Roman"/>
          <w:iCs/>
          <w:sz w:val="21"/>
          <w:szCs w:val="21"/>
        </w:rPr>
        <w:t>).</w:t>
      </w:r>
      <w:r w:rsidR="00BC3AA7">
        <w:rPr>
          <w:rFonts w:ascii="Times New Roman" w:hAnsi="Times New Roman" w:cs="Times New Roman"/>
          <w:iCs/>
          <w:sz w:val="21"/>
          <w:szCs w:val="21"/>
        </w:rPr>
        <w:t xml:space="preserve">  </w:t>
      </w:r>
    </w:p>
    <w:p w14:paraId="3E4C7A8D" w14:textId="19E0D971" w:rsidR="002C7BCF" w:rsidRDefault="002C7BCF" w:rsidP="00BC3AA7">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impact of </w:t>
      </w:r>
      <w:r w:rsidRPr="002C7BCF">
        <w:rPr>
          <w:rFonts w:ascii="Times New Roman" w:hAnsi="Times New Roman" w:cs="Times New Roman"/>
          <w:sz w:val="21"/>
          <w:szCs w:val="21"/>
        </w:rPr>
        <w:t>development</w:t>
      </w:r>
      <w:r>
        <w:rPr>
          <w:rFonts w:ascii="Times New Roman" w:hAnsi="Times New Roman" w:cs="Times New Roman"/>
          <w:sz w:val="21"/>
          <w:szCs w:val="21"/>
        </w:rPr>
        <w:t>s in g</w:t>
      </w:r>
      <w:r w:rsidRPr="002C7BCF">
        <w:rPr>
          <w:rFonts w:ascii="Times New Roman" w:hAnsi="Times New Roman" w:cs="Times New Roman"/>
          <w:sz w:val="21"/>
          <w:szCs w:val="21"/>
        </w:rPr>
        <w:t>lobal and regional economi</w:t>
      </w:r>
      <w:r>
        <w:rPr>
          <w:rFonts w:ascii="Times New Roman" w:hAnsi="Times New Roman" w:cs="Times New Roman"/>
          <w:sz w:val="21"/>
          <w:szCs w:val="21"/>
        </w:rPr>
        <w:t>es</w:t>
      </w:r>
      <w:r w:rsidRPr="002C7BCF">
        <w:rPr>
          <w:rFonts w:ascii="Times New Roman" w:hAnsi="Times New Roman" w:cs="Times New Roman"/>
          <w:sz w:val="21"/>
          <w:szCs w:val="21"/>
        </w:rPr>
        <w:t xml:space="preserve"> </w:t>
      </w:r>
      <w:r>
        <w:rPr>
          <w:rFonts w:ascii="Times New Roman" w:hAnsi="Times New Roman" w:cs="Times New Roman"/>
          <w:sz w:val="21"/>
          <w:szCs w:val="21"/>
        </w:rPr>
        <w:t xml:space="preserve">had its </w:t>
      </w:r>
      <w:r w:rsidRPr="002C7BCF">
        <w:rPr>
          <w:rFonts w:ascii="Times New Roman" w:hAnsi="Times New Roman" w:cs="Times New Roman"/>
          <w:sz w:val="21"/>
          <w:szCs w:val="21"/>
        </w:rPr>
        <w:t>reflect</w:t>
      </w:r>
      <w:r>
        <w:rPr>
          <w:rFonts w:ascii="Times New Roman" w:hAnsi="Times New Roman" w:cs="Times New Roman"/>
          <w:sz w:val="21"/>
          <w:szCs w:val="21"/>
        </w:rPr>
        <w:t>ion in</w:t>
      </w:r>
      <w:r w:rsidRPr="002C7BCF">
        <w:rPr>
          <w:rFonts w:ascii="Times New Roman" w:hAnsi="Times New Roman" w:cs="Times New Roman"/>
          <w:sz w:val="21"/>
          <w:szCs w:val="21"/>
        </w:rPr>
        <w:t xml:space="preserve"> the </w:t>
      </w:r>
      <w:r>
        <w:rPr>
          <w:rFonts w:ascii="Times New Roman" w:hAnsi="Times New Roman" w:cs="Times New Roman"/>
          <w:sz w:val="21"/>
          <w:szCs w:val="21"/>
        </w:rPr>
        <w:t xml:space="preserve">Armenian </w:t>
      </w:r>
      <w:r w:rsidRPr="002C7BCF">
        <w:rPr>
          <w:rFonts w:ascii="Times New Roman" w:hAnsi="Times New Roman" w:cs="Times New Roman"/>
          <w:sz w:val="21"/>
          <w:szCs w:val="21"/>
        </w:rPr>
        <w:t xml:space="preserve">economy, </w:t>
      </w:r>
      <w:r>
        <w:rPr>
          <w:rFonts w:ascii="Times New Roman" w:hAnsi="Times New Roman" w:cs="Times New Roman"/>
          <w:sz w:val="21"/>
          <w:szCs w:val="21"/>
        </w:rPr>
        <w:t xml:space="preserve">as </w:t>
      </w:r>
      <w:r w:rsidRPr="002C7BCF">
        <w:rPr>
          <w:rFonts w:ascii="Times New Roman" w:hAnsi="Times New Roman" w:cs="Times New Roman"/>
          <w:sz w:val="21"/>
          <w:szCs w:val="21"/>
        </w:rPr>
        <w:t>reduc</w:t>
      </w:r>
      <w:r>
        <w:rPr>
          <w:rFonts w:ascii="Times New Roman" w:hAnsi="Times New Roman" w:cs="Times New Roman"/>
          <w:sz w:val="21"/>
          <w:szCs w:val="21"/>
        </w:rPr>
        <w:t>ed</w:t>
      </w:r>
      <w:r w:rsidRPr="002C7BCF">
        <w:rPr>
          <w:rFonts w:ascii="Times New Roman" w:hAnsi="Times New Roman" w:cs="Times New Roman"/>
          <w:sz w:val="21"/>
          <w:szCs w:val="21"/>
        </w:rPr>
        <w:t xml:space="preserve"> flow</w:t>
      </w:r>
      <w:r>
        <w:rPr>
          <w:rFonts w:ascii="Times New Roman" w:hAnsi="Times New Roman" w:cs="Times New Roman"/>
          <w:sz w:val="21"/>
          <w:szCs w:val="21"/>
        </w:rPr>
        <w:t>s</w:t>
      </w:r>
      <w:r w:rsidRPr="002C7BCF">
        <w:rPr>
          <w:rFonts w:ascii="Times New Roman" w:hAnsi="Times New Roman" w:cs="Times New Roman"/>
          <w:sz w:val="21"/>
          <w:szCs w:val="21"/>
        </w:rPr>
        <w:t xml:space="preserve"> of foreign currency from the outside world and </w:t>
      </w:r>
      <w:r>
        <w:rPr>
          <w:rFonts w:ascii="Times New Roman" w:hAnsi="Times New Roman" w:cs="Times New Roman"/>
          <w:sz w:val="21"/>
          <w:szCs w:val="21"/>
        </w:rPr>
        <w:t>main trade partners</w:t>
      </w:r>
      <w:r w:rsidRPr="002C7BCF">
        <w:rPr>
          <w:rFonts w:ascii="Times New Roman" w:hAnsi="Times New Roman" w:cs="Times New Roman"/>
          <w:sz w:val="21"/>
          <w:szCs w:val="21"/>
        </w:rPr>
        <w:t>' currenc</w:t>
      </w:r>
      <w:r>
        <w:rPr>
          <w:rFonts w:ascii="Times New Roman" w:hAnsi="Times New Roman" w:cs="Times New Roman"/>
          <w:sz w:val="21"/>
          <w:szCs w:val="21"/>
        </w:rPr>
        <w:t xml:space="preserve">y depreciation </w:t>
      </w:r>
      <w:r w:rsidRPr="002C7BCF">
        <w:rPr>
          <w:rFonts w:ascii="Times New Roman" w:hAnsi="Times New Roman" w:cs="Times New Roman"/>
          <w:sz w:val="21"/>
          <w:szCs w:val="21"/>
        </w:rPr>
        <w:t>against the U</w:t>
      </w:r>
      <w:r>
        <w:rPr>
          <w:rFonts w:ascii="Times New Roman" w:hAnsi="Times New Roman" w:cs="Times New Roman"/>
          <w:sz w:val="21"/>
          <w:szCs w:val="21"/>
        </w:rPr>
        <w:t>.</w:t>
      </w:r>
      <w:r w:rsidRPr="002C7BCF">
        <w:rPr>
          <w:rFonts w:ascii="Times New Roman" w:hAnsi="Times New Roman" w:cs="Times New Roman"/>
          <w:sz w:val="21"/>
          <w:szCs w:val="21"/>
        </w:rPr>
        <w:t>S</w:t>
      </w:r>
      <w:r>
        <w:rPr>
          <w:rFonts w:ascii="Times New Roman" w:hAnsi="Times New Roman" w:cs="Times New Roman"/>
          <w:sz w:val="21"/>
          <w:szCs w:val="21"/>
        </w:rPr>
        <w:t>.</w:t>
      </w:r>
      <w:r w:rsidRPr="002C7BCF">
        <w:rPr>
          <w:rFonts w:ascii="Times New Roman" w:hAnsi="Times New Roman" w:cs="Times New Roman"/>
          <w:sz w:val="21"/>
          <w:szCs w:val="21"/>
        </w:rPr>
        <w:t xml:space="preserve"> dollar </w:t>
      </w:r>
      <w:r>
        <w:rPr>
          <w:rFonts w:ascii="Times New Roman" w:hAnsi="Times New Roman" w:cs="Times New Roman"/>
          <w:sz w:val="21"/>
          <w:szCs w:val="21"/>
        </w:rPr>
        <w:t>led to</w:t>
      </w:r>
      <w:r w:rsidRPr="002C7BCF">
        <w:rPr>
          <w:rFonts w:ascii="Times New Roman" w:hAnsi="Times New Roman" w:cs="Times New Roman"/>
          <w:sz w:val="21"/>
          <w:szCs w:val="21"/>
        </w:rPr>
        <w:t xml:space="preserve"> </w:t>
      </w:r>
      <w:r>
        <w:rPr>
          <w:rFonts w:ascii="Times New Roman" w:hAnsi="Times New Roman" w:cs="Times New Roman"/>
          <w:sz w:val="21"/>
          <w:szCs w:val="21"/>
        </w:rPr>
        <w:t xml:space="preserve">an overvalued </w:t>
      </w:r>
      <w:r w:rsidR="005B61F5">
        <w:rPr>
          <w:rFonts w:ascii="Times New Roman" w:hAnsi="Times New Roman" w:cs="Times New Roman"/>
          <w:sz w:val="21"/>
          <w:szCs w:val="21"/>
        </w:rPr>
        <w:t xml:space="preserve">Armenian </w:t>
      </w:r>
      <w:r w:rsidRPr="002C7BCF">
        <w:rPr>
          <w:rFonts w:ascii="Times New Roman" w:hAnsi="Times New Roman" w:cs="Times New Roman"/>
          <w:sz w:val="21"/>
          <w:szCs w:val="21"/>
        </w:rPr>
        <w:t>real effective exchange rate</w:t>
      </w:r>
      <w:r>
        <w:rPr>
          <w:rFonts w:ascii="Times New Roman" w:hAnsi="Times New Roman" w:cs="Times New Roman"/>
          <w:sz w:val="21"/>
          <w:szCs w:val="21"/>
        </w:rPr>
        <w:t>,</w:t>
      </w:r>
      <w:r w:rsidRPr="002C7BCF">
        <w:rPr>
          <w:rFonts w:ascii="Times New Roman" w:hAnsi="Times New Roman" w:cs="Times New Roman"/>
          <w:sz w:val="21"/>
          <w:szCs w:val="21"/>
        </w:rPr>
        <w:t xml:space="preserve"> creating </w:t>
      </w:r>
      <w:r>
        <w:rPr>
          <w:rFonts w:ascii="Times New Roman" w:hAnsi="Times New Roman" w:cs="Times New Roman"/>
          <w:sz w:val="21"/>
          <w:szCs w:val="21"/>
        </w:rPr>
        <w:t xml:space="preserve">depreciation </w:t>
      </w:r>
      <w:r w:rsidRPr="002C7BCF">
        <w:rPr>
          <w:rFonts w:ascii="Times New Roman" w:hAnsi="Times New Roman" w:cs="Times New Roman"/>
          <w:sz w:val="21"/>
          <w:szCs w:val="21"/>
        </w:rPr>
        <w:t>pressure</w:t>
      </w:r>
      <w:r>
        <w:rPr>
          <w:rFonts w:ascii="Times New Roman" w:hAnsi="Times New Roman" w:cs="Times New Roman"/>
          <w:sz w:val="21"/>
          <w:szCs w:val="21"/>
        </w:rPr>
        <w:t xml:space="preserve">s in the </w:t>
      </w:r>
      <w:r w:rsidR="00FA49B1">
        <w:rPr>
          <w:rFonts w:ascii="Times New Roman" w:hAnsi="Times New Roman" w:cs="Times New Roman"/>
          <w:sz w:val="21"/>
          <w:szCs w:val="21"/>
        </w:rPr>
        <w:t>domestic</w:t>
      </w:r>
      <w:r>
        <w:rPr>
          <w:rFonts w:ascii="Times New Roman" w:hAnsi="Times New Roman" w:cs="Times New Roman"/>
          <w:sz w:val="21"/>
          <w:szCs w:val="21"/>
        </w:rPr>
        <w:t xml:space="preserve"> foreign exchange market during the 4th quarter of 2014. </w:t>
      </w:r>
      <w:r w:rsidR="00A633E3">
        <w:rPr>
          <w:rFonts w:ascii="Times New Roman" w:hAnsi="Times New Roman" w:cs="Times New Roman"/>
          <w:sz w:val="21"/>
          <w:szCs w:val="21"/>
        </w:rPr>
        <w:t xml:space="preserve">At the time of significant </w:t>
      </w:r>
      <w:r w:rsidRPr="002C7BCF">
        <w:rPr>
          <w:rFonts w:ascii="Times New Roman" w:hAnsi="Times New Roman" w:cs="Times New Roman"/>
          <w:sz w:val="21"/>
          <w:szCs w:val="21"/>
        </w:rPr>
        <w:t xml:space="preserve">economic slowdown </w:t>
      </w:r>
      <w:r w:rsidR="00A633E3">
        <w:rPr>
          <w:rFonts w:ascii="Times New Roman" w:hAnsi="Times New Roman" w:cs="Times New Roman"/>
          <w:sz w:val="21"/>
          <w:szCs w:val="21"/>
        </w:rPr>
        <w:t xml:space="preserve">in </w:t>
      </w:r>
      <w:r w:rsidR="00A633E3" w:rsidRPr="002C7BCF">
        <w:rPr>
          <w:rFonts w:ascii="Times New Roman" w:hAnsi="Times New Roman" w:cs="Times New Roman"/>
          <w:sz w:val="21"/>
          <w:szCs w:val="21"/>
        </w:rPr>
        <w:t xml:space="preserve">Russia </w:t>
      </w:r>
      <w:r w:rsidRPr="002C7BCF">
        <w:rPr>
          <w:rFonts w:ascii="Times New Roman" w:hAnsi="Times New Roman" w:cs="Times New Roman"/>
          <w:sz w:val="21"/>
          <w:szCs w:val="21"/>
        </w:rPr>
        <w:t xml:space="preserve">and </w:t>
      </w:r>
      <w:r w:rsidR="00A633E3">
        <w:rPr>
          <w:rFonts w:ascii="Times New Roman" w:hAnsi="Times New Roman" w:cs="Times New Roman"/>
          <w:sz w:val="21"/>
          <w:szCs w:val="21"/>
        </w:rPr>
        <w:t xml:space="preserve">depreciated ruble, the net inflow of </w:t>
      </w:r>
      <w:r w:rsidR="00A633E3">
        <w:rPr>
          <w:rFonts w:ascii="Times New Roman" w:hAnsi="Times New Roman" w:cs="Times New Roman"/>
          <w:sz w:val="21"/>
          <w:szCs w:val="21"/>
        </w:rPr>
        <w:lastRenderedPageBreak/>
        <w:t xml:space="preserve">private </w:t>
      </w:r>
      <w:r w:rsidR="005B61F5">
        <w:rPr>
          <w:rFonts w:ascii="Times New Roman" w:hAnsi="Times New Roman" w:cs="Times New Roman"/>
          <w:sz w:val="21"/>
          <w:szCs w:val="21"/>
        </w:rPr>
        <w:t xml:space="preserve">remittances </w:t>
      </w:r>
      <w:r w:rsidR="00A633E3">
        <w:rPr>
          <w:rFonts w:ascii="Times New Roman" w:hAnsi="Times New Roman" w:cs="Times New Roman"/>
          <w:sz w:val="21"/>
          <w:szCs w:val="21"/>
        </w:rPr>
        <w:t>and seasonal worker</w:t>
      </w:r>
      <w:r w:rsidR="005B61F5">
        <w:rPr>
          <w:rFonts w:ascii="Times New Roman" w:hAnsi="Times New Roman" w:cs="Times New Roman"/>
          <w:sz w:val="21"/>
          <w:szCs w:val="21"/>
        </w:rPr>
        <w:t>s</w:t>
      </w:r>
      <w:r w:rsidR="00A633E3">
        <w:rPr>
          <w:rFonts w:ascii="Times New Roman" w:hAnsi="Times New Roman" w:cs="Times New Roman"/>
          <w:sz w:val="21"/>
          <w:szCs w:val="21"/>
        </w:rPr>
        <w:t xml:space="preserve"> pays has reduced sharply, resulting in a </w:t>
      </w:r>
      <w:r w:rsidR="00A633E3" w:rsidRPr="002C7BCF">
        <w:rPr>
          <w:rFonts w:ascii="Times New Roman" w:hAnsi="Times New Roman" w:cs="Times New Roman"/>
          <w:sz w:val="21"/>
          <w:szCs w:val="21"/>
        </w:rPr>
        <w:t xml:space="preserve">deep </w:t>
      </w:r>
      <w:r w:rsidR="00A633E3">
        <w:rPr>
          <w:rFonts w:ascii="Times New Roman" w:hAnsi="Times New Roman" w:cs="Times New Roman"/>
          <w:sz w:val="21"/>
          <w:szCs w:val="21"/>
        </w:rPr>
        <w:t xml:space="preserve">negative gap in remittances. </w:t>
      </w:r>
      <w:r w:rsidR="0089279C">
        <w:rPr>
          <w:rFonts w:ascii="Times New Roman" w:hAnsi="Times New Roman" w:cs="Times New Roman"/>
          <w:sz w:val="21"/>
          <w:szCs w:val="21"/>
        </w:rPr>
        <w:t xml:space="preserve">On the back of reduced </w:t>
      </w:r>
      <w:r w:rsidRPr="002C7BCF">
        <w:rPr>
          <w:rFonts w:ascii="Times New Roman" w:hAnsi="Times New Roman" w:cs="Times New Roman"/>
          <w:sz w:val="21"/>
          <w:szCs w:val="21"/>
        </w:rPr>
        <w:t xml:space="preserve">remittances and </w:t>
      </w:r>
      <w:r w:rsidR="0089279C">
        <w:rPr>
          <w:rFonts w:ascii="Times New Roman" w:hAnsi="Times New Roman" w:cs="Times New Roman"/>
          <w:sz w:val="21"/>
          <w:szCs w:val="21"/>
        </w:rPr>
        <w:t xml:space="preserve">weak </w:t>
      </w:r>
      <w:r w:rsidRPr="002C7BCF">
        <w:rPr>
          <w:rFonts w:ascii="Times New Roman" w:hAnsi="Times New Roman" w:cs="Times New Roman"/>
          <w:sz w:val="21"/>
          <w:szCs w:val="21"/>
        </w:rPr>
        <w:t>economic</w:t>
      </w:r>
      <w:r w:rsidR="0089279C">
        <w:rPr>
          <w:rFonts w:ascii="Times New Roman" w:hAnsi="Times New Roman" w:cs="Times New Roman"/>
          <w:sz w:val="21"/>
          <w:szCs w:val="21"/>
        </w:rPr>
        <w:t xml:space="preserve"> activity, the estimation of </w:t>
      </w:r>
      <w:r w:rsidRPr="002C7BCF">
        <w:rPr>
          <w:rFonts w:ascii="Times New Roman" w:hAnsi="Times New Roman" w:cs="Times New Roman"/>
          <w:sz w:val="21"/>
          <w:szCs w:val="21"/>
        </w:rPr>
        <w:t xml:space="preserve">private consumption </w:t>
      </w:r>
      <w:r w:rsidR="0089279C">
        <w:rPr>
          <w:rFonts w:ascii="Times New Roman" w:hAnsi="Times New Roman" w:cs="Times New Roman"/>
          <w:sz w:val="21"/>
          <w:szCs w:val="21"/>
        </w:rPr>
        <w:t xml:space="preserve">expenditures </w:t>
      </w:r>
      <w:r w:rsidRPr="002C7BCF">
        <w:rPr>
          <w:rFonts w:ascii="Times New Roman" w:hAnsi="Times New Roman" w:cs="Times New Roman"/>
          <w:sz w:val="21"/>
          <w:szCs w:val="21"/>
        </w:rPr>
        <w:t xml:space="preserve">is </w:t>
      </w:r>
      <w:r w:rsidR="0089279C">
        <w:rPr>
          <w:rFonts w:ascii="Times New Roman" w:hAnsi="Times New Roman" w:cs="Times New Roman"/>
          <w:sz w:val="21"/>
          <w:szCs w:val="21"/>
        </w:rPr>
        <w:t>notably</w:t>
      </w:r>
      <w:r w:rsidRPr="002C7BCF">
        <w:rPr>
          <w:rFonts w:ascii="Times New Roman" w:hAnsi="Times New Roman" w:cs="Times New Roman"/>
          <w:sz w:val="21"/>
          <w:szCs w:val="21"/>
        </w:rPr>
        <w:t xml:space="preserve"> lower compared to </w:t>
      </w:r>
      <w:proofErr w:type="gramStart"/>
      <w:r w:rsidRPr="002C7BCF">
        <w:rPr>
          <w:rFonts w:ascii="Times New Roman" w:hAnsi="Times New Roman" w:cs="Times New Roman"/>
          <w:sz w:val="21"/>
          <w:szCs w:val="21"/>
        </w:rPr>
        <w:t xml:space="preserve">the </w:t>
      </w:r>
      <w:r w:rsidR="0089279C">
        <w:rPr>
          <w:rFonts w:ascii="Times New Roman" w:hAnsi="Times New Roman" w:cs="Times New Roman"/>
          <w:sz w:val="21"/>
          <w:szCs w:val="21"/>
        </w:rPr>
        <w:t xml:space="preserve"> </w:t>
      </w:r>
      <w:r w:rsidRPr="002C7BCF">
        <w:rPr>
          <w:rFonts w:ascii="Times New Roman" w:hAnsi="Times New Roman" w:cs="Times New Roman"/>
          <w:sz w:val="21"/>
          <w:szCs w:val="21"/>
        </w:rPr>
        <w:t>forecast</w:t>
      </w:r>
      <w:proofErr w:type="gramEnd"/>
      <w:r w:rsidRPr="002C7BCF">
        <w:rPr>
          <w:rFonts w:ascii="Times New Roman" w:hAnsi="Times New Roman" w:cs="Times New Roman"/>
          <w:sz w:val="21"/>
          <w:szCs w:val="21"/>
        </w:rPr>
        <w:t xml:space="preserve">, </w:t>
      </w:r>
      <w:r w:rsidR="0089279C">
        <w:rPr>
          <w:rFonts w:ascii="Times New Roman" w:hAnsi="Times New Roman" w:cs="Times New Roman"/>
          <w:sz w:val="21"/>
          <w:szCs w:val="21"/>
        </w:rPr>
        <w:t>under which circumstance</w:t>
      </w:r>
      <w:r w:rsidR="005B61F5">
        <w:rPr>
          <w:rFonts w:ascii="Times New Roman" w:hAnsi="Times New Roman" w:cs="Times New Roman"/>
          <w:sz w:val="21"/>
          <w:szCs w:val="21"/>
        </w:rPr>
        <w:t>s</w:t>
      </w:r>
      <w:r w:rsidR="0089279C">
        <w:rPr>
          <w:rFonts w:ascii="Times New Roman" w:hAnsi="Times New Roman" w:cs="Times New Roman"/>
          <w:sz w:val="21"/>
          <w:szCs w:val="21"/>
        </w:rPr>
        <w:t xml:space="preserve"> the 2014 </w:t>
      </w:r>
      <w:r w:rsidRPr="002C7BCF">
        <w:rPr>
          <w:rFonts w:ascii="Times New Roman" w:hAnsi="Times New Roman" w:cs="Times New Roman"/>
          <w:sz w:val="21"/>
          <w:szCs w:val="21"/>
        </w:rPr>
        <w:t xml:space="preserve">private consumption expenditures </w:t>
      </w:r>
      <w:r w:rsidR="0089279C">
        <w:rPr>
          <w:rFonts w:ascii="Times New Roman" w:hAnsi="Times New Roman" w:cs="Times New Roman"/>
          <w:sz w:val="21"/>
          <w:szCs w:val="21"/>
        </w:rPr>
        <w:t xml:space="preserve">will </w:t>
      </w:r>
      <w:r w:rsidRPr="002C7BCF">
        <w:rPr>
          <w:rFonts w:ascii="Times New Roman" w:hAnsi="Times New Roman" w:cs="Times New Roman"/>
          <w:sz w:val="21"/>
          <w:szCs w:val="21"/>
        </w:rPr>
        <w:t xml:space="preserve">not change </w:t>
      </w:r>
      <w:r w:rsidR="0089279C">
        <w:rPr>
          <w:rFonts w:ascii="Times New Roman" w:hAnsi="Times New Roman" w:cs="Times New Roman"/>
          <w:sz w:val="21"/>
          <w:szCs w:val="21"/>
        </w:rPr>
        <w:t xml:space="preserve">much in relation to </w:t>
      </w:r>
      <w:r w:rsidRPr="002C7BCF">
        <w:rPr>
          <w:rFonts w:ascii="Times New Roman" w:hAnsi="Times New Roman" w:cs="Times New Roman"/>
          <w:sz w:val="21"/>
          <w:szCs w:val="21"/>
        </w:rPr>
        <w:t>the previous year.</w:t>
      </w:r>
    </w:p>
    <w:p w14:paraId="170635D6" w14:textId="174DDE13" w:rsidR="00191112" w:rsidRPr="00544B64" w:rsidRDefault="00191112" w:rsidP="00BC3AA7">
      <w:pPr>
        <w:spacing w:line="360" w:lineRule="auto"/>
        <w:jc w:val="both"/>
        <w:rPr>
          <w:rFonts w:ascii="Times New Roman" w:hAnsi="Times New Roman" w:cs="Times New Roman"/>
          <w:b/>
          <w:color w:val="0070C0"/>
          <w:sz w:val="18"/>
          <w:szCs w:val="18"/>
        </w:rPr>
      </w:pPr>
      <w:r w:rsidRPr="00544B64">
        <w:rPr>
          <w:rFonts w:ascii="Times New Roman" w:hAnsi="Times New Roman" w:cs="Times New Roman"/>
          <w:b/>
          <w:color w:val="0070C0"/>
          <w:sz w:val="18"/>
          <w:szCs w:val="18"/>
        </w:rPr>
        <w:t xml:space="preserve">Prices of some </w:t>
      </w:r>
      <w:proofErr w:type="gramStart"/>
      <w:r w:rsidR="00544B64" w:rsidRPr="00544B64">
        <w:rPr>
          <w:rFonts w:ascii="Times New Roman" w:hAnsi="Times New Roman" w:cs="Times New Roman"/>
          <w:b/>
          <w:color w:val="0070C0"/>
          <w:sz w:val="18"/>
          <w:szCs w:val="18"/>
        </w:rPr>
        <w:t>goods</w:t>
      </w:r>
      <w:r w:rsidRPr="00544B64">
        <w:rPr>
          <w:rFonts w:ascii="Times New Roman" w:hAnsi="Times New Roman" w:cs="Times New Roman"/>
          <w:b/>
          <w:color w:val="0070C0"/>
          <w:sz w:val="18"/>
          <w:szCs w:val="18"/>
        </w:rPr>
        <w:t xml:space="preserve"> </w:t>
      </w:r>
      <w:r w:rsidR="002D6C9F">
        <w:rPr>
          <w:rFonts w:ascii="Times New Roman" w:hAnsi="Times New Roman" w:cs="Times New Roman"/>
          <w:b/>
          <w:color w:val="0070C0"/>
          <w:sz w:val="18"/>
          <w:szCs w:val="18"/>
        </w:rPr>
        <w:t xml:space="preserve"> increased</w:t>
      </w:r>
      <w:proofErr w:type="gramEnd"/>
      <w:r w:rsidR="002D6C9F" w:rsidRPr="00544B64">
        <w:rPr>
          <w:rFonts w:ascii="Times New Roman" w:hAnsi="Times New Roman" w:cs="Times New Roman"/>
          <w:b/>
          <w:color w:val="0070C0"/>
          <w:sz w:val="18"/>
          <w:szCs w:val="18"/>
        </w:rPr>
        <w:t xml:space="preserve"> </w:t>
      </w:r>
      <w:r w:rsidR="00544B64" w:rsidRPr="00544B64">
        <w:rPr>
          <w:rFonts w:ascii="Times New Roman" w:hAnsi="Times New Roman" w:cs="Times New Roman"/>
          <w:b/>
          <w:color w:val="0070C0"/>
          <w:sz w:val="18"/>
          <w:szCs w:val="18"/>
        </w:rPr>
        <w:t xml:space="preserve">at a </w:t>
      </w:r>
      <w:r w:rsidR="002D6C9F">
        <w:rPr>
          <w:rFonts w:ascii="Times New Roman" w:hAnsi="Times New Roman" w:cs="Times New Roman"/>
          <w:b/>
          <w:color w:val="0070C0"/>
          <w:sz w:val="18"/>
          <w:szCs w:val="18"/>
        </w:rPr>
        <w:t>speed</w:t>
      </w:r>
      <w:r w:rsidR="00544B64" w:rsidRPr="00544B64">
        <w:rPr>
          <w:rFonts w:ascii="Times New Roman" w:hAnsi="Times New Roman" w:cs="Times New Roman"/>
          <w:b/>
          <w:color w:val="0070C0"/>
          <w:sz w:val="18"/>
          <w:szCs w:val="18"/>
        </w:rPr>
        <w:t xml:space="preserve"> that </w:t>
      </w:r>
      <w:r w:rsidRPr="00544B64">
        <w:rPr>
          <w:rFonts w:ascii="Times New Roman" w:hAnsi="Times New Roman" w:cs="Times New Roman"/>
          <w:b/>
          <w:color w:val="0070C0"/>
          <w:sz w:val="18"/>
          <w:szCs w:val="18"/>
        </w:rPr>
        <w:t>destabilized the households' inflation expectations, rapidly pushing the demand for goods and foreign currency up and sizably adding to inflationary pressures</w:t>
      </w:r>
      <w:r w:rsidR="00544B64" w:rsidRPr="00544B64">
        <w:rPr>
          <w:rFonts w:ascii="Times New Roman" w:hAnsi="Times New Roman" w:cs="Times New Roman"/>
          <w:b/>
          <w:color w:val="0070C0"/>
          <w:sz w:val="18"/>
          <w:szCs w:val="18"/>
        </w:rPr>
        <w:t>…</w:t>
      </w:r>
    </w:p>
    <w:p w14:paraId="644C1893" w14:textId="77777777" w:rsidR="00732153" w:rsidRDefault="003E46AB" w:rsidP="00BC3AA7">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Influenced by the above factors, </w:t>
      </w:r>
      <w:r w:rsidRPr="003E46AB">
        <w:rPr>
          <w:rFonts w:ascii="Times New Roman" w:hAnsi="Times New Roman" w:cs="Times New Roman"/>
          <w:sz w:val="21"/>
          <w:szCs w:val="21"/>
        </w:rPr>
        <w:t xml:space="preserve">the nominal exchange rate </w:t>
      </w:r>
      <w:r>
        <w:rPr>
          <w:rFonts w:ascii="Times New Roman" w:hAnsi="Times New Roman" w:cs="Times New Roman"/>
          <w:sz w:val="21"/>
          <w:szCs w:val="21"/>
        </w:rPr>
        <w:t xml:space="preserve">of the Armenian dram reacted in late </w:t>
      </w:r>
      <w:r w:rsidRPr="003E46AB">
        <w:rPr>
          <w:rFonts w:ascii="Times New Roman" w:hAnsi="Times New Roman" w:cs="Times New Roman"/>
          <w:sz w:val="21"/>
          <w:szCs w:val="21"/>
        </w:rPr>
        <w:t>November</w:t>
      </w:r>
      <w:r>
        <w:rPr>
          <w:rFonts w:ascii="Times New Roman" w:hAnsi="Times New Roman" w:cs="Times New Roman"/>
          <w:sz w:val="21"/>
          <w:szCs w:val="21"/>
        </w:rPr>
        <w:t xml:space="preserve"> to </w:t>
      </w:r>
      <w:r w:rsidR="00FA49B1">
        <w:rPr>
          <w:rFonts w:ascii="Times New Roman" w:hAnsi="Times New Roman" w:cs="Times New Roman"/>
          <w:sz w:val="21"/>
          <w:szCs w:val="21"/>
        </w:rPr>
        <w:t xml:space="preserve">the need to </w:t>
      </w:r>
      <w:r>
        <w:rPr>
          <w:rFonts w:ascii="Times New Roman" w:hAnsi="Times New Roman" w:cs="Times New Roman"/>
          <w:sz w:val="21"/>
          <w:szCs w:val="21"/>
        </w:rPr>
        <w:t xml:space="preserve">adjust </w:t>
      </w:r>
      <w:r w:rsidR="000001CD">
        <w:rPr>
          <w:rFonts w:ascii="Times New Roman" w:hAnsi="Times New Roman" w:cs="Times New Roman"/>
          <w:sz w:val="21"/>
          <w:szCs w:val="21"/>
        </w:rPr>
        <w:t xml:space="preserve">the </w:t>
      </w:r>
      <w:r w:rsidRPr="00732153">
        <w:rPr>
          <w:rFonts w:ascii="Times New Roman" w:hAnsi="Times New Roman" w:cs="Times New Roman"/>
          <w:sz w:val="21"/>
          <w:szCs w:val="21"/>
        </w:rPr>
        <w:t xml:space="preserve">external </w:t>
      </w:r>
      <w:r>
        <w:rPr>
          <w:rFonts w:ascii="Times New Roman" w:hAnsi="Times New Roman" w:cs="Times New Roman"/>
          <w:sz w:val="21"/>
          <w:szCs w:val="21"/>
        </w:rPr>
        <w:t>equilibrium</w:t>
      </w:r>
      <w:r w:rsidRPr="00732153">
        <w:rPr>
          <w:rFonts w:ascii="Times New Roman" w:hAnsi="Times New Roman" w:cs="Times New Roman"/>
          <w:sz w:val="21"/>
          <w:szCs w:val="21"/>
        </w:rPr>
        <w:t xml:space="preserve"> </w:t>
      </w:r>
      <w:r>
        <w:rPr>
          <w:rFonts w:ascii="Times New Roman" w:hAnsi="Times New Roman" w:cs="Times New Roman"/>
          <w:sz w:val="21"/>
          <w:szCs w:val="21"/>
        </w:rPr>
        <w:t xml:space="preserve">and </w:t>
      </w:r>
      <w:r w:rsidR="000001CD">
        <w:rPr>
          <w:rFonts w:ascii="Times New Roman" w:hAnsi="Times New Roman" w:cs="Times New Roman"/>
          <w:sz w:val="21"/>
          <w:szCs w:val="21"/>
        </w:rPr>
        <w:t>achiev</w:t>
      </w:r>
      <w:r w:rsidR="00FA49B1">
        <w:rPr>
          <w:rFonts w:ascii="Times New Roman" w:hAnsi="Times New Roman" w:cs="Times New Roman"/>
          <w:sz w:val="21"/>
          <w:szCs w:val="21"/>
        </w:rPr>
        <w:t>e</w:t>
      </w:r>
      <w:r>
        <w:rPr>
          <w:rFonts w:ascii="Times New Roman" w:hAnsi="Times New Roman" w:cs="Times New Roman"/>
          <w:sz w:val="21"/>
          <w:szCs w:val="21"/>
        </w:rPr>
        <w:t xml:space="preserve"> new equilibrium </w:t>
      </w:r>
      <w:r w:rsidR="000001CD">
        <w:rPr>
          <w:rFonts w:ascii="Times New Roman" w:hAnsi="Times New Roman" w:cs="Times New Roman"/>
          <w:sz w:val="21"/>
          <w:szCs w:val="21"/>
        </w:rPr>
        <w:t xml:space="preserve">for economic </w:t>
      </w:r>
      <w:r w:rsidRPr="00732153">
        <w:rPr>
          <w:rFonts w:ascii="Times New Roman" w:hAnsi="Times New Roman" w:cs="Times New Roman"/>
          <w:sz w:val="21"/>
          <w:szCs w:val="21"/>
        </w:rPr>
        <w:t>fundamentals</w:t>
      </w:r>
      <w:r w:rsidR="000001CD">
        <w:rPr>
          <w:rFonts w:ascii="Times New Roman" w:hAnsi="Times New Roman" w:cs="Times New Roman"/>
          <w:sz w:val="21"/>
          <w:szCs w:val="21"/>
        </w:rPr>
        <w:t xml:space="preserve"> by posting around 14.0% depreciation in December.</w:t>
      </w:r>
      <w:r w:rsidR="000A751E">
        <w:rPr>
          <w:rFonts w:ascii="Times New Roman" w:hAnsi="Times New Roman" w:cs="Times New Roman"/>
          <w:sz w:val="21"/>
          <w:szCs w:val="21"/>
        </w:rPr>
        <w:t xml:space="preserve"> The speed at which prices of some products rose because of </w:t>
      </w:r>
      <w:r w:rsidR="00041381">
        <w:rPr>
          <w:rFonts w:ascii="Times New Roman" w:hAnsi="Times New Roman" w:cs="Times New Roman"/>
          <w:sz w:val="21"/>
          <w:szCs w:val="21"/>
        </w:rPr>
        <w:t>d</w:t>
      </w:r>
      <w:r w:rsidR="000A751E">
        <w:rPr>
          <w:rFonts w:ascii="Times New Roman" w:hAnsi="Times New Roman" w:cs="Times New Roman"/>
          <w:sz w:val="21"/>
          <w:szCs w:val="21"/>
        </w:rPr>
        <w:t xml:space="preserve">ram devaluation </w:t>
      </w:r>
      <w:r w:rsidR="00732153" w:rsidRPr="00732153">
        <w:rPr>
          <w:rFonts w:ascii="Times New Roman" w:hAnsi="Times New Roman" w:cs="Times New Roman"/>
          <w:sz w:val="21"/>
          <w:szCs w:val="21"/>
        </w:rPr>
        <w:t xml:space="preserve">destabilized </w:t>
      </w:r>
      <w:r w:rsidR="000A751E">
        <w:rPr>
          <w:rFonts w:ascii="Times New Roman" w:hAnsi="Times New Roman" w:cs="Times New Roman"/>
          <w:sz w:val="21"/>
          <w:szCs w:val="21"/>
        </w:rPr>
        <w:t>the households</w:t>
      </w:r>
      <w:r w:rsidR="000A751E" w:rsidRPr="00732153">
        <w:rPr>
          <w:rFonts w:ascii="Times New Roman" w:hAnsi="Times New Roman" w:cs="Times New Roman"/>
          <w:sz w:val="21"/>
          <w:szCs w:val="21"/>
        </w:rPr>
        <w:t>' inflation expectations</w:t>
      </w:r>
      <w:r w:rsidR="00041381">
        <w:rPr>
          <w:rFonts w:ascii="Times New Roman" w:hAnsi="Times New Roman" w:cs="Times New Roman"/>
          <w:sz w:val="21"/>
          <w:szCs w:val="21"/>
        </w:rPr>
        <w:t xml:space="preserve">, rapidly pushing the demand for goods and </w:t>
      </w:r>
      <w:r w:rsidR="00732153" w:rsidRPr="00732153">
        <w:rPr>
          <w:rFonts w:ascii="Times New Roman" w:hAnsi="Times New Roman" w:cs="Times New Roman"/>
          <w:sz w:val="21"/>
          <w:szCs w:val="21"/>
        </w:rPr>
        <w:t xml:space="preserve">foreign </w:t>
      </w:r>
      <w:r w:rsidR="00041381">
        <w:rPr>
          <w:rFonts w:ascii="Times New Roman" w:hAnsi="Times New Roman" w:cs="Times New Roman"/>
          <w:sz w:val="21"/>
          <w:szCs w:val="21"/>
        </w:rPr>
        <w:t xml:space="preserve">currency up and sizably adding to </w:t>
      </w:r>
      <w:r w:rsidR="00732153" w:rsidRPr="00732153">
        <w:rPr>
          <w:rFonts w:ascii="Times New Roman" w:hAnsi="Times New Roman" w:cs="Times New Roman"/>
          <w:sz w:val="21"/>
          <w:szCs w:val="21"/>
        </w:rPr>
        <w:t>inflationary pressures.</w:t>
      </w:r>
      <w:r w:rsidR="00041381">
        <w:rPr>
          <w:rFonts w:ascii="Times New Roman" w:hAnsi="Times New Roman" w:cs="Times New Roman"/>
          <w:sz w:val="21"/>
          <w:szCs w:val="21"/>
        </w:rPr>
        <w:t xml:space="preserve"> This contributed to shaping a positive GDP gap in the 4th</w:t>
      </w:r>
      <w:r w:rsidR="00732153" w:rsidRPr="00732153">
        <w:rPr>
          <w:rFonts w:ascii="Times New Roman" w:hAnsi="Times New Roman" w:cs="Times New Roman"/>
          <w:sz w:val="21"/>
          <w:szCs w:val="21"/>
        </w:rPr>
        <w:t xml:space="preserve"> </w:t>
      </w:r>
      <w:r w:rsidR="00041381">
        <w:rPr>
          <w:rFonts w:ascii="Times New Roman" w:hAnsi="Times New Roman" w:cs="Times New Roman"/>
          <w:sz w:val="21"/>
          <w:szCs w:val="21"/>
        </w:rPr>
        <w:t xml:space="preserve">quarter, helping the inflation rates recover rather quickly. </w:t>
      </w:r>
      <w:r w:rsidR="00732153" w:rsidRPr="00732153">
        <w:rPr>
          <w:rFonts w:ascii="Times New Roman" w:hAnsi="Times New Roman" w:cs="Times New Roman"/>
          <w:sz w:val="21"/>
          <w:szCs w:val="21"/>
        </w:rPr>
        <w:t xml:space="preserve">It should be noted that </w:t>
      </w:r>
      <w:r w:rsidR="00041381">
        <w:rPr>
          <w:rFonts w:ascii="Times New Roman" w:hAnsi="Times New Roman" w:cs="Times New Roman"/>
          <w:sz w:val="21"/>
          <w:szCs w:val="21"/>
        </w:rPr>
        <w:t xml:space="preserve">the </w:t>
      </w:r>
      <w:r w:rsidR="00732153" w:rsidRPr="00732153">
        <w:rPr>
          <w:rFonts w:ascii="Times New Roman" w:hAnsi="Times New Roman" w:cs="Times New Roman"/>
          <w:sz w:val="21"/>
          <w:szCs w:val="21"/>
        </w:rPr>
        <w:t xml:space="preserve">year-end inflation </w:t>
      </w:r>
      <w:r w:rsidR="00041381">
        <w:rPr>
          <w:rFonts w:ascii="Times New Roman" w:hAnsi="Times New Roman" w:cs="Times New Roman"/>
          <w:sz w:val="21"/>
          <w:szCs w:val="21"/>
        </w:rPr>
        <w:t xml:space="preserve">was </w:t>
      </w:r>
      <w:r w:rsidR="00061489">
        <w:rPr>
          <w:rFonts w:ascii="Times New Roman" w:hAnsi="Times New Roman" w:cs="Times New Roman"/>
          <w:sz w:val="21"/>
          <w:szCs w:val="21"/>
        </w:rPr>
        <w:t xml:space="preserve">also </w:t>
      </w:r>
      <w:r w:rsidR="00041381">
        <w:rPr>
          <w:rFonts w:ascii="Times New Roman" w:hAnsi="Times New Roman" w:cs="Times New Roman"/>
          <w:sz w:val="21"/>
          <w:szCs w:val="21"/>
        </w:rPr>
        <w:t>fuelled by</w:t>
      </w:r>
      <w:r w:rsidR="00732153" w:rsidRPr="00732153">
        <w:rPr>
          <w:rFonts w:ascii="Times New Roman" w:hAnsi="Times New Roman" w:cs="Times New Roman"/>
          <w:sz w:val="21"/>
          <w:szCs w:val="21"/>
        </w:rPr>
        <w:t xml:space="preserve"> </w:t>
      </w:r>
      <w:r w:rsidR="00061489">
        <w:rPr>
          <w:rFonts w:ascii="Times New Roman" w:hAnsi="Times New Roman" w:cs="Times New Roman"/>
          <w:sz w:val="21"/>
          <w:szCs w:val="21"/>
        </w:rPr>
        <w:t xml:space="preserve">increased prices of </w:t>
      </w:r>
      <w:r w:rsidR="00732153" w:rsidRPr="00732153">
        <w:rPr>
          <w:rFonts w:ascii="Times New Roman" w:hAnsi="Times New Roman" w:cs="Times New Roman"/>
          <w:sz w:val="21"/>
          <w:szCs w:val="21"/>
        </w:rPr>
        <w:t xml:space="preserve">a variety of food products, </w:t>
      </w:r>
      <w:r w:rsidR="00061489">
        <w:rPr>
          <w:rFonts w:ascii="Times New Roman" w:hAnsi="Times New Roman" w:cs="Times New Roman"/>
          <w:sz w:val="21"/>
          <w:szCs w:val="21"/>
        </w:rPr>
        <w:t>such as</w:t>
      </w:r>
      <w:r w:rsidR="00732153" w:rsidRPr="00732153">
        <w:rPr>
          <w:rFonts w:ascii="Times New Roman" w:hAnsi="Times New Roman" w:cs="Times New Roman"/>
          <w:sz w:val="21"/>
          <w:szCs w:val="21"/>
        </w:rPr>
        <w:t xml:space="preserve"> dairy products, coffee, tea, cocoa, </w:t>
      </w:r>
      <w:r w:rsidR="00061489">
        <w:rPr>
          <w:rFonts w:ascii="Times New Roman" w:hAnsi="Times New Roman" w:cs="Times New Roman"/>
          <w:sz w:val="21"/>
          <w:szCs w:val="21"/>
        </w:rPr>
        <w:t xml:space="preserve">animal fats and vegetable oils as a </w:t>
      </w:r>
      <w:r w:rsidR="00061489" w:rsidRPr="004366A8">
        <w:rPr>
          <w:rFonts w:ascii="Times New Roman" w:hAnsi="Times New Roman" w:cs="Times New Roman"/>
          <w:sz w:val="21"/>
          <w:szCs w:val="21"/>
        </w:rPr>
        <w:t>result of their labeling</w:t>
      </w:r>
      <w:r w:rsidR="00061489">
        <w:rPr>
          <w:rFonts w:ascii="Times New Roman" w:hAnsi="Times New Roman" w:cs="Times New Roman"/>
          <w:sz w:val="21"/>
          <w:szCs w:val="21"/>
        </w:rPr>
        <w:t xml:space="preserve"> during the 4th quarter of 2014.</w:t>
      </w:r>
    </w:p>
    <w:p w14:paraId="5657A454" w14:textId="2BDCEA87" w:rsidR="00E1361E" w:rsidRPr="00E1361E" w:rsidRDefault="00E1361E" w:rsidP="004366A8">
      <w:pPr>
        <w:spacing w:line="360" w:lineRule="auto"/>
        <w:jc w:val="both"/>
        <w:rPr>
          <w:rFonts w:ascii="Times New Roman" w:hAnsi="Times New Roman" w:cs="Times New Roman"/>
          <w:b/>
          <w:color w:val="0070C0"/>
          <w:sz w:val="18"/>
          <w:szCs w:val="18"/>
        </w:rPr>
      </w:pPr>
      <w:r w:rsidRPr="00E1361E">
        <w:rPr>
          <w:rFonts w:ascii="Times New Roman" w:hAnsi="Times New Roman" w:cs="Times New Roman"/>
          <w:b/>
          <w:color w:val="0070C0"/>
          <w:sz w:val="18"/>
          <w:szCs w:val="18"/>
        </w:rPr>
        <w:t>To mitigate the inflationary pressures and have the inflation anchored around the target, the Central Bank</w:t>
      </w:r>
      <w:r w:rsidR="00FA49B1">
        <w:rPr>
          <w:rFonts w:ascii="Times New Roman" w:hAnsi="Times New Roman" w:cs="Times New Roman"/>
          <w:b/>
          <w:color w:val="0070C0"/>
          <w:sz w:val="18"/>
          <w:szCs w:val="18"/>
        </w:rPr>
        <w:t xml:space="preserve"> </w:t>
      </w:r>
      <w:r w:rsidRPr="00E1361E">
        <w:rPr>
          <w:rFonts w:ascii="Times New Roman" w:hAnsi="Times New Roman" w:cs="Times New Roman"/>
          <w:b/>
          <w:color w:val="0070C0"/>
          <w:sz w:val="18"/>
          <w:szCs w:val="18"/>
        </w:rPr>
        <w:t xml:space="preserve">raised in late November the Lombard Repo Facility Rate from 8.25 to 21.0% and </w:t>
      </w:r>
      <w:r w:rsidR="002D6C9F">
        <w:rPr>
          <w:rFonts w:ascii="Times New Roman" w:hAnsi="Times New Roman" w:cs="Times New Roman"/>
          <w:b/>
          <w:color w:val="0070C0"/>
          <w:sz w:val="18"/>
          <w:szCs w:val="18"/>
        </w:rPr>
        <w:t>increased</w:t>
      </w:r>
      <w:r w:rsidR="002D6C9F" w:rsidRPr="00E1361E">
        <w:rPr>
          <w:rFonts w:ascii="Times New Roman" w:hAnsi="Times New Roman" w:cs="Times New Roman"/>
          <w:b/>
          <w:color w:val="0070C0"/>
          <w:sz w:val="18"/>
          <w:szCs w:val="18"/>
        </w:rPr>
        <w:t xml:space="preserve"> </w:t>
      </w:r>
      <w:r w:rsidRPr="00E1361E">
        <w:rPr>
          <w:rFonts w:ascii="Times New Roman" w:hAnsi="Times New Roman" w:cs="Times New Roman"/>
          <w:b/>
          <w:color w:val="0070C0"/>
          <w:sz w:val="18"/>
          <w:szCs w:val="18"/>
        </w:rPr>
        <w:t xml:space="preserve">in mid-December the Reserve Requirement Ratio with regard to funds attracted in foreign currency from 12.0 to 24.0%. As a result, the Lombard Repo Facility Rate has taken, since the yearend, the role of financial market's </w:t>
      </w:r>
      <w:r w:rsidR="002D6C9F">
        <w:rPr>
          <w:rFonts w:ascii="Times New Roman" w:hAnsi="Times New Roman" w:cs="Times New Roman"/>
          <w:b/>
          <w:color w:val="0070C0"/>
          <w:sz w:val="18"/>
          <w:szCs w:val="18"/>
        </w:rPr>
        <w:t>leading</w:t>
      </w:r>
      <w:r w:rsidR="002D6C9F" w:rsidRPr="00E1361E">
        <w:rPr>
          <w:rFonts w:ascii="Times New Roman" w:hAnsi="Times New Roman" w:cs="Times New Roman"/>
          <w:b/>
          <w:color w:val="0070C0"/>
          <w:sz w:val="18"/>
          <w:szCs w:val="18"/>
        </w:rPr>
        <w:t xml:space="preserve"> </w:t>
      </w:r>
      <w:r w:rsidRPr="00E1361E">
        <w:rPr>
          <w:rFonts w:ascii="Times New Roman" w:hAnsi="Times New Roman" w:cs="Times New Roman"/>
          <w:b/>
          <w:color w:val="0070C0"/>
          <w:sz w:val="18"/>
          <w:szCs w:val="18"/>
        </w:rPr>
        <w:t>rate…</w:t>
      </w:r>
    </w:p>
    <w:p w14:paraId="7B481E0D" w14:textId="77777777" w:rsidR="00A74EEB" w:rsidRPr="006239C2" w:rsidRDefault="006239C2" w:rsidP="004366A8">
      <w:pPr>
        <w:spacing w:line="360" w:lineRule="auto"/>
        <w:jc w:val="both"/>
        <w:rPr>
          <w:rFonts w:ascii="Times New Roman" w:hAnsi="Times New Roman" w:cs="Times New Roman"/>
          <w:b/>
          <w:color w:val="0070C0"/>
          <w:sz w:val="18"/>
          <w:szCs w:val="18"/>
        </w:rPr>
      </w:pPr>
      <w:r w:rsidRPr="006239C2">
        <w:rPr>
          <w:rFonts w:ascii="Times New Roman" w:hAnsi="Times New Roman" w:cs="Times New Roman"/>
          <w:b/>
          <w:color w:val="0070C0"/>
          <w:sz w:val="18"/>
          <w:szCs w:val="18"/>
        </w:rPr>
        <w:t>After some signs of stabilization, in late December the Central Bank lowered both the Reserve Requirement Ratio with regard to funds attracted in foreign currency and the Lombard Repo Facility Rate…</w:t>
      </w:r>
    </w:p>
    <w:p w14:paraId="18B5DC60" w14:textId="733E25CB" w:rsidR="004366A8" w:rsidRDefault="009D0FD5" w:rsidP="004366A8">
      <w:pPr>
        <w:spacing w:line="360" w:lineRule="auto"/>
        <w:jc w:val="both"/>
        <w:rPr>
          <w:rFonts w:ascii="Times New Roman" w:hAnsi="Times New Roman" w:cs="Times New Roman"/>
          <w:sz w:val="21"/>
          <w:szCs w:val="21"/>
        </w:rPr>
      </w:pPr>
      <w:proofErr w:type="gramStart"/>
      <w:r>
        <w:rPr>
          <w:rFonts w:ascii="Times New Roman" w:hAnsi="Times New Roman" w:cs="Times New Roman"/>
          <w:sz w:val="21"/>
          <w:szCs w:val="21"/>
        </w:rPr>
        <w:t xml:space="preserve">To </w:t>
      </w:r>
      <w:r w:rsidR="00853539">
        <w:rPr>
          <w:rFonts w:ascii="Times New Roman" w:hAnsi="Times New Roman" w:cs="Times New Roman"/>
          <w:sz w:val="21"/>
          <w:szCs w:val="21"/>
        </w:rPr>
        <w:t xml:space="preserve"> stabilize</w:t>
      </w:r>
      <w:proofErr w:type="gramEnd"/>
      <w:r>
        <w:rPr>
          <w:rFonts w:ascii="Times New Roman" w:hAnsi="Times New Roman" w:cs="Times New Roman"/>
          <w:sz w:val="21"/>
          <w:szCs w:val="21"/>
        </w:rPr>
        <w:t xml:space="preserve"> the situation in the domestic financial and commodity markets, including </w:t>
      </w:r>
      <w:r w:rsidR="00FA49B1">
        <w:rPr>
          <w:rFonts w:ascii="Times New Roman" w:hAnsi="Times New Roman" w:cs="Times New Roman"/>
          <w:sz w:val="21"/>
          <w:szCs w:val="21"/>
        </w:rPr>
        <w:t xml:space="preserve">the </w:t>
      </w:r>
      <w:r>
        <w:rPr>
          <w:rFonts w:ascii="Times New Roman" w:hAnsi="Times New Roman" w:cs="Times New Roman"/>
          <w:sz w:val="21"/>
          <w:szCs w:val="21"/>
        </w:rPr>
        <w:t xml:space="preserve">need to </w:t>
      </w:r>
      <w:r w:rsidR="00853539">
        <w:rPr>
          <w:rFonts w:ascii="Times New Roman" w:hAnsi="Times New Roman" w:cs="Times New Roman"/>
          <w:sz w:val="21"/>
          <w:szCs w:val="21"/>
        </w:rPr>
        <w:t>moderat</w:t>
      </w:r>
      <w:r>
        <w:rPr>
          <w:rFonts w:ascii="Times New Roman" w:hAnsi="Times New Roman" w:cs="Times New Roman"/>
          <w:sz w:val="21"/>
          <w:szCs w:val="21"/>
        </w:rPr>
        <w:t>ing further inflationary pressures and anchoring the inflation expectations around the target, t</w:t>
      </w:r>
      <w:r w:rsidR="004366A8">
        <w:rPr>
          <w:rFonts w:ascii="Times New Roman" w:hAnsi="Times New Roman" w:cs="Times New Roman"/>
          <w:sz w:val="21"/>
          <w:szCs w:val="21"/>
        </w:rPr>
        <w:t xml:space="preserve">he </w:t>
      </w:r>
      <w:r w:rsidR="004366A8" w:rsidRPr="007E66DC">
        <w:rPr>
          <w:rFonts w:ascii="Times New Roman" w:hAnsi="Times New Roman" w:cs="Times New Roman"/>
          <w:sz w:val="21"/>
          <w:szCs w:val="21"/>
        </w:rPr>
        <w:t>C</w:t>
      </w:r>
      <w:r w:rsidR="004366A8">
        <w:rPr>
          <w:rFonts w:ascii="Times New Roman" w:hAnsi="Times New Roman" w:cs="Times New Roman"/>
          <w:sz w:val="21"/>
          <w:szCs w:val="21"/>
        </w:rPr>
        <w:t xml:space="preserve">entral Bank </w:t>
      </w:r>
      <w:r>
        <w:rPr>
          <w:rFonts w:ascii="Times New Roman" w:hAnsi="Times New Roman" w:cs="Times New Roman"/>
          <w:sz w:val="21"/>
          <w:szCs w:val="21"/>
        </w:rPr>
        <w:t>worked out a strong response</w:t>
      </w:r>
      <w:r w:rsidR="004366A8">
        <w:rPr>
          <w:rFonts w:ascii="Times New Roman" w:hAnsi="Times New Roman" w:cs="Times New Roman"/>
          <w:sz w:val="21"/>
          <w:szCs w:val="21"/>
        </w:rPr>
        <w:t xml:space="preserve">. Specifically, in late </w:t>
      </w:r>
      <w:r w:rsidR="004366A8" w:rsidRPr="007E66DC">
        <w:rPr>
          <w:rFonts w:ascii="Times New Roman" w:hAnsi="Times New Roman" w:cs="Times New Roman"/>
          <w:sz w:val="21"/>
          <w:szCs w:val="21"/>
        </w:rPr>
        <w:t xml:space="preserve">November </w:t>
      </w:r>
      <w:r w:rsidR="004366A8">
        <w:rPr>
          <w:rFonts w:ascii="Times New Roman" w:hAnsi="Times New Roman" w:cs="Times New Roman"/>
          <w:sz w:val="21"/>
          <w:szCs w:val="21"/>
        </w:rPr>
        <w:t xml:space="preserve">the Bank </w:t>
      </w:r>
      <w:r w:rsidR="004366A8" w:rsidRPr="007E66DC">
        <w:rPr>
          <w:rFonts w:ascii="Times New Roman" w:hAnsi="Times New Roman" w:cs="Times New Roman"/>
          <w:sz w:val="21"/>
          <w:szCs w:val="21"/>
        </w:rPr>
        <w:t xml:space="preserve">raised the </w:t>
      </w:r>
      <w:r w:rsidR="004366A8" w:rsidRPr="00FB083F">
        <w:rPr>
          <w:rFonts w:ascii="Times New Roman" w:hAnsi="Times New Roman" w:cs="Times New Roman"/>
          <w:b/>
          <w:sz w:val="21"/>
          <w:szCs w:val="21"/>
        </w:rPr>
        <w:t xml:space="preserve">Lombard Repo Facility </w:t>
      </w:r>
      <w:r w:rsidR="004366A8">
        <w:rPr>
          <w:rFonts w:ascii="Times New Roman" w:hAnsi="Times New Roman" w:cs="Times New Roman"/>
          <w:b/>
          <w:sz w:val="21"/>
          <w:szCs w:val="21"/>
        </w:rPr>
        <w:t>R</w:t>
      </w:r>
      <w:r w:rsidR="004366A8" w:rsidRPr="00FB083F">
        <w:rPr>
          <w:rFonts w:ascii="Times New Roman" w:hAnsi="Times New Roman" w:cs="Times New Roman"/>
          <w:b/>
          <w:sz w:val="21"/>
          <w:szCs w:val="21"/>
        </w:rPr>
        <w:t>ate from 8.25 to 21.0%</w:t>
      </w:r>
      <w:r>
        <w:rPr>
          <w:rFonts w:ascii="Times New Roman" w:hAnsi="Times New Roman" w:cs="Times New Roman"/>
          <w:sz w:val="21"/>
          <w:szCs w:val="21"/>
        </w:rPr>
        <w:t>;</w:t>
      </w:r>
      <w:r w:rsidR="004366A8" w:rsidRPr="007E66DC">
        <w:rPr>
          <w:rFonts w:ascii="Times New Roman" w:hAnsi="Times New Roman" w:cs="Times New Roman"/>
          <w:sz w:val="21"/>
          <w:szCs w:val="21"/>
        </w:rPr>
        <w:t xml:space="preserve"> </w:t>
      </w:r>
      <w:r>
        <w:rPr>
          <w:rFonts w:ascii="Times New Roman" w:hAnsi="Times New Roman" w:cs="Times New Roman"/>
          <w:sz w:val="21"/>
          <w:szCs w:val="21"/>
        </w:rPr>
        <w:t>then in</w:t>
      </w:r>
      <w:r w:rsidR="004366A8">
        <w:rPr>
          <w:rFonts w:ascii="Times New Roman" w:hAnsi="Times New Roman" w:cs="Times New Roman"/>
          <w:sz w:val="21"/>
          <w:szCs w:val="21"/>
        </w:rPr>
        <w:t xml:space="preserve"> </w:t>
      </w:r>
      <w:r w:rsidR="004366A8" w:rsidRPr="007E66DC">
        <w:rPr>
          <w:rFonts w:ascii="Times New Roman" w:hAnsi="Times New Roman" w:cs="Times New Roman"/>
          <w:sz w:val="21"/>
          <w:szCs w:val="21"/>
        </w:rPr>
        <w:t xml:space="preserve">mid-December </w:t>
      </w:r>
      <w:r>
        <w:rPr>
          <w:rFonts w:ascii="Times New Roman" w:hAnsi="Times New Roman" w:cs="Times New Roman"/>
          <w:sz w:val="21"/>
          <w:szCs w:val="21"/>
        </w:rPr>
        <w:t xml:space="preserve">it </w:t>
      </w:r>
      <w:r w:rsidR="00853539">
        <w:rPr>
          <w:rFonts w:ascii="Times New Roman" w:hAnsi="Times New Roman" w:cs="Times New Roman"/>
          <w:sz w:val="21"/>
          <w:szCs w:val="21"/>
        </w:rPr>
        <w:t xml:space="preserve">raised </w:t>
      </w:r>
      <w:r w:rsidR="004366A8">
        <w:rPr>
          <w:rFonts w:ascii="Times New Roman" w:hAnsi="Times New Roman" w:cs="Times New Roman"/>
          <w:sz w:val="21"/>
          <w:szCs w:val="21"/>
        </w:rPr>
        <w:t xml:space="preserve">the </w:t>
      </w:r>
      <w:r w:rsidR="004366A8" w:rsidRPr="00FB083F">
        <w:rPr>
          <w:rFonts w:ascii="Times New Roman" w:hAnsi="Times New Roman" w:cs="Times New Roman"/>
          <w:b/>
          <w:sz w:val="21"/>
          <w:szCs w:val="21"/>
        </w:rPr>
        <w:t xml:space="preserve">Reserve Requirement Ratio </w:t>
      </w:r>
      <w:r w:rsidR="004366A8" w:rsidRPr="00732183">
        <w:rPr>
          <w:rFonts w:ascii="Times New Roman" w:hAnsi="Times New Roman" w:cs="Times New Roman"/>
          <w:sz w:val="21"/>
          <w:szCs w:val="21"/>
        </w:rPr>
        <w:t>with regard to funds attracted in foreign currency</w:t>
      </w:r>
      <w:r w:rsidR="004366A8" w:rsidRPr="00FB083F">
        <w:rPr>
          <w:rFonts w:ascii="Times New Roman" w:hAnsi="Times New Roman" w:cs="Times New Roman"/>
          <w:b/>
          <w:sz w:val="21"/>
          <w:szCs w:val="21"/>
        </w:rPr>
        <w:t xml:space="preserve"> from 12.0 to 24.0%</w:t>
      </w:r>
      <w:r w:rsidR="004366A8" w:rsidRPr="007E66DC">
        <w:rPr>
          <w:rFonts w:ascii="Times New Roman" w:hAnsi="Times New Roman" w:cs="Times New Roman"/>
          <w:sz w:val="21"/>
          <w:szCs w:val="21"/>
        </w:rPr>
        <w:t xml:space="preserve">. Note that short-term </w:t>
      </w:r>
      <w:r w:rsidR="004366A8">
        <w:rPr>
          <w:rFonts w:ascii="Times New Roman" w:hAnsi="Times New Roman" w:cs="Times New Roman"/>
          <w:sz w:val="21"/>
          <w:szCs w:val="21"/>
        </w:rPr>
        <w:t>dram</w:t>
      </w:r>
      <w:r w:rsidR="004366A8" w:rsidRPr="007E66DC">
        <w:rPr>
          <w:rFonts w:ascii="Times New Roman" w:hAnsi="Times New Roman" w:cs="Times New Roman"/>
          <w:sz w:val="21"/>
          <w:szCs w:val="21"/>
        </w:rPr>
        <w:t xml:space="preserve"> market rates re</w:t>
      </w:r>
      <w:r w:rsidR="004366A8">
        <w:rPr>
          <w:rFonts w:ascii="Times New Roman" w:hAnsi="Times New Roman" w:cs="Times New Roman"/>
          <w:sz w:val="21"/>
          <w:szCs w:val="21"/>
        </w:rPr>
        <w:t xml:space="preserve">acted to </w:t>
      </w:r>
      <w:r w:rsidR="004366A8" w:rsidRPr="007E66DC">
        <w:rPr>
          <w:rFonts w:ascii="Times New Roman" w:hAnsi="Times New Roman" w:cs="Times New Roman"/>
          <w:sz w:val="21"/>
          <w:szCs w:val="21"/>
        </w:rPr>
        <w:t xml:space="preserve">the </w:t>
      </w:r>
      <w:r w:rsidR="004366A8">
        <w:rPr>
          <w:rFonts w:ascii="Times New Roman" w:hAnsi="Times New Roman" w:cs="Times New Roman"/>
          <w:sz w:val="21"/>
          <w:szCs w:val="21"/>
        </w:rPr>
        <w:t>Ban</w:t>
      </w:r>
      <w:r w:rsidR="004366A8" w:rsidRPr="007E66DC">
        <w:rPr>
          <w:rFonts w:ascii="Times New Roman" w:hAnsi="Times New Roman" w:cs="Times New Roman"/>
          <w:sz w:val="21"/>
          <w:szCs w:val="21"/>
        </w:rPr>
        <w:t xml:space="preserve">k's tightening of financial conditions in the financial market </w:t>
      </w:r>
      <w:r w:rsidR="004366A8">
        <w:rPr>
          <w:rFonts w:ascii="Times New Roman" w:hAnsi="Times New Roman" w:cs="Times New Roman"/>
          <w:sz w:val="21"/>
          <w:szCs w:val="21"/>
        </w:rPr>
        <w:t xml:space="preserve">by rising and </w:t>
      </w:r>
      <w:r w:rsidR="004366A8" w:rsidRPr="006D7C7A">
        <w:rPr>
          <w:rFonts w:ascii="Times New Roman" w:hAnsi="Times New Roman" w:cs="Times New Roman"/>
          <w:b/>
          <w:sz w:val="21"/>
          <w:szCs w:val="21"/>
        </w:rPr>
        <w:t>staying in the time around the</w:t>
      </w:r>
      <w:r w:rsidR="004366A8" w:rsidRPr="007E66DC">
        <w:rPr>
          <w:rFonts w:ascii="Times New Roman" w:hAnsi="Times New Roman" w:cs="Times New Roman"/>
          <w:sz w:val="21"/>
          <w:szCs w:val="21"/>
        </w:rPr>
        <w:t xml:space="preserve"> </w:t>
      </w:r>
      <w:r w:rsidR="004366A8" w:rsidRPr="00FB083F">
        <w:rPr>
          <w:rFonts w:ascii="Times New Roman" w:hAnsi="Times New Roman" w:cs="Times New Roman"/>
          <w:b/>
          <w:sz w:val="21"/>
          <w:szCs w:val="21"/>
        </w:rPr>
        <w:t xml:space="preserve">Lombard Repo Facility </w:t>
      </w:r>
      <w:r w:rsidR="004366A8">
        <w:rPr>
          <w:rFonts w:ascii="Times New Roman" w:hAnsi="Times New Roman" w:cs="Times New Roman"/>
          <w:b/>
          <w:sz w:val="21"/>
          <w:szCs w:val="21"/>
        </w:rPr>
        <w:t>Rate</w:t>
      </w:r>
      <w:r w:rsidR="004366A8">
        <w:rPr>
          <w:rFonts w:ascii="Times New Roman" w:hAnsi="Times New Roman" w:cs="Times New Roman"/>
          <w:sz w:val="21"/>
          <w:szCs w:val="21"/>
        </w:rPr>
        <w:t xml:space="preserve">. </w:t>
      </w:r>
      <w:r w:rsidR="00732183">
        <w:rPr>
          <w:rFonts w:ascii="Times New Roman" w:hAnsi="Times New Roman" w:cs="Times New Roman"/>
          <w:sz w:val="21"/>
          <w:szCs w:val="21"/>
        </w:rPr>
        <w:t>In effect, t</w:t>
      </w:r>
      <w:r w:rsidR="004366A8">
        <w:rPr>
          <w:rFonts w:ascii="Times New Roman" w:hAnsi="Times New Roman" w:cs="Times New Roman"/>
          <w:sz w:val="21"/>
          <w:szCs w:val="21"/>
        </w:rPr>
        <w:t xml:space="preserve">he </w:t>
      </w:r>
      <w:r w:rsidR="004366A8" w:rsidRPr="00FB083F">
        <w:rPr>
          <w:rFonts w:ascii="Times New Roman" w:hAnsi="Times New Roman" w:cs="Times New Roman"/>
          <w:b/>
          <w:sz w:val="21"/>
          <w:szCs w:val="21"/>
        </w:rPr>
        <w:t xml:space="preserve">Lombard Repo Facility </w:t>
      </w:r>
      <w:r w:rsidR="004366A8">
        <w:rPr>
          <w:rFonts w:ascii="Times New Roman" w:hAnsi="Times New Roman" w:cs="Times New Roman"/>
          <w:b/>
          <w:sz w:val="21"/>
          <w:szCs w:val="21"/>
        </w:rPr>
        <w:t>Rate</w:t>
      </w:r>
      <w:r w:rsidR="004366A8">
        <w:rPr>
          <w:rFonts w:ascii="Times New Roman" w:hAnsi="Times New Roman" w:cs="Times New Roman"/>
          <w:sz w:val="21"/>
          <w:szCs w:val="21"/>
        </w:rPr>
        <w:t xml:space="preserve"> </w:t>
      </w:r>
      <w:r w:rsidR="004366A8" w:rsidRPr="00F859A7">
        <w:rPr>
          <w:rFonts w:ascii="Times New Roman" w:hAnsi="Times New Roman" w:cs="Times New Roman"/>
          <w:b/>
          <w:sz w:val="21"/>
          <w:szCs w:val="21"/>
        </w:rPr>
        <w:t xml:space="preserve">has taken, since the yearend, the role of financial market's </w:t>
      </w:r>
      <w:r w:rsidR="00853539">
        <w:rPr>
          <w:rFonts w:ascii="Times New Roman" w:hAnsi="Times New Roman" w:cs="Times New Roman"/>
          <w:b/>
          <w:sz w:val="21"/>
          <w:szCs w:val="21"/>
        </w:rPr>
        <w:t>leading interest</w:t>
      </w:r>
      <w:r w:rsidR="00853539" w:rsidRPr="00F859A7">
        <w:rPr>
          <w:rFonts w:ascii="Times New Roman" w:hAnsi="Times New Roman" w:cs="Times New Roman"/>
          <w:b/>
          <w:sz w:val="21"/>
          <w:szCs w:val="21"/>
        </w:rPr>
        <w:t xml:space="preserve"> </w:t>
      </w:r>
      <w:r w:rsidR="004366A8" w:rsidRPr="00F859A7">
        <w:rPr>
          <w:rFonts w:ascii="Times New Roman" w:hAnsi="Times New Roman" w:cs="Times New Roman"/>
          <w:b/>
          <w:sz w:val="21"/>
          <w:szCs w:val="21"/>
        </w:rPr>
        <w:t>rate</w:t>
      </w:r>
      <w:r w:rsidR="004366A8">
        <w:rPr>
          <w:rFonts w:ascii="Times New Roman" w:hAnsi="Times New Roman" w:cs="Times New Roman"/>
          <w:sz w:val="21"/>
          <w:szCs w:val="21"/>
        </w:rPr>
        <w:t>. Following t</w:t>
      </w:r>
      <w:r w:rsidR="004366A8" w:rsidRPr="007E66DC">
        <w:rPr>
          <w:rFonts w:ascii="Times New Roman" w:hAnsi="Times New Roman" w:cs="Times New Roman"/>
          <w:sz w:val="21"/>
          <w:szCs w:val="21"/>
        </w:rPr>
        <w:t xml:space="preserve">hese </w:t>
      </w:r>
      <w:r w:rsidR="004366A8">
        <w:rPr>
          <w:rFonts w:ascii="Times New Roman" w:hAnsi="Times New Roman" w:cs="Times New Roman"/>
          <w:sz w:val="21"/>
          <w:szCs w:val="21"/>
        </w:rPr>
        <w:t xml:space="preserve">actions, the </w:t>
      </w:r>
      <w:r w:rsidR="004366A8" w:rsidRPr="007E66DC">
        <w:rPr>
          <w:rFonts w:ascii="Times New Roman" w:hAnsi="Times New Roman" w:cs="Times New Roman"/>
          <w:sz w:val="21"/>
          <w:szCs w:val="21"/>
        </w:rPr>
        <w:t xml:space="preserve">currency and </w:t>
      </w:r>
      <w:r w:rsidR="004366A8">
        <w:rPr>
          <w:rFonts w:ascii="Times New Roman" w:hAnsi="Times New Roman" w:cs="Times New Roman"/>
          <w:sz w:val="21"/>
          <w:szCs w:val="21"/>
        </w:rPr>
        <w:t xml:space="preserve">product </w:t>
      </w:r>
      <w:r w:rsidR="004366A8" w:rsidRPr="007E66DC">
        <w:rPr>
          <w:rFonts w:ascii="Times New Roman" w:hAnsi="Times New Roman" w:cs="Times New Roman"/>
          <w:sz w:val="21"/>
          <w:szCs w:val="21"/>
        </w:rPr>
        <w:t xml:space="preserve">markets </w:t>
      </w:r>
      <w:r w:rsidR="004366A8">
        <w:rPr>
          <w:rFonts w:ascii="Times New Roman" w:hAnsi="Times New Roman" w:cs="Times New Roman"/>
          <w:sz w:val="21"/>
          <w:szCs w:val="21"/>
        </w:rPr>
        <w:t xml:space="preserve">were able to see some </w:t>
      </w:r>
      <w:r w:rsidR="004366A8" w:rsidRPr="007E66DC">
        <w:rPr>
          <w:rFonts w:ascii="Times New Roman" w:hAnsi="Times New Roman" w:cs="Times New Roman"/>
          <w:sz w:val="21"/>
          <w:szCs w:val="21"/>
        </w:rPr>
        <w:t>signs of stabilization</w:t>
      </w:r>
      <w:r w:rsidR="004366A8">
        <w:rPr>
          <w:rFonts w:ascii="Times New Roman" w:hAnsi="Times New Roman" w:cs="Times New Roman"/>
          <w:sz w:val="21"/>
          <w:szCs w:val="21"/>
        </w:rPr>
        <w:t xml:space="preserve">, which is why </w:t>
      </w:r>
      <w:r w:rsidR="004366A8" w:rsidRPr="007E66DC">
        <w:rPr>
          <w:rFonts w:ascii="Times New Roman" w:hAnsi="Times New Roman" w:cs="Times New Roman"/>
          <w:sz w:val="21"/>
          <w:szCs w:val="21"/>
        </w:rPr>
        <w:t xml:space="preserve">in late December the Central Bank lowered the </w:t>
      </w:r>
      <w:r w:rsidR="004366A8" w:rsidRPr="00802EBB">
        <w:rPr>
          <w:rFonts w:ascii="Times New Roman" w:hAnsi="Times New Roman" w:cs="Times New Roman"/>
          <w:b/>
          <w:sz w:val="21"/>
          <w:szCs w:val="21"/>
        </w:rPr>
        <w:t>Reserve Requirement Ratio</w:t>
      </w:r>
      <w:r w:rsidR="004366A8">
        <w:rPr>
          <w:rFonts w:ascii="Times New Roman" w:hAnsi="Times New Roman" w:cs="Times New Roman"/>
          <w:sz w:val="21"/>
          <w:szCs w:val="21"/>
        </w:rPr>
        <w:t xml:space="preserve"> </w:t>
      </w:r>
      <w:r w:rsidR="004366A8" w:rsidRPr="00FB083F">
        <w:rPr>
          <w:rFonts w:ascii="Times New Roman" w:hAnsi="Times New Roman" w:cs="Times New Roman"/>
          <w:b/>
          <w:sz w:val="21"/>
          <w:szCs w:val="21"/>
        </w:rPr>
        <w:t>with re</w:t>
      </w:r>
      <w:r w:rsidR="004366A8">
        <w:rPr>
          <w:rFonts w:ascii="Times New Roman" w:hAnsi="Times New Roman" w:cs="Times New Roman"/>
          <w:b/>
          <w:sz w:val="21"/>
          <w:szCs w:val="21"/>
        </w:rPr>
        <w:t>gard to</w:t>
      </w:r>
      <w:r w:rsidR="004366A8" w:rsidRPr="00FB083F">
        <w:rPr>
          <w:rFonts w:ascii="Times New Roman" w:hAnsi="Times New Roman" w:cs="Times New Roman"/>
          <w:b/>
          <w:sz w:val="21"/>
          <w:szCs w:val="21"/>
        </w:rPr>
        <w:t xml:space="preserve"> funds attracted in foreign currency</w:t>
      </w:r>
      <w:r w:rsidR="004366A8" w:rsidRPr="007E66DC">
        <w:rPr>
          <w:rFonts w:ascii="Times New Roman" w:hAnsi="Times New Roman" w:cs="Times New Roman"/>
          <w:sz w:val="21"/>
          <w:szCs w:val="21"/>
        </w:rPr>
        <w:t xml:space="preserve"> </w:t>
      </w:r>
      <w:r w:rsidR="004366A8">
        <w:rPr>
          <w:rFonts w:ascii="Times New Roman" w:hAnsi="Times New Roman" w:cs="Times New Roman"/>
          <w:sz w:val="21"/>
          <w:szCs w:val="21"/>
        </w:rPr>
        <w:t xml:space="preserve">from </w:t>
      </w:r>
      <w:r w:rsidR="004366A8" w:rsidRPr="00802EBB">
        <w:rPr>
          <w:rFonts w:ascii="Times New Roman" w:hAnsi="Times New Roman" w:cs="Times New Roman"/>
          <w:b/>
          <w:sz w:val="21"/>
          <w:szCs w:val="21"/>
        </w:rPr>
        <w:t>24.0</w:t>
      </w:r>
      <w:r w:rsidR="004366A8" w:rsidRPr="007E66DC">
        <w:rPr>
          <w:rFonts w:ascii="Times New Roman" w:hAnsi="Times New Roman" w:cs="Times New Roman"/>
          <w:sz w:val="21"/>
          <w:szCs w:val="21"/>
        </w:rPr>
        <w:t xml:space="preserve"> </w:t>
      </w:r>
      <w:r w:rsidR="004366A8">
        <w:rPr>
          <w:rFonts w:ascii="Times New Roman" w:hAnsi="Times New Roman" w:cs="Times New Roman"/>
          <w:sz w:val="21"/>
          <w:szCs w:val="21"/>
        </w:rPr>
        <w:t>to</w:t>
      </w:r>
      <w:r w:rsidR="004366A8" w:rsidRPr="007E66DC">
        <w:rPr>
          <w:rFonts w:ascii="Times New Roman" w:hAnsi="Times New Roman" w:cs="Times New Roman"/>
          <w:sz w:val="21"/>
          <w:szCs w:val="21"/>
        </w:rPr>
        <w:t xml:space="preserve"> </w:t>
      </w:r>
      <w:r w:rsidR="004366A8" w:rsidRPr="00802EBB">
        <w:rPr>
          <w:rFonts w:ascii="Times New Roman" w:hAnsi="Times New Roman" w:cs="Times New Roman"/>
          <w:b/>
          <w:sz w:val="21"/>
          <w:szCs w:val="21"/>
        </w:rPr>
        <w:t>20.0%</w:t>
      </w:r>
      <w:r w:rsidR="004366A8">
        <w:rPr>
          <w:rFonts w:ascii="Times New Roman" w:hAnsi="Times New Roman" w:cs="Times New Roman"/>
          <w:sz w:val="21"/>
          <w:szCs w:val="21"/>
        </w:rPr>
        <w:t xml:space="preserve"> and the </w:t>
      </w:r>
      <w:r w:rsidR="004366A8" w:rsidRPr="00FB083F">
        <w:rPr>
          <w:rFonts w:ascii="Times New Roman" w:hAnsi="Times New Roman" w:cs="Times New Roman"/>
          <w:b/>
          <w:sz w:val="21"/>
          <w:szCs w:val="21"/>
        </w:rPr>
        <w:t xml:space="preserve">Lombard Repo Facility </w:t>
      </w:r>
      <w:r w:rsidR="004366A8">
        <w:rPr>
          <w:rFonts w:ascii="Times New Roman" w:hAnsi="Times New Roman" w:cs="Times New Roman"/>
          <w:b/>
          <w:sz w:val="21"/>
          <w:szCs w:val="21"/>
        </w:rPr>
        <w:t>Rate</w:t>
      </w:r>
      <w:r w:rsidR="004366A8" w:rsidRPr="007E66DC">
        <w:rPr>
          <w:rFonts w:ascii="Times New Roman" w:hAnsi="Times New Roman" w:cs="Times New Roman"/>
          <w:sz w:val="21"/>
          <w:szCs w:val="21"/>
        </w:rPr>
        <w:t xml:space="preserve"> </w:t>
      </w:r>
      <w:r w:rsidR="004366A8">
        <w:rPr>
          <w:rFonts w:ascii="Times New Roman" w:hAnsi="Times New Roman" w:cs="Times New Roman"/>
          <w:sz w:val="21"/>
          <w:szCs w:val="21"/>
        </w:rPr>
        <w:t xml:space="preserve">from </w:t>
      </w:r>
      <w:r w:rsidR="004366A8" w:rsidRPr="00802EBB">
        <w:rPr>
          <w:rFonts w:ascii="Times New Roman" w:hAnsi="Times New Roman" w:cs="Times New Roman"/>
          <w:b/>
          <w:sz w:val="21"/>
          <w:szCs w:val="21"/>
        </w:rPr>
        <w:t>21.0</w:t>
      </w:r>
      <w:r w:rsidR="004366A8">
        <w:rPr>
          <w:rFonts w:ascii="Times New Roman" w:hAnsi="Times New Roman" w:cs="Times New Roman"/>
          <w:sz w:val="21"/>
          <w:szCs w:val="21"/>
        </w:rPr>
        <w:t xml:space="preserve"> to </w:t>
      </w:r>
      <w:r w:rsidR="004366A8" w:rsidRPr="00802EBB">
        <w:rPr>
          <w:rFonts w:ascii="Times New Roman" w:hAnsi="Times New Roman" w:cs="Times New Roman"/>
          <w:b/>
          <w:sz w:val="21"/>
          <w:szCs w:val="21"/>
        </w:rPr>
        <w:t>20.0%</w:t>
      </w:r>
      <w:r w:rsidR="004366A8">
        <w:rPr>
          <w:rFonts w:ascii="Times New Roman" w:hAnsi="Times New Roman" w:cs="Times New Roman"/>
          <w:sz w:val="21"/>
          <w:szCs w:val="21"/>
        </w:rPr>
        <w:t xml:space="preserve">. In early 2015, the </w:t>
      </w:r>
      <w:r w:rsidR="004366A8" w:rsidRPr="003916F1">
        <w:rPr>
          <w:rFonts w:ascii="Times New Roman" w:hAnsi="Times New Roman" w:cs="Times New Roman"/>
          <w:sz w:val="21"/>
          <w:szCs w:val="21"/>
        </w:rPr>
        <w:t>Lombard Repo Facility Rate</w:t>
      </w:r>
      <w:r w:rsidR="004366A8" w:rsidRPr="007E66DC">
        <w:rPr>
          <w:rFonts w:ascii="Times New Roman" w:hAnsi="Times New Roman" w:cs="Times New Roman"/>
          <w:sz w:val="21"/>
          <w:szCs w:val="21"/>
        </w:rPr>
        <w:t xml:space="preserve"> </w:t>
      </w:r>
      <w:r w:rsidR="004366A8">
        <w:rPr>
          <w:rFonts w:ascii="Times New Roman" w:hAnsi="Times New Roman" w:cs="Times New Roman"/>
          <w:sz w:val="21"/>
          <w:szCs w:val="21"/>
        </w:rPr>
        <w:t xml:space="preserve">was reduced further to </w:t>
      </w:r>
      <w:r w:rsidR="004366A8" w:rsidRPr="003916F1">
        <w:rPr>
          <w:rFonts w:ascii="Times New Roman" w:hAnsi="Times New Roman" w:cs="Times New Roman"/>
          <w:b/>
          <w:sz w:val="21"/>
          <w:szCs w:val="21"/>
        </w:rPr>
        <w:t>14.5%</w:t>
      </w:r>
      <w:r w:rsidR="004366A8">
        <w:rPr>
          <w:rFonts w:ascii="Times New Roman" w:hAnsi="Times New Roman" w:cs="Times New Roman"/>
          <w:sz w:val="21"/>
          <w:szCs w:val="21"/>
        </w:rPr>
        <w:t xml:space="preserve">, which </w:t>
      </w:r>
      <w:r w:rsidR="00732183">
        <w:rPr>
          <w:rFonts w:ascii="Times New Roman" w:hAnsi="Times New Roman" w:cs="Times New Roman"/>
          <w:sz w:val="21"/>
          <w:szCs w:val="21"/>
        </w:rPr>
        <w:t xml:space="preserve">easily pushed </w:t>
      </w:r>
      <w:r w:rsidR="004366A8" w:rsidRPr="007E66DC">
        <w:rPr>
          <w:rFonts w:ascii="Times New Roman" w:hAnsi="Times New Roman" w:cs="Times New Roman"/>
          <w:sz w:val="21"/>
          <w:szCs w:val="21"/>
        </w:rPr>
        <w:t xml:space="preserve">short-term </w:t>
      </w:r>
      <w:r w:rsidR="004366A8">
        <w:rPr>
          <w:rFonts w:ascii="Times New Roman" w:hAnsi="Times New Roman" w:cs="Times New Roman"/>
          <w:sz w:val="21"/>
          <w:szCs w:val="21"/>
        </w:rPr>
        <w:t>dram</w:t>
      </w:r>
      <w:r w:rsidR="004366A8" w:rsidRPr="007E66DC">
        <w:rPr>
          <w:rFonts w:ascii="Times New Roman" w:hAnsi="Times New Roman" w:cs="Times New Roman"/>
          <w:sz w:val="21"/>
          <w:szCs w:val="21"/>
        </w:rPr>
        <w:t xml:space="preserve"> market rates </w:t>
      </w:r>
      <w:r w:rsidR="004366A8">
        <w:rPr>
          <w:rFonts w:ascii="Times New Roman" w:hAnsi="Times New Roman" w:cs="Times New Roman"/>
          <w:sz w:val="21"/>
          <w:szCs w:val="21"/>
        </w:rPr>
        <w:t xml:space="preserve">down. </w:t>
      </w:r>
    </w:p>
    <w:p w14:paraId="13D407E6" w14:textId="48F9222C" w:rsidR="004366A8" w:rsidRDefault="004366A8" w:rsidP="004366A8">
      <w:pPr>
        <w:spacing w:line="360" w:lineRule="auto"/>
        <w:jc w:val="both"/>
        <w:rPr>
          <w:rFonts w:ascii="Times New Roman" w:hAnsi="Times New Roman" w:cs="Times New Roman"/>
          <w:sz w:val="21"/>
          <w:szCs w:val="21"/>
        </w:rPr>
      </w:pPr>
      <w:r w:rsidRPr="00F538B8">
        <w:rPr>
          <w:rFonts w:ascii="Times New Roman" w:hAnsi="Times New Roman" w:cs="Times New Roman"/>
          <w:sz w:val="21"/>
          <w:szCs w:val="21"/>
        </w:rPr>
        <w:lastRenderedPageBreak/>
        <w:t xml:space="preserve">At the same time, </w:t>
      </w:r>
      <w:r>
        <w:rPr>
          <w:rFonts w:ascii="Times New Roman" w:hAnsi="Times New Roman" w:cs="Times New Roman"/>
          <w:sz w:val="21"/>
          <w:szCs w:val="21"/>
        </w:rPr>
        <w:t xml:space="preserve">to </w:t>
      </w:r>
      <w:r w:rsidR="00853539">
        <w:rPr>
          <w:rFonts w:ascii="Times New Roman" w:hAnsi="Times New Roman" w:cs="Times New Roman"/>
          <w:sz w:val="21"/>
          <w:szCs w:val="21"/>
        </w:rPr>
        <w:t xml:space="preserve">moderate </w:t>
      </w:r>
      <w:r w:rsidRPr="00F538B8">
        <w:rPr>
          <w:rFonts w:ascii="Times New Roman" w:hAnsi="Times New Roman" w:cs="Times New Roman"/>
          <w:sz w:val="21"/>
          <w:szCs w:val="21"/>
        </w:rPr>
        <w:t xml:space="preserve">future inflationary pressures and </w:t>
      </w:r>
      <w:r>
        <w:rPr>
          <w:rFonts w:ascii="Times New Roman" w:hAnsi="Times New Roman" w:cs="Times New Roman"/>
          <w:sz w:val="21"/>
          <w:szCs w:val="21"/>
        </w:rPr>
        <w:t xml:space="preserve">have the </w:t>
      </w:r>
      <w:r w:rsidRPr="00F538B8">
        <w:rPr>
          <w:rFonts w:ascii="Times New Roman" w:hAnsi="Times New Roman" w:cs="Times New Roman"/>
          <w:sz w:val="21"/>
          <w:szCs w:val="21"/>
        </w:rPr>
        <w:t>inflationary expectations anchored around the target</w:t>
      </w:r>
      <w:r>
        <w:rPr>
          <w:rFonts w:ascii="Times New Roman" w:hAnsi="Times New Roman" w:cs="Times New Roman"/>
          <w:sz w:val="21"/>
          <w:szCs w:val="21"/>
        </w:rPr>
        <w:t>, in</w:t>
      </w:r>
      <w:r w:rsidRPr="00F538B8">
        <w:rPr>
          <w:rFonts w:ascii="Times New Roman" w:hAnsi="Times New Roman" w:cs="Times New Roman"/>
          <w:sz w:val="21"/>
          <w:szCs w:val="21"/>
        </w:rPr>
        <w:t xml:space="preserve"> late December the Central Bank</w:t>
      </w:r>
      <w:r>
        <w:rPr>
          <w:rFonts w:ascii="Times New Roman" w:hAnsi="Times New Roman" w:cs="Times New Roman"/>
          <w:sz w:val="21"/>
          <w:szCs w:val="21"/>
        </w:rPr>
        <w:t xml:space="preserve"> </w:t>
      </w:r>
      <w:r w:rsidRPr="00F538B8">
        <w:rPr>
          <w:rFonts w:ascii="Times New Roman" w:hAnsi="Times New Roman" w:cs="Times New Roman"/>
          <w:sz w:val="21"/>
          <w:szCs w:val="21"/>
        </w:rPr>
        <w:t xml:space="preserve">raised </w:t>
      </w:r>
      <w:r>
        <w:rPr>
          <w:rFonts w:ascii="Times New Roman" w:hAnsi="Times New Roman" w:cs="Times New Roman"/>
          <w:sz w:val="21"/>
          <w:szCs w:val="21"/>
        </w:rPr>
        <w:t>the</w:t>
      </w:r>
      <w:r w:rsidRPr="00F538B8">
        <w:rPr>
          <w:rFonts w:ascii="Times New Roman" w:hAnsi="Times New Roman" w:cs="Times New Roman"/>
          <w:sz w:val="21"/>
          <w:szCs w:val="21"/>
        </w:rPr>
        <w:t xml:space="preserve"> </w:t>
      </w:r>
      <w:r>
        <w:rPr>
          <w:rFonts w:ascii="Times New Roman" w:hAnsi="Times New Roman" w:cs="Times New Roman"/>
          <w:sz w:val="21"/>
          <w:szCs w:val="21"/>
        </w:rPr>
        <w:t>R</w:t>
      </w:r>
      <w:r w:rsidRPr="00F538B8">
        <w:rPr>
          <w:rFonts w:ascii="Times New Roman" w:hAnsi="Times New Roman" w:cs="Times New Roman"/>
          <w:sz w:val="21"/>
          <w:szCs w:val="21"/>
        </w:rPr>
        <w:t xml:space="preserve">efinancing </w:t>
      </w:r>
      <w:r>
        <w:rPr>
          <w:rFonts w:ascii="Times New Roman" w:hAnsi="Times New Roman" w:cs="Times New Roman"/>
          <w:sz w:val="21"/>
          <w:szCs w:val="21"/>
        </w:rPr>
        <w:t>R</w:t>
      </w:r>
      <w:r w:rsidRPr="00F538B8">
        <w:rPr>
          <w:rFonts w:ascii="Times New Roman" w:hAnsi="Times New Roman" w:cs="Times New Roman"/>
          <w:sz w:val="21"/>
          <w:szCs w:val="21"/>
        </w:rPr>
        <w:t xml:space="preserve">ate by 1.75 </w:t>
      </w:r>
      <w:r w:rsidR="00106258">
        <w:rPr>
          <w:rFonts w:ascii="Times New Roman" w:hAnsi="Times New Roman" w:cs="Times New Roman"/>
          <w:sz w:val="21"/>
          <w:szCs w:val="21"/>
        </w:rPr>
        <w:t>pp</w:t>
      </w:r>
      <w:r w:rsidR="00FA49B1">
        <w:rPr>
          <w:rFonts w:ascii="Times New Roman" w:hAnsi="Times New Roman" w:cs="Times New Roman"/>
          <w:sz w:val="21"/>
          <w:szCs w:val="21"/>
        </w:rPr>
        <w:t>.</w:t>
      </w:r>
      <w:r>
        <w:rPr>
          <w:rFonts w:ascii="Times New Roman" w:hAnsi="Times New Roman" w:cs="Times New Roman"/>
          <w:sz w:val="21"/>
          <w:szCs w:val="21"/>
        </w:rPr>
        <w:t xml:space="preserve"> In early </w:t>
      </w:r>
      <w:r w:rsidRPr="00F538B8">
        <w:rPr>
          <w:rFonts w:ascii="Times New Roman" w:hAnsi="Times New Roman" w:cs="Times New Roman"/>
          <w:sz w:val="21"/>
          <w:szCs w:val="21"/>
        </w:rPr>
        <w:t>2015</w:t>
      </w:r>
      <w:r>
        <w:rPr>
          <w:rFonts w:ascii="Times New Roman" w:hAnsi="Times New Roman" w:cs="Times New Roman"/>
          <w:sz w:val="21"/>
          <w:szCs w:val="21"/>
        </w:rPr>
        <w:t>,</w:t>
      </w:r>
      <w:r w:rsidRPr="00F538B8">
        <w:rPr>
          <w:rFonts w:ascii="Times New Roman" w:hAnsi="Times New Roman" w:cs="Times New Roman"/>
          <w:sz w:val="21"/>
          <w:szCs w:val="21"/>
        </w:rPr>
        <w:t xml:space="preserve"> the </w:t>
      </w:r>
      <w:r>
        <w:rPr>
          <w:rFonts w:ascii="Times New Roman" w:hAnsi="Times New Roman" w:cs="Times New Roman"/>
          <w:sz w:val="21"/>
          <w:szCs w:val="21"/>
        </w:rPr>
        <w:t>R</w:t>
      </w:r>
      <w:r w:rsidRPr="00F538B8">
        <w:rPr>
          <w:rFonts w:ascii="Times New Roman" w:hAnsi="Times New Roman" w:cs="Times New Roman"/>
          <w:sz w:val="21"/>
          <w:szCs w:val="21"/>
        </w:rPr>
        <w:t xml:space="preserve">efinancing </w:t>
      </w:r>
      <w:r>
        <w:rPr>
          <w:rFonts w:ascii="Times New Roman" w:hAnsi="Times New Roman" w:cs="Times New Roman"/>
          <w:sz w:val="21"/>
          <w:szCs w:val="21"/>
        </w:rPr>
        <w:t>R</w:t>
      </w:r>
      <w:r w:rsidRPr="00F538B8">
        <w:rPr>
          <w:rFonts w:ascii="Times New Roman" w:hAnsi="Times New Roman" w:cs="Times New Roman"/>
          <w:sz w:val="21"/>
          <w:szCs w:val="21"/>
        </w:rPr>
        <w:t xml:space="preserve">ate </w:t>
      </w:r>
      <w:r>
        <w:rPr>
          <w:rFonts w:ascii="Times New Roman" w:hAnsi="Times New Roman" w:cs="Times New Roman"/>
          <w:sz w:val="21"/>
          <w:szCs w:val="21"/>
        </w:rPr>
        <w:t>was further increased to</w:t>
      </w:r>
      <w:r w:rsidRPr="00F538B8">
        <w:rPr>
          <w:rFonts w:ascii="Times New Roman" w:hAnsi="Times New Roman" w:cs="Times New Roman"/>
          <w:sz w:val="21"/>
          <w:szCs w:val="21"/>
        </w:rPr>
        <w:t xml:space="preserve"> 10.5%, reflecting </w:t>
      </w:r>
      <w:r w:rsidR="00853539">
        <w:rPr>
          <w:rFonts w:ascii="Times New Roman" w:hAnsi="Times New Roman" w:cs="Times New Roman"/>
          <w:sz w:val="21"/>
          <w:szCs w:val="21"/>
        </w:rPr>
        <w:t xml:space="preserve">upward </w:t>
      </w:r>
      <w:r>
        <w:rPr>
          <w:rFonts w:ascii="Times New Roman" w:hAnsi="Times New Roman" w:cs="Times New Roman"/>
          <w:sz w:val="21"/>
          <w:szCs w:val="21"/>
        </w:rPr>
        <w:t xml:space="preserve">trends of </w:t>
      </w:r>
      <w:r w:rsidRPr="00F538B8">
        <w:rPr>
          <w:rFonts w:ascii="Times New Roman" w:hAnsi="Times New Roman" w:cs="Times New Roman"/>
          <w:sz w:val="21"/>
          <w:szCs w:val="21"/>
        </w:rPr>
        <w:t>investment risk</w:t>
      </w:r>
      <w:r w:rsidR="00853539">
        <w:rPr>
          <w:rFonts w:ascii="Times New Roman" w:hAnsi="Times New Roman" w:cs="Times New Roman"/>
          <w:sz w:val="21"/>
          <w:szCs w:val="21"/>
        </w:rPr>
        <w:t>s</w:t>
      </w:r>
      <w:r w:rsidRPr="00F538B8">
        <w:rPr>
          <w:rFonts w:ascii="Times New Roman" w:hAnsi="Times New Roman" w:cs="Times New Roman"/>
          <w:sz w:val="21"/>
          <w:szCs w:val="21"/>
        </w:rPr>
        <w:t xml:space="preserve"> and interest </w:t>
      </w:r>
      <w:proofErr w:type="gramStart"/>
      <w:r w:rsidRPr="00F538B8">
        <w:rPr>
          <w:rFonts w:ascii="Times New Roman" w:hAnsi="Times New Roman" w:cs="Times New Roman"/>
          <w:sz w:val="21"/>
          <w:szCs w:val="21"/>
        </w:rPr>
        <w:t>rate</w:t>
      </w:r>
      <w:r w:rsidR="00853539">
        <w:rPr>
          <w:rFonts w:ascii="Times New Roman" w:hAnsi="Times New Roman" w:cs="Times New Roman"/>
          <w:sz w:val="21"/>
          <w:szCs w:val="21"/>
        </w:rPr>
        <w:t xml:space="preserve">s </w:t>
      </w:r>
      <w:r>
        <w:rPr>
          <w:rFonts w:ascii="Times New Roman" w:hAnsi="Times New Roman" w:cs="Times New Roman"/>
          <w:sz w:val="21"/>
          <w:szCs w:val="21"/>
        </w:rPr>
        <w:t xml:space="preserve"> </w:t>
      </w:r>
      <w:r w:rsidRPr="00F538B8">
        <w:rPr>
          <w:rFonts w:ascii="Times New Roman" w:hAnsi="Times New Roman" w:cs="Times New Roman"/>
          <w:sz w:val="21"/>
          <w:szCs w:val="21"/>
        </w:rPr>
        <w:t>in</w:t>
      </w:r>
      <w:proofErr w:type="gramEnd"/>
      <w:r w:rsidRPr="00F538B8">
        <w:rPr>
          <w:rFonts w:ascii="Times New Roman" w:hAnsi="Times New Roman" w:cs="Times New Roman"/>
          <w:sz w:val="21"/>
          <w:szCs w:val="21"/>
        </w:rPr>
        <w:t xml:space="preserve"> developing countries over </w:t>
      </w:r>
      <w:r>
        <w:rPr>
          <w:rFonts w:ascii="Times New Roman" w:hAnsi="Times New Roman" w:cs="Times New Roman"/>
          <w:sz w:val="21"/>
          <w:szCs w:val="21"/>
        </w:rPr>
        <w:t>a</w:t>
      </w:r>
      <w:r w:rsidRPr="00F538B8">
        <w:rPr>
          <w:rFonts w:ascii="Times New Roman" w:hAnsi="Times New Roman" w:cs="Times New Roman"/>
          <w:sz w:val="21"/>
          <w:szCs w:val="21"/>
        </w:rPr>
        <w:t xml:space="preserve"> long</w:t>
      </w:r>
      <w:r>
        <w:rPr>
          <w:rFonts w:ascii="Times New Roman" w:hAnsi="Times New Roman" w:cs="Times New Roman"/>
          <w:sz w:val="21"/>
          <w:szCs w:val="21"/>
        </w:rPr>
        <w:t xml:space="preserve">er </w:t>
      </w:r>
      <w:r w:rsidR="007E7EC8">
        <w:rPr>
          <w:rFonts w:ascii="Times New Roman" w:hAnsi="Times New Roman" w:cs="Times New Roman"/>
          <w:sz w:val="21"/>
          <w:szCs w:val="21"/>
        </w:rPr>
        <w:t>term</w:t>
      </w:r>
      <w:r>
        <w:rPr>
          <w:rFonts w:ascii="Times New Roman" w:hAnsi="Times New Roman" w:cs="Times New Roman"/>
          <w:sz w:val="21"/>
          <w:szCs w:val="21"/>
        </w:rPr>
        <w:t>.</w:t>
      </w:r>
    </w:p>
    <w:p w14:paraId="483FBECC" w14:textId="77777777" w:rsidR="002A3F68" w:rsidRDefault="002A3F68" w:rsidP="004366A8">
      <w:pPr>
        <w:spacing w:line="360" w:lineRule="auto"/>
        <w:jc w:val="both"/>
        <w:rPr>
          <w:rFonts w:ascii="Times New Roman" w:hAnsi="Times New Roman" w:cs="Times New Roman"/>
          <w:b/>
          <w:bCs/>
          <w:iCs/>
          <w:color w:val="0070C0"/>
          <w:sz w:val="18"/>
          <w:szCs w:val="18"/>
        </w:rPr>
      </w:pPr>
      <w:r w:rsidRPr="002A3F68">
        <w:rPr>
          <w:rFonts w:ascii="Times New Roman" w:hAnsi="Times New Roman" w:cs="Times New Roman"/>
          <w:b/>
          <w:bCs/>
          <w:iCs/>
          <w:color w:val="0070C0"/>
          <w:sz w:val="18"/>
          <w:szCs w:val="18"/>
        </w:rPr>
        <w:t xml:space="preserve">The economic growth will slow down against 2014 and be in the range </w:t>
      </w:r>
      <w:r w:rsidR="00FA49B1">
        <w:rPr>
          <w:rFonts w:ascii="Times New Roman" w:hAnsi="Times New Roman" w:cs="Times New Roman"/>
          <w:b/>
          <w:bCs/>
          <w:iCs/>
          <w:color w:val="0070C0"/>
          <w:sz w:val="18"/>
          <w:szCs w:val="18"/>
        </w:rPr>
        <w:t xml:space="preserve">of </w:t>
      </w:r>
      <w:r w:rsidRPr="002A3F68">
        <w:rPr>
          <w:rFonts w:ascii="Times New Roman" w:hAnsi="Times New Roman" w:cs="Times New Roman"/>
          <w:b/>
          <w:bCs/>
          <w:iCs/>
          <w:color w:val="0070C0"/>
          <w:sz w:val="18"/>
          <w:szCs w:val="18"/>
        </w:rPr>
        <w:t>0.4</w:t>
      </w:r>
      <w:r w:rsidR="00FA49B1">
        <w:rPr>
          <w:rFonts w:ascii="Times New Roman" w:hAnsi="Times New Roman" w:cs="Times New Roman"/>
          <w:b/>
          <w:bCs/>
          <w:iCs/>
          <w:color w:val="0070C0"/>
          <w:sz w:val="18"/>
          <w:szCs w:val="18"/>
        </w:rPr>
        <w:t>%</w:t>
      </w:r>
      <w:r w:rsidRPr="002A3F68">
        <w:rPr>
          <w:rFonts w:ascii="Times New Roman" w:hAnsi="Times New Roman" w:cs="Times New Roman"/>
          <w:b/>
          <w:bCs/>
          <w:iCs/>
          <w:color w:val="0070C0"/>
          <w:sz w:val="18"/>
          <w:szCs w:val="18"/>
        </w:rPr>
        <w:t>-2.0% in 2015</w:t>
      </w:r>
      <w:r>
        <w:rPr>
          <w:rFonts w:ascii="Times New Roman" w:hAnsi="Times New Roman" w:cs="Times New Roman"/>
          <w:b/>
          <w:bCs/>
          <w:iCs/>
          <w:color w:val="0070C0"/>
          <w:sz w:val="18"/>
          <w:szCs w:val="18"/>
        </w:rPr>
        <w:t>…</w:t>
      </w:r>
    </w:p>
    <w:p w14:paraId="50877372" w14:textId="77777777" w:rsidR="00EF2C71" w:rsidRPr="00EF2C71" w:rsidRDefault="00EF2C71" w:rsidP="004366A8">
      <w:pPr>
        <w:spacing w:line="360" w:lineRule="auto"/>
        <w:jc w:val="both"/>
        <w:rPr>
          <w:rFonts w:ascii="Times New Roman" w:hAnsi="Times New Roman" w:cs="Times New Roman"/>
          <w:b/>
          <w:bCs/>
          <w:iCs/>
          <w:color w:val="0070C0"/>
          <w:sz w:val="18"/>
          <w:szCs w:val="18"/>
        </w:rPr>
      </w:pPr>
      <w:r w:rsidRPr="00EF2C71">
        <w:rPr>
          <w:rFonts w:ascii="Times New Roman" w:hAnsi="Times New Roman" w:cs="Times New Roman"/>
          <w:b/>
          <w:bCs/>
          <w:iCs/>
          <w:color w:val="0070C0"/>
          <w:sz w:val="18"/>
          <w:szCs w:val="18"/>
        </w:rPr>
        <w:t xml:space="preserve">In the period 2016-2017, the economic growth will accelerate to a certain extent and at the end of the forecast horizon it will be in the range </w:t>
      </w:r>
      <w:r w:rsidR="00FA49B1">
        <w:rPr>
          <w:rFonts w:ascii="Times New Roman" w:hAnsi="Times New Roman" w:cs="Times New Roman"/>
          <w:b/>
          <w:bCs/>
          <w:iCs/>
          <w:color w:val="0070C0"/>
          <w:sz w:val="18"/>
          <w:szCs w:val="18"/>
        </w:rPr>
        <w:t xml:space="preserve">of </w:t>
      </w:r>
      <w:r w:rsidRPr="00EF2C71">
        <w:rPr>
          <w:rFonts w:ascii="Times New Roman" w:hAnsi="Times New Roman" w:cs="Times New Roman"/>
          <w:b/>
          <w:bCs/>
          <w:iCs/>
          <w:color w:val="0070C0"/>
          <w:sz w:val="18"/>
          <w:szCs w:val="18"/>
        </w:rPr>
        <w:t>2.5%-3.5%...</w:t>
      </w:r>
    </w:p>
    <w:p w14:paraId="7764C65C" w14:textId="5F2D2A95" w:rsidR="00D133A1" w:rsidRPr="00EF2C71" w:rsidRDefault="003D2B75" w:rsidP="004366A8">
      <w:pPr>
        <w:spacing w:line="360" w:lineRule="auto"/>
        <w:jc w:val="both"/>
        <w:rPr>
          <w:rFonts w:ascii="Times New Roman" w:hAnsi="Times New Roman" w:cs="Times New Roman"/>
          <w:bCs/>
          <w:iCs/>
          <w:sz w:val="21"/>
          <w:szCs w:val="21"/>
        </w:rPr>
      </w:pPr>
      <w:r w:rsidRPr="003D2B75">
        <w:rPr>
          <w:rFonts w:ascii="Times New Roman" w:hAnsi="Times New Roman" w:cs="Times New Roman"/>
          <w:b/>
          <w:bCs/>
          <w:iCs/>
          <w:sz w:val="21"/>
          <w:szCs w:val="21"/>
        </w:rPr>
        <w:t>As for the macroeconomic forecasts of the Central Bank</w:t>
      </w:r>
      <w:r>
        <w:rPr>
          <w:rFonts w:ascii="Times New Roman" w:hAnsi="Times New Roman" w:cs="Times New Roman"/>
          <w:bCs/>
          <w:iCs/>
          <w:sz w:val="21"/>
          <w:szCs w:val="21"/>
        </w:rPr>
        <w:t xml:space="preserve">, it should be noted that </w:t>
      </w:r>
      <w:r w:rsidRPr="00D14F6F">
        <w:rPr>
          <w:rFonts w:ascii="Times New Roman" w:hAnsi="Times New Roman" w:cs="Times New Roman"/>
          <w:bCs/>
          <w:iCs/>
          <w:sz w:val="21"/>
          <w:szCs w:val="21"/>
        </w:rPr>
        <w:t>expected</w:t>
      </w:r>
      <w:r>
        <w:rPr>
          <w:rFonts w:ascii="Times New Roman" w:hAnsi="Times New Roman" w:cs="Times New Roman"/>
          <w:bCs/>
          <w:iCs/>
          <w:sz w:val="21"/>
          <w:szCs w:val="21"/>
        </w:rPr>
        <w:t xml:space="preserve"> economic </w:t>
      </w:r>
      <w:r w:rsidRPr="00D14F6F">
        <w:rPr>
          <w:rFonts w:ascii="Times New Roman" w:hAnsi="Times New Roman" w:cs="Times New Roman"/>
          <w:bCs/>
          <w:iCs/>
          <w:sz w:val="21"/>
          <w:szCs w:val="21"/>
        </w:rPr>
        <w:t>decline</w:t>
      </w:r>
      <w:r>
        <w:rPr>
          <w:rFonts w:ascii="Times New Roman" w:hAnsi="Times New Roman" w:cs="Times New Roman"/>
          <w:bCs/>
          <w:iCs/>
          <w:sz w:val="21"/>
          <w:szCs w:val="21"/>
        </w:rPr>
        <w:t xml:space="preserve"> in </w:t>
      </w:r>
      <w:r w:rsidRPr="00D14F6F">
        <w:rPr>
          <w:rFonts w:ascii="Times New Roman" w:hAnsi="Times New Roman" w:cs="Times New Roman"/>
          <w:bCs/>
          <w:iCs/>
          <w:sz w:val="21"/>
          <w:szCs w:val="21"/>
        </w:rPr>
        <w:t>Russia</w:t>
      </w:r>
      <w:r>
        <w:rPr>
          <w:rFonts w:ascii="Times New Roman" w:hAnsi="Times New Roman" w:cs="Times New Roman"/>
          <w:bCs/>
          <w:iCs/>
          <w:sz w:val="21"/>
          <w:szCs w:val="21"/>
        </w:rPr>
        <w:t xml:space="preserve"> and </w:t>
      </w:r>
      <w:r w:rsidRPr="003D2B75">
        <w:rPr>
          <w:rFonts w:ascii="Times New Roman" w:hAnsi="Times New Roman" w:cs="Times New Roman"/>
          <w:bCs/>
          <w:iCs/>
          <w:sz w:val="21"/>
          <w:szCs w:val="21"/>
        </w:rPr>
        <w:t>deepe</w:t>
      </w:r>
      <w:r>
        <w:rPr>
          <w:rFonts w:ascii="Times New Roman" w:hAnsi="Times New Roman" w:cs="Times New Roman"/>
          <w:bCs/>
          <w:iCs/>
          <w:sz w:val="21"/>
          <w:szCs w:val="21"/>
        </w:rPr>
        <w:t>r</w:t>
      </w:r>
      <w:r w:rsidRPr="003D2B75">
        <w:rPr>
          <w:rFonts w:ascii="Times New Roman" w:hAnsi="Times New Roman" w:cs="Times New Roman"/>
          <w:bCs/>
          <w:iCs/>
          <w:sz w:val="21"/>
          <w:szCs w:val="21"/>
        </w:rPr>
        <w:t xml:space="preserve"> negative effect</w:t>
      </w:r>
      <w:r>
        <w:rPr>
          <w:rFonts w:ascii="Times New Roman" w:hAnsi="Times New Roman" w:cs="Times New Roman"/>
          <w:bCs/>
          <w:iCs/>
          <w:sz w:val="21"/>
          <w:szCs w:val="21"/>
        </w:rPr>
        <w:t xml:space="preserve"> </w:t>
      </w:r>
      <w:r w:rsidRPr="003D2B75">
        <w:rPr>
          <w:rFonts w:ascii="Times New Roman" w:hAnsi="Times New Roman" w:cs="Times New Roman"/>
          <w:bCs/>
          <w:iCs/>
          <w:sz w:val="21"/>
          <w:szCs w:val="21"/>
        </w:rPr>
        <w:t>s</w:t>
      </w:r>
      <w:r>
        <w:rPr>
          <w:rFonts w:ascii="Times New Roman" w:hAnsi="Times New Roman" w:cs="Times New Roman"/>
          <w:bCs/>
          <w:iCs/>
          <w:sz w:val="21"/>
          <w:szCs w:val="21"/>
        </w:rPr>
        <w:t xml:space="preserve">pillovers </w:t>
      </w:r>
      <w:r w:rsidR="004E61DC">
        <w:rPr>
          <w:rFonts w:ascii="Times New Roman" w:hAnsi="Times New Roman" w:cs="Times New Roman"/>
          <w:bCs/>
          <w:iCs/>
          <w:sz w:val="21"/>
          <w:szCs w:val="21"/>
        </w:rPr>
        <w:t>on</w:t>
      </w:r>
      <w:r>
        <w:rPr>
          <w:rFonts w:ascii="Times New Roman" w:hAnsi="Times New Roman" w:cs="Times New Roman"/>
          <w:bCs/>
          <w:iCs/>
          <w:sz w:val="21"/>
          <w:szCs w:val="21"/>
        </w:rPr>
        <w:t xml:space="preserve">to the domestic economy, as well as </w:t>
      </w:r>
      <w:r w:rsidRPr="00D14F6F">
        <w:rPr>
          <w:rFonts w:ascii="Times New Roman" w:hAnsi="Times New Roman" w:cs="Times New Roman"/>
          <w:bCs/>
          <w:iCs/>
          <w:sz w:val="21"/>
          <w:szCs w:val="21"/>
        </w:rPr>
        <w:t>low</w:t>
      </w:r>
      <w:r>
        <w:rPr>
          <w:rFonts w:ascii="Times New Roman" w:hAnsi="Times New Roman" w:cs="Times New Roman"/>
          <w:bCs/>
          <w:iCs/>
          <w:sz w:val="21"/>
          <w:szCs w:val="21"/>
        </w:rPr>
        <w:t xml:space="preserve"> ore</w:t>
      </w:r>
      <w:r w:rsidRPr="00D14F6F">
        <w:rPr>
          <w:rFonts w:ascii="Times New Roman" w:hAnsi="Times New Roman" w:cs="Times New Roman"/>
          <w:bCs/>
          <w:iCs/>
          <w:sz w:val="21"/>
          <w:szCs w:val="21"/>
        </w:rPr>
        <w:t xml:space="preserve"> </w:t>
      </w:r>
      <w:r>
        <w:rPr>
          <w:rFonts w:ascii="Times New Roman" w:hAnsi="Times New Roman" w:cs="Times New Roman"/>
          <w:bCs/>
          <w:iCs/>
          <w:sz w:val="21"/>
          <w:szCs w:val="21"/>
        </w:rPr>
        <w:t xml:space="preserve">mining </w:t>
      </w:r>
      <w:r w:rsidRPr="00D14F6F">
        <w:rPr>
          <w:rFonts w:ascii="Times New Roman" w:hAnsi="Times New Roman" w:cs="Times New Roman"/>
          <w:bCs/>
          <w:iCs/>
          <w:sz w:val="21"/>
          <w:szCs w:val="21"/>
        </w:rPr>
        <w:t>price</w:t>
      </w:r>
      <w:r>
        <w:rPr>
          <w:rFonts w:ascii="Times New Roman" w:hAnsi="Times New Roman" w:cs="Times New Roman"/>
          <w:bCs/>
          <w:iCs/>
          <w:sz w:val="21"/>
          <w:szCs w:val="21"/>
        </w:rPr>
        <w:t xml:space="preserve">s all </w:t>
      </w:r>
      <w:r w:rsidRPr="007B45BB">
        <w:rPr>
          <w:rFonts w:ascii="Times New Roman" w:hAnsi="Times New Roman" w:cs="Times New Roman"/>
          <w:b/>
          <w:bCs/>
          <w:iCs/>
          <w:sz w:val="21"/>
          <w:szCs w:val="21"/>
        </w:rPr>
        <w:t>served a basis for adjusting Armenia's</w:t>
      </w:r>
      <w:r>
        <w:rPr>
          <w:rFonts w:ascii="Times New Roman" w:hAnsi="Times New Roman" w:cs="Times New Roman"/>
          <w:b/>
          <w:bCs/>
          <w:iCs/>
          <w:sz w:val="21"/>
          <w:szCs w:val="21"/>
        </w:rPr>
        <w:t xml:space="preserve"> </w:t>
      </w:r>
      <w:r w:rsidRPr="007B45BB">
        <w:rPr>
          <w:rFonts w:ascii="Times New Roman" w:hAnsi="Times New Roman" w:cs="Times New Roman"/>
          <w:b/>
          <w:bCs/>
          <w:iCs/>
          <w:sz w:val="21"/>
          <w:szCs w:val="21"/>
        </w:rPr>
        <w:t>2015 economic growth forecast considerably downside</w:t>
      </w:r>
      <w:r>
        <w:rPr>
          <w:rFonts w:ascii="Times New Roman" w:hAnsi="Times New Roman" w:cs="Times New Roman"/>
          <w:bCs/>
          <w:iCs/>
          <w:sz w:val="21"/>
          <w:szCs w:val="21"/>
        </w:rPr>
        <w:t xml:space="preserve">. </w:t>
      </w:r>
      <w:r w:rsidR="00ED681F">
        <w:rPr>
          <w:rFonts w:ascii="Times New Roman" w:hAnsi="Times New Roman" w:cs="Times New Roman"/>
          <w:bCs/>
          <w:iCs/>
          <w:sz w:val="21"/>
          <w:szCs w:val="21"/>
        </w:rPr>
        <w:t xml:space="preserve">Therefore, </w:t>
      </w:r>
      <w:r w:rsidRPr="00D14F6F">
        <w:rPr>
          <w:rFonts w:ascii="Times New Roman" w:hAnsi="Times New Roman" w:cs="Times New Roman"/>
          <w:bCs/>
          <w:iCs/>
          <w:sz w:val="21"/>
          <w:szCs w:val="21"/>
        </w:rPr>
        <w:t>th</w:t>
      </w:r>
      <w:r w:rsidR="00ED681F">
        <w:rPr>
          <w:rFonts w:ascii="Times New Roman" w:hAnsi="Times New Roman" w:cs="Times New Roman"/>
          <w:bCs/>
          <w:iCs/>
          <w:sz w:val="21"/>
          <w:szCs w:val="21"/>
        </w:rPr>
        <w:t>e</w:t>
      </w:r>
      <w:r w:rsidRPr="00D14F6F">
        <w:rPr>
          <w:rFonts w:ascii="Times New Roman" w:hAnsi="Times New Roman" w:cs="Times New Roman"/>
          <w:bCs/>
          <w:iCs/>
          <w:sz w:val="21"/>
          <w:szCs w:val="21"/>
        </w:rPr>
        <w:t xml:space="preserve"> economic growth</w:t>
      </w:r>
      <w:r>
        <w:rPr>
          <w:rFonts w:ascii="Times New Roman" w:hAnsi="Times New Roman" w:cs="Times New Roman"/>
          <w:bCs/>
          <w:iCs/>
          <w:sz w:val="21"/>
          <w:szCs w:val="21"/>
        </w:rPr>
        <w:t xml:space="preserve"> </w:t>
      </w:r>
      <w:r w:rsidR="00ED681F">
        <w:rPr>
          <w:rFonts w:ascii="Times New Roman" w:hAnsi="Times New Roman" w:cs="Times New Roman"/>
          <w:bCs/>
          <w:iCs/>
          <w:sz w:val="21"/>
          <w:szCs w:val="21"/>
        </w:rPr>
        <w:t xml:space="preserve">is predicted to </w:t>
      </w:r>
      <w:r>
        <w:rPr>
          <w:rFonts w:ascii="Times New Roman" w:hAnsi="Times New Roman" w:cs="Times New Roman"/>
          <w:bCs/>
          <w:iCs/>
          <w:sz w:val="21"/>
          <w:szCs w:val="21"/>
        </w:rPr>
        <w:t xml:space="preserve">slow down </w:t>
      </w:r>
      <w:r w:rsidR="00D133A1">
        <w:rPr>
          <w:rFonts w:ascii="Times New Roman" w:hAnsi="Times New Roman" w:cs="Times New Roman"/>
          <w:bCs/>
          <w:iCs/>
          <w:sz w:val="21"/>
          <w:szCs w:val="21"/>
        </w:rPr>
        <w:t xml:space="preserve">against </w:t>
      </w:r>
      <w:r w:rsidRPr="00D14F6F">
        <w:rPr>
          <w:rFonts w:ascii="Times New Roman" w:hAnsi="Times New Roman" w:cs="Times New Roman"/>
          <w:bCs/>
          <w:iCs/>
          <w:sz w:val="21"/>
          <w:szCs w:val="21"/>
        </w:rPr>
        <w:t>2014</w:t>
      </w:r>
      <w:r>
        <w:rPr>
          <w:rFonts w:ascii="Times New Roman" w:hAnsi="Times New Roman" w:cs="Times New Roman"/>
          <w:bCs/>
          <w:iCs/>
          <w:sz w:val="21"/>
          <w:szCs w:val="21"/>
        </w:rPr>
        <w:t xml:space="preserve"> </w:t>
      </w:r>
      <w:r w:rsidR="00ED681F">
        <w:rPr>
          <w:rFonts w:ascii="Times New Roman" w:hAnsi="Times New Roman" w:cs="Times New Roman"/>
          <w:bCs/>
          <w:iCs/>
          <w:sz w:val="21"/>
          <w:szCs w:val="21"/>
        </w:rPr>
        <w:t xml:space="preserve">and </w:t>
      </w:r>
      <w:r>
        <w:rPr>
          <w:rFonts w:ascii="Times New Roman" w:hAnsi="Times New Roman" w:cs="Times New Roman"/>
          <w:bCs/>
          <w:iCs/>
          <w:sz w:val="21"/>
          <w:szCs w:val="21"/>
        </w:rPr>
        <w:t>be in the range</w:t>
      </w:r>
      <w:r w:rsidR="004E61DC">
        <w:rPr>
          <w:rFonts w:ascii="Times New Roman" w:hAnsi="Times New Roman" w:cs="Times New Roman"/>
          <w:bCs/>
          <w:iCs/>
          <w:sz w:val="21"/>
          <w:szCs w:val="21"/>
        </w:rPr>
        <w:t xml:space="preserve"> of</w:t>
      </w:r>
      <w:r>
        <w:rPr>
          <w:rFonts w:ascii="Times New Roman" w:hAnsi="Times New Roman" w:cs="Times New Roman"/>
          <w:bCs/>
          <w:iCs/>
          <w:sz w:val="21"/>
          <w:szCs w:val="21"/>
        </w:rPr>
        <w:t xml:space="preserve"> </w:t>
      </w:r>
      <w:r w:rsidRPr="00ED681F">
        <w:rPr>
          <w:rFonts w:ascii="Times New Roman" w:hAnsi="Times New Roman" w:cs="Times New Roman"/>
          <w:b/>
          <w:bCs/>
          <w:iCs/>
          <w:sz w:val="21"/>
          <w:szCs w:val="21"/>
        </w:rPr>
        <w:t>0.4</w:t>
      </w:r>
      <w:r w:rsidR="004E61DC">
        <w:rPr>
          <w:rFonts w:ascii="Times New Roman" w:hAnsi="Times New Roman" w:cs="Times New Roman"/>
          <w:b/>
          <w:bCs/>
          <w:iCs/>
          <w:sz w:val="21"/>
          <w:szCs w:val="21"/>
        </w:rPr>
        <w:t>%</w:t>
      </w:r>
      <w:r w:rsidRPr="00ED681F">
        <w:rPr>
          <w:rFonts w:ascii="Times New Roman" w:hAnsi="Times New Roman" w:cs="Times New Roman"/>
          <w:b/>
          <w:bCs/>
          <w:iCs/>
          <w:sz w:val="21"/>
          <w:szCs w:val="21"/>
        </w:rPr>
        <w:t>-2.0%</w:t>
      </w:r>
      <w:r w:rsidRPr="00D14F6F">
        <w:rPr>
          <w:rFonts w:ascii="Times New Roman" w:hAnsi="Times New Roman" w:cs="Times New Roman"/>
          <w:bCs/>
          <w:iCs/>
          <w:sz w:val="21"/>
          <w:szCs w:val="21"/>
        </w:rPr>
        <w:t xml:space="preserve"> </w:t>
      </w:r>
      <w:r>
        <w:rPr>
          <w:rFonts w:ascii="Times New Roman" w:hAnsi="Times New Roman" w:cs="Times New Roman"/>
          <w:bCs/>
          <w:iCs/>
          <w:sz w:val="21"/>
          <w:szCs w:val="21"/>
        </w:rPr>
        <w:t>in 2015.</w:t>
      </w:r>
      <w:r w:rsidR="00EF2C71">
        <w:rPr>
          <w:rFonts w:ascii="Times New Roman" w:hAnsi="Times New Roman" w:cs="Times New Roman"/>
          <w:bCs/>
          <w:iCs/>
          <w:sz w:val="21"/>
          <w:szCs w:val="21"/>
        </w:rPr>
        <w:t xml:space="preserve"> </w:t>
      </w:r>
      <w:r w:rsidR="00877002">
        <w:rPr>
          <w:rFonts w:ascii="Times New Roman" w:hAnsi="Times New Roman" w:cs="Times New Roman"/>
          <w:bCs/>
          <w:iCs/>
          <w:sz w:val="21"/>
          <w:szCs w:val="21"/>
        </w:rPr>
        <w:t xml:space="preserve">In the time of sluggish </w:t>
      </w:r>
      <w:r w:rsidR="00E805E4" w:rsidRPr="00E805E4">
        <w:rPr>
          <w:rFonts w:ascii="Times New Roman" w:hAnsi="Times New Roman" w:cs="Times New Roman"/>
          <w:bCs/>
          <w:iCs/>
          <w:sz w:val="21"/>
          <w:szCs w:val="21"/>
        </w:rPr>
        <w:t>economic activity</w:t>
      </w:r>
      <w:r w:rsidR="00877002">
        <w:rPr>
          <w:rFonts w:ascii="Times New Roman" w:hAnsi="Times New Roman" w:cs="Times New Roman"/>
          <w:bCs/>
          <w:iCs/>
          <w:sz w:val="21"/>
          <w:szCs w:val="21"/>
        </w:rPr>
        <w:t xml:space="preserve"> when the inflow of private remittances is predicted to </w:t>
      </w:r>
      <w:r w:rsidR="00853539">
        <w:rPr>
          <w:rFonts w:ascii="Times New Roman" w:hAnsi="Times New Roman" w:cs="Times New Roman"/>
          <w:bCs/>
          <w:iCs/>
          <w:sz w:val="21"/>
          <w:szCs w:val="21"/>
        </w:rPr>
        <w:t xml:space="preserve">decrease </w:t>
      </w:r>
      <w:r w:rsidR="00877002">
        <w:rPr>
          <w:rFonts w:ascii="Times New Roman" w:hAnsi="Times New Roman" w:cs="Times New Roman"/>
          <w:bCs/>
          <w:iCs/>
          <w:sz w:val="21"/>
          <w:szCs w:val="21"/>
        </w:rPr>
        <w:t xml:space="preserve">considerably, the </w:t>
      </w:r>
      <w:r w:rsidR="00E805E4" w:rsidRPr="00E805E4">
        <w:rPr>
          <w:rFonts w:ascii="Times New Roman" w:hAnsi="Times New Roman" w:cs="Times New Roman"/>
          <w:bCs/>
          <w:iCs/>
          <w:sz w:val="21"/>
          <w:szCs w:val="21"/>
        </w:rPr>
        <w:t>private consumption expenditure</w:t>
      </w:r>
      <w:r w:rsidR="00877002">
        <w:rPr>
          <w:rFonts w:ascii="Times New Roman" w:hAnsi="Times New Roman" w:cs="Times New Roman"/>
          <w:bCs/>
          <w:iCs/>
          <w:sz w:val="21"/>
          <w:szCs w:val="21"/>
        </w:rPr>
        <w:t>s,</w:t>
      </w:r>
      <w:r w:rsidR="00E805E4" w:rsidRPr="00E805E4">
        <w:rPr>
          <w:rFonts w:ascii="Times New Roman" w:hAnsi="Times New Roman" w:cs="Times New Roman"/>
          <w:bCs/>
          <w:iCs/>
          <w:sz w:val="21"/>
          <w:szCs w:val="21"/>
        </w:rPr>
        <w:t xml:space="preserve"> </w:t>
      </w:r>
      <w:r w:rsidR="00877002">
        <w:rPr>
          <w:rFonts w:ascii="Times New Roman" w:hAnsi="Times New Roman" w:cs="Times New Roman"/>
          <w:bCs/>
          <w:iCs/>
          <w:sz w:val="21"/>
          <w:szCs w:val="21"/>
        </w:rPr>
        <w:t>too, will most likely reduce markedly in 2015. Weak</w:t>
      </w:r>
      <w:r w:rsidR="00E805E4" w:rsidRPr="00E805E4">
        <w:rPr>
          <w:rFonts w:ascii="Times New Roman" w:hAnsi="Times New Roman" w:cs="Times New Roman"/>
          <w:bCs/>
          <w:iCs/>
          <w:sz w:val="21"/>
          <w:szCs w:val="21"/>
        </w:rPr>
        <w:t xml:space="preserve"> investment activity will </w:t>
      </w:r>
      <w:r w:rsidR="00877002">
        <w:rPr>
          <w:rFonts w:ascii="Times New Roman" w:hAnsi="Times New Roman" w:cs="Times New Roman"/>
          <w:bCs/>
          <w:iCs/>
          <w:sz w:val="21"/>
          <w:szCs w:val="21"/>
        </w:rPr>
        <w:t>slacken, reflecting a contraction in</w:t>
      </w:r>
      <w:r w:rsidR="002F08B9">
        <w:rPr>
          <w:rFonts w:ascii="Times New Roman" w:hAnsi="Times New Roman" w:cs="Times New Roman"/>
          <w:bCs/>
          <w:iCs/>
          <w:sz w:val="21"/>
          <w:szCs w:val="21"/>
        </w:rPr>
        <w:t xml:space="preserve"> investment with companies engaged in construction and </w:t>
      </w:r>
      <w:r w:rsidR="00E805E4" w:rsidRPr="00E805E4">
        <w:rPr>
          <w:rFonts w:ascii="Times New Roman" w:hAnsi="Times New Roman" w:cs="Times New Roman"/>
          <w:bCs/>
          <w:iCs/>
          <w:sz w:val="21"/>
          <w:szCs w:val="21"/>
        </w:rPr>
        <w:t xml:space="preserve">non-tradable sector </w:t>
      </w:r>
      <w:r w:rsidR="002F08B9">
        <w:rPr>
          <w:rFonts w:ascii="Times New Roman" w:hAnsi="Times New Roman" w:cs="Times New Roman"/>
          <w:bCs/>
          <w:iCs/>
          <w:sz w:val="21"/>
          <w:szCs w:val="21"/>
        </w:rPr>
        <w:t xml:space="preserve">of the economy. This will lead to the shaping of a </w:t>
      </w:r>
      <w:r w:rsidR="00853539">
        <w:rPr>
          <w:rFonts w:ascii="Times New Roman" w:hAnsi="Times New Roman" w:cs="Times New Roman"/>
          <w:bCs/>
          <w:iCs/>
          <w:sz w:val="21"/>
          <w:szCs w:val="21"/>
        </w:rPr>
        <w:t>large</w:t>
      </w:r>
      <w:r w:rsidR="00E805E4" w:rsidRPr="00E805E4">
        <w:rPr>
          <w:rFonts w:ascii="Times New Roman" w:hAnsi="Times New Roman" w:cs="Times New Roman"/>
          <w:bCs/>
          <w:iCs/>
          <w:sz w:val="21"/>
          <w:szCs w:val="21"/>
        </w:rPr>
        <w:t>negative GDP gap</w:t>
      </w:r>
      <w:r w:rsidR="002F08B9">
        <w:rPr>
          <w:rFonts w:ascii="Times New Roman" w:hAnsi="Times New Roman" w:cs="Times New Roman"/>
          <w:bCs/>
          <w:iCs/>
          <w:sz w:val="21"/>
          <w:szCs w:val="21"/>
        </w:rPr>
        <w:t xml:space="preserve"> over the first half of 2015</w:t>
      </w:r>
      <w:r w:rsidR="00E805E4" w:rsidRPr="00E805E4">
        <w:rPr>
          <w:rFonts w:ascii="Times New Roman" w:hAnsi="Times New Roman" w:cs="Times New Roman"/>
          <w:bCs/>
          <w:iCs/>
          <w:sz w:val="21"/>
          <w:szCs w:val="21"/>
        </w:rPr>
        <w:t xml:space="preserve">, which </w:t>
      </w:r>
      <w:r w:rsidR="002F08B9">
        <w:rPr>
          <w:rFonts w:ascii="Times New Roman" w:hAnsi="Times New Roman" w:cs="Times New Roman"/>
          <w:bCs/>
          <w:iCs/>
          <w:sz w:val="21"/>
          <w:szCs w:val="21"/>
        </w:rPr>
        <w:t xml:space="preserve">will diminish </w:t>
      </w:r>
      <w:r w:rsidR="00E805E4" w:rsidRPr="00E805E4">
        <w:rPr>
          <w:rFonts w:ascii="Times New Roman" w:hAnsi="Times New Roman" w:cs="Times New Roman"/>
          <w:bCs/>
          <w:iCs/>
          <w:sz w:val="21"/>
          <w:szCs w:val="21"/>
        </w:rPr>
        <w:t xml:space="preserve">gradually </w:t>
      </w:r>
      <w:r w:rsidR="002F08B9">
        <w:rPr>
          <w:rFonts w:ascii="Times New Roman" w:hAnsi="Times New Roman" w:cs="Times New Roman"/>
          <w:bCs/>
          <w:iCs/>
          <w:sz w:val="21"/>
          <w:szCs w:val="21"/>
        </w:rPr>
        <w:t xml:space="preserve">thanks to </w:t>
      </w:r>
      <w:r w:rsidR="002F08B9" w:rsidRPr="00E805E4">
        <w:rPr>
          <w:rFonts w:ascii="Times New Roman" w:hAnsi="Times New Roman" w:cs="Times New Roman"/>
          <w:bCs/>
          <w:iCs/>
          <w:sz w:val="21"/>
          <w:szCs w:val="21"/>
        </w:rPr>
        <w:t xml:space="preserve">the expansionary fiscal policy </w:t>
      </w:r>
      <w:r w:rsidR="002F08B9">
        <w:rPr>
          <w:rFonts w:ascii="Times New Roman" w:hAnsi="Times New Roman" w:cs="Times New Roman"/>
          <w:bCs/>
          <w:iCs/>
          <w:sz w:val="21"/>
          <w:szCs w:val="21"/>
        </w:rPr>
        <w:t xml:space="preserve">expected from </w:t>
      </w:r>
      <w:r w:rsidR="00E805E4" w:rsidRPr="00E805E4">
        <w:rPr>
          <w:rFonts w:ascii="Times New Roman" w:hAnsi="Times New Roman" w:cs="Times New Roman"/>
          <w:bCs/>
          <w:iCs/>
          <w:sz w:val="21"/>
          <w:szCs w:val="21"/>
        </w:rPr>
        <w:t>the second half of</w:t>
      </w:r>
      <w:r w:rsidR="002F08B9">
        <w:rPr>
          <w:rFonts w:ascii="Times New Roman" w:hAnsi="Times New Roman" w:cs="Times New Roman"/>
          <w:bCs/>
          <w:iCs/>
          <w:sz w:val="21"/>
          <w:szCs w:val="21"/>
        </w:rPr>
        <w:t xml:space="preserve"> the year, the </w:t>
      </w:r>
      <w:r w:rsidR="00090254">
        <w:rPr>
          <w:rFonts w:ascii="Times New Roman" w:hAnsi="Times New Roman" w:cs="Times New Roman"/>
          <w:bCs/>
          <w:iCs/>
          <w:sz w:val="21"/>
          <w:szCs w:val="21"/>
        </w:rPr>
        <w:t>G</w:t>
      </w:r>
      <w:r w:rsidR="002F08B9">
        <w:rPr>
          <w:rFonts w:ascii="Times New Roman" w:hAnsi="Times New Roman" w:cs="Times New Roman"/>
          <w:bCs/>
          <w:iCs/>
          <w:sz w:val="21"/>
          <w:szCs w:val="21"/>
        </w:rPr>
        <w:t>overnment-led projects in the t</w:t>
      </w:r>
      <w:r w:rsidR="00E805E4" w:rsidRPr="00E805E4">
        <w:rPr>
          <w:rFonts w:ascii="Times New Roman" w:hAnsi="Times New Roman" w:cs="Times New Roman"/>
          <w:bCs/>
          <w:iCs/>
          <w:sz w:val="21"/>
          <w:szCs w:val="21"/>
        </w:rPr>
        <w:t xml:space="preserve">radable sector, as well as </w:t>
      </w:r>
      <w:r w:rsidR="002F08B9">
        <w:rPr>
          <w:rFonts w:ascii="Times New Roman" w:hAnsi="Times New Roman" w:cs="Times New Roman"/>
          <w:bCs/>
          <w:iCs/>
          <w:sz w:val="21"/>
          <w:szCs w:val="21"/>
        </w:rPr>
        <w:t xml:space="preserve">a </w:t>
      </w:r>
      <w:r w:rsidR="004E61DC">
        <w:rPr>
          <w:rFonts w:ascii="Times New Roman" w:hAnsi="Times New Roman" w:cs="Times New Roman"/>
          <w:bCs/>
          <w:iCs/>
          <w:sz w:val="21"/>
          <w:szCs w:val="21"/>
        </w:rPr>
        <w:t xml:space="preserve">stage by stage </w:t>
      </w:r>
      <w:r w:rsidR="002F08B9">
        <w:rPr>
          <w:rFonts w:ascii="Times New Roman" w:hAnsi="Times New Roman" w:cs="Times New Roman"/>
          <w:bCs/>
          <w:iCs/>
          <w:sz w:val="21"/>
          <w:szCs w:val="21"/>
        </w:rPr>
        <w:t xml:space="preserve">easing of the financial market conditions by the Central Bank. </w:t>
      </w:r>
      <w:r w:rsidR="00CA702F">
        <w:rPr>
          <w:rFonts w:ascii="Times New Roman" w:hAnsi="Times New Roman" w:cs="Times New Roman"/>
          <w:bCs/>
          <w:iCs/>
          <w:sz w:val="21"/>
          <w:szCs w:val="21"/>
        </w:rPr>
        <w:t xml:space="preserve">All these measures will facilitate some acceleration of the </w:t>
      </w:r>
      <w:r w:rsidR="00E805E4" w:rsidRPr="00E805E4">
        <w:rPr>
          <w:rFonts w:ascii="Times New Roman" w:hAnsi="Times New Roman" w:cs="Times New Roman"/>
          <w:bCs/>
          <w:iCs/>
          <w:sz w:val="21"/>
          <w:szCs w:val="21"/>
        </w:rPr>
        <w:t xml:space="preserve">economic growth </w:t>
      </w:r>
      <w:r w:rsidR="00CA702F">
        <w:rPr>
          <w:rFonts w:ascii="Times New Roman" w:hAnsi="Times New Roman" w:cs="Times New Roman"/>
          <w:bCs/>
          <w:iCs/>
          <w:sz w:val="21"/>
          <w:szCs w:val="21"/>
        </w:rPr>
        <w:t>in the period</w:t>
      </w:r>
      <w:r w:rsidR="00E805E4" w:rsidRPr="00E805E4">
        <w:rPr>
          <w:rFonts w:ascii="Times New Roman" w:hAnsi="Times New Roman" w:cs="Times New Roman"/>
          <w:bCs/>
          <w:iCs/>
          <w:sz w:val="21"/>
          <w:szCs w:val="21"/>
        </w:rPr>
        <w:t xml:space="preserve"> 2016-2017 and at the end of the forecast horizon </w:t>
      </w:r>
      <w:r w:rsidR="00CA702F">
        <w:rPr>
          <w:rFonts w:ascii="Times New Roman" w:hAnsi="Times New Roman" w:cs="Times New Roman"/>
          <w:bCs/>
          <w:iCs/>
          <w:sz w:val="21"/>
          <w:szCs w:val="21"/>
        </w:rPr>
        <w:t xml:space="preserve">it </w:t>
      </w:r>
      <w:r w:rsidR="00E805E4" w:rsidRPr="00E805E4">
        <w:rPr>
          <w:rFonts w:ascii="Times New Roman" w:hAnsi="Times New Roman" w:cs="Times New Roman"/>
          <w:bCs/>
          <w:iCs/>
          <w:sz w:val="21"/>
          <w:szCs w:val="21"/>
        </w:rPr>
        <w:t xml:space="preserve">will be </w:t>
      </w:r>
      <w:r w:rsidR="00CA702F">
        <w:rPr>
          <w:rFonts w:ascii="Times New Roman" w:hAnsi="Times New Roman" w:cs="Times New Roman"/>
          <w:bCs/>
          <w:iCs/>
          <w:sz w:val="21"/>
          <w:szCs w:val="21"/>
        </w:rPr>
        <w:t>in the range</w:t>
      </w:r>
      <w:r w:rsidR="004E61DC">
        <w:rPr>
          <w:rFonts w:ascii="Times New Roman" w:hAnsi="Times New Roman" w:cs="Times New Roman"/>
          <w:bCs/>
          <w:iCs/>
          <w:sz w:val="21"/>
          <w:szCs w:val="21"/>
        </w:rPr>
        <w:t xml:space="preserve"> of</w:t>
      </w:r>
      <w:r w:rsidR="00CA702F">
        <w:rPr>
          <w:rFonts w:ascii="Times New Roman" w:hAnsi="Times New Roman" w:cs="Times New Roman"/>
          <w:bCs/>
          <w:iCs/>
          <w:sz w:val="21"/>
          <w:szCs w:val="21"/>
        </w:rPr>
        <w:t xml:space="preserve"> </w:t>
      </w:r>
      <w:r w:rsidR="00E805E4" w:rsidRPr="00090254">
        <w:rPr>
          <w:rFonts w:ascii="Times New Roman" w:hAnsi="Times New Roman" w:cs="Times New Roman"/>
          <w:b/>
          <w:bCs/>
          <w:iCs/>
          <w:sz w:val="21"/>
          <w:szCs w:val="21"/>
        </w:rPr>
        <w:t>2.5%-3.5%</w:t>
      </w:r>
      <w:r w:rsidR="00E805E4" w:rsidRPr="00E805E4">
        <w:rPr>
          <w:rFonts w:ascii="Times New Roman" w:hAnsi="Times New Roman" w:cs="Times New Roman"/>
          <w:bCs/>
          <w:iCs/>
          <w:sz w:val="21"/>
          <w:szCs w:val="21"/>
        </w:rPr>
        <w:t xml:space="preserve">. </w:t>
      </w:r>
      <w:r w:rsidR="00090254">
        <w:rPr>
          <w:rFonts w:ascii="Times New Roman" w:hAnsi="Times New Roman" w:cs="Times New Roman"/>
          <w:bCs/>
          <w:iCs/>
          <w:sz w:val="21"/>
          <w:szCs w:val="21"/>
        </w:rPr>
        <w:t>Y</w:t>
      </w:r>
      <w:r w:rsidR="00090254" w:rsidRPr="00E805E4">
        <w:rPr>
          <w:rFonts w:ascii="Times New Roman" w:hAnsi="Times New Roman" w:cs="Times New Roman"/>
          <w:bCs/>
          <w:iCs/>
          <w:sz w:val="21"/>
          <w:szCs w:val="21"/>
        </w:rPr>
        <w:t>et</w:t>
      </w:r>
      <w:r w:rsidR="00E805E4" w:rsidRPr="00E805E4">
        <w:rPr>
          <w:rFonts w:ascii="Times New Roman" w:hAnsi="Times New Roman" w:cs="Times New Roman"/>
          <w:bCs/>
          <w:iCs/>
          <w:sz w:val="21"/>
          <w:szCs w:val="21"/>
        </w:rPr>
        <w:t xml:space="preserve">, </w:t>
      </w:r>
      <w:r w:rsidR="00090254" w:rsidRPr="00E805E4">
        <w:rPr>
          <w:rFonts w:ascii="Times New Roman" w:hAnsi="Times New Roman" w:cs="Times New Roman"/>
          <w:bCs/>
          <w:iCs/>
          <w:sz w:val="21"/>
          <w:szCs w:val="21"/>
        </w:rPr>
        <w:t xml:space="preserve">economic growth </w:t>
      </w:r>
      <w:r w:rsidR="00090254">
        <w:rPr>
          <w:rFonts w:ascii="Times New Roman" w:hAnsi="Times New Roman" w:cs="Times New Roman"/>
          <w:bCs/>
          <w:iCs/>
          <w:sz w:val="21"/>
          <w:szCs w:val="21"/>
        </w:rPr>
        <w:t xml:space="preserve">projections in the forecast horizon </w:t>
      </w:r>
      <w:r w:rsidR="00E805E4" w:rsidRPr="00E805E4">
        <w:rPr>
          <w:rFonts w:ascii="Times New Roman" w:hAnsi="Times New Roman" w:cs="Times New Roman"/>
          <w:bCs/>
          <w:iCs/>
          <w:sz w:val="21"/>
          <w:szCs w:val="21"/>
        </w:rPr>
        <w:t>will largely depend on the size</w:t>
      </w:r>
      <w:r w:rsidR="00090254">
        <w:rPr>
          <w:rFonts w:ascii="Times New Roman" w:hAnsi="Times New Roman" w:cs="Times New Roman"/>
          <w:bCs/>
          <w:iCs/>
          <w:sz w:val="21"/>
          <w:szCs w:val="21"/>
        </w:rPr>
        <w:t>,</w:t>
      </w:r>
      <w:r w:rsidR="00E805E4" w:rsidRPr="00E805E4">
        <w:rPr>
          <w:rFonts w:ascii="Times New Roman" w:hAnsi="Times New Roman" w:cs="Times New Roman"/>
          <w:bCs/>
          <w:iCs/>
          <w:sz w:val="21"/>
          <w:szCs w:val="21"/>
        </w:rPr>
        <w:t xml:space="preserve"> </w:t>
      </w:r>
      <w:r w:rsidR="00090254" w:rsidRPr="00E805E4">
        <w:rPr>
          <w:rFonts w:ascii="Times New Roman" w:hAnsi="Times New Roman" w:cs="Times New Roman"/>
          <w:bCs/>
          <w:iCs/>
          <w:sz w:val="21"/>
          <w:szCs w:val="21"/>
        </w:rPr>
        <w:t xml:space="preserve">course and efficiency </w:t>
      </w:r>
      <w:r w:rsidR="00E805E4" w:rsidRPr="00E805E4">
        <w:rPr>
          <w:rFonts w:ascii="Times New Roman" w:hAnsi="Times New Roman" w:cs="Times New Roman"/>
          <w:bCs/>
          <w:iCs/>
          <w:sz w:val="21"/>
          <w:szCs w:val="21"/>
        </w:rPr>
        <w:t xml:space="preserve">of the </w:t>
      </w:r>
      <w:r w:rsidR="00090254">
        <w:rPr>
          <w:rFonts w:ascii="Times New Roman" w:hAnsi="Times New Roman" w:cs="Times New Roman"/>
          <w:bCs/>
          <w:iCs/>
          <w:sz w:val="21"/>
          <w:szCs w:val="21"/>
        </w:rPr>
        <w:t>G</w:t>
      </w:r>
      <w:r w:rsidR="00E805E4" w:rsidRPr="00E805E4">
        <w:rPr>
          <w:rFonts w:ascii="Times New Roman" w:hAnsi="Times New Roman" w:cs="Times New Roman"/>
          <w:bCs/>
          <w:iCs/>
          <w:sz w:val="21"/>
          <w:szCs w:val="21"/>
        </w:rPr>
        <w:t>overnment's p</w:t>
      </w:r>
      <w:r w:rsidR="00090254">
        <w:rPr>
          <w:rFonts w:ascii="Times New Roman" w:hAnsi="Times New Roman" w:cs="Times New Roman"/>
          <w:bCs/>
          <w:iCs/>
          <w:sz w:val="21"/>
          <w:szCs w:val="21"/>
        </w:rPr>
        <w:t xml:space="preserve">rograms. </w:t>
      </w:r>
      <w:r w:rsidR="00E805E4" w:rsidRPr="00E805E4">
        <w:rPr>
          <w:rFonts w:ascii="Times New Roman" w:hAnsi="Times New Roman" w:cs="Times New Roman"/>
          <w:bCs/>
          <w:iCs/>
          <w:sz w:val="21"/>
          <w:szCs w:val="21"/>
        </w:rPr>
        <w:t xml:space="preserve">In other words, </w:t>
      </w:r>
      <w:r w:rsidR="00090254">
        <w:rPr>
          <w:rFonts w:ascii="Times New Roman" w:hAnsi="Times New Roman" w:cs="Times New Roman"/>
          <w:bCs/>
          <w:iCs/>
          <w:sz w:val="21"/>
          <w:szCs w:val="21"/>
        </w:rPr>
        <w:t xml:space="preserve">for a sustainable, </w:t>
      </w:r>
      <w:r w:rsidR="00E805E4" w:rsidRPr="00E805E4">
        <w:rPr>
          <w:rFonts w:ascii="Times New Roman" w:hAnsi="Times New Roman" w:cs="Times New Roman"/>
          <w:bCs/>
          <w:iCs/>
          <w:sz w:val="21"/>
          <w:szCs w:val="21"/>
        </w:rPr>
        <w:t>long-term economic growth</w:t>
      </w:r>
      <w:r w:rsidR="00090254">
        <w:rPr>
          <w:rFonts w:ascii="Times New Roman" w:hAnsi="Times New Roman" w:cs="Times New Roman"/>
          <w:bCs/>
          <w:iCs/>
          <w:sz w:val="21"/>
          <w:szCs w:val="21"/>
        </w:rPr>
        <w:t xml:space="preserve">, </w:t>
      </w:r>
      <w:r w:rsidR="00E805E4" w:rsidRPr="00E805E4">
        <w:rPr>
          <w:rFonts w:ascii="Times New Roman" w:hAnsi="Times New Roman" w:cs="Times New Roman"/>
          <w:bCs/>
          <w:iCs/>
          <w:sz w:val="21"/>
          <w:szCs w:val="21"/>
        </w:rPr>
        <w:t xml:space="preserve">the </w:t>
      </w:r>
      <w:r w:rsidR="00090254">
        <w:rPr>
          <w:rFonts w:ascii="Times New Roman" w:hAnsi="Times New Roman" w:cs="Times New Roman"/>
          <w:bCs/>
          <w:iCs/>
          <w:sz w:val="21"/>
          <w:szCs w:val="21"/>
        </w:rPr>
        <w:t>programs of the G</w:t>
      </w:r>
      <w:r w:rsidR="00E805E4" w:rsidRPr="00E805E4">
        <w:rPr>
          <w:rFonts w:ascii="Times New Roman" w:hAnsi="Times New Roman" w:cs="Times New Roman"/>
          <w:bCs/>
          <w:iCs/>
          <w:sz w:val="21"/>
          <w:szCs w:val="21"/>
        </w:rPr>
        <w:t>overnment</w:t>
      </w:r>
      <w:r w:rsidR="00090254">
        <w:rPr>
          <w:rFonts w:ascii="Times New Roman" w:hAnsi="Times New Roman" w:cs="Times New Roman"/>
          <w:bCs/>
          <w:iCs/>
          <w:sz w:val="21"/>
          <w:szCs w:val="21"/>
        </w:rPr>
        <w:t xml:space="preserve"> need to be </w:t>
      </w:r>
      <w:r w:rsidR="00090254" w:rsidRPr="00E805E4">
        <w:rPr>
          <w:rFonts w:ascii="Times New Roman" w:hAnsi="Times New Roman" w:cs="Times New Roman"/>
          <w:bCs/>
          <w:iCs/>
          <w:sz w:val="21"/>
          <w:szCs w:val="21"/>
        </w:rPr>
        <w:t>tradable sector</w:t>
      </w:r>
      <w:r w:rsidR="00090254">
        <w:rPr>
          <w:rFonts w:ascii="Times New Roman" w:hAnsi="Times New Roman" w:cs="Times New Roman"/>
          <w:bCs/>
          <w:iCs/>
          <w:sz w:val="21"/>
          <w:szCs w:val="21"/>
        </w:rPr>
        <w:t xml:space="preserve">-oriented thus creating </w:t>
      </w:r>
      <w:r w:rsidR="00090254" w:rsidRPr="00E805E4">
        <w:rPr>
          <w:rFonts w:ascii="Times New Roman" w:hAnsi="Times New Roman" w:cs="Times New Roman"/>
          <w:bCs/>
          <w:iCs/>
          <w:sz w:val="21"/>
          <w:szCs w:val="21"/>
        </w:rPr>
        <w:t xml:space="preserve">favorable conditions for </w:t>
      </w:r>
      <w:r w:rsidR="00090254">
        <w:rPr>
          <w:rFonts w:ascii="Times New Roman" w:hAnsi="Times New Roman" w:cs="Times New Roman"/>
          <w:bCs/>
          <w:iCs/>
          <w:sz w:val="21"/>
          <w:szCs w:val="21"/>
        </w:rPr>
        <w:t>economic fundamentals and restored external equilibrium.</w:t>
      </w:r>
      <w:r w:rsidR="00090254">
        <w:rPr>
          <w:rFonts w:ascii="Times New Roman" w:hAnsi="Times New Roman" w:cs="Times New Roman"/>
          <w:sz w:val="21"/>
          <w:szCs w:val="21"/>
        </w:rPr>
        <w:t xml:space="preserve"> </w:t>
      </w:r>
    </w:p>
    <w:p w14:paraId="701AB17A" w14:textId="77777777" w:rsidR="002F1EBB" w:rsidRPr="002F1EBB" w:rsidRDefault="002F1EBB" w:rsidP="00A9653E">
      <w:pPr>
        <w:spacing w:line="360" w:lineRule="auto"/>
        <w:jc w:val="both"/>
        <w:rPr>
          <w:rFonts w:ascii="Times New Roman" w:hAnsi="Times New Roman" w:cs="Times New Roman"/>
          <w:b/>
          <w:color w:val="0070C0"/>
          <w:sz w:val="18"/>
          <w:szCs w:val="18"/>
        </w:rPr>
      </w:pPr>
      <w:r w:rsidRPr="002F1EBB">
        <w:rPr>
          <w:rFonts w:ascii="Times New Roman" w:hAnsi="Times New Roman" w:cs="Times New Roman"/>
          <w:b/>
          <w:color w:val="0070C0"/>
          <w:sz w:val="18"/>
          <w:szCs w:val="18"/>
        </w:rPr>
        <w:t>In the 1st quarter of 2015, the 12-month inflation rate will accelerate but is expected to gradually decline to approach the confidence band amid weak demand in external and domestic economies…</w:t>
      </w:r>
    </w:p>
    <w:p w14:paraId="4B17917A" w14:textId="77777777" w:rsidR="004366A8" w:rsidRDefault="00E76C5A"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w:t>
      </w:r>
      <w:r w:rsidRPr="00E76C5A">
        <w:rPr>
          <w:rFonts w:ascii="Times New Roman" w:hAnsi="Times New Roman" w:cs="Times New Roman"/>
          <w:b/>
          <w:sz w:val="21"/>
          <w:szCs w:val="21"/>
        </w:rPr>
        <w:t>inflation developments</w:t>
      </w:r>
      <w:r w:rsidRPr="00E76C5A">
        <w:rPr>
          <w:rFonts w:ascii="Times New Roman" w:hAnsi="Times New Roman" w:cs="Times New Roman"/>
          <w:sz w:val="21"/>
          <w:szCs w:val="21"/>
        </w:rPr>
        <w:t xml:space="preserve"> </w:t>
      </w:r>
      <w:r>
        <w:rPr>
          <w:rFonts w:ascii="Times New Roman" w:hAnsi="Times New Roman" w:cs="Times New Roman"/>
          <w:sz w:val="21"/>
          <w:szCs w:val="21"/>
        </w:rPr>
        <w:t xml:space="preserve">suggest that </w:t>
      </w:r>
      <w:r w:rsidR="00035EC8" w:rsidRPr="00E76C5A">
        <w:rPr>
          <w:rFonts w:ascii="Times New Roman" w:hAnsi="Times New Roman" w:cs="Times New Roman"/>
          <w:sz w:val="21"/>
          <w:szCs w:val="21"/>
        </w:rPr>
        <w:t xml:space="preserve">a low base </w:t>
      </w:r>
      <w:r w:rsidR="00035EC8">
        <w:rPr>
          <w:rFonts w:ascii="Times New Roman" w:hAnsi="Times New Roman" w:cs="Times New Roman"/>
          <w:sz w:val="21"/>
          <w:szCs w:val="21"/>
        </w:rPr>
        <w:t>of the same period last year as well as Armenia</w:t>
      </w:r>
      <w:r w:rsidR="00863CD6" w:rsidRPr="00863CD6">
        <w:rPr>
          <w:rFonts w:ascii="Times New Roman" w:hAnsi="Times New Roman" w:cs="Times New Roman"/>
          <w:sz w:val="21"/>
          <w:szCs w:val="21"/>
        </w:rPr>
        <w:t>'</w:t>
      </w:r>
      <w:r w:rsidR="002F1EBB">
        <w:rPr>
          <w:rFonts w:ascii="Times New Roman" w:hAnsi="Times New Roman" w:cs="Times New Roman"/>
          <w:sz w:val="21"/>
          <w:szCs w:val="21"/>
        </w:rPr>
        <w:t>s membership to th</w:t>
      </w:r>
      <w:r w:rsidR="00035EC8">
        <w:rPr>
          <w:rFonts w:ascii="Times New Roman" w:hAnsi="Times New Roman" w:cs="Times New Roman"/>
          <w:sz w:val="21"/>
          <w:szCs w:val="21"/>
        </w:rPr>
        <w:t xml:space="preserve">e </w:t>
      </w:r>
      <w:r w:rsidR="00035EC8" w:rsidRPr="00E76C5A">
        <w:rPr>
          <w:rFonts w:ascii="Times New Roman" w:hAnsi="Times New Roman" w:cs="Times New Roman"/>
          <w:sz w:val="21"/>
          <w:szCs w:val="21"/>
        </w:rPr>
        <w:t xml:space="preserve">Eurasia Economic </w:t>
      </w:r>
      <w:r w:rsidR="00035EC8">
        <w:rPr>
          <w:rFonts w:ascii="Times New Roman" w:hAnsi="Times New Roman" w:cs="Times New Roman"/>
          <w:sz w:val="21"/>
          <w:szCs w:val="21"/>
        </w:rPr>
        <w:t>Community</w:t>
      </w:r>
      <w:r w:rsidR="00AC0945">
        <w:rPr>
          <w:rStyle w:val="FootnoteReference"/>
          <w:rFonts w:ascii="Times New Roman" w:hAnsi="Times New Roman" w:cs="Times New Roman"/>
          <w:sz w:val="21"/>
          <w:szCs w:val="21"/>
        </w:rPr>
        <w:footnoteReference w:customMarkFollows="1" w:id="11"/>
        <w:t>11</w:t>
      </w:r>
      <w:r w:rsidR="00035EC8">
        <w:rPr>
          <w:rFonts w:ascii="Times New Roman" w:hAnsi="Times New Roman" w:cs="Times New Roman"/>
          <w:sz w:val="21"/>
          <w:szCs w:val="21"/>
        </w:rPr>
        <w:t xml:space="preserve"> starting from January 2015 will facilitate </w:t>
      </w:r>
      <w:r>
        <w:rPr>
          <w:rFonts w:ascii="Times New Roman" w:hAnsi="Times New Roman" w:cs="Times New Roman"/>
          <w:sz w:val="21"/>
          <w:szCs w:val="21"/>
        </w:rPr>
        <w:t xml:space="preserve">the </w:t>
      </w:r>
      <w:r w:rsidRPr="00AC0945">
        <w:rPr>
          <w:rFonts w:ascii="Times New Roman" w:hAnsi="Times New Roman" w:cs="Times New Roman"/>
          <w:b/>
          <w:sz w:val="21"/>
          <w:szCs w:val="21"/>
        </w:rPr>
        <w:t xml:space="preserve">12-month inflation rate </w:t>
      </w:r>
      <w:r w:rsidR="00035EC8" w:rsidRPr="00AC0945">
        <w:rPr>
          <w:rFonts w:ascii="Times New Roman" w:hAnsi="Times New Roman" w:cs="Times New Roman"/>
          <w:b/>
          <w:sz w:val="21"/>
          <w:szCs w:val="21"/>
        </w:rPr>
        <w:t>to increase</w:t>
      </w:r>
      <w:r w:rsidR="00035EC8">
        <w:rPr>
          <w:rFonts w:ascii="Times New Roman" w:hAnsi="Times New Roman" w:cs="Times New Roman"/>
          <w:sz w:val="21"/>
          <w:szCs w:val="21"/>
        </w:rPr>
        <w:t>. However, i</w:t>
      </w:r>
      <w:r w:rsidRPr="00E76C5A">
        <w:rPr>
          <w:rFonts w:ascii="Times New Roman" w:hAnsi="Times New Roman" w:cs="Times New Roman"/>
          <w:sz w:val="21"/>
          <w:szCs w:val="21"/>
        </w:rPr>
        <w:t>t</w:t>
      </w:r>
      <w:r w:rsidR="00035EC8">
        <w:rPr>
          <w:rFonts w:ascii="Times New Roman" w:hAnsi="Times New Roman" w:cs="Times New Roman"/>
          <w:sz w:val="21"/>
          <w:szCs w:val="21"/>
        </w:rPr>
        <w:t xml:space="preserve"> will gradually decline nearing the confidence band amid weak demand in </w:t>
      </w:r>
      <w:r w:rsidRPr="00E76C5A">
        <w:rPr>
          <w:rFonts w:ascii="Times New Roman" w:hAnsi="Times New Roman" w:cs="Times New Roman"/>
          <w:sz w:val="21"/>
          <w:szCs w:val="21"/>
        </w:rPr>
        <w:t xml:space="preserve">external and </w:t>
      </w:r>
      <w:r w:rsidR="00035EC8">
        <w:rPr>
          <w:rFonts w:ascii="Times New Roman" w:hAnsi="Times New Roman" w:cs="Times New Roman"/>
          <w:sz w:val="21"/>
          <w:szCs w:val="21"/>
        </w:rPr>
        <w:t xml:space="preserve">domestic </w:t>
      </w:r>
      <w:r w:rsidRPr="00E76C5A">
        <w:rPr>
          <w:rFonts w:ascii="Times New Roman" w:hAnsi="Times New Roman" w:cs="Times New Roman"/>
          <w:sz w:val="21"/>
          <w:szCs w:val="21"/>
        </w:rPr>
        <w:t>economies.</w:t>
      </w:r>
    </w:p>
    <w:p w14:paraId="6234CE69" w14:textId="77777777" w:rsidR="00EA5EC7" w:rsidRPr="00EA5EC7" w:rsidRDefault="00EA5EC7" w:rsidP="00A9653E">
      <w:pPr>
        <w:spacing w:line="360" w:lineRule="auto"/>
        <w:jc w:val="both"/>
        <w:rPr>
          <w:rFonts w:ascii="Times New Roman" w:hAnsi="Times New Roman" w:cs="Times New Roman"/>
          <w:b/>
          <w:color w:val="0070C0"/>
          <w:sz w:val="18"/>
          <w:szCs w:val="18"/>
        </w:rPr>
      </w:pPr>
      <w:r w:rsidRPr="00EA5EC7">
        <w:rPr>
          <w:rFonts w:ascii="Times New Roman" w:hAnsi="Times New Roman" w:cs="Times New Roman"/>
          <w:b/>
          <w:color w:val="0070C0"/>
          <w:sz w:val="18"/>
          <w:szCs w:val="18"/>
        </w:rPr>
        <w:t xml:space="preserve">In the 1st quarter of 2015, the Central Bank will continue reducing the Lombard Repo Facility Rate… </w:t>
      </w:r>
    </w:p>
    <w:p w14:paraId="1EDF6ADD" w14:textId="62C78ED6" w:rsidR="00424EE9" w:rsidRDefault="00424EE9" w:rsidP="00A9653E">
      <w:pPr>
        <w:spacing w:line="360" w:lineRule="auto"/>
        <w:jc w:val="both"/>
        <w:rPr>
          <w:rFonts w:ascii="Times New Roman" w:hAnsi="Times New Roman" w:cs="Times New Roman"/>
          <w:sz w:val="21"/>
          <w:szCs w:val="21"/>
        </w:rPr>
      </w:pPr>
      <w:r w:rsidRPr="00A10AF1">
        <w:rPr>
          <w:rFonts w:ascii="Times New Roman" w:hAnsi="Times New Roman" w:cs="Times New Roman"/>
          <w:sz w:val="21"/>
          <w:szCs w:val="21"/>
        </w:rPr>
        <w:t>The Central Bank estimates that</w:t>
      </w:r>
      <w:r w:rsidR="00863CD6">
        <w:rPr>
          <w:rFonts w:ascii="Times New Roman" w:hAnsi="Times New Roman" w:cs="Times New Roman"/>
          <w:sz w:val="21"/>
          <w:szCs w:val="21"/>
        </w:rPr>
        <w:t>,</w:t>
      </w:r>
      <w:r w:rsidRPr="00A10AF1">
        <w:rPr>
          <w:rFonts w:ascii="Times New Roman" w:hAnsi="Times New Roman" w:cs="Times New Roman"/>
          <w:sz w:val="21"/>
          <w:szCs w:val="21"/>
        </w:rPr>
        <w:t xml:space="preserve"> </w:t>
      </w:r>
      <w:r w:rsidRPr="00A10AF1">
        <w:rPr>
          <w:rFonts w:ascii="Times New Roman" w:hAnsi="Times New Roman" w:cs="Times New Roman"/>
          <w:sz w:val="21"/>
          <w:szCs w:val="21"/>
          <w:lang w:val="hy-AM"/>
        </w:rPr>
        <w:t xml:space="preserve">driven by </w:t>
      </w:r>
      <w:r>
        <w:rPr>
          <w:rFonts w:ascii="Times New Roman" w:hAnsi="Times New Roman" w:cs="Times New Roman"/>
          <w:sz w:val="21"/>
          <w:szCs w:val="21"/>
        </w:rPr>
        <w:t xml:space="preserve">the </w:t>
      </w:r>
      <w:r w:rsidRPr="00A10AF1">
        <w:rPr>
          <w:rFonts w:ascii="Times New Roman" w:hAnsi="Times New Roman" w:cs="Times New Roman"/>
          <w:sz w:val="21"/>
          <w:szCs w:val="21"/>
        </w:rPr>
        <w:t xml:space="preserve">latest </w:t>
      </w:r>
      <w:r w:rsidRPr="00A10AF1">
        <w:rPr>
          <w:rFonts w:ascii="Times New Roman" w:hAnsi="Times New Roman" w:cs="Times New Roman"/>
          <w:sz w:val="21"/>
          <w:szCs w:val="21"/>
          <w:lang w:val="hy-AM"/>
        </w:rPr>
        <w:t>events</w:t>
      </w:r>
      <w:r w:rsidRPr="00A10AF1">
        <w:rPr>
          <w:rFonts w:ascii="Times New Roman" w:hAnsi="Times New Roman" w:cs="Times New Roman"/>
          <w:sz w:val="21"/>
          <w:szCs w:val="21"/>
        </w:rPr>
        <w:t xml:space="preserve"> in the </w:t>
      </w:r>
      <w:r w:rsidRPr="00A10AF1">
        <w:rPr>
          <w:rFonts w:ascii="Times New Roman" w:hAnsi="Times New Roman" w:cs="Times New Roman"/>
          <w:sz w:val="21"/>
          <w:szCs w:val="21"/>
          <w:lang w:val="hy-AM"/>
        </w:rPr>
        <w:t xml:space="preserve">previous year and the </w:t>
      </w:r>
      <w:r w:rsidRPr="00A10AF1">
        <w:rPr>
          <w:rFonts w:ascii="Times New Roman" w:hAnsi="Times New Roman" w:cs="Times New Roman"/>
          <w:sz w:val="21"/>
          <w:szCs w:val="21"/>
        </w:rPr>
        <w:t>geopol</w:t>
      </w:r>
      <w:r w:rsidR="0043496E">
        <w:rPr>
          <w:rFonts w:ascii="Times New Roman" w:hAnsi="Times New Roman" w:cs="Times New Roman"/>
          <w:sz w:val="21"/>
          <w:szCs w:val="21"/>
        </w:rPr>
        <w:t xml:space="preserve">itical </w:t>
      </w:r>
      <w:r w:rsidRPr="00A10AF1">
        <w:rPr>
          <w:rFonts w:ascii="Times New Roman" w:hAnsi="Times New Roman" w:cs="Times New Roman"/>
          <w:sz w:val="21"/>
          <w:szCs w:val="21"/>
        </w:rPr>
        <w:t xml:space="preserve">situation </w:t>
      </w:r>
      <w:r w:rsidRPr="00A10AF1">
        <w:rPr>
          <w:rFonts w:ascii="Times New Roman" w:hAnsi="Times New Roman" w:cs="Times New Roman"/>
          <w:sz w:val="21"/>
          <w:szCs w:val="21"/>
          <w:lang w:val="hy-AM"/>
        </w:rPr>
        <w:t xml:space="preserve">in the </w:t>
      </w:r>
      <w:r w:rsidRPr="00A10AF1">
        <w:rPr>
          <w:rFonts w:ascii="Times New Roman" w:hAnsi="Times New Roman" w:cs="Times New Roman"/>
          <w:sz w:val="21"/>
          <w:szCs w:val="21"/>
        </w:rPr>
        <w:t>region</w:t>
      </w:r>
      <w:r w:rsidRPr="00A10AF1">
        <w:rPr>
          <w:rFonts w:ascii="Times New Roman" w:hAnsi="Times New Roman" w:cs="Times New Roman"/>
          <w:sz w:val="21"/>
          <w:szCs w:val="21"/>
          <w:lang w:val="hy-AM"/>
        </w:rPr>
        <w:t xml:space="preserve">, </w:t>
      </w:r>
      <w:r>
        <w:rPr>
          <w:rFonts w:ascii="Times New Roman" w:hAnsi="Times New Roman" w:cs="Times New Roman"/>
          <w:sz w:val="21"/>
          <w:szCs w:val="21"/>
        </w:rPr>
        <w:t>the developments in</w:t>
      </w:r>
      <w:r w:rsidRPr="00A10AF1">
        <w:rPr>
          <w:rFonts w:ascii="Times New Roman" w:hAnsi="Times New Roman" w:cs="Times New Roman"/>
          <w:sz w:val="21"/>
          <w:szCs w:val="21"/>
        </w:rPr>
        <w:t xml:space="preserve"> </w:t>
      </w:r>
      <w:r>
        <w:rPr>
          <w:rFonts w:ascii="Times New Roman" w:hAnsi="Times New Roman" w:cs="Times New Roman"/>
          <w:sz w:val="21"/>
          <w:szCs w:val="21"/>
        </w:rPr>
        <w:t xml:space="preserve">product and </w:t>
      </w:r>
      <w:r w:rsidRPr="00A10AF1">
        <w:rPr>
          <w:rFonts w:ascii="Times New Roman" w:hAnsi="Times New Roman" w:cs="Times New Roman"/>
          <w:sz w:val="21"/>
          <w:szCs w:val="21"/>
        </w:rPr>
        <w:t xml:space="preserve">financial </w:t>
      </w:r>
      <w:r>
        <w:rPr>
          <w:rFonts w:ascii="Times New Roman" w:hAnsi="Times New Roman" w:cs="Times New Roman"/>
          <w:sz w:val="21"/>
          <w:szCs w:val="21"/>
        </w:rPr>
        <w:t xml:space="preserve">markets of Armenia are gradually </w:t>
      </w:r>
      <w:r>
        <w:rPr>
          <w:rFonts w:ascii="Times New Roman" w:hAnsi="Times New Roman" w:cs="Times New Roman"/>
          <w:sz w:val="21"/>
          <w:szCs w:val="21"/>
        </w:rPr>
        <w:lastRenderedPageBreak/>
        <w:t>playing out as they incur the impact of the Central Bank policy action for the period December 201</w:t>
      </w:r>
      <w:r w:rsidR="007A0CEE">
        <w:rPr>
          <w:rFonts w:ascii="Times New Roman" w:hAnsi="Times New Roman" w:cs="Times New Roman"/>
          <w:sz w:val="21"/>
          <w:szCs w:val="21"/>
        </w:rPr>
        <w:t>4</w:t>
      </w:r>
      <w:r>
        <w:rPr>
          <w:rFonts w:ascii="Times New Roman" w:hAnsi="Times New Roman" w:cs="Times New Roman"/>
          <w:sz w:val="21"/>
          <w:szCs w:val="21"/>
        </w:rPr>
        <w:t xml:space="preserve"> to February 10, 2015. In this circumstance, the </w:t>
      </w:r>
      <w:r w:rsidRPr="0012172D">
        <w:rPr>
          <w:rFonts w:ascii="Times New Roman" w:hAnsi="Times New Roman" w:cs="Times New Roman"/>
          <w:b/>
          <w:sz w:val="21"/>
          <w:szCs w:val="21"/>
        </w:rPr>
        <w:t>Central Bank will continue reducing the Lombard Repo Facility Rate during the 1st quarter of 2015</w:t>
      </w:r>
      <w:r>
        <w:rPr>
          <w:rFonts w:ascii="Times New Roman" w:hAnsi="Times New Roman" w:cs="Times New Roman"/>
          <w:sz w:val="21"/>
          <w:szCs w:val="21"/>
        </w:rPr>
        <w:t>.</w:t>
      </w:r>
    </w:p>
    <w:p w14:paraId="7C135628" w14:textId="7D6FF98B" w:rsidR="00666A55" w:rsidRPr="006D2C16" w:rsidRDefault="00A6536D" w:rsidP="00666A55">
      <w:pPr>
        <w:spacing w:line="360" w:lineRule="auto"/>
        <w:jc w:val="both"/>
        <w:rPr>
          <w:rFonts w:ascii="Times New Roman" w:hAnsi="Times New Roman" w:cs="Times New Roman"/>
          <w:color w:val="FF0000"/>
          <w:sz w:val="21"/>
          <w:szCs w:val="21"/>
        </w:rPr>
      </w:pPr>
      <w:r w:rsidRPr="00A6536D">
        <w:rPr>
          <w:rFonts w:ascii="Times New Roman" w:hAnsi="Times New Roman" w:cs="Times New Roman"/>
          <w:sz w:val="21"/>
          <w:szCs w:val="21"/>
        </w:rPr>
        <w:t>As the economy</w:t>
      </w:r>
      <w:r>
        <w:rPr>
          <w:rFonts w:ascii="Times New Roman" w:hAnsi="Times New Roman" w:cs="Times New Roman"/>
          <w:sz w:val="21"/>
          <w:szCs w:val="21"/>
        </w:rPr>
        <w:t xml:space="preserve"> returns to normal</w:t>
      </w:r>
      <w:r w:rsidR="00B026D3">
        <w:rPr>
          <w:rFonts w:ascii="Times New Roman" w:hAnsi="Times New Roman" w:cs="Times New Roman"/>
          <w:sz w:val="21"/>
          <w:szCs w:val="21"/>
        </w:rPr>
        <w:t xml:space="preserve"> conditions</w:t>
      </w:r>
      <w:r>
        <w:rPr>
          <w:rFonts w:ascii="Times New Roman" w:hAnsi="Times New Roman" w:cs="Times New Roman"/>
          <w:sz w:val="21"/>
          <w:szCs w:val="21"/>
        </w:rPr>
        <w:t>, the</w:t>
      </w:r>
      <w:r w:rsidRPr="0012172D">
        <w:rPr>
          <w:rFonts w:ascii="Times New Roman" w:hAnsi="Times New Roman" w:cs="Times New Roman"/>
          <w:sz w:val="21"/>
          <w:szCs w:val="21"/>
        </w:rPr>
        <w:t xml:space="preserve"> Central Bank policy actions will reduce the </w:t>
      </w:r>
      <w:r>
        <w:rPr>
          <w:rFonts w:ascii="Times New Roman" w:hAnsi="Times New Roman" w:cs="Times New Roman"/>
          <w:sz w:val="21"/>
          <w:szCs w:val="21"/>
        </w:rPr>
        <w:t xml:space="preserve">spread between the </w:t>
      </w:r>
      <w:r w:rsidRPr="006D2C16">
        <w:rPr>
          <w:rFonts w:ascii="Times New Roman" w:hAnsi="Times New Roman" w:cs="Times New Roman"/>
          <w:sz w:val="21"/>
          <w:szCs w:val="21"/>
        </w:rPr>
        <w:t>Bank's policy and short-term dram market rates</w:t>
      </w:r>
      <w:r w:rsidRPr="006D2C16">
        <w:rPr>
          <w:rFonts w:ascii="Times New Roman" w:hAnsi="Times New Roman" w:cs="Times New Roman"/>
          <w:b/>
          <w:sz w:val="21"/>
          <w:szCs w:val="21"/>
        </w:rPr>
        <w:t xml:space="preserve">, </w:t>
      </w:r>
      <w:r w:rsidR="00B026D3">
        <w:rPr>
          <w:rFonts w:ascii="Times New Roman" w:hAnsi="Times New Roman" w:cs="Times New Roman"/>
          <w:b/>
          <w:sz w:val="21"/>
          <w:szCs w:val="21"/>
        </w:rPr>
        <w:t xml:space="preserve">reviving the leading role of </w:t>
      </w:r>
      <w:r w:rsidRPr="006D2C16">
        <w:rPr>
          <w:rFonts w:ascii="Times New Roman" w:hAnsi="Times New Roman" w:cs="Times New Roman"/>
          <w:b/>
          <w:sz w:val="21"/>
          <w:szCs w:val="21"/>
        </w:rPr>
        <w:t>the Refinancing Rate in the market</w:t>
      </w:r>
      <w:r w:rsidRPr="006D2C16">
        <w:rPr>
          <w:rFonts w:ascii="Times New Roman" w:hAnsi="Times New Roman" w:cs="Times New Roman"/>
          <w:sz w:val="21"/>
          <w:szCs w:val="21"/>
        </w:rPr>
        <w:t xml:space="preserve"> and contributing to the financial market stabilization and fulfillment of the inflation target in the medium term.</w:t>
      </w:r>
      <w:r w:rsidR="00666A55" w:rsidRPr="006D2C16">
        <w:rPr>
          <w:rFonts w:ascii="Times New Roman" w:hAnsi="Times New Roman" w:cs="Times New Roman"/>
          <w:color w:val="FF0000"/>
          <w:sz w:val="21"/>
          <w:szCs w:val="21"/>
        </w:rPr>
        <w:t xml:space="preserve"> </w:t>
      </w:r>
    </w:p>
    <w:tbl>
      <w:tblPr>
        <w:tblpPr w:leftFromText="180" w:rightFromText="180" w:vertAnchor="text" w:horzAnchor="margin" w:tblpX="56" w:tblpY="93"/>
        <w:tblW w:w="6237"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871"/>
        <w:gridCol w:w="1074"/>
        <w:gridCol w:w="1073"/>
        <w:gridCol w:w="1073"/>
        <w:gridCol w:w="1073"/>
        <w:gridCol w:w="1073"/>
      </w:tblGrid>
      <w:tr w:rsidR="004A57A9" w:rsidRPr="00FE0DBD" w14:paraId="7346FCA3" w14:textId="77777777" w:rsidTr="00640360">
        <w:trPr>
          <w:trHeight w:val="20"/>
        </w:trPr>
        <w:tc>
          <w:tcPr>
            <w:tcW w:w="871" w:type="dxa"/>
            <w:vMerge w:val="restart"/>
            <w:shd w:val="clear" w:color="auto" w:fill="auto"/>
          </w:tcPr>
          <w:p w14:paraId="0CDD2D60" w14:textId="77777777" w:rsidR="004A57A9" w:rsidRPr="006D2C16" w:rsidRDefault="004A57A9" w:rsidP="00640360">
            <w:pPr>
              <w:spacing w:before="60" w:after="60"/>
              <w:jc w:val="center"/>
              <w:rPr>
                <w:rFonts w:ascii="Times New Roman" w:hAnsi="Times New Roman" w:cs="Times New Roman"/>
                <w:b/>
                <w:sz w:val="16"/>
                <w:szCs w:val="16"/>
                <w:lang w:val="es-AR"/>
              </w:rPr>
            </w:pPr>
            <w:r w:rsidRPr="006D2C16">
              <w:rPr>
                <w:rFonts w:ascii="Times New Roman" w:hAnsi="Times New Roman" w:cs="Times New Roman"/>
                <w:b/>
                <w:sz w:val="16"/>
                <w:szCs w:val="16"/>
                <w:lang w:val="hy-AM"/>
              </w:rPr>
              <w:t>Period</w:t>
            </w:r>
          </w:p>
        </w:tc>
        <w:tc>
          <w:tcPr>
            <w:tcW w:w="5366" w:type="dxa"/>
            <w:gridSpan w:val="5"/>
            <w:shd w:val="clear" w:color="auto" w:fill="auto"/>
          </w:tcPr>
          <w:p w14:paraId="1C2284A2" w14:textId="77777777" w:rsidR="004A57A9" w:rsidRPr="006D2C16" w:rsidRDefault="004A57A9" w:rsidP="00640360">
            <w:pPr>
              <w:spacing w:before="60" w:after="60"/>
              <w:jc w:val="center"/>
              <w:rPr>
                <w:rFonts w:ascii="Times New Roman" w:hAnsi="Times New Roman" w:cs="Times New Roman"/>
                <w:sz w:val="16"/>
                <w:szCs w:val="16"/>
                <w:lang w:val="es-AR"/>
              </w:rPr>
            </w:pPr>
            <w:r w:rsidRPr="006D2C16">
              <w:rPr>
                <w:rFonts w:ascii="Times New Roman" w:eastAsia="Calibri" w:hAnsi="Times New Roman" w:cs="Times New Roman"/>
                <w:b/>
                <w:iCs/>
                <w:sz w:val="16"/>
                <w:szCs w:val="16"/>
                <w:lang w:val="es-AR"/>
              </w:rPr>
              <w:t>Inflation forecast probability distribution chart</w:t>
            </w:r>
            <w:r w:rsidRPr="006D2C16">
              <w:rPr>
                <w:rFonts w:ascii="Times New Roman" w:hAnsi="Times New Roman" w:cs="Times New Roman"/>
                <w:b/>
                <w:iCs/>
                <w:sz w:val="16"/>
                <w:szCs w:val="16"/>
                <w:lang w:val="es-AR"/>
              </w:rPr>
              <w:t xml:space="preserve"> </w:t>
            </w:r>
          </w:p>
        </w:tc>
      </w:tr>
      <w:tr w:rsidR="004A57A9" w:rsidRPr="00FE0DBD" w14:paraId="196BAD42" w14:textId="77777777" w:rsidTr="00640360">
        <w:trPr>
          <w:trHeight w:val="20"/>
        </w:trPr>
        <w:tc>
          <w:tcPr>
            <w:tcW w:w="871" w:type="dxa"/>
            <w:vMerge/>
            <w:tcBorders>
              <w:bottom w:val="single" w:sz="4" w:space="0" w:color="auto"/>
            </w:tcBorders>
            <w:shd w:val="clear" w:color="auto" w:fill="auto"/>
          </w:tcPr>
          <w:p w14:paraId="0556E57D" w14:textId="77777777" w:rsidR="004A57A9" w:rsidRPr="006D2C16" w:rsidRDefault="004A57A9" w:rsidP="00640360">
            <w:pPr>
              <w:spacing w:before="60" w:after="60"/>
              <w:jc w:val="right"/>
              <w:rPr>
                <w:rFonts w:ascii="Times New Roman" w:hAnsi="Times New Roman" w:cs="Times New Roman"/>
                <w:sz w:val="16"/>
                <w:szCs w:val="16"/>
                <w:lang w:val="es-AR"/>
              </w:rPr>
            </w:pPr>
          </w:p>
        </w:tc>
        <w:tc>
          <w:tcPr>
            <w:tcW w:w="1074" w:type="dxa"/>
            <w:tcBorders>
              <w:bottom w:val="single" w:sz="4" w:space="0" w:color="auto"/>
            </w:tcBorders>
            <w:shd w:val="clear" w:color="auto" w:fill="auto"/>
          </w:tcPr>
          <w:p w14:paraId="71AEB204" w14:textId="77777777" w:rsidR="004A57A9" w:rsidRPr="006D2C16" w:rsidRDefault="004A57A9" w:rsidP="00640360">
            <w:pPr>
              <w:spacing w:before="60" w:after="60"/>
              <w:jc w:val="center"/>
              <w:rPr>
                <w:rFonts w:ascii="Times New Roman" w:hAnsi="Times New Roman" w:cs="Times New Roman"/>
                <w:b/>
                <w:sz w:val="16"/>
                <w:szCs w:val="16"/>
              </w:rPr>
            </w:pPr>
            <w:r w:rsidRPr="006D2C16">
              <w:rPr>
                <w:rFonts w:ascii="Times New Roman" w:hAnsi="Times New Roman" w:cs="Times New Roman"/>
                <w:b/>
                <w:sz w:val="16"/>
                <w:szCs w:val="16"/>
              </w:rPr>
              <w:t>&lt;1.0%</w:t>
            </w:r>
          </w:p>
        </w:tc>
        <w:tc>
          <w:tcPr>
            <w:tcW w:w="1073" w:type="dxa"/>
            <w:tcBorders>
              <w:bottom w:val="single" w:sz="4" w:space="0" w:color="auto"/>
            </w:tcBorders>
            <w:shd w:val="clear" w:color="auto" w:fill="auto"/>
          </w:tcPr>
          <w:p w14:paraId="55F039D7" w14:textId="77777777" w:rsidR="004A57A9" w:rsidRPr="006D2C16" w:rsidRDefault="004A57A9" w:rsidP="00640360">
            <w:pPr>
              <w:spacing w:before="60" w:after="60"/>
              <w:jc w:val="center"/>
              <w:rPr>
                <w:rFonts w:ascii="Times New Roman" w:hAnsi="Times New Roman" w:cs="Times New Roman"/>
                <w:b/>
                <w:sz w:val="16"/>
                <w:szCs w:val="16"/>
              </w:rPr>
            </w:pPr>
            <w:r w:rsidRPr="006D2C16">
              <w:rPr>
                <w:rFonts w:ascii="Times New Roman" w:hAnsi="Times New Roman" w:cs="Times New Roman"/>
                <w:b/>
                <w:sz w:val="16"/>
                <w:szCs w:val="16"/>
              </w:rPr>
              <w:t>1.0-2.5%</w:t>
            </w:r>
          </w:p>
        </w:tc>
        <w:tc>
          <w:tcPr>
            <w:tcW w:w="1073" w:type="dxa"/>
            <w:tcBorders>
              <w:bottom w:val="single" w:sz="4" w:space="0" w:color="auto"/>
            </w:tcBorders>
            <w:shd w:val="clear" w:color="auto" w:fill="auto"/>
          </w:tcPr>
          <w:p w14:paraId="7BE7C6A4" w14:textId="77777777" w:rsidR="004A57A9" w:rsidRPr="006D2C16" w:rsidRDefault="004A57A9" w:rsidP="00640360">
            <w:pPr>
              <w:spacing w:before="60" w:after="60"/>
              <w:jc w:val="center"/>
              <w:rPr>
                <w:rFonts w:ascii="Times New Roman" w:hAnsi="Times New Roman" w:cs="Times New Roman"/>
                <w:b/>
                <w:sz w:val="16"/>
                <w:szCs w:val="16"/>
              </w:rPr>
            </w:pPr>
            <w:r w:rsidRPr="006D2C16">
              <w:rPr>
                <w:rFonts w:ascii="Times New Roman" w:hAnsi="Times New Roman" w:cs="Times New Roman"/>
                <w:b/>
                <w:sz w:val="16"/>
                <w:szCs w:val="16"/>
              </w:rPr>
              <w:t>2.5-5.5%</w:t>
            </w:r>
          </w:p>
        </w:tc>
        <w:tc>
          <w:tcPr>
            <w:tcW w:w="1073" w:type="dxa"/>
            <w:tcBorders>
              <w:bottom w:val="single" w:sz="4" w:space="0" w:color="auto"/>
            </w:tcBorders>
            <w:shd w:val="clear" w:color="auto" w:fill="auto"/>
          </w:tcPr>
          <w:p w14:paraId="05BC841B" w14:textId="77777777" w:rsidR="004A57A9" w:rsidRPr="006D2C16" w:rsidRDefault="004A57A9" w:rsidP="00640360">
            <w:pPr>
              <w:spacing w:before="60" w:after="60"/>
              <w:jc w:val="center"/>
              <w:rPr>
                <w:rFonts w:ascii="Times New Roman" w:hAnsi="Times New Roman" w:cs="Times New Roman"/>
                <w:b/>
                <w:sz w:val="16"/>
                <w:szCs w:val="16"/>
              </w:rPr>
            </w:pPr>
            <w:r w:rsidRPr="006D2C16">
              <w:rPr>
                <w:rFonts w:ascii="Times New Roman" w:hAnsi="Times New Roman" w:cs="Times New Roman"/>
                <w:b/>
                <w:sz w:val="16"/>
                <w:szCs w:val="16"/>
              </w:rPr>
              <w:t>5.5-7.0%</w:t>
            </w:r>
          </w:p>
        </w:tc>
        <w:tc>
          <w:tcPr>
            <w:tcW w:w="1073" w:type="dxa"/>
            <w:tcBorders>
              <w:bottom w:val="single" w:sz="4" w:space="0" w:color="auto"/>
            </w:tcBorders>
            <w:shd w:val="clear" w:color="auto" w:fill="auto"/>
          </w:tcPr>
          <w:p w14:paraId="2C24C378" w14:textId="77777777" w:rsidR="004A57A9" w:rsidRPr="006D2C16" w:rsidRDefault="004A57A9" w:rsidP="00640360">
            <w:pPr>
              <w:spacing w:before="60" w:after="60"/>
              <w:jc w:val="center"/>
              <w:rPr>
                <w:rFonts w:ascii="Times New Roman" w:hAnsi="Times New Roman" w:cs="Times New Roman"/>
                <w:b/>
                <w:sz w:val="16"/>
                <w:szCs w:val="16"/>
              </w:rPr>
            </w:pPr>
            <w:r w:rsidRPr="006D2C16">
              <w:rPr>
                <w:rFonts w:ascii="Times New Roman" w:hAnsi="Times New Roman" w:cs="Times New Roman"/>
                <w:b/>
                <w:sz w:val="16"/>
                <w:szCs w:val="16"/>
              </w:rPr>
              <w:t>&gt;7.0%</w:t>
            </w:r>
          </w:p>
        </w:tc>
      </w:tr>
      <w:tr w:rsidR="004A57A9" w:rsidRPr="00FE0DBD" w14:paraId="3EB4D599" w14:textId="77777777" w:rsidTr="00640360">
        <w:trPr>
          <w:trHeight w:val="20"/>
        </w:trPr>
        <w:tc>
          <w:tcPr>
            <w:tcW w:w="871" w:type="dxa"/>
            <w:shd w:val="clear" w:color="auto" w:fill="auto"/>
          </w:tcPr>
          <w:p w14:paraId="52E28E93" w14:textId="77777777" w:rsidR="004A57A9" w:rsidRPr="006D2C16" w:rsidRDefault="004A57A9" w:rsidP="00640360">
            <w:pPr>
              <w:spacing w:before="60" w:after="60"/>
              <w:rPr>
                <w:rFonts w:ascii="Times New Roman" w:hAnsi="Times New Roman" w:cs="Times New Roman"/>
                <w:sz w:val="16"/>
                <w:szCs w:val="16"/>
              </w:rPr>
            </w:pPr>
            <w:r w:rsidRPr="006D2C16">
              <w:rPr>
                <w:rFonts w:ascii="Times New Roman" w:hAnsi="Times New Roman" w:cs="Times New Roman"/>
                <w:sz w:val="16"/>
                <w:szCs w:val="16"/>
                <w:lang w:val="hy-AM"/>
              </w:rPr>
              <w:t xml:space="preserve">Q1 </w:t>
            </w:r>
            <w:r w:rsidRPr="006D2C16">
              <w:rPr>
                <w:rFonts w:ascii="Times New Roman" w:hAnsi="Times New Roman" w:cs="Times New Roman"/>
                <w:sz w:val="16"/>
                <w:szCs w:val="16"/>
              </w:rPr>
              <w:t>2015</w:t>
            </w:r>
          </w:p>
        </w:tc>
        <w:tc>
          <w:tcPr>
            <w:tcW w:w="1074" w:type="dxa"/>
            <w:shd w:val="clear" w:color="auto" w:fill="auto"/>
            <w:vAlign w:val="center"/>
          </w:tcPr>
          <w:p w14:paraId="58846FD3"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0.0%</w:t>
            </w:r>
          </w:p>
        </w:tc>
        <w:tc>
          <w:tcPr>
            <w:tcW w:w="1073" w:type="dxa"/>
            <w:shd w:val="clear" w:color="auto" w:fill="auto"/>
            <w:vAlign w:val="center"/>
          </w:tcPr>
          <w:p w14:paraId="6BC2C3FF"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0.0%</w:t>
            </w:r>
          </w:p>
        </w:tc>
        <w:tc>
          <w:tcPr>
            <w:tcW w:w="1073" w:type="dxa"/>
            <w:shd w:val="clear" w:color="auto" w:fill="auto"/>
            <w:vAlign w:val="center"/>
          </w:tcPr>
          <w:p w14:paraId="29E5FF61"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37.4%</w:t>
            </w:r>
          </w:p>
        </w:tc>
        <w:tc>
          <w:tcPr>
            <w:tcW w:w="1073" w:type="dxa"/>
            <w:shd w:val="clear" w:color="auto" w:fill="auto"/>
            <w:vAlign w:val="center"/>
          </w:tcPr>
          <w:p w14:paraId="7782FBE2"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62.5%</w:t>
            </w:r>
          </w:p>
        </w:tc>
        <w:tc>
          <w:tcPr>
            <w:tcW w:w="1073" w:type="dxa"/>
            <w:shd w:val="clear" w:color="auto" w:fill="auto"/>
            <w:vAlign w:val="center"/>
          </w:tcPr>
          <w:p w14:paraId="77061086"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0.1%</w:t>
            </w:r>
          </w:p>
        </w:tc>
      </w:tr>
      <w:tr w:rsidR="004A57A9" w:rsidRPr="00FE0DBD" w14:paraId="10925FE2" w14:textId="77777777" w:rsidTr="00640360">
        <w:trPr>
          <w:trHeight w:val="20"/>
        </w:trPr>
        <w:tc>
          <w:tcPr>
            <w:tcW w:w="871" w:type="dxa"/>
            <w:shd w:val="clear" w:color="auto" w:fill="auto"/>
          </w:tcPr>
          <w:p w14:paraId="3A731E3B" w14:textId="77777777" w:rsidR="004A57A9" w:rsidRPr="006D2C16" w:rsidRDefault="004A57A9" w:rsidP="00640360">
            <w:pPr>
              <w:spacing w:before="60" w:after="60"/>
              <w:rPr>
                <w:rFonts w:ascii="Times New Roman" w:hAnsi="Times New Roman" w:cs="Times New Roman"/>
                <w:sz w:val="16"/>
                <w:szCs w:val="16"/>
              </w:rPr>
            </w:pPr>
            <w:r w:rsidRPr="006D2C16">
              <w:rPr>
                <w:rFonts w:ascii="Times New Roman" w:hAnsi="Times New Roman" w:cs="Times New Roman"/>
                <w:sz w:val="16"/>
                <w:szCs w:val="16"/>
                <w:lang w:val="hy-AM"/>
              </w:rPr>
              <w:t>Q2</w:t>
            </w:r>
          </w:p>
        </w:tc>
        <w:tc>
          <w:tcPr>
            <w:tcW w:w="1074" w:type="dxa"/>
            <w:shd w:val="clear" w:color="auto" w:fill="auto"/>
            <w:vAlign w:val="center"/>
          </w:tcPr>
          <w:p w14:paraId="6D5B9A7E"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0.0%</w:t>
            </w:r>
          </w:p>
        </w:tc>
        <w:tc>
          <w:tcPr>
            <w:tcW w:w="1073" w:type="dxa"/>
            <w:shd w:val="clear" w:color="auto" w:fill="auto"/>
            <w:vAlign w:val="center"/>
          </w:tcPr>
          <w:p w14:paraId="6E42C48A"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0.8%</w:t>
            </w:r>
          </w:p>
        </w:tc>
        <w:tc>
          <w:tcPr>
            <w:tcW w:w="1073" w:type="dxa"/>
            <w:shd w:val="clear" w:color="auto" w:fill="auto"/>
            <w:vAlign w:val="center"/>
          </w:tcPr>
          <w:p w14:paraId="127ACA36"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52.9%</w:t>
            </w:r>
          </w:p>
        </w:tc>
        <w:tc>
          <w:tcPr>
            <w:tcW w:w="1073" w:type="dxa"/>
            <w:shd w:val="clear" w:color="auto" w:fill="auto"/>
            <w:vAlign w:val="center"/>
          </w:tcPr>
          <w:p w14:paraId="0BAC38A3"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37.3%</w:t>
            </w:r>
          </w:p>
        </w:tc>
        <w:tc>
          <w:tcPr>
            <w:tcW w:w="1073" w:type="dxa"/>
            <w:shd w:val="clear" w:color="auto" w:fill="auto"/>
            <w:vAlign w:val="center"/>
          </w:tcPr>
          <w:p w14:paraId="69056F79"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9.0%</w:t>
            </w:r>
          </w:p>
        </w:tc>
      </w:tr>
      <w:tr w:rsidR="004A57A9" w:rsidRPr="00FE0DBD" w14:paraId="48379AAF" w14:textId="77777777" w:rsidTr="00640360">
        <w:trPr>
          <w:trHeight w:val="20"/>
        </w:trPr>
        <w:tc>
          <w:tcPr>
            <w:tcW w:w="871" w:type="dxa"/>
            <w:shd w:val="clear" w:color="auto" w:fill="auto"/>
          </w:tcPr>
          <w:p w14:paraId="5A751C4B" w14:textId="77777777" w:rsidR="004A57A9" w:rsidRPr="006D2C16" w:rsidRDefault="004A57A9" w:rsidP="00640360">
            <w:pPr>
              <w:spacing w:before="60" w:after="60"/>
              <w:rPr>
                <w:rFonts w:ascii="Times New Roman" w:hAnsi="Times New Roman" w:cs="Times New Roman"/>
                <w:sz w:val="16"/>
                <w:szCs w:val="16"/>
                <w:lang w:val="hy-AM"/>
              </w:rPr>
            </w:pPr>
            <w:r w:rsidRPr="006D2C16">
              <w:rPr>
                <w:rFonts w:ascii="Times New Roman" w:hAnsi="Times New Roman" w:cs="Times New Roman"/>
                <w:sz w:val="16"/>
                <w:szCs w:val="16"/>
                <w:lang w:val="hy-AM"/>
              </w:rPr>
              <w:t>Q3</w:t>
            </w:r>
          </w:p>
        </w:tc>
        <w:tc>
          <w:tcPr>
            <w:tcW w:w="1074" w:type="dxa"/>
            <w:shd w:val="clear" w:color="auto" w:fill="auto"/>
            <w:vAlign w:val="center"/>
          </w:tcPr>
          <w:p w14:paraId="59CB561E"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0.1%</w:t>
            </w:r>
          </w:p>
        </w:tc>
        <w:tc>
          <w:tcPr>
            <w:tcW w:w="1073" w:type="dxa"/>
            <w:shd w:val="clear" w:color="auto" w:fill="auto"/>
            <w:vAlign w:val="center"/>
          </w:tcPr>
          <w:p w14:paraId="68B393D0"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2.3%</w:t>
            </w:r>
          </w:p>
        </w:tc>
        <w:tc>
          <w:tcPr>
            <w:tcW w:w="1073" w:type="dxa"/>
            <w:shd w:val="clear" w:color="auto" w:fill="auto"/>
            <w:vAlign w:val="center"/>
          </w:tcPr>
          <w:p w14:paraId="4C3A8760"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57.5%</w:t>
            </w:r>
          </w:p>
        </w:tc>
        <w:tc>
          <w:tcPr>
            <w:tcW w:w="1073" w:type="dxa"/>
            <w:shd w:val="clear" w:color="auto" w:fill="auto"/>
            <w:vAlign w:val="center"/>
          </w:tcPr>
          <w:p w14:paraId="7C684E87"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31.4%</w:t>
            </w:r>
          </w:p>
        </w:tc>
        <w:tc>
          <w:tcPr>
            <w:tcW w:w="1073" w:type="dxa"/>
            <w:shd w:val="clear" w:color="auto" w:fill="auto"/>
            <w:vAlign w:val="center"/>
          </w:tcPr>
          <w:p w14:paraId="48999D62"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8.6%</w:t>
            </w:r>
          </w:p>
        </w:tc>
      </w:tr>
      <w:tr w:rsidR="004A57A9" w:rsidRPr="00FE0DBD" w14:paraId="7EEC5D37" w14:textId="77777777" w:rsidTr="00640360">
        <w:trPr>
          <w:trHeight w:val="20"/>
        </w:trPr>
        <w:tc>
          <w:tcPr>
            <w:tcW w:w="871" w:type="dxa"/>
            <w:shd w:val="clear" w:color="auto" w:fill="auto"/>
          </w:tcPr>
          <w:p w14:paraId="1835FC80" w14:textId="77777777" w:rsidR="004A57A9" w:rsidRPr="006D2C16" w:rsidRDefault="004A57A9" w:rsidP="00640360">
            <w:pPr>
              <w:spacing w:before="60" w:after="60"/>
              <w:rPr>
                <w:rFonts w:ascii="Times New Roman" w:hAnsi="Times New Roman" w:cs="Times New Roman"/>
                <w:sz w:val="16"/>
                <w:szCs w:val="16"/>
                <w:lang w:val="hy-AM"/>
              </w:rPr>
            </w:pPr>
            <w:r w:rsidRPr="006D2C16">
              <w:rPr>
                <w:rFonts w:ascii="Times New Roman" w:hAnsi="Times New Roman" w:cs="Times New Roman"/>
                <w:sz w:val="16"/>
                <w:szCs w:val="16"/>
                <w:lang w:val="hy-AM"/>
              </w:rPr>
              <w:t>Q4</w:t>
            </w:r>
          </w:p>
        </w:tc>
        <w:tc>
          <w:tcPr>
            <w:tcW w:w="1074" w:type="dxa"/>
            <w:shd w:val="clear" w:color="auto" w:fill="auto"/>
            <w:vAlign w:val="center"/>
          </w:tcPr>
          <w:p w14:paraId="6A247491"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1.5%</w:t>
            </w:r>
          </w:p>
        </w:tc>
        <w:tc>
          <w:tcPr>
            <w:tcW w:w="1073" w:type="dxa"/>
            <w:shd w:val="clear" w:color="auto" w:fill="auto"/>
            <w:vAlign w:val="center"/>
          </w:tcPr>
          <w:p w14:paraId="1398D61D"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10.8%</w:t>
            </w:r>
          </w:p>
        </w:tc>
        <w:tc>
          <w:tcPr>
            <w:tcW w:w="1073" w:type="dxa"/>
            <w:shd w:val="clear" w:color="auto" w:fill="auto"/>
            <w:vAlign w:val="center"/>
          </w:tcPr>
          <w:p w14:paraId="695ADE8A"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67.7%</w:t>
            </w:r>
          </w:p>
        </w:tc>
        <w:tc>
          <w:tcPr>
            <w:tcW w:w="1073" w:type="dxa"/>
            <w:shd w:val="clear" w:color="auto" w:fill="auto"/>
            <w:vAlign w:val="center"/>
          </w:tcPr>
          <w:p w14:paraId="5E184353"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16.8%</w:t>
            </w:r>
          </w:p>
        </w:tc>
        <w:tc>
          <w:tcPr>
            <w:tcW w:w="1073" w:type="dxa"/>
            <w:shd w:val="clear" w:color="auto" w:fill="auto"/>
            <w:vAlign w:val="center"/>
          </w:tcPr>
          <w:p w14:paraId="63DBB645"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3.3%</w:t>
            </w:r>
          </w:p>
        </w:tc>
      </w:tr>
      <w:tr w:rsidR="004A57A9" w:rsidRPr="00FE0DBD" w14:paraId="14C485BC" w14:textId="77777777" w:rsidTr="00640360">
        <w:trPr>
          <w:trHeight w:val="20"/>
        </w:trPr>
        <w:tc>
          <w:tcPr>
            <w:tcW w:w="871" w:type="dxa"/>
            <w:shd w:val="clear" w:color="auto" w:fill="auto"/>
          </w:tcPr>
          <w:p w14:paraId="4CC0F340" w14:textId="77777777" w:rsidR="004A57A9" w:rsidRPr="006D2C16" w:rsidRDefault="004A57A9" w:rsidP="00640360">
            <w:pPr>
              <w:spacing w:before="60" w:after="60"/>
              <w:rPr>
                <w:rFonts w:ascii="Times New Roman" w:hAnsi="Times New Roman" w:cs="Times New Roman"/>
                <w:sz w:val="16"/>
                <w:szCs w:val="16"/>
              </w:rPr>
            </w:pPr>
            <w:r w:rsidRPr="006D2C16">
              <w:rPr>
                <w:rFonts w:ascii="Times New Roman" w:hAnsi="Times New Roman" w:cs="Times New Roman"/>
                <w:sz w:val="16"/>
                <w:szCs w:val="16"/>
                <w:lang w:val="hy-AM"/>
              </w:rPr>
              <w:t>Q1</w:t>
            </w:r>
            <w:r w:rsidRPr="006D2C16">
              <w:rPr>
                <w:rFonts w:ascii="Times New Roman" w:hAnsi="Times New Roman" w:cs="Times New Roman"/>
                <w:sz w:val="16"/>
                <w:szCs w:val="16"/>
              </w:rPr>
              <w:t xml:space="preserve"> 2016</w:t>
            </w:r>
          </w:p>
        </w:tc>
        <w:tc>
          <w:tcPr>
            <w:tcW w:w="1074" w:type="dxa"/>
            <w:shd w:val="clear" w:color="auto" w:fill="auto"/>
            <w:vAlign w:val="center"/>
          </w:tcPr>
          <w:p w14:paraId="2140CA39"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2.7%</w:t>
            </w:r>
          </w:p>
        </w:tc>
        <w:tc>
          <w:tcPr>
            <w:tcW w:w="1073" w:type="dxa"/>
            <w:shd w:val="clear" w:color="auto" w:fill="auto"/>
            <w:vAlign w:val="center"/>
          </w:tcPr>
          <w:p w14:paraId="4D9ABCBB"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14.1%</w:t>
            </w:r>
          </w:p>
        </w:tc>
        <w:tc>
          <w:tcPr>
            <w:tcW w:w="1073" w:type="dxa"/>
            <w:shd w:val="clear" w:color="auto" w:fill="auto"/>
            <w:vAlign w:val="center"/>
          </w:tcPr>
          <w:p w14:paraId="44472B79"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66.4%</w:t>
            </w:r>
          </w:p>
        </w:tc>
        <w:tc>
          <w:tcPr>
            <w:tcW w:w="1073" w:type="dxa"/>
            <w:shd w:val="clear" w:color="auto" w:fill="auto"/>
            <w:vAlign w:val="center"/>
          </w:tcPr>
          <w:p w14:paraId="795B9D1E"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14.1%</w:t>
            </w:r>
          </w:p>
        </w:tc>
        <w:tc>
          <w:tcPr>
            <w:tcW w:w="1073" w:type="dxa"/>
            <w:shd w:val="clear" w:color="auto" w:fill="auto"/>
            <w:vAlign w:val="center"/>
          </w:tcPr>
          <w:p w14:paraId="4AA771C6"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2.7%</w:t>
            </w:r>
          </w:p>
        </w:tc>
      </w:tr>
      <w:tr w:rsidR="004A57A9" w:rsidRPr="00FE0DBD" w14:paraId="223379F3" w14:textId="77777777" w:rsidTr="00640360">
        <w:trPr>
          <w:trHeight w:val="20"/>
        </w:trPr>
        <w:tc>
          <w:tcPr>
            <w:tcW w:w="871" w:type="dxa"/>
            <w:shd w:val="clear" w:color="auto" w:fill="auto"/>
          </w:tcPr>
          <w:p w14:paraId="524B37BD" w14:textId="77777777" w:rsidR="004A57A9" w:rsidRPr="006D2C16" w:rsidRDefault="004A57A9" w:rsidP="00640360">
            <w:pPr>
              <w:spacing w:before="60" w:after="60"/>
              <w:rPr>
                <w:rFonts w:ascii="Times New Roman" w:hAnsi="Times New Roman" w:cs="Times New Roman"/>
                <w:sz w:val="16"/>
                <w:szCs w:val="16"/>
              </w:rPr>
            </w:pPr>
            <w:r w:rsidRPr="006D2C16">
              <w:rPr>
                <w:rFonts w:ascii="Times New Roman" w:hAnsi="Times New Roman" w:cs="Times New Roman"/>
                <w:sz w:val="16"/>
                <w:szCs w:val="16"/>
                <w:lang w:val="hy-AM"/>
              </w:rPr>
              <w:t>Q2</w:t>
            </w:r>
          </w:p>
        </w:tc>
        <w:tc>
          <w:tcPr>
            <w:tcW w:w="1074" w:type="dxa"/>
            <w:shd w:val="clear" w:color="auto" w:fill="auto"/>
            <w:vAlign w:val="center"/>
          </w:tcPr>
          <w:p w14:paraId="2AA64193"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2.8%</w:t>
            </w:r>
          </w:p>
        </w:tc>
        <w:tc>
          <w:tcPr>
            <w:tcW w:w="1073" w:type="dxa"/>
            <w:shd w:val="clear" w:color="auto" w:fill="auto"/>
            <w:vAlign w:val="center"/>
          </w:tcPr>
          <w:p w14:paraId="472E7E2B"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12.9%</w:t>
            </w:r>
          </w:p>
        </w:tc>
        <w:tc>
          <w:tcPr>
            <w:tcW w:w="1073" w:type="dxa"/>
            <w:shd w:val="clear" w:color="auto" w:fill="auto"/>
            <w:vAlign w:val="center"/>
          </w:tcPr>
          <w:p w14:paraId="5DAB0253"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63.1%</w:t>
            </w:r>
          </w:p>
        </w:tc>
        <w:tc>
          <w:tcPr>
            <w:tcW w:w="1073" w:type="dxa"/>
            <w:shd w:val="clear" w:color="auto" w:fill="auto"/>
            <w:vAlign w:val="center"/>
          </w:tcPr>
          <w:p w14:paraId="048507AB"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16.8%</w:t>
            </w:r>
          </w:p>
        </w:tc>
        <w:tc>
          <w:tcPr>
            <w:tcW w:w="1073" w:type="dxa"/>
            <w:shd w:val="clear" w:color="auto" w:fill="auto"/>
            <w:vAlign w:val="center"/>
          </w:tcPr>
          <w:p w14:paraId="7E83D29B"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4.4%</w:t>
            </w:r>
          </w:p>
        </w:tc>
      </w:tr>
      <w:tr w:rsidR="004A57A9" w:rsidRPr="00FE0DBD" w14:paraId="6915BB4D" w14:textId="77777777" w:rsidTr="00640360">
        <w:trPr>
          <w:trHeight w:val="20"/>
        </w:trPr>
        <w:tc>
          <w:tcPr>
            <w:tcW w:w="871" w:type="dxa"/>
            <w:shd w:val="clear" w:color="auto" w:fill="auto"/>
          </w:tcPr>
          <w:p w14:paraId="2BDA19A6" w14:textId="77777777" w:rsidR="004A57A9" w:rsidRPr="006D2C16" w:rsidRDefault="004A57A9" w:rsidP="00640360">
            <w:pPr>
              <w:spacing w:before="60" w:after="60"/>
              <w:rPr>
                <w:rFonts w:ascii="Times New Roman" w:hAnsi="Times New Roman" w:cs="Times New Roman"/>
                <w:sz w:val="16"/>
                <w:szCs w:val="16"/>
                <w:lang w:val="hy-AM"/>
              </w:rPr>
            </w:pPr>
            <w:r w:rsidRPr="006D2C16">
              <w:rPr>
                <w:rFonts w:ascii="Times New Roman" w:hAnsi="Times New Roman" w:cs="Times New Roman"/>
                <w:sz w:val="16"/>
                <w:szCs w:val="16"/>
                <w:lang w:val="hy-AM"/>
              </w:rPr>
              <w:t>Q3</w:t>
            </w:r>
          </w:p>
        </w:tc>
        <w:tc>
          <w:tcPr>
            <w:tcW w:w="1074" w:type="dxa"/>
            <w:shd w:val="clear" w:color="auto" w:fill="auto"/>
            <w:vAlign w:val="center"/>
          </w:tcPr>
          <w:p w14:paraId="6916BBE3"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2.7%</w:t>
            </w:r>
          </w:p>
        </w:tc>
        <w:tc>
          <w:tcPr>
            <w:tcW w:w="1073" w:type="dxa"/>
            <w:shd w:val="clear" w:color="auto" w:fill="auto"/>
            <w:vAlign w:val="center"/>
          </w:tcPr>
          <w:p w14:paraId="2832D15A"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12.4%</w:t>
            </w:r>
          </w:p>
        </w:tc>
        <w:tc>
          <w:tcPr>
            <w:tcW w:w="1073" w:type="dxa"/>
            <w:shd w:val="clear" w:color="auto" w:fill="auto"/>
            <w:vAlign w:val="center"/>
          </w:tcPr>
          <w:p w14:paraId="40963406"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62.4%</w:t>
            </w:r>
          </w:p>
        </w:tc>
        <w:tc>
          <w:tcPr>
            <w:tcW w:w="1073" w:type="dxa"/>
            <w:shd w:val="clear" w:color="auto" w:fill="auto"/>
            <w:vAlign w:val="center"/>
          </w:tcPr>
          <w:p w14:paraId="5D56AB36"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17.6%</w:t>
            </w:r>
          </w:p>
        </w:tc>
        <w:tc>
          <w:tcPr>
            <w:tcW w:w="1073" w:type="dxa"/>
            <w:shd w:val="clear" w:color="auto" w:fill="auto"/>
            <w:vAlign w:val="center"/>
          </w:tcPr>
          <w:p w14:paraId="60F31912"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5.0%</w:t>
            </w:r>
          </w:p>
        </w:tc>
      </w:tr>
      <w:tr w:rsidR="004A57A9" w:rsidRPr="00FE0DBD" w14:paraId="46B73F01" w14:textId="77777777" w:rsidTr="00640360">
        <w:trPr>
          <w:trHeight w:val="20"/>
        </w:trPr>
        <w:tc>
          <w:tcPr>
            <w:tcW w:w="871" w:type="dxa"/>
            <w:shd w:val="clear" w:color="auto" w:fill="auto"/>
          </w:tcPr>
          <w:p w14:paraId="01BF6B2B" w14:textId="77777777" w:rsidR="004A57A9" w:rsidRPr="006D2C16" w:rsidRDefault="004A57A9" w:rsidP="00640360">
            <w:pPr>
              <w:spacing w:before="60" w:after="60"/>
              <w:rPr>
                <w:rFonts w:ascii="Times New Roman" w:hAnsi="Times New Roman" w:cs="Times New Roman"/>
                <w:sz w:val="16"/>
                <w:szCs w:val="16"/>
                <w:lang w:val="hy-AM"/>
              </w:rPr>
            </w:pPr>
            <w:r w:rsidRPr="006D2C16">
              <w:rPr>
                <w:rFonts w:ascii="Times New Roman" w:hAnsi="Times New Roman" w:cs="Times New Roman"/>
                <w:sz w:val="16"/>
                <w:szCs w:val="16"/>
                <w:lang w:val="hy-AM"/>
              </w:rPr>
              <w:t>Q4</w:t>
            </w:r>
          </w:p>
        </w:tc>
        <w:tc>
          <w:tcPr>
            <w:tcW w:w="1074" w:type="dxa"/>
            <w:shd w:val="clear" w:color="auto" w:fill="auto"/>
            <w:vAlign w:val="center"/>
          </w:tcPr>
          <w:p w14:paraId="277EFD35"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3.2%</w:t>
            </w:r>
          </w:p>
        </w:tc>
        <w:tc>
          <w:tcPr>
            <w:tcW w:w="1073" w:type="dxa"/>
            <w:shd w:val="clear" w:color="auto" w:fill="auto"/>
            <w:vAlign w:val="center"/>
          </w:tcPr>
          <w:p w14:paraId="4DC490A7"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13.5%</w:t>
            </w:r>
          </w:p>
        </w:tc>
        <w:tc>
          <w:tcPr>
            <w:tcW w:w="1073" w:type="dxa"/>
            <w:shd w:val="clear" w:color="auto" w:fill="auto"/>
            <w:vAlign w:val="center"/>
          </w:tcPr>
          <w:p w14:paraId="08EE4292"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62.1%</w:t>
            </w:r>
          </w:p>
        </w:tc>
        <w:tc>
          <w:tcPr>
            <w:tcW w:w="1073" w:type="dxa"/>
            <w:shd w:val="clear" w:color="auto" w:fill="auto"/>
            <w:vAlign w:val="center"/>
          </w:tcPr>
          <w:p w14:paraId="377C7DBB"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16.6%</w:t>
            </w:r>
          </w:p>
        </w:tc>
        <w:tc>
          <w:tcPr>
            <w:tcW w:w="1073" w:type="dxa"/>
            <w:shd w:val="clear" w:color="auto" w:fill="auto"/>
            <w:vAlign w:val="center"/>
          </w:tcPr>
          <w:p w14:paraId="3DF04C98"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4.6%</w:t>
            </w:r>
          </w:p>
        </w:tc>
      </w:tr>
      <w:tr w:rsidR="004A57A9" w:rsidRPr="00FE0DBD" w14:paraId="47883801" w14:textId="77777777" w:rsidTr="00640360">
        <w:trPr>
          <w:trHeight w:val="20"/>
        </w:trPr>
        <w:tc>
          <w:tcPr>
            <w:tcW w:w="871" w:type="dxa"/>
            <w:shd w:val="clear" w:color="auto" w:fill="auto"/>
          </w:tcPr>
          <w:p w14:paraId="7EF8F6C1" w14:textId="77777777" w:rsidR="004A57A9" w:rsidRPr="006D2C16" w:rsidRDefault="004A57A9" w:rsidP="00640360">
            <w:pPr>
              <w:spacing w:before="60" w:after="60"/>
              <w:rPr>
                <w:rFonts w:ascii="Times New Roman" w:hAnsi="Times New Roman" w:cs="Times New Roman"/>
                <w:sz w:val="16"/>
                <w:szCs w:val="16"/>
              </w:rPr>
            </w:pPr>
            <w:r w:rsidRPr="006D2C16">
              <w:rPr>
                <w:rFonts w:ascii="Times New Roman" w:hAnsi="Times New Roman" w:cs="Times New Roman"/>
                <w:sz w:val="16"/>
                <w:szCs w:val="16"/>
                <w:lang w:val="hy-AM"/>
              </w:rPr>
              <w:t xml:space="preserve">Q1 </w:t>
            </w:r>
            <w:r w:rsidRPr="006D2C16">
              <w:rPr>
                <w:rFonts w:ascii="Times New Roman" w:hAnsi="Times New Roman" w:cs="Times New Roman"/>
                <w:sz w:val="16"/>
                <w:szCs w:val="16"/>
              </w:rPr>
              <w:t>2017</w:t>
            </w:r>
          </w:p>
        </w:tc>
        <w:tc>
          <w:tcPr>
            <w:tcW w:w="1074" w:type="dxa"/>
            <w:shd w:val="clear" w:color="auto" w:fill="auto"/>
            <w:vAlign w:val="center"/>
          </w:tcPr>
          <w:p w14:paraId="301F51CF"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6.2%</w:t>
            </w:r>
          </w:p>
        </w:tc>
        <w:tc>
          <w:tcPr>
            <w:tcW w:w="1073" w:type="dxa"/>
            <w:shd w:val="clear" w:color="auto" w:fill="auto"/>
            <w:vAlign w:val="center"/>
          </w:tcPr>
          <w:p w14:paraId="3C924A3E"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17.9%</w:t>
            </w:r>
          </w:p>
        </w:tc>
        <w:tc>
          <w:tcPr>
            <w:tcW w:w="1073" w:type="dxa"/>
            <w:shd w:val="clear" w:color="auto" w:fill="auto"/>
            <w:vAlign w:val="center"/>
          </w:tcPr>
          <w:p w14:paraId="5336F068"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59.4%</w:t>
            </w:r>
          </w:p>
        </w:tc>
        <w:tc>
          <w:tcPr>
            <w:tcW w:w="1073" w:type="dxa"/>
            <w:shd w:val="clear" w:color="auto" w:fill="auto"/>
            <w:vAlign w:val="center"/>
          </w:tcPr>
          <w:p w14:paraId="7DB1B559"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13.0%</w:t>
            </w:r>
          </w:p>
        </w:tc>
        <w:tc>
          <w:tcPr>
            <w:tcW w:w="1073" w:type="dxa"/>
            <w:shd w:val="clear" w:color="auto" w:fill="auto"/>
            <w:vAlign w:val="center"/>
          </w:tcPr>
          <w:p w14:paraId="258702EE"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3.5%</w:t>
            </w:r>
          </w:p>
        </w:tc>
      </w:tr>
      <w:tr w:rsidR="004A57A9" w:rsidRPr="00FE0DBD" w14:paraId="1DB24F2F" w14:textId="77777777" w:rsidTr="00640360">
        <w:trPr>
          <w:trHeight w:val="20"/>
        </w:trPr>
        <w:tc>
          <w:tcPr>
            <w:tcW w:w="871" w:type="dxa"/>
            <w:shd w:val="clear" w:color="auto" w:fill="auto"/>
          </w:tcPr>
          <w:p w14:paraId="4FD96C82" w14:textId="77777777" w:rsidR="004A57A9" w:rsidRPr="006D2C16" w:rsidRDefault="004A57A9" w:rsidP="00640360">
            <w:pPr>
              <w:spacing w:before="60" w:after="60"/>
              <w:rPr>
                <w:rFonts w:ascii="Times New Roman" w:hAnsi="Times New Roman" w:cs="Times New Roman"/>
                <w:sz w:val="16"/>
                <w:szCs w:val="16"/>
              </w:rPr>
            </w:pPr>
            <w:r w:rsidRPr="006D2C16">
              <w:rPr>
                <w:rFonts w:ascii="Times New Roman" w:hAnsi="Times New Roman" w:cs="Times New Roman"/>
                <w:sz w:val="16"/>
                <w:szCs w:val="16"/>
                <w:lang w:val="hy-AM"/>
              </w:rPr>
              <w:t>Q2</w:t>
            </w:r>
          </w:p>
        </w:tc>
        <w:tc>
          <w:tcPr>
            <w:tcW w:w="1074" w:type="dxa"/>
            <w:shd w:val="clear" w:color="auto" w:fill="auto"/>
            <w:vAlign w:val="center"/>
          </w:tcPr>
          <w:p w14:paraId="63249183"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9.7%</w:t>
            </w:r>
          </w:p>
        </w:tc>
        <w:tc>
          <w:tcPr>
            <w:tcW w:w="1073" w:type="dxa"/>
            <w:shd w:val="clear" w:color="auto" w:fill="auto"/>
            <w:vAlign w:val="center"/>
          </w:tcPr>
          <w:p w14:paraId="0CEF4A13"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20.3%</w:t>
            </w:r>
          </w:p>
        </w:tc>
        <w:tc>
          <w:tcPr>
            <w:tcW w:w="1073" w:type="dxa"/>
            <w:shd w:val="clear" w:color="auto" w:fill="auto"/>
            <w:vAlign w:val="center"/>
          </w:tcPr>
          <w:p w14:paraId="52F97B91"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54.6%</w:t>
            </w:r>
          </w:p>
        </w:tc>
        <w:tc>
          <w:tcPr>
            <w:tcW w:w="1073" w:type="dxa"/>
            <w:shd w:val="clear" w:color="auto" w:fill="auto"/>
            <w:vAlign w:val="center"/>
          </w:tcPr>
          <w:p w14:paraId="48063A26"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11.7%</w:t>
            </w:r>
          </w:p>
        </w:tc>
        <w:tc>
          <w:tcPr>
            <w:tcW w:w="1073" w:type="dxa"/>
            <w:shd w:val="clear" w:color="auto" w:fill="auto"/>
            <w:vAlign w:val="center"/>
          </w:tcPr>
          <w:p w14:paraId="31F1A0CB"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3.6%</w:t>
            </w:r>
          </w:p>
        </w:tc>
      </w:tr>
      <w:tr w:rsidR="004A57A9" w:rsidRPr="00FE0DBD" w14:paraId="7C9FB4A5" w14:textId="77777777" w:rsidTr="00640360">
        <w:trPr>
          <w:trHeight w:val="20"/>
        </w:trPr>
        <w:tc>
          <w:tcPr>
            <w:tcW w:w="871" w:type="dxa"/>
            <w:shd w:val="clear" w:color="auto" w:fill="auto"/>
          </w:tcPr>
          <w:p w14:paraId="5C9483D5" w14:textId="77777777" w:rsidR="004A57A9" w:rsidRPr="006D2C16" w:rsidRDefault="004A57A9" w:rsidP="00640360">
            <w:pPr>
              <w:spacing w:before="60" w:after="60"/>
              <w:rPr>
                <w:rFonts w:ascii="Times New Roman" w:hAnsi="Times New Roman" w:cs="Times New Roman"/>
                <w:sz w:val="16"/>
                <w:szCs w:val="16"/>
                <w:lang w:val="hy-AM"/>
              </w:rPr>
            </w:pPr>
            <w:r w:rsidRPr="006D2C16">
              <w:rPr>
                <w:rFonts w:ascii="Times New Roman" w:hAnsi="Times New Roman" w:cs="Times New Roman"/>
                <w:sz w:val="16"/>
                <w:szCs w:val="16"/>
                <w:lang w:val="hy-AM"/>
              </w:rPr>
              <w:t>Q3</w:t>
            </w:r>
          </w:p>
        </w:tc>
        <w:tc>
          <w:tcPr>
            <w:tcW w:w="1074" w:type="dxa"/>
            <w:shd w:val="clear" w:color="auto" w:fill="auto"/>
            <w:vAlign w:val="center"/>
          </w:tcPr>
          <w:p w14:paraId="48926057"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11.2%</w:t>
            </w:r>
          </w:p>
        </w:tc>
        <w:tc>
          <w:tcPr>
            <w:tcW w:w="1073" w:type="dxa"/>
            <w:shd w:val="clear" w:color="auto" w:fill="auto"/>
            <w:vAlign w:val="center"/>
          </w:tcPr>
          <w:p w14:paraId="3286BAE7"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21.3%</w:t>
            </w:r>
          </w:p>
        </w:tc>
        <w:tc>
          <w:tcPr>
            <w:tcW w:w="1073" w:type="dxa"/>
            <w:shd w:val="clear" w:color="auto" w:fill="auto"/>
            <w:vAlign w:val="center"/>
          </w:tcPr>
          <w:p w14:paraId="75BD0CD3"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53.3%</w:t>
            </w:r>
          </w:p>
        </w:tc>
        <w:tc>
          <w:tcPr>
            <w:tcW w:w="1073" w:type="dxa"/>
            <w:shd w:val="clear" w:color="auto" w:fill="auto"/>
            <w:vAlign w:val="center"/>
          </w:tcPr>
          <w:p w14:paraId="70A203D8"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10.9%</w:t>
            </w:r>
          </w:p>
        </w:tc>
        <w:tc>
          <w:tcPr>
            <w:tcW w:w="1073" w:type="dxa"/>
            <w:shd w:val="clear" w:color="auto" w:fill="auto"/>
            <w:vAlign w:val="center"/>
          </w:tcPr>
          <w:p w14:paraId="127A65CA"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3.4%</w:t>
            </w:r>
          </w:p>
        </w:tc>
      </w:tr>
      <w:tr w:rsidR="004A57A9" w:rsidRPr="00FE0DBD" w14:paraId="4C11CB31" w14:textId="77777777" w:rsidTr="00640360">
        <w:trPr>
          <w:trHeight w:val="20"/>
        </w:trPr>
        <w:tc>
          <w:tcPr>
            <w:tcW w:w="871" w:type="dxa"/>
            <w:shd w:val="clear" w:color="auto" w:fill="auto"/>
          </w:tcPr>
          <w:p w14:paraId="15E21BF9" w14:textId="77777777" w:rsidR="004A57A9" w:rsidRPr="006D2C16" w:rsidRDefault="004A57A9" w:rsidP="00640360">
            <w:pPr>
              <w:spacing w:before="60" w:after="60"/>
              <w:rPr>
                <w:rFonts w:ascii="Times New Roman" w:hAnsi="Times New Roman" w:cs="Times New Roman"/>
                <w:sz w:val="16"/>
                <w:szCs w:val="16"/>
                <w:lang w:val="hy-AM"/>
              </w:rPr>
            </w:pPr>
            <w:r w:rsidRPr="006D2C16">
              <w:rPr>
                <w:rFonts w:ascii="Times New Roman" w:hAnsi="Times New Roman" w:cs="Times New Roman"/>
                <w:sz w:val="16"/>
                <w:szCs w:val="16"/>
                <w:lang w:val="hy-AM"/>
              </w:rPr>
              <w:t>Q4</w:t>
            </w:r>
          </w:p>
        </w:tc>
        <w:tc>
          <w:tcPr>
            <w:tcW w:w="1074" w:type="dxa"/>
            <w:shd w:val="clear" w:color="auto" w:fill="auto"/>
            <w:vAlign w:val="center"/>
          </w:tcPr>
          <w:p w14:paraId="1E57E704"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11.5%</w:t>
            </w:r>
          </w:p>
        </w:tc>
        <w:tc>
          <w:tcPr>
            <w:tcW w:w="1073" w:type="dxa"/>
            <w:shd w:val="clear" w:color="auto" w:fill="auto"/>
            <w:vAlign w:val="center"/>
          </w:tcPr>
          <w:p w14:paraId="2D4649D7"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21.1%</w:t>
            </w:r>
          </w:p>
        </w:tc>
        <w:tc>
          <w:tcPr>
            <w:tcW w:w="1073" w:type="dxa"/>
            <w:shd w:val="clear" w:color="auto" w:fill="auto"/>
            <w:vAlign w:val="center"/>
          </w:tcPr>
          <w:p w14:paraId="7C8B7838"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52.7%</w:t>
            </w:r>
          </w:p>
        </w:tc>
        <w:tc>
          <w:tcPr>
            <w:tcW w:w="1073" w:type="dxa"/>
            <w:shd w:val="clear" w:color="auto" w:fill="auto"/>
            <w:vAlign w:val="center"/>
          </w:tcPr>
          <w:p w14:paraId="0D90089D"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11.1%</w:t>
            </w:r>
          </w:p>
        </w:tc>
        <w:tc>
          <w:tcPr>
            <w:tcW w:w="1073" w:type="dxa"/>
            <w:shd w:val="clear" w:color="auto" w:fill="auto"/>
            <w:vAlign w:val="center"/>
          </w:tcPr>
          <w:p w14:paraId="69A723B5" w14:textId="77777777" w:rsidR="004A57A9" w:rsidRPr="006D2C16" w:rsidRDefault="004A57A9" w:rsidP="00640360">
            <w:pPr>
              <w:spacing w:before="60" w:after="60"/>
              <w:jc w:val="center"/>
              <w:rPr>
                <w:rFonts w:ascii="Times New Roman" w:hAnsi="Times New Roman" w:cs="Times New Roman"/>
                <w:sz w:val="16"/>
                <w:szCs w:val="16"/>
              </w:rPr>
            </w:pPr>
            <w:r w:rsidRPr="006D2C16">
              <w:rPr>
                <w:rFonts w:ascii="Times New Roman" w:hAnsi="Times New Roman" w:cs="Times New Roman"/>
                <w:sz w:val="16"/>
                <w:szCs w:val="16"/>
              </w:rPr>
              <w:t>3.6%</w:t>
            </w:r>
          </w:p>
        </w:tc>
      </w:tr>
    </w:tbl>
    <w:p w14:paraId="61ACFAFA" w14:textId="77777777" w:rsidR="004A57A9" w:rsidRPr="00FE0DBD" w:rsidRDefault="004A57A9" w:rsidP="004A57A9">
      <w:pPr>
        <w:spacing w:after="240"/>
        <w:ind w:firstLine="284"/>
        <w:jc w:val="both"/>
        <w:rPr>
          <w:rFonts w:ascii="Times New Roman" w:hAnsi="Times New Roman" w:cs="Times New Roman"/>
          <w:color w:val="FF0000"/>
          <w:sz w:val="20"/>
          <w:szCs w:val="20"/>
        </w:rPr>
      </w:pPr>
    </w:p>
    <w:p w14:paraId="44254367" w14:textId="77777777" w:rsidR="00576D53" w:rsidRPr="00FE0DBD" w:rsidRDefault="00576D53" w:rsidP="00A9653E">
      <w:pPr>
        <w:spacing w:line="360" w:lineRule="auto"/>
        <w:jc w:val="both"/>
        <w:rPr>
          <w:rFonts w:ascii="Times New Roman" w:hAnsi="Times New Roman" w:cs="Times New Roman"/>
          <w:sz w:val="20"/>
          <w:szCs w:val="20"/>
        </w:rPr>
      </w:pPr>
    </w:p>
    <w:p w14:paraId="540BA4F3" w14:textId="77777777" w:rsidR="00A9653E" w:rsidRPr="00EC356F" w:rsidRDefault="00A9653E" w:rsidP="0029403D">
      <w:pPr>
        <w:spacing w:line="360" w:lineRule="auto"/>
        <w:jc w:val="both"/>
        <w:rPr>
          <w:rFonts w:ascii="Times New Roman" w:hAnsi="Times New Roman" w:cs="Times New Roman"/>
          <w:sz w:val="21"/>
          <w:szCs w:val="21"/>
        </w:rPr>
      </w:pPr>
      <w:r w:rsidRPr="00FE0DBD">
        <w:rPr>
          <w:rFonts w:ascii="Times New Roman" w:hAnsi="Times New Roman" w:cs="Times New Roman"/>
          <w:b/>
          <w:sz w:val="21"/>
          <w:szCs w:val="21"/>
        </w:rPr>
        <w:t>Risks to inflation deviating from th</w:t>
      </w:r>
      <w:r w:rsidRPr="00EC356F">
        <w:rPr>
          <w:rFonts w:ascii="Times New Roman" w:hAnsi="Times New Roman" w:cs="Times New Roman"/>
          <w:b/>
          <w:sz w:val="21"/>
          <w:szCs w:val="21"/>
        </w:rPr>
        <w:t xml:space="preserve">e projected </w:t>
      </w:r>
      <w:r w:rsidR="00687C88">
        <w:rPr>
          <w:rFonts w:ascii="Times New Roman" w:hAnsi="Times New Roman" w:cs="Times New Roman"/>
          <w:b/>
          <w:sz w:val="21"/>
          <w:szCs w:val="21"/>
        </w:rPr>
        <w:t xml:space="preserve">central </w:t>
      </w:r>
      <w:r w:rsidRPr="00EC356F">
        <w:rPr>
          <w:rFonts w:ascii="Times New Roman" w:hAnsi="Times New Roman" w:cs="Times New Roman"/>
          <w:b/>
          <w:sz w:val="21"/>
          <w:szCs w:val="21"/>
        </w:rPr>
        <w:t>value are estimated as balanced</w:t>
      </w:r>
      <w:r w:rsidRPr="00EC356F">
        <w:rPr>
          <w:rFonts w:ascii="Times New Roman" w:hAnsi="Times New Roman" w:cs="Times New Roman"/>
          <w:sz w:val="21"/>
          <w:szCs w:val="21"/>
        </w:rPr>
        <w:t xml:space="preserve"> in both</w:t>
      </w:r>
      <w:r w:rsidR="00334A50">
        <w:rPr>
          <w:rFonts w:ascii="Times New Roman" w:hAnsi="Times New Roman" w:cs="Times New Roman"/>
          <w:sz w:val="21"/>
          <w:szCs w:val="21"/>
        </w:rPr>
        <w:t xml:space="preserve"> </w:t>
      </w:r>
      <w:r w:rsidRPr="00EC356F">
        <w:rPr>
          <w:rFonts w:ascii="Times New Roman" w:hAnsi="Times New Roman" w:cs="Times New Roman"/>
          <w:sz w:val="21"/>
          <w:szCs w:val="21"/>
        </w:rPr>
        <w:t xml:space="preserve">short and medium-term perspectives. </w:t>
      </w:r>
      <w:r w:rsidRPr="00D40444">
        <w:rPr>
          <w:rFonts w:ascii="Times New Roman" w:hAnsi="Times New Roman" w:cs="Times New Roman"/>
          <w:b/>
          <w:sz w:val="21"/>
          <w:szCs w:val="21"/>
        </w:rPr>
        <w:t>Risks deriving from the external sector</w:t>
      </w:r>
      <w:r w:rsidRPr="00EC356F">
        <w:rPr>
          <w:rFonts w:ascii="Times New Roman" w:hAnsi="Times New Roman" w:cs="Times New Roman"/>
          <w:sz w:val="21"/>
          <w:szCs w:val="21"/>
        </w:rPr>
        <w:t xml:space="preserve"> are primarily associated with </w:t>
      </w:r>
      <w:r w:rsidR="00687C88">
        <w:rPr>
          <w:rFonts w:ascii="Times New Roman" w:hAnsi="Times New Roman" w:cs="Times New Roman"/>
          <w:sz w:val="21"/>
          <w:szCs w:val="21"/>
        </w:rPr>
        <w:t xml:space="preserve">the </w:t>
      </w:r>
      <w:r w:rsidR="00D40444">
        <w:rPr>
          <w:rFonts w:ascii="Times New Roman" w:hAnsi="Times New Roman" w:cs="Times New Roman"/>
          <w:sz w:val="21"/>
          <w:szCs w:val="21"/>
        </w:rPr>
        <w:t>recover</w:t>
      </w:r>
      <w:r w:rsidR="00687C88">
        <w:rPr>
          <w:rFonts w:ascii="Times New Roman" w:hAnsi="Times New Roman" w:cs="Times New Roman"/>
          <w:sz w:val="21"/>
          <w:szCs w:val="21"/>
        </w:rPr>
        <w:t xml:space="preserve">y of world economic </w:t>
      </w:r>
      <w:r w:rsidR="00D40444">
        <w:rPr>
          <w:rFonts w:ascii="Times New Roman" w:hAnsi="Times New Roman" w:cs="Times New Roman"/>
          <w:sz w:val="21"/>
          <w:szCs w:val="21"/>
        </w:rPr>
        <w:t xml:space="preserve">growth and </w:t>
      </w:r>
      <w:r w:rsidR="004F6D63">
        <w:rPr>
          <w:rFonts w:ascii="Times New Roman" w:hAnsi="Times New Roman" w:cs="Times New Roman"/>
          <w:sz w:val="21"/>
          <w:szCs w:val="21"/>
        </w:rPr>
        <w:t xml:space="preserve">economic and geopolitical </w:t>
      </w:r>
      <w:r w:rsidRPr="00EC356F">
        <w:rPr>
          <w:rFonts w:ascii="Times New Roman" w:hAnsi="Times New Roman" w:cs="Times New Roman"/>
          <w:sz w:val="21"/>
          <w:szCs w:val="21"/>
        </w:rPr>
        <w:t xml:space="preserve">perspectives in emerging economies (Russia, in particular) and a spillover of their possible effects onto commodities and food product markets. </w:t>
      </w:r>
      <w:r w:rsidRPr="00D40444">
        <w:rPr>
          <w:rFonts w:ascii="Times New Roman" w:hAnsi="Times New Roman" w:cs="Times New Roman"/>
          <w:b/>
          <w:sz w:val="21"/>
          <w:szCs w:val="21"/>
        </w:rPr>
        <w:t>Risks coming from the domestic economy</w:t>
      </w:r>
      <w:r w:rsidR="00303EB7">
        <w:rPr>
          <w:rFonts w:ascii="Times New Roman" w:hAnsi="Times New Roman" w:cs="Times New Roman"/>
          <w:b/>
          <w:sz w:val="21"/>
          <w:szCs w:val="21"/>
        </w:rPr>
        <w:t xml:space="preserve"> </w:t>
      </w:r>
      <w:r w:rsidR="0029403D" w:rsidRPr="00EC356F">
        <w:rPr>
          <w:rFonts w:ascii="Times New Roman" w:hAnsi="Times New Roman" w:cs="Times New Roman"/>
          <w:sz w:val="21"/>
          <w:szCs w:val="21"/>
        </w:rPr>
        <w:t xml:space="preserve">are attributable to domestic demand developments, particularly </w:t>
      </w:r>
      <w:r w:rsidR="0029403D">
        <w:rPr>
          <w:rFonts w:ascii="Times New Roman" w:hAnsi="Times New Roman" w:cs="Times New Roman"/>
          <w:sz w:val="21"/>
          <w:szCs w:val="21"/>
        </w:rPr>
        <w:t xml:space="preserve">private consumption growth rates, </w:t>
      </w:r>
      <w:r w:rsidR="0029403D" w:rsidRPr="00EC356F">
        <w:rPr>
          <w:rFonts w:ascii="Times New Roman" w:hAnsi="Times New Roman" w:cs="Times New Roman"/>
          <w:sz w:val="21"/>
          <w:szCs w:val="21"/>
        </w:rPr>
        <w:t>capital investment</w:t>
      </w:r>
      <w:r w:rsidR="00FE17D3">
        <w:rPr>
          <w:rFonts w:ascii="Times New Roman" w:hAnsi="Times New Roman" w:cs="Times New Roman"/>
          <w:sz w:val="21"/>
          <w:szCs w:val="21"/>
        </w:rPr>
        <w:t xml:space="preserve"> </w:t>
      </w:r>
      <w:r w:rsidR="0029403D">
        <w:rPr>
          <w:rFonts w:ascii="Times New Roman" w:hAnsi="Times New Roman" w:cs="Times New Roman"/>
          <w:sz w:val="21"/>
          <w:szCs w:val="21"/>
        </w:rPr>
        <w:t xml:space="preserve">recovery rates, </w:t>
      </w:r>
      <w:r w:rsidR="00FE17D3">
        <w:rPr>
          <w:rFonts w:ascii="Times New Roman" w:hAnsi="Times New Roman" w:cs="Times New Roman"/>
          <w:sz w:val="21"/>
          <w:szCs w:val="21"/>
        </w:rPr>
        <w:t xml:space="preserve">the Government-led projects, </w:t>
      </w:r>
      <w:r w:rsidR="0029403D">
        <w:rPr>
          <w:rFonts w:ascii="Times New Roman" w:hAnsi="Times New Roman" w:cs="Times New Roman"/>
          <w:sz w:val="21"/>
          <w:szCs w:val="21"/>
        </w:rPr>
        <w:t>the economic effects from Armenia</w:t>
      </w:r>
      <w:r w:rsidR="00863CD6" w:rsidRPr="00863CD6">
        <w:rPr>
          <w:rFonts w:ascii="Times New Roman" w:hAnsi="Times New Roman" w:cs="Times New Roman"/>
          <w:sz w:val="21"/>
          <w:szCs w:val="21"/>
        </w:rPr>
        <w:t>'</w:t>
      </w:r>
      <w:r w:rsidR="0029403D">
        <w:rPr>
          <w:rFonts w:ascii="Times New Roman" w:hAnsi="Times New Roman" w:cs="Times New Roman"/>
          <w:sz w:val="21"/>
          <w:szCs w:val="21"/>
        </w:rPr>
        <w:t>s membership to the Eurasia Economic Community, and</w:t>
      </w:r>
      <w:r w:rsidR="0029403D" w:rsidRPr="00EC356F">
        <w:rPr>
          <w:rFonts w:ascii="Times New Roman" w:hAnsi="Times New Roman" w:cs="Times New Roman"/>
          <w:sz w:val="21"/>
          <w:szCs w:val="21"/>
        </w:rPr>
        <w:t xml:space="preserve"> the developments in agriculture sector which is largely reliant on </w:t>
      </w:r>
      <w:r w:rsidR="00FE17D3">
        <w:rPr>
          <w:rFonts w:ascii="Times New Roman" w:hAnsi="Times New Roman" w:cs="Times New Roman"/>
          <w:sz w:val="21"/>
          <w:szCs w:val="21"/>
        </w:rPr>
        <w:t>weather conditions</w:t>
      </w:r>
      <w:r w:rsidR="0029403D" w:rsidRPr="00EC356F">
        <w:rPr>
          <w:rFonts w:ascii="Times New Roman" w:hAnsi="Times New Roman" w:cs="Times New Roman"/>
          <w:sz w:val="21"/>
          <w:szCs w:val="21"/>
        </w:rPr>
        <w:t>.</w:t>
      </w:r>
      <w:r w:rsidR="004F1952">
        <w:rPr>
          <w:rFonts w:ascii="Times New Roman" w:hAnsi="Times New Roman" w:cs="Times New Roman"/>
          <w:sz w:val="21"/>
          <w:szCs w:val="21"/>
        </w:rPr>
        <w:t xml:space="preserve"> </w:t>
      </w:r>
      <w:r w:rsidR="0029403D" w:rsidRPr="00EC356F">
        <w:rPr>
          <w:rFonts w:ascii="Times New Roman" w:hAnsi="Times New Roman" w:cs="Times New Roman"/>
          <w:sz w:val="21"/>
          <w:szCs w:val="21"/>
        </w:rPr>
        <w:t xml:space="preserve">If such risks materialize, the Central Bank will react accordingly by maintaining the inflation target </w:t>
      </w:r>
      <w:r w:rsidR="00C826EB">
        <w:rPr>
          <w:rFonts w:ascii="Times New Roman" w:hAnsi="Times New Roman" w:cs="Times New Roman"/>
          <w:sz w:val="21"/>
          <w:szCs w:val="21"/>
        </w:rPr>
        <w:t xml:space="preserve">over </w:t>
      </w:r>
      <w:r w:rsidR="0029403D" w:rsidRPr="00EC356F">
        <w:rPr>
          <w:rFonts w:ascii="Times New Roman" w:hAnsi="Times New Roman" w:cs="Times New Roman"/>
          <w:sz w:val="21"/>
          <w:szCs w:val="21"/>
        </w:rPr>
        <w:t>the medium run.</w:t>
      </w:r>
    </w:p>
    <w:p w14:paraId="5DC3DCD6" w14:textId="77777777" w:rsidR="006252B4" w:rsidRPr="009759D7" w:rsidRDefault="006252B4" w:rsidP="00A9653E">
      <w:pPr>
        <w:spacing w:line="360" w:lineRule="auto"/>
        <w:jc w:val="both"/>
        <w:rPr>
          <w:rFonts w:ascii="Times New Roman" w:hAnsi="Times New Roman" w:cs="Times New Roman"/>
          <w:b/>
          <w:color w:val="0070C0"/>
          <w:sz w:val="18"/>
          <w:szCs w:val="18"/>
        </w:rPr>
      </w:pPr>
      <w:r w:rsidRPr="009759D7">
        <w:rPr>
          <w:rFonts w:ascii="Times New Roman" w:hAnsi="Times New Roman" w:cs="Times New Roman"/>
          <w:b/>
          <w:color w:val="0070C0"/>
          <w:sz w:val="18"/>
          <w:szCs w:val="18"/>
        </w:rPr>
        <w:t xml:space="preserve">In the 1st quarter of 2015, credit growth rates will slow down as economic activity declines. However, this will somewhat be compensated by various lending programs </w:t>
      </w:r>
      <w:r w:rsidR="009759D7" w:rsidRPr="009759D7">
        <w:rPr>
          <w:rFonts w:ascii="Times New Roman" w:hAnsi="Times New Roman" w:cs="Times New Roman"/>
          <w:b/>
          <w:color w:val="0070C0"/>
          <w:sz w:val="18"/>
          <w:szCs w:val="18"/>
        </w:rPr>
        <w:t>as well as a handful of social programs…</w:t>
      </w:r>
    </w:p>
    <w:p w14:paraId="3DFBE06C"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Pr="00EC356F">
        <w:rPr>
          <w:rFonts w:ascii="Times New Roman" w:hAnsi="Times New Roman" w:cs="Times New Roman"/>
          <w:b/>
          <w:sz w:val="21"/>
          <w:szCs w:val="21"/>
        </w:rPr>
        <w:t>forecast horizon</w:t>
      </w:r>
      <w:r w:rsidRPr="00EC356F">
        <w:rPr>
          <w:rFonts w:ascii="Times New Roman" w:hAnsi="Times New Roman" w:cs="Times New Roman"/>
          <w:sz w:val="21"/>
          <w:szCs w:val="21"/>
        </w:rPr>
        <w:t xml:space="preserve">, </w:t>
      </w:r>
      <w:r w:rsidR="0066543C">
        <w:rPr>
          <w:rFonts w:ascii="Times New Roman" w:hAnsi="Times New Roman" w:cs="Times New Roman"/>
          <w:sz w:val="21"/>
          <w:szCs w:val="21"/>
        </w:rPr>
        <w:t xml:space="preserve">as the economic activity declines further, there will be less demand for credit resources hence slower credit growth rates. </w:t>
      </w:r>
      <w:r w:rsidR="0066543C" w:rsidRPr="0066543C">
        <w:rPr>
          <w:rFonts w:ascii="Times New Roman" w:hAnsi="Times New Roman" w:cs="Times New Roman"/>
          <w:sz w:val="21"/>
          <w:szCs w:val="21"/>
        </w:rPr>
        <w:t xml:space="preserve">This </w:t>
      </w:r>
      <w:r w:rsidR="00FE7157">
        <w:rPr>
          <w:rFonts w:ascii="Times New Roman" w:hAnsi="Times New Roman" w:cs="Times New Roman"/>
          <w:sz w:val="21"/>
          <w:szCs w:val="21"/>
        </w:rPr>
        <w:t>will</w:t>
      </w:r>
      <w:r w:rsidR="0066543C" w:rsidRPr="0066543C">
        <w:rPr>
          <w:rFonts w:ascii="Times New Roman" w:hAnsi="Times New Roman" w:cs="Times New Roman"/>
          <w:sz w:val="21"/>
          <w:szCs w:val="21"/>
        </w:rPr>
        <w:t xml:space="preserve"> somewhat </w:t>
      </w:r>
      <w:r w:rsidR="00FE7157">
        <w:rPr>
          <w:rFonts w:ascii="Times New Roman" w:hAnsi="Times New Roman" w:cs="Times New Roman"/>
          <w:sz w:val="21"/>
          <w:szCs w:val="21"/>
        </w:rPr>
        <w:t xml:space="preserve">be </w:t>
      </w:r>
      <w:r w:rsidR="0066543C" w:rsidRPr="0066543C">
        <w:rPr>
          <w:rFonts w:ascii="Times New Roman" w:hAnsi="Times New Roman" w:cs="Times New Roman"/>
          <w:sz w:val="21"/>
          <w:szCs w:val="21"/>
        </w:rPr>
        <w:t xml:space="preserve">compensated by </w:t>
      </w:r>
      <w:r w:rsidR="00FE7157">
        <w:rPr>
          <w:rFonts w:ascii="Times New Roman" w:hAnsi="Times New Roman" w:cs="Times New Roman"/>
          <w:sz w:val="21"/>
          <w:szCs w:val="21"/>
        </w:rPr>
        <w:t xml:space="preserve">various </w:t>
      </w:r>
      <w:r w:rsidR="00FE7157" w:rsidRPr="0066543C">
        <w:rPr>
          <w:rFonts w:ascii="Times New Roman" w:hAnsi="Times New Roman" w:cs="Times New Roman"/>
          <w:sz w:val="21"/>
          <w:szCs w:val="21"/>
        </w:rPr>
        <w:t xml:space="preserve">lending programs </w:t>
      </w:r>
      <w:r w:rsidR="00FE7157">
        <w:rPr>
          <w:rFonts w:ascii="Times New Roman" w:hAnsi="Times New Roman" w:cs="Times New Roman"/>
          <w:sz w:val="21"/>
          <w:szCs w:val="21"/>
        </w:rPr>
        <w:t>under a number of in</w:t>
      </w:r>
      <w:r w:rsidR="00FE7157" w:rsidRPr="0066543C">
        <w:rPr>
          <w:rFonts w:ascii="Times New Roman" w:hAnsi="Times New Roman" w:cs="Times New Roman"/>
          <w:sz w:val="21"/>
          <w:szCs w:val="21"/>
        </w:rPr>
        <w:t xml:space="preserve">ternational financial institutions </w:t>
      </w:r>
      <w:r w:rsidR="00FE7157">
        <w:rPr>
          <w:rFonts w:ascii="Times New Roman" w:hAnsi="Times New Roman" w:cs="Times New Roman"/>
          <w:sz w:val="21"/>
          <w:szCs w:val="21"/>
        </w:rPr>
        <w:t>(</w:t>
      </w:r>
      <w:r w:rsidR="00FE7157" w:rsidRPr="0066543C">
        <w:rPr>
          <w:rFonts w:ascii="Times New Roman" w:hAnsi="Times New Roman" w:cs="Times New Roman"/>
          <w:sz w:val="21"/>
          <w:szCs w:val="21"/>
        </w:rPr>
        <w:t>World Bank, A</w:t>
      </w:r>
      <w:r w:rsidR="00FE7157">
        <w:rPr>
          <w:rFonts w:ascii="Times New Roman" w:hAnsi="Times New Roman" w:cs="Times New Roman"/>
          <w:sz w:val="21"/>
          <w:szCs w:val="21"/>
        </w:rPr>
        <w:t xml:space="preserve">sian </w:t>
      </w:r>
      <w:r w:rsidR="00FE7157" w:rsidRPr="0066543C">
        <w:rPr>
          <w:rFonts w:ascii="Times New Roman" w:hAnsi="Times New Roman" w:cs="Times New Roman"/>
          <w:sz w:val="21"/>
          <w:szCs w:val="21"/>
        </w:rPr>
        <w:t>D</w:t>
      </w:r>
      <w:r w:rsidR="00FE7157">
        <w:rPr>
          <w:rFonts w:ascii="Times New Roman" w:hAnsi="Times New Roman" w:cs="Times New Roman"/>
          <w:sz w:val="21"/>
          <w:szCs w:val="21"/>
        </w:rPr>
        <w:t xml:space="preserve">evelopment </w:t>
      </w:r>
      <w:r w:rsidR="00FE7157" w:rsidRPr="0066543C">
        <w:rPr>
          <w:rFonts w:ascii="Times New Roman" w:hAnsi="Times New Roman" w:cs="Times New Roman"/>
          <w:sz w:val="21"/>
          <w:szCs w:val="21"/>
        </w:rPr>
        <w:t>B</w:t>
      </w:r>
      <w:r w:rsidR="00FE7157">
        <w:rPr>
          <w:rFonts w:ascii="Times New Roman" w:hAnsi="Times New Roman" w:cs="Times New Roman"/>
          <w:sz w:val="21"/>
          <w:szCs w:val="21"/>
        </w:rPr>
        <w:t>ank</w:t>
      </w:r>
      <w:r w:rsidR="00FE7157" w:rsidRPr="0066543C">
        <w:rPr>
          <w:rFonts w:ascii="Times New Roman" w:hAnsi="Times New Roman" w:cs="Times New Roman"/>
          <w:sz w:val="21"/>
          <w:szCs w:val="21"/>
        </w:rPr>
        <w:t>, KfW Bank, E</w:t>
      </w:r>
      <w:r w:rsidR="00FE7157">
        <w:rPr>
          <w:rFonts w:ascii="Times New Roman" w:hAnsi="Times New Roman" w:cs="Times New Roman"/>
          <w:sz w:val="21"/>
          <w:szCs w:val="21"/>
        </w:rPr>
        <w:t xml:space="preserve">uropean </w:t>
      </w:r>
      <w:r w:rsidR="00FE7157" w:rsidRPr="0066543C">
        <w:rPr>
          <w:rFonts w:ascii="Times New Roman" w:hAnsi="Times New Roman" w:cs="Times New Roman"/>
          <w:sz w:val="21"/>
          <w:szCs w:val="21"/>
        </w:rPr>
        <w:t>I</w:t>
      </w:r>
      <w:r w:rsidR="00FE7157">
        <w:rPr>
          <w:rFonts w:ascii="Times New Roman" w:hAnsi="Times New Roman" w:cs="Times New Roman"/>
          <w:sz w:val="21"/>
          <w:szCs w:val="21"/>
        </w:rPr>
        <w:t xml:space="preserve">nvestment </w:t>
      </w:r>
      <w:r w:rsidR="00FE7157" w:rsidRPr="0066543C">
        <w:rPr>
          <w:rFonts w:ascii="Times New Roman" w:hAnsi="Times New Roman" w:cs="Times New Roman"/>
          <w:sz w:val="21"/>
          <w:szCs w:val="21"/>
        </w:rPr>
        <w:t>B</w:t>
      </w:r>
      <w:r w:rsidR="00FE7157">
        <w:rPr>
          <w:rFonts w:ascii="Times New Roman" w:hAnsi="Times New Roman" w:cs="Times New Roman"/>
          <w:sz w:val="21"/>
          <w:szCs w:val="21"/>
        </w:rPr>
        <w:t>ank</w:t>
      </w:r>
      <w:r w:rsidR="00FE7157" w:rsidRPr="0066543C">
        <w:rPr>
          <w:rFonts w:ascii="Times New Roman" w:hAnsi="Times New Roman" w:cs="Times New Roman"/>
          <w:sz w:val="21"/>
          <w:szCs w:val="21"/>
        </w:rPr>
        <w:t>)</w:t>
      </w:r>
      <w:r w:rsidR="00FE7157">
        <w:rPr>
          <w:rFonts w:ascii="Times New Roman" w:hAnsi="Times New Roman" w:cs="Times New Roman"/>
          <w:sz w:val="21"/>
          <w:szCs w:val="21"/>
        </w:rPr>
        <w:t xml:space="preserve"> carried out through the </w:t>
      </w:r>
      <w:r w:rsidR="0066543C" w:rsidRPr="0066543C">
        <w:rPr>
          <w:rFonts w:ascii="Times New Roman" w:hAnsi="Times New Roman" w:cs="Times New Roman"/>
          <w:sz w:val="21"/>
          <w:szCs w:val="21"/>
        </w:rPr>
        <w:t xml:space="preserve">Central Bank </w:t>
      </w:r>
      <w:r w:rsidR="00FE7157">
        <w:rPr>
          <w:rFonts w:ascii="Times New Roman" w:hAnsi="Times New Roman" w:cs="Times New Roman"/>
          <w:sz w:val="21"/>
          <w:szCs w:val="21"/>
        </w:rPr>
        <w:t xml:space="preserve">in cooperation with the Armenian Government, and by </w:t>
      </w:r>
      <w:r w:rsidR="00AB377C" w:rsidRPr="0066543C">
        <w:rPr>
          <w:rFonts w:ascii="Times New Roman" w:hAnsi="Times New Roman" w:cs="Times New Roman"/>
          <w:sz w:val="21"/>
          <w:szCs w:val="21"/>
        </w:rPr>
        <w:t>low</w:t>
      </w:r>
      <w:r w:rsidR="00AB377C">
        <w:rPr>
          <w:rFonts w:ascii="Times New Roman" w:hAnsi="Times New Roman" w:cs="Times New Roman"/>
          <w:sz w:val="21"/>
          <w:szCs w:val="21"/>
        </w:rPr>
        <w:t>-</w:t>
      </w:r>
      <w:r w:rsidR="00AB377C" w:rsidRPr="0066543C">
        <w:rPr>
          <w:rFonts w:ascii="Times New Roman" w:hAnsi="Times New Roman" w:cs="Times New Roman"/>
          <w:sz w:val="21"/>
          <w:szCs w:val="21"/>
        </w:rPr>
        <w:t>interest loan</w:t>
      </w:r>
      <w:r w:rsidR="00AB377C">
        <w:rPr>
          <w:rFonts w:ascii="Times New Roman" w:hAnsi="Times New Roman" w:cs="Times New Roman"/>
          <w:sz w:val="21"/>
          <w:szCs w:val="21"/>
        </w:rPr>
        <w:t xml:space="preserve"> projects under </w:t>
      </w:r>
      <w:r w:rsidR="00FE7157">
        <w:rPr>
          <w:rFonts w:ascii="Times New Roman" w:hAnsi="Times New Roman" w:cs="Times New Roman"/>
          <w:sz w:val="21"/>
          <w:szCs w:val="21"/>
        </w:rPr>
        <w:t>a handful of</w:t>
      </w:r>
      <w:r w:rsidR="0066543C" w:rsidRPr="0066543C">
        <w:rPr>
          <w:rFonts w:ascii="Times New Roman" w:hAnsi="Times New Roman" w:cs="Times New Roman"/>
          <w:sz w:val="21"/>
          <w:szCs w:val="21"/>
        </w:rPr>
        <w:t xml:space="preserve"> social programs (</w:t>
      </w:r>
      <w:r w:rsidR="00AB377C">
        <w:rPr>
          <w:rFonts w:ascii="Times New Roman" w:hAnsi="Times New Roman" w:cs="Times New Roman"/>
          <w:sz w:val="21"/>
          <w:szCs w:val="21"/>
        </w:rPr>
        <w:t>Ho</w:t>
      </w:r>
      <w:r w:rsidR="00334A50">
        <w:rPr>
          <w:rFonts w:ascii="Times New Roman" w:hAnsi="Times New Roman" w:cs="Times New Roman"/>
          <w:sz w:val="21"/>
          <w:szCs w:val="21"/>
        </w:rPr>
        <w:t>using</w:t>
      </w:r>
      <w:r w:rsidR="00AB377C">
        <w:rPr>
          <w:rFonts w:ascii="Times New Roman" w:hAnsi="Times New Roman" w:cs="Times New Roman"/>
          <w:sz w:val="21"/>
          <w:szCs w:val="21"/>
        </w:rPr>
        <w:t xml:space="preserve"> </w:t>
      </w:r>
      <w:r w:rsidR="0066543C" w:rsidRPr="0066543C">
        <w:rPr>
          <w:rFonts w:ascii="Times New Roman" w:hAnsi="Times New Roman" w:cs="Times New Roman"/>
          <w:sz w:val="21"/>
          <w:szCs w:val="21"/>
        </w:rPr>
        <w:t xml:space="preserve">for </w:t>
      </w:r>
      <w:r w:rsidR="00AB377C">
        <w:rPr>
          <w:rFonts w:ascii="Times New Roman" w:hAnsi="Times New Roman" w:cs="Times New Roman"/>
          <w:sz w:val="21"/>
          <w:szCs w:val="21"/>
        </w:rPr>
        <w:t>Y</w:t>
      </w:r>
      <w:r w:rsidR="0066543C" w:rsidRPr="0066543C">
        <w:rPr>
          <w:rFonts w:ascii="Times New Roman" w:hAnsi="Times New Roman" w:cs="Times New Roman"/>
          <w:sz w:val="21"/>
          <w:szCs w:val="21"/>
        </w:rPr>
        <w:t xml:space="preserve">outh, the National Mortgage </w:t>
      </w:r>
      <w:r w:rsidR="00AB377C">
        <w:rPr>
          <w:rFonts w:ascii="Times New Roman" w:hAnsi="Times New Roman" w:cs="Times New Roman"/>
          <w:sz w:val="21"/>
          <w:szCs w:val="21"/>
        </w:rPr>
        <w:t>Company</w:t>
      </w:r>
      <w:r w:rsidR="0066543C" w:rsidRPr="0066543C">
        <w:rPr>
          <w:rFonts w:ascii="Times New Roman" w:hAnsi="Times New Roman" w:cs="Times New Roman"/>
          <w:sz w:val="21"/>
          <w:szCs w:val="21"/>
        </w:rPr>
        <w:t>)</w:t>
      </w:r>
      <w:r w:rsidR="00AB377C">
        <w:rPr>
          <w:rFonts w:ascii="Times New Roman" w:hAnsi="Times New Roman" w:cs="Times New Roman"/>
          <w:sz w:val="21"/>
          <w:szCs w:val="21"/>
        </w:rPr>
        <w:t>.</w:t>
      </w:r>
      <w:r w:rsidR="0066543C" w:rsidRPr="0066543C">
        <w:rPr>
          <w:rFonts w:ascii="Times New Roman" w:hAnsi="Times New Roman" w:cs="Times New Roman"/>
          <w:sz w:val="21"/>
          <w:szCs w:val="21"/>
        </w:rPr>
        <w:t xml:space="preserve"> </w:t>
      </w:r>
      <w:r w:rsidR="00AB377C">
        <w:rPr>
          <w:rFonts w:ascii="Times New Roman" w:hAnsi="Times New Roman" w:cs="Times New Roman"/>
          <w:sz w:val="21"/>
          <w:szCs w:val="21"/>
        </w:rPr>
        <w:t xml:space="preserve">Happily, commercial banks </w:t>
      </w:r>
      <w:r w:rsidR="0066543C" w:rsidRPr="0066543C">
        <w:rPr>
          <w:rFonts w:ascii="Times New Roman" w:hAnsi="Times New Roman" w:cs="Times New Roman"/>
          <w:sz w:val="21"/>
          <w:szCs w:val="21"/>
        </w:rPr>
        <w:t xml:space="preserve">are willing to </w:t>
      </w:r>
      <w:r w:rsidR="00AB377C">
        <w:rPr>
          <w:rFonts w:ascii="Times New Roman" w:hAnsi="Times New Roman" w:cs="Times New Roman"/>
          <w:sz w:val="21"/>
          <w:szCs w:val="21"/>
        </w:rPr>
        <w:lastRenderedPageBreak/>
        <w:t xml:space="preserve">forgo part of their profits by paying certain costs </w:t>
      </w:r>
      <w:r w:rsidR="00A777A0">
        <w:rPr>
          <w:rFonts w:ascii="Times New Roman" w:hAnsi="Times New Roman" w:cs="Times New Roman"/>
          <w:sz w:val="21"/>
          <w:szCs w:val="21"/>
        </w:rPr>
        <w:t xml:space="preserve">to </w:t>
      </w:r>
      <w:r w:rsidR="00AB377C">
        <w:rPr>
          <w:rFonts w:ascii="Times New Roman" w:hAnsi="Times New Roman" w:cs="Times New Roman"/>
          <w:sz w:val="21"/>
          <w:szCs w:val="21"/>
        </w:rPr>
        <w:t xml:space="preserve">leave </w:t>
      </w:r>
      <w:r w:rsidR="00A777A0">
        <w:rPr>
          <w:rFonts w:ascii="Times New Roman" w:hAnsi="Times New Roman" w:cs="Times New Roman"/>
          <w:sz w:val="21"/>
          <w:szCs w:val="21"/>
        </w:rPr>
        <w:t>lending inexpensive. In a longer term, t</w:t>
      </w:r>
      <w:r w:rsidR="00A777A0" w:rsidRPr="00EC356F">
        <w:rPr>
          <w:rFonts w:ascii="Times New Roman" w:hAnsi="Times New Roman" w:cs="Times New Roman"/>
          <w:sz w:val="21"/>
          <w:szCs w:val="21"/>
        </w:rPr>
        <w:t>he Central Bank will look to the target level of the policy rate to adequately react to any shifts in liquidity to make sure money supply is consistent with demand.</w:t>
      </w:r>
      <w:r w:rsidR="00A777A0">
        <w:rPr>
          <w:rFonts w:ascii="Times New Roman" w:hAnsi="Times New Roman" w:cs="Times New Roman"/>
          <w:sz w:val="21"/>
          <w:szCs w:val="21"/>
        </w:rPr>
        <w:t xml:space="preserve"> </w:t>
      </w:r>
    </w:p>
    <w:p w14:paraId="02DD718B" w14:textId="77777777" w:rsidR="00A56A9F" w:rsidRDefault="00A56A9F" w:rsidP="00327B27">
      <w:pPr>
        <w:jc w:val="both"/>
        <w:rPr>
          <w:rStyle w:val="longtext"/>
          <w:rFonts w:ascii="Times New Roman" w:hAnsi="Times New Roman" w:cs="Times New Roman"/>
          <w:b/>
          <w:color w:val="000000"/>
          <w:sz w:val="21"/>
          <w:szCs w:val="21"/>
        </w:rPr>
      </w:pPr>
    </w:p>
    <w:p w14:paraId="0459A0F7" w14:textId="77777777" w:rsidR="00A9653E" w:rsidRPr="00EC356F" w:rsidRDefault="00A9653E" w:rsidP="00327B27">
      <w:pPr>
        <w:jc w:val="both"/>
        <w:rPr>
          <w:rStyle w:val="longtext"/>
          <w:rFonts w:ascii="Times New Roman" w:hAnsi="Times New Roman" w:cs="Times New Roman"/>
          <w:b/>
          <w:color w:val="000000"/>
          <w:sz w:val="21"/>
          <w:szCs w:val="21"/>
        </w:rPr>
      </w:pPr>
      <w:r w:rsidRPr="00EC356F">
        <w:rPr>
          <w:rStyle w:val="longtext"/>
          <w:rFonts w:ascii="Times New Roman" w:hAnsi="Times New Roman" w:cs="Times New Roman"/>
          <w:b/>
          <w:color w:val="000000"/>
          <w:sz w:val="21"/>
          <w:szCs w:val="21"/>
        </w:rPr>
        <w:t>3. ACTUAL DEVELOPMENTS IN Q</w:t>
      </w:r>
      <w:r w:rsidR="00327B27" w:rsidRPr="00A47234">
        <w:rPr>
          <w:rStyle w:val="longtext"/>
          <w:rFonts w:ascii="Times New Roman" w:hAnsi="Times New Roman" w:cs="Times New Roman"/>
          <w:b/>
          <w:color w:val="000000"/>
          <w:sz w:val="21"/>
          <w:szCs w:val="21"/>
        </w:rPr>
        <w:t>3</w:t>
      </w:r>
      <w:r w:rsidRPr="00EC356F">
        <w:rPr>
          <w:rStyle w:val="longtext"/>
          <w:rFonts w:ascii="Times New Roman" w:hAnsi="Times New Roman" w:cs="Times New Roman"/>
          <w:b/>
          <w:color w:val="000000"/>
          <w:sz w:val="21"/>
          <w:szCs w:val="21"/>
        </w:rPr>
        <w:t xml:space="preserve"> 2014</w:t>
      </w:r>
    </w:p>
    <w:p w14:paraId="7D80D170"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rPr>
      </w:pPr>
      <w:r w:rsidRPr="00EC356F">
        <w:rPr>
          <w:rStyle w:val="longtext"/>
          <w:rFonts w:ascii="Times New Roman" w:hAnsi="Times New Roman" w:cs="Times New Roman"/>
          <w:b/>
          <w:color w:val="000000"/>
          <w:sz w:val="21"/>
          <w:szCs w:val="21"/>
        </w:rPr>
        <w:t>3.1 Inflation</w:t>
      </w:r>
    </w:p>
    <w:p w14:paraId="51EF9EE0" w14:textId="77777777" w:rsidR="00A9653E" w:rsidRPr="00EC356F" w:rsidRDefault="00A9653E" w:rsidP="00A9653E">
      <w:pPr>
        <w:spacing w:line="360" w:lineRule="auto"/>
        <w:jc w:val="both"/>
        <w:rPr>
          <w:rStyle w:val="longtext"/>
          <w:rFonts w:ascii="Times New Roman" w:hAnsi="Times New Roman" w:cs="Times New Roman"/>
          <w:b/>
          <w:color w:val="000000"/>
          <w:sz w:val="21"/>
          <w:szCs w:val="21"/>
        </w:rPr>
      </w:pPr>
      <w:r w:rsidRPr="00EC356F">
        <w:rPr>
          <w:rStyle w:val="longtext"/>
          <w:rFonts w:ascii="Times New Roman" w:hAnsi="Times New Roman" w:cs="Times New Roman"/>
          <w:b/>
          <w:color w:val="000000"/>
          <w:sz w:val="21"/>
          <w:szCs w:val="21"/>
        </w:rPr>
        <w:t xml:space="preserve">3.1.1 Actual inflation and </w:t>
      </w:r>
      <w:r w:rsidR="003314DB">
        <w:rPr>
          <w:rStyle w:val="longtext"/>
          <w:rFonts w:ascii="Times New Roman" w:hAnsi="Times New Roman" w:cs="Times New Roman"/>
          <w:b/>
          <w:color w:val="000000"/>
          <w:sz w:val="21"/>
          <w:szCs w:val="21"/>
        </w:rPr>
        <w:t>fulfillment</w:t>
      </w:r>
      <w:r w:rsidR="00B90152">
        <w:rPr>
          <w:rStyle w:val="longtext"/>
          <w:rFonts w:ascii="Times New Roman" w:hAnsi="Times New Roman" w:cs="Times New Roman"/>
          <w:b/>
          <w:color w:val="000000"/>
          <w:sz w:val="21"/>
          <w:szCs w:val="21"/>
        </w:rPr>
        <w:t xml:space="preserve"> of the inflation </w:t>
      </w:r>
      <w:r w:rsidRPr="00EC356F">
        <w:rPr>
          <w:rStyle w:val="longtext"/>
          <w:rFonts w:ascii="Times New Roman" w:hAnsi="Times New Roman" w:cs="Times New Roman"/>
          <w:b/>
          <w:color w:val="000000"/>
          <w:sz w:val="21"/>
          <w:szCs w:val="21"/>
        </w:rPr>
        <w:t>target</w:t>
      </w:r>
    </w:p>
    <w:p w14:paraId="70AEE957" w14:textId="77777777" w:rsidR="00DC3F6B" w:rsidRPr="00DC3F6B" w:rsidRDefault="00DC3F6B" w:rsidP="00A9653E">
      <w:pPr>
        <w:spacing w:line="360" w:lineRule="auto"/>
        <w:jc w:val="both"/>
        <w:rPr>
          <w:rStyle w:val="longtext"/>
          <w:rFonts w:ascii="Times New Roman" w:hAnsi="Times New Roman" w:cs="Times New Roman"/>
          <w:b/>
          <w:color w:val="0070C0"/>
          <w:sz w:val="18"/>
          <w:szCs w:val="18"/>
        </w:rPr>
      </w:pPr>
      <w:r w:rsidRPr="00DC3F6B">
        <w:rPr>
          <w:rStyle w:val="longtext"/>
          <w:rFonts w:ascii="Times New Roman" w:hAnsi="Times New Roman" w:cs="Times New Roman"/>
          <w:b/>
          <w:color w:val="0070C0"/>
          <w:sz w:val="18"/>
          <w:szCs w:val="18"/>
        </w:rPr>
        <w:t>The 12-month inflation topped the expectations, reaching 4.6% in end-December, stating, however, within the confidence band of 4.0+</w:t>
      </w:r>
      <w:r w:rsidR="005E07E8">
        <w:rPr>
          <w:rStyle w:val="longtext"/>
          <w:rFonts w:ascii="Times New Roman" w:hAnsi="Times New Roman" w:cs="Times New Roman"/>
          <w:b/>
          <w:color w:val="0070C0"/>
          <w:sz w:val="18"/>
          <w:szCs w:val="18"/>
        </w:rPr>
        <w:t>/-</w:t>
      </w:r>
      <w:r w:rsidRPr="00DC3F6B">
        <w:rPr>
          <w:rStyle w:val="longtext"/>
          <w:rFonts w:ascii="Times New Roman" w:hAnsi="Times New Roman" w:cs="Times New Roman"/>
          <w:b/>
          <w:color w:val="0070C0"/>
          <w:sz w:val="18"/>
          <w:szCs w:val="18"/>
        </w:rPr>
        <w:t xml:space="preserve">1.5 pp… </w:t>
      </w:r>
    </w:p>
    <w:p w14:paraId="013A9303" w14:textId="77777777" w:rsidR="0084372B" w:rsidRDefault="0084372B" w:rsidP="00A9653E">
      <w:pPr>
        <w:spacing w:line="360" w:lineRule="auto"/>
        <w:jc w:val="both"/>
        <w:rPr>
          <w:rStyle w:val="longtext"/>
          <w:rFonts w:ascii="Times New Roman" w:hAnsi="Times New Roman" w:cs="Times New Roman"/>
          <w:sz w:val="21"/>
          <w:szCs w:val="21"/>
        </w:rPr>
      </w:pPr>
      <w:r>
        <w:rPr>
          <w:rStyle w:val="longtext"/>
          <w:rFonts w:ascii="Times New Roman" w:hAnsi="Times New Roman" w:cs="Times New Roman"/>
          <w:sz w:val="21"/>
          <w:szCs w:val="21"/>
        </w:rPr>
        <w:t xml:space="preserve">The 4th </w:t>
      </w:r>
      <w:r w:rsidRPr="0084372B">
        <w:rPr>
          <w:rStyle w:val="longtext"/>
          <w:rFonts w:ascii="Times New Roman" w:hAnsi="Times New Roman" w:cs="Times New Roman"/>
          <w:sz w:val="21"/>
          <w:szCs w:val="21"/>
        </w:rPr>
        <w:t xml:space="preserve">quarter </w:t>
      </w:r>
      <w:r>
        <w:rPr>
          <w:rStyle w:val="longtext"/>
          <w:rFonts w:ascii="Times New Roman" w:hAnsi="Times New Roman" w:cs="Times New Roman"/>
          <w:sz w:val="21"/>
          <w:szCs w:val="21"/>
        </w:rPr>
        <w:t xml:space="preserve">2014 </w:t>
      </w:r>
      <w:r w:rsidRPr="0084372B">
        <w:rPr>
          <w:rStyle w:val="longtext"/>
          <w:rFonts w:ascii="Times New Roman" w:hAnsi="Times New Roman" w:cs="Times New Roman"/>
          <w:sz w:val="21"/>
          <w:szCs w:val="21"/>
        </w:rPr>
        <w:t xml:space="preserve">monetary policy </w:t>
      </w:r>
      <w:r>
        <w:rPr>
          <w:rStyle w:val="longtext"/>
          <w:rFonts w:ascii="Times New Roman" w:hAnsi="Times New Roman" w:cs="Times New Roman"/>
          <w:sz w:val="21"/>
          <w:szCs w:val="21"/>
        </w:rPr>
        <w:t xml:space="preserve">program predicted that the inflation environment would expand at the end of the year, though it would end up with the </w:t>
      </w:r>
      <w:r w:rsidRPr="0084372B">
        <w:rPr>
          <w:rStyle w:val="longtext"/>
          <w:rFonts w:ascii="Times New Roman" w:hAnsi="Times New Roman" w:cs="Times New Roman"/>
          <w:sz w:val="21"/>
          <w:szCs w:val="21"/>
        </w:rPr>
        <w:t xml:space="preserve">12-month inflation rate </w:t>
      </w:r>
      <w:r>
        <w:rPr>
          <w:rStyle w:val="longtext"/>
          <w:rFonts w:ascii="Times New Roman" w:hAnsi="Times New Roman" w:cs="Times New Roman"/>
          <w:sz w:val="21"/>
          <w:szCs w:val="21"/>
        </w:rPr>
        <w:t xml:space="preserve">below the confidence band. </w:t>
      </w:r>
    </w:p>
    <w:p w14:paraId="3F269CDA" w14:textId="3D83B71A" w:rsidR="00BF7A61" w:rsidRPr="006F3D08" w:rsidRDefault="00A379BC" w:rsidP="00A9653E">
      <w:pPr>
        <w:spacing w:line="360" w:lineRule="auto"/>
        <w:jc w:val="both"/>
        <w:rPr>
          <w:rStyle w:val="longtext"/>
          <w:rFonts w:ascii="Times New Roman" w:hAnsi="Times New Roman" w:cs="Times New Roman"/>
          <w:sz w:val="21"/>
          <w:szCs w:val="21"/>
        </w:rPr>
      </w:pPr>
      <w:r>
        <w:rPr>
          <w:rStyle w:val="longtext"/>
          <w:rFonts w:ascii="Times New Roman" w:hAnsi="Times New Roman" w:cs="Times New Roman"/>
          <w:sz w:val="21"/>
          <w:szCs w:val="21"/>
        </w:rPr>
        <w:t xml:space="preserve">However, as the dram depreciated, the inflation environment expanded and the inflationary expectations were shaped amid </w:t>
      </w:r>
      <w:r w:rsidRPr="0084372B">
        <w:rPr>
          <w:rStyle w:val="longtext"/>
          <w:rFonts w:ascii="Times New Roman" w:hAnsi="Times New Roman" w:cs="Times New Roman"/>
          <w:sz w:val="21"/>
          <w:szCs w:val="21"/>
        </w:rPr>
        <w:t xml:space="preserve">dramatic decrease </w:t>
      </w:r>
      <w:r>
        <w:rPr>
          <w:rStyle w:val="longtext"/>
          <w:rFonts w:ascii="Times New Roman" w:hAnsi="Times New Roman" w:cs="Times New Roman"/>
          <w:sz w:val="21"/>
          <w:szCs w:val="21"/>
        </w:rPr>
        <w:t xml:space="preserve">in the foreign currency flows and </w:t>
      </w:r>
      <w:r w:rsidR="0084372B" w:rsidRPr="0084372B">
        <w:rPr>
          <w:rStyle w:val="longtext"/>
          <w:rFonts w:ascii="Times New Roman" w:hAnsi="Times New Roman" w:cs="Times New Roman"/>
          <w:sz w:val="21"/>
          <w:szCs w:val="21"/>
        </w:rPr>
        <w:t>devaluation of the Russian ruble</w:t>
      </w:r>
      <w:r>
        <w:rPr>
          <w:rStyle w:val="longtext"/>
          <w:rFonts w:ascii="Times New Roman" w:hAnsi="Times New Roman" w:cs="Times New Roman"/>
          <w:sz w:val="21"/>
          <w:szCs w:val="21"/>
        </w:rPr>
        <w:t xml:space="preserve"> later the year, </w:t>
      </w:r>
      <w:r w:rsidR="0084372B" w:rsidRPr="0084372B">
        <w:rPr>
          <w:rStyle w:val="longtext"/>
          <w:rFonts w:ascii="Times New Roman" w:hAnsi="Times New Roman" w:cs="Times New Roman"/>
          <w:sz w:val="21"/>
          <w:szCs w:val="21"/>
        </w:rPr>
        <w:t xml:space="preserve">the </w:t>
      </w:r>
      <w:r w:rsidR="0084372B" w:rsidRPr="002B4072">
        <w:rPr>
          <w:rStyle w:val="longtext"/>
          <w:rFonts w:ascii="Times New Roman" w:hAnsi="Times New Roman" w:cs="Times New Roman"/>
          <w:b/>
          <w:sz w:val="21"/>
          <w:szCs w:val="21"/>
        </w:rPr>
        <w:t xml:space="preserve">12-month inflation </w:t>
      </w:r>
      <w:r w:rsidRPr="002B4072">
        <w:rPr>
          <w:rStyle w:val="longtext"/>
          <w:rFonts w:ascii="Times New Roman" w:hAnsi="Times New Roman" w:cs="Times New Roman"/>
          <w:b/>
          <w:sz w:val="21"/>
          <w:szCs w:val="21"/>
        </w:rPr>
        <w:t xml:space="preserve">rate </w:t>
      </w:r>
      <w:r w:rsidR="002B4072" w:rsidRPr="002B4072">
        <w:rPr>
          <w:rStyle w:val="longtext"/>
          <w:rFonts w:ascii="Times New Roman" w:hAnsi="Times New Roman" w:cs="Times New Roman"/>
          <w:b/>
          <w:sz w:val="21"/>
          <w:szCs w:val="21"/>
        </w:rPr>
        <w:t>behaved unexpectedly</w:t>
      </w:r>
      <w:r w:rsidR="0084372B" w:rsidRPr="002B4072">
        <w:rPr>
          <w:rStyle w:val="longtext"/>
          <w:rFonts w:ascii="Times New Roman" w:hAnsi="Times New Roman" w:cs="Times New Roman"/>
          <w:b/>
          <w:sz w:val="21"/>
          <w:szCs w:val="21"/>
        </w:rPr>
        <w:t xml:space="preserve"> </w:t>
      </w:r>
      <w:r w:rsidRPr="002B4072">
        <w:rPr>
          <w:rStyle w:val="longtext"/>
          <w:rFonts w:ascii="Times New Roman" w:hAnsi="Times New Roman" w:cs="Times New Roman"/>
          <w:b/>
          <w:sz w:val="21"/>
          <w:szCs w:val="21"/>
        </w:rPr>
        <w:t xml:space="preserve">when it </w:t>
      </w:r>
      <w:r w:rsidR="00863CD6">
        <w:rPr>
          <w:rStyle w:val="longtext"/>
          <w:rFonts w:ascii="Times New Roman" w:hAnsi="Times New Roman" w:cs="Times New Roman"/>
          <w:b/>
          <w:sz w:val="21"/>
          <w:szCs w:val="21"/>
        </w:rPr>
        <w:t xml:space="preserve">reached </w:t>
      </w:r>
      <w:r w:rsidRPr="002B4072">
        <w:rPr>
          <w:rStyle w:val="longtext"/>
          <w:rFonts w:ascii="Times New Roman" w:hAnsi="Times New Roman" w:cs="Times New Roman"/>
          <w:b/>
          <w:sz w:val="21"/>
          <w:szCs w:val="21"/>
        </w:rPr>
        <w:t>4.6%</w:t>
      </w:r>
      <w:r w:rsidR="0084372B" w:rsidRPr="002B4072">
        <w:rPr>
          <w:rStyle w:val="longtext"/>
          <w:rFonts w:ascii="Times New Roman" w:hAnsi="Times New Roman" w:cs="Times New Roman"/>
          <w:b/>
          <w:sz w:val="21"/>
          <w:szCs w:val="21"/>
        </w:rPr>
        <w:t xml:space="preserve"> </w:t>
      </w:r>
      <w:r w:rsidR="00DC3F6B">
        <w:rPr>
          <w:rStyle w:val="longtext"/>
          <w:rFonts w:ascii="Times New Roman" w:hAnsi="Times New Roman" w:cs="Times New Roman"/>
          <w:b/>
          <w:sz w:val="21"/>
          <w:szCs w:val="21"/>
        </w:rPr>
        <w:t>in late</w:t>
      </w:r>
      <w:r w:rsidR="0084372B" w:rsidRPr="002B4072">
        <w:rPr>
          <w:rStyle w:val="longtext"/>
          <w:rFonts w:ascii="Times New Roman" w:hAnsi="Times New Roman" w:cs="Times New Roman"/>
          <w:b/>
          <w:sz w:val="21"/>
          <w:szCs w:val="21"/>
        </w:rPr>
        <w:t xml:space="preserve"> December</w:t>
      </w:r>
      <w:r w:rsidR="002B4072" w:rsidRPr="002B4072">
        <w:rPr>
          <w:rStyle w:val="longtext"/>
          <w:rFonts w:ascii="Times New Roman" w:hAnsi="Times New Roman" w:cs="Times New Roman"/>
          <w:b/>
          <w:sz w:val="21"/>
          <w:szCs w:val="21"/>
        </w:rPr>
        <w:t>, still within the confidence band of</w:t>
      </w:r>
      <w:r w:rsidR="0084372B" w:rsidRPr="002B4072">
        <w:rPr>
          <w:rStyle w:val="longtext"/>
          <w:rFonts w:ascii="Times New Roman" w:hAnsi="Times New Roman" w:cs="Times New Roman"/>
          <w:b/>
          <w:sz w:val="21"/>
          <w:szCs w:val="21"/>
        </w:rPr>
        <w:t xml:space="preserve"> 4.0+</w:t>
      </w:r>
      <w:r w:rsidR="005E07E8">
        <w:rPr>
          <w:rStyle w:val="longtext"/>
          <w:rFonts w:ascii="Times New Roman" w:hAnsi="Times New Roman" w:cs="Times New Roman"/>
          <w:b/>
          <w:sz w:val="21"/>
          <w:szCs w:val="21"/>
        </w:rPr>
        <w:t>/-</w:t>
      </w:r>
      <w:r w:rsidR="0084372B" w:rsidRPr="002B4072">
        <w:rPr>
          <w:rStyle w:val="longtext"/>
          <w:rFonts w:ascii="Times New Roman" w:hAnsi="Times New Roman" w:cs="Times New Roman"/>
          <w:b/>
          <w:sz w:val="21"/>
          <w:szCs w:val="21"/>
        </w:rPr>
        <w:t xml:space="preserve">1.5 </w:t>
      </w:r>
      <w:r w:rsidR="00106258">
        <w:rPr>
          <w:rStyle w:val="longtext"/>
          <w:rFonts w:ascii="Times New Roman" w:hAnsi="Times New Roman" w:cs="Times New Roman"/>
          <w:b/>
          <w:sz w:val="21"/>
          <w:szCs w:val="21"/>
        </w:rPr>
        <w:t>pp</w:t>
      </w:r>
      <w:r w:rsidR="00DC3F6B">
        <w:rPr>
          <w:rStyle w:val="longtext"/>
          <w:rFonts w:ascii="Times New Roman" w:hAnsi="Times New Roman" w:cs="Times New Roman"/>
          <w:b/>
          <w:sz w:val="21"/>
          <w:szCs w:val="21"/>
        </w:rPr>
        <w:t>.</w:t>
      </w:r>
      <w:r w:rsidR="002B4072" w:rsidRPr="002B4072">
        <w:rPr>
          <w:rStyle w:val="longtext"/>
          <w:rFonts w:ascii="Times New Roman" w:hAnsi="Times New Roman" w:cs="Times New Roman"/>
          <w:sz w:val="21"/>
          <w:szCs w:val="21"/>
        </w:rPr>
        <w:t xml:space="preserve"> I</w:t>
      </w:r>
      <w:r w:rsidR="0084372B" w:rsidRPr="0084372B">
        <w:rPr>
          <w:rStyle w:val="longtext"/>
          <w:rFonts w:ascii="Times New Roman" w:hAnsi="Times New Roman" w:cs="Times New Roman"/>
          <w:sz w:val="21"/>
          <w:szCs w:val="21"/>
        </w:rPr>
        <w:t>n the report</w:t>
      </w:r>
      <w:r w:rsidR="002B4072" w:rsidRPr="002B4072">
        <w:rPr>
          <w:rStyle w:val="longtext"/>
          <w:rFonts w:ascii="Times New Roman" w:hAnsi="Times New Roman" w:cs="Times New Roman"/>
          <w:sz w:val="21"/>
          <w:szCs w:val="21"/>
        </w:rPr>
        <w:t>ing</w:t>
      </w:r>
      <w:r w:rsidR="0084372B" w:rsidRPr="0084372B">
        <w:rPr>
          <w:rStyle w:val="longtext"/>
          <w:rFonts w:ascii="Times New Roman" w:hAnsi="Times New Roman" w:cs="Times New Roman"/>
          <w:sz w:val="21"/>
          <w:szCs w:val="21"/>
        </w:rPr>
        <w:t xml:space="preserve"> quarter</w:t>
      </w:r>
      <w:r w:rsidR="002B4072" w:rsidRPr="002B4072">
        <w:rPr>
          <w:rStyle w:val="longtext"/>
          <w:rFonts w:ascii="Times New Roman" w:hAnsi="Times New Roman" w:cs="Times New Roman"/>
          <w:sz w:val="21"/>
          <w:szCs w:val="21"/>
        </w:rPr>
        <w:t xml:space="preserve">, the inflation </w:t>
      </w:r>
      <w:r w:rsidR="0084372B" w:rsidRPr="0084372B">
        <w:rPr>
          <w:rStyle w:val="longtext"/>
          <w:rFonts w:ascii="Times New Roman" w:hAnsi="Times New Roman" w:cs="Times New Roman"/>
          <w:sz w:val="21"/>
          <w:szCs w:val="21"/>
        </w:rPr>
        <w:t xml:space="preserve">was 5.4% compared to 2.3% in the same period last year, which was </w:t>
      </w:r>
      <w:r w:rsidR="002B4072" w:rsidRPr="002B4072">
        <w:rPr>
          <w:rStyle w:val="longtext"/>
          <w:rFonts w:ascii="Times New Roman" w:hAnsi="Times New Roman" w:cs="Times New Roman"/>
          <w:sz w:val="21"/>
          <w:szCs w:val="21"/>
        </w:rPr>
        <w:t>primarily</w:t>
      </w:r>
      <w:r w:rsidR="0084372B" w:rsidRPr="0084372B">
        <w:rPr>
          <w:rStyle w:val="longtext"/>
          <w:rFonts w:ascii="Times New Roman" w:hAnsi="Times New Roman" w:cs="Times New Roman"/>
          <w:sz w:val="21"/>
          <w:szCs w:val="21"/>
        </w:rPr>
        <w:t xml:space="preserve"> due to a 9.1% increase in food price</w:t>
      </w:r>
      <w:r w:rsidR="002B4072" w:rsidRPr="002B4072">
        <w:rPr>
          <w:rStyle w:val="longtext"/>
          <w:rFonts w:ascii="Times New Roman" w:hAnsi="Times New Roman" w:cs="Times New Roman"/>
          <w:sz w:val="21"/>
          <w:szCs w:val="21"/>
        </w:rPr>
        <w:t xml:space="preserve">s with as much as </w:t>
      </w:r>
      <w:r w:rsidR="0084372B" w:rsidRPr="0084372B">
        <w:rPr>
          <w:rStyle w:val="longtext"/>
          <w:rFonts w:ascii="Times New Roman" w:hAnsi="Times New Roman" w:cs="Times New Roman"/>
          <w:sz w:val="21"/>
          <w:szCs w:val="21"/>
        </w:rPr>
        <w:t>4.8 p</w:t>
      </w:r>
      <w:r w:rsidR="002B4072" w:rsidRPr="002B4072">
        <w:rPr>
          <w:rStyle w:val="longtext"/>
          <w:rFonts w:ascii="Times New Roman" w:hAnsi="Times New Roman" w:cs="Times New Roman"/>
          <w:sz w:val="21"/>
          <w:szCs w:val="21"/>
        </w:rPr>
        <w:t xml:space="preserve">p of contribution to the headline inflation. The yearend's high inflation was a result of </w:t>
      </w:r>
      <w:r w:rsidR="004F21A5" w:rsidRPr="004F21A5">
        <w:rPr>
          <w:rStyle w:val="longtext"/>
          <w:rFonts w:ascii="Times New Roman" w:hAnsi="Times New Roman" w:cs="Times New Roman"/>
          <w:sz w:val="21"/>
          <w:szCs w:val="21"/>
        </w:rPr>
        <w:t>i</w:t>
      </w:r>
      <w:r w:rsidR="0084372B" w:rsidRPr="0084372B">
        <w:rPr>
          <w:rStyle w:val="longtext"/>
          <w:rFonts w:ascii="Times New Roman" w:hAnsi="Times New Roman" w:cs="Times New Roman"/>
          <w:sz w:val="21"/>
          <w:szCs w:val="21"/>
        </w:rPr>
        <w:t>ncrease</w:t>
      </w:r>
      <w:r w:rsidR="004F21A5" w:rsidRPr="004F21A5">
        <w:rPr>
          <w:rStyle w:val="longtext"/>
          <w:rFonts w:ascii="Times New Roman" w:hAnsi="Times New Roman" w:cs="Times New Roman"/>
          <w:sz w:val="21"/>
          <w:szCs w:val="21"/>
        </w:rPr>
        <w:t>d</w:t>
      </w:r>
      <w:r w:rsidR="0084372B" w:rsidRPr="0084372B">
        <w:rPr>
          <w:rStyle w:val="longtext"/>
          <w:rFonts w:ascii="Times New Roman" w:hAnsi="Times New Roman" w:cs="Times New Roman"/>
          <w:sz w:val="21"/>
          <w:szCs w:val="21"/>
        </w:rPr>
        <w:t xml:space="preserve"> prices of imported goods</w:t>
      </w:r>
      <w:r w:rsidR="004F21A5" w:rsidRPr="004F21A5">
        <w:rPr>
          <w:rStyle w:val="longtext"/>
          <w:rFonts w:ascii="Times New Roman" w:hAnsi="Times New Roman" w:cs="Times New Roman"/>
          <w:sz w:val="21"/>
          <w:szCs w:val="21"/>
        </w:rPr>
        <w:t>, mainly due to an abruptly d</w:t>
      </w:r>
      <w:r w:rsidR="0084372B" w:rsidRPr="0084372B">
        <w:rPr>
          <w:rStyle w:val="longtext"/>
          <w:rFonts w:ascii="Times New Roman" w:hAnsi="Times New Roman" w:cs="Times New Roman"/>
          <w:sz w:val="21"/>
          <w:szCs w:val="21"/>
        </w:rPr>
        <w:t>epreciat</w:t>
      </w:r>
      <w:r w:rsidR="004F21A5" w:rsidRPr="004F21A5">
        <w:rPr>
          <w:rStyle w:val="longtext"/>
          <w:rFonts w:ascii="Times New Roman" w:hAnsi="Times New Roman" w:cs="Times New Roman"/>
          <w:sz w:val="21"/>
          <w:szCs w:val="21"/>
        </w:rPr>
        <w:t xml:space="preserve">ed </w:t>
      </w:r>
      <w:r w:rsidR="004F21A5">
        <w:rPr>
          <w:rStyle w:val="longtext"/>
          <w:rFonts w:ascii="Times New Roman" w:hAnsi="Times New Roman" w:cs="Times New Roman"/>
          <w:sz w:val="21"/>
          <w:szCs w:val="21"/>
        </w:rPr>
        <w:t>dram excha</w:t>
      </w:r>
      <w:r w:rsidR="004F21A5" w:rsidRPr="004F21A5">
        <w:rPr>
          <w:rStyle w:val="longtext"/>
          <w:rFonts w:ascii="Times New Roman" w:hAnsi="Times New Roman" w:cs="Times New Roman"/>
          <w:sz w:val="21"/>
          <w:szCs w:val="21"/>
        </w:rPr>
        <w:t>nge rate. The prices of bread products</w:t>
      </w:r>
      <w:r w:rsidR="0084372B" w:rsidRPr="0084372B">
        <w:rPr>
          <w:rStyle w:val="longtext"/>
          <w:rFonts w:ascii="Times New Roman" w:hAnsi="Times New Roman" w:cs="Times New Roman"/>
          <w:sz w:val="21"/>
          <w:szCs w:val="21"/>
        </w:rPr>
        <w:t xml:space="preserve">, oils </w:t>
      </w:r>
      <w:r w:rsidR="00CF0B9A">
        <w:rPr>
          <w:rStyle w:val="longtext"/>
          <w:rFonts w:ascii="Times New Roman" w:hAnsi="Times New Roman" w:cs="Times New Roman"/>
          <w:sz w:val="21"/>
          <w:szCs w:val="21"/>
        </w:rPr>
        <w:t xml:space="preserve">and fats </w:t>
      </w:r>
      <w:r w:rsidR="0084372B" w:rsidRPr="0084372B">
        <w:rPr>
          <w:rStyle w:val="longtext"/>
          <w:rFonts w:ascii="Times New Roman" w:hAnsi="Times New Roman" w:cs="Times New Roman"/>
          <w:sz w:val="21"/>
          <w:szCs w:val="21"/>
        </w:rPr>
        <w:t>and sugar</w:t>
      </w:r>
      <w:r w:rsidR="004F21A5" w:rsidRPr="004F21A5">
        <w:rPr>
          <w:rStyle w:val="longtext"/>
          <w:rFonts w:ascii="Times New Roman" w:hAnsi="Times New Roman" w:cs="Times New Roman"/>
          <w:sz w:val="21"/>
          <w:szCs w:val="21"/>
        </w:rPr>
        <w:t xml:space="preserve"> have risen. </w:t>
      </w:r>
      <w:r w:rsidR="0084372B" w:rsidRPr="0084372B">
        <w:rPr>
          <w:rStyle w:val="longtext"/>
          <w:rFonts w:ascii="Times New Roman" w:hAnsi="Times New Roman" w:cs="Times New Roman"/>
          <w:sz w:val="21"/>
          <w:szCs w:val="21"/>
        </w:rPr>
        <w:t xml:space="preserve">Note that </w:t>
      </w:r>
      <w:r w:rsidR="004F21A5" w:rsidRPr="004F21A5">
        <w:rPr>
          <w:rStyle w:val="longtext"/>
          <w:rFonts w:ascii="Times New Roman" w:hAnsi="Times New Roman" w:cs="Times New Roman"/>
          <w:sz w:val="21"/>
          <w:szCs w:val="21"/>
        </w:rPr>
        <w:t>prices of some</w:t>
      </w:r>
      <w:r w:rsidR="0084372B" w:rsidRPr="0084372B">
        <w:rPr>
          <w:rStyle w:val="longtext"/>
          <w:rFonts w:ascii="Times New Roman" w:hAnsi="Times New Roman" w:cs="Times New Roman"/>
          <w:sz w:val="21"/>
          <w:szCs w:val="21"/>
        </w:rPr>
        <w:t xml:space="preserve"> food products, </w:t>
      </w:r>
      <w:r w:rsidR="004F21A5">
        <w:rPr>
          <w:rFonts w:ascii="Times New Roman" w:hAnsi="Times New Roman" w:cs="Times New Roman"/>
          <w:sz w:val="21"/>
          <w:szCs w:val="21"/>
        </w:rPr>
        <w:t>such as</w:t>
      </w:r>
      <w:r w:rsidR="004F21A5" w:rsidRPr="00732153">
        <w:rPr>
          <w:rFonts w:ascii="Times New Roman" w:hAnsi="Times New Roman" w:cs="Times New Roman"/>
          <w:sz w:val="21"/>
          <w:szCs w:val="21"/>
        </w:rPr>
        <w:t xml:space="preserve"> dairy products, coffee, tea, cocoa, </w:t>
      </w:r>
      <w:r w:rsidR="004F21A5" w:rsidRPr="004F21A5">
        <w:rPr>
          <w:rFonts w:ascii="Times New Roman" w:hAnsi="Times New Roman" w:cs="Times New Roman"/>
          <w:sz w:val="21"/>
          <w:szCs w:val="21"/>
        </w:rPr>
        <w:t xml:space="preserve">have risen </w:t>
      </w:r>
      <w:r w:rsidR="004F21A5">
        <w:rPr>
          <w:rFonts w:ascii="Times New Roman" w:hAnsi="Times New Roman" w:cs="Times New Roman"/>
          <w:sz w:val="21"/>
          <w:szCs w:val="21"/>
        </w:rPr>
        <w:t xml:space="preserve">as a </w:t>
      </w:r>
      <w:r w:rsidR="004F21A5" w:rsidRPr="004366A8">
        <w:rPr>
          <w:rFonts w:ascii="Times New Roman" w:hAnsi="Times New Roman" w:cs="Times New Roman"/>
          <w:sz w:val="21"/>
          <w:szCs w:val="21"/>
        </w:rPr>
        <w:t>result of their labeling</w:t>
      </w:r>
      <w:r w:rsidR="004F21A5">
        <w:rPr>
          <w:rFonts w:ascii="Times New Roman" w:hAnsi="Times New Roman" w:cs="Times New Roman"/>
          <w:sz w:val="21"/>
          <w:szCs w:val="21"/>
        </w:rPr>
        <w:t xml:space="preserve"> </w:t>
      </w:r>
      <w:r w:rsidR="00BF7A61" w:rsidRPr="00BF7A61">
        <w:rPr>
          <w:rFonts w:ascii="Times New Roman" w:hAnsi="Times New Roman" w:cs="Times New Roman"/>
          <w:sz w:val="21"/>
          <w:szCs w:val="21"/>
        </w:rPr>
        <w:t xml:space="preserve">in November </w:t>
      </w:r>
      <w:r w:rsidR="004F21A5">
        <w:rPr>
          <w:rFonts w:ascii="Times New Roman" w:hAnsi="Times New Roman" w:cs="Times New Roman"/>
          <w:sz w:val="21"/>
          <w:szCs w:val="21"/>
        </w:rPr>
        <w:t>2014.</w:t>
      </w:r>
      <w:r w:rsidR="004F21A5" w:rsidRPr="004F21A5">
        <w:rPr>
          <w:rFonts w:ascii="Times New Roman" w:hAnsi="Times New Roman" w:cs="Times New Roman"/>
          <w:sz w:val="21"/>
          <w:szCs w:val="21"/>
        </w:rPr>
        <w:t xml:space="preserve"> </w:t>
      </w:r>
      <w:r w:rsidR="00BF7A61" w:rsidRPr="00BF7A61">
        <w:rPr>
          <w:rFonts w:ascii="Times New Roman" w:hAnsi="Times New Roman" w:cs="Times New Roman"/>
          <w:sz w:val="21"/>
          <w:szCs w:val="21"/>
        </w:rPr>
        <w:t>Price incr</w:t>
      </w:r>
      <w:r w:rsidR="004233A1" w:rsidRPr="004233A1">
        <w:rPr>
          <w:rFonts w:ascii="Times New Roman" w:hAnsi="Times New Roman" w:cs="Times New Roman"/>
          <w:sz w:val="21"/>
          <w:szCs w:val="21"/>
        </w:rPr>
        <w:t>eases on fruits</w:t>
      </w:r>
      <w:r w:rsidR="0084372B" w:rsidRPr="0084372B">
        <w:rPr>
          <w:rStyle w:val="longtext"/>
          <w:rFonts w:ascii="Times New Roman" w:hAnsi="Times New Roman" w:cs="Times New Roman"/>
          <w:sz w:val="21"/>
          <w:szCs w:val="21"/>
        </w:rPr>
        <w:t xml:space="preserve"> and vegetables</w:t>
      </w:r>
      <w:r w:rsidR="004233A1" w:rsidRPr="004233A1">
        <w:rPr>
          <w:rStyle w:val="longtext"/>
          <w:rFonts w:ascii="Times New Roman" w:hAnsi="Times New Roman" w:cs="Times New Roman"/>
          <w:sz w:val="21"/>
          <w:szCs w:val="21"/>
        </w:rPr>
        <w:t xml:space="preserve"> as well as</w:t>
      </w:r>
      <w:r w:rsidR="0084372B" w:rsidRPr="0084372B">
        <w:rPr>
          <w:rStyle w:val="longtext"/>
          <w:rFonts w:ascii="Times New Roman" w:hAnsi="Times New Roman" w:cs="Times New Roman"/>
          <w:sz w:val="21"/>
          <w:szCs w:val="21"/>
        </w:rPr>
        <w:t xml:space="preserve"> egg </w:t>
      </w:r>
      <w:r w:rsidR="004233A1" w:rsidRPr="004233A1">
        <w:rPr>
          <w:rStyle w:val="longtext"/>
          <w:rFonts w:ascii="Times New Roman" w:hAnsi="Times New Roman" w:cs="Times New Roman"/>
          <w:sz w:val="21"/>
          <w:szCs w:val="21"/>
        </w:rPr>
        <w:t>were mainly of a seasonal nature</w:t>
      </w:r>
      <w:r w:rsidR="0084372B" w:rsidRPr="0084372B">
        <w:rPr>
          <w:rStyle w:val="longtext"/>
          <w:rFonts w:ascii="Times New Roman" w:hAnsi="Times New Roman" w:cs="Times New Roman"/>
          <w:sz w:val="21"/>
          <w:szCs w:val="21"/>
        </w:rPr>
        <w:t>.</w:t>
      </w:r>
      <w:r w:rsidR="00BF7A61" w:rsidRPr="00BF7A61">
        <w:rPr>
          <w:rStyle w:val="longtext"/>
          <w:rFonts w:ascii="Times New Roman" w:hAnsi="Times New Roman" w:cs="Times New Roman"/>
          <w:sz w:val="21"/>
          <w:szCs w:val="21"/>
        </w:rPr>
        <w:t xml:space="preserve"> </w:t>
      </w:r>
    </w:p>
    <w:tbl>
      <w:tblPr>
        <w:tblW w:w="6270" w:type="dxa"/>
        <w:tblInd w:w="103"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1E0" w:firstRow="1" w:lastRow="1" w:firstColumn="1" w:lastColumn="1" w:noHBand="0" w:noVBand="0"/>
      </w:tblPr>
      <w:tblGrid>
        <w:gridCol w:w="2982"/>
        <w:gridCol w:w="548"/>
        <w:gridCol w:w="548"/>
        <w:gridCol w:w="548"/>
        <w:gridCol w:w="548"/>
        <w:gridCol w:w="548"/>
        <w:gridCol w:w="548"/>
      </w:tblGrid>
      <w:tr w:rsidR="00EC7501" w:rsidRPr="00EC7501" w14:paraId="35E92DE2" w14:textId="77777777" w:rsidTr="00640360">
        <w:trPr>
          <w:trHeight w:val="20"/>
        </w:trPr>
        <w:tc>
          <w:tcPr>
            <w:tcW w:w="6270" w:type="dxa"/>
            <w:gridSpan w:val="7"/>
            <w:tcBorders>
              <w:bottom w:val="single" w:sz="4" w:space="0" w:color="auto"/>
            </w:tcBorders>
            <w:vAlign w:val="center"/>
          </w:tcPr>
          <w:p w14:paraId="475C2AF7" w14:textId="77777777" w:rsidR="00EC7501" w:rsidRPr="00EC7501" w:rsidRDefault="00EC7501" w:rsidP="00640360">
            <w:pPr>
              <w:spacing w:before="40" w:after="40"/>
              <w:jc w:val="center"/>
              <w:rPr>
                <w:rFonts w:ascii="Times New Roman" w:hAnsi="Times New Roman" w:cs="Times New Roman"/>
                <w:b/>
                <w:bCs/>
                <w:i/>
                <w:iCs/>
                <w:sz w:val="18"/>
                <w:szCs w:val="18"/>
                <w:lang w:val="es-AR"/>
              </w:rPr>
            </w:pPr>
            <w:r w:rsidRPr="00EC7501">
              <w:rPr>
                <w:rFonts w:ascii="Times New Roman" w:hAnsi="Times New Roman" w:cs="Times New Roman"/>
                <w:b/>
                <w:sz w:val="18"/>
                <w:szCs w:val="18"/>
              </w:rPr>
              <w:t>The 12-month inflation by commodity groups as most important contributors</w:t>
            </w:r>
            <w:r w:rsidRPr="00EC7501">
              <w:rPr>
                <w:rFonts w:ascii="Times New Roman" w:hAnsi="Times New Roman" w:cs="Times New Roman"/>
                <w:b/>
                <w:sz w:val="18"/>
                <w:szCs w:val="18"/>
                <w:lang w:val="es-AR"/>
              </w:rPr>
              <w:t xml:space="preserve"> </w:t>
            </w:r>
          </w:p>
        </w:tc>
      </w:tr>
      <w:tr w:rsidR="00EC7501" w:rsidRPr="00EC7501" w14:paraId="04E8322C" w14:textId="77777777" w:rsidTr="00640360">
        <w:trPr>
          <w:trHeight w:val="20"/>
        </w:trPr>
        <w:tc>
          <w:tcPr>
            <w:tcW w:w="2982" w:type="dxa"/>
            <w:vMerge w:val="restart"/>
            <w:tcBorders>
              <w:top w:val="single" w:sz="4" w:space="0" w:color="auto"/>
            </w:tcBorders>
            <w:vAlign w:val="center"/>
          </w:tcPr>
          <w:p w14:paraId="4D91FD02" w14:textId="77777777" w:rsidR="00EC7501" w:rsidRPr="00EC7501" w:rsidRDefault="00EC7501" w:rsidP="00640360">
            <w:pPr>
              <w:spacing w:before="40" w:after="40"/>
              <w:rPr>
                <w:rFonts w:ascii="Times New Roman" w:hAnsi="Times New Roman" w:cs="Times New Roman"/>
                <w:b/>
                <w:bCs/>
                <w:iCs/>
                <w:sz w:val="18"/>
                <w:szCs w:val="18"/>
                <w:lang w:val="es-AR"/>
              </w:rPr>
            </w:pPr>
            <w:r w:rsidRPr="00EC7501">
              <w:rPr>
                <w:rFonts w:ascii="Times New Roman" w:hAnsi="Times New Roman" w:cs="Times New Roman"/>
                <w:b/>
                <w:bCs/>
                <w:iCs/>
                <w:sz w:val="18"/>
                <w:szCs w:val="18"/>
              </w:rPr>
              <w:t>Commodity group</w:t>
            </w:r>
          </w:p>
        </w:tc>
        <w:tc>
          <w:tcPr>
            <w:tcW w:w="1096" w:type="dxa"/>
            <w:gridSpan w:val="2"/>
            <w:tcBorders>
              <w:top w:val="single" w:sz="4" w:space="0" w:color="auto"/>
              <w:bottom w:val="single" w:sz="4" w:space="0" w:color="auto"/>
            </w:tcBorders>
          </w:tcPr>
          <w:p w14:paraId="74A4219F" w14:textId="77777777" w:rsidR="00EC7501" w:rsidRPr="00EC7501" w:rsidRDefault="00EC7501" w:rsidP="00640360">
            <w:pPr>
              <w:spacing w:before="40" w:after="40"/>
              <w:jc w:val="center"/>
              <w:rPr>
                <w:rFonts w:ascii="Times New Roman" w:hAnsi="Times New Roman" w:cs="Times New Roman"/>
                <w:b/>
                <w:bCs/>
                <w:iCs/>
                <w:sz w:val="18"/>
                <w:szCs w:val="18"/>
              </w:rPr>
            </w:pPr>
            <w:r w:rsidRPr="00EC7501">
              <w:rPr>
                <w:rFonts w:ascii="Times New Roman" w:hAnsi="Times New Roman" w:cs="Times New Roman"/>
                <w:b/>
                <w:bCs/>
                <w:iCs/>
                <w:sz w:val="18"/>
                <w:szCs w:val="18"/>
              </w:rPr>
              <w:t>September 2014 (y/y)</w:t>
            </w:r>
          </w:p>
        </w:tc>
        <w:tc>
          <w:tcPr>
            <w:tcW w:w="1096" w:type="dxa"/>
            <w:gridSpan w:val="2"/>
            <w:tcBorders>
              <w:top w:val="single" w:sz="4" w:space="0" w:color="auto"/>
              <w:bottom w:val="single" w:sz="4" w:space="0" w:color="auto"/>
            </w:tcBorders>
          </w:tcPr>
          <w:p w14:paraId="57AAC02E" w14:textId="77777777" w:rsidR="00EC7501" w:rsidRPr="00EC7501" w:rsidRDefault="00EC7501" w:rsidP="00640360">
            <w:pPr>
              <w:spacing w:before="40" w:after="40"/>
              <w:jc w:val="center"/>
              <w:rPr>
                <w:rFonts w:ascii="Times New Roman" w:hAnsi="Times New Roman" w:cs="Times New Roman"/>
                <w:b/>
                <w:bCs/>
                <w:iCs/>
                <w:sz w:val="18"/>
                <w:szCs w:val="18"/>
              </w:rPr>
            </w:pPr>
            <w:r w:rsidRPr="00EC7501">
              <w:rPr>
                <w:rFonts w:ascii="Times New Roman" w:hAnsi="Times New Roman" w:cs="Times New Roman"/>
                <w:b/>
                <w:bCs/>
                <w:iCs/>
                <w:sz w:val="18"/>
                <w:szCs w:val="18"/>
              </w:rPr>
              <w:t>December 2014 (y/y)</w:t>
            </w:r>
          </w:p>
        </w:tc>
        <w:tc>
          <w:tcPr>
            <w:tcW w:w="1096" w:type="dxa"/>
            <w:gridSpan w:val="2"/>
            <w:tcBorders>
              <w:top w:val="single" w:sz="4" w:space="0" w:color="auto"/>
              <w:bottom w:val="single" w:sz="4" w:space="0" w:color="auto"/>
            </w:tcBorders>
          </w:tcPr>
          <w:p w14:paraId="4C9B8272" w14:textId="77777777" w:rsidR="00EC7501" w:rsidRPr="00EC7501" w:rsidRDefault="00EC7501" w:rsidP="00640360">
            <w:pPr>
              <w:spacing w:before="40" w:after="40"/>
              <w:jc w:val="center"/>
              <w:rPr>
                <w:rFonts w:ascii="Times New Roman" w:hAnsi="Times New Roman" w:cs="Times New Roman"/>
                <w:b/>
                <w:bCs/>
                <w:iCs/>
                <w:sz w:val="18"/>
                <w:szCs w:val="18"/>
              </w:rPr>
            </w:pPr>
            <w:r w:rsidRPr="00EC7501">
              <w:rPr>
                <w:rFonts w:ascii="Times New Roman" w:hAnsi="Times New Roman" w:cs="Times New Roman"/>
                <w:b/>
                <w:bCs/>
                <w:iCs/>
                <w:sz w:val="18"/>
                <w:szCs w:val="18"/>
              </w:rPr>
              <w:t xml:space="preserve">Q4 2014 </w:t>
            </w:r>
          </w:p>
        </w:tc>
      </w:tr>
      <w:tr w:rsidR="00EC7501" w:rsidRPr="00EC7501" w14:paraId="5EE9CA22" w14:textId="77777777" w:rsidTr="00640360">
        <w:trPr>
          <w:cantSplit/>
          <w:trHeight w:val="1050"/>
        </w:trPr>
        <w:tc>
          <w:tcPr>
            <w:tcW w:w="2982" w:type="dxa"/>
            <w:vMerge/>
            <w:tcBorders>
              <w:bottom w:val="single" w:sz="4" w:space="0" w:color="auto"/>
            </w:tcBorders>
            <w:vAlign w:val="center"/>
          </w:tcPr>
          <w:p w14:paraId="5AD984E5" w14:textId="77777777" w:rsidR="00EC7501" w:rsidRPr="00EC7501" w:rsidRDefault="00EC7501" w:rsidP="00640360">
            <w:pPr>
              <w:spacing w:before="40" w:after="40"/>
              <w:rPr>
                <w:rFonts w:ascii="Times New Roman" w:hAnsi="Times New Roman" w:cs="Times New Roman"/>
                <w:b/>
                <w:bCs/>
                <w:iCs/>
                <w:sz w:val="18"/>
                <w:szCs w:val="18"/>
              </w:rPr>
            </w:pPr>
          </w:p>
        </w:tc>
        <w:tc>
          <w:tcPr>
            <w:tcW w:w="548" w:type="dxa"/>
            <w:tcBorders>
              <w:top w:val="single" w:sz="4" w:space="0" w:color="auto"/>
              <w:bottom w:val="single" w:sz="4" w:space="0" w:color="auto"/>
            </w:tcBorders>
            <w:textDirection w:val="btLr"/>
            <w:vAlign w:val="center"/>
          </w:tcPr>
          <w:p w14:paraId="65CC26E5" w14:textId="77777777" w:rsidR="00EC7501" w:rsidRPr="00EC7501" w:rsidRDefault="00EC7501" w:rsidP="00640360">
            <w:pPr>
              <w:spacing w:before="40" w:after="40"/>
              <w:ind w:left="113" w:right="113"/>
              <w:rPr>
                <w:rFonts w:ascii="Times New Roman" w:hAnsi="Times New Roman" w:cs="Times New Roman"/>
                <w:bCs/>
                <w:iCs/>
                <w:sz w:val="16"/>
                <w:szCs w:val="16"/>
              </w:rPr>
            </w:pPr>
            <w:r w:rsidRPr="00EC7501">
              <w:rPr>
                <w:rFonts w:ascii="Times New Roman" w:hAnsi="Times New Roman" w:cs="Times New Roman"/>
                <w:bCs/>
                <w:iCs/>
                <w:sz w:val="16"/>
                <w:szCs w:val="16"/>
              </w:rPr>
              <w:t>Growth</w:t>
            </w:r>
          </w:p>
        </w:tc>
        <w:tc>
          <w:tcPr>
            <w:tcW w:w="548" w:type="dxa"/>
            <w:tcBorders>
              <w:top w:val="single" w:sz="4" w:space="0" w:color="auto"/>
              <w:bottom w:val="single" w:sz="4" w:space="0" w:color="auto"/>
            </w:tcBorders>
            <w:textDirection w:val="btLr"/>
            <w:vAlign w:val="center"/>
          </w:tcPr>
          <w:p w14:paraId="63FD19FF" w14:textId="77777777" w:rsidR="00EC7501" w:rsidRPr="00EC7501" w:rsidRDefault="00EC7501" w:rsidP="00640360">
            <w:pPr>
              <w:spacing w:before="40" w:after="40"/>
              <w:ind w:left="113" w:right="113"/>
              <w:rPr>
                <w:rFonts w:ascii="Times New Roman" w:hAnsi="Times New Roman" w:cs="Times New Roman"/>
                <w:bCs/>
                <w:iCs/>
                <w:sz w:val="16"/>
                <w:szCs w:val="16"/>
              </w:rPr>
            </w:pPr>
            <w:r w:rsidRPr="00EC7501">
              <w:rPr>
                <w:rFonts w:ascii="Times New Roman" w:hAnsi="Times New Roman" w:cs="Times New Roman"/>
                <w:bCs/>
                <w:iCs/>
                <w:sz w:val="16"/>
                <w:szCs w:val="16"/>
              </w:rPr>
              <w:t>Contribution</w:t>
            </w:r>
          </w:p>
        </w:tc>
        <w:tc>
          <w:tcPr>
            <w:tcW w:w="548" w:type="dxa"/>
            <w:tcBorders>
              <w:top w:val="single" w:sz="4" w:space="0" w:color="auto"/>
              <w:bottom w:val="single" w:sz="4" w:space="0" w:color="auto"/>
            </w:tcBorders>
            <w:textDirection w:val="btLr"/>
            <w:vAlign w:val="center"/>
          </w:tcPr>
          <w:p w14:paraId="7FDB40AC" w14:textId="77777777" w:rsidR="00EC7501" w:rsidRPr="00EC7501" w:rsidRDefault="00EC7501" w:rsidP="00640360">
            <w:pPr>
              <w:spacing w:before="40" w:after="40"/>
              <w:ind w:left="113" w:right="113"/>
              <w:rPr>
                <w:rFonts w:ascii="Times New Roman" w:hAnsi="Times New Roman" w:cs="Times New Roman"/>
                <w:bCs/>
                <w:iCs/>
                <w:sz w:val="16"/>
                <w:szCs w:val="16"/>
              </w:rPr>
            </w:pPr>
            <w:r w:rsidRPr="00EC7501">
              <w:rPr>
                <w:rFonts w:ascii="Times New Roman" w:hAnsi="Times New Roman" w:cs="Times New Roman"/>
                <w:bCs/>
                <w:iCs/>
                <w:sz w:val="16"/>
                <w:szCs w:val="16"/>
              </w:rPr>
              <w:t>Growth</w:t>
            </w:r>
          </w:p>
        </w:tc>
        <w:tc>
          <w:tcPr>
            <w:tcW w:w="548" w:type="dxa"/>
            <w:tcBorders>
              <w:top w:val="single" w:sz="4" w:space="0" w:color="auto"/>
              <w:bottom w:val="single" w:sz="4" w:space="0" w:color="auto"/>
            </w:tcBorders>
            <w:textDirection w:val="btLr"/>
            <w:vAlign w:val="center"/>
          </w:tcPr>
          <w:p w14:paraId="194CFC0D" w14:textId="77777777" w:rsidR="00EC7501" w:rsidRPr="00EC7501" w:rsidRDefault="00EC7501" w:rsidP="00640360">
            <w:pPr>
              <w:spacing w:before="40" w:after="40"/>
              <w:ind w:left="113" w:right="113"/>
              <w:rPr>
                <w:rFonts w:ascii="Times New Roman" w:hAnsi="Times New Roman" w:cs="Times New Roman"/>
                <w:bCs/>
                <w:iCs/>
                <w:sz w:val="16"/>
                <w:szCs w:val="16"/>
              </w:rPr>
            </w:pPr>
            <w:r w:rsidRPr="00EC7501">
              <w:rPr>
                <w:rFonts w:ascii="Times New Roman" w:hAnsi="Times New Roman" w:cs="Times New Roman"/>
                <w:bCs/>
                <w:iCs/>
                <w:sz w:val="16"/>
                <w:szCs w:val="16"/>
              </w:rPr>
              <w:t>Contribution</w:t>
            </w:r>
          </w:p>
        </w:tc>
        <w:tc>
          <w:tcPr>
            <w:tcW w:w="548" w:type="dxa"/>
            <w:tcBorders>
              <w:top w:val="single" w:sz="4" w:space="0" w:color="auto"/>
              <w:bottom w:val="single" w:sz="4" w:space="0" w:color="auto"/>
            </w:tcBorders>
            <w:textDirection w:val="btLr"/>
            <w:vAlign w:val="center"/>
          </w:tcPr>
          <w:p w14:paraId="396E320D" w14:textId="77777777" w:rsidR="00EC7501" w:rsidRPr="00EC7501" w:rsidRDefault="00EC7501" w:rsidP="00640360">
            <w:pPr>
              <w:spacing w:before="40" w:after="40"/>
              <w:ind w:left="113" w:right="113"/>
              <w:rPr>
                <w:rFonts w:ascii="Times New Roman" w:hAnsi="Times New Roman" w:cs="Times New Roman"/>
                <w:bCs/>
                <w:iCs/>
                <w:sz w:val="16"/>
                <w:szCs w:val="16"/>
              </w:rPr>
            </w:pPr>
            <w:r w:rsidRPr="00EC7501">
              <w:rPr>
                <w:rFonts w:ascii="Times New Roman" w:hAnsi="Times New Roman" w:cs="Times New Roman"/>
                <w:bCs/>
                <w:iCs/>
                <w:sz w:val="16"/>
                <w:szCs w:val="16"/>
              </w:rPr>
              <w:t>Growth</w:t>
            </w:r>
          </w:p>
        </w:tc>
        <w:tc>
          <w:tcPr>
            <w:tcW w:w="548" w:type="dxa"/>
            <w:tcBorders>
              <w:top w:val="single" w:sz="4" w:space="0" w:color="auto"/>
              <w:bottom w:val="single" w:sz="4" w:space="0" w:color="auto"/>
            </w:tcBorders>
            <w:textDirection w:val="btLr"/>
            <w:vAlign w:val="center"/>
          </w:tcPr>
          <w:p w14:paraId="5382E075" w14:textId="77777777" w:rsidR="00EC7501" w:rsidRPr="00EC7501" w:rsidRDefault="00EC7501" w:rsidP="00640360">
            <w:pPr>
              <w:spacing w:before="40" w:after="40"/>
              <w:ind w:left="113" w:right="113"/>
              <w:rPr>
                <w:rFonts w:ascii="Times New Roman" w:hAnsi="Times New Roman" w:cs="Times New Roman"/>
                <w:bCs/>
                <w:iCs/>
                <w:sz w:val="16"/>
                <w:szCs w:val="16"/>
              </w:rPr>
            </w:pPr>
            <w:r w:rsidRPr="00EC7501">
              <w:rPr>
                <w:rFonts w:ascii="Times New Roman" w:hAnsi="Times New Roman" w:cs="Times New Roman"/>
                <w:bCs/>
                <w:iCs/>
                <w:sz w:val="16"/>
                <w:szCs w:val="16"/>
              </w:rPr>
              <w:t>Contribution</w:t>
            </w:r>
          </w:p>
        </w:tc>
      </w:tr>
      <w:tr w:rsidR="00EC7501" w:rsidRPr="00EC7501" w14:paraId="7CA9E904" w14:textId="77777777" w:rsidTr="00640360">
        <w:trPr>
          <w:trHeight w:val="20"/>
        </w:trPr>
        <w:tc>
          <w:tcPr>
            <w:tcW w:w="2982" w:type="dxa"/>
            <w:tcBorders>
              <w:top w:val="single" w:sz="4" w:space="0" w:color="auto"/>
            </w:tcBorders>
            <w:vAlign w:val="center"/>
          </w:tcPr>
          <w:p w14:paraId="49FC6E31" w14:textId="77777777" w:rsidR="00EC7501" w:rsidRPr="00EC7501" w:rsidRDefault="00EC7501" w:rsidP="00640360">
            <w:pPr>
              <w:spacing w:before="20" w:after="40"/>
              <w:rPr>
                <w:rFonts w:ascii="Times New Roman" w:hAnsi="Times New Roman" w:cs="Times New Roman"/>
                <w:bCs/>
                <w:iCs/>
                <w:sz w:val="18"/>
                <w:szCs w:val="18"/>
              </w:rPr>
            </w:pPr>
            <w:r w:rsidRPr="00EC7501">
              <w:rPr>
                <w:rFonts w:ascii="Times New Roman" w:hAnsi="Times New Roman" w:cs="Times New Roman"/>
                <w:b/>
                <w:bCs/>
                <w:iCs/>
                <w:sz w:val="18"/>
                <w:szCs w:val="18"/>
              </w:rPr>
              <w:t>CPI</w:t>
            </w:r>
          </w:p>
        </w:tc>
        <w:tc>
          <w:tcPr>
            <w:tcW w:w="548" w:type="dxa"/>
            <w:tcBorders>
              <w:top w:val="single" w:sz="4" w:space="0" w:color="auto"/>
            </w:tcBorders>
            <w:vAlign w:val="center"/>
          </w:tcPr>
          <w:p w14:paraId="741C2098"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1.5</w:t>
            </w:r>
          </w:p>
        </w:tc>
        <w:tc>
          <w:tcPr>
            <w:tcW w:w="548" w:type="dxa"/>
            <w:tcBorders>
              <w:top w:val="single" w:sz="4" w:space="0" w:color="auto"/>
            </w:tcBorders>
            <w:vAlign w:val="center"/>
          </w:tcPr>
          <w:p w14:paraId="761B5C67" w14:textId="77777777" w:rsidR="00EC7501" w:rsidRPr="00EC7501" w:rsidRDefault="00EC7501" w:rsidP="00640360">
            <w:pPr>
              <w:spacing w:before="20" w:after="40"/>
              <w:jc w:val="center"/>
              <w:rPr>
                <w:rFonts w:ascii="Times New Roman" w:hAnsi="Times New Roman" w:cs="Times New Roman"/>
                <w:b/>
                <w:sz w:val="18"/>
                <w:szCs w:val="18"/>
              </w:rPr>
            </w:pPr>
          </w:p>
        </w:tc>
        <w:tc>
          <w:tcPr>
            <w:tcW w:w="548" w:type="dxa"/>
            <w:tcBorders>
              <w:top w:val="single" w:sz="4" w:space="0" w:color="auto"/>
            </w:tcBorders>
            <w:vAlign w:val="center"/>
          </w:tcPr>
          <w:p w14:paraId="12B4DEEC"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4.6</w:t>
            </w:r>
          </w:p>
        </w:tc>
        <w:tc>
          <w:tcPr>
            <w:tcW w:w="548" w:type="dxa"/>
            <w:tcBorders>
              <w:top w:val="single" w:sz="4" w:space="0" w:color="auto"/>
            </w:tcBorders>
            <w:vAlign w:val="center"/>
          </w:tcPr>
          <w:p w14:paraId="3FD8AED2" w14:textId="77777777" w:rsidR="00EC7501" w:rsidRPr="00EC7501" w:rsidRDefault="00EC7501" w:rsidP="00640360">
            <w:pPr>
              <w:spacing w:before="20" w:after="40"/>
              <w:jc w:val="center"/>
              <w:rPr>
                <w:rFonts w:ascii="Times New Roman" w:hAnsi="Times New Roman" w:cs="Times New Roman"/>
                <w:b/>
                <w:sz w:val="18"/>
                <w:szCs w:val="18"/>
              </w:rPr>
            </w:pPr>
          </w:p>
        </w:tc>
        <w:tc>
          <w:tcPr>
            <w:tcW w:w="548" w:type="dxa"/>
            <w:tcBorders>
              <w:top w:val="single" w:sz="4" w:space="0" w:color="auto"/>
            </w:tcBorders>
            <w:vAlign w:val="center"/>
          </w:tcPr>
          <w:p w14:paraId="76B772C5"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5.4</w:t>
            </w:r>
          </w:p>
        </w:tc>
        <w:tc>
          <w:tcPr>
            <w:tcW w:w="548" w:type="dxa"/>
            <w:tcBorders>
              <w:top w:val="single" w:sz="4" w:space="0" w:color="auto"/>
            </w:tcBorders>
            <w:vAlign w:val="center"/>
          </w:tcPr>
          <w:p w14:paraId="76BAF084" w14:textId="77777777" w:rsidR="00EC7501" w:rsidRPr="00EC7501" w:rsidRDefault="00EC7501" w:rsidP="00640360">
            <w:pPr>
              <w:spacing w:before="20" w:after="40"/>
              <w:jc w:val="center"/>
              <w:rPr>
                <w:rFonts w:ascii="Times New Roman" w:hAnsi="Times New Roman" w:cs="Times New Roman"/>
                <w:b/>
                <w:sz w:val="18"/>
                <w:szCs w:val="18"/>
              </w:rPr>
            </w:pPr>
          </w:p>
        </w:tc>
      </w:tr>
      <w:tr w:rsidR="00EC7501" w:rsidRPr="00EC7501" w14:paraId="6910AF7F" w14:textId="77777777" w:rsidTr="00640360">
        <w:trPr>
          <w:trHeight w:val="20"/>
        </w:trPr>
        <w:tc>
          <w:tcPr>
            <w:tcW w:w="2982" w:type="dxa"/>
            <w:vAlign w:val="center"/>
          </w:tcPr>
          <w:p w14:paraId="1D5D4267" w14:textId="77777777" w:rsidR="00EC7501" w:rsidRPr="00EC7501" w:rsidRDefault="00EC7501" w:rsidP="00640360">
            <w:pPr>
              <w:spacing w:before="20" w:after="40"/>
              <w:ind w:firstLine="6"/>
              <w:rPr>
                <w:rFonts w:ascii="Times New Roman" w:hAnsi="Times New Roman" w:cs="Times New Roman"/>
                <w:b/>
                <w:bCs/>
                <w:iCs/>
                <w:sz w:val="18"/>
                <w:szCs w:val="18"/>
              </w:rPr>
            </w:pPr>
            <w:r w:rsidRPr="00EC7501">
              <w:rPr>
                <w:rFonts w:ascii="Times New Roman" w:hAnsi="Times New Roman" w:cs="Times New Roman"/>
                <w:b/>
                <w:bCs/>
                <w:iCs/>
                <w:sz w:val="18"/>
                <w:szCs w:val="18"/>
              </w:rPr>
              <w:t>Food products</w:t>
            </w:r>
          </w:p>
        </w:tc>
        <w:tc>
          <w:tcPr>
            <w:tcW w:w="548" w:type="dxa"/>
            <w:vAlign w:val="center"/>
          </w:tcPr>
          <w:p w14:paraId="1DC93E50"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1.4</w:t>
            </w:r>
          </w:p>
        </w:tc>
        <w:tc>
          <w:tcPr>
            <w:tcW w:w="548" w:type="dxa"/>
            <w:vAlign w:val="center"/>
          </w:tcPr>
          <w:p w14:paraId="4C68552F"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0.8</w:t>
            </w:r>
          </w:p>
        </w:tc>
        <w:tc>
          <w:tcPr>
            <w:tcW w:w="548" w:type="dxa"/>
            <w:vAlign w:val="center"/>
          </w:tcPr>
          <w:p w14:paraId="5998C8E9"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6.3</w:t>
            </w:r>
          </w:p>
        </w:tc>
        <w:tc>
          <w:tcPr>
            <w:tcW w:w="548" w:type="dxa"/>
            <w:vAlign w:val="center"/>
          </w:tcPr>
          <w:p w14:paraId="55606E81"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3.4</w:t>
            </w:r>
          </w:p>
        </w:tc>
        <w:tc>
          <w:tcPr>
            <w:tcW w:w="548" w:type="dxa"/>
            <w:vAlign w:val="center"/>
          </w:tcPr>
          <w:p w14:paraId="6F7C3F39"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9.1</w:t>
            </w:r>
          </w:p>
        </w:tc>
        <w:tc>
          <w:tcPr>
            <w:tcW w:w="548" w:type="dxa"/>
            <w:vAlign w:val="center"/>
          </w:tcPr>
          <w:p w14:paraId="0C927149"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4.8</w:t>
            </w:r>
          </w:p>
        </w:tc>
      </w:tr>
      <w:tr w:rsidR="00EC7501" w:rsidRPr="00EC7501" w14:paraId="57B74545" w14:textId="77777777" w:rsidTr="00640360">
        <w:trPr>
          <w:trHeight w:val="20"/>
        </w:trPr>
        <w:tc>
          <w:tcPr>
            <w:tcW w:w="2982" w:type="dxa"/>
            <w:vAlign w:val="center"/>
          </w:tcPr>
          <w:p w14:paraId="40297AE5" w14:textId="77777777" w:rsidR="00EC7501" w:rsidRPr="00EC7501" w:rsidRDefault="00EC7501" w:rsidP="00640360">
            <w:pPr>
              <w:spacing w:before="20" w:after="40"/>
              <w:ind w:left="181"/>
              <w:rPr>
                <w:rFonts w:ascii="Times New Roman" w:hAnsi="Times New Roman" w:cs="Times New Roman"/>
                <w:bCs/>
                <w:iCs/>
                <w:sz w:val="18"/>
                <w:szCs w:val="18"/>
              </w:rPr>
            </w:pPr>
            <w:r w:rsidRPr="00EC7501">
              <w:rPr>
                <w:rFonts w:ascii="Times New Roman" w:hAnsi="Times New Roman" w:cs="Times New Roman"/>
                <w:bCs/>
                <w:iCs/>
                <w:sz w:val="18"/>
                <w:szCs w:val="18"/>
              </w:rPr>
              <w:t>Bread products</w:t>
            </w:r>
          </w:p>
        </w:tc>
        <w:tc>
          <w:tcPr>
            <w:tcW w:w="548" w:type="dxa"/>
            <w:vAlign w:val="center"/>
          </w:tcPr>
          <w:p w14:paraId="125C8247"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0.8</w:t>
            </w:r>
          </w:p>
        </w:tc>
        <w:tc>
          <w:tcPr>
            <w:tcW w:w="548" w:type="dxa"/>
            <w:vAlign w:val="center"/>
          </w:tcPr>
          <w:p w14:paraId="01FEA488"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0.1</w:t>
            </w:r>
          </w:p>
        </w:tc>
        <w:tc>
          <w:tcPr>
            <w:tcW w:w="548" w:type="dxa"/>
            <w:vAlign w:val="center"/>
          </w:tcPr>
          <w:p w14:paraId="20FA9481"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5.9</w:t>
            </w:r>
          </w:p>
        </w:tc>
        <w:tc>
          <w:tcPr>
            <w:tcW w:w="548" w:type="dxa"/>
            <w:vAlign w:val="center"/>
          </w:tcPr>
          <w:p w14:paraId="481FDAF4"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0.6</w:t>
            </w:r>
          </w:p>
        </w:tc>
        <w:tc>
          <w:tcPr>
            <w:tcW w:w="548" w:type="dxa"/>
            <w:vAlign w:val="center"/>
          </w:tcPr>
          <w:p w14:paraId="091F9511"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5.0</w:t>
            </w:r>
          </w:p>
        </w:tc>
        <w:tc>
          <w:tcPr>
            <w:tcW w:w="548" w:type="dxa"/>
            <w:vAlign w:val="center"/>
          </w:tcPr>
          <w:p w14:paraId="1BA65929"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0.5</w:t>
            </w:r>
          </w:p>
        </w:tc>
      </w:tr>
      <w:tr w:rsidR="00EC7501" w:rsidRPr="00EC7501" w14:paraId="37963892" w14:textId="77777777" w:rsidTr="00640360">
        <w:trPr>
          <w:trHeight w:val="20"/>
        </w:trPr>
        <w:tc>
          <w:tcPr>
            <w:tcW w:w="2982" w:type="dxa"/>
            <w:vAlign w:val="center"/>
          </w:tcPr>
          <w:p w14:paraId="2CE95DEE" w14:textId="77777777" w:rsidR="00EC7501" w:rsidRPr="00EC7501" w:rsidRDefault="00EC7501" w:rsidP="00640360">
            <w:pPr>
              <w:spacing w:before="20" w:after="40"/>
              <w:ind w:left="181"/>
              <w:rPr>
                <w:rFonts w:ascii="Times New Roman" w:hAnsi="Times New Roman" w:cs="Times New Roman"/>
                <w:bCs/>
                <w:iCs/>
                <w:sz w:val="18"/>
                <w:szCs w:val="18"/>
              </w:rPr>
            </w:pPr>
            <w:r w:rsidRPr="00EC7501">
              <w:rPr>
                <w:rFonts w:ascii="Times New Roman" w:hAnsi="Times New Roman" w:cs="Times New Roman"/>
                <w:bCs/>
                <w:iCs/>
                <w:sz w:val="18"/>
                <w:szCs w:val="18"/>
              </w:rPr>
              <w:t>Dairy products</w:t>
            </w:r>
          </w:p>
        </w:tc>
        <w:tc>
          <w:tcPr>
            <w:tcW w:w="548" w:type="dxa"/>
            <w:vAlign w:val="center"/>
          </w:tcPr>
          <w:p w14:paraId="0FC54297"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5.1</w:t>
            </w:r>
          </w:p>
        </w:tc>
        <w:tc>
          <w:tcPr>
            <w:tcW w:w="548" w:type="dxa"/>
            <w:vAlign w:val="center"/>
          </w:tcPr>
          <w:p w14:paraId="1D984724"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0.2</w:t>
            </w:r>
          </w:p>
        </w:tc>
        <w:tc>
          <w:tcPr>
            <w:tcW w:w="548" w:type="dxa"/>
            <w:vAlign w:val="center"/>
          </w:tcPr>
          <w:p w14:paraId="75EDF0F7"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13.1</w:t>
            </w:r>
          </w:p>
        </w:tc>
        <w:tc>
          <w:tcPr>
            <w:tcW w:w="548" w:type="dxa"/>
            <w:vAlign w:val="center"/>
          </w:tcPr>
          <w:p w14:paraId="4442191C"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0.6</w:t>
            </w:r>
          </w:p>
        </w:tc>
        <w:tc>
          <w:tcPr>
            <w:tcW w:w="548" w:type="dxa"/>
            <w:vAlign w:val="center"/>
          </w:tcPr>
          <w:p w14:paraId="36CA17DF"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8.7</w:t>
            </w:r>
          </w:p>
        </w:tc>
        <w:tc>
          <w:tcPr>
            <w:tcW w:w="548" w:type="dxa"/>
            <w:vAlign w:val="center"/>
          </w:tcPr>
          <w:p w14:paraId="0202918B"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0.4</w:t>
            </w:r>
          </w:p>
        </w:tc>
      </w:tr>
      <w:tr w:rsidR="00EC7501" w:rsidRPr="00EC7501" w14:paraId="63B38A1A" w14:textId="77777777" w:rsidTr="00640360">
        <w:trPr>
          <w:trHeight w:val="20"/>
        </w:trPr>
        <w:tc>
          <w:tcPr>
            <w:tcW w:w="2982" w:type="dxa"/>
            <w:vAlign w:val="center"/>
          </w:tcPr>
          <w:p w14:paraId="1904FFED" w14:textId="77777777" w:rsidR="00EC7501" w:rsidRPr="00EC7501" w:rsidRDefault="00EC7501" w:rsidP="00640360">
            <w:pPr>
              <w:spacing w:before="20" w:after="40"/>
              <w:ind w:left="181"/>
              <w:rPr>
                <w:rFonts w:ascii="Times New Roman" w:hAnsi="Times New Roman" w:cs="Times New Roman"/>
                <w:bCs/>
                <w:iCs/>
                <w:sz w:val="18"/>
                <w:szCs w:val="18"/>
              </w:rPr>
            </w:pPr>
            <w:r w:rsidRPr="00EC7501">
              <w:rPr>
                <w:rFonts w:ascii="Times New Roman" w:hAnsi="Times New Roman" w:cs="Times New Roman"/>
                <w:bCs/>
                <w:iCs/>
                <w:sz w:val="18"/>
                <w:szCs w:val="18"/>
              </w:rPr>
              <w:t>Meat products</w:t>
            </w:r>
          </w:p>
        </w:tc>
        <w:tc>
          <w:tcPr>
            <w:tcW w:w="548" w:type="dxa"/>
            <w:vAlign w:val="center"/>
          </w:tcPr>
          <w:p w14:paraId="6FDAEB21"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0.6</w:t>
            </w:r>
          </w:p>
        </w:tc>
        <w:tc>
          <w:tcPr>
            <w:tcW w:w="548" w:type="dxa"/>
            <w:vAlign w:val="center"/>
          </w:tcPr>
          <w:p w14:paraId="3C7B4E7E"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0.1</w:t>
            </w:r>
          </w:p>
        </w:tc>
        <w:tc>
          <w:tcPr>
            <w:tcW w:w="548" w:type="dxa"/>
            <w:vAlign w:val="center"/>
          </w:tcPr>
          <w:p w14:paraId="617F1B34"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3.3</w:t>
            </w:r>
          </w:p>
        </w:tc>
        <w:tc>
          <w:tcPr>
            <w:tcW w:w="548" w:type="dxa"/>
            <w:vAlign w:val="center"/>
          </w:tcPr>
          <w:p w14:paraId="64437527"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0.3</w:t>
            </w:r>
          </w:p>
        </w:tc>
        <w:tc>
          <w:tcPr>
            <w:tcW w:w="548" w:type="dxa"/>
            <w:vAlign w:val="center"/>
          </w:tcPr>
          <w:p w14:paraId="0AF23C27"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2.8</w:t>
            </w:r>
          </w:p>
        </w:tc>
        <w:tc>
          <w:tcPr>
            <w:tcW w:w="548" w:type="dxa"/>
            <w:vAlign w:val="center"/>
          </w:tcPr>
          <w:p w14:paraId="09FA55A0"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0.3</w:t>
            </w:r>
          </w:p>
        </w:tc>
      </w:tr>
      <w:tr w:rsidR="00EC7501" w:rsidRPr="00EC7501" w14:paraId="6E73CA4F" w14:textId="77777777" w:rsidTr="00640360">
        <w:trPr>
          <w:trHeight w:val="20"/>
        </w:trPr>
        <w:tc>
          <w:tcPr>
            <w:tcW w:w="2982" w:type="dxa"/>
            <w:vAlign w:val="center"/>
          </w:tcPr>
          <w:p w14:paraId="79C60360" w14:textId="77777777" w:rsidR="00EC7501" w:rsidRPr="00EC7501" w:rsidRDefault="00EC7501" w:rsidP="00640360">
            <w:pPr>
              <w:spacing w:before="20" w:after="40"/>
              <w:ind w:left="181"/>
              <w:rPr>
                <w:rFonts w:ascii="Times New Roman" w:hAnsi="Times New Roman" w:cs="Times New Roman"/>
                <w:bCs/>
                <w:iCs/>
                <w:sz w:val="18"/>
                <w:szCs w:val="18"/>
              </w:rPr>
            </w:pPr>
            <w:r w:rsidRPr="00EC7501">
              <w:rPr>
                <w:rFonts w:ascii="Times New Roman" w:hAnsi="Times New Roman" w:cs="Times New Roman"/>
                <w:bCs/>
                <w:iCs/>
                <w:sz w:val="18"/>
                <w:szCs w:val="18"/>
              </w:rPr>
              <w:t>Fruits</w:t>
            </w:r>
          </w:p>
        </w:tc>
        <w:tc>
          <w:tcPr>
            <w:tcW w:w="548" w:type="dxa"/>
            <w:vAlign w:val="center"/>
          </w:tcPr>
          <w:p w14:paraId="3C7C6459"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5.3</w:t>
            </w:r>
          </w:p>
        </w:tc>
        <w:tc>
          <w:tcPr>
            <w:tcW w:w="548" w:type="dxa"/>
            <w:vAlign w:val="center"/>
          </w:tcPr>
          <w:p w14:paraId="0B228885"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0.2</w:t>
            </w:r>
          </w:p>
        </w:tc>
        <w:tc>
          <w:tcPr>
            <w:tcW w:w="548" w:type="dxa"/>
            <w:vAlign w:val="center"/>
          </w:tcPr>
          <w:p w14:paraId="46DC1628"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14.6</w:t>
            </w:r>
          </w:p>
        </w:tc>
        <w:tc>
          <w:tcPr>
            <w:tcW w:w="548" w:type="dxa"/>
            <w:vAlign w:val="center"/>
          </w:tcPr>
          <w:p w14:paraId="044ACD15"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0.5</w:t>
            </w:r>
          </w:p>
        </w:tc>
        <w:tc>
          <w:tcPr>
            <w:tcW w:w="548" w:type="dxa"/>
            <w:vAlign w:val="center"/>
          </w:tcPr>
          <w:p w14:paraId="44AA5C38"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8.2</w:t>
            </w:r>
          </w:p>
        </w:tc>
        <w:tc>
          <w:tcPr>
            <w:tcW w:w="548" w:type="dxa"/>
            <w:vAlign w:val="center"/>
          </w:tcPr>
          <w:p w14:paraId="56A0B605"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0.3</w:t>
            </w:r>
          </w:p>
        </w:tc>
      </w:tr>
      <w:tr w:rsidR="00EC7501" w:rsidRPr="00EC7501" w14:paraId="2F058BCD" w14:textId="77777777" w:rsidTr="00640360">
        <w:trPr>
          <w:trHeight w:val="20"/>
        </w:trPr>
        <w:tc>
          <w:tcPr>
            <w:tcW w:w="2982" w:type="dxa"/>
            <w:vAlign w:val="center"/>
          </w:tcPr>
          <w:p w14:paraId="6B253980" w14:textId="77777777" w:rsidR="00EC7501" w:rsidRPr="00EC7501" w:rsidRDefault="00EC7501" w:rsidP="00640360">
            <w:pPr>
              <w:spacing w:before="20" w:after="40"/>
              <w:ind w:left="181"/>
              <w:rPr>
                <w:rFonts w:ascii="Times New Roman" w:hAnsi="Times New Roman" w:cs="Times New Roman"/>
                <w:bCs/>
                <w:iCs/>
                <w:sz w:val="18"/>
                <w:szCs w:val="18"/>
              </w:rPr>
            </w:pPr>
            <w:r w:rsidRPr="00EC7501">
              <w:rPr>
                <w:rFonts w:ascii="Times New Roman" w:hAnsi="Times New Roman" w:cs="Times New Roman"/>
                <w:bCs/>
                <w:iCs/>
                <w:sz w:val="18"/>
                <w:szCs w:val="18"/>
              </w:rPr>
              <w:t>Vegetables and potato</w:t>
            </w:r>
          </w:p>
        </w:tc>
        <w:tc>
          <w:tcPr>
            <w:tcW w:w="548" w:type="dxa"/>
            <w:vAlign w:val="center"/>
          </w:tcPr>
          <w:p w14:paraId="0E1BC6A2"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1.7</w:t>
            </w:r>
          </w:p>
        </w:tc>
        <w:tc>
          <w:tcPr>
            <w:tcW w:w="548" w:type="dxa"/>
            <w:vAlign w:val="center"/>
          </w:tcPr>
          <w:p w14:paraId="5A9FF451"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0.1</w:t>
            </w:r>
          </w:p>
        </w:tc>
        <w:tc>
          <w:tcPr>
            <w:tcW w:w="548" w:type="dxa"/>
            <w:vAlign w:val="center"/>
          </w:tcPr>
          <w:p w14:paraId="456C9B7F"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7.9</w:t>
            </w:r>
          </w:p>
        </w:tc>
        <w:tc>
          <w:tcPr>
            <w:tcW w:w="548" w:type="dxa"/>
            <w:vAlign w:val="center"/>
          </w:tcPr>
          <w:p w14:paraId="72962955"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0.5</w:t>
            </w:r>
          </w:p>
        </w:tc>
        <w:tc>
          <w:tcPr>
            <w:tcW w:w="548" w:type="dxa"/>
            <w:vAlign w:val="center"/>
          </w:tcPr>
          <w:p w14:paraId="05BC85B0"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67.3</w:t>
            </w:r>
          </w:p>
        </w:tc>
        <w:tc>
          <w:tcPr>
            <w:tcW w:w="548" w:type="dxa"/>
            <w:vAlign w:val="center"/>
          </w:tcPr>
          <w:p w14:paraId="2C616251"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4.2</w:t>
            </w:r>
          </w:p>
        </w:tc>
      </w:tr>
      <w:tr w:rsidR="00EC7501" w:rsidRPr="00EC7501" w14:paraId="6E313567" w14:textId="77777777" w:rsidTr="00640360">
        <w:trPr>
          <w:trHeight w:val="20"/>
        </w:trPr>
        <w:tc>
          <w:tcPr>
            <w:tcW w:w="2982" w:type="dxa"/>
            <w:vAlign w:val="center"/>
          </w:tcPr>
          <w:p w14:paraId="02D1112A" w14:textId="77777777" w:rsidR="00EC7501" w:rsidRPr="00EC7501" w:rsidRDefault="00EC7501" w:rsidP="00640360">
            <w:pPr>
              <w:spacing w:before="20" w:after="40"/>
              <w:ind w:left="181"/>
              <w:rPr>
                <w:rFonts w:ascii="Times New Roman" w:hAnsi="Times New Roman" w:cs="Times New Roman"/>
                <w:bCs/>
                <w:iCs/>
                <w:sz w:val="18"/>
                <w:szCs w:val="18"/>
              </w:rPr>
            </w:pPr>
            <w:r w:rsidRPr="00EC7501">
              <w:rPr>
                <w:rFonts w:ascii="Times New Roman" w:hAnsi="Times New Roman" w:cs="Times New Roman"/>
                <w:bCs/>
                <w:iCs/>
                <w:sz w:val="18"/>
                <w:szCs w:val="18"/>
              </w:rPr>
              <w:lastRenderedPageBreak/>
              <w:t>Fats and oils</w:t>
            </w:r>
          </w:p>
        </w:tc>
        <w:tc>
          <w:tcPr>
            <w:tcW w:w="548" w:type="dxa"/>
            <w:vAlign w:val="center"/>
          </w:tcPr>
          <w:p w14:paraId="298C3BFF"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-3.3</w:t>
            </w:r>
          </w:p>
        </w:tc>
        <w:tc>
          <w:tcPr>
            <w:tcW w:w="548" w:type="dxa"/>
            <w:vAlign w:val="center"/>
          </w:tcPr>
          <w:p w14:paraId="03E660E9"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-0.1</w:t>
            </w:r>
          </w:p>
        </w:tc>
        <w:tc>
          <w:tcPr>
            <w:tcW w:w="548" w:type="dxa"/>
            <w:vAlign w:val="center"/>
          </w:tcPr>
          <w:p w14:paraId="382088C3"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1.9</w:t>
            </w:r>
          </w:p>
        </w:tc>
        <w:tc>
          <w:tcPr>
            <w:tcW w:w="548" w:type="dxa"/>
            <w:vAlign w:val="center"/>
          </w:tcPr>
          <w:p w14:paraId="532B6A92"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0.1</w:t>
            </w:r>
          </w:p>
        </w:tc>
        <w:tc>
          <w:tcPr>
            <w:tcW w:w="548" w:type="dxa"/>
            <w:vAlign w:val="center"/>
          </w:tcPr>
          <w:p w14:paraId="43A432B0"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3.1</w:t>
            </w:r>
          </w:p>
        </w:tc>
        <w:tc>
          <w:tcPr>
            <w:tcW w:w="548" w:type="dxa"/>
            <w:vAlign w:val="center"/>
          </w:tcPr>
          <w:p w14:paraId="0D396700"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0.1</w:t>
            </w:r>
          </w:p>
        </w:tc>
      </w:tr>
      <w:tr w:rsidR="00EC7501" w:rsidRPr="00EC7501" w14:paraId="7280D031" w14:textId="77777777" w:rsidTr="00640360">
        <w:trPr>
          <w:trHeight w:val="20"/>
        </w:trPr>
        <w:tc>
          <w:tcPr>
            <w:tcW w:w="2982" w:type="dxa"/>
            <w:vAlign w:val="center"/>
          </w:tcPr>
          <w:p w14:paraId="70DA986A" w14:textId="77777777" w:rsidR="00EC7501" w:rsidRPr="00EC7501" w:rsidRDefault="00EC7501" w:rsidP="00640360">
            <w:pPr>
              <w:spacing w:before="20" w:after="40"/>
              <w:ind w:left="181"/>
              <w:rPr>
                <w:rFonts w:ascii="Times New Roman" w:hAnsi="Times New Roman" w:cs="Times New Roman"/>
                <w:bCs/>
                <w:iCs/>
                <w:sz w:val="18"/>
                <w:szCs w:val="18"/>
              </w:rPr>
            </w:pPr>
            <w:r w:rsidRPr="00EC7501">
              <w:rPr>
                <w:rFonts w:ascii="Times New Roman" w:hAnsi="Times New Roman" w:cs="Times New Roman"/>
                <w:bCs/>
                <w:iCs/>
                <w:sz w:val="18"/>
                <w:szCs w:val="18"/>
              </w:rPr>
              <w:t>Egg</w:t>
            </w:r>
          </w:p>
        </w:tc>
        <w:tc>
          <w:tcPr>
            <w:tcW w:w="548" w:type="dxa"/>
            <w:vAlign w:val="center"/>
          </w:tcPr>
          <w:p w14:paraId="0D161F36"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-10.8</w:t>
            </w:r>
          </w:p>
        </w:tc>
        <w:tc>
          <w:tcPr>
            <w:tcW w:w="548" w:type="dxa"/>
            <w:vAlign w:val="center"/>
          </w:tcPr>
          <w:p w14:paraId="24B8021B"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-0.1</w:t>
            </w:r>
          </w:p>
        </w:tc>
        <w:tc>
          <w:tcPr>
            <w:tcW w:w="548" w:type="dxa"/>
            <w:vAlign w:val="center"/>
          </w:tcPr>
          <w:p w14:paraId="42359515"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2.1</w:t>
            </w:r>
          </w:p>
        </w:tc>
        <w:tc>
          <w:tcPr>
            <w:tcW w:w="548" w:type="dxa"/>
            <w:vAlign w:val="center"/>
          </w:tcPr>
          <w:p w14:paraId="1CA52737"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0.0</w:t>
            </w:r>
          </w:p>
        </w:tc>
        <w:tc>
          <w:tcPr>
            <w:tcW w:w="548" w:type="dxa"/>
            <w:vAlign w:val="center"/>
          </w:tcPr>
          <w:p w14:paraId="06DE21A1"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12.6</w:t>
            </w:r>
          </w:p>
        </w:tc>
        <w:tc>
          <w:tcPr>
            <w:tcW w:w="548" w:type="dxa"/>
            <w:vAlign w:val="center"/>
          </w:tcPr>
          <w:p w14:paraId="12BCDD41"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0.2</w:t>
            </w:r>
          </w:p>
        </w:tc>
      </w:tr>
      <w:tr w:rsidR="00EC7501" w:rsidRPr="00EC7501" w14:paraId="73B0972E" w14:textId="77777777" w:rsidTr="00640360">
        <w:trPr>
          <w:trHeight w:val="20"/>
        </w:trPr>
        <w:tc>
          <w:tcPr>
            <w:tcW w:w="2982" w:type="dxa"/>
            <w:vAlign w:val="center"/>
          </w:tcPr>
          <w:p w14:paraId="52BFCFE0" w14:textId="77777777" w:rsidR="00EC7501" w:rsidRPr="00EC7501" w:rsidRDefault="00EC7501" w:rsidP="00640360">
            <w:pPr>
              <w:spacing w:before="20" w:after="40"/>
              <w:ind w:left="181"/>
              <w:rPr>
                <w:rFonts w:ascii="Times New Roman" w:hAnsi="Times New Roman" w:cs="Times New Roman"/>
                <w:bCs/>
                <w:iCs/>
                <w:sz w:val="18"/>
                <w:szCs w:val="18"/>
              </w:rPr>
            </w:pPr>
            <w:r w:rsidRPr="00EC7501">
              <w:rPr>
                <w:rFonts w:ascii="Times New Roman" w:hAnsi="Times New Roman" w:cs="Times New Roman"/>
                <w:bCs/>
                <w:iCs/>
                <w:sz w:val="18"/>
                <w:szCs w:val="18"/>
              </w:rPr>
              <w:t>Sugar</w:t>
            </w:r>
          </w:p>
        </w:tc>
        <w:tc>
          <w:tcPr>
            <w:tcW w:w="548" w:type="dxa"/>
            <w:vAlign w:val="center"/>
          </w:tcPr>
          <w:p w14:paraId="2396A9C1"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-6.8</w:t>
            </w:r>
          </w:p>
        </w:tc>
        <w:tc>
          <w:tcPr>
            <w:tcW w:w="548" w:type="dxa"/>
            <w:vAlign w:val="center"/>
          </w:tcPr>
          <w:p w14:paraId="65FB21BC"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-0.1</w:t>
            </w:r>
          </w:p>
        </w:tc>
        <w:tc>
          <w:tcPr>
            <w:tcW w:w="548" w:type="dxa"/>
            <w:vAlign w:val="center"/>
          </w:tcPr>
          <w:p w14:paraId="6E4A1438"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6.9</w:t>
            </w:r>
          </w:p>
        </w:tc>
        <w:tc>
          <w:tcPr>
            <w:tcW w:w="548" w:type="dxa"/>
            <w:vAlign w:val="center"/>
          </w:tcPr>
          <w:p w14:paraId="2AF689E7"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0.1</w:t>
            </w:r>
          </w:p>
        </w:tc>
        <w:tc>
          <w:tcPr>
            <w:tcW w:w="548" w:type="dxa"/>
            <w:vAlign w:val="center"/>
          </w:tcPr>
          <w:p w14:paraId="4F152993"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9.6</w:t>
            </w:r>
          </w:p>
        </w:tc>
        <w:tc>
          <w:tcPr>
            <w:tcW w:w="548" w:type="dxa"/>
            <w:vAlign w:val="center"/>
          </w:tcPr>
          <w:p w14:paraId="79E8D141" w14:textId="77777777" w:rsidR="00EC7501" w:rsidRPr="00EC7501" w:rsidRDefault="00EC7501" w:rsidP="00640360">
            <w:pPr>
              <w:spacing w:before="20" w:after="40"/>
              <w:jc w:val="center"/>
              <w:rPr>
                <w:rFonts w:ascii="Times New Roman" w:hAnsi="Times New Roman" w:cs="Times New Roman"/>
                <w:sz w:val="18"/>
                <w:szCs w:val="18"/>
              </w:rPr>
            </w:pPr>
            <w:r w:rsidRPr="00EC7501">
              <w:rPr>
                <w:rFonts w:ascii="Times New Roman" w:hAnsi="Times New Roman" w:cs="Times New Roman"/>
                <w:sz w:val="18"/>
                <w:szCs w:val="18"/>
              </w:rPr>
              <w:t>0.1</w:t>
            </w:r>
          </w:p>
        </w:tc>
      </w:tr>
      <w:tr w:rsidR="00EC7501" w:rsidRPr="00EC7501" w14:paraId="4900C7E9" w14:textId="77777777" w:rsidTr="00640360">
        <w:trPr>
          <w:trHeight w:val="20"/>
        </w:trPr>
        <w:tc>
          <w:tcPr>
            <w:tcW w:w="2982" w:type="dxa"/>
            <w:tcMar>
              <w:left w:w="227" w:type="dxa"/>
              <w:right w:w="0" w:type="dxa"/>
            </w:tcMar>
            <w:vAlign w:val="center"/>
          </w:tcPr>
          <w:p w14:paraId="58A4C78E" w14:textId="77777777" w:rsidR="00EC7501" w:rsidRPr="00EC7501" w:rsidRDefault="00EC7501" w:rsidP="00640360">
            <w:pPr>
              <w:spacing w:before="20" w:after="40"/>
              <w:ind w:left="-101"/>
              <w:rPr>
                <w:rFonts w:ascii="Times New Roman" w:hAnsi="Times New Roman" w:cs="Times New Roman"/>
                <w:bCs/>
                <w:iCs/>
                <w:sz w:val="18"/>
                <w:szCs w:val="18"/>
              </w:rPr>
            </w:pPr>
            <w:r w:rsidRPr="00EC7501">
              <w:rPr>
                <w:rFonts w:ascii="Times New Roman" w:hAnsi="Times New Roman" w:cs="Times New Roman"/>
                <w:b/>
                <w:bCs/>
                <w:iCs/>
                <w:sz w:val="18"/>
                <w:szCs w:val="18"/>
              </w:rPr>
              <w:t>Non-food products</w:t>
            </w:r>
          </w:p>
        </w:tc>
        <w:tc>
          <w:tcPr>
            <w:tcW w:w="548" w:type="dxa"/>
            <w:vAlign w:val="center"/>
          </w:tcPr>
          <w:p w14:paraId="44887890"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0.9</w:t>
            </w:r>
          </w:p>
        </w:tc>
        <w:tc>
          <w:tcPr>
            <w:tcW w:w="548" w:type="dxa"/>
            <w:vAlign w:val="center"/>
          </w:tcPr>
          <w:p w14:paraId="42860E52"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0.1</w:t>
            </w:r>
          </w:p>
        </w:tc>
        <w:tc>
          <w:tcPr>
            <w:tcW w:w="548" w:type="dxa"/>
            <w:vAlign w:val="center"/>
          </w:tcPr>
          <w:p w14:paraId="2BE029BF"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1.6</w:t>
            </w:r>
          </w:p>
        </w:tc>
        <w:tc>
          <w:tcPr>
            <w:tcW w:w="548" w:type="dxa"/>
            <w:vAlign w:val="center"/>
          </w:tcPr>
          <w:p w14:paraId="51AE4294"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0.3</w:t>
            </w:r>
          </w:p>
        </w:tc>
        <w:tc>
          <w:tcPr>
            <w:tcW w:w="548" w:type="dxa"/>
            <w:vAlign w:val="center"/>
          </w:tcPr>
          <w:p w14:paraId="253CF877"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2.4</w:t>
            </w:r>
          </w:p>
        </w:tc>
        <w:tc>
          <w:tcPr>
            <w:tcW w:w="548" w:type="dxa"/>
            <w:vAlign w:val="center"/>
          </w:tcPr>
          <w:p w14:paraId="2F14B8C2"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0.4</w:t>
            </w:r>
          </w:p>
        </w:tc>
      </w:tr>
      <w:tr w:rsidR="00EC7501" w:rsidRPr="00EC7501" w14:paraId="1DBEA9AA" w14:textId="77777777" w:rsidTr="00640360">
        <w:trPr>
          <w:trHeight w:val="20"/>
        </w:trPr>
        <w:tc>
          <w:tcPr>
            <w:tcW w:w="2982" w:type="dxa"/>
            <w:tcMar>
              <w:left w:w="227" w:type="dxa"/>
              <w:right w:w="0" w:type="dxa"/>
            </w:tcMar>
            <w:vAlign w:val="center"/>
          </w:tcPr>
          <w:p w14:paraId="3E0222E4" w14:textId="77777777" w:rsidR="00EC7501" w:rsidRPr="00EC7501" w:rsidRDefault="00EC7501" w:rsidP="00640360">
            <w:pPr>
              <w:spacing w:before="20" w:after="40"/>
              <w:ind w:left="-101"/>
              <w:rPr>
                <w:rFonts w:ascii="Times New Roman" w:hAnsi="Times New Roman" w:cs="Times New Roman"/>
                <w:bCs/>
                <w:iCs/>
                <w:sz w:val="18"/>
                <w:szCs w:val="18"/>
                <w:lang w:val="hy-AM"/>
              </w:rPr>
            </w:pPr>
            <w:r w:rsidRPr="00EC7501">
              <w:rPr>
                <w:rFonts w:ascii="Times New Roman" w:hAnsi="Times New Roman" w:cs="Times New Roman"/>
                <w:b/>
                <w:bCs/>
                <w:iCs/>
                <w:sz w:val="18"/>
                <w:szCs w:val="18"/>
              </w:rPr>
              <w:t>Services</w:t>
            </w:r>
          </w:p>
        </w:tc>
        <w:tc>
          <w:tcPr>
            <w:tcW w:w="548" w:type="dxa"/>
            <w:vAlign w:val="center"/>
          </w:tcPr>
          <w:p w14:paraId="73015838"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1.8</w:t>
            </w:r>
          </w:p>
        </w:tc>
        <w:tc>
          <w:tcPr>
            <w:tcW w:w="548" w:type="dxa"/>
            <w:vAlign w:val="center"/>
          </w:tcPr>
          <w:p w14:paraId="15A262EB"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0.6</w:t>
            </w:r>
          </w:p>
        </w:tc>
        <w:tc>
          <w:tcPr>
            <w:tcW w:w="548" w:type="dxa"/>
            <w:vAlign w:val="center"/>
          </w:tcPr>
          <w:p w14:paraId="11B98D8B"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3.0</w:t>
            </w:r>
          </w:p>
        </w:tc>
        <w:tc>
          <w:tcPr>
            <w:tcW w:w="548" w:type="dxa"/>
            <w:vAlign w:val="center"/>
          </w:tcPr>
          <w:p w14:paraId="1677BB81"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0.9</w:t>
            </w:r>
          </w:p>
        </w:tc>
        <w:tc>
          <w:tcPr>
            <w:tcW w:w="548" w:type="dxa"/>
            <w:vAlign w:val="center"/>
          </w:tcPr>
          <w:p w14:paraId="0A610B93"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0.5</w:t>
            </w:r>
          </w:p>
        </w:tc>
        <w:tc>
          <w:tcPr>
            <w:tcW w:w="548" w:type="dxa"/>
            <w:vAlign w:val="center"/>
          </w:tcPr>
          <w:p w14:paraId="4805B35C" w14:textId="77777777" w:rsidR="00EC7501" w:rsidRPr="00EC7501" w:rsidRDefault="00EC7501" w:rsidP="00640360">
            <w:pPr>
              <w:spacing w:before="20" w:after="40"/>
              <w:jc w:val="center"/>
              <w:rPr>
                <w:rFonts w:ascii="Times New Roman" w:hAnsi="Times New Roman" w:cs="Times New Roman"/>
                <w:b/>
                <w:sz w:val="18"/>
                <w:szCs w:val="18"/>
              </w:rPr>
            </w:pPr>
            <w:r w:rsidRPr="00EC7501">
              <w:rPr>
                <w:rFonts w:ascii="Times New Roman" w:hAnsi="Times New Roman" w:cs="Times New Roman"/>
                <w:b/>
                <w:sz w:val="18"/>
                <w:szCs w:val="18"/>
              </w:rPr>
              <w:t>0.2</w:t>
            </w:r>
          </w:p>
        </w:tc>
      </w:tr>
    </w:tbl>
    <w:p w14:paraId="367F9F0C" w14:textId="77777777" w:rsidR="00EC7501" w:rsidRDefault="00EC7501" w:rsidP="00A9653E">
      <w:pPr>
        <w:spacing w:line="360" w:lineRule="auto"/>
        <w:jc w:val="both"/>
        <w:rPr>
          <w:rStyle w:val="longtext"/>
          <w:rFonts w:ascii="Times New Roman" w:hAnsi="Times New Roman" w:cs="Times New Roman"/>
          <w:color w:val="000000"/>
          <w:sz w:val="21"/>
          <w:szCs w:val="21"/>
        </w:rPr>
      </w:pPr>
    </w:p>
    <w:p w14:paraId="5905635A" w14:textId="77777777" w:rsidR="00A9653E" w:rsidRPr="00EC356F" w:rsidRDefault="004233A1" w:rsidP="00A9653E">
      <w:pPr>
        <w:spacing w:line="360" w:lineRule="auto"/>
        <w:jc w:val="both"/>
        <w:rPr>
          <w:rStyle w:val="longtext"/>
          <w:rFonts w:ascii="Times New Roman" w:hAnsi="Times New Roman" w:cs="Times New Roman"/>
          <w:color w:val="000000"/>
          <w:sz w:val="21"/>
          <w:szCs w:val="21"/>
        </w:rPr>
      </w:pPr>
      <w:r w:rsidRPr="004233A1">
        <w:rPr>
          <w:rStyle w:val="longtext"/>
          <w:rFonts w:ascii="Times New Roman" w:hAnsi="Times New Roman" w:cs="Times New Roman"/>
          <w:color w:val="000000"/>
          <w:sz w:val="21"/>
          <w:szCs w:val="21"/>
        </w:rPr>
        <w:t>The 4th</w:t>
      </w:r>
      <w:r w:rsidR="00A9653E" w:rsidRPr="00EC356F">
        <w:rPr>
          <w:rStyle w:val="longtext"/>
          <w:rFonts w:ascii="Times New Roman" w:hAnsi="Times New Roman" w:cs="Times New Roman"/>
          <w:color w:val="000000"/>
          <w:sz w:val="21"/>
          <w:szCs w:val="21"/>
        </w:rPr>
        <w:t xml:space="preserve"> quarter of 2014</w:t>
      </w:r>
      <w:r w:rsidRPr="004233A1">
        <w:rPr>
          <w:rStyle w:val="longtext"/>
          <w:rFonts w:ascii="Times New Roman" w:hAnsi="Times New Roman" w:cs="Times New Roman"/>
          <w:color w:val="000000"/>
          <w:sz w:val="21"/>
          <w:szCs w:val="21"/>
        </w:rPr>
        <w:t xml:space="preserve"> saw </w:t>
      </w:r>
      <w:r w:rsidRPr="004233A1">
        <w:rPr>
          <w:rStyle w:val="longtext"/>
          <w:rFonts w:ascii="Times New Roman" w:hAnsi="Times New Roman" w:cs="Times New Roman"/>
          <w:b/>
          <w:color w:val="000000"/>
          <w:sz w:val="21"/>
          <w:szCs w:val="21"/>
        </w:rPr>
        <w:t>core inflation of about 2.0%</w:t>
      </w:r>
      <w:r w:rsidRPr="004233A1">
        <w:rPr>
          <w:rStyle w:val="longtext"/>
          <w:rFonts w:ascii="Times New Roman" w:hAnsi="Times New Roman" w:cs="Times New Roman"/>
          <w:color w:val="000000"/>
          <w:sz w:val="21"/>
          <w:szCs w:val="21"/>
        </w:rPr>
        <w:t xml:space="preserve">, with the 12-month rate having amounted to </w:t>
      </w:r>
      <w:r w:rsidRPr="004233A1">
        <w:rPr>
          <w:rStyle w:val="longtext"/>
          <w:rFonts w:ascii="Times New Roman" w:hAnsi="Times New Roman" w:cs="Times New Roman"/>
          <w:b/>
          <w:color w:val="000000"/>
          <w:sz w:val="21"/>
          <w:szCs w:val="21"/>
        </w:rPr>
        <w:t>2.8%</w:t>
      </w:r>
      <w:r w:rsidRPr="004233A1">
        <w:rPr>
          <w:rStyle w:val="longtext"/>
          <w:rFonts w:ascii="Times New Roman" w:hAnsi="Times New Roman" w:cs="Times New Roman"/>
          <w:color w:val="000000"/>
          <w:sz w:val="21"/>
          <w:szCs w:val="21"/>
        </w:rPr>
        <w:t xml:space="preserve"> in late December.</w:t>
      </w:r>
      <w:r w:rsidR="00A9653E" w:rsidRPr="00EC356F">
        <w:rPr>
          <w:rStyle w:val="longtext"/>
          <w:rFonts w:ascii="Times New Roman" w:hAnsi="Times New Roman" w:cs="Times New Roman"/>
          <w:color w:val="000000"/>
          <w:sz w:val="21"/>
          <w:szCs w:val="21"/>
        </w:rPr>
        <w:t xml:space="preserve"> </w:t>
      </w:r>
    </w:p>
    <w:p w14:paraId="3EC16549" w14:textId="77777777" w:rsidR="005E57F4" w:rsidRDefault="006F3D08" w:rsidP="00A9653E">
      <w:pPr>
        <w:spacing w:line="360" w:lineRule="auto"/>
        <w:jc w:val="both"/>
        <w:rPr>
          <w:rStyle w:val="longtext"/>
          <w:rFonts w:ascii="Times New Roman" w:hAnsi="Times New Roman" w:cs="Times New Roman"/>
          <w:sz w:val="21"/>
          <w:szCs w:val="21"/>
          <w:shd w:val="clear" w:color="auto" w:fill="FFFFFF"/>
        </w:rPr>
      </w:pPr>
      <w:r>
        <w:rPr>
          <w:rStyle w:val="longtext"/>
          <w:rFonts w:ascii="Times New Roman" w:hAnsi="Times New Roman" w:cs="Times New Roman"/>
          <w:sz w:val="21"/>
          <w:szCs w:val="21"/>
          <w:shd w:val="clear" w:color="auto" w:fill="FFFFFF"/>
        </w:rPr>
        <w:t xml:space="preserve">Arguments and expectations of the Central Bank for a one-year horizon </w:t>
      </w:r>
      <w:r w:rsidR="001A1DAF" w:rsidRPr="001A1DAF">
        <w:rPr>
          <w:rStyle w:val="longtext"/>
          <w:rFonts w:ascii="Times New Roman" w:hAnsi="Times New Roman" w:cs="Times New Roman"/>
          <w:sz w:val="21"/>
          <w:szCs w:val="21"/>
          <w:shd w:val="clear" w:color="auto" w:fill="FFFFFF"/>
        </w:rPr>
        <w:t xml:space="preserve">of </w:t>
      </w:r>
      <w:r w:rsidR="00A9653E" w:rsidRPr="001A1DAF">
        <w:rPr>
          <w:rStyle w:val="longtext"/>
          <w:rFonts w:ascii="Times New Roman" w:hAnsi="Times New Roman" w:cs="Times New Roman"/>
          <w:sz w:val="21"/>
          <w:szCs w:val="21"/>
          <w:shd w:val="clear" w:color="auto" w:fill="FFFFFF"/>
        </w:rPr>
        <w:t>the previous year,</w:t>
      </w:r>
      <w:r w:rsidR="00A9653E" w:rsidRPr="00EC356F">
        <w:rPr>
          <w:rStyle w:val="longtext"/>
          <w:rFonts w:ascii="Times New Roman" w:hAnsi="Times New Roman" w:cs="Times New Roman"/>
          <w:b/>
          <w:sz w:val="21"/>
          <w:szCs w:val="21"/>
          <w:shd w:val="clear" w:color="auto" w:fill="FFFFFF"/>
        </w:rPr>
        <w:t xml:space="preserve"> </w:t>
      </w:r>
      <w:r w:rsidR="00991537">
        <w:rPr>
          <w:rStyle w:val="longtext"/>
          <w:rFonts w:ascii="Times New Roman" w:hAnsi="Times New Roman" w:cs="Times New Roman"/>
          <w:b/>
          <w:sz w:val="21"/>
          <w:szCs w:val="21"/>
          <w:shd w:val="clear" w:color="auto" w:fill="FFFFFF"/>
        </w:rPr>
        <w:t>which covers th</w:t>
      </w:r>
      <w:r w:rsidR="00A9653E" w:rsidRPr="00EC356F">
        <w:rPr>
          <w:rStyle w:val="longtext"/>
          <w:rFonts w:ascii="Times New Roman" w:hAnsi="Times New Roman" w:cs="Times New Roman"/>
          <w:b/>
          <w:sz w:val="21"/>
          <w:szCs w:val="21"/>
          <w:shd w:val="clear" w:color="auto" w:fill="FFFFFF"/>
        </w:rPr>
        <w:t xml:space="preserve">e </w:t>
      </w:r>
      <w:r>
        <w:rPr>
          <w:rStyle w:val="longtext"/>
          <w:rFonts w:ascii="Times New Roman" w:hAnsi="Times New Roman" w:cs="Times New Roman"/>
          <w:b/>
          <w:sz w:val="21"/>
          <w:szCs w:val="21"/>
          <w:shd w:val="clear" w:color="auto" w:fill="FFFFFF"/>
        </w:rPr>
        <w:t>year</w:t>
      </w:r>
      <w:r w:rsidR="00A9653E" w:rsidRPr="00EC356F">
        <w:rPr>
          <w:rStyle w:val="longtext"/>
          <w:rFonts w:ascii="Times New Roman" w:hAnsi="Times New Roman" w:cs="Times New Roman"/>
          <w:b/>
          <w:sz w:val="21"/>
          <w:szCs w:val="21"/>
          <w:shd w:val="clear" w:color="auto" w:fill="FFFFFF"/>
        </w:rPr>
        <w:t xml:space="preserve"> 201</w:t>
      </w:r>
      <w:r>
        <w:rPr>
          <w:rStyle w:val="longtext"/>
          <w:rFonts w:ascii="Times New Roman" w:hAnsi="Times New Roman" w:cs="Times New Roman"/>
          <w:b/>
          <w:sz w:val="21"/>
          <w:szCs w:val="21"/>
          <w:shd w:val="clear" w:color="auto" w:fill="FFFFFF"/>
        </w:rPr>
        <w:t>4</w:t>
      </w:r>
      <w:r w:rsidR="00A9653E" w:rsidRPr="001A1DAF">
        <w:rPr>
          <w:rStyle w:val="longtext"/>
          <w:rFonts w:ascii="Times New Roman" w:hAnsi="Times New Roman" w:cs="Times New Roman"/>
          <w:sz w:val="21"/>
          <w:szCs w:val="21"/>
          <w:shd w:val="clear" w:color="auto" w:fill="FFFFFF"/>
        </w:rPr>
        <w:t xml:space="preserve">, </w:t>
      </w:r>
      <w:r w:rsidR="00991537">
        <w:rPr>
          <w:rStyle w:val="longtext"/>
          <w:rFonts w:ascii="Times New Roman" w:hAnsi="Times New Roman" w:cs="Times New Roman"/>
          <w:sz w:val="21"/>
          <w:szCs w:val="21"/>
          <w:shd w:val="clear" w:color="auto" w:fill="FFFFFF"/>
        </w:rPr>
        <w:t>pondered</w:t>
      </w:r>
      <w:r>
        <w:rPr>
          <w:rStyle w:val="longtext"/>
          <w:rFonts w:ascii="Times New Roman" w:hAnsi="Times New Roman" w:cs="Times New Roman"/>
          <w:sz w:val="21"/>
          <w:szCs w:val="21"/>
          <w:shd w:val="clear" w:color="auto" w:fill="FFFFFF"/>
        </w:rPr>
        <w:t xml:space="preserve"> that the </w:t>
      </w:r>
      <w:r w:rsidRPr="00991537">
        <w:rPr>
          <w:rStyle w:val="longtext"/>
          <w:rFonts w:ascii="Times New Roman" w:hAnsi="Times New Roman" w:cs="Times New Roman"/>
          <w:b/>
          <w:sz w:val="21"/>
          <w:szCs w:val="21"/>
          <w:shd w:val="clear" w:color="auto" w:fill="FFFFFF"/>
        </w:rPr>
        <w:t xml:space="preserve">inflation would have to continue </w:t>
      </w:r>
      <w:r w:rsidR="00991537" w:rsidRPr="00991537">
        <w:rPr>
          <w:rStyle w:val="longtext"/>
          <w:rFonts w:ascii="Times New Roman" w:hAnsi="Times New Roman" w:cs="Times New Roman"/>
          <w:b/>
          <w:sz w:val="21"/>
          <w:szCs w:val="21"/>
          <w:shd w:val="clear" w:color="auto" w:fill="FFFFFF"/>
        </w:rPr>
        <w:t xml:space="preserve">reducing </w:t>
      </w:r>
      <w:r w:rsidR="00991537">
        <w:rPr>
          <w:rStyle w:val="longtext"/>
          <w:rFonts w:ascii="Times New Roman" w:hAnsi="Times New Roman" w:cs="Times New Roman"/>
          <w:sz w:val="21"/>
          <w:szCs w:val="21"/>
          <w:shd w:val="clear" w:color="auto" w:fill="FFFFFF"/>
        </w:rPr>
        <w:t xml:space="preserve">to approach the lower bound of the confidence band in the 3rd quarter of 2014 as </w:t>
      </w:r>
      <w:r w:rsidRPr="006F3D08">
        <w:rPr>
          <w:rStyle w:val="longtext"/>
          <w:rFonts w:ascii="Times New Roman" w:hAnsi="Times New Roman" w:cs="Times New Roman"/>
          <w:sz w:val="21"/>
          <w:szCs w:val="21"/>
          <w:shd w:val="clear" w:color="auto" w:fill="FFFFFF"/>
        </w:rPr>
        <w:t>the impact of energy price increases</w:t>
      </w:r>
      <w:r w:rsidR="00991537">
        <w:rPr>
          <w:rStyle w:val="longtext"/>
          <w:rFonts w:ascii="Times New Roman" w:hAnsi="Times New Roman" w:cs="Times New Roman"/>
          <w:sz w:val="21"/>
          <w:szCs w:val="21"/>
          <w:shd w:val="clear" w:color="auto" w:fill="FFFFFF"/>
        </w:rPr>
        <w:t xml:space="preserve"> phased out in July 2013. Late</w:t>
      </w:r>
      <w:r w:rsidR="002F74A7">
        <w:rPr>
          <w:rStyle w:val="longtext"/>
          <w:rFonts w:ascii="Times New Roman" w:hAnsi="Times New Roman" w:cs="Times New Roman"/>
          <w:sz w:val="21"/>
          <w:szCs w:val="21"/>
          <w:shd w:val="clear" w:color="auto" w:fill="FFFFFF"/>
        </w:rPr>
        <w:t>r</w:t>
      </w:r>
      <w:r w:rsidR="00991537">
        <w:rPr>
          <w:rStyle w:val="longtext"/>
          <w:rFonts w:ascii="Times New Roman" w:hAnsi="Times New Roman" w:cs="Times New Roman"/>
          <w:sz w:val="21"/>
          <w:szCs w:val="21"/>
          <w:shd w:val="clear" w:color="auto" w:fill="FFFFFF"/>
        </w:rPr>
        <w:t xml:space="preserve"> in the year, the </w:t>
      </w:r>
      <w:r w:rsidR="00F77F45">
        <w:rPr>
          <w:rStyle w:val="longtext"/>
          <w:rFonts w:ascii="Times New Roman" w:hAnsi="Times New Roman" w:cs="Times New Roman"/>
          <w:sz w:val="21"/>
          <w:szCs w:val="21"/>
          <w:shd w:val="clear" w:color="auto" w:fill="FFFFFF"/>
        </w:rPr>
        <w:t xml:space="preserve">12-month inflation rate would have to </w:t>
      </w:r>
      <w:r w:rsidR="00991537">
        <w:rPr>
          <w:rStyle w:val="longtext"/>
          <w:rFonts w:ascii="Times New Roman" w:hAnsi="Times New Roman" w:cs="Times New Roman"/>
          <w:sz w:val="21"/>
          <w:szCs w:val="21"/>
          <w:shd w:val="clear" w:color="auto" w:fill="FFFFFF"/>
        </w:rPr>
        <w:t>stabilize</w:t>
      </w:r>
      <w:r w:rsidR="003A5CF6">
        <w:rPr>
          <w:rStyle w:val="longtext"/>
          <w:rFonts w:ascii="Times New Roman" w:hAnsi="Times New Roman" w:cs="Times New Roman"/>
          <w:sz w:val="21"/>
          <w:szCs w:val="21"/>
          <w:shd w:val="clear" w:color="auto" w:fill="FFFFFF"/>
        </w:rPr>
        <w:t xml:space="preserve"> within the target </w:t>
      </w:r>
      <w:r w:rsidR="002F74A7">
        <w:rPr>
          <w:rStyle w:val="longtext"/>
          <w:rFonts w:ascii="Times New Roman" w:hAnsi="Times New Roman" w:cs="Times New Roman"/>
          <w:sz w:val="21"/>
          <w:szCs w:val="21"/>
          <w:shd w:val="clear" w:color="auto" w:fill="FFFFFF"/>
        </w:rPr>
        <w:t xml:space="preserve">due </w:t>
      </w:r>
      <w:r w:rsidR="003A5CF6">
        <w:rPr>
          <w:rStyle w:val="longtext"/>
          <w:rFonts w:ascii="Times New Roman" w:hAnsi="Times New Roman" w:cs="Times New Roman"/>
          <w:sz w:val="21"/>
          <w:szCs w:val="21"/>
          <w:shd w:val="clear" w:color="auto" w:fill="FFFFFF"/>
        </w:rPr>
        <w:t xml:space="preserve">mainly to a lagged effect from loosened monetary conditions and an expansionary fiscal policy implementation and, </w:t>
      </w:r>
      <w:r w:rsidR="003A5CF6" w:rsidRPr="003A5CF6">
        <w:rPr>
          <w:rStyle w:val="longtext"/>
          <w:rFonts w:ascii="Times New Roman" w:hAnsi="Times New Roman" w:cs="Times New Roman"/>
          <w:b/>
          <w:sz w:val="21"/>
          <w:szCs w:val="21"/>
          <w:shd w:val="clear" w:color="auto" w:fill="FFFFFF"/>
        </w:rPr>
        <w:t>in the forecast horizon</w:t>
      </w:r>
      <w:r w:rsidR="003A5CF6">
        <w:rPr>
          <w:rStyle w:val="longtext"/>
          <w:rFonts w:ascii="Times New Roman" w:hAnsi="Times New Roman" w:cs="Times New Roman"/>
          <w:sz w:val="21"/>
          <w:szCs w:val="21"/>
          <w:shd w:val="clear" w:color="auto" w:fill="FFFFFF"/>
        </w:rPr>
        <w:t xml:space="preserve">, would be staying around the target. </w:t>
      </w:r>
      <w:r w:rsidR="005E57F4">
        <w:rPr>
          <w:rStyle w:val="longtext"/>
          <w:rFonts w:ascii="Times New Roman" w:hAnsi="Times New Roman" w:cs="Times New Roman"/>
          <w:sz w:val="21"/>
          <w:szCs w:val="21"/>
          <w:shd w:val="clear" w:color="auto" w:fill="FFFFFF"/>
        </w:rPr>
        <w:t>In such a situation</w:t>
      </w:r>
      <w:r w:rsidR="003A5CF6">
        <w:rPr>
          <w:rStyle w:val="longtext"/>
          <w:rFonts w:ascii="Times New Roman" w:hAnsi="Times New Roman" w:cs="Times New Roman"/>
          <w:sz w:val="21"/>
          <w:szCs w:val="21"/>
          <w:shd w:val="clear" w:color="auto" w:fill="FFFFFF"/>
        </w:rPr>
        <w:t>,</w:t>
      </w:r>
      <w:r w:rsidR="005E57F4">
        <w:rPr>
          <w:rStyle w:val="longtext"/>
          <w:rFonts w:ascii="Times New Roman" w:hAnsi="Times New Roman" w:cs="Times New Roman"/>
          <w:sz w:val="21"/>
          <w:szCs w:val="21"/>
          <w:shd w:val="clear" w:color="auto" w:fill="FFFFFF"/>
        </w:rPr>
        <w:t xml:space="preserve"> </w:t>
      </w:r>
      <w:r w:rsidR="005E57F4" w:rsidRPr="009F5DE3">
        <w:rPr>
          <w:rStyle w:val="longtext"/>
          <w:rFonts w:ascii="Times New Roman" w:hAnsi="Times New Roman" w:cs="Times New Roman"/>
          <w:b/>
          <w:sz w:val="21"/>
          <w:szCs w:val="21"/>
          <w:shd w:val="clear" w:color="auto" w:fill="FFFFFF"/>
        </w:rPr>
        <w:t xml:space="preserve">in the </w:t>
      </w:r>
      <w:r w:rsidR="003A5CF6" w:rsidRPr="009F5DE3">
        <w:rPr>
          <w:rStyle w:val="longtext"/>
          <w:rFonts w:ascii="Times New Roman" w:hAnsi="Times New Roman" w:cs="Times New Roman"/>
          <w:b/>
          <w:sz w:val="21"/>
          <w:szCs w:val="21"/>
          <w:shd w:val="clear" w:color="auto" w:fill="FFFFFF"/>
        </w:rPr>
        <w:t>1st</w:t>
      </w:r>
      <w:r w:rsidR="005E57F4" w:rsidRPr="009F5DE3">
        <w:rPr>
          <w:rStyle w:val="longtext"/>
          <w:rFonts w:ascii="Times New Roman" w:hAnsi="Times New Roman" w:cs="Times New Roman"/>
          <w:b/>
          <w:sz w:val="21"/>
          <w:szCs w:val="21"/>
          <w:shd w:val="clear" w:color="auto" w:fill="FFFFFF"/>
        </w:rPr>
        <w:t xml:space="preserve"> </w:t>
      </w:r>
      <w:r w:rsidR="003A5CF6" w:rsidRPr="009F5DE3">
        <w:rPr>
          <w:rStyle w:val="longtext"/>
          <w:rFonts w:ascii="Times New Roman" w:hAnsi="Times New Roman" w:cs="Times New Roman"/>
          <w:b/>
          <w:sz w:val="21"/>
          <w:szCs w:val="21"/>
          <w:shd w:val="clear" w:color="auto" w:fill="FFFFFF"/>
        </w:rPr>
        <w:t xml:space="preserve">quarter of </w:t>
      </w:r>
      <w:r w:rsidR="005E57F4" w:rsidRPr="009F5DE3">
        <w:rPr>
          <w:rStyle w:val="longtext"/>
          <w:rFonts w:ascii="Times New Roman" w:hAnsi="Times New Roman" w:cs="Times New Roman"/>
          <w:b/>
          <w:sz w:val="21"/>
          <w:szCs w:val="21"/>
          <w:shd w:val="clear" w:color="auto" w:fill="FFFFFF"/>
        </w:rPr>
        <w:t>201</w:t>
      </w:r>
      <w:r w:rsidR="003A5CF6" w:rsidRPr="009F5DE3">
        <w:rPr>
          <w:rStyle w:val="longtext"/>
          <w:rFonts w:ascii="Times New Roman" w:hAnsi="Times New Roman" w:cs="Times New Roman"/>
          <w:b/>
          <w:sz w:val="21"/>
          <w:szCs w:val="21"/>
          <w:shd w:val="clear" w:color="auto" w:fill="FFFFFF"/>
        </w:rPr>
        <w:t>4</w:t>
      </w:r>
      <w:r w:rsidR="005E57F4" w:rsidRPr="009F5DE3">
        <w:rPr>
          <w:rStyle w:val="longtext"/>
          <w:rFonts w:ascii="Times New Roman" w:hAnsi="Times New Roman" w:cs="Times New Roman"/>
          <w:b/>
          <w:sz w:val="21"/>
          <w:szCs w:val="21"/>
          <w:shd w:val="clear" w:color="auto" w:fill="FFFFFF"/>
        </w:rPr>
        <w:t xml:space="preserve"> the</w:t>
      </w:r>
      <w:r w:rsidR="005E57F4">
        <w:rPr>
          <w:rStyle w:val="longtext"/>
          <w:rFonts w:ascii="Times New Roman" w:hAnsi="Times New Roman" w:cs="Times New Roman"/>
          <w:sz w:val="21"/>
          <w:szCs w:val="21"/>
          <w:shd w:val="clear" w:color="auto" w:fill="FFFFFF"/>
        </w:rPr>
        <w:t xml:space="preserve"> </w:t>
      </w:r>
      <w:r w:rsidR="005E57F4" w:rsidRPr="005E57F4">
        <w:rPr>
          <w:rStyle w:val="longtext"/>
          <w:rFonts w:ascii="Times New Roman" w:hAnsi="Times New Roman" w:cs="Times New Roman"/>
          <w:b/>
          <w:sz w:val="21"/>
          <w:szCs w:val="21"/>
          <w:shd w:val="clear" w:color="auto" w:fill="FFFFFF"/>
        </w:rPr>
        <w:t xml:space="preserve">Central Bank was planning to </w:t>
      </w:r>
      <w:r w:rsidR="003A5CF6">
        <w:rPr>
          <w:rStyle w:val="longtext"/>
          <w:rFonts w:ascii="Times New Roman" w:hAnsi="Times New Roman" w:cs="Times New Roman"/>
          <w:b/>
          <w:sz w:val="21"/>
          <w:szCs w:val="21"/>
          <w:shd w:val="clear" w:color="auto" w:fill="FFFFFF"/>
        </w:rPr>
        <w:t xml:space="preserve">continue </w:t>
      </w:r>
      <w:r w:rsidR="005E57F4" w:rsidRPr="005E57F4">
        <w:rPr>
          <w:rStyle w:val="longtext"/>
          <w:rFonts w:ascii="Times New Roman" w:hAnsi="Times New Roman" w:cs="Times New Roman"/>
          <w:b/>
          <w:sz w:val="21"/>
          <w:szCs w:val="21"/>
          <w:shd w:val="clear" w:color="auto" w:fill="FFFFFF"/>
        </w:rPr>
        <w:t>eas</w:t>
      </w:r>
      <w:r w:rsidR="003A5CF6">
        <w:rPr>
          <w:rStyle w:val="longtext"/>
          <w:rFonts w:ascii="Times New Roman" w:hAnsi="Times New Roman" w:cs="Times New Roman"/>
          <w:b/>
          <w:sz w:val="21"/>
          <w:szCs w:val="21"/>
          <w:shd w:val="clear" w:color="auto" w:fill="FFFFFF"/>
        </w:rPr>
        <w:t>ing</w:t>
      </w:r>
      <w:r w:rsidR="005E57F4" w:rsidRPr="005E57F4">
        <w:rPr>
          <w:rStyle w:val="longtext"/>
          <w:rFonts w:ascii="Times New Roman" w:hAnsi="Times New Roman" w:cs="Times New Roman"/>
          <w:b/>
          <w:sz w:val="21"/>
          <w:szCs w:val="21"/>
          <w:shd w:val="clear" w:color="auto" w:fill="FFFFFF"/>
        </w:rPr>
        <w:t xml:space="preserve"> the monetary conditions</w:t>
      </w:r>
      <w:r w:rsidR="004B2319">
        <w:rPr>
          <w:rStyle w:val="longtext"/>
          <w:rFonts w:ascii="Times New Roman" w:hAnsi="Times New Roman" w:cs="Times New Roman"/>
          <w:b/>
          <w:sz w:val="21"/>
          <w:szCs w:val="21"/>
          <w:shd w:val="clear" w:color="auto" w:fill="FFFFFF"/>
        </w:rPr>
        <w:t xml:space="preserve"> in response to</w:t>
      </w:r>
      <w:r w:rsidR="005E57F4" w:rsidRPr="005E57F4">
        <w:rPr>
          <w:rStyle w:val="longtext"/>
          <w:rFonts w:ascii="Times New Roman" w:hAnsi="Times New Roman" w:cs="Times New Roman"/>
          <w:b/>
          <w:sz w:val="21"/>
          <w:szCs w:val="21"/>
          <w:shd w:val="clear" w:color="auto" w:fill="FFFFFF"/>
        </w:rPr>
        <w:t xml:space="preserve"> a </w:t>
      </w:r>
      <w:r w:rsidR="004B2319">
        <w:rPr>
          <w:rStyle w:val="longtext"/>
          <w:rFonts w:ascii="Times New Roman" w:hAnsi="Times New Roman" w:cs="Times New Roman"/>
          <w:b/>
          <w:sz w:val="21"/>
          <w:szCs w:val="21"/>
          <w:shd w:val="clear" w:color="auto" w:fill="FFFFFF"/>
        </w:rPr>
        <w:t>sluggish</w:t>
      </w:r>
      <w:r w:rsidR="005E57F4" w:rsidRPr="005E57F4">
        <w:rPr>
          <w:rStyle w:val="longtext"/>
          <w:rFonts w:ascii="Times New Roman" w:hAnsi="Times New Roman" w:cs="Times New Roman"/>
          <w:b/>
          <w:sz w:val="21"/>
          <w:szCs w:val="21"/>
          <w:shd w:val="clear" w:color="auto" w:fill="FFFFFF"/>
        </w:rPr>
        <w:t xml:space="preserve"> economic activity and moderate inflationary environment, while further monetary policy directions would </w:t>
      </w:r>
      <w:r w:rsidR="005E57F4">
        <w:rPr>
          <w:rStyle w:val="longtext"/>
          <w:rFonts w:ascii="Times New Roman" w:hAnsi="Times New Roman" w:cs="Times New Roman"/>
          <w:b/>
          <w:sz w:val="21"/>
          <w:szCs w:val="21"/>
          <w:shd w:val="clear" w:color="auto" w:fill="FFFFFF"/>
        </w:rPr>
        <w:t xml:space="preserve">also </w:t>
      </w:r>
      <w:r w:rsidR="005E57F4" w:rsidRPr="005E57F4">
        <w:rPr>
          <w:rStyle w:val="longtext"/>
          <w:rFonts w:ascii="Times New Roman" w:hAnsi="Times New Roman" w:cs="Times New Roman"/>
          <w:b/>
          <w:sz w:val="21"/>
          <w:szCs w:val="21"/>
          <w:shd w:val="clear" w:color="auto" w:fill="FFFFFF"/>
        </w:rPr>
        <w:t>be determined by the pace of the fiscal policy</w:t>
      </w:r>
      <w:r w:rsidR="004B2319">
        <w:rPr>
          <w:rStyle w:val="longtext"/>
          <w:rFonts w:ascii="Times New Roman" w:hAnsi="Times New Roman" w:cs="Times New Roman"/>
          <w:b/>
          <w:sz w:val="21"/>
          <w:szCs w:val="21"/>
          <w:shd w:val="clear" w:color="auto" w:fill="FFFFFF"/>
        </w:rPr>
        <w:t xml:space="preserve"> implementation</w:t>
      </w:r>
      <w:r w:rsidR="005E57F4">
        <w:rPr>
          <w:rStyle w:val="longtext"/>
          <w:rFonts w:ascii="Times New Roman" w:hAnsi="Times New Roman" w:cs="Times New Roman"/>
          <w:sz w:val="21"/>
          <w:szCs w:val="21"/>
          <w:shd w:val="clear" w:color="auto" w:fill="FFFFFF"/>
        </w:rPr>
        <w:t xml:space="preserve">. </w:t>
      </w:r>
    </w:p>
    <w:p w14:paraId="1C578973" w14:textId="77777777" w:rsidR="00180CCE" w:rsidRDefault="00180CCE"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The Central Bank was also planning to lower t</w:t>
      </w:r>
      <w:r w:rsidRPr="00EC356F">
        <w:rPr>
          <w:rFonts w:ascii="Times New Roman" w:hAnsi="Times New Roman" w:cs="Times New Roman"/>
          <w:sz w:val="21"/>
          <w:szCs w:val="21"/>
        </w:rPr>
        <w:t xml:space="preserve">he </w:t>
      </w:r>
      <w:r w:rsidRPr="000768E1">
        <w:rPr>
          <w:rFonts w:ascii="Times New Roman" w:hAnsi="Times New Roman" w:cs="Times New Roman"/>
          <w:b/>
          <w:sz w:val="21"/>
          <w:szCs w:val="21"/>
        </w:rPr>
        <w:t>dram reserve requirement ratio from</w:t>
      </w:r>
      <w:r>
        <w:rPr>
          <w:rFonts w:ascii="Times New Roman" w:hAnsi="Times New Roman" w:cs="Times New Roman"/>
          <w:b/>
          <w:sz w:val="21"/>
          <w:szCs w:val="21"/>
        </w:rPr>
        <w:t xml:space="preserve"> </w:t>
      </w:r>
      <w:r w:rsidRPr="00A265D4">
        <w:rPr>
          <w:rFonts w:ascii="Times New Roman" w:hAnsi="Times New Roman" w:cs="Times New Roman"/>
          <w:b/>
          <w:sz w:val="21"/>
          <w:szCs w:val="21"/>
        </w:rPr>
        <w:t>4%</w:t>
      </w:r>
      <w:r>
        <w:rPr>
          <w:rFonts w:ascii="Times New Roman" w:hAnsi="Times New Roman" w:cs="Times New Roman"/>
          <w:b/>
          <w:sz w:val="21"/>
          <w:szCs w:val="21"/>
        </w:rPr>
        <w:t xml:space="preserve"> </w:t>
      </w:r>
      <w:r w:rsidRPr="00AF49AF">
        <w:rPr>
          <w:rFonts w:ascii="Times New Roman" w:hAnsi="Times New Roman" w:cs="Times New Roman"/>
          <w:b/>
          <w:sz w:val="21"/>
          <w:szCs w:val="21"/>
        </w:rPr>
        <w:t xml:space="preserve">to </w:t>
      </w:r>
      <w:r w:rsidRPr="00A265D4">
        <w:rPr>
          <w:rFonts w:ascii="Times New Roman" w:hAnsi="Times New Roman" w:cs="Times New Roman"/>
          <w:b/>
          <w:sz w:val="21"/>
          <w:szCs w:val="21"/>
        </w:rPr>
        <w:t>2%</w:t>
      </w:r>
      <w:r>
        <w:rPr>
          <w:rFonts w:ascii="Times New Roman" w:hAnsi="Times New Roman" w:cs="Times New Roman"/>
          <w:b/>
          <w:sz w:val="21"/>
          <w:szCs w:val="21"/>
        </w:rPr>
        <w:t xml:space="preserve"> </w:t>
      </w:r>
      <w:r w:rsidRPr="00180CCE">
        <w:rPr>
          <w:rFonts w:ascii="Times New Roman" w:hAnsi="Times New Roman" w:cs="Times New Roman"/>
          <w:sz w:val="21"/>
          <w:szCs w:val="21"/>
        </w:rPr>
        <w:t xml:space="preserve">early in the year, as part of </w:t>
      </w:r>
      <w:r>
        <w:rPr>
          <w:rFonts w:ascii="Times New Roman" w:hAnsi="Times New Roman" w:cs="Times New Roman"/>
          <w:sz w:val="21"/>
          <w:szCs w:val="21"/>
        </w:rPr>
        <w:t xml:space="preserve">the easing of monetary conditions. </w:t>
      </w:r>
    </w:p>
    <w:p w14:paraId="6540B1C7" w14:textId="77777777" w:rsidR="000B06F7" w:rsidRDefault="00DF43C5" w:rsidP="00A9653E">
      <w:pPr>
        <w:spacing w:line="360" w:lineRule="auto"/>
        <w:jc w:val="both"/>
        <w:rPr>
          <w:rStyle w:val="longtext"/>
          <w:rFonts w:ascii="Times New Roman" w:hAnsi="Times New Roman" w:cs="Times New Roman"/>
          <w:sz w:val="21"/>
          <w:szCs w:val="21"/>
          <w:shd w:val="clear" w:color="auto" w:fill="FFFFFF"/>
        </w:rPr>
      </w:pPr>
      <w:r>
        <w:rPr>
          <w:rStyle w:val="longtext"/>
          <w:rFonts w:ascii="Times New Roman" w:hAnsi="Times New Roman" w:cs="Times New Roman"/>
          <w:sz w:val="21"/>
          <w:szCs w:val="21"/>
          <w:shd w:val="clear" w:color="auto" w:fill="FFFFFF"/>
        </w:rPr>
        <w:t xml:space="preserve">Actual </w:t>
      </w:r>
      <w:r w:rsidR="00A9653E" w:rsidRPr="00EC356F">
        <w:rPr>
          <w:rStyle w:val="longtext"/>
          <w:rFonts w:ascii="Times New Roman" w:hAnsi="Times New Roman" w:cs="Times New Roman"/>
          <w:sz w:val="21"/>
          <w:szCs w:val="21"/>
          <w:shd w:val="clear" w:color="auto" w:fill="FFFFFF"/>
        </w:rPr>
        <w:t xml:space="preserve">developments </w:t>
      </w:r>
      <w:r w:rsidR="00591023">
        <w:rPr>
          <w:rStyle w:val="longtext"/>
          <w:rFonts w:ascii="Times New Roman" w:hAnsi="Times New Roman" w:cs="Times New Roman"/>
          <w:sz w:val="21"/>
          <w:szCs w:val="21"/>
          <w:shd w:val="clear" w:color="auto" w:fill="FFFFFF"/>
        </w:rPr>
        <w:t xml:space="preserve">showed that </w:t>
      </w:r>
      <w:r>
        <w:rPr>
          <w:rStyle w:val="longtext"/>
          <w:rFonts w:ascii="Times New Roman" w:hAnsi="Times New Roman" w:cs="Times New Roman"/>
          <w:sz w:val="21"/>
          <w:szCs w:val="21"/>
          <w:shd w:val="clear" w:color="auto" w:fill="FFFFFF"/>
        </w:rPr>
        <w:t xml:space="preserve">over </w:t>
      </w:r>
      <w:r w:rsidR="00591023">
        <w:rPr>
          <w:rStyle w:val="longtext"/>
          <w:rFonts w:ascii="Times New Roman" w:hAnsi="Times New Roman" w:cs="Times New Roman"/>
          <w:sz w:val="21"/>
          <w:szCs w:val="21"/>
          <w:shd w:val="clear" w:color="auto" w:fill="FFFFFF"/>
        </w:rPr>
        <w:t xml:space="preserve">the </w:t>
      </w:r>
      <w:r>
        <w:rPr>
          <w:rStyle w:val="longtext"/>
          <w:rFonts w:ascii="Times New Roman" w:hAnsi="Times New Roman" w:cs="Times New Roman"/>
          <w:sz w:val="21"/>
          <w:szCs w:val="21"/>
          <w:shd w:val="clear" w:color="auto" w:fill="FFFFFF"/>
        </w:rPr>
        <w:t xml:space="preserve">first </w:t>
      </w:r>
      <w:r w:rsidR="00591023">
        <w:rPr>
          <w:rStyle w:val="longtext"/>
          <w:rFonts w:ascii="Times New Roman" w:hAnsi="Times New Roman" w:cs="Times New Roman"/>
          <w:sz w:val="21"/>
          <w:szCs w:val="21"/>
          <w:shd w:val="clear" w:color="auto" w:fill="FFFFFF"/>
        </w:rPr>
        <w:t>three quarters of 201</w:t>
      </w:r>
      <w:r>
        <w:rPr>
          <w:rStyle w:val="longtext"/>
          <w:rFonts w:ascii="Times New Roman" w:hAnsi="Times New Roman" w:cs="Times New Roman"/>
          <w:sz w:val="21"/>
          <w:szCs w:val="21"/>
          <w:shd w:val="clear" w:color="auto" w:fill="FFFFFF"/>
        </w:rPr>
        <w:t>4</w:t>
      </w:r>
      <w:r w:rsidR="00591023">
        <w:rPr>
          <w:rStyle w:val="longtext"/>
          <w:rFonts w:ascii="Times New Roman" w:hAnsi="Times New Roman" w:cs="Times New Roman"/>
          <w:sz w:val="21"/>
          <w:szCs w:val="21"/>
          <w:shd w:val="clear" w:color="auto" w:fill="FFFFFF"/>
        </w:rPr>
        <w:t xml:space="preserve"> the 12-month inflation rate </w:t>
      </w:r>
      <w:r w:rsidR="00421828">
        <w:rPr>
          <w:rStyle w:val="longtext"/>
          <w:rFonts w:ascii="Times New Roman" w:hAnsi="Times New Roman" w:cs="Times New Roman"/>
          <w:sz w:val="21"/>
          <w:szCs w:val="21"/>
          <w:shd w:val="clear" w:color="auto" w:fill="FFFFFF"/>
        </w:rPr>
        <w:t>ha</w:t>
      </w:r>
      <w:r>
        <w:rPr>
          <w:rStyle w:val="longtext"/>
          <w:rFonts w:ascii="Times New Roman" w:hAnsi="Times New Roman" w:cs="Times New Roman"/>
          <w:sz w:val="21"/>
          <w:szCs w:val="21"/>
          <w:shd w:val="clear" w:color="auto" w:fill="FFFFFF"/>
        </w:rPr>
        <w:t>d</w:t>
      </w:r>
      <w:r w:rsidR="00421828">
        <w:rPr>
          <w:rStyle w:val="longtext"/>
          <w:rFonts w:ascii="Times New Roman" w:hAnsi="Times New Roman" w:cs="Times New Roman"/>
          <w:sz w:val="21"/>
          <w:szCs w:val="21"/>
          <w:shd w:val="clear" w:color="auto" w:fill="FFFFFF"/>
        </w:rPr>
        <w:t xml:space="preserve"> declined faster than anticipated, </w:t>
      </w:r>
      <w:r w:rsidR="00BE20C3">
        <w:rPr>
          <w:rStyle w:val="longtext"/>
          <w:rFonts w:ascii="Times New Roman" w:hAnsi="Times New Roman" w:cs="Times New Roman"/>
          <w:sz w:val="21"/>
          <w:szCs w:val="21"/>
          <w:shd w:val="clear" w:color="auto" w:fill="FFFFFF"/>
        </w:rPr>
        <w:t>mainly</w:t>
      </w:r>
      <w:r w:rsidR="00421828">
        <w:rPr>
          <w:rStyle w:val="longtext"/>
          <w:rFonts w:ascii="Times New Roman" w:hAnsi="Times New Roman" w:cs="Times New Roman"/>
          <w:sz w:val="21"/>
          <w:szCs w:val="21"/>
          <w:shd w:val="clear" w:color="auto" w:fill="FFFFFF"/>
        </w:rPr>
        <w:t xml:space="preserve"> reflecting the downside adjustments to demand in both external and domestic sectors.</w:t>
      </w:r>
      <w:r w:rsidR="000B06F7">
        <w:rPr>
          <w:rStyle w:val="longtext"/>
          <w:rFonts w:ascii="Times New Roman" w:hAnsi="Times New Roman" w:cs="Times New Roman"/>
          <w:sz w:val="21"/>
          <w:szCs w:val="21"/>
          <w:shd w:val="clear" w:color="auto" w:fill="FFFFFF"/>
        </w:rPr>
        <w:t xml:space="preserve"> Based on the aforementioned, the Central Bank chose a down-trending path for </w:t>
      </w:r>
      <w:r w:rsidR="00442717">
        <w:rPr>
          <w:rStyle w:val="longtext"/>
          <w:rFonts w:ascii="Times New Roman" w:hAnsi="Times New Roman" w:cs="Times New Roman"/>
          <w:sz w:val="21"/>
          <w:szCs w:val="21"/>
          <w:shd w:val="clear" w:color="auto" w:fill="FFFFFF"/>
        </w:rPr>
        <w:t xml:space="preserve">the </w:t>
      </w:r>
      <w:r w:rsidR="000B06F7">
        <w:rPr>
          <w:rStyle w:val="longtext"/>
          <w:rFonts w:ascii="Times New Roman" w:hAnsi="Times New Roman" w:cs="Times New Roman"/>
          <w:sz w:val="21"/>
          <w:szCs w:val="21"/>
          <w:shd w:val="clear" w:color="auto" w:fill="FFFFFF"/>
        </w:rPr>
        <w:t xml:space="preserve">inflation in </w:t>
      </w:r>
      <w:r w:rsidR="00442717">
        <w:rPr>
          <w:rStyle w:val="longtext"/>
          <w:rFonts w:ascii="Times New Roman" w:hAnsi="Times New Roman" w:cs="Times New Roman"/>
          <w:sz w:val="21"/>
          <w:szCs w:val="21"/>
          <w:shd w:val="clear" w:color="auto" w:fill="FFFFFF"/>
        </w:rPr>
        <w:t xml:space="preserve">the </w:t>
      </w:r>
      <w:r w:rsidR="000B06F7">
        <w:rPr>
          <w:rStyle w:val="longtext"/>
          <w:rFonts w:ascii="Times New Roman" w:hAnsi="Times New Roman" w:cs="Times New Roman"/>
          <w:sz w:val="21"/>
          <w:szCs w:val="21"/>
          <w:shd w:val="clear" w:color="auto" w:fill="FFFFFF"/>
        </w:rPr>
        <w:t>forecast</w:t>
      </w:r>
      <w:r w:rsidR="00442717">
        <w:rPr>
          <w:rStyle w:val="longtext"/>
          <w:rFonts w:ascii="Times New Roman" w:hAnsi="Times New Roman" w:cs="Times New Roman"/>
          <w:sz w:val="21"/>
          <w:szCs w:val="21"/>
          <w:shd w:val="clear" w:color="auto" w:fill="FFFFFF"/>
        </w:rPr>
        <w:t>s</w:t>
      </w:r>
      <w:r w:rsidR="000B06F7">
        <w:rPr>
          <w:rStyle w:val="longtext"/>
          <w:rFonts w:ascii="Times New Roman" w:hAnsi="Times New Roman" w:cs="Times New Roman"/>
          <w:sz w:val="21"/>
          <w:szCs w:val="21"/>
          <w:shd w:val="clear" w:color="auto" w:fill="FFFFFF"/>
        </w:rPr>
        <w:t xml:space="preserve"> for </w:t>
      </w:r>
      <w:r w:rsidR="00442717">
        <w:rPr>
          <w:rStyle w:val="longtext"/>
          <w:rFonts w:ascii="Times New Roman" w:hAnsi="Times New Roman" w:cs="Times New Roman"/>
          <w:sz w:val="21"/>
          <w:szCs w:val="21"/>
          <w:shd w:val="clear" w:color="auto" w:fill="FFFFFF"/>
        </w:rPr>
        <w:t>each of the q</w:t>
      </w:r>
      <w:r w:rsidR="000B06F7">
        <w:rPr>
          <w:rStyle w:val="longtext"/>
          <w:rFonts w:ascii="Times New Roman" w:hAnsi="Times New Roman" w:cs="Times New Roman"/>
          <w:sz w:val="21"/>
          <w:szCs w:val="21"/>
          <w:shd w:val="clear" w:color="auto" w:fill="FFFFFF"/>
        </w:rPr>
        <w:t xml:space="preserve">uarters ahead. </w:t>
      </w:r>
    </w:p>
    <w:p w14:paraId="7DF1178D" w14:textId="77777777" w:rsidR="00423EAE" w:rsidRDefault="00FF4963" w:rsidP="00A9653E">
      <w:pPr>
        <w:spacing w:line="360" w:lineRule="auto"/>
        <w:jc w:val="both"/>
        <w:rPr>
          <w:rFonts w:ascii="Times New Roman" w:hAnsi="Times New Roman" w:cs="Times New Roman"/>
          <w:sz w:val="21"/>
          <w:szCs w:val="21"/>
        </w:rPr>
      </w:pPr>
      <w:r w:rsidRPr="00FF4963">
        <w:rPr>
          <w:rFonts w:ascii="Times New Roman" w:hAnsi="Times New Roman" w:cs="Times New Roman"/>
          <w:b/>
          <w:sz w:val="21"/>
          <w:szCs w:val="21"/>
        </w:rPr>
        <w:t>In the first three quarters of 2014, there was 0.8% deflation</w:t>
      </w:r>
      <w:r>
        <w:rPr>
          <w:rFonts w:ascii="Times New Roman" w:hAnsi="Times New Roman" w:cs="Times New Roman"/>
          <w:sz w:val="21"/>
          <w:szCs w:val="21"/>
        </w:rPr>
        <w:t xml:space="preserve"> against </w:t>
      </w:r>
      <w:r w:rsidRPr="00FF4963">
        <w:rPr>
          <w:rFonts w:ascii="Times New Roman" w:hAnsi="Times New Roman" w:cs="Times New Roman"/>
          <w:b/>
          <w:sz w:val="21"/>
          <w:szCs w:val="21"/>
        </w:rPr>
        <w:t>3.2% inflation</w:t>
      </w:r>
      <w:r>
        <w:rPr>
          <w:rFonts w:ascii="Times New Roman" w:hAnsi="Times New Roman" w:cs="Times New Roman"/>
          <w:sz w:val="21"/>
          <w:szCs w:val="21"/>
        </w:rPr>
        <w:t xml:space="preserve"> of the same reference period last year. </w:t>
      </w:r>
      <w:r w:rsidR="00CC6B1E">
        <w:rPr>
          <w:rFonts w:ascii="Times New Roman" w:hAnsi="Times New Roman" w:cs="Times New Roman"/>
          <w:sz w:val="21"/>
          <w:szCs w:val="21"/>
        </w:rPr>
        <w:t xml:space="preserve">Subdued gradually, the 12-month inflation rate reached </w:t>
      </w:r>
      <w:r w:rsidR="00CC6B1E" w:rsidRPr="00FF4963">
        <w:rPr>
          <w:rFonts w:ascii="Times New Roman" w:hAnsi="Times New Roman" w:cs="Times New Roman"/>
          <w:b/>
          <w:sz w:val="21"/>
          <w:szCs w:val="21"/>
        </w:rPr>
        <w:t>1.5%</w:t>
      </w:r>
      <w:r w:rsidR="00CC6B1E">
        <w:rPr>
          <w:rFonts w:ascii="Times New Roman" w:hAnsi="Times New Roman" w:cs="Times New Roman"/>
          <w:sz w:val="21"/>
          <w:szCs w:val="21"/>
        </w:rPr>
        <w:t xml:space="preserve"> i</w:t>
      </w:r>
      <w:r w:rsidRPr="00EC356F">
        <w:rPr>
          <w:rFonts w:ascii="Times New Roman" w:hAnsi="Times New Roman" w:cs="Times New Roman"/>
          <w:sz w:val="21"/>
          <w:szCs w:val="21"/>
        </w:rPr>
        <w:t xml:space="preserve">n </w:t>
      </w:r>
      <w:r>
        <w:rPr>
          <w:rFonts w:ascii="Times New Roman" w:hAnsi="Times New Roman" w:cs="Times New Roman"/>
          <w:sz w:val="21"/>
          <w:szCs w:val="21"/>
        </w:rPr>
        <w:t>late September 2014</w:t>
      </w:r>
      <w:r w:rsidR="00CC6B1E">
        <w:rPr>
          <w:rFonts w:ascii="Times New Roman" w:hAnsi="Times New Roman" w:cs="Times New Roman"/>
          <w:sz w:val="21"/>
          <w:szCs w:val="21"/>
        </w:rPr>
        <w:t>,</w:t>
      </w:r>
      <w:r>
        <w:rPr>
          <w:rFonts w:ascii="Times New Roman" w:hAnsi="Times New Roman" w:cs="Times New Roman"/>
          <w:sz w:val="21"/>
          <w:szCs w:val="21"/>
        </w:rPr>
        <w:t xml:space="preserve"> stepping below the lower bound of the </w:t>
      </w:r>
      <w:r w:rsidR="00AF38CF">
        <w:rPr>
          <w:rFonts w:ascii="Times New Roman" w:hAnsi="Times New Roman" w:cs="Times New Roman"/>
          <w:sz w:val="21"/>
          <w:szCs w:val="21"/>
        </w:rPr>
        <w:t>confidence band</w:t>
      </w:r>
      <w:r>
        <w:rPr>
          <w:rFonts w:ascii="Times New Roman" w:hAnsi="Times New Roman" w:cs="Times New Roman"/>
          <w:sz w:val="21"/>
          <w:szCs w:val="21"/>
        </w:rPr>
        <w:t xml:space="preserve">. </w:t>
      </w:r>
      <w:r w:rsidR="00CC6B1E" w:rsidRPr="00EC356F">
        <w:rPr>
          <w:rFonts w:ascii="Times New Roman" w:hAnsi="Times New Roman" w:cs="Times New Roman"/>
          <w:sz w:val="21"/>
          <w:szCs w:val="21"/>
        </w:rPr>
        <w:t xml:space="preserve">In the first </w:t>
      </w:r>
      <w:r w:rsidR="00CC6B1E">
        <w:rPr>
          <w:rFonts w:ascii="Times New Roman" w:hAnsi="Times New Roman" w:cs="Times New Roman"/>
          <w:sz w:val="21"/>
          <w:szCs w:val="21"/>
        </w:rPr>
        <w:t xml:space="preserve">three quarters </w:t>
      </w:r>
      <w:r w:rsidR="00CC6B1E" w:rsidRPr="00EC356F">
        <w:rPr>
          <w:rFonts w:ascii="Times New Roman" w:hAnsi="Times New Roman" w:cs="Times New Roman"/>
          <w:sz w:val="21"/>
          <w:szCs w:val="21"/>
        </w:rPr>
        <w:t xml:space="preserve">of 2014, the </w:t>
      </w:r>
      <w:r w:rsidR="00CC6B1E" w:rsidRPr="00EC356F">
        <w:rPr>
          <w:rFonts w:ascii="Times New Roman" w:hAnsi="Times New Roman" w:cs="Times New Roman"/>
          <w:b/>
          <w:sz w:val="21"/>
          <w:szCs w:val="21"/>
        </w:rPr>
        <w:t>12-month inflation continued to decline rapidly</w:t>
      </w:r>
      <w:r w:rsidR="00CC6B1E" w:rsidRPr="00EC356F">
        <w:rPr>
          <w:rFonts w:ascii="Times New Roman" w:hAnsi="Times New Roman" w:cs="Times New Roman"/>
          <w:sz w:val="21"/>
          <w:szCs w:val="21"/>
        </w:rPr>
        <w:t xml:space="preserve"> </w:t>
      </w:r>
      <w:r w:rsidR="007C05D3">
        <w:rPr>
          <w:rFonts w:ascii="Times New Roman" w:hAnsi="Times New Roman" w:cs="Times New Roman"/>
          <w:sz w:val="21"/>
          <w:szCs w:val="21"/>
        </w:rPr>
        <w:t xml:space="preserve">due also to </w:t>
      </w:r>
      <w:r w:rsidR="00CC6B1E" w:rsidRPr="00EC356F">
        <w:rPr>
          <w:rFonts w:ascii="Times New Roman" w:hAnsi="Times New Roman" w:cs="Times New Roman"/>
          <w:b/>
          <w:sz w:val="21"/>
          <w:szCs w:val="21"/>
        </w:rPr>
        <w:t xml:space="preserve">sluggish economic growth </w:t>
      </w:r>
      <w:r w:rsidR="00CC6B1E" w:rsidRPr="00EC356F">
        <w:rPr>
          <w:rFonts w:ascii="Times New Roman" w:hAnsi="Times New Roman" w:cs="Times New Roman"/>
          <w:sz w:val="21"/>
          <w:szCs w:val="21"/>
        </w:rPr>
        <w:t>amidst a low level of investment and slowing private consumption growth rates</w:t>
      </w:r>
      <w:r w:rsidR="00CC6B1E">
        <w:rPr>
          <w:rFonts w:ascii="Times New Roman" w:hAnsi="Times New Roman" w:cs="Times New Roman"/>
          <w:sz w:val="21"/>
          <w:szCs w:val="21"/>
        </w:rPr>
        <w:t xml:space="preserve"> and a </w:t>
      </w:r>
      <w:r w:rsidR="00CC6B1E" w:rsidRPr="00EC356F">
        <w:rPr>
          <w:rFonts w:ascii="Times New Roman" w:hAnsi="Times New Roman" w:cs="Times New Roman"/>
          <w:b/>
          <w:sz w:val="21"/>
          <w:szCs w:val="21"/>
        </w:rPr>
        <w:t>notable decrease in some food prices</w:t>
      </w:r>
      <w:r w:rsidR="00CC6B1E" w:rsidRPr="00EC356F">
        <w:rPr>
          <w:rFonts w:ascii="Times New Roman" w:hAnsi="Times New Roman" w:cs="Times New Roman"/>
          <w:sz w:val="21"/>
          <w:szCs w:val="21"/>
        </w:rPr>
        <w:t>.</w:t>
      </w:r>
      <w:r w:rsidR="00374714">
        <w:rPr>
          <w:rFonts w:ascii="Times New Roman" w:hAnsi="Times New Roman" w:cs="Times New Roman"/>
          <w:sz w:val="21"/>
          <w:szCs w:val="21"/>
        </w:rPr>
        <w:t xml:space="preserve"> </w:t>
      </w:r>
      <w:r w:rsidR="00423EAE">
        <w:rPr>
          <w:rFonts w:ascii="Times New Roman" w:hAnsi="Times New Roman" w:cs="Times New Roman"/>
          <w:sz w:val="21"/>
          <w:szCs w:val="21"/>
        </w:rPr>
        <w:t xml:space="preserve">In the meantime though, the </w:t>
      </w:r>
      <w:r w:rsidR="00423EAE" w:rsidRPr="00423EAE">
        <w:rPr>
          <w:rFonts w:ascii="Times New Roman" w:hAnsi="Times New Roman" w:cs="Times New Roman"/>
          <w:b/>
          <w:sz w:val="21"/>
          <w:szCs w:val="21"/>
        </w:rPr>
        <w:t>12-month core inflation rate</w:t>
      </w:r>
      <w:r w:rsidR="00423EAE">
        <w:rPr>
          <w:rFonts w:ascii="Times New Roman" w:hAnsi="Times New Roman" w:cs="Times New Roman"/>
          <w:sz w:val="21"/>
          <w:szCs w:val="21"/>
        </w:rPr>
        <w:t xml:space="preserve"> </w:t>
      </w:r>
      <w:r w:rsidR="00374714">
        <w:rPr>
          <w:rFonts w:ascii="Times New Roman" w:hAnsi="Times New Roman" w:cs="Times New Roman"/>
          <w:sz w:val="21"/>
          <w:szCs w:val="21"/>
        </w:rPr>
        <w:t xml:space="preserve">had </w:t>
      </w:r>
      <w:r w:rsidR="00423EAE">
        <w:rPr>
          <w:rFonts w:ascii="Times New Roman" w:hAnsi="Times New Roman" w:cs="Times New Roman"/>
          <w:sz w:val="21"/>
          <w:szCs w:val="21"/>
        </w:rPr>
        <w:t xml:space="preserve">declined consistently from </w:t>
      </w:r>
      <w:r w:rsidR="00423EAE" w:rsidRPr="00423EAE">
        <w:rPr>
          <w:rFonts w:ascii="Times New Roman" w:hAnsi="Times New Roman" w:cs="Times New Roman"/>
          <w:b/>
          <w:sz w:val="21"/>
          <w:szCs w:val="21"/>
        </w:rPr>
        <w:t>3.7%</w:t>
      </w:r>
      <w:r w:rsidR="00423EAE">
        <w:rPr>
          <w:rFonts w:ascii="Times New Roman" w:hAnsi="Times New Roman" w:cs="Times New Roman"/>
          <w:sz w:val="21"/>
          <w:szCs w:val="21"/>
        </w:rPr>
        <w:t xml:space="preserve"> in late 2013 to </w:t>
      </w:r>
      <w:r w:rsidR="00423EAE" w:rsidRPr="00423EAE">
        <w:rPr>
          <w:rFonts w:ascii="Times New Roman" w:hAnsi="Times New Roman" w:cs="Times New Roman"/>
          <w:b/>
          <w:sz w:val="21"/>
          <w:szCs w:val="21"/>
        </w:rPr>
        <w:t>1.0%</w:t>
      </w:r>
      <w:r w:rsidR="00CC6B1E">
        <w:rPr>
          <w:rFonts w:ascii="Times New Roman" w:hAnsi="Times New Roman" w:cs="Times New Roman"/>
          <w:sz w:val="21"/>
          <w:szCs w:val="21"/>
        </w:rPr>
        <w:t xml:space="preserve"> in late September </w:t>
      </w:r>
      <w:r w:rsidR="00423EAE">
        <w:rPr>
          <w:rFonts w:ascii="Times New Roman" w:hAnsi="Times New Roman" w:cs="Times New Roman"/>
          <w:sz w:val="21"/>
          <w:szCs w:val="21"/>
        </w:rPr>
        <w:t xml:space="preserve">2014.  </w:t>
      </w:r>
    </w:p>
    <w:p w14:paraId="25216A85" w14:textId="77777777" w:rsidR="005B0238" w:rsidRDefault="005B0238" w:rsidP="00A9653E">
      <w:pPr>
        <w:spacing w:line="360" w:lineRule="auto"/>
        <w:jc w:val="both"/>
        <w:rPr>
          <w:rFonts w:ascii="Times New Roman" w:hAnsi="Times New Roman" w:cs="Times New Roman"/>
          <w:sz w:val="21"/>
          <w:szCs w:val="21"/>
        </w:rPr>
      </w:pPr>
      <w:r>
        <w:rPr>
          <w:rFonts w:ascii="Times New Roman" w:hAnsi="Times New Roman" w:cs="Times New Roman"/>
          <w:bCs/>
          <w:iCs/>
          <w:sz w:val="21"/>
          <w:szCs w:val="21"/>
        </w:rPr>
        <w:t xml:space="preserve">In consideration of the </w:t>
      </w:r>
      <w:r w:rsidRPr="00EC356F">
        <w:rPr>
          <w:rFonts w:ascii="Times New Roman" w:hAnsi="Times New Roman" w:cs="Times New Roman"/>
          <w:bCs/>
          <w:iCs/>
          <w:sz w:val="21"/>
          <w:szCs w:val="21"/>
        </w:rPr>
        <w:t xml:space="preserve">effect of </w:t>
      </w:r>
      <w:r>
        <w:rPr>
          <w:rFonts w:ascii="Times New Roman" w:hAnsi="Times New Roman" w:cs="Times New Roman"/>
          <w:bCs/>
          <w:iCs/>
          <w:sz w:val="21"/>
          <w:szCs w:val="21"/>
        </w:rPr>
        <w:t xml:space="preserve">energy </w:t>
      </w:r>
      <w:r w:rsidRPr="00EC356F">
        <w:rPr>
          <w:rFonts w:ascii="Times New Roman" w:hAnsi="Times New Roman" w:cs="Times New Roman"/>
          <w:bCs/>
          <w:iCs/>
          <w:sz w:val="21"/>
          <w:szCs w:val="21"/>
        </w:rPr>
        <w:t xml:space="preserve">price </w:t>
      </w:r>
      <w:r>
        <w:rPr>
          <w:rFonts w:ascii="Times New Roman" w:hAnsi="Times New Roman" w:cs="Times New Roman"/>
          <w:bCs/>
          <w:iCs/>
          <w:sz w:val="21"/>
          <w:szCs w:val="21"/>
        </w:rPr>
        <w:t xml:space="preserve">inflation on the domestic prices phased out since July of 2014 as well as the expectations of non-inflationary pressures from the external and domestic sectors in the medium run, </w:t>
      </w:r>
      <w:r w:rsidRPr="0004161E">
        <w:rPr>
          <w:rFonts w:ascii="Times New Roman" w:hAnsi="Times New Roman" w:cs="Times New Roman"/>
          <w:sz w:val="21"/>
          <w:szCs w:val="21"/>
        </w:rPr>
        <w:t>the Central Bank</w:t>
      </w:r>
      <w:r>
        <w:rPr>
          <w:rFonts w:ascii="Times New Roman" w:hAnsi="Times New Roman" w:cs="Times New Roman"/>
          <w:sz w:val="21"/>
          <w:szCs w:val="21"/>
        </w:rPr>
        <w:t xml:space="preserve"> </w:t>
      </w:r>
      <w:r w:rsidRPr="0004161E">
        <w:rPr>
          <w:rFonts w:ascii="Times New Roman" w:hAnsi="Times New Roman" w:cs="Times New Roman"/>
          <w:sz w:val="21"/>
          <w:szCs w:val="21"/>
        </w:rPr>
        <w:t>further loosened</w:t>
      </w:r>
      <w:r>
        <w:rPr>
          <w:rFonts w:ascii="Times New Roman" w:hAnsi="Times New Roman" w:cs="Times New Roman"/>
          <w:sz w:val="21"/>
          <w:szCs w:val="21"/>
        </w:rPr>
        <w:t xml:space="preserve"> the monetary conditions: </w:t>
      </w:r>
      <w:r w:rsidRPr="0004161E">
        <w:rPr>
          <w:rFonts w:ascii="Times New Roman" w:hAnsi="Times New Roman" w:cs="Times New Roman"/>
          <w:b/>
          <w:sz w:val="21"/>
          <w:szCs w:val="21"/>
        </w:rPr>
        <w:t>in the past nine months of 2014</w:t>
      </w:r>
      <w:r>
        <w:rPr>
          <w:rFonts w:ascii="Times New Roman" w:hAnsi="Times New Roman" w:cs="Times New Roman"/>
          <w:sz w:val="21"/>
          <w:szCs w:val="21"/>
        </w:rPr>
        <w:t xml:space="preserve"> the refinancing rate was lowered a total of 1.0 pp to </w:t>
      </w:r>
      <w:r w:rsidRPr="0004161E">
        <w:rPr>
          <w:rFonts w:ascii="Times New Roman" w:hAnsi="Times New Roman" w:cs="Times New Roman"/>
          <w:b/>
          <w:sz w:val="21"/>
          <w:szCs w:val="21"/>
        </w:rPr>
        <w:t>6.75%</w:t>
      </w:r>
      <w:r w:rsidRPr="00EC356F">
        <w:rPr>
          <w:rFonts w:ascii="Times New Roman" w:hAnsi="Times New Roman" w:cs="Times New Roman"/>
          <w:sz w:val="21"/>
          <w:szCs w:val="21"/>
        </w:rPr>
        <w:t xml:space="preserve"> in late </w:t>
      </w:r>
      <w:r>
        <w:rPr>
          <w:rFonts w:ascii="Times New Roman" w:hAnsi="Times New Roman" w:cs="Times New Roman"/>
          <w:sz w:val="21"/>
          <w:szCs w:val="21"/>
        </w:rPr>
        <w:t>September.</w:t>
      </w:r>
      <w:r w:rsidR="00E66A03">
        <w:rPr>
          <w:rFonts w:ascii="Times New Roman" w:hAnsi="Times New Roman" w:cs="Times New Roman"/>
          <w:sz w:val="21"/>
          <w:szCs w:val="21"/>
        </w:rPr>
        <w:t xml:space="preserve"> Also, t</w:t>
      </w:r>
      <w:r w:rsidR="00E66A03" w:rsidRPr="00EC356F">
        <w:rPr>
          <w:rFonts w:ascii="Times New Roman" w:hAnsi="Times New Roman" w:cs="Times New Roman"/>
          <w:sz w:val="21"/>
          <w:szCs w:val="21"/>
        </w:rPr>
        <w:t xml:space="preserve">he </w:t>
      </w:r>
      <w:r w:rsidR="00E66A03" w:rsidRPr="000768E1">
        <w:rPr>
          <w:rFonts w:ascii="Times New Roman" w:hAnsi="Times New Roman" w:cs="Times New Roman"/>
          <w:b/>
          <w:sz w:val="21"/>
          <w:szCs w:val="21"/>
        </w:rPr>
        <w:t>dram reserve requirement ratio lowered from</w:t>
      </w:r>
      <w:r w:rsidR="00E66A03">
        <w:rPr>
          <w:rFonts w:ascii="Times New Roman" w:hAnsi="Times New Roman" w:cs="Times New Roman"/>
          <w:b/>
          <w:sz w:val="21"/>
          <w:szCs w:val="21"/>
        </w:rPr>
        <w:t xml:space="preserve"> </w:t>
      </w:r>
      <w:r w:rsidR="00E66A03" w:rsidRPr="00A265D4">
        <w:rPr>
          <w:rFonts w:ascii="Times New Roman" w:hAnsi="Times New Roman" w:cs="Times New Roman"/>
          <w:b/>
          <w:sz w:val="21"/>
          <w:szCs w:val="21"/>
        </w:rPr>
        <w:t>4%</w:t>
      </w:r>
      <w:r w:rsidR="00E66A03">
        <w:rPr>
          <w:rFonts w:ascii="Times New Roman" w:hAnsi="Times New Roman" w:cs="Times New Roman"/>
          <w:b/>
          <w:sz w:val="21"/>
          <w:szCs w:val="21"/>
        </w:rPr>
        <w:t xml:space="preserve"> </w:t>
      </w:r>
      <w:r w:rsidR="00E66A03" w:rsidRPr="00AF49AF">
        <w:rPr>
          <w:rFonts w:ascii="Times New Roman" w:hAnsi="Times New Roman" w:cs="Times New Roman"/>
          <w:b/>
          <w:sz w:val="21"/>
          <w:szCs w:val="21"/>
        </w:rPr>
        <w:t xml:space="preserve">to </w:t>
      </w:r>
      <w:r w:rsidR="00E66A03" w:rsidRPr="00A265D4">
        <w:rPr>
          <w:rFonts w:ascii="Times New Roman" w:hAnsi="Times New Roman" w:cs="Times New Roman"/>
          <w:b/>
          <w:sz w:val="21"/>
          <w:szCs w:val="21"/>
        </w:rPr>
        <w:t>2%</w:t>
      </w:r>
      <w:r w:rsidR="00E66A03">
        <w:rPr>
          <w:rFonts w:ascii="Times New Roman" w:hAnsi="Times New Roman" w:cs="Times New Roman"/>
          <w:b/>
          <w:sz w:val="21"/>
          <w:szCs w:val="21"/>
        </w:rPr>
        <w:t xml:space="preserve"> in </w:t>
      </w:r>
      <w:r w:rsidR="00E66A03" w:rsidRPr="00AF49AF">
        <w:rPr>
          <w:rFonts w:ascii="Times New Roman" w:hAnsi="Times New Roman" w:cs="Times New Roman"/>
          <w:b/>
          <w:sz w:val="21"/>
          <w:szCs w:val="21"/>
        </w:rPr>
        <w:t>February 2014</w:t>
      </w:r>
      <w:r w:rsidR="00E66A03" w:rsidRPr="00E66A03">
        <w:rPr>
          <w:rFonts w:ascii="Times New Roman" w:hAnsi="Times New Roman" w:cs="Times New Roman"/>
          <w:sz w:val="21"/>
          <w:szCs w:val="21"/>
        </w:rPr>
        <w:t>,</w:t>
      </w:r>
      <w:r w:rsidR="00E66A03" w:rsidRPr="00EC356F">
        <w:rPr>
          <w:rFonts w:ascii="Times New Roman" w:hAnsi="Times New Roman" w:cs="Times New Roman"/>
          <w:sz w:val="21"/>
          <w:szCs w:val="21"/>
        </w:rPr>
        <w:t xml:space="preserve"> </w:t>
      </w:r>
      <w:r w:rsidR="00E66A03">
        <w:rPr>
          <w:rFonts w:ascii="Times New Roman" w:hAnsi="Times New Roman" w:cs="Times New Roman"/>
          <w:sz w:val="21"/>
          <w:szCs w:val="21"/>
        </w:rPr>
        <w:t xml:space="preserve">which </w:t>
      </w:r>
      <w:r w:rsidR="00E66A03" w:rsidRPr="00EC356F">
        <w:rPr>
          <w:rFonts w:ascii="Times New Roman" w:hAnsi="Times New Roman" w:cs="Times New Roman"/>
          <w:sz w:val="21"/>
          <w:szCs w:val="21"/>
        </w:rPr>
        <w:t xml:space="preserve">caused </w:t>
      </w:r>
      <w:r w:rsidR="00E66A03" w:rsidRPr="00EC356F">
        <w:rPr>
          <w:rFonts w:ascii="Times New Roman" w:hAnsi="Times New Roman" w:cs="Times New Roman"/>
          <w:sz w:val="21"/>
          <w:szCs w:val="21"/>
        </w:rPr>
        <w:lastRenderedPageBreak/>
        <w:t xml:space="preserve">reduction in short-term interest rates in </w:t>
      </w:r>
      <w:r w:rsidR="00E66A03" w:rsidRPr="001C683B">
        <w:rPr>
          <w:rFonts w:ascii="Times New Roman" w:hAnsi="Times New Roman" w:cs="Times New Roman"/>
          <w:sz w:val="21"/>
          <w:szCs w:val="21"/>
        </w:rPr>
        <w:t>the financial market, was another easing-driven measure.</w:t>
      </w:r>
      <w:r w:rsidR="001C683B">
        <w:rPr>
          <w:rFonts w:ascii="Times New Roman" w:hAnsi="Times New Roman" w:cs="Times New Roman"/>
          <w:sz w:val="21"/>
          <w:szCs w:val="21"/>
        </w:rPr>
        <w:t xml:space="preserve"> These actions facilitated the </w:t>
      </w:r>
      <w:r w:rsidR="00FA790E">
        <w:rPr>
          <w:rFonts w:ascii="Times New Roman" w:hAnsi="Times New Roman" w:cs="Times New Roman"/>
          <w:sz w:val="21"/>
          <w:szCs w:val="21"/>
        </w:rPr>
        <w:t>falling of s</w:t>
      </w:r>
      <w:r w:rsidR="001C683B" w:rsidRPr="001C683B">
        <w:rPr>
          <w:rFonts w:ascii="Times New Roman" w:hAnsi="Times New Roman" w:cs="Times New Roman"/>
          <w:sz w:val="21"/>
          <w:szCs w:val="21"/>
        </w:rPr>
        <w:t>hort-term financial market rates</w:t>
      </w:r>
      <w:r w:rsidR="001C683B">
        <w:rPr>
          <w:rFonts w:ascii="Times New Roman" w:hAnsi="Times New Roman" w:cs="Times New Roman"/>
          <w:sz w:val="21"/>
          <w:szCs w:val="21"/>
        </w:rPr>
        <w:t xml:space="preserve"> and are predicted to also foster economic activity </w:t>
      </w:r>
      <w:r w:rsidR="00FA790E">
        <w:rPr>
          <w:rFonts w:ascii="Times New Roman" w:hAnsi="Times New Roman" w:cs="Times New Roman"/>
          <w:sz w:val="21"/>
          <w:szCs w:val="21"/>
        </w:rPr>
        <w:t xml:space="preserve">in the 4th quarter of 2014 </w:t>
      </w:r>
      <w:r w:rsidR="001C683B">
        <w:rPr>
          <w:rFonts w:ascii="Times New Roman" w:hAnsi="Times New Roman" w:cs="Times New Roman"/>
          <w:sz w:val="21"/>
          <w:szCs w:val="21"/>
        </w:rPr>
        <w:t>and contribute to the expanding of the inflation environment</w:t>
      </w:r>
      <w:r w:rsidR="00FA790E">
        <w:rPr>
          <w:rFonts w:ascii="Times New Roman" w:hAnsi="Times New Roman" w:cs="Times New Roman"/>
          <w:sz w:val="21"/>
          <w:szCs w:val="21"/>
        </w:rPr>
        <w:t xml:space="preserve"> in the 1st quarter of 2015.</w:t>
      </w:r>
    </w:p>
    <w:p w14:paraId="0E00322F" w14:textId="77777777" w:rsidR="002320C0" w:rsidRDefault="002320C0" w:rsidP="00A9653E">
      <w:pPr>
        <w:spacing w:line="360" w:lineRule="auto"/>
        <w:jc w:val="both"/>
        <w:rPr>
          <w:rFonts w:ascii="Times New Roman" w:hAnsi="Times New Roman" w:cs="Times New Roman"/>
          <w:sz w:val="21"/>
          <w:szCs w:val="21"/>
        </w:rPr>
      </w:pPr>
      <w:r>
        <w:rPr>
          <w:rFonts w:ascii="Times New Roman" w:hAnsi="Times New Roman" w:cs="Times New Roman"/>
          <w:b/>
          <w:sz w:val="21"/>
          <w:szCs w:val="21"/>
        </w:rPr>
        <w:t>V</w:t>
      </w:r>
      <w:r w:rsidRPr="002320C0">
        <w:rPr>
          <w:rFonts w:ascii="Times New Roman" w:hAnsi="Times New Roman" w:cs="Times New Roman"/>
          <w:b/>
          <w:sz w:val="21"/>
          <w:szCs w:val="21"/>
        </w:rPr>
        <w:t>aried dramatically, the inflationary patterns outstripped the expectations in the 4th quarter of 2014</w:t>
      </w:r>
      <w:r>
        <w:rPr>
          <w:rFonts w:ascii="Times New Roman" w:hAnsi="Times New Roman" w:cs="Times New Roman"/>
          <w:sz w:val="21"/>
          <w:szCs w:val="21"/>
        </w:rPr>
        <w:t xml:space="preserve"> in the light of escalated </w:t>
      </w:r>
      <w:r w:rsidRPr="002320C0">
        <w:rPr>
          <w:rFonts w:ascii="Times New Roman" w:hAnsi="Times New Roman" w:cs="Times New Roman"/>
          <w:sz w:val="21"/>
          <w:szCs w:val="21"/>
        </w:rPr>
        <w:t>geopolitical issues</w:t>
      </w:r>
      <w:r>
        <w:rPr>
          <w:rFonts w:ascii="Times New Roman" w:hAnsi="Times New Roman" w:cs="Times New Roman"/>
          <w:sz w:val="21"/>
          <w:szCs w:val="21"/>
        </w:rPr>
        <w:t xml:space="preserve"> globally and, </w:t>
      </w:r>
      <w:r w:rsidRPr="002320C0">
        <w:rPr>
          <w:rFonts w:ascii="Times New Roman" w:hAnsi="Times New Roman" w:cs="Times New Roman"/>
          <w:sz w:val="21"/>
          <w:szCs w:val="21"/>
        </w:rPr>
        <w:t>particularly</w:t>
      </w:r>
      <w:r>
        <w:rPr>
          <w:rFonts w:ascii="Times New Roman" w:hAnsi="Times New Roman" w:cs="Times New Roman"/>
          <w:sz w:val="21"/>
          <w:szCs w:val="21"/>
        </w:rPr>
        <w:t xml:space="preserve">, at the regional level. </w:t>
      </w:r>
      <w:r w:rsidRPr="002320C0">
        <w:rPr>
          <w:rFonts w:ascii="Times New Roman" w:hAnsi="Times New Roman" w:cs="Times New Roman"/>
          <w:sz w:val="21"/>
          <w:szCs w:val="21"/>
        </w:rPr>
        <w:t xml:space="preserve">On the other hand, </w:t>
      </w:r>
      <w:r>
        <w:rPr>
          <w:rFonts w:ascii="Times New Roman" w:hAnsi="Times New Roman" w:cs="Times New Roman"/>
          <w:sz w:val="21"/>
          <w:szCs w:val="21"/>
        </w:rPr>
        <w:t xml:space="preserve">the </w:t>
      </w:r>
      <w:r w:rsidRPr="002320C0">
        <w:rPr>
          <w:rFonts w:ascii="Times New Roman" w:hAnsi="Times New Roman" w:cs="Times New Roman"/>
          <w:b/>
          <w:sz w:val="21"/>
          <w:szCs w:val="21"/>
        </w:rPr>
        <w:t>U.S. economic growth was accelerating and the dollar strengthening</w:t>
      </w:r>
      <w:r w:rsidRPr="002320C0">
        <w:rPr>
          <w:rFonts w:ascii="Times New Roman" w:hAnsi="Times New Roman" w:cs="Times New Roman"/>
          <w:sz w:val="21"/>
          <w:szCs w:val="21"/>
        </w:rPr>
        <w:t xml:space="preserve"> </w:t>
      </w:r>
      <w:r>
        <w:rPr>
          <w:rFonts w:ascii="Times New Roman" w:hAnsi="Times New Roman" w:cs="Times New Roman"/>
          <w:sz w:val="21"/>
          <w:szCs w:val="21"/>
        </w:rPr>
        <w:t xml:space="preserve">as opposed to </w:t>
      </w:r>
      <w:r w:rsidRPr="002320C0">
        <w:rPr>
          <w:rFonts w:ascii="Times New Roman" w:hAnsi="Times New Roman" w:cs="Times New Roman"/>
          <w:sz w:val="21"/>
          <w:szCs w:val="21"/>
        </w:rPr>
        <w:t xml:space="preserve">other developed and developing countries, which was accompanied </w:t>
      </w:r>
      <w:r w:rsidR="002F74A7">
        <w:rPr>
          <w:rFonts w:ascii="Times New Roman" w:hAnsi="Times New Roman" w:cs="Times New Roman"/>
          <w:sz w:val="21"/>
          <w:szCs w:val="21"/>
        </w:rPr>
        <w:t xml:space="preserve">by </w:t>
      </w:r>
      <w:r>
        <w:rPr>
          <w:rFonts w:ascii="Times New Roman" w:hAnsi="Times New Roman" w:cs="Times New Roman"/>
          <w:sz w:val="21"/>
          <w:szCs w:val="21"/>
        </w:rPr>
        <w:t>currency depreciation and</w:t>
      </w:r>
      <w:r w:rsidRPr="002320C0">
        <w:rPr>
          <w:rFonts w:ascii="Times New Roman" w:hAnsi="Times New Roman" w:cs="Times New Roman"/>
          <w:sz w:val="21"/>
          <w:szCs w:val="21"/>
        </w:rPr>
        <w:t xml:space="preserve"> </w:t>
      </w:r>
      <w:r w:rsidR="00AA6C77">
        <w:rPr>
          <w:rFonts w:ascii="Times New Roman" w:hAnsi="Times New Roman" w:cs="Times New Roman"/>
          <w:sz w:val="21"/>
          <w:szCs w:val="21"/>
        </w:rPr>
        <w:t xml:space="preserve">expanding inflation elsewhere in the world. The </w:t>
      </w:r>
      <w:r w:rsidRPr="002320C0">
        <w:rPr>
          <w:rFonts w:ascii="Times New Roman" w:hAnsi="Times New Roman" w:cs="Times New Roman"/>
          <w:sz w:val="21"/>
          <w:szCs w:val="21"/>
        </w:rPr>
        <w:t>effect</w:t>
      </w:r>
      <w:r w:rsidR="00AA6C77">
        <w:rPr>
          <w:rFonts w:ascii="Times New Roman" w:hAnsi="Times New Roman" w:cs="Times New Roman"/>
          <w:sz w:val="21"/>
          <w:szCs w:val="21"/>
        </w:rPr>
        <w:t xml:space="preserve"> of these events</w:t>
      </w:r>
      <w:r w:rsidRPr="002320C0">
        <w:rPr>
          <w:rFonts w:ascii="Times New Roman" w:hAnsi="Times New Roman" w:cs="Times New Roman"/>
          <w:sz w:val="21"/>
          <w:szCs w:val="21"/>
        </w:rPr>
        <w:t xml:space="preserve"> was first observed in the currency market</w:t>
      </w:r>
      <w:r w:rsidR="00AA6C77">
        <w:rPr>
          <w:rFonts w:ascii="Times New Roman" w:hAnsi="Times New Roman" w:cs="Times New Roman"/>
          <w:sz w:val="21"/>
          <w:szCs w:val="21"/>
        </w:rPr>
        <w:t xml:space="preserve"> which reported a steep depreciation of the dram amidst notable r</w:t>
      </w:r>
      <w:r w:rsidR="00AA6C77" w:rsidRPr="002320C0">
        <w:rPr>
          <w:rFonts w:ascii="Times New Roman" w:hAnsi="Times New Roman" w:cs="Times New Roman"/>
          <w:sz w:val="21"/>
          <w:szCs w:val="21"/>
        </w:rPr>
        <w:t>educ</w:t>
      </w:r>
      <w:r w:rsidR="00AA6C77">
        <w:rPr>
          <w:rFonts w:ascii="Times New Roman" w:hAnsi="Times New Roman" w:cs="Times New Roman"/>
          <w:sz w:val="21"/>
          <w:szCs w:val="21"/>
        </w:rPr>
        <w:t xml:space="preserve">tion of </w:t>
      </w:r>
      <w:r w:rsidR="00AA6C77" w:rsidRPr="002320C0">
        <w:rPr>
          <w:rFonts w:ascii="Times New Roman" w:hAnsi="Times New Roman" w:cs="Times New Roman"/>
          <w:sz w:val="21"/>
          <w:szCs w:val="21"/>
        </w:rPr>
        <w:t xml:space="preserve">foreign currency transfers </w:t>
      </w:r>
      <w:r w:rsidR="00AA6C77">
        <w:rPr>
          <w:rFonts w:ascii="Times New Roman" w:hAnsi="Times New Roman" w:cs="Times New Roman"/>
          <w:sz w:val="21"/>
          <w:szCs w:val="21"/>
        </w:rPr>
        <w:t xml:space="preserve">from </w:t>
      </w:r>
      <w:r w:rsidR="00DA0716">
        <w:rPr>
          <w:rFonts w:ascii="Times New Roman" w:hAnsi="Times New Roman" w:cs="Times New Roman"/>
          <w:sz w:val="21"/>
          <w:szCs w:val="21"/>
        </w:rPr>
        <w:t xml:space="preserve">abroad and </w:t>
      </w:r>
      <w:r w:rsidR="00DA0716" w:rsidRPr="002320C0">
        <w:rPr>
          <w:rFonts w:ascii="Times New Roman" w:hAnsi="Times New Roman" w:cs="Times New Roman"/>
          <w:sz w:val="21"/>
          <w:szCs w:val="21"/>
        </w:rPr>
        <w:t>Russia</w:t>
      </w:r>
      <w:r w:rsidR="00DA0716">
        <w:rPr>
          <w:rFonts w:ascii="Times New Roman" w:hAnsi="Times New Roman" w:cs="Times New Roman"/>
          <w:sz w:val="21"/>
          <w:szCs w:val="21"/>
        </w:rPr>
        <w:t xml:space="preserve">, </w:t>
      </w:r>
      <w:r w:rsidRPr="002320C0">
        <w:rPr>
          <w:rFonts w:ascii="Times New Roman" w:hAnsi="Times New Roman" w:cs="Times New Roman"/>
          <w:sz w:val="21"/>
          <w:szCs w:val="21"/>
        </w:rPr>
        <w:t xml:space="preserve">the main </w:t>
      </w:r>
      <w:r w:rsidR="00DA0716">
        <w:rPr>
          <w:rFonts w:ascii="Times New Roman" w:hAnsi="Times New Roman" w:cs="Times New Roman"/>
          <w:sz w:val="21"/>
          <w:szCs w:val="21"/>
        </w:rPr>
        <w:t xml:space="preserve">trade </w:t>
      </w:r>
      <w:r w:rsidRPr="002320C0">
        <w:rPr>
          <w:rFonts w:ascii="Times New Roman" w:hAnsi="Times New Roman" w:cs="Times New Roman"/>
          <w:sz w:val="21"/>
          <w:szCs w:val="21"/>
        </w:rPr>
        <w:t>partner</w:t>
      </w:r>
      <w:r w:rsidR="00DA0716">
        <w:rPr>
          <w:rFonts w:ascii="Times New Roman" w:hAnsi="Times New Roman" w:cs="Times New Roman"/>
          <w:sz w:val="21"/>
          <w:szCs w:val="21"/>
        </w:rPr>
        <w:t xml:space="preserve"> to Armenia. This</w:t>
      </w:r>
      <w:r w:rsidRPr="002320C0">
        <w:rPr>
          <w:rFonts w:ascii="Times New Roman" w:hAnsi="Times New Roman" w:cs="Times New Roman"/>
          <w:sz w:val="21"/>
          <w:szCs w:val="21"/>
        </w:rPr>
        <w:t xml:space="preserve"> </w:t>
      </w:r>
      <w:r w:rsidR="00F47A5B">
        <w:rPr>
          <w:rFonts w:ascii="Times New Roman" w:hAnsi="Times New Roman" w:cs="Times New Roman"/>
          <w:sz w:val="21"/>
          <w:szCs w:val="21"/>
        </w:rPr>
        <w:t xml:space="preserve">was </w:t>
      </w:r>
      <w:r w:rsidRPr="002320C0">
        <w:rPr>
          <w:rFonts w:ascii="Times New Roman" w:hAnsi="Times New Roman" w:cs="Times New Roman"/>
          <w:sz w:val="21"/>
          <w:szCs w:val="21"/>
        </w:rPr>
        <w:t xml:space="preserve">immediately reflected on the commodity market by expanding </w:t>
      </w:r>
      <w:r w:rsidR="00F47A5B">
        <w:rPr>
          <w:rFonts w:ascii="Times New Roman" w:hAnsi="Times New Roman" w:cs="Times New Roman"/>
          <w:sz w:val="21"/>
          <w:szCs w:val="21"/>
        </w:rPr>
        <w:t xml:space="preserve">the </w:t>
      </w:r>
      <w:r w:rsidRPr="002320C0">
        <w:rPr>
          <w:rFonts w:ascii="Times New Roman" w:hAnsi="Times New Roman" w:cs="Times New Roman"/>
          <w:sz w:val="21"/>
          <w:szCs w:val="21"/>
        </w:rPr>
        <w:t xml:space="preserve">inflation environment and creating inflationary expectations. As a result, </w:t>
      </w:r>
      <w:r w:rsidRPr="003540F1">
        <w:rPr>
          <w:rFonts w:ascii="Times New Roman" w:hAnsi="Times New Roman" w:cs="Times New Roman"/>
          <w:b/>
          <w:sz w:val="21"/>
          <w:szCs w:val="21"/>
        </w:rPr>
        <w:t xml:space="preserve">the 12-month inflation </w:t>
      </w:r>
      <w:r w:rsidR="00F47A5B" w:rsidRPr="003540F1">
        <w:rPr>
          <w:rFonts w:ascii="Times New Roman" w:hAnsi="Times New Roman" w:cs="Times New Roman"/>
          <w:b/>
          <w:sz w:val="21"/>
          <w:szCs w:val="21"/>
        </w:rPr>
        <w:t xml:space="preserve">rate, expected to </w:t>
      </w:r>
      <w:r w:rsidRPr="003540F1">
        <w:rPr>
          <w:rFonts w:ascii="Times New Roman" w:hAnsi="Times New Roman" w:cs="Times New Roman"/>
          <w:b/>
          <w:sz w:val="21"/>
          <w:szCs w:val="21"/>
        </w:rPr>
        <w:t xml:space="preserve">amount to 3.2% </w:t>
      </w:r>
      <w:r w:rsidR="00F47A5B" w:rsidRPr="003540F1">
        <w:rPr>
          <w:rFonts w:ascii="Times New Roman" w:hAnsi="Times New Roman" w:cs="Times New Roman"/>
          <w:b/>
          <w:sz w:val="21"/>
          <w:szCs w:val="21"/>
        </w:rPr>
        <w:t>late in the year, reached 4.6%, staying around the confidence band</w:t>
      </w:r>
      <w:r w:rsidR="00F47A5B">
        <w:rPr>
          <w:rFonts w:ascii="Times New Roman" w:hAnsi="Times New Roman" w:cs="Times New Roman"/>
          <w:sz w:val="21"/>
          <w:szCs w:val="21"/>
        </w:rPr>
        <w:t>.</w:t>
      </w:r>
    </w:p>
    <w:p w14:paraId="3891DB97" w14:textId="77777777" w:rsidR="00B76651" w:rsidRPr="00B76651" w:rsidRDefault="00B76651" w:rsidP="00F668FC">
      <w:pPr>
        <w:spacing w:line="360" w:lineRule="auto"/>
        <w:jc w:val="both"/>
        <w:rPr>
          <w:rFonts w:ascii="Times New Roman" w:hAnsi="Times New Roman" w:cs="Times New Roman"/>
          <w:b/>
          <w:color w:val="0070C0"/>
          <w:sz w:val="18"/>
          <w:szCs w:val="18"/>
        </w:rPr>
      </w:pPr>
      <w:r w:rsidRPr="00B76651">
        <w:rPr>
          <w:rFonts w:ascii="Times New Roman" w:hAnsi="Times New Roman" w:cs="Times New Roman"/>
          <w:b/>
          <w:color w:val="0070C0"/>
          <w:sz w:val="18"/>
          <w:szCs w:val="18"/>
        </w:rPr>
        <w:t xml:space="preserve">The tension in foreign exchange and commodity markets later the year gave rise to the inflation potential and </w:t>
      </w:r>
      <w:r>
        <w:rPr>
          <w:rFonts w:ascii="Times New Roman" w:hAnsi="Times New Roman" w:cs="Times New Roman"/>
          <w:b/>
          <w:color w:val="0070C0"/>
          <w:sz w:val="18"/>
          <w:szCs w:val="18"/>
        </w:rPr>
        <w:t xml:space="preserve">further </w:t>
      </w:r>
      <w:r w:rsidRPr="00B76651">
        <w:rPr>
          <w:rFonts w:ascii="Times New Roman" w:hAnsi="Times New Roman" w:cs="Times New Roman"/>
          <w:b/>
          <w:color w:val="0070C0"/>
          <w:sz w:val="18"/>
          <w:szCs w:val="18"/>
        </w:rPr>
        <w:t xml:space="preserve">inflation expectations, and the Central Bank reacted </w:t>
      </w:r>
      <w:r>
        <w:rPr>
          <w:rFonts w:ascii="Times New Roman" w:hAnsi="Times New Roman" w:cs="Times New Roman"/>
          <w:b/>
          <w:color w:val="0070C0"/>
          <w:sz w:val="18"/>
          <w:szCs w:val="18"/>
        </w:rPr>
        <w:t xml:space="preserve">to the situation </w:t>
      </w:r>
      <w:r w:rsidRPr="00B76651">
        <w:rPr>
          <w:rFonts w:ascii="Times New Roman" w:hAnsi="Times New Roman" w:cs="Times New Roman"/>
          <w:b/>
          <w:color w:val="0070C0"/>
          <w:sz w:val="18"/>
          <w:szCs w:val="18"/>
        </w:rPr>
        <w:t xml:space="preserve">by </w:t>
      </w:r>
      <w:r w:rsidR="002F74A7">
        <w:rPr>
          <w:rFonts w:ascii="Times New Roman" w:hAnsi="Times New Roman" w:cs="Times New Roman"/>
          <w:b/>
          <w:color w:val="0070C0"/>
          <w:sz w:val="18"/>
          <w:szCs w:val="18"/>
        </w:rPr>
        <w:t xml:space="preserve">promptly </w:t>
      </w:r>
      <w:r w:rsidRPr="00B76651">
        <w:rPr>
          <w:rFonts w:ascii="Times New Roman" w:hAnsi="Times New Roman" w:cs="Times New Roman"/>
          <w:b/>
          <w:color w:val="0070C0"/>
          <w:sz w:val="18"/>
          <w:szCs w:val="18"/>
        </w:rPr>
        <w:t xml:space="preserve">lifting the Lombard Repo Facility Rate and the Reserve Requirement Ratio with regard to funds attracted in foreign currency…   </w:t>
      </w:r>
    </w:p>
    <w:p w14:paraId="4EA1F144" w14:textId="01143113" w:rsidR="00F668FC" w:rsidRDefault="00F668FC" w:rsidP="00F668FC">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w:t>
      </w:r>
      <w:r w:rsidRPr="007E66DC">
        <w:rPr>
          <w:rFonts w:ascii="Times New Roman" w:hAnsi="Times New Roman" w:cs="Times New Roman"/>
          <w:sz w:val="21"/>
          <w:szCs w:val="21"/>
        </w:rPr>
        <w:t>C</w:t>
      </w:r>
      <w:r>
        <w:rPr>
          <w:rFonts w:ascii="Times New Roman" w:hAnsi="Times New Roman" w:cs="Times New Roman"/>
          <w:sz w:val="21"/>
          <w:szCs w:val="21"/>
        </w:rPr>
        <w:t xml:space="preserve">entral Bank </w:t>
      </w:r>
      <w:r w:rsidRPr="007E66DC">
        <w:rPr>
          <w:rFonts w:ascii="Times New Roman" w:hAnsi="Times New Roman" w:cs="Times New Roman"/>
          <w:sz w:val="21"/>
          <w:szCs w:val="21"/>
        </w:rPr>
        <w:t>respond</w:t>
      </w:r>
      <w:r>
        <w:rPr>
          <w:rFonts w:ascii="Times New Roman" w:hAnsi="Times New Roman" w:cs="Times New Roman"/>
          <w:sz w:val="21"/>
          <w:szCs w:val="21"/>
        </w:rPr>
        <w:t>ed</w:t>
      </w:r>
      <w:r w:rsidRPr="007E66DC">
        <w:rPr>
          <w:rFonts w:ascii="Times New Roman" w:hAnsi="Times New Roman" w:cs="Times New Roman"/>
          <w:sz w:val="21"/>
          <w:szCs w:val="21"/>
        </w:rPr>
        <w:t xml:space="preserve"> to the situation </w:t>
      </w:r>
      <w:r w:rsidR="001D67A4">
        <w:rPr>
          <w:rFonts w:ascii="Times New Roman" w:hAnsi="Times New Roman" w:cs="Times New Roman"/>
          <w:sz w:val="21"/>
          <w:szCs w:val="21"/>
        </w:rPr>
        <w:t xml:space="preserve">intensely: </w:t>
      </w:r>
      <w:r>
        <w:rPr>
          <w:rFonts w:ascii="Times New Roman" w:hAnsi="Times New Roman" w:cs="Times New Roman"/>
          <w:sz w:val="21"/>
          <w:szCs w:val="21"/>
        </w:rPr>
        <w:t xml:space="preserve">in late </w:t>
      </w:r>
      <w:r w:rsidRPr="007E66DC">
        <w:rPr>
          <w:rFonts w:ascii="Times New Roman" w:hAnsi="Times New Roman" w:cs="Times New Roman"/>
          <w:sz w:val="21"/>
          <w:szCs w:val="21"/>
        </w:rPr>
        <w:t xml:space="preserve">November </w:t>
      </w:r>
      <w:r>
        <w:rPr>
          <w:rFonts w:ascii="Times New Roman" w:hAnsi="Times New Roman" w:cs="Times New Roman"/>
          <w:sz w:val="21"/>
          <w:szCs w:val="21"/>
        </w:rPr>
        <w:t xml:space="preserve">the Bank </w:t>
      </w:r>
      <w:r w:rsidRPr="007E66DC">
        <w:rPr>
          <w:rFonts w:ascii="Times New Roman" w:hAnsi="Times New Roman" w:cs="Times New Roman"/>
          <w:sz w:val="21"/>
          <w:szCs w:val="21"/>
        </w:rPr>
        <w:t xml:space="preserve">raised the </w:t>
      </w:r>
      <w:r w:rsidRPr="00FB083F">
        <w:rPr>
          <w:rFonts w:ascii="Times New Roman" w:hAnsi="Times New Roman" w:cs="Times New Roman"/>
          <w:b/>
          <w:sz w:val="21"/>
          <w:szCs w:val="21"/>
        </w:rPr>
        <w:t xml:space="preserve">Lombard Repo Facility </w:t>
      </w:r>
      <w:r>
        <w:rPr>
          <w:rFonts w:ascii="Times New Roman" w:hAnsi="Times New Roman" w:cs="Times New Roman"/>
          <w:b/>
          <w:sz w:val="21"/>
          <w:szCs w:val="21"/>
        </w:rPr>
        <w:t>R</w:t>
      </w:r>
      <w:r w:rsidRPr="00FB083F">
        <w:rPr>
          <w:rFonts w:ascii="Times New Roman" w:hAnsi="Times New Roman" w:cs="Times New Roman"/>
          <w:b/>
          <w:sz w:val="21"/>
          <w:szCs w:val="21"/>
        </w:rPr>
        <w:t>ate from 8.25 to 21.0%</w:t>
      </w:r>
      <w:r w:rsidRPr="007E66DC">
        <w:rPr>
          <w:rFonts w:ascii="Times New Roman" w:hAnsi="Times New Roman" w:cs="Times New Roman"/>
          <w:sz w:val="21"/>
          <w:szCs w:val="21"/>
        </w:rPr>
        <w:t xml:space="preserve">, followed by </w:t>
      </w:r>
      <w:r>
        <w:rPr>
          <w:rFonts w:ascii="Times New Roman" w:hAnsi="Times New Roman" w:cs="Times New Roman"/>
          <w:sz w:val="21"/>
          <w:szCs w:val="21"/>
        </w:rPr>
        <w:t xml:space="preserve">a </w:t>
      </w:r>
      <w:r w:rsidRPr="007E66DC">
        <w:rPr>
          <w:rFonts w:ascii="Times New Roman" w:hAnsi="Times New Roman" w:cs="Times New Roman"/>
          <w:sz w:val="21"/>
          <w:szCs w:val="21"/>
        </w:rPr>
        <w:t xml:space="preserve">mid-December </w:t>
      </w:r>
      <w:r>
        <w:rPr>
          <w:rFonts w:ascii="Times New Roman" w:hAnsi="Times New Roman" w:cs="Times New Roman"/>
          <w:sz w:val="21"/>
          <w:szCs w:val="21"/>
        </w:rPr>
        <w:t xml:space="preserve">increase of the </w:t>
      </w:r>
      <w:r w:rsidRPr="00FB083F">
        <w:rPr>
          <w:rFonts w:ascii="Times New Roman" w:hAnsi="Times New Roman" w:cs="Times New Roman"/>
          <w:b/>
          <w:sz w:val="21"/>
          <w:szCs w:val="21"/>
        </w:rPr>
        <w:t>Reserve Requirement Ratio with re</w:t>
      </w:r>
      <w:r>
        <w:rPr>
          <w:rFonts w:ascii="Times New Roman" w:hAnsi="Times New Roman" w:cs="Times New Roman"/>
          <w:b/>
          <w:sz w:val="21"/>
          <w:szCs w:val="21"/>
        </w:rPr>
        <w:t>gard to</w:t>
      </w:r>
      <w:r w:rsidRPr="00FB083F">
        <w:rPr>
          <w:rFonts w:ascii="Times New Roman" w:hAnsi="Times New Roman" w:cs="Times New Roman"/>
          <w:b/>
          <w:sz w:val="21"/>
          <w:szCs w:val="21"/>
        </w:rPr>
        <w:t xml:space="preserve"> funds attracted in foreign currency (from 12.0 to 24.0%)</w:t>
      </w:r>
      <w:r w:rsidRPr="007E66DC">
        <w:rPr>
          <w:rFonts w:ascii="Times New Roman" w:hAnsi="Times New Roman" w:cs="Times New Roman"/>
          <w:sz w:val="21"/>
          <w:szCs w:val="21"/>
        </w:rPr>
        <w:t xml:space="preserve">. </w:t>
      </w:r>
      <w:r w:rsidR="00283094">
        <w:rPr>
          <w:rFonts w:ascii="Times New Roman" w:hAnsi="Times New Roman" w:cs="Times New Roman"/>
          <w:sz w:val="21"/>
          <w:szCs w:val="21"/>
        </w:rPr>
        <w:t>The</w:t>
      </w:r>
      <w:r w:rsidRPr="007E66DC">
        <w:rPr>
          <w:rFonts w:ascii="Times New Roman" w:hAnsi="Times New Roman" w:cs="Times New Roman"/>
          <w:sz w:val="21"/>
          <w:szCs w:val="21"/>
        </w:rPr>
        <w:t xml:space="preserve"> short-term </w:t>
      </w:r>
      <w:r>
        <w:rPr>
          <w:rFonts w:ascii="Times New Roman" w:hAnsi="Times New Roman" w:cs="Times New Roman"/>
          <w:sz w:val="21"/>
          <w:szCs w:val="21"/>
        </w:rPr>
        <w:t>dram</w:t>
      </w:r>
      <w:r w:rsidRPr="007E66DC">
        <w:rPr>
          <w:rFonts w:ascii="Times New Roman" w:hAnsi="Times New Roman" w:cs="Times New Roman"/>
          <w:sz w:val="21"/>
          <w:szCs w:val="21"/>
        </w:rPr>
        <w:t xml:space="preserve"> market rates re</w:t>
      </w:r>
      <w:r>
        <w:rPr>
          <w:rFonts w:ascii="Times New Roman" w:hAnsi="Times New Roman" w:cs="Times New Roman"/>
          <w:sz w:val="21"/>
          <w:szCs w:val="21"/>
        </w:rPr>
        <w:t xml:space="preserve">acted to </w:t>
      </w:r>
      <w:r w:rsidRPr="007E66DC">
        <w:rPr>
          <w:rFonts w:ascii="Times New Roman" w:hAnsi="Times New Roman" w:cs="Times New Roman"/>
          <w:sz w:val="21"/>
          <w:szCs w:val="21"/>
        </w:rPr>
        <w:t xml:space="preserve">the </w:t>
      </w:r>
      <w:r>
        <w:rPr>
          <w:rFonts w:ascii="Times New Roman" w:hAnsi="Times New Roman" w:cs="Times New Roman"/>
          <w:sz w:val="21"/>
          <w:szCs w:val="21"/>
        </w:rPr>
        <w:t>Ban</w:t>
      </w:r>
      <w:r w:rsidRPr="007E66DC">
        <w:rPr>
          <w:rFonts w:ascii="Times New Roman" w:hAnsi="Times New Roman" w:cs="Times New Roman"/>
          <w:sz w:val="21"/>
          <w:szCs w:val="21"/>
        </w:rPr>
        <w:t xml:space="preserve">k's tightening of financial conditions in the financial market </w:t>
      </w:r>
      <w:r>
        <w:rPr>
          <w:rFonts w:ascii="Times New Roman" w:hAnsi="Times New Roman" w:cs="Times New Roman"/>
          <w:sz w:val="21"/>
          <w:szCs w:val="21"/>
        </w:rPr>
        <w:t xml:space="preserve">by rising and </w:t>
      </w:r>
      <w:r w:rsidRPr="00283094">
        <w:rPr>
          <w:rFonts w:ascii="Times New Roman" w:hAnsi="Times New Roman" w:cs="Times New Roman"/>
          <w:sz w:val="21"/>
          <w:szCs w:val="21"/>
        </w:rPr>
        <w:t>staying around the Lombard Repo Facility Rate.</w:t>
      </w:r>
      <w:r>
        <w:rPr>
          <w:rFonts w:ascii="Times New Roman" w:hAnsi="Times New Roman" w:cs="Times New Roman"/>
          <w:sz w:val="21"/>
          <w:szCs w:val="21"/>
        </w:rPr>
        <w:t xml:space="preserve"> </w:t>
      </w:r>
      <w:r w:rsidR="00283094">
        <w:rPr>
          <w:rFonts w:ascii="Times New Roman" w:hAnsi="Times New Roman" w:cs="Times New Roman"/>
          <w:sz w:val="21"/>
          <w:szCs w:val="21"/>
        </w:rPr>
        <w:t xml:space="preserve">As a result, </w:t>
      </w:r>
      <w:r>
        <w:rPr>
          <w:rFonts w:ascii="Times New Roman" w:hAnsi="Times New Roman" w:cs="Times New Roman"/>
          <w:sz w:val="21"/>
          <w:szCs w:val="21"/>
        </w:rPr>
        <w:t xml:space="preserve">the </w:t>
      </w:r>
      <w:r w:rsidRPr="00FB083F">
        <w:rPr>
          <w:rFonts w:ascii="Times New Roman" w:hAnsi="Times New Roman" w:cs="Times New Roman"/>
          <w:b/>
          <w:sz w:val="21"/>
          <w:szCs w:val="21"/>
        </w:rPr>
        <w:t xml:space="preserve">Lombard Repo Facility </w:t>
      </w:r>
      <w:r>
        <w:rPr>
          <w:rFonts w:ascii="Times New Roman" w:hAnsi="Times New Roman" w:cs="Times New Roman"/>
          <w:b/>
          <w:sz w:val="21"/>
          <w:szCs w:val="21"/>
        </w:rPr>
        <w:t>Rate</w:t>
      </w:r>
      <w:r>
        <w:rPr>
          <w:rFonts w:ascii="Times New Roman" w:hAnsi="Times New Roman" w:cs="Times New Roman"/>
          <w:sz w:val="21"/>
          <w:szCs w:val="21"/>
        </w:rPr>
        <w:t xml:space="preserve"> </w:t>
      </w:r>
      <w:r w:rsidRPr="00F859A7">
        <w:rPr>
          <w:rFonts w:ascii="Times New Roman" w:hAnsi="Times New Roman" w:cs="Times New Roman"/>
          <w:b/>
          <w:sz w:val="21"/>
          <w:szCs w:val="21"/>
        </w:rPr>
        <w:t xml:space="preserve">has taken, since the yearend, the role of financial market's </w:t>
      </w:r>
      <w:r w:rsidR="00EE4084">
        <w:rPr>
          <w:rFonts w:ascii="Times New Roman" w:hAnsi="Times New Roman" w:cs="Times New Roman"/>
          <w:b/>
          <w:sz w:val="21"/>
          <w:szCs w:val="21"/>
        </w:rPr>
        <w:t>leading interest</w:t>
      </w:r>
      <w:r w:rsidR="00EE4084" w:rsidRPr="00F859A7">
        <w:rPr>
          <w:rFonts w:ascii="Times New Roman" w:hAnsi="Times New Roman" w:cs="Times New Roman"/>
          <w:b/>
          <w:sz w:val="21"/>
          <w:szCs w:val="21"/>
        </w:rPr>
        <w:t xml:space="preserve"> </w:t>
      </w:r>
      <w:r w:rsidRPr="00F859A7">
        <w:rPr>
          <w:rFonts w:ascii="Times New Roman" w:hAnsi="Times New Roman" w:cs="Times New Roman"/>
          <w:b/>
          <w:sz w:val="21"/>
          <w:szCs w:val="21"/>
        </w:rPr>
        <w:t>rate</w:t>
      </w:r>
      <w:r>
        <w:rPr>
          <w:rFonts w:ascii="Times New Roman" w:hAnsi="Times New Roman" w:cs="Times New Roman"/>
          <w:sz w:val="21"/>
          <w:szCs w:val="21"/>
        </w:rPr>
        <w:t>. Following t</w:t>
      </w:r>
      <w:r w:rsidRPr="007E66DC">
        <w:rPr>
          <w:rFonts w:ascii="Times New Roman" w:hAnsi="Times New Roman" w:cs="Times New Roman"/>
          <w:sz w:val="21"/>
          <w:szCs w:val="21"/>
        </w:rPr>
        <w:t xml:space="preserve">hese </w:t>
      </w:r>
      <w:r>
        <w:rPr>
          <w:rFonts w:ascii="Times New Roman" w:hAnsi="Times New Roman" w:cs="Times New Roman"/>
          <w:sz w:val="21"/>
          <w:szCs w:val="21"/>
        </w:rPr>
        <w:t xml:space="preserve">actions, the </w:t>
      </w:r>
      <w:r w:rsidRPr="007E66DC">
        <w:rPr>
          <w:rFonts w:ascii="Times New Roman" w:hAnsi="Times New Roman" w:cs="Times New Roman"/>
          <w:sz w:val="21"/>
          <w:szCs w:val="21"/>
        </w:rPr>
        <w:t xml:space="preserve">currency and </w:t>
      </w:r>
      <w:r>
        <w:rPr>
          <w:rFonts w:ascii="Times New Roman" w:hAnsi="Times New Roman" w:cs="Times New Roman"/>
          <w:sz w:val="21"/>
          <w:szCs w:val="21"/>
        </w:rPr>
        <w:t xml:space="preserve">product </w:t>
      </w:r>
      <w:r w:rsidRPr="007E66DC">
        <w:rPr>
          <w:rFonts w:ascii="Times New Roman" w:hAnsi="Times New Roman" w:cs="Times New Roman"/>
          <w:sz w:val="21"/>
          <w:szCs w:val="21"/>
        </w:rPr>
        <w:t xml:space="preserve">markets </w:t>
      </w:r>
      <w:r>
        <w:rPr>
          <w:rFonts w:ascii="Times New Roman" w:hAnsi="Times New Roman" w:cs="Times New Roman"/>
          <w:sz w:val="21"/>
          <w:szCs w:val="21"/>
        </w:rPr>
        <w:t xml:space="preserve">were able to see some </w:t>
      </w:r>
      <w:r w:rsidRPr="007E66DC">
        <w:rPr>
          <w:rFonts w:ascii="Times New Roman" w:hAnsi="Times New Roman" w:cs="Times New Roman"/>
          <w:sz w:val="21"/>
          <w:szCs w:val="21"/>
        </w:rPr>
        <w:t>signs of stabilization</w:t>
      </w:r>
      <w:r>
        <w:rPr>
          <w:rFonts w:ascii="Times New Roman" w:hAnsi="Times New Roman" w:cs="Times New Roman"/>
          <w:sz w:val="21"/>
          <w:szCs w:val="21"/>
        </w:rPr>
        <w:t xml:space="preserve">, which is why </w:t>
      </w:r>
      <w:r w:rsidRPr="007E66DC">
        <w:rPr>
          <w:rFonts w:ascii="Times New Roman" w:hAnsi="Times New Roman" w:cs="Times New Roman"/>
          <w:sz w:val="21"/>
          <w:szCs w:val="21"/>
        </w:rPr>
        <w:t xml:space="preserve">in late December the Central Bank lowered the </w:t>
      </w:r>
      <w:r w:rsidRPr="00802EBB">
        <w:rPr>
          <w:rFonts w:ascii="Times New Roman" w:hAnsi="Times New Roman" w:cs="Times New Roman"/>
          <w:b/>
          <w:sz w:val="21"/>
          <w:szCs w:val="21"/>
        </w:rPr>
        <w:t>Reserve Requirement Ratio</w:t>
      </w:r>
      <w:r>
        <w:rPr>
          <w:rFonts w:ascii="Times New Roman" w:hAnsi="Times New Roman" w:cs="Times New Roman"/>
          <w:sz w:val="21"/>
          <w:szCs w:val="21"/>
        </w:rPr>
        <w:t xml:space="preserve"> </w:t>
      </w:r>
      <w:r w:rsidRPr="00FB083F">
        <w:rPr>
          <w:rFonts w:ascii="Times New Roman" w:hAnsi="Times New Roman" w:cs="Times New Roman"/>
          <w:b/>
          <w:sz w:val="21"/>
          <w:szCs w:val="21"/>
        </w:rPr>
        <w:t>with re</w:t>
      </w:r>
      <w:r>
        <w:rPr>
          <w:rFonts w:ascii="Times New Roman" w:hAnsi="Times New Roman" w:cs="Times New Roman"/>
          <w:b/>
          <w:sz w:val="21"/>
          <w:szCs w:val="21"/>
        </w:rPr>
        <w:t>gard to</w:t>
      </w:r>
      <w:r w:rsidRPr="00FB083F">
        <w:rPr>
          <w:rFonts w:ascii="Times New Roman" w:hAnsi="Times New Roman" w:cs="Times New Roman"/>
          <w:b/>
          <w:sz w:val="21"/>
          <w:szCs w:val="21"/>
        </w:rPr>
        <w:t xml:space="preserve"> funds attracted in foreign </w:t>
      </w:r>
      <w:r w:rsidRPr="00283094">
        <w:rPr>
          <w:rFonts w:ascii="Times New Roman" w:hAnsi="Times New Roman" w:cs="Times New Roman"/>
          <w:b/>
          <w:sz w:val="21"/>
          <w:szCs w:val="21"/>
        </w:rPr>
        <w:t>currency from 24.0 to 20.0% and the Lombard Repo Facility Rate from 21.0 to 20.0%.</w:t>
      </w:r>
      <w:r>
        <w:rPr>
          <w:rFonts w:ascii="Times New Roman" w:hAnsi="Times New Roman" w:cs="Times New Roman"/>
          <w:sz w:val="21"/>
          <w:szCs w:val="21"/>
        </w:rPr>
        <w:t xml:space="preserve"> In early 2015, the </w:t>
      </w:r>
      <w:r w:rsidRPr="003916F1">
        <w:rPr>
          <w:rFonts w:ascii="Times New Roman" w:hAnsi="Times New Roman" w:cs="Times New Roman"/>
          <w:sz w:val="21"/>
          <w:szCs w:val="21"/>
        </w:rPr>
        <w:t>Lombard Repo Facility Rate</w:t>
      </w:r>
      <w:r w:rsidRPr="007E66DC">
        <w:rPr>
          <w:rFonts w:ascii="Times New Roman" w:hAnsi="Times New Roman" w:cs="Times New Roman"/>
          <w:sz w:val="21"/>
          <w:szCs w:val="21"/>
        </w:rPr>
        <w:t xml:space="preserve"> </w:t>
      </w:r>
      <w:r>
        <w:rPr>
          <w:rFonts w:ascii="Times New Roman" w:hAnsi="Times New Roman" w:cs="Times New Roman"/>
          <w:sz w:val="21"/>
          <w:szCs w:val="21"/>
        </w:rPr>
        <w:t xml:space="preserve">was reduced further to </w:t>
      </w:r>
      <w:r w:rsidRPr="003916F1">
        <w:rPr>
          <w:rFonts w:ascii="Times New Roman" w:hAnsi="Times New Roman" w:cs="Times New Roman"/>
          <w:b/>
          <w:sz w:val="21"/>
          <w:szCs w:val="21"/>
        </w:rPr>
        <w:t>14.5%</w:t>
      </w:r>
      <w:r>
        <w:rPr>
          <w:rFonts w:ascii="Times New Roman" w:hAnsi="Times New Roman" w:cs="Times New Roman"/>
          <w:sz w:val="21"/>
          <w:szCs w:val="21"/>
        </w:rPr>
        <w:t xml:space="preserve">, which </w:t>
      </w:r>
      <w:r w:rsidR="002F74A7">
        <w:rPr>
          <w:rFonts w:ascii="Times New Roman" w:hAnsi="Times New Roman" w:cs="Times New Roman"/>
          <w:sz w:val="21"/>
          <w:szCs w:val="21"/>
        </w:rPr>
        <w:t>quickly</w:t>
      </w:r>
      <w:r>
        <w:rPr>
          <w:rFonts w:ascii="Times New Roman" w:hAnsi="Times New Roman" w:cs="Times New Roman"/>
          <w:sz w:val="21"/>
          <w:szCs w:val="21"/>
        </w:rPr>
        <w:t xml:space="preserve"> </w:t>
      </w:r>
      <w:r w:rsidR="00283094">
        <w:rPr>
          <w:rFonts w:ascii="Times New Roman" w:hAnsi="Times New Roman" w:cs="Times New Roman"/>
          <w:sz w:val="21"/>
          <w:szCs w:val="21"/>
        </w:rPr>
        <w:t>drove</w:t>
      </w:r>
      <w:r>
        <w:rPr>
          <w:rFonts w:ascii="Times New Roman" w:hAnsi="Times New Roman" w:cs="Times New Roman"/>
          <w:sz w:val="21"/>
          <w:szCs w:val="21"/>
        </w:rPr>
        <w:t xml:space="preserve"> </w:t>
      </w:r>
      <w:r w:rsidRPr="007E66DC">
        <w:rPr>
          <w:rFonts w:ascii="Times New Roman" w:hAnsi="Times New Roman" w:cs="Times New Roman"/>
          <w:sz w:val="21"/>
          <w:szCs w:val="21"/>
        </w:rPr>
        <w:t xml:space="preserve">short-term </w:t>
      </w:r>
      <w:r>
        <w:rPr>
          <w:rFonts w:ascii="Times New Roman" w:hAnsi="Times New Roman" w:cs="Times New Roman"/>
          <w:sz w:val="21"/>
          <w:szCs w:val="21"/>
        </w:rPr>
        <w:t>dram</w:t>
      </w:r>
      <w:r w:rsidRPr="007E66DC">
        <w:rPr>
          <w:rFonts w:ascii="Times New Roman" w:hAnsi="Times New Roman" w:cs="Times New Roman"/>
          <w:sz w:val="21"/>
          <w:szCs w:val="21"/>
        </w:rPr>
        <w:t xml:space="preserve"> market rates </w:t>
      </w:r>
      <w:r>
        <w:rPr>
          <w:rFonts w:ascii="Times New Roman" w:hAnsi="Times New Roman" w:cs="Times New Roman"/>
          <w:sz w:val="21"/>
          <w:szCs w:val="21"/>
        </w:rPr>
        <w:t xml:space="preserve">down. </w:t>
      </w:r>
    </w:p>
    <w:p w14:paraId="35B1AD7F" w14:textId="099BE9A1" w:rsidR="00F668FC" w:rsidRDefault="001C2E2D" w:rsidP="00F668FC">
      <w:pPr>
        <w:spacing w:line="360" w:lineRule="auto"/>
        <w:jc w:val="both"/>
        <w:rPr>
          <w:rFonts w:ascii="Times New Roman" w:hAnsi="Times New Roman" w:cs="Times New Roman"/>
          <w:sz w:val="21"/>
          <w:szCs w:val="21"/>
        </w:rPr>
      </w:pPr>
      <w:r>
        <w:rPr>
          <w:rFonts w:ascii="Times New Roman" w:hAnsi="Times New Roman" w:cs="Times New Roman"/>
          <w:sz w:val="21"/>
          <w:szCs w:val="21"/>
        </w:rPr>
        <w:t>In the meantime,</w:t>
      </w:r>
      <w:r w:rsidR="00F668FC" w:rsidRPr="00F538B8">
        <w:rPr>
          <w:rFonts w:ascii="Times New Roman" w:hAnsi="Times New Roman" w:cs="Times New Roman"/>
          <w:sz w:val="21"/>
          <w:szCs w:val="21"/>
        </w:rPr>
        <w:t xml:space="preserve"> </w:t>
      </w:r>
      <w:r w:rsidR="00F668FC">
        <w:rPr>
          <w:rFonts w:ascii="Times New Roman" w:hAnsi="Times New Roman" w:cs="Times New Roman"/>
          <w:sz w:val="21"/>
          <w:szCs w:val="21"/>
        </w:rPr>
        <w:t xml:space="preserve">to </w:t>
      </w:r>
      <w:r w:rsidR="00EE4084">
        <w:rPr>
          <w:rFonts w:ascii="Times New Roman" w:hAnsi="Times New Roman" w:cs="Times New Roman"/>
          <w:sz w:val="21"/>
          <w:szCs w:val="21"/>
        </w:rPr>
        <w:t xml:space="preserve">moderate </w:t>
      </w:r>
      <w:r w:rsidR="00F668FC" w:rsidRPr="00F538B8">
        <w:rPr>
          <w:rFonts w:ascii="Times New Roman" w:hAnsi="Times New Roman" w:cs="Times New Roman"/>
          <w:sz w:val="21"/>
          <w:szCs w:val="21"/>
        </w:rPr>
        <w:t xml:space="preserve">future inflationary pressures and </w:t>
      </w:r>
      <w:r w:rsidR="00F668FC">
        <w:rPr>
          <w:rFonts w:ascii="Times New Roman" w:hAnsi="Times New Roman" w:cs="Times New Roman"/>
          <w:sz w:val="21"/>
          <w:szCs w:val="21"/>
        </w:rPr>
        <w:t xml:space="preserve">have the </w:t>
      </w:r>
      <w:r w:rsidR="00F668FC" w:rsidRPr="00F538B8">
        <w:rPr>
          <w:rFonts w:ascii="Times New Roman" w:hAnsi="Times New Roman" w:cs="Times New Roman"/>
          <w:sz w:val="21"/>
          <w:szCs w:val="21"/>
        </w:rPr>
        <w:t>inflationary expectations anchored around the target</w:t>
      </w:r>
      <w:r w:rsidR="00F668FC">
        <w:rPr>
          <w:rFonts w:ascii="Times New Roman" w:hAnsi="Times New Roman" w:cs="Times New Roman"/>
          <w:sz w:val="21"/>
          <w:szCs w:val="21"/>
        </w:rPr>
        <w:t>, in</w:t>
      </w:r>
      <w:r w:rsidR="00F668FC" w:rsidRPr="00F538B8">
        <w:rPr>
          <w:rFonts w:ascii="Times New Roman" w:hAnsi="Times New Roman" w:cs="Times New Roman"/>
          <w:sz w:val="21"/>
          <w:szCs w:val="21"/>
        </w:rPr>
        <w:t xml:space="preserve"> late December the Central Bank</w:t>
      </w:r>
      <w:r w:rsidR="00F668FC">
        <w:rPr>
          <w:rFonts w:ascii="Times New Roman" w:hAnsi="Times New Roman" w:cs="Times New Roman"/>
          <w:sz w:val="21"/>
          <w:szCs w:val="21"/>
        </w:rPr>
        <w:t xml:space="preserve"> </w:t>
      </w:r>
      <w:r w:rsidR="00F668FC" w:rsidRPr="00F538B8">
        <w:rPr>
          <w:rFonts w:ascii="Times New Roman" w:hAnsi="Times New Roman" w:cs="Times New Roman"/>
          <w:sz w:val="21"/>
          <w:szCs w:val="21"/>
        </w:rPr>
        <w:t xml:space="preserve">raised </w:t>
      </w:r>
      <w:r w:rsidR="00F668FC">
        <w:rPr>
          <w:rFonts w:ascii="Times New Roman" w:hAnsi="Times New Roman" w:cs="Times New Roman"/>
          <w:sz w:val="21"/>
          <w:szCs w:val="21"/>
        </w:rPr>
        <w:t>the</w:t>
      </w:r>
      <w:r w:rsidR="00F668FC" w:rsidRPr="00F538B8">
        <w:rPr>
          <w:rFonts w:ascii="Times New Roman" w:hAnsi="Times New Roman" w:cs="Times New Roman"/>
          <w:sz w:val="21"/>
          <w:szCs w:val="21"/>
        </w:rPr>
        <w:t xml:space="preserve"> </w:t>
      </w:r>
      <w:r w:rsidR="00F668FC">
        <w:rPr>
          <w:rFonts w:ascii="Times New Roman" w:hAnsi="Times New Roman" w:cs="Times New Roman"/>
          <w:sz w:val="21"/>
          <w:szCs w:val="21"/>
        </w:rPr>
        <w:t>R</w:t>
      </w:r>
      <w:r w:rsidR="00F668FC" w:rsidRPr="00F538B8">
        <w:rPr>
          <w:rFonts w:ascii="Times New Roman" w:hAnsi="Times New Roman" w:cs="Times New Roman"/>
          <w:sz w:val="21"/>
          <w:szCs w:val="21"/>
        </w:rPr>
        <w:t xml:space="preserve">efinancing </w:t>
      </w:r>
      <w:r w:rsidR="00F668FC">
        <w:rPr>
          <w:rFonts w:ascii="Times New Roman" w:hAnsi="Times New Roman" w:cs="Times New Roman"/>
          <w:sz w:val="21"/>
          <w:szCs w:val="21"/>
        </w:rPr>
        <w:t>R</w:t>
      </w:r>
      <w:r w:rsidR="00F668FC" w:rsidRPr="00F538B8">
        <w:rPr>
          <w:rFonts w:ascii="Times New Roman" w:hAnsi="Times New Roman" w:cs="Times New Roman"/>
          <w:sz w:val="21"/>
          <w:szCs w:val="21"/>
        </w:rPr>
        <w:t xml:space="preserve">ate by 1.75 </w:t>
      </w:r>
      <w:r w:rsidR="00106258">
        <w:rPr>
          <w:rFonts w:ascii="Times New Roman" w:hAnsi="Times New Roman" w:cs="Times New Roman"/>
          <w:sz w:val="21"/>
          <w:szCs w:val="21"/>
        </w:rPr>
        <w:t>pp</w:t>
      </w:r>
      <w:r w:rsidR="002A1AB0">
        <w:rPr>
          <w:rFonts w:ascii="Times New Roman" w:hAnsi="Times New Roman" w:cs="Times New Roman"/>
          <w:sz w:val="21"/>
          <w:szCs w:val="21"/>
        </w:rPr>
        <w:t>.</w:t>
      </w:r>
      <w:r w:rsidR="00F668FC">
        <w:rPr>
          <w:rFonts w:ascii="Times New Roman" w:hAnsi="Times New Roman" w:cs="Times New Roman"/>
          <w:sz w:val="21"/>
          <w:szCs w:val="21"/>
        </w:rPr>
        <w:t xml:space="preserve"> In early</w:t>
      </w:r>
      <w:r w:rsidR="002A1AB0">
        <w:rPr>
          <w:rFonts w:ascii="Times New Roman" w:hAnsi="Times New Roman" w:cs="Times New Roman"/>
          <w:sz w:val="21"/>
          <w:szCs w:val="21"/>
        </w:rPr>
        <w:t xml:space="preserve"> </w:t>
      </w:r>
      <w:r w:rsidR="00F668FC" w:rsidRPr="00F538B8">
        <w:rPr>
          <w:rFonts w:ascii="Times New Roman" w:hAnsi="Times New Roman" w:cs="Times New Roman"/>
          <w:sz w:val="21"/>
          <w:szCs w:val="21"/>
        </w:rPr>
        <w:t>2015</w:t>
      </w:r>
      <w:r w:rsidR="00F668FC">
        <w:rPr>
          <w:rFonts w:ascii="Times New Roman" w:hAnsi="Times New Roman" w:cs="Times New Roman"/>
          <w:sz w:val="21"/>
          <w:szCs w:val="21"/>
        </w:rPr>
        <w:t>,</w:t>
      </w:r>
      <w:r w:rsidR="00F668FC" w:rsidRPr="00F538B8">
        <w:rPr>
          <w:rFonts w:ascii="Times New Roman" w:hAnsi="Times New Roman" w:cs="Times New Roman"/>
          <w:sz w:val="21"/>
          <w:szCs w:val="21"/>
        </w:rPr>
        <w:t xml:space="preserve"> the </w:t>
      </w:r>
      <w:r w:rsidR="00F668FC">
        <w:rPr>
          <w:rFonts w:ascii="Times New Roman" w:hAnsi="Times New Roman" w:cs="Times New Roman"/>
          <w:sz w:val="21"/>
          <w:szCs w:val="21"/>
        </w:rPr>
        <w:t>R</w:t>
      </w:r>
      <w:r w:rsidR="00F668FC" w:rsidRPr="00F538B8">
        <w:rPr>
          <w:rFonts w:ascii="Times New Roman" w:hAnsi="Times New Roman" w:cs="Times New Roman"/>
          <w:sz w:val="21"/>
          <w:szCs w:val="21"/>
        </w:rPr>
        <w:t xml:space="preserve">efinancing </w:t>
      </w:r>
      <w:r w:rsidR="00F668FC">
        <w:rPr>
          <w:rFonts w:ascii="Times New Roman" w:hAnsi="Times New Roman" w:cs="Times New Roman"/>
          <w:sz w:val="21"/>
          <w:szCs w:val="21"/>
        </w:rPr>
        <w:t>R</w:t>
      </w:r>
      <w:r w:rsidR="00F668FC" w:rsidRPr="00F538B8">
        <w:rPr>
          <w:rFonts w:ascii="Times New Roman" w:hAnsi="Times New Roman" w:cs="Times New Roman"/>
          <w:sz w:val="21"/>
          <w:szCs w:val="21"/>
        </w:rPr>
        <w:t xml:space="preserve">ate </w:t>
      </w:r>
      <w:r w:rsidR="00F668FC">
        <w:rPr>
          <w:rFonts w:ascii="Times New Roman" w:hAnsi="Times New Roman" w:cs="Times New Roman"/>
          <w:sz w:val="21"/>
          <w:szCs w:val="21"/>
        </w:rPr>
        <w:t>was further increased to</w:t>
      </w:r>
      <w:r w:rsidR="00F668FC" w:rsidRPr="00F538B8">
        <w:rPr>
          <w:rFonts w:ascii="Times New Roman" w:hAnsi="Times New Roman" w:cs="Times New Roman"/>
          <w:sz w:val="21"/>
          <w:szCs w:val="21"/>
        </w:rPr>
        <w:t xml:space="preserve"> 10.5%, reflecting </w:t>
      </w:r>
      <w:r w:rsidR="00EE4084">
        <w:rPr>
          <w:rFonts w:ascii="Times New Roman" w:hAnsi="Times New Roman" w:cs="Times New Roman"/>
          <w:sz w:val="21"/>
          <w:szCs w:val="21"/>
        </w:rPr>
        <w:t xml:space="preserve">upward </w:t>
      </w:r>
      <w:r w:rsidR="00F668FC">
        <w:rPr>
          <w:rFonts w:ascii="Times New Roman" w:hAnsi="Times New Roman" w:cs="Times New Roman"/>
          <w:sz w:val="21"/>
          <w:szCs w:val="21"/>
        </w:rPr>
        <w:t xml:space="preserve">trends </w:t>
      </w:r>
      <w:proofErr w:type="gramStart"/>
      <w:r w:rsidR="00F668FC">
        <w:rPr>
          <w:rFonts w:ascii="Times New Roman" w:hAnsi="Times New Roman" w:cs="Times New Roman"/>
          <w:sz w:val="21"/>
          <w:szCs w:val="21"/>
        </w:rPr>
        <w:t xml:space="preserve">of  </w:t>
      </w:r>
      <w:r w:rsidR="00F668FC" w:rsidRPr="00F538B8">
        <w:rPr>
          <w:rFonts w:ascii="Times New Roman" w:hAnsi="Times New Roman" w:cs="Times New Roman"/>
          <w:sz w:val="21"/>
          <w:szCs w:val="21"/>
        </w:rPr>
        <w:t>investment</w:t>
      </w:r>
      <w:proofErr w:type="gramEnd"/>
      <w:r w:rsidR="00F668FC" w:rsidRPr="00F538B8">
        <w:rPr>
          <w:rFonts w:ascii="Times New Roman" w:hAnsi="Times New Roman" w:cs="Times New Roman"/>
          <w:sz w:val="21"/>
          <w:szCs w:val="21"/>
        </w:rPr>
        <w:t xml:space="preserve"> risk</w:t>
      </w:r>
      <w:r w:rsidR="00EE4084">
        <w:rPr>
          <w:rFonts w:ascii="Times New Roman" w:hAnsi="Times New Roman" w:cs="Times New Roman"/>
          <w:sz w:val="21"/>
          <w:szCs w:val="21"/>
        </w:rPr>
        <w:t>s</w:t>
      </w:r>
      <w:r w:rsidR="00F668FC" w:rsidRPr="00F538B8">
        <w:rPr>
          <w:rFonts w:ascii="Times New Roman" w:hAnsi="Times New Roman" w:cs="Times New Roman"/>
          <w:sz w:val="21"/>
          <w:szCs w:val="21"/>
        </w:rPr>
        <w:t xml:space="preserve"> and interest rate</w:t>
      </w:r>
      <w:r w:rsidR="00EE4084">
        <w:rPr>
          <w:rFonts w:ascii="Times New Roman" w:hAnsi="Times New Roman" w:cs="Times New Roman"/>
          <w:sz w:val="21"/>
          <w:szCs w:val="21"/>
        </w:rPr>
        <w:t>s</w:t>
      </w:r>
      <w:r w:rsidR="00F668FC" w:rsidRPr="00F538B8">
        <w:rPr>
          <w:rFonts w:ascii="Times New Roman" w:hAnsi="Times New Roman" w:cs="Times New Roman"/>
          <w:sz w:val="21"/>
          <w:szCs w:val="21"/>
        </w:rPr>
        <w:t xml:space="preserve"> </w:t>
      </w:r>
      <w:r w:rsidR="00F668FC">
        <w:rPr>
          <w:rFonts w:ascii="Times New Roman" w:hAnsi="Times New Roman" w:cs="Times New Roman"/>
          <w:sz w:val="21"/>
          <w:szCs w:val="21"/>
        </w:rPr>
        <w:t xml:space="preserve"> </w:t>
      </w:r>
      <w:r w:rsidR="00F668FC" w:rsidRPr="00F538B8">
        <w:rPr>
          <w:rFonts w:ascii="Times New Roman" w:hAnsi="Times New Roman" w:cs="Times New Roman"/>
          <w:sz w:val="21"/>
          <w:szCs w:val="21"/>
        </w:rPr>
        <w:t xml:space="preserve">in developing countries over </w:t>
      </w:r>
      <w:r w:rsidR="00F668FC">
        <w:rPr>
          <w:rFonts w:ascii="Times New Roman" w:hAnsi="Times New Roman" w:cs="Times New Roman"/>
          <w:sz w:val="21"/>
          <w:szCs w:val="21"/>
        </w:rPr>
        <w:t>a</w:t>
      </w:r>
      <w:r w:rsidR="00F668FC" w:rsidRPr="00F538B8">
        <w:rPr>
          <w:rFonts w:ascii="Times New Roman" w:hAnsi="Times New Roman" w:cs="Times New Roman"/>
          <w:sz w:val="21"/>
          <w:szCs w:val="21"/>
        </w:rPr>
        <w:t xml:space="preserve"> long</w:t>
      </w:r>
      <w:r w:rsidR="00F668FC">
        <w:rPr>
          <w:rFonts w:ascii="Times New Roman" w:hAnsi="Times New Roman" w:cs="Times New Roman"/>
          <w:sz w:val="21"/>
          <w:szCs w:val="21"/>
        </w:rPr>
        <w:t xml:space="preserve">er </w:t>
      </w:r>
      <w:r>
        <w:rPr>
          <w:rFonts w:ascii="Times New Roman" w:hAnsi="Times New Roman" w:cs="Times New Roman"/>
          <w:sz w:val="21"/>
          <w:szCs w:val="21"/>
        </w:rPr>
        <w:t xml:space="preserve">term. </w:t>
      </w:r>
    </w:p>
    <w:p w14:paraId="7C59BB46" w14:textId="3D5E74FE" w:rsidR="00225ADD" w:rsidRPr="00225ADD" w:rsidRDefault="00225ADD" w:rsidP="00F668FC">
      <w:pPr>
        <w:spacing w:line="360" w:lineRule="auto"/>
        <w:jc w:val="both"/>
        <w:rPr>
          <w:rFonts w:ascii="Times New Roman" w:hAnsi="Times New Roman" w:cs="Times New Roman"/>
          <w:b/>
          <w:color w:val="0070C0"/>
          <w:sz w:val="18"/>
          <w:szCs w:val="18"/>
        </w:rPr>
      </w:pPr>
      <w:r w:rsidRPr="00225ADD">
        <w:rPr>
          <w:rFonts w:ascii="Times New Roman" w:hAnsi="Times New Roman" w:cs="Times New Roman"/>
          <w:b/>
          <w:color w:val="0070C0"/>
          <w:sz w:val="18"/>
          <w:szCs w:val="18"/>
        </w:rPr>
        <w:t xml:space="preserve">Driven by prudent measures of the Central Bank, as well as when the economy returns to normal, the short-term market rates will reduce gradually to rest around the Refinancing rate, making it again the </w:t>
      </w:r>
      <w:r w:rsidR="0032723F">
        <w:rPr>
          <w:rFonts w:ascii="Times New Roman" w:hAnsi="Times New Roman" w:cs="Times New Roman"/>
          <w:b/>
          <w:color w:val="0070C0"/>
          <w:sz w:val="18"/>
          <w:szCs w:val="18"/>
        </w:rPr>
        <w:t>leading</w:t>
      </w:r>
      <w:r w:rsidR="0032723F" w:rsidRPr="00225ADD">
        <w:rPr>
          <w:rFonts w:ascii="Times New Roman" w:hAnsi="Times New Roman" w:cs="Times New Roman"/>
          <w:b/>
          <w:color w:val="0070C0"/>
          <w:sz w:val="18"/>
          <w:szCs w:val="18"/>
        </w:rPr>
        <w:t xml:space="preserve"> </w:t>
      </w:r>
      <w:r w:rsidRPr="00225ADD">
        <w:rPr>
          <w:rFonts w:ascii="Times New Roman" w:hAnsi="Times New Roman" w:cs="Times New Roman"/>
          <w:b/>
          <w:color w:val="0070C0"/>
          <w:sz w:val="18"/>
          <w:szCs w:val="18"/>
        </w:rPr>
        <w:t>rate in the market…</w:t>
      </w:r>
    </w:p>
    <w:p w14:paraId="197259FA" w14:textId="6BBB1441" w:rsidR="00D139AA" w:rsidRPr="00D139AA" w:rsidRDefault="00D139AA" w:rsidP="00F668FC">
      <w:pPr>
        <w:spacing w:line="360" w:lineRule="auto"/>
        <w:jc w:val="both"/>
        <w:rPr>
          <w:rFonts w:ascii="Times New Roman" w:hAnsi="Times New Roman" w:cs="Times New Roman"/>
          <w:b/>
          <w:sz w:val="21"/>
          <w:szCs w:val="21"/>
        </w:rPr>
      </w:pPr>
      <w:r w:rsidRPr="00D139AA">
        <w:rPr>
          <w:rFonts w:ascii="Times New Roman" w:hAnsi="Times New Roman" w:cs="Times New Roman"/>
          <w:sz w:val="21"/>
          <w:szCs w:val="21"/>
        </w:rPr>
        <w:lastRenderedPageBreak/>
        <w:t>As the economy</w:t>
      </w:r>
      <w:r>
        <w:rPr>
          <w:rFonts w:ascii="Times New Roman" w:hAnsi="Times New Roman" w:cs="Times New Roman"/>
          <w:sz w:val="21"/>
          <w:szCs w:val="21"/>
        </w:rPr>
        <w:t xml:space="preserve"> returns to normal</w:t>
      </w:r>
      <w:r w:rsidR="009530B6">
        <w:rPr>
          <w:rFonts w:ascii="Times New Roman" w:hAnsi="Times New Roman" w:cs="Times New Roman"/>
          <w:sz w:val="21"/>
          <w:szCs w:val="21"/>
        </w:rPr>
        <w:t xml:space="preserve"> conditions</w:t>
      </w:r>
      <w:r>
        <w:rPr>
          <w:rFonts w:ascii="Times New Roman" w:hAnsi="Times New Roman" w:cs="Times New Roman"/>
          <w:sz w:val="21"/>
          <w:szCs w:val="21"/>
        </w:rPr>
        <w:t>, the</w:t>
      </w:r>
      <w:r w:rsidRPr="0012172D">
        <w:rPr>
          <w:rFonts w:ascii="Times New Roman" w:hAnsi="Times New Roman" w:cs="Times New Roman"/>
          <w:sz w:val="21"/>
          <w:szCs w:val="21"/>
        </w:rPr>
        <w:t xml:space="preserve"> short-term market rates will </w:t>
      </w:r>
      <w:r>
        <w:rPr>
          <w:rFonts w:ascii="Times New Roman" w:hAnsi="Times New Roman" w:cs="Times New Roman"/>
          <w:sz w:val="21"/>
          <w:szCs w:val="21"/>
        </w:rPr>
        <w:t xml:space="preserve">reduce gradually </w:t>
      </w:r>
      <w:r w:rsidRPr="00D139AA">
        <w:rPr>
          <w:rFonts w:ascii="Times New Roman" w:hAnsi="Times New Roman" w:cs="Times New Roman"/>
          <w:b/>
          <w:sz w:val="21"/>
          <w:szCs w:val="21"/>
        </w:rPr>
        <w:t xml:space="preserve">to rest around the Refinancing rate, making it again the </w:t>
      </w:r>
      <w:r w:rsidR="009530B6">
        <w:rPr>
          <w:rFonts w:ascii="Times New Roman" w:hAnsi="Times New Roman" w:cs="Times New Roman"/>
          <w:b/>
          <w:sz w:val="21"/>
          <w:szCs w:val="21"/>
        </w:rPr>
        <w:t xml:space="preserve">leading </w:t>
      </w:r>
      <w:r w:rsidRPr="00D139AA">
        <w:rPr>
          <w:rFonts w:ascii="Times New Roman" w:hAnsi="Times New Roman" w:cs="Times New Roman"/>
          <w:b/>
          <w:sz w:val="21"/>
          <w:szCs w:val="21"/>
        </w:rPr>
        <w:t>rate in the market</w:t>
      </w:r>
      <w:r w:rsidRPr="00D139AA">
        <w:rPr>
          <w:rFonts w:ascii="Times New Roman" w:hAnsi="Times New Roman" w:cs="Times New Roman"/>
          <w:sz w:val="21"/>
          <w:szCs w:val="21"/>
        </w:rPr>
        <w:t>.</w:t>
      </w:r>
    </w:p>
    <w:p w14:paraId="52F294E0" w14:textId="77777777" w:rsidR="00A9653E" w:rsidRPr="00EC356F" w:rsidRDefault="00A9653E" w:rsidP="00A9653E">
      <w:pPr>
        <w:spacing w:line="360" w:lineRule="auto"/>
        <w:jc w:val="both"/>
        <w:rPr>
          <w:rStyle w:val="longtext"/>
          <w:rFonts w:ascii="Times New Roman" w:hAnsi="Times New Roman" w:cs="Times New Roman"/>
          <w:b/>
          <w:sz w:val="21"/>
          <w:szCs w:val="21"/>
          <w:shd w:val="clear" w:color="auto" w:fill="FFFFFF"/>
        </w:rPr>
      </w:pPr>
      <w:r w:rsidRPr="00EC356F">
        <w:rPr>
          <w:rStyle w:val="longtext"/>
          <w:rFonts w:ascii="Times New Roman" w:hAnsi="Times New Roman" w:cs="Times New Roman"/>
          <w:b/>
          <w:sz w:val="21"/>
          <w:szCs w:val="21"/>
          <w:shd w:val="clear" w:color="auto" w:fill="FFFFFF"/>
        </w:rPr>
        <w:t>3.1.2 Import prices and producer prices</w:t>
      </w:r>
    </w:p>
    <w:p w14:paraId="3F463309" w14:textId="77777777" w:rsidR="00DA7111" w:rsidRDefault="00A9653E" w:rsidP="00A9653E">
      <w:pPr>
        <w:spacing w:line="360" w:lineRule="auto"/>
        <w:jc w:val="both"/>
        <w:rPr>
          <w:rStyle w:val="longtext"/>
          <w:rFonts w:ascii="Times New Roman" w:hAnsi="Times New Roman" w:cs="Times New Roman"/>
          <w:sz w:val="21"/>
          <w:szCs w:val="21"/>
          <w:shd w:val="clear" w:color="auto" w:fill="FFFFFF"/>
        </w:rPr>
      </w:pPr>
      <w:r w:rsidRPr="00EC356F">
        <w:rPr>
          <w:rStyle w:val="longtext"/>
          <w:rFonts w:ascii="Times New Roman" w:hAnsi="Times New Roman" w:cs="Times New Roman"/>
          <w:b/>
          <w:sz w:val="21"/>
          <w:szCs w:val="21"/>
          <w:shd w:val="clear" w:color="auto" w:fill="FFFFFF"/>
        </w:rPr>
        <w:t xml:space="preserve">Import prices: </w:t>
      </w:r>
      <w:r w:rsidRPr="00EC356F">
        <w:rPr>
          <w:rStyle w:val="longtext"/>
          <w:rFonts w:ascii="Times New Roman" w:hAnsi="Times New Roman" w:cs="Times New Roman"/>
          <w:sz w:val="21"/>
          <w:szCs w:val="21"/>
          <w:shd w:val="clear" w:color="auto" w:fill="FFFFFF"/>
        </w:rPr>
        <w:t xml:space="preserve">in the </w:t>
      </w:r>
      <w:r w:rsidR="00653013">
        <w:rPr>
          <w:rStyle w:val="longtext"/>
          <w:rFonts w:ascii="Times New Roman" w:hAnsi="Times New Roman" w:cs="Times New Roman"/>
          <w:sz w:val="21"/>
          <w:szCs w:val="21"/>
          <w:shd w:val="clear" w:color="auto" w:fill="FFFFFF"/>
        </w:rPr>
        <w:t>4th</w:t>
      </w:r>
      <w:r w:rsidRPr="00EC356F">
        <w:rPr>
          <w:rStyle w:val="longtext"/>
          <w:rFonts w:ascii="Times New Roman" w:hAnsi="Times New Roman" w:cs="Times New Roman"/>
          <w:sz w:val="21"/>
          <w:szCs w:val="21"/>
          <w:shd w:val="clear" w:color="auto" w:fill="FFFFFF"/>
        </w:rPr>
        <w:t xml:space="preserve"> quarter of 2014, the dollar prices of import of goods and services </w:t>
      </w:r>
      <w:r w:rsidR="00820C54">
        <w:rPr>
          <w:rStyle w:val="longtext"/>
          <w:rFonts w:ascii="Times New Roman" w:hAnsi="Times New Roman" w:cs="Times New Roman"/>
          <w:sz w:val="21"/>
          <w:szCs w:val="21"/>
          <w:shd w:val="clear" w:color="auto" w:fill="FFFFFF"/>
        </w:rPr>
        <w:t>decreased</w:t>
      </w:r>
      <w:r w:rsidR="00653013">
        <w:rPr>
          <w:rStyle w:val="longtext"/>
          <w:rFonts w:ascii="Times New Roman" w:hAnsi="Times New Roman" w:cs="Times New Roman"/>
          <w:sz w:val="21"/>
          <w:szCs w:val="21"/>
          <w:shd w:val="clear" w:color="auto" w:fill="FFFFFF"/>
        </w:rPr>
        <w:t xml:space="preserve"> even faster, </w:t>
      </w:r>
      <w:r w:rsidRPr="00EC356F">
        <w:rPr>
          <w:rStyle w:val="longtext"/>
          <w:rFonts w:ascii="Times New Roman" w:hAnsi="Times New Roman" w:cs="Times New Roman"/>
          <w:sz w:val="21"/>
          <w:szCs w:val="21"/>
          <w:shd w:val="clear" w:color="auto" w:fill="FFFFFF"/>
        </w:rPr>
        <w:t xml:space="preserve">by </w:t>
      </w:r>
      <w:r w:rsidR="00653013">
        <w:rPr>
          <w:rStyle w:val="longtext"/>
          <w:rFonts w:ascii="Times New Roman" w:hAnsi="Times New Roman" w:cs="Times New Roman"/>
          <w:sz w:val="21"/>
          <w:szCs w:val="21"/>
          <w:shd w:val="clear" w:color="auto" w:fill="FFFFFF"/>
        </w:rPr>
        <w:t>6</w:t>
      </w:r>
      <w:r w:rsidRPr="00EC356F">
        <w:rPr>
          <w:rStyle w:val="longtext"/>
          <w:rFonts w:ascii="Times New Roman" w:hAnsi="Times New Roman" w:cs="Times New Roman"/>
          <w:sz w:val="21"/>
          <w:szCs w:val="21"/>
          <w:shd w:val="clear" w:color="auto" w:fill="FFFFFF"/>
        </w:rPr>
        <w:t>.</w:t>
      </w:r>
      <w:r w:rsidR="00653013">
        <w:rPr>
          <w:rStyle w:val="longtext"/>
          <w:rFonts w:ascii="Times New Roman" w:hAnsi="Times New Roman" w:cs="Times New Roman"/>
          <w:sz w:val="21"/>
          <w:szCs w:val="21"/>
          <w:shd w:val="clear" w:color="auto" w:fill="FFFFFF"/>
        </w:rPr>
        <w:t>2</w:t>
      </w:r>
      <w:r w:rsidR="00820C54">
        <w:rPr>
          <w:rStyle w:val="longtext"/>
          <w:rFonts w:ascii="Times New Roman" w:hAnsi="Times New Roman" w:cs="Times New Roman"/>
          <w:sz w:val="21"/>
          <w:szCs w:val="21"/>
          <w:shd w:val="clear" w:color="auto" w:fill="FFFFFF"/>
        </w:rPr>
        <w:t xml:space="preserve">% q/q, with </w:t>
      </w:r>
      <w:r w:rsidRPr="00EC356F">
        <w:rPr>
          <w:rStyle w:val="longtext"/>
          <w:rFonts w:ascii="Times New Roman" w:hAnsi="Times New Roman" w:cs="Times New Roman"/>
          <w:sz w:val="21"/>
          <w:szCs w:val="21"/>
          <w:shd w:val="clear" w:color="auto" w:fill="FFFFFF"/>
        </w:rPr>
        <w:t xml:space="preserve">y/y </w:t>
      </w:r>
      <w:r w:rsidR="00820C54">
        <w:rPr>
          <w:rStyle w:val="longtext"/>
          <w:rFonts w:ascii="Times New Roman" w:hAnsi="Times New Roman" w:cs="Times New Roman"/>
          <w:sz w:val="21"/>
          <w:szCs w:val="21"/>
          <w:shd w:val="clear" w:color="auto" w:fill="FFFFFF"/>
        </w:rPr>
        <w:t xml:space="preserve">reduction of </w:t>
      </w:r>
      <w:r w:rsidR="00653013">
        <w:rPr>
          <w:rStyle w:val="longtext"/>
          <w:rFonts w:ascii="Times New Roman" w:hAnsi="Times New Roman" w:cs="Times New Roman"/>
          <w:sz w:val="21"/>
          <w:szCs w:val="21"/>
          <w:shd w:val="clear" w:color="auto" w:fill="FFFFFF"/>
        </w:rPr>
        <w:t>8</w:t>
      </w:r>
      <w:r w:rsidR="00820C54">
        <w:rPr>
          <w:rStyle w:val="longtext"/>
          <w:rFonts w:ascii="Times New Roman" w:hAnsi="Times New Roman" w:cs="Times New Roman"/>
          <w:sz w:val="21"/>
          <w:szCs w:val="21"/>
          <w:shd w:val="clear" w:color="auto" w:fill="FFFFFF"/>
        </w:rPr>
        <w:t>.</w:t>
      </w:r>
      <w:r w:rsidR="00653013">
        <w:rPr>
          <w:rStyle w:val="longtext"/>
          <w:rFonts w:ascii="Times New Roman" w:hAnsi="Times New Roman" w:cs="Times New Roman"/>
          <w:sz w:val="21"/>
          <w:szCs w:val="21"/>
          <w:shd w:val="clear" w:color="auto" w:fill="FFFFFF"/>
        </w:rPr>
        <w:t>9</w:t>
      </w:r>
      <w:r w:rsidR="00820C54">
        <w:rPr>
          <w:rStyle w:val="longtext"/>
          <w:rFonts w:ascii="Times New Roman" w:hAnsi="Times New Roman" w:cs="Times New Roman"/>
          <w:sz w:val="21"/>
          <w:szCs w:val="21"/>
          <w:shd w:val="clear" w:color="auto" w:fill="FFFFFF"/>
        </w:rPr>
        <w:t xml:space="preserve">%. </w:t>
      </w:r>
      <w:r w:rsidR="00DA7111">
        <w:rPr>
          <w:rStyle w:val="longtext"/>
          <w:rFonts w:ascii="Times New Roman" w:hAnsi="Times New Roman" w:cs="Times New Roman"/>
          <w:sz w:val="21"/>
          <w:szCs w:val="21"/>
          <w:shd w:val="clear" w:color="auto" w:fill="FFFFFF"/>
        </w:rPr>
        <w:t>T</w:t>
      </w:r>
      <w:r w:rsidR="00653013">
        <w:rPr>
          <w:rStyle w:val="longtext"/>
          <w:rFonts w:ascii="Times New Roman" w:hAnsi="Times New Roman" w:cs="Times New Roman"/>
          <w:sz w:val="21"/>
          <w:szCs w:val="21"/>
          <w:shd w:val="clear" w:color="auto" w:fill="FFFFFF"/>
        </w:rPr>
        <w:t>he d</w:t>
      </w:r>
      <w:r w:rsidR="00820C54">
        <w:rPr>
          <w:rStyle w:val="longtext"/>
          <w:rFonts w:ascii="Times New Roman" w:hAnsi="Times New Roman" w:cs="Times New Roman"/>
          <w:sz w:val="21"/>
          <w:szCs w:val="21"/>
          <w:shd w:val="clear" w:color="auto" w:fill="FFFFFF"/>
        </w:rPr>
        <w:t>ecrement in dollar prices was</w:t>
      </w:r>
      <w:r w:rsidR="00653013">
        <w:rPr>
          <w:rStyle w:val="longtext"/>
          <w:rFonts w:ascii="Times New Roman" w:hAnsi="Times New Roman" w:cs="Times New Roman"/>
          <w:sz w:val="21"/>
          <w:szCs w:val="21"/>
          <w:shd w:val="clear" w:color="auto" w:fill="FFFFFF"/>
        </w:rPr>
        <w:t xml:space="preserve"> </w:t>
      </w:r>
      <w:r w:rsidR="00B0759A">
        <w:rPr>
          <w:rStyle w:val="longtext"/>
          <w:rFonts w:ascii="Times New Roman" w:hAnsi="Times New Roman" w:cs="Times New Roman"/>
          <w:sz w:val="21"/>
          <w:szCs w:val="21"/>
          <w:shd w:val="clear" w:color="auto" w:fill="FFFFFF"/>
        </w:rPr>
        <w:t xml:space="preserve">mainly </w:t>
      </w:r>
      <w:r w:rsidR="00653013">
        <w:rPr>
          <w:rStyle w:val="longtext"/>
          <w:rFonts w:ascii="Times New Roman" w:hAnsi="Times New Roman" w:cs="Times New Roman"/>
          <w:sz w:val="21"/>
          <w:szCs w:val="21"/>
          <w:shd w:val="clear" w:color="auto" w:fill="FFFFFF"/>
        </w:rPr>
        <w:t xml:space="preserve">attributable to the partner </w:t>
      </w:r>
      <w:r w:rsidR="00653013">
        <w:rPr>
          <w:rStyle w:val="longtext"/>
          <w:rFonts w:ascii="Sylfaen" w:hAnsi="Sylfaen" w:cs="Times New Roman"/>
          <w:sz w:val="21"/>
          <w:szCs w:val="21"/>
          <w:shd w:val="clear" w:color="auto" w:fill="FFFFFF"/>
          <w:lang w:val="hy-AM"/>
        </w:rPr>
        <w:t>countries</w:t>
      </w:r>
      <w:r w:rsidR="00653013" w:rsidRPr="00653013">
        <w:rPr>
          <w:rStyle w:val="longtext"/>
          <w:rFonts w:ascii="Times New Roman" w:hAnsi="Times New Roman" w:cs="Times New Roman"/>
          <w:sz w:val="21"/>
          <w:szCs w:val="21"/>
          <w:shd w:val="clear" w:color="auto" w:fill="FFFFFF"/>
        </w:rPr>
        <w:t>'</w:t>
      </w:r>
      <w:r w:rsidR="00820C54">
        <w:rPr>
          <w:rStyle w:val="longtext"/>
          <w:rFonts w:ascii="Times New Roman" w:hAnsi="Times New Roman" w:cs="Times New Roman"/>
          <w:sz w:val="21"/>
          <w:szCs w:val="21"/>
          <w:shd w:val="clear" w:color="auto" w:fill="FFFFFF"/>
        </w:rPr>
        <w:t xml:space="preserve"> </w:t>
      </w:r>
      <w:r w:rsidR="00653013">
        <w:rPr>
          <w:rStyle w:val="longtext"/>
          <w:rFonts w:ascii="Times New Roman" w:hAnsi="Times New Roman" w:cs="Times New Roman"/>
          <w:sz w:val="21"/>
          <w:szCs w:val="21"/>
          <w:shd w:val="clear" w:color="auto" w:fill="FFFFFF"/>
        </w:rPr>
        <w:t xml:space="preserve">currencies having abruptly depreciated against the U.S. dollar during the 4th quarter. </w:t>
      </w:r>
      <w:r w:rsidR="00DA7111">
        <w:rPr>
          <w:rStyle w:val="longtext"/>
          <w:rFonts w:ascii="Times New Roman" w:hAnsi="Times New Roman" w:cs="Times New Roman"/>
          <w:sz w:val="21"/>
          <w:szCs w:val="21"/>
          <w:shd w:val="clear" w:color="auto" w:fill="FFFFFF"/>
        </w:rPr>
        <w:t>Overall, the y/y decrement in dollar prices was</w:t>
      </w:r>
      <w:r w:rsidR="00653013">
        <w:rPr>
          <w:rStyle w:val="longtext"/>
          <w:rFonts w:ascii="Times New Roman" w:hAnsi="Times New Roman" w:cs="Times New Roman"/>
          <w:sz w:val="21"/>
          <w:szCs w:val="21"/>
          <w:shd w:val="clear" w:color="auto" w:fill="FFFFFF"/>
        </w:rPr>
        <w:t xml:space="preserve"> </w:t>
      </w:r>
      <w:r w:rsidR="005B4A18">
        <w:rPr>
          <w:rStyle w:val="longtext"/>
          <w:rFonts w:ascii="Times New Roman" w:hAnsi="Times New Roman" w:cs="Times New Roman"/>
          <w:sz w:val="21"/>
          <w:szCs w:val="21"/>
          <w:shd w:val="clear" w:color="auto" w:fill="FFFFFF"/>
        </w:rPr>
        <w:t>driven</w:t>
      </w:r>
      <w:r w:rsidR="00820C54">
        <w:rPr>
          <w:rStyle w:val="longtext"/>
          <w:rFonts w:ascii="Times New Roman" w:hAnsi="Times New Roman" w:cs="Times New Roman"/>
          <w:sz w:val="21"/>
          <w:szCs w:val="21"/>
          <w:shd w:val="clear" w:color="auto" w:fill="FFFFFF"/>
        </w:rPr>
        <w:t xml:space="preserve"> by </w:t>
      </w:r>
      <w:r w:rsidR="00DA7111">
        <w:rPr>
          <w:rStyle w:val="longtext"/>
          <w:rFonts w:ascii="Times New Roman" w:hAnsi="Times New Roman" w:cs="Times New Roman"/>
          <w:sz w:val="21"/>
          <w:szCs w:val="21"/>
          <w:shd w:val="clear" w:color="auto" w:fill="FFFFFF"/>
        </w:rPr>
        <w:t>7.0</w:t>
      </w:r>
      <w:r w:rsidR="00820C54">
        <w:rPr>
          <w:rStyle w:val="longtext"/>
          <w:rFonts w:ascii="Times New Roman" w:hAnsi="Times New Roman" w:cs="Times New Roman"/>
          <w:sz w:val="21"/>
          <w:szCs w:val="21"/>
          <w:shd w:val="clear" w:color="auto" w:fill="FFFFFF"/>
        </w:rPr>
        <w:t xml:space="preserve"> pp drop in prices of goods and </w:t>
      </w:r>
      <w:r w:rsidR="00DA7111">
        <w:rPr>
          <w:rStyle w:val="longtext"/>
          <w:rFonts w:ascii="Times New Roman" w:hAnsi="Times New Roman" w:cs="Times New Roman"/>
          <w:sz w:val="21"/>
          <w:szCs w:val="21"/>
          <w:shd w:val="clear" w:color="auto" w:fill="FFFFFF"/>
        </w:rPr>
        <w:t>1</w:t>
      </w:r>
      <w:r w:rsidR="00820C54">
        <w:rPr>
          <w:rStyle w:val="longtext"/>
          <w:rFonts w:ascii="Times New Roman" w:hAnsi="Times New Roman" w:cs="Times New Roman"/>
          <w:sz w:val="21"/>
          <w:szCs w:val="21"/>
          <w:shd w:val="clear" w:color="auto" w:fill="FFFFFF"/>
        </w:rPr>
        <w:t>.</w:t>
      </w:r>
      <w:r w:rsidR="00DA7111">
        <w:rPr>
          <w:rStyle w:val="longtext"/>
          <w:rFonts w:ascii="Times New Roman" w:hAnsi="Times New Roman" w:cs="Times New Roman"/>
          <w:sz w:val="21"/>
          <w:szCs w:val="21"/>
          <w:shd w:val="clear" w:color="auto" w:fill="FFFFFF"/>
        </w:rPr>
        <w:t>9</w:t>
      </w:r>
      <w:r w:rsidR="00820C54">
        <w:rPr>
          <w:rStyle w:val="longtext"/>
          <w:rFonts w:ascii="Times New Roman" w:hAnsi="Times New Roman" w:cs="Times New Roman"/>
          <w:sz w:val="21"/>
          <w:szCs w:val="21"/>
          <w:shd w:val="clear" w:color="auto" w:fill="FFFFFF"/>
        </w:rPr>
        <w:t xml:space="preserve"> pp reduction of service </w:t>
      </w:r>
      <w:r w:rsidR="005B4A18">
        <w:rPr>
          <w:rStyle w:val="longtext"/>
          <w:rFonts w:ascii="Times New Roman" w:hAnsi="Times New Roman" w:cs="Times New Roman"/>
          <w:sz w:val="21"/>
          <w:szCs w:val="21"/>
          <w:shd w:val="clear" w:color="auto" w:fill="FFFFFF"/>
        </w:rPr>
        <w:t>prices</w:t>
      </w:r>
      <w:r w:rsidR="00820C54">
        <w:rPr>
          <w:rStyle w:val="longtext"/>
          <w:rFonts w:ascii="Times New Roman" w:hAnsi="Times New Roman" w:cs="Times New Roman"/>
          <w:sz w:val="21"/>
          <w:szCs w:val="21"/>
          <w:shd w:val="clear" w:color="auto" w:fill="FFFFFF"/>
        </w:rPr>
        <w:t xml:space="preserve"> (in the </w:t>
      </w:r>
      <w:r w:rsidR="00DA7111">
        <w:rPr>
          <w:rStyle w:val="longtext"/>
          <w:rFonts w:ascii="Times New Roman" w:hAnsi="Times New Roman" w:cs="Times New Roman"/>
          <w:sz w:val="21"/>
          <w:szCs w:val="21"/>
          <w:shd w:val="clear" w:color="auto" w:fill="FFFFFF"/>
        </w:rPr>
        <w:t>4th</w:t>
      </w:r>
      <w:r w:rsidR="00820C54">
        <w:rPr>
          <w:rStyle w:val="longtext"/>
          <w:rFonts w:ascii="Times New Roman" w:hAnsi="Times New Roman" w:cs="Times New Roman"/>
          <w:sz w:val="21"/>
          <w:szCs w:val="21"/>
          <w:shd w:val="clear" w:color="auto" w:fill="FFFFFF"/>
        </w:rPr>
        <w:t xml:space="preserve"> quarter, </w:t>
      </w:r>
      <w:r w:rsidR="00820C54" w:rsidRPr="00EC356F">
        <w:rPr>
          <w:rStyle w:val="longtext"/>
          <w:rFonts w:ascii="Times New Roman" w:hAnsi="Times New Roman" w:cs="Times New Roman"/>
          <w:sz w:val="21"/>
          <w:szCs w:val="21"/>
          <w:shd w:val="clear" w:color="auto" w:fill="FFFFFF"/>
        </w:rPr>
        <w:t>the dollar prices of import of services</w:t>
      </w:r>
      <w:r w:rsidR="00820C54">
        <w:rPr>
          <w:rStyle w:val="longtext"/>
          <w:rFonts w:ascii="Times New Roman" w:hAnsi="Times New Roman" w:cs="Times New Roman"/>
          <w:sz w:val="21"/>
          <w:szCs w:val="21"/>
          <w:shd w:val="clear" w:color="auto" w:fill="FFFFFF"/>
        </w:rPr>
        <w:t xml:space="preserve"> and import of goods fell by </w:t>
      </w:r>
      <w:r w:rsidR="00DA7111">
        <w:rPr>
          <w:rStyle w:val="longtext"/>
          <w:rFonts w:ascii="Times New Roman" w:hAnsi="Times New Roman" w:cs="Times New Roman"/>
          <w:sz w:val="21"/>
          <w:szCs w:val="21"/>
          <w:shd w:val="clear" w:color="auto" w:fill="FFFFFF"/>
        </w:rPr>
        <w:t>6</w:t>
      </w:r>
      <w:r w:rsidR="00820C54">
        <w:rPr>
          <w:rStyle w:val="longtext"/>
          <w:rFonts w:ascii="Times New Roman" w:hAnsi="Times New Roman" w:cs="Times New Roman"/>
          <w:sz w:val="21"/>
          <w:szCs w:val="21"/>
          <w:shd w:val="clear" w:color="auto" w:fill="FFFFFF"/>
        </w:rPr>
        <w:t>.</w:t>
      </w:r>
      <w:r w:rsidR="00DA7111">
        <w:rPr>
          <w:rStyle w:val="longtext"/>
          <w:rFonts w:ascii="Times New Roman" w:hAnsi="Times New Roman" w:cs="Times New Roman"/>
          <w:sz w:val="21"/>
          <w:szCs w:val="21"/>
          <w:shd w:val="clear" w:color="auto" w:fill="FFFFFF"/>
        </w:rPr>
        <w:t>0</w:t>
      </w:r>
      <w:r w:rsidR="00820C54">
        <w:rPr>
          <w:rStyle w:val="longtext"/>
          <w:rFonts w:ascii="Times New Roman" w:hAnsi="Times New Roman" w:cs="Times New Roman"/>
          <w:sz w:val="21"/>
          <w:szCs w:val="21"/>
          <w:shd w:val="clear" w:color="auto" w:fill="FFFFFF"/>
        </w:rPr>
        <w:t xml:space="preserve">% q/q and </w:t>
      </w:r>
      <w:r w:rsidR="00DA7111">
        <w:rPr>
          <w:rStyle w:val="longtext"/>
          <w:rFonts w:ascii="Times New Roman" w:hAnsi="Times New Roman" w:cs="Times New Roman"/>
          <w:sz w:val="21"/>
          <w:szCs w:val="21"/>
          <w:shd w:val="clear" w:color="auto" w:fill="FFFFFF"/>
        </w:rPr>
        <w:t>6</w:t>
      </w:r>
      <w:r w:rsidR="00820C54">
        <w:rPr>
          <w:rStyle w:val="longtext"/>
          <w:rFonts w:ascii="Times New Roman" w:hAnsi="Times New Roman" w:cs="Times New Roman"/>
          <w:sz w:val="21"/>
          <w:szCs w:val="21"/>
          <w:shd w:val="clear" w:color="auto" w:fill="FFFFFF"/>
        </w:rPr>
        <w:t>.</w:t>
      </w:r>
      <w:r w:rsidR="00DA7111">
        <w:rPr>
          <w:rStyle w:val="longtext"/>
          <w:rFonts w:ascii="Times New Roman" w:hAnsi="Times New Roman" w:cs="Times New Roman"/>
          <w:sz w:val="21"/>
          <w:szCs w:val="21"/>
          <w:shd w:val="clear" w:color="auto" w:fill="FFFFFF"/>
        </w:rPr>
        <w:t>3</w:t>
      </w:r>
      <w:r w:rsidR="00820C54">
        <w:rPr>
          <w:rStyle w:val="longtext"/>
          <w:rFonts w:ascii="Times New Roman" w:hAnsi="Times New Roman" w:cs="Times New Roman"/>
          <w:sz w:val="21"/>
          <w:szCs w:val="21"/>
          <w:shd w:val="clear" w:color="auto" w:fill="FFFFFF"/>
        </w:rPr>
        <w:t xml:space="preserve">% q/q, respectively). </w:t>
      </w:r>
      <w:r w:rsidRPr="00EC356F">
        <w:rPr>
          <w:rStyle w:val="longtext"/>
          <w:rFonts w:ascii="Times New Roman" w:hAnsi="Times New Roman" w:cs="Times New Roman"/>
          <w:sz w:val="21"/>
          <w:szCs w:val="21"/>
          <w:shd w:val="clear" w:color="auto" w:fill="FFFFFF"/>
        </w:rPr>
        <w:t xml:space="preserve">The </w:t>
      </w:r>
      <w:r w:rsidR="006D6B9D">
        <w:rPr>
          <w:rStyle w:val="longtext"/>
          <w:rFonts w:ascii="Times New Roman" w:hAnsi="Times New Roman" w:cs="Times New Roman"/>
          <w:sz w:val="21"/>
          <w:szCs w:val="21"/>
          <w:shd w:val="clear" w:color="auto" w:fill="FFFFFF"/>
        </w:rPr>
        <w:t>decrease in prices of intermediate goods</w:t>
      </w:r>
      <w:r w:rsidR="00DA7111">
        <w:rPr>
          <w:rStyle w:val="longtext"/>
          <w:rFonts w:ascii="Times New Roman" w:hAnsi="Times New Roman" w:cs="Times New Roman"/>
          <w:sz w:val="21"/>
          <w:szCs w:val="21"/>
          <w:shd w:val="clear" w:color="auto" w:fill="FFFFFF"/>
        </w:rPr>
        <w:t xml:space="preserve"> </w:t>
      </w:r>
      <w:r w:rsidR="006D6B9D">
        <w:rPr>
          <w:rStyle w:val="longtext"/>
          <w:rFonts w:ascii="Times New Roman" w:hAnsi="Times New Roman" w:cs="Times New Roman"/>
          <w:sz w:val="21"/>
          <w:szCs w:val="21"/>
          <w:shd w:val="clear" w:color="auto" w:fill="FFFFFF"/>
        </w:rPr>
        <w:t xml:space="preserve">was the main cause for falling dollar prices of import of goods. </w:t>
      </w:r>
      <w:r w:rsidR="00E156BA" w:rsidRPr="00E156BA">
        <w:rPr>
          <w:rStyle w:val="longtext"/>
          <w:rFonts w:ascii="Times New Roman" w:hAnsi="Times New Roman" w:cs="Times New Roman"/>
          <w:sz w:val="21"/>
          <w:szCs w:val="21"/>
          <w:shd w:val="clear" w:color="auto" w:fill="FFFFFF"/>
        </w:rPr>
        <w:t>Th</w:t>
      </w:r>
      <w:r w:rsidR="00E156BA">
        <w:rPr>
          <w:rStyle w:val="longtext"/>
          <w:rFonts w:ascii="Times New Roman" w:hAnsi="Times New Roman" w:cs="Times New Roman"/>
          <w:sz w:val="21"/>
          <w:szCs w:val="21"/>
          <w:shd w:val="clear" w:color="auto" w:fill="FFFFFF"/>
        </w:rPr>
        <w:t xml:space="preserve">e quarter saw a decline in </w:t>
      </w:r>
      <w:r w:rsidR="00E156BA" w:rsidRPr="00E156BA">
        <w:rPr>
          <w:rStyle w:val="longtext"/>
          <w:rFonts w:ascii="Times New Roman" w:hAnsi="Times New Roman" w:cs="Times New Roman"/>
          <w:sz w:val="21"/>
          <w:szCs w:val="21"/>
          <w:shd w:val="clear" w:color="auto" w:fill="FFFFFF"/>
        </w:rPr>
        <w:t>prices</w:t>
      </w:r>
      <w:r w:rsidR="00E156BA">
        <w:rPr>
          <w:rStyle w:val="longtext"/>
          <w:rFonts w:ascii="Times New Roman" w:hAnsi="Times New Roman" w:cs="Times New Roman"/>
          <w:sz w:val="21"/>
          <w:szCs w:val="21"/>
          <w:shd w:val="clear" w:color="auto" w:fill="FFFFFF"/>
        </w:rPr>
        <w:t xml:space="preserve"> of all items included in th</w:t>
      </w:r>
      <w:r w:rsidR="00E156BA" w:rsidRPr="00E156BA">
        <w:rPr>
          <w:rStyle w:val="longtext"/>
          <w:rFonts w:ascii="Times New Roman" w:hAnsi="Times New Roman" w:cs="Times New Roman"/>
          <w:sz w:val="21"/>
          <w:szCs w:val="21"/>
          <w:shd w:val="clear" w:color="auto" w:fill="FFFFFF"/>
        </w:rPr>
        <w:t>is group.</w:t>
      </w:r>
    </w:p>
    <w:p w14:paraId="0320BC10" w14:textId="77777777" w:rsidR="007D6EB9" w:rsidRDefault="000A0A8A" w:rsidP="00A9653E">
      <w:pPr>
        <w:spacing w:line="360" w:lineRule="auto"/>
        <w:jc w:val="both"/>
        <w:rPr>
          <w:rStyle w:val="longtext"/>
          <w:rFonts w:ascii="Times New Roman" w:hAnsi="Times New Roman" w:cs="Times New Roman"/>
          <w:sz w:val="21"/>
          <w:szCs w:val="21"/>
          <w:shd w:val="clear" w:color="auto" w:fill="FFFFFF"/>
        </w:rPr>
      </w:pPr>
      <w:r>
        <w:rPr>
          <w:rStyle w:val="longtext"/>
          <w:rFonts w:ascii="Times New Roman" w:hAnsi="Times New Roman" w:cs="Times New Roman"/>
          <w:sz w:val="21"/>
          <w:szCs w:val="21"/>
          <w:shd w:val="clear" w:color="auto" w:fill="FFFFFF"/>
        </w:rPr>
        <w:t xml:space="preserve">The falling of dollar prices of consumer goods was fuelled by the y/y decrement in dollar prices in Russia, the European Union and Ukraine </w:t>
      </w:r>
      <w:r w:rsidR="007D6EB9">
        <w:rPr>
          <w:rStyle w:val="longtext"/>
          <w:rFonts w:ascii="Times New Roman" w:hAnsi="Times New Roman" w:cs="Times New Roman"/>
          <w:sz w:val="21"/>
          <w:szCs w:val="21"/>
          <w:shd w:val="clear" w:color="auto" w:fill="FFFFFF"/>
        </w:rPr>
        <w:t>because of exchange rate depreciation there. As a result, consumer goods had 1.8 pp of negative contribution.</w:t>
      </w:r>
    </w:p>
    <w:p w14:paraId="19DB527C" w14:textId="77777777" w:rsidR="005C174F" w:rsidRDefault="007D6EB9" w:rsidP="00A9653E">
      <w:pPr>
        <w:spacing w:line="360" w:lineRule="auto"/>
        <w:jc w:val="both"/>
        <w:rPr>
          <w:rStyle w:val="longtext"/>
          <w:rFonts w:ascii="Times New Roman" w:hAnsi="Times New Roman" w:cs="Times New Roman"/>
          <w:sz w:val="21"/>
          <w:szCs w:val="21"/>
          <w:shd w:val="clear" w:color="auto" w:fill="FFFFFF"/>
        </w:rPr>
      </w:pPr>
      <w:r>
        <w:rPr>
          <w:rStyle w:val="longtext"/>
          <w:rFonts w:ascii="Times New Roman" w:hAnsi="Times New Roman" w:cs="Times New Roman"/>
          <w:sz w:val="21"/>
          <w:szCs w:val="21"/>
          <w:shd w:val="clear" w:color="auto" w:fill="FFFFFF"/>
        </w:rPr>
        <w:t xml:space="preserve">Any deflationary patterns in basic commodity and food product markets in the external sector that could possibly spill over to </w:t>
      </w:r>
      <w:r w:rsidR="005C174F">
        <w:rPr>
          <w:rStyle w:val="longtext"/>
          <w:rFonts w:ascii="Times New Roman" w:hAnsi="Times New Roman" w:cs="Times New Roman"/>
          <w:sz w:val="21"/>
          <w:szCs w:val="21"/>
          <w:shd w:val="clear" w:color="auto" w:fill="FFFFFF"/>
        </w:rPr>
        <w:t xml:space="preserve">the relevant markets in Armenia </w:t>
      </w:r>
      <w:r>
        <w:rPr>
          <w:rStyle w:val="longtext"/>
          <w:rFonts w:ascii="Times New Roman" w:hAnsi="Times New Roman" w:cs="Times New Roman"/>
          <w:sz w:val="21"/>
          <w:szCs w:val="21"/>
          <w:shd w:val="clear" w:color="auto" w:fill="FFFFFF"/>
        </w:rPr>
        <w:t>ha</w:t>
      </w:r>
      <w:r w:rsidR="005C174F">
        <w:rPr>
          <w:rStyle w:val="longtext"/>
          <w:rFonts w:ascii="Times New Roman" w:hAnsi="Times New Roman" w:cs="Times New Roman"/>
          <w:sz w:val="21"/>
          <w:szCs w:val="21"/>
          <w:shd w:val="clear" w:color="auto" w:fill="FFFFFF"/>
        </w:rPr>
        <w:t>ve</w:t>
      </w:r>
      <w:r>
        <w:rPr>
          <w:rStyle w:val="longtext"/>
          <w:rFonts w:ascii="Times New Roman" w:hAnsi="Times New Roman" w:cs="Times New Roman"/>
          <w:sz w:val="21"/>
          <w:szCs w:val="21"/>
          <w:shd w:val="clear" w:color="auto" w:fill="FFFFFF"/>
        </w:rPr>
        <w:t xml:space="preserve"> not been discernable so far. </w:t>
      </w:r>
    </w:p>
    <w:p w14:paraId="0DF81A05"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Producer prices</w:t>
      </w:r>
      <w:r w:rsidRPr="00EC356F">
        <w:rPr>
          <w:rStyle w:val="FootnoteReference"/>
          <w:rFonts w:ascii="Times New Roman" w:hAnsi="Times New Roman" w:cs="Times New Roman"/>
          <w:sz w:val="21"/>
          <w:szCs w:val="21"/>
        </w:rPr>
        <w:footnoteReference w:customMarkFollows="1" w:id="12"/>
        <w:t>12</w:t>
      </w:r>
      <w:r w:rsidRPr="00EC356F">
        <w:rPr>
          <w:rFonts w:ascii="Times New Roman" w:hAnsi="Times New Roman" w:cs="Times New Roman"/>
          <w:sz w:val="21"/>
          <w:szCs w:val="21"/>
        </w:rPr>
        <w:t xml:space="preserve">: in the </w:t>
      </w:r>
      <w:r w:rsidR="00610B22">
        <w:rPr>
          <w:rFonts w:ascii="Times New Roman" w:hAnsi="Times New Roman" w:cs="Times New Roman"/>
          <w:sz w:val="21"/>
          <w:szCs w:val="21"/>
        </w:rPr>
        <w:t>4th</w:t>
      </w:r>
      <w:r w:rsidRPr="00EC356F">
        <w:rPr>
          <w:rFonts w:ascii="Times New Roman" w:hAnsi="Times New Roman" w:cs="Times New Roman"/>
          <w:sz w:val="21"/>
          <w:szCs w:val="21"/>
        </w:rPr>
        <w:t xml:space="preserve"> quarter of 2014, all sectors of the economy posted increased price indices, </w:t>
      </w:r>
      <w:r w:rsidR="001A046A">
        <w:rPr>
          <w:rFonts w:ascii="Times New Roman" w:hAnsi="Times New Roman" w:cs="Times New Roman"/>
          <w:sz w:val="21"/>
          <w:szCs w:val="21"/>
        </w:rPr>
        <w:t>with</w:t>
      </w:r>
      <w:r w:rsidRPr="00EC356F">
        <w:rPr>
          <w:rFonts w:ascii="Times New Roman" w:hAnsi="Times New Roman" w:cs="Times New Roman"/>
          <w:sz w:val="21"/>
          <w:szCs w:val="21"/>
        </w:rPr>
        <w:t xml:space="preserve"> the GDP deflator </w:t>
      </w:r>
      <w:r w:rsidR="009935AF">
        <w:rPr>
          <w:rFonts w:ascii="Times New Roman" w:hAnsi="Times New Roman" w:cs="Times New Roman"/>
          <w:sz w:val="21"/>
          <w:szCs w:val="21"/>
        </w:rPr>
        <w:t xml:space="preserve">having reached y/y 103.5 </w:t>
      </w:r>
      <w:r w:rsidRPr="00EC356F">
        <w:rPr>
          <w:rFonts w:ascii="Times New Roman" w:hAnsi="Times New Roman" w:cs="Times New Roman"/>
          <w:sz w:val="21"/>
          <w:szCs w:val="21"/>
        </w:rPr>
        <w:t>in the period January-</w:t>
      </w:r>
      <w:r w:rsidR="009935AF">
        <w:rPr>
          <w:rFonts w:ascii="Times New Roman" w:hAnsi="Times New Roman" w:cs="Times New Roman"/>
          <w:sz w:val="21"/>
          <w:szCs w:val="21"/>
        </w:rPr>
        <w:t>Dec</w:t>
      </w:r>
      <w:r w:rsidR="001A046A">
        <w:rPr>
          <w:rFonts w:ascii="Times New Roman" w:hAnsi="Times New Roman" w:cs="Times New Roman"/>
          <w:sz w:val="21"/>
          <w:szCs w:val="21"/>
        </w:rPr>
        <w:t>ember</w:t>
      </w:r>
      <w:r w:rsidR="009935AF">
        <w:rPr>
          <w:rFonts w:ascii="Times New Roman" w:hAnsi="Times New Roman" w:cs="Times New Roman"/>
          <w:sz w:val="21"/>
          <w:szCs w:val="21"/>
        </w:rPr>
        <w:t>, according to the Central Bank estimates</w:t>
      </w:r>
      <w:r w:rsidRPr="00EC356F">
        <w:rPr>
          <w:rFonts w:ascii="Times New Roman" w:hAnsi="Times New Roman" w:cs="Times New Roman"/>
          <w:sz w:val="21"/>
          <w:szCs w:val="21"/>
        </w:rPr>
        <w:t xml:space="preserve">. </w:t>
      </w:r>
    </w:p>
    <w:p w14:paraId="020AFA6D"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Industry </w:t>
      </w:r>
      <w:r w:rsidRPr="00EC356F">
        <w:rPr>
          <w:rFonts w:ascii="Times New Roman" w:hAnsi="Times New Roman" w:cs="Times New Roman"/>
          <w:sz w:val="21"/>
          <w:szCs w:val="21"/>
        </w:rPr>
        <w:t xml:space="preserve">posted quarterly </w:t>
      </w:r>
      <w:r w:rsidR="006F5797">
        <w:rPr>
          <w:rFonts w:ascii="Times New Roman" w:hAnsi="Times New Roman" w:cs="Times New Roman"/>
          <w:sz w:val="21"/>
          <w:szCs w:val="21"/>
        </w:rPr>
        <w:t>price</w:t>
      </w:r>
      <w:r w:rsidR="0004605B">
        <w:rPr>
          <w:rFonts w:ascii="Times New Roman" w:hAnsi="Times New Roman" w:cs="Times New Roman"/>
          <w:sz w:val="21"/>
          <w:szCs w:val="21"/>
        </w:rPr>
        <w:t xml:space="preserve"> increases</w:t>
      </w:r>
      <w:r w:rsidR="006F5797">
        <w:rPr>
          <w:rFonts w:ascii="Times New Roman" w:hAnsi="Times New Roman" w:cs="Times New Roman"/>
          <w:sz w:val="21"/>
          <w:szCs w:val="21"/>
        </w:rPr>
        <w:t xml:space="preserve"> </w:t>
      </w:r>
      <w:r w:rsidRPr="00EC356F">
        <w:rPr>
          <w:rFonts w:ascii="Times New Roman" w:hAnsi="Times New Roman" w:cs="Times New Roman"/>
          <w:sz w:val="21"/>
          <w:szCs w:val="21"/>
        </w:rPr>
        <w:t xml:space="preserve">of </w:t>
      </w:r>
      <w:r w:rsidR="0004605B">
        <w:rPr>
          <w:rFonts w:ascii="Times New Roman" w:hAnsi="Times New Roman" w:cs="Times New Roman"/>
          <w:sz w:val="21"/>
          <w:szCs w:val="21"/>
        </w:rPr>
        <w:t>6</w:t>
      </w:r>
      <w:r w:rsidRPr="00EC356F">
        <w:rPr>
          <w:rFonts w:ascii="Times New Roman" w:hAnsi="Times New Roman" w:cs="Times New Roman"/>
          <w:sz w:val="21"/>
          <w:szCs w:val="21"/>
        </w:rPr>
        <w:t>% y/y, with the January-</w:t>
      </w:r>
      <w:r w:rsidR="0004605B">
        <w:rPr>
          <w:rFonts w:ascii="Times New Roman" w:hAnsi="Times New Roman" w:cs="Times New Roman"/>
          <w:sz w:val="21"/>
          <w:szCs w:val="21"/>
        </w:rPr>
        <w:t>December rise</w:t>
      </w:r>
      <w:r w:rsidRPr="00EC356F">
        <w:rPr>
          <w:rFonts w:ascii="Times New Roman" w:hAnsi="Times New Roman" w:cs="Times New Roman"/>
          <w:sz w:val="21"/>
          <w:szCs w:val="21"/>
        </w:rPr>
        <w:t xml:space="preserve"> having amounted to </w:t>
      </w:r>
      <w:r w:rsidR="0004605B">
        <w:rPr>
          <w:rFonts w:ascii="Times New Roman" w:hAnsi="Times New Roman" w:cs="Times New Roman"/>
          <w:sz w:val="21"/>
          <w:szCs w:val="21"/>
        </w:rPr>
        <w:t>8</w:t>
      </w:r>
      <w:r w:rsidRPr="00EC356F">
        <w:rPr>
          <w:rFonts w:ascii="Times New Roman" w:hAnsi="Times New Roman" w:cs="Times New Roman"/>
          <w:sz w:val="21"/>
          <w:szCs w:val="21"/>
        </w:rPr>
        <w:t>.</w:t>
      </w:r>
      <w:r w:rsidR="0004605B">
        <w:rPr>
          <w:rFonts w:ascii="Times New Roman" w:hAnsi="Times New Roman" w:cs="Times New Roman"/>
          <w:sz w:val="21"/>
          <w:szCs w:val="21"/>
        </w:rPr>
        <w:t>5</w:t>
      </w:r>
      <w:r w:rsidRPr="00EC356F">
        <w:rPr>
          <w:rFonts w:ascii="Times New Roman" w:hAnsi="Times New Roman" w:cs="Times New Roman"/>
          <w:sz w:val="21"/>
          <w:szCs w:val="21"/>
        </w:rPr>
        <w:t xml:space="preserve">% y/y, owing to growths in </w:t>
      </w:r>
      <w:r w:rsidRPr="00154D71">
        <w:rPr>
          <w:rFonts w:ascii="Times New Roman" w:hAnsi="Times New Roman" w:cs="Times New Roman"/>
          <w:sz w:val="21"/>
          <w:szCs w:val="21"/>
        </w:rPr>
        <w:t>ore mining (</w:t>
      </w:r>
      <w:r w:rsidR="006F5797" w:rsidRPr="00154D71">
        <w:rPr>
          <w:rFonts w:ascii="Times New Roman" w:hAnsi="Times New Roman" w:cs="Times New Roman"/>
          <w:sz w:val="21"/>
          <w:szCs w:val="21"/>
        </w:rPr>
        <w:t>6</w:t>
      </w:r>
      <w:r w:rsidRPr="00154D71">
        <w:rPr>
          <w:rFonts w:ascii="Times New Roman" w:hAnsi="Times New Roman" w:cs="Times New Roman"/>
          <w:sz w:val="21"/>
          <w:szCs w:val="21"/>
        </w:rPr>
        <w:t>.</w:t>
      </w:r>
      <w:r w:rsidR="0004605B" w:rsidRPr="00154D71">
        <w:rPr>
          <w:rFonts w:ascii="Times New Roman" w:hAnsi="Times New Roman" w:cs="Times New Roman"/>
          <w:sz w:val="21"/>
          <w:szCs w:val="21"/>
        </w:rPr>
        <w:t>6</w:t>
      </w:r>
      <w:r w:rsidRPr="00154D71">
        <w:rPr>
          <w:rFonts w:ascii="Times New Roman" w:hAnsi="Times New Roman" w:cs="Times New Roman"/>
          <w:sz w:val="21"/>
          <w:szCs w:val="21"/>
        </w:rPr>
        <w:t>%), processing industry (</w:t>
      </w:r>
      <w:r w:rsidR="006F5797" w:rsidRPr="00154D71">
        <w:rPr>
          <w:rFonts w:ascii="Times New Roman" w:hAnsi="Times New Roman" w:cs="Times New Roman"/>
          <w:sz w:val="21"/>
          <w:szCs w:val="21"/>
        </w:rPr>
        <w:t>2</w:t>
      </w:r>
      <w:r w:rsidRPr="00154D71">
        <w:rPr>
          <w:rFonts w:ascii="Times New Roman" w:hAnsi="Times New Roman" w:cs="Times New Roman"/>
          <w:sz w:val="21"/>
          <w:szCs w:val="21"/>
        </w:rPr>
        <w:t>.</w:t>
      </w:r>
      <w:r w:rsidR="0004605B" w:rsidRPr="00154D71">
        <w:rPr>
          <w:rFonts w:ascii="Times New Roman" w:hAnsi="Times New Roman" w:cs="Times New Roman"/>
          <w:sz w:val="21"/>
          <w:szCs w:val="21"/>
        </w:rPr>
        <w:t>9</w:t>
      </w:r>
      <w:r w:rsidRPr="00154D71">
        <w:rPr>
          <w:rFonts w:ascii="Times New Roman" w:hAnsi="Times New Roman" w:cs="Times New Roman"/>
          <w:sz w:val="21"/>
          <w:szCs w:val="21"/>
        </w:rPr>
        <w:t>%) and energy and gas production and distribution (</w:t>
      </w:r>
      <w:r w:rsidR="006F5797" w:rsidRPr="00154D71">
        <w:rPr>
          <w:rFonts w:ascii="Times New Roman" w:hAnsi="Times New Roman" w:cs="Times New Roman"/>
          <w:sz w:val="21"/>
          <w:szCs w:val="21"/>
        </w:rPr>
        <w:t>3</w:t>
      </w:r>
      <w:r w:rsidR="0004605B" w:rsidRPr="00154D71">
        <w:rPr>
          <w:rFonts w:ascii="Times New Roman" w:hAnsi="Times New Roman" w:cs="Times New Roman"/>
          <w:sz w:val="21"/>
          <w:szCs w:val="21"/>
        </w:rPr>
        <w:t>0</w:t>
      </w:r>
      <w:r w:rsidRPr="00154D71">
        <w:rPr>
          <w:rFonts w:ascii="Times New Roman" w:hAnsi="Times New Roman" w:cs="Times New Roman"/>
          <w:sz w:val="21"/>
          <w:szCs w:val="21"/>
        </w:rPr>
        <w:t>.</w:t>
      </w:r>
      <w:r w:rsidR="0004605B" w:rsidRPr="00154D71">
        <w:rPr>
          <w:rFonts w:ascii="Times New Roman" w:hAnsi="Times New Roman" w:cs="Times New Roman"/>
          <w:sz w:val="21"/>
          <w:szCs w:val="21"/>
        </w:rPr>
        <w:t>4</w:t>
      </w:r>
      <w:r w:rsidRPr="00154D71">
        <w:rPr>
          <w:rFonts w:ascii="Times New Roman" w:hAnsi="Times New Roman" w:cs="Times New Roman"/>
          <w:sz w:val="21"/>
          <w:szCs w:val="21"/>
        </w:rPr>
        <w:t>%).</w:t>
      </w:r>
      <w:r w:rsidRPr="00EC356F">
        <w:rPr>
          <w:rFonts w:ascii="Times New Roman" w:hAnsi="Times New Roman" w:cs="Times New Roman"/>
          <w:sz w:val="21"/>
          <w:szCs w:val="21"/>
        </w:rPr>
        <w:t xml:space="preserve"> Note that the latter is a result of e</w:t>
      </w:r>
      <w:r w:rsidR="008D0B35">
        <w:rPr>
          <w:rFonts w:ascii="Times New Roman" w:hAnsi="Times New Roman" w:cs="Times New Roman"/>
          <w:sz w:val="21"/>
          <w:szCs w:val="21"/>
        </w:rPr>
        <w:t>lectricity</w:t>
      </w:r>
      <w:r w:rsidRPr="00EC356F">
        <w:rPr>
          <w:rFonts w:ascii="Times New Roman" w:hAnsi="Times New Roman" w:cs="Times New Roman"/>
          <w:sz w:val="21"/>
          <w:szCs w:val="21"/>
        </w:rPr>
        <w:t xml:space="preserve"> price increase since </w:t>
      </w:r>
      <w:r w:rsidR="006F5797">
        <w:rPr>
          <w:rFonts w:ascii="Times New Roman" w:hAnsi="Times New Roman" w:cs="Times New Roman"/>
          <w:sz w:val="21"/>
          <w:szCs w:val="21"/>
        </w:rPr>
        <w:t>August</w:t>
      </w:r>
      <w:r w:rsidRPr="00EC356F">
        <w:rPr>
          <w:rFonts w:ascii="Times New Roman" w:hAnsi="Times New Roman" w:cs="Times New Roman"/>
          <w:sz w:val="21"/>
          <w:szCs w:val="21"/>
        </w:rPr>
        <w:t xml:space="preserve"> 1, 201</w:t>
      </w:r>
      <w:r w:rsidR="006F5797">
        <w:rPr>
          <w:rFonts w:ascii="Times New Roman" w:hAnsi="Times New Roman" w:cs="Times New Roman"/>
          <w:sz w:val="21"/>
          <w:szCs w:val="21"/>
        </w:rPr>
        <w:t>4</w:t>
      </w:r>
      <w:r w:rsidRPr="00EC356F">
        <w:rPr>
          <w:rFonts w:ascii="Times New Roman" w:hAnsi="Times New Roman" w:cs="Times New Roman"/>
          <w:sz w:val="21"/>
          <w:szCs w:val="21"/>
        </w:rPr>
        <w:t xml:space="preserve">.        </w:t>
      </w:r>
    </w:p>
    <w:p w14:paraId="7A35DB72" w14:textId="77777777" w:rsidR="00A9653E" w:rsidRPr="00154D71"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Agriculture</w:t>
      </w:r>
      <w:r w:rsidRPr="00EC356F">
        <w:rPr>
          <w:rFonts w:ascii="Times New Roman" w:hAnsi="Times New Roman" w:cs="Times New Roman"/>
          <w:sz w:val="21"/>
          <w:szCs w:val="21"/>
        </w:rPr>
        <w:t xml:space="preserve"> </w:t>
      </w:r>
      <w:r w:rsidRPr="00154D71">
        <w:rPr>
          <w:rFonts w:ascii="Times New Roman" w:hAnsi="Times New Roman" w:cs="Times New Roman"/>
          <w:sz w:val="21"/>
          <w:szCs w:val="21"/>
        </w:rPr>
        <w:t xml:space="preserve">reported </w:t>
      </w:r>
      <w:r w:rsidR="00ED5613" w:rsidRPr="00154D71">
        <w:rPr>
          <w:rFonts w:ascii="Times New Roman" w:hAnsi="Times New Roman" w:cs="Times New Roman"/>
          <w:sz w:val="21"/>
          <w:szCs w:val="21"/>
        </w:rPr>
        <w:t>a 4</w:t>
      </w:r>
      <w:r w:rsidRPr="00154D71">
        <w:rPr>
          <w:rFonts w:ascii="Times New Roman" w:hAnsi="Times New Roman" w:cs="Times New Roman"/>
          <w:sz w:val="21"/>
          <w:szCs w:val="21"/>
        </w:rPr>
        <w:t xml:space="preserve">% y/y </w:t>
      </w:r>
      <w:r w:rsidR="00ED5613" w:rsidRPr="00154D71">
        <w:rPr>
          <w:rFonts w:ascii="Times New Roman" w:hAnsi="Times New Roman" w:cs="Times New Roman"/>
          <w:sz w:val="21"/>
          <w:szCs w:val="21"/>
        </w:rPr>
        <w:t>in</w:t>
      </w:r>
      <w:r w:rsidRPr="00154D71">
        <w:rPr>
          <w:rFonts w:ascii="Times New Roman" w:hAnsi="Times New Roman" w:cs="Times New Roman"/>
          <w:sz w:val="21"/>
          <w:szCs w:val="21"/>
        </w:rPr>
        <w:t>crease in prices</w:t>
      </w:r>
      <w:r w:rsidRPr="00154D71">
        <w:rPr>
          <w:rStyle w:val="FootnoteReference"/>
          <w:rFonts w:ascii="Times New Roman" w:hAnsi="Times New Roman" w:cs="Times New Roman"/>
          <w:sz w:val="21"/>
          <w:szCs w:val="21"/>
        </w:rPr>
        <w:footnoteReference w:customMarkFollows="1" w:id="13"/>
        <w:t>13</w:t>
      </w:r>
      <w:r w:rsidRPr="00154D71">
        <w:rPr>
          <w:rFonts w:ascii="Times New Roman" w:hAnsi="Times New Roman" w:cs="Times New Roman"/>
          <w:sz w:val="21"/>
          <w:szCs w:val="21"/>
        </w:rPr>
        <w:t xml:space="preserve"> during the </w:t>
      </w:r>
      <w:r w:rsidR="00ED5613" w:rsidRPr="00154D71">
        <w:rPr>
          <w:rFonts w:ascii="Times New Roman" w:hAnsi="Times New Roman" w:cs="Times New Roman"/>
          <w:sz w:val="21"/>
          <w:szCs w:val="21"/>
        </w:rPr>
        <w:t>4th</w:t>
      </w:r>
      <w:r w:rsidRPr="00154D71">
        <w:rPr>
          <w:rFonts w:ascii="Times New Roman" w:hAnsi="Times New Roman" w:cs="Times New Roman"/>
          <w:sz w:val="21"/>
          <w:szCs w:val="21"/>
        </w:rPr>
        <w:t xml:space="preserve"> quarter, with the January-</w:t>
      </w:r>
      <w:r w:rsidR="00ED5613" w:rsidRPr="00154D71">
        <w:rPr>
          <w:rFonts w:ascii="Times New Roman" w:hAnsi="Times New Roman" w:cs="Times New Roman"/>
          <w:sz w:val="21"/>
          <w:szCs w:val="21"/>
        </w:rPr>
        <w:t>Dec</w:t>
      </w:r>
      <w:r w:rsidR="00DA230B" w:rsidRPr="00154D71">
        <w:rPr>
          <w:rFonts w:ascii="Times New Roman" w:hAnsi="Times New Roman" w:cs="Times New Roman"/>
          <w:sz w:val="21"/>
          <w:szCs w:val="21"/>
        </w:rPr>
        <w:t>ember</w:t>
      </w:r>
      <w:r w:rsidR="00ED5613" w:rsidRPr="00154D71">
        <w:rPr>
          <w:rFonts w:ascii="Times New Roman" w:hAnsi="Times New Roman" w:cs="Times New Roman"/>
          <w:sz w:val="21"/>
          <w:szCs w:val="21"/>
        </w:rPr>
        <w:t xml:space="preserve"> </w:t>
      </w:r>
      <w:r w:rsidR="00DA230B" w:rsidRPr="00154D71">
        <w:rPr>
          <w:rFonts w:ascii="Times New Roman" w:hAnsi="Times New Roman" w:cs="Times New Roman"/>
          <w:sz w:val="21"/>
          <w:szCs w:val="21"/>
        </w:rPr>
        <w:t xml:space="preserve">price </w:t>
      </w:r>
      <w:r w:rsidR="00ED5613" w:rsidRPr="00154D71">
        <w:rPr>
          <w:rFonts w:ascii="Times New Roman" w:hAnsi="Times New Roman" w:cs="Times New Roman"/>
          <w:sz w:val="21"/>
          <w:szCs w:val="21"/>
        </w:rPr>
        <w:t>inflation</w:t>
      </w:r>
      <w:r w:rsidR="00DA230B" w:rsidRPr="00154D71">
        <w:rPr>
          <w:rFonts w:ascii="Times New Roman" w:hAnsi="Times New Roman" w:cs="Times New Roman"/>
          <w:sz w:val="21"/>
          <w:szCs w:val="21"/>
        </w:rPr>
        <w:t xml:space="preserve"> </w:t>
      </w:r>
      <w:r w:rsidRPr="00154D71">
        <w:rPr>
          <w:rFonts w:ascii="Times New Roman" w:hAnsi="Times New Roman" w:cs="Times New Roman"/>
          <w:sz w:val="21"/>
          <w:szCs w:val="21"/>
        </w:rPr>
        <w:t xml:space="preserve">of </w:t>
      </w:r>
      <w:r w:rsidR="00DA230B" w:rsidRPr="00154D71">
        <w:rPr>
          <w:rFonts w:ascii="Times New Roman" w:hAnsi="Times New Roman" w:cs="Times New Roman"/>
          <w:sz w:val="21"/>
          <w:szCs w:val="21"/>
        </w:rPr>
        <w:t>0</w:t>
      </w:r>
      <w:r w:rsidRPr="00154D71">
        <w:rPr>
          <w:rFonts w:ascii="Times New Roman" w:hAnsi="Times New Roman" w:cs="Times New Roman"/>
          <w:sz w:val="21"/>
          <w:szCs w:val="21"/>
        </w:rPr>
        <w:t>.</w:t>
      </w:r>
      <w:r w:rsidR="00ED5613" w:rsidRPr="00154D71">
        <w:rPr>
          <w:rFonts w:ascii="Times New Roman" w:hAnsi="Times New Roman" w:cs="Times New Roman"/>
          <w:sz w:val="21"/>
          <w:szCs w:val="21"/>
        </w:rPr>
        <w:t>8</w:t>
      </w:r>
      <w:r w:rsidRPr="00154D71">
        <w:rPr>
          <w:rFonts w:ascii="Times New Roman" w:hAnsi="Times New Roman" w:cs="Times New Roman"/>
          <w:sz w:val="21"/>
          <w:szCs w:val="21"/>
        </w:rPr>
        <w:t xml:space="preserve">%, </w:t>
      </w:r>
      <w:r w:rsidR="00ED5613" w:rsidRPr="00154D71">
        <w:rPr>
          <w:rFonts w:ascii="Times New Roman" w:hAnsi="Times New Roman" w:cs="Times New Roman"/>
          <w:sz w:val="21"/>
          <w:szCs w:val="21"/>
        </w:rPr>
        <w:t xml:space="preserve">fuelled by </w:t>
      </w:r>
      <w:r w:rsidR="00DA230B" w:rsidRPr="00154D71">
        <w:rPr>
          <w:rFonts w:ascii="Times New Roman" w:hAnsi="Times New Roman" w:cs="Times New Roman"/>
          <w:sz w:val="21"/>
          <w:szCs w:val="21"/>
        </w:rPr>
        <w:t>3.</w:t>
      </w:r>
      <w:r w:rsidR="00ED5613" w:rsidRPr="00154D71">
        <w:rPr>
          <w:rFonts w:ascii="Times New Roman" w:hAnsi="Times New Roman" w:cs="Times New Roman"/>
          <w:sz w:val="21"/>
          <w:szCs w:val="21"/>
        </w:rPr>
        <w:t>6</w:t>
      </w:r>
      <w:r w:rsidR="00DA230B" w:rsidRPr="00154D71">
        <w:rPr>
          <w:rFonts w:ascii="Times New Roman" w:hAnsi="Times New Roman" w:cs="Times New Roman"/>
          <w:sz w:val="21"/>
          <w:szCs w:val="21"/>
        </w:rPr>
        <w:t xml:space="preserve">% y/y price increases in </w:t>
      </w:r>
      <w:r w:rsidRPr="00154D71">
        <w:rPr>
          <w:rFonts w:ascii="Times New Roman" w:hAnsi="Times New Roman" w:cs="Times New Roman"/>
          <w:sz w:val="21"/>
          <w:szCs w:val="21"/>
        </w:rPr>
        <w:t>animal breeding</w:t>
      </w:r>
      <w:r w:rsidR="00DA230B" w:rsidRPr="00154D71">
        <w:rPr>
          <w:rFonts w:ascii="Times New Roman" w:hAnsi="Times New Roman" w:cs="Times New Roman"/>
          <w:sz w:val="21"/>
          <w:szCs w:val="21"/>
        </w:rPr>
        <w:t>.</w:t>
      </w:r>
      <w:r w:rsidRPr="00154D71">
        <w:rPr>
          <w:rFonts w:ascii="Times New Roman" w:hAnsi="Times New Roman" w:cs="Times New Roman"/>
          <w:sz w:val="21"/>
          <w:szCs w:val="21"/>
        </w:rPr>
        <w:t xml:space="preserve"> The </w:t>
      </w:r>
      <w:r w:rsidR="00BB71C6" w:rsidRPr="00154D71">
        <w:rPr>
          <w:rFonts w:ascii="Times New Roman" w:hAnsi="Times New Roman" w:cs="Times New Roman"/>
          <w:sz w:val="21"/>
          <w:szCs w:val="21"/>
        </w:rPr>
        <w:t xml:space="preserve">4.1% </w:t>
      </w:r>
      <w:r w:rsidR="00131467" w:rsidRPr="00154D71">
        <w:rPr>
          <w:rFonts w:ascii="Times New Roman" w:hAnsi="Times New Roman" w:cs="Times New Roman"/>
          <w:sz w:val="21"/>
          <w:szCs w:val="21"/>
        </w:rPr>
        <w:t>drop</w:t>
      </w:r>
      <w:r w:rsidR="00BB71C6" w:rsidRPr="00154D71">
        <w:rPr>
          <w:rFonts w:ascii="Times New Roman" w:hAnsi="Times New Roman" w:cs="Times New Roman"/>
          <w:sz w:val="21"/>
          <w:szCs w:val="21"/>
        </w:rPr>
        <w:t xml:space="preserve"> of prices </w:t>
      </w:r>
      <w:r w:rsidRPr="00154D71">
        <w:rPr>
          <w:rFonts w:ascii="Times New Roman" w:hAnsi="Times New Roman" w:cs="Times New Roman"/>
          <w:sz w:val="21"/>
          <w:szCs w:val="21"/>
        </w:rPr>
        <w:t xml:space="preserve">in plant growing </w:t>
      </w:r>
      <w:r w:rsidR="00BB71C6" w:rsidRPr="00154D71">
        <w:rPr>
          <w:rFonts w:ascii="Times New Roman" w:hAnsi="Times New Roman" w:cs="Times New Roman"/>
          <w:sz w:val="21"/>
          <w:szCs w:val="21"/>
        </w:rPr>
        <w:t>wa</w:t>
      </w:r>
      <w:r w:rsidRPr="00154D71">
        <w:rPr>
          <w:rFonts w:ascii="Times New Roman" w:hAnsi="Times New Roman" w:cs="Times New Roman"/>
          <w:sz w:val="21"/>
          <w:szCs w:val="21"/>
        </w:rPr>
        <w:t xml:space="preserve">s due to </w:t>
      </w:r>
      <w:r w:rsidR="00131467" w:rsidRPr="00154D71">
        <w:rPr>
          <w:rFonts w:ascii="Times New Roman" w:hAnsi="Times New Roman" w:cs="Times New Roman"/>
          <w:sz w:val="21"/>
          <w:szCs w:val="21"/>
        </w:rPr>
        <w:t>dec</w:t>
      </w:r>
      <w:r w:rsidRPr="00154D71">
        <w:rPr>
          <w:rFonts w:ascii="Times New Roman" w:hAnsi="Times New Roman" w:cs="Times New Roman"/>
          <w:sz w:val="21"/>
          <w:szCs w:val="21"/>
        </w:rPr>
        <w:t xml:space="preserve">reased prices in </w:t>
      </w:r>
      <w:r w:rsidR="00131467" w:rsidRPr="00154D71">
        <w:rPr>
          <w:rFonts w:ascii="Times New Roman" w:hAnsi="Times New Roman" w:cs="Times New Roman"/>
          <w:sz w:val="21"/>
          <w:szCs w:val="21"/>
        </w:rPr>
        <w:t>groups</w:t>
      </w:r>
      <w:r w:rsidRPr="00154D71">
        <w:rPr>
          <w:rFonts w:ascii="Times New Roman" w:hAnsi="Times New Roman" w:cs="Times New Roman"/>
          <w:sz w:val="21"/>
          <w:szCs w:val="21"/>
        </w:rPr>
        <w:t xml:space="preserve"> </w:t>
      </w:r>
      <w:r w:rsidR="00154D71" w:rsidRPr="00863CD6">
        <w:rPr>
          <w:rFonts w:ascii="Times New Roman" w:hAnsi="Times New Roman" w:cs="Times New Roman"/>
          <w:sz w:val="21"/>
          <w:szCs w:val="21"/>
        </w:rPr>
        <w:t>''</w:t>
      </w:r>
      <w:r w:rsidRPr="00154D71">
        <w:rPr>
          <w:rFonts w:ascii="Times New Roman" w:hAnsi="Times New Roman" w:cs="Times New Roman"/>
          <w:sz w:val="21"/>
          <w:szCs w:val="21"/>
        </w:rPr>
        <w:t>potato and vegetables</w:t>
      </w:r>
      <w:r w:rsidR="00154D71" w:rsidRPr="00863CD6">
        <w:rPr>
          <w:rFonts w:ascii="Times New Roman" w:hAnsi="Times New Roman" w:cs="Times New Roman"/>
          <w:sz w:val="21"/>
          <w:szCs w:val="21"/>
        </w:rPr>
        <w:t>''</w:t>
      </w:r>
      <w:r w:rsidRPr="00154D71">
        <w:rPr>
          <w:rFonts w:ascii="Times New Roman" w:hAnsi="Times New Roman" w:cs="Times New Roman"/>
          <w:sz w:val="21"/>
          <w:szCs w:val="21"/>
        </w:rPr>
        <w:t xml:space="preserve"> (</w:t>
      </w:r>
      <w:r w:rsidR="00BB71C6" w:rsidRPr="00154D71">
        <w:rPr>
          <w:rFonts w:ascii="Times New Roman" w:hAnsi="Times New Roman" w:cs="Times New Roman"/>
          <w:sz w:val="21"/>
          <w:szCs w:val="21"/>
        </w:rPr>
        <w:t>4</w:t>
      </w:r>
      <w:r w:rsidRPr="00154D71">
        <w:rPr>
          <w:rFonts w:ascii="Times New Roman" w:hAnsi="Times New Roman" w:cs="Times New Roman"/>
          <w:sz w:val="21"/>
          <w:szCs w:val="21"/>
        </w:rPr>
        <w:t>.</w:t>
      </w:r>
      <w:r w:rsidR="00BB71C6" w:rsidRPr="00154D71">
        <w:rPr>
          <w:rFonts w:ascii="Times New Roman" w:hAnsi="Times New Roman" w:cs="Times New Roman"/>
          <w:sz w:val="21"/>
          <w:szCs w:val="21"/>
        </w:rPr>
        <w:t>3</w:t>
      </w:r>
      <w:r w:rsidRPr="00154D71">
        <w:rPr>
          <w:rFonts w:ascii="Times New Roman" w:hAnsi="Times New Roman" w:cs="Times New Roman"/>
          <w:sz w:val="21"/>
          <w:szCs w:val="21"/>
        </w:rPr>
        <w:t xml:space="preserve">%), </w:t>
      </w:r>
      <w:r w:rsidR="00154D71" w:rsidRPr="00863CD6">
        <w:rPr>
          <w:rFonts w:ascii="Times New Roman" w:hAnsi="Times New Roman" w:cs="Times New Roman"/>
          <w:sz w:val="21"/>
          <w:szCs w:val="21"/>
        </w:rPr>
        <w:t>''</w:t>
      </w:r>
      <w:r w:rsidR="00131467" w:rsidRPr="00154D71">
        <w:rPr>
          <w:rFonts w:ascii="Times New Roman" w:hAnsi="Times New Roman" w:cs="Times New Roman"/>
          <w:sz w:val="21"/>
          <w:szCs w:val="21"/>
        </w:rPr>
        <w:t>gourds</w:t>
      </w:r>
      <w:r w:rsidR="00154D71" w:rsidRPr="00863CD6">
        <w:rPr>
          <w:rFonts w:ascii="Times New Roman" w:hAnsi="Times New Roman" w:cs="Times New Roman"/>
          <w:sz w:val="21"/>
          <w:szCs w:val="21"/>
        </w:rPr>
        <w:t>''</w:t>
      </w:r>
      <w:r w:rsidRPr="00154D71">
        <w:rPr>
          <w:rFonts w:ascii="Times New Roman" w:hAnsi="Times New Roman" w:cs="Times New Roman"/>
          <w:sz w:val="21"/>
          <w:szCs w:val="21"/>
        </w:rPr>
        <w:t xml:space="preserve"> (</w:t>
      </w:r>
      <w:r w:rsidR="00131467" w:rsidRPr="00154D71">
        <w:rPr>
          <w:rFonts w:ascii="Times New Roman" w:hAnsi="Times New Roman" w:cs="Times New Roman"/>
          <w:sz w:val="21"/>
          <w:szCs w:val="21"/>
        </w:rPr>
        <w:t>44</w:t>
      </w:r>
      <w:r w:rsidRPr="00154D71">
        <w:rPr>
          <w:rFonts w:ascii="Times New Roman" w:hAnsi="Times New Roman" w:cs="Times New Roman"/>
          <w:sz w:val="21"/>
          <w:szCs w:val="21"/>
        </w:rPr>
        <w:t>.</w:t>
      </w:r>
      <w:r w:rsidR="00131467" w:rsidRPr="00154D71">
        <w:rPr>
          <w:rFonts w:ascii="Times New Roman" w:hAnsi="Times New Roman" w:cs="Times New Roman"/>
          <w:sz w:val="21"/>
          <w:szCs w:val="21"/>
        </w:rPr>
        <w:t>4</w:t>
      </w:r>
      <w:r w:rsidRPr="00154D71">
        <w:rPr>
          <w:rFonts w:ascii="Times New Roman" w:hAnsi="Times New Roman" w:cs="Times New Roman"/>
          <w:sz w:val="21"/>
          <w:szCs w:val="21"/>
        </w:rPr>
        <w:t xml:space="preserve">%), </w:t>
      </w:r>
      <w:r w:rsidR="00BB71C6" w:rsidRPr="00154D71">
        <w:rPr>
          <w:rFonts w:ascii="Times New Roman" w:hAnsi="Times New Roman" w:cs="Times New Roman"/>
          <w:sz w:val="21"/>
          <w:szCs w:val="21"/>
        </w:rPr>
        <w:t xml:space="preserve">and </w:t>
      </w:r>
      <w:r w:rsidR="00154D71" w:rsidRPr="00863CD6">
        <w:rPr>
          <w:rFonts w:ascii="Times New Roman" w:hAnsi="Times New Roman" w:cs="Times New Roman"/>
          <w:sz w:val="21"/>
          <w:szCs w:val="21"/>
        </w:rPr>
        <w:t>''</w:t>
      </w:r>
      <w:r w:rsidR="00131467" w:rsidRPr="00154D71">
        <w:rPr>
          <w:rFonts w:ascii="Times New Roman" w:hAnsi="Times New Roman" w:cs="Times New Roman"/>
          <w:sz w:val="21"/>
          <w:szCs w:val="21"/>
        </w:rPr>
        <w:t>grains</w:t>
      </w:r>
      <w:r w:rsidR="00154D71" w:rsidRPr="00863CD6">
        <w:rPr>
          <w:rFonts w:ascii="Times New Roman" w:hAnsi="Times New Roman" w:cs="Times New Roman"/>
          <w:sz w:val="21"/>
          <w:szCs w:val="21"/>
        </w:rPr>
        <w:t>''</w:t>
      </w:r>
      <w:r w:rsidRPr="00154D71">
        <w:rPr>
          <w:rFonts w:ascii="Times New Roman" w:hAnsi="Times New Roman" w:cs="Times New Roman"/>
          <w:sz w:val="21"/>
          <w:szCs w:val="21"/>
        </w:rPr>
        <w:t xml:space="preserve"> (</w:t>
      </w:r>
      <w:r w:rsidR="00131467" w:rsidRPr="00154D71">
        <w:rPr>
          <w:rFonts w:ascii="Times New Roman" w:hAnsi="Times New Roman" w:cs="Times New Roman"/>
          <w:sz w:val="21"/>
          <w:szCs w:val="21"/>
        </w:rPr>
        <w:t>1</w:t>
      </w:r>
      <w:r w:rsidR="00BB71C6" w:rsidRPr="00154D71">
        <w:rPr>
          <w:rFonts w:ascii="Times New Roman" w:hAnsi="Times New Roman" w:cs="Times New Roman"/>
          <w:sz w:val="21"/>
          <w:szCs w:val="21"/>
        </w:rPr>
        <w:t>1</w:t>
      </w:r>
      <w:r w:rsidRPr="00154D71">
        <w:rPr>
          <w:rFonts w:ascii="Times New Roman" w:hAnsi="Times New Roman" w:cs="Times New Roman"/>
          <w:sz w:val="21"/>
          <w:szCs w:val="21"/>
        </w:rPr>
        <w:t>.</w:t>
      </w:r>
      <w:r w:rsidR="00BB71C6" w:rsidRPr="00154D71">
        <w:rPr>
          <w:rFonts w:ascii="Times New Roman" w:hAnsi="Times New Roman" w:cs="Times New Roman"/>
          <w:sz w:val="21"/>
          <w:szCs w:val="21"/>
        </w:rPr>
        <w:t>8</w:t>
      </w:r>
      <w:r w:rsidRPr="00154D71">
        <w:rPr>
          <w:rFonts w:ascii="Times New Roman" w:hAnsi="Times New Roman" w:cs="Times New Roman"/>
          <w:sz w:val="21"/>
          <w:szCs w:val="21"/>
        </w:rPr>
        <w:t>%)</w:t>
      </w:r>
      <w:r w:rsidR="00131467" w:rsidRPr="00154D71">
        <w:rPr>
          <w:rFonts w:ascii="Times New Roman" w:hAnsi="Times New Roman" w:cs="Times New Roman"/>
          <w:sz w:val="21"/>
          <w:szCs w:val="21"/>
        </w:rPr>
        <w:t xml:space="preserve">, whereas </w:t>
      </w:r>
      <w:r w:rsidRPr="00154D71">
        <w:rPr>
          <w:rFonts w:ascii="Times New Roman" w:hAnsi="Times New Roman" w:cs="Times New Roman"/>
          <w:sz w:val="21"/>
          <w:szCs w:val="21"/>
        </w:rPr>
        <w:t>increased prices in animal breeding were mainly attributable to 10.</w:t>
      </w:r>
      <w:r w:rsidR="00BB71C6" w:rsidRPr="00154D71">
        <w:rPr>
          <w:rFonts w:ascii="Times New Roman" w:hAnsi="Times New Roman" w:cs="Times New Roman"/>
          <w:sz w:val="21"/>
          <w:szCs w:val="21"/>
        </w:rPr>
        <w:t>4</w:t>
      </w:r>
      <w:r w:rsidRPr="00154D71">
        <w:rPr>
          <w:rFonts w:ascii="Times New Roman" w:hAnsi="Times New Roman" w:cs="Times New Roman"/>
          <w:sz w:val="21"/>
          <w:szCs w:val="21"/>
        </w:rPr>
        <w:t xml:space="preserve">% and </w:t>
      </w:r>
      <w:r w:rsidR="00BB71C6" w:rsidRPr="00154D71">
        <w:rPr>
          <w:rFonts w:ascii="Times New Roman" w:hAnsi="Times New Roman" w:cs="Times New Roman"/>
          <w:sz w:val="21"/>
          <w:szCs w:val="21"/>
        </w:rPr>
        <w:t>7.7</w:t>
      </w:r>
      <w:r w:rsidRPr="00154D71">
        <w:rPr>
          <w:rFonts w:ascii="Times New Roman" w:hAnsi="Times New Roman" w:cs="Times New Roman"/>
          <w:sz w:val="21"/>
          <w:szCs w:val="21"/>
        </w:rPr>
        <w:t xml:space="preserve">% rise in milk and dairy products and egg, respectively. </w:t>
      </w:r>
      <w:r w:rsidR="00154D71">
        <w:rPr>
          <w:rFonts w:ascii="Times New Roman" w:hAnsi="Times New Roman" w:cs="Times New Roman"/>
          <w:sz w:val="21"/>
          <w:szCs w:val="21"/>
        </w:rPr>
        <w:t xml:space="preserve"> </w:t>
      </w:r>
    </w:p>
    <w:p w14:paraId="7F3098ED"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
          <w:sz w:val="21"/>
          <w:szCs w:val="21"/>
        </w:rPr>
        <w:t xml:space="preserve">Construction </w:t>
      </w:r>
      <w:r w:rsidRPr="00EC356F">
        <w:rPr>
          <w:rFonts w:ascii="Times New Roman" w:hAnsi="Times New Roman" w:cs="Times New Roman"/>
          <w:sz w:val="21"/>
          <w:szCs w:val="21"/>
        </w:rPr>
        <w:t xml:space="preserve">reported </w:t>
      </w:r>
      <w:r w:rsidR="00716934" w:rsidRPr="00716934">
        <w:rPr>
          <w:rFonts w:ascii="Times New Roman" w:hAnsi="Times New Roman" w:cs="Times New Roman"/>
          <w:sz w:val="21"/>
          <w:szCs w:val="21"/>
        </w:rPr>
        <w:t>2</w:t>
      </w:r>
      <w:r w:rsidRPr="00EC356F">
        <w:rPr>
          <w:rFonts w:ascii="Times New Roman" w:hAnsi="Times New Roman" w:cs="Times New Roman"/>
          <w:sz w:val="21"/>
          <w:szCs w:val="21"/>
        </w:rPr>
        <w:t>.</w:t>
      </w:r>
      <w:r w:rsidR="001A6378">
        <w:rPr>
          <w:rFonts w:ascii="Times New Roman" w:hAnsi="Times New Roman" w:cs="Times New Roman"/>
          <w:sz w:val="21"/>
          <w:szCs w:val="21"/>
        </w:rPr>
        <w:t>6</w:t>
      </w:r>
      <w:r w:rsidRPr="00EC356F">
        <w:rPr>
          <w:rFonts w:ascii="Times New Roman" w:hAnsi="Times New Roman" w:cs="Times New Roman"/>
          <w:sz w:val="21"/>
          <w:szCs w:val="21"/>
        </w:rPr>
        <w:t xml:space="preserve">% y/y price </w:t>
      </w:r>
      <w:r w:rsidR="00716934" w:rsidRPr="00716934">
        <w:rPr>
          <w:rFonts w:ascii="Times New Roman" w:hAnsi="Times New Roman" w:cs="Times New Roman"/>
          <w:sz w:val="21"/>
          <w:szCs w:val="21"/>
        </w:rPr>
        <w:t>increase</w:t>
      </w:r>
      <w:r w:rsidR="001A6378">
        <w:rPr>
          <w:rFonts w:ascii="Times New Roman" w:hAnsi="Times New Roman" w:cs="Times New Roman"/>
          <w:sz w:val="21"/>
          <w:szCs w:val="21"/>
        </w:rPr>
        <w:t>s</w:t>
      </w:r>
      <w:r w:rsidRPr="00EC356F">
        <w:rPr>
          <w:rFonts w:ascii="Times New Roman" w:hAnsi="Times New Roman" w:cs="Times New Roman"/>
          <w:sz w:val="21"/>
          <w:szCs w:val="21"/>
        </w:rPr>
        <w:t xml:space="preserve"> during the </w:t>
      </w:r>
      <w:r w:rsidR="001A6378">
        <w:rPr>
          <w:rFonts w:ascii="Times New Roman" w:hAnsi="Times New Roman" w:cs="Times New Roman"/>
          <w:sz w:val="21"/>
          <w:szCs w:val="21"/>
        </w:rPr>
        <w:t>4th</w:t>
      </w:r>
      <w:r w:rsidRPr="00EC356F">
        <w:rPr>
          <w:rFonts w:ascii="Times New Roman" w:hAnsi="Times New Roman" w:cs="Times New Roman"/>
          <w:sz w:val="21"/>
          <w:szCs w:val="21"/>
        </w:rPr>
        <w:t xml:space="preserve"> quarter, with the January-</w:t>
      </w:r>
      <w:r w:rsidR="001A6378">
        <w:rPr>
          <w:rFonts w:ascii="Times New Roman" w:hAnsi="Times New Roman" w:cs="Times New Roman"/>
          <w:sz w:val="21"/>
          <w:szCs w:val="21"/>
        </w:rPr>
        <w:t>December rise</w:t>
      </w:r>
      <w:r w:rsidR="00716934" w:rsidRPr="00716934">
        <w:rPr>
          <w:rFonts w:ascii="Times New Roman" w:hAnsi="Times New Roman" w:cs="Times New Roman"/>
          <w:sz w:val="21"/>
          <w:szCs w:val="21"/>
        </w:rPr>
        <w:t xml:space="preserve"> </w:t>
      </w:r>
      <w:r w:rsidR="001A6378">
        <w:rPr>
          <w:rFonts w:ascii="Times New Roman" w:hAnsi="Times New Roman" w:cs="Times New Roman"/>
          <w:sz w:val="21"/>
          <w:szCs w:val="21"/>
        </w:rPr>
        <w:t xml:space="preserve">having amounted to </w:t>
      </w:r>
      <w:r w:rsidR="00716934" w:rsidRPr="00716934">
        <w:rPr>
          <w:rFonts w:ascii="Times New Roman" w:hAnsi="Times New Roman" w:cs="Times New Roman"/>
          <w:sz w:val="21"/>
          <w:szCs w:val="21"/>
        </w:rPr>
        <w:t>2</w:t>
      </w:r>
      <w:r w:rsidR="001A6378">
        <w:rPr>
          <w:rFonts w:ascii="Times New Roman" w:hAnsi="Times New Roman" w:cs="Times New Roman"/>
          <w:sz w:val="21"/>
          <w:szCs w:val="21"/>
        </w:rPr>
        <w:t>.1</w:t>
      </w:r>
      <w:r w:rsidRPr="00EC356F">
        <w:rPr>
          <w:rFonts w:ascii="Times New Roman" w:hAnsi="Times New Roman" w:cs="Times New Roman"/>
          <w:sz w:val="21"/>
          <w:szCs w:val="21"/>
        </w:rPr>
        <w:t xml:space="preserve">% y/y, mainly attributable to </w:t>
      </w:r>
      <w:r w:rsidR="00081F80">
        <w:rPr>
          <w:rFonts w:ascii="Times New Roman" w:hAnsi="Times New Roman" w:cs="Times New Roman"/>
          <w:sz w:val="21"/>
          <w:szCs w:val="21"/>
        </w:rPr>
        <w:t>a 13% wage increase</w:t>
      </w:r>
      <w:r w:rsidRPr="00EC356F">
        <w:rPr>
          <w:rFonts w:ascii="Times New Roman" w:hAnsi="Times New Roman" w:cs="Times New Roman"/>
          <w:sz w:val="21"/>
          <w:szCs w:val="21"/>
        </w:rPr>
        <w:t xml:space="preserve"> </w:t>
      </w:r>
      <w:r w:rsidR="001A6378">
        <w:rPr>
          <w:rFonts w:ascii="Times New Roman" w:hAnsi="Times New Roman" w:cs="Times New Roman"/>
          <w:sz w:val="21"/>
          <w:szCs w:val="21"/>
        </w:rPr>
        <w:t>i</w:t>
      </w:r>
      <w:r w:rsidRPr="00EC356F">
        <w:rPr>
          <w:rFonts w:ascii="Times New Roman" w:hAnsi="Times New Roman" w:cs="Times New Roman"/>
          <w:sz w:val="21"/>
          <w:szCs w:val="21"/>
        </w:rPr>
        <w:t xml:space="preserve">n the branch. </w:t>
      </w:r>
    </w:p>
    <w:p w14:paraId="0667BE40" w14:textId="77777777" w:rsidR="00A9653E" w:rsidRPr="00EC356F" w:rsidRDefault="00A9653E" w:rsidP="00A9653E">
      <w:pPr>
        <w:spacing w:before="240" w:line="360" w:lineRule="auto"/>
        <w:jc w:val="both"/>
        <w:rPr>
          <w:rFonts w:ascii="Times New Roman" w:hAnsi="Times New Roman" w:cs="Times New Roman"/>
          <w:sz w:val="21"/>
          <w:szCs w:val="21"/>
        </w:rPr>
      </w:pPr>
      <w:r w:rsidRPr="00EC356F">
        <w:rPr>
          <w:rFonts w:ascii="Times New Roman" w:hAnsi="Times New Roman" w:cs="Times New Roman"/>
          <w:b/>
          <w:sz w:val="21"/>
          <w:szCs w:val="21"/>
        </w:rPr>
        <w:lastRenderedPageBreak/>
        <w:t>Carriage</w:t>
      </w:r>
      <w:r w:rsidR="00556859">
        <w:rPr>
          <w:rFonts w:ascii="Times New Roman" w:hAnsi="Times New Roman" w:cs="Times New Roman"/>
          <w:b/>
          <w:sz w:val="21"/>
          <w:szCs w:val="21"/>
        </w:rPr>
        <w:t xml:space="preserve"> </w:t>
      </w:r>
      <w:r w:rsidR="00556859">
        <w:rPr>
          <w:rFonts w:ascii="Times New Roman" w:hAnsi="Times New Roman" w:cs="Times New Roman"/>
          <w:sz w:val="21"/>
          <w:szCs w:val="21"/>
        </w:rPr>
        <w:t>posted</w:t>
      </w:r>
      <w:r w:rsidRPr="00EC356F">
        <w:rPr>
          <w:rFonts w:ascii="Times New Roman" w:hAnsi="Times New Roman" w:cs="Times New Roman"/>
          <w:sz w:val="21"/>
          <w:szCs w:val="21"/>
        </w:rPr>
        <w:t xml:space="preserve"> </w:t>
      </w:r>
      <w:r w:rsidRPr="00154D71">
        <w:rPr>
          <w:rFonts w:ascii="Times New Roman" w:hAnsi="Times New Roman" w:cs="Times New Roman"/>
          <w:sz w:val="21"/>
          <w:szCs w:val="21"/>
        </w:rPr>
        <w:t>1.</w:t>
      </w:r>
      <w:r w:rsidR="00556859" w:rsidRPr="00154D71">
        <w:rPr>
          <w:rFonts w:ascii="Times New Roman" w:hAnsi="Times New Roman" w:cs="Times New Roman"/>
          <w:sz w:val="21"/>
          <w:szCs w:val="21"/>
        </w:rPr>
        <w:t>6</w:t>
      </w:r>
      <w:r w:rsidRPr="00154D71">
        <w:rPr>
          <w:rFonts w:ascii="Times New Roman" w:hAnsi="Times New Roman" w:cs="Times New Roman"/>
          <w:sz w:val="21"/>
          <w:szCs w:val="21"/>
        </w:rPr>
        <w:t xml:space="preserve">% y/y rise in </w:t>
      </w:r>
      <w:r w:rsidR="00556859" w:rsidRPr="00154D71">
        <w:rPr>
          <w:rFonts w:ascii="Times New Roman" w:hAnsi="Times New Roman" w:cs="Times New Roman"/>
          <w:sz w:val="21"/>
          <w:szCs w:val="21"/>
        </w:rPr>
        <w:t>tariffs</w:t>
      </w:r>
      <w:r w:rsidRPr="00154D71">
        <w:rPr>
          <w:rFonts w:ascii="Times New Roman" w:hAnsi="Times New Roman" w:cs="Times New Roman"/>
          <w:sz w:val="21"/>
          <w:szCs w:val="21"/>
        </w:rPr>
        <w:t xml:space="preserve"> </w:t>
      </w:r>
      <w:r w:rsidR="00556859" w:rsidRPr="00154D71">
        <w:rPr>
          <w:rFonts w:ascii="Times New Roman" w:hAnsi="Times New Roman" w:cs="Times New Roman"/>
          <w:sz w:val="21"/>
          <w:szCs w:val="21"/>
        </w:rPr>
        <w:t>during the reporting quarter</w:t>
      </w:r>
      <w:r w:rsidRPr="00154D71">
        <w:rPr>
          <w:rFonts w:ascii="Times New Roman" w:hAnsi="Times New Roman" w:cs="Times New Roman"/>
          <w:sz w:val="21"/>
          <w:szCs w:val="21"/>
        </w:rPr>
        <w:t>, with the January-</w:t>
      </w:r>
      <w:r w:rsidR="00556859" w:rsidRPr="00154D71">
        <w:rPr>
          <w:rFonts w:ascii="Times New Roman" w:hAnsi="Times New Roman" w:cs="Times New Roman"/>
          <w:sz w:val="21"/>
          <w:szCs w:val="21"/>
        </w:rPr>
        <w:t>Dec</w:t>
      </w:r>
      <w:r w:rsidR="006C5E46" w:rsidRPr="00154D71">
        <w:rPr>
          <w:rFonts w:ascii="Times New Roman" w:hAnsi="Times New Roman" w:cs="Times New Roman"/>
          <w:sz w:val="21"/>
          <w:szCs w:val="21"/>
        </w:rPr>
        <w:t>ember</w:t>
      </w:r>
      <w:r w:rsidRPr="00154D71">
        <w:rPr>
          <w:rFonts w:ascii="Times New Roman" w:hAnsi="Times New Roman" w:cs="Times New Roman"/>
          <w:sz w:val="21"/>
          <w:szCs w:val="21"/>
        </w:rPr>
        <w:t xml:space="preserve"> price</w:t>
      </w:r>
      <w:r w:rsidR="00556859" w:rsidRPr="00154D71">
        <w:rPr>
          <w:rFonts w:ascii="Times New Roman" w:hAnsi="Times New Roman" w:cs="Times New Roman"/>
          <w:sz w:val="21"/>
          <w:szCs w:val="21"/>
        </w:rPr>
        <w:t xml:space="preserve"> increase</w:t>
      </w:r>
      <w:r w:rsidR="006C5E46" w:rsidRPr="00154D71">
        <w:rPr>
          <w:rFonts w:ascii="Times New Roman" w:hAnsi="Times New Roman" w:cs="Times New Roman"/>
          <w:sz w:val="21"/>
          <w:szCs w:val="21"/>
        </w:rPr>
        <w:t xml:space="preserve"> </w:t>
      </w:r>
      <w:r w:rsidRPr="00154D71">
        <w:rPr>
          <w:rFonts w:ascii="Times New Roman" w:hAnsi="Times New Roman" w:cs="Times New Roman"/>
          <w:sz w:val="21"/>
          <w:szCs w:val="21"/>
        </w:rPr>
        <w:t xml:space="preserve">having amounted to </w:t>
      </w:r>
      <w:r w:rsidR="00556859" w:rsidRPr="00154D71">
        <w:rPr>
          <w:rFonts w:ascii="Times New Roman" w:hAnsi="Times New Roman" w:cs="Times New Roman"/>
          <w:sz w:val="21"/>
          <w:szCs w:val="21"/>
        </w:rPr>
        <w:t>8</w:t>
      </w:r>
      <w:r w:rsidRPr="00154D71">
        <w:rPr>
          <w:rFonts w:ascii="Times New Roman" w:hAnsi="Times New Roman" w:cs="Times New Roman"/>
          <w:sz w:val="21"/>
          <w:szCs w:val="21"/>
        </w:rPr>
        <w:t xml:space="preserve">% y/y, owing to </w:t>
      </w:r>
      <w:r w:rsidR="006C5E46" w:rsidRPr="00154D71">
        <w:rPr>
          <w:rFonts w:ascii="Times New Roman" w:hAnsi="Times New Roman" w:cs="Times New Roman"/>
          <w:sz w:val="21"/>
          <w:szCs w:val="21"/>
        </w:rPr>
        <w:t>increased</w:t>
      </w:r>
      <w:r w:rsidRPr="00154D71">
        <w:rPr>
          <w:rFonts w:ascii="Times New Roman" w:hAnsi="Times New Roman" w:cs="Times New Roman"/>
          <w:sz w:val="21"/>
          <w:szCs w:val="21"/>
        </w:rPr>
        <w:t xml:space="preserve"> tariffs </w:t>
      </w:r>
      <w:r w:rsidR="006C5E46" w:rsidRPr="00154D71">
        <w:rPr>
          <w:rFonts w:ascii="Times New Roman" w:hAnsi="Times New Roman" w:cs="Times New Roman"/>
          <w:sz w:val="21"/>
          <w:szCs w:val="21"/>
        </w:rPr>
        <w:t>for</w:t>
      </w:r>
      <w:r w:rsidR="00556859" w:rsidRPr="00154D71">
        <w:rPr>
          <w:rFonts w:ascii="Times New Roman" w:hAnsi="Times New Roman" w:cs="Times New Roman"/>
          <w:sz w:val="21"/>
          <w:szCs w:val="21"/>
        </w:rPr>
        <w:t xml:space="preserve"> </w:t>
      </w:r>
      <w:r w:rsidRPr="00154D71">
        <w:rPr>
          <w:rFonts w:ascii="Times New Roman" w:hAnsi="Times New Roman" w:cs="Times New Roman"/>
          <w:sz w:val="21"/>
          <w:szCs w:val="21"/>
        </w:rPr>
        <w:t>railroad transport (1</w:t>
      </w:r>
      <w:r w:rsidR="00556859" w:rsidRPr="00154D71">
        <w:rPr>
          <w:rFonts w:ascii="Times New Roman" w:hAnsi="Times New Roman" w:cs="Times New Roman"/>
          <w:sz w:val="21"/>
          <w:szCs w:val="21"/>
        </w:rPr>
        <w:t>4.5</w:t>
      </w:r>
      <w:r w:rsidRPr="00154D71">
        <w:rPr>
          <w:rFonts w:ascii="Times New Roman" w:hAnsi="Times New Roman" w:cs="Times New Roman"/>
          <w:sz w:val="21"/>
          <w:szCs w:val="21"/>
        </w:rPr>
        <w:t>%), pipeline transportation (</w:t>
      </w:r>
      <w:r w:rsidR="00556859" w:rsidRPr="00154D71">
        <w:rPr>
          <w:rFonts w:ascii="Times New Roman" w:hAnsi="Times New Roman" w:cs="Times New Roman"/>
          <w:sz w:val="21"/>
          <w:szCs w:val="21"/>
        </w:rPr>
        <w:t>16</w:t>
      </w:r>
      <w:r w:rsidRPr="00154D71">
        <w:rPr>
          <w:rFonts w:ascii="Times New Roman" w:hAnsi="Times New Roman" w:cs="Times New Roman"/>
          <w:sz w:val="21"/>
          <w:szCs w:val="21"/>
        </w:rPr>
        <w:t>.</w:t>
      </w:r>
      <w:r w:rsidR="006C5E46" w:rsidRPr="00154D71">
        <w:rPr>
          <w:rFonts w:ascii="Times New Roman" w:hAnsi="Times New Roman" w:cs="Times New Roman"/>
          <w:sz w:val="21"/>
          <w:szCs w:val="21"/>
        </w:rPr>
        <w:t>9</w:t>
      </w:r>
      <w:r w:rsidRPr="00154D71">
        <w:rPr>
          <w:rFonts w:ascii="Times New Roman" w:hAnsi="Times New Roman" w:cs="Times New Roman"/>
          <w:sz w:val="21"/>
          <w:szCs w:val="21"/>
        </w:rPr>
        <w:t xml:space="preserve">%) and air transport (0.1%). Note that higher pipeline transportation </w:t>
      </w:r>
      <w:r w:rsidR="00556859" w:rsidRPr="00154D71">
        <w:rPr>
          <w:rFonts w:ascii="Times New Roman" w:hAnsi="Times New Roman" w:cs="Times New Roman"/>
          <w:sz w:val="21"/>
          <w:szCs w:val="21"/>
        </w:rPr>
        <w:t xml:space="preserve">tariffs </w:t>
      </w:r>
      <w:r w:rsidRPr="00154D71">
        <w:rPr>
          <w:rFonts w:ascii="Times New Roman" w:hAnsi="Times New Roman" w:cs="Times New Roman"/>
          <w:sz w:val="21"/>
          <w:szCs w:val="21"/>
        </w:rPr>
        <w:t>are mainly due to the increase in energy prices.</w:t>
      </w:r>
    </w:p>
    <w:p w14:paraId="54FA645B"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3.1.3 Inflation and interest rate expectations</w:t>
      </w:r>
    </w:p>
    <w:p w14:paraId="24E8DF5C" w14:textId="77777777" w:rsidR="007335DB" w:rsidRDefault="004142A3"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The 4th</w:t>
      </w:r>
      <w:r w:rsidR="00A9653E" w:rsidRPr="00EC356F">
        <w:rPr>
          <w:rFonts w:ascii="Times New Roman" w:hAnsi="Times New Roman" w:cs="Times New Roman"/>
          <w:sz w:val="21"/>
          <w:szCs w:val="21"/>
        </w:rPr>
        <w:t xml:space="preserve"> quarter 2014 surveys </w:t>
      </w:r>
      <w:r w:rsidR="006C5E46" w:rsidRPr="006C5E46">
        <w:rPr>
          <w:rFonts w:ascii="Times New Roman" w:hAnsi="Times New Roman" w:cs="Times New Roman"/>
          <w:sz w:val="21"/>
          <w:szCs w:val="21"/>
        </w:rPr>
        <w:t xml:space="preserve">of the Central Bank </w:t>
      </w:r>
      <w:r w:rsidR="00A9653E" w:rsidRPr="00EC356F">
        <w:rPr>
          <w:rFonts w:ascii="Times New Roman" w:hAnsi="Times New Roman" w:cs="Times New Roman"/>
          <w:sz w:val="21"/>
          <w:szCs w:val="21"/>
        </w:rPr>
        <w:t>on financial sector and household expectations of selected macroeconomic indicators suggest that inflationary expectations for an upcoming one-year horizon</w:t>
      </w:r>
      <w:r w:rsidR="006C5E46" w:rsidRPr="006C5E46">
        <w:rPr>
          <w:rFonts w:ascii="Times New Roman" w:hAnsi="Times New Roman" w:cs="Times New Roman"/>
          <w:sz w:val="21"/>
          <w:szCs w:val="21"/>
        </w:rPr>
        <w:t xml:space="preserve"> have </w:t>
      </w:r>
      <w:r w:rsidR="000F7DC0">
        <w:rPr>
          <w:rFonts w:ascii="Times New Roman" w:hAnsi="Times New Roman" w:cs="Times New Roman"/>
          <w:sz w:val="21"/>
          <w:szCs w:val="21"/>
        </w:rPr>
        <w:t>expanded. I</w:t>
      </w:r>
      <w:r w:rsidR="00A9653E" w:rsidRPr="00EC356F">
        <w:rPr>
          <w:rFonts w:ascii="Times New Roman" w:hAnsi="Times New Roman" w:cs="Times New Roman"/>
          <w:sz w:val="21"/>
          <w:szCs w:val="21"/>
        </w:rPr>
        <w:t>ndeed</w:t>
      </w:r>
      <w:r w:rsidR="000F7DC0">
        <w:rPr>
          <w:rFonts w:ascii="Times New Roman" w:hAnsi="Times New Roman" w:cs="Times New Roman"/>
          <w:sz w:val="21"/>
          <w:szCs w:val="21"/>
        </w:rPr>
        <w:t xml:space="preserve">, </w:t>
      </w:r>
      <w:r w:rsidR="00A9653E" w:rsidRPr="00EC356F">
        <w:rPr>
          <w:rFonts w:ascii="Times New Roman" w:hAnsi="Times New Roman" w:cs="Times New Roman"/>
          <w:sz w:val="21"/>
          <w:szCs w:val="21"/>
        </w:rPr>
        <w:t xml:space="preserve">most banks </w:t>
      </w:r>
      <w:r w:rsidR="000F7DC0">
        <w:rPr>
          <w:rFonts w:ascii="Times New Roman" w:hAnsi="Times New Roman" w:cs="Times New Roman"/>
          <w:sz w:val="21"/>
          <w:szCs w:val="21"/>
        </w:rPr>
        <w:t xml:space="preserve">had </w:t>
      </w:r>
      <w:r w:rsidR="00A9653E" w:rsidRPr="00EC356F">
        <w:rPr>
          <w:rFonts w:ascii="Times New Roman" w:hAnsi="Times New Roman" w:cs="Times New Roman"/>
          <w:sz w:val="21"/>
          <w:szCs w:val="21"/>
        </w:rPr>
        <w:t xml:space="preserve">their expectations of the 12-month inflation </w:t>
      </w:r>
      <w:r w:rsidR="00473E52" w:rsidRPr="00473E52">
        <w:rPr>
          <w:rFonts w:ascii="Times New Roman" w:hAnsi="Times New Roman" w:cs="Times New Roman"/>
          <w:sz w:val="21"/>
          <w:szCs w:val="21"/>
        </w:rPr>
        <w:t xml:space="preserve">rate </w:t>
      </w:r>
      <w:r w:rsidR="000F7DC0">
        <w:rPr>
          <w:rFonts w:ascii="Times New Roman" w:hAnsi="Times New Roman" w:cs="Times New Roman"/>
          <w:sz w:val="21"/>
          <w:szCs w:val="21"/>
        </w:rPr>
        <w:t xml:space="preserve">anchored </w:t>
      </w:r>
      <w:r w:rsidR="00A9653E" w:rsidRPr="00EC356F">
        <w:rPr>
          <w:rFonts w:ascii="Times New Roman" w:hAnsi="Times New Roman" w:cs="Times New Roman"/>
          <w:sz w:val="21"/>
          <w:szCs w:val="21"/>
        </w:rPr>
        <w:t xml:space="preserve">around </w:t>
      </w:r>
      <w:r w:rsidR="000F7DC0">
        <w:rPr>
          <w:rFonts w:ascii="Times New Roman" w:hAnsi="Times New Roman" w:cs="Times New Roman"/>
          <w:sz w:val="21"/>
          <w:szCs w:val="21"/>
        </w:rPr>
        <w:t xml:space="preserve">the </w:t>
      </w:r>
      <w:r w:rsidR="00A9653E" w:rsidRPr="00EC356F">
        <w:rPr>
          <w:rFonts w:ascii="Times New Roman" w:hAnsi="Times New Roman" w:cs="Times New Roman"/>
          <w:sz w:val="21"/>
          <w:szCs w:val="21"/>
        </w:rPr>
        <w:t>5</w:t>
      </w:r>
      <w:r w:rsidR="000F7DC0">
        <w:rPr>
          <w:rFonts w:ascii="Times New Roman" w:hAnsi="Times New Roman" w:cs="Times New Roman"/>
          <w:sz w:val="21"/>
          <w:szCs w:val="21"/>
        </w:rPr>
        <w:t>.8</w:t>
      </w:r>
      <w:r w:rsidR="00473E52" w:rsidRPr="00473E52">
        <w:rPr>
          <w:rFonts w:ascii="Times New Roman" w:hAnsi="Times New Roman" w:cs="Times New Roman"/>
          <w:sz w:val="21"/>
          <w:szCs w:val="21"/>
        </w:rPr>
        <w:t>%</w:t>
      </w:r>
      <w:r w:rsidR="00A9653E" w:rsidRPr="00EC356F">
        <w:rPr>
          <w:rFonts w:ascii="Times New Roman" w:hAnsi="Times New Roman" w:cs="Times New Roman"/>
          <w:sz w:val="21"/>
          <w:szCs w:val="21"/>
        </w:rPr>
        <w:t xml:space="preserve"> </w:t>
      </w:r>
      <w:r w:rsidR="000F7DC0">
        <w:rPr>
          <w:rFonts w:ascii="Times New Roman" w:hAnsi="Times New Roman" w:cs="Times New Roman"/>
          <w:sz w:val="21"/>
          <w:szCs w:val="21"/>
        </w:rPr>
        <w:t>level against an average indicator of 5.0% of the previous survey</w:t>
      </w:r>
      <w:r w:rsidR="00A9653E" w:rsidRPr="00EC356F">
        <w:rPr>
          <w:rFonts w:ascii="Times New Roman" w:hAnsi="Times New Roman" w:cs="Times New Roman"/>
          <w:sz w:val="21"/>
          <w:szCs w:val="21"/>
        </w:rPr>
        <w:t xml:space="preserve"> </w:t>
      </w:r>
      <w:r w:rsidR="00473E52" w:rsidRPr="00473E52">
        <w:rPr>
          <w:rFonts w:ascii="Times New Roman" w:hAnsi="Times New Roman" w:cs="Times New Roman"/>
          <w:sz w:val="21"/>
          <w:szCs w:val="21"/>
        </w:rPr>
        <w:t xml:space="preserve">and </w:t>
      </w:r>
      <w:r w:rsidR="00A9653E" w:rsidRPr="00EC356F">
        <w:rPr>
          <w:rFonts w:ascii="Times New Roman" w:hAnsi="Times New Roman" w:cs="Times New Roman"/>
          <w:sz w:val="21"/>
          <w:szCs w:val="21"/>
        </w:rPr>
        <w:t xml:space="preserve">credit organizations in the region of </w:t>
      </w:r>
      <w:r w:rsidR="000F7DC0">
        <w:rPr>
          <w:rFonts w:ascii="Times New Roman" w:hAnsi="Times New Roman" w:cs="Times New Roman"/>
          <w:sz w:val="21"/>
          <w:szCs w:val="21"/>
        </w:rPr>
        <w:t>5</w:t>
      </w:r>
      <w:r w:rsidR="00A9653E" w:rsidRPr="00EC356F">
        <w:rPr>
          <w:rFonts w:ascii="Times New Roman" w:hAnsi="Times New Roman" w:cs="Times New Roman"/>
          <w:sz w:val="21"/>
          <w:szCs w:val="21"/>
        </w:rPr>
        <w:t>.</w:t>
      </w:r>
      <w:r w:rsidR="000F7DC0">
        <w:rPr>
          <w:rFonts w:ascii="Times New Roman" w:hAnsi="Times New Roman" w:cs="Times New Roman"/>
          <w:sz w:val="21"/>
          <w:szCs w:val="21"/>
        </w:rPr>
        <w:t>4</w:t>
      </w:r>
      <w:r w:rsidR="00A9653E" w:rsidRPr="00EC356F">
        <w:rPr>
          <w:rFonts w:ascii="Times New Roman" w:hAnsi="Times New Roman" w:cs="Times New Roman"/>
          <w:sz w:val="21"/>
          <w:szCs w:val="21"/>
        </w:rPr>
        <w:t>%</w:t>
      </w:r>
      <w:r w:rsidR="000F7DC0">
        <w:rPr>
          <w:rFonts w:ascii="Times New Roman" w:hAnsi="Times New Roman" w:cs="Times New Roman"/>
          <w:sz w:val="21"/>
          <w:szCs w:val="21"/>
        </w:rPr>
        <w:t xml:space="preserve"> instead of an average 4.5% level reported formerly. </w:t>
      </w:r>
    </w:p>
    <w:p w14:paraId="14CDA045" w14:textId="77777777" w:rsidR="00A9653E" w:rsidRPr="00EC356F" w:rsidRDefault="00473E52" w:rsidP="00A9653E">
      <w:pPr>
        <w:spacing w:line="360" w:lineRule="auto"/>
        <w:jc w:val="both"/>
        <w:rPr>
          <w:rFonts w:ascii="Times New Roman" w:hAnsi="Times New Roman" w:cs="Times New Roman"/>
          <w:sz w:val="21"/>
          <w:szCs w:val="21"/>
        </w:rPr>
      </w:pPr>
      <w:r w:rsidRPr="00473E52">
        <w:rPr>
          <w:rFonts w:ascii="Times New Roman" w:hAnsi="Times New Roman" w:cs="Times New Roman"/>
          <w:sz w:val="21"/>
          <w:szCs w:val="21"/>
        </w:rPr>
        <w:t xml:space="preserve">The results of the survey </w:t>
      </w:r>
      <w:r w:rsidR="00AB68AE">
        <w:rPr>
          <w:rFonts w:ascii="Times New Roman" w:hAnsi="Times New Roman" w:cs="Times New Roman"/>
          <w:sz w:val="21"/>
          <w:szCs w:val="21"/>
        </w:rPr>
        <w:t xml:space="preserve">predict a certain rise in market rates for a one-year horizon, </w:t>
      </w:r>
      <w:r w:rsidR="00C22893">
        <w:rPr>
          <w:rFonts w:ascii="Times New Roman" w:hAnsi="Times New Roman" w:cs="Times New Roman"/>
          <w:sz w:val="21"/>
          <w:szCs w:val="21"/>
        </w:rPr>
        <w:t xml:space="preserve">most likely to be seen with regard to interest rates of deposit and loan instruments </w:t>
      </w:r>
      <w:r w:rsidR="0054220E">
        <w:rPr>
          <w:rFonts w:ascii="Times New Roman" w:hAnsi="Times New Roman" w:cs="Times New Roman"/>
          <w:sz w:val="21"/>
          <w:szCs w:val="21"/>
        </w:rPr>
        <w:t>during</w:t>
      </w:r>
      <w:r w:rsidR="00C22893">
        <w:rPr>
          <w:rFonts w:ascii="Times New Roman" w:hAnsi="Times New Roman" w:cs="Times New Roman"/>
          <w:sz w:val="21"/>
          <w:szCs w:val="21"/>
        </w:rPr>
        <w:t xml:space="preserve"> the 1st</w:t>
      </w:r>
      <w:r w:rsidR="00AB68AE">
        <w:rPr>
          <w:rFonts w:ascii="Times New Roman" w:hAnsi="Times New Roman" w:cs="Times New Roman"/>
          <w:sz w:val="21"/>
          <w:szCs w:val="21"/>
        </w:rPr>
        <w:t xml:space="preserve"> </w:t>
      </w:r>
      <w:r w:rsidR="00C22893">
        <w:rPr>
          <w:rFonts w:ascii="Times New Roman" w:hAnsi="Times New Roman" w:cs="Times New Roman"/>
          <w:sz w:val="21"/>
          <w:szCs w:val="21"/>
        </w:rPr>
        <w:t>quarter of 2015. Later, the i</w:t>
      </w:r>
      <w:r w:rsidR="00AB68AE" w:rsidRPr="00AB68AE">
        <w:rPr>
          <w:rFonts w:ascii="Times New Roman" w:hAnsi="Times New Roman" w:cs="Times New Roman"/>
          <w:sz w:val="21"/>
          <w:szCs w:val="21"/>
        </w:rPr>
        <w:t xml:space="preserve">nterest rates will </w:t>
      </w:r>
      <w:r w:rsidR="00C22893">
        <w:rPr>
          <w:rFonts w:ascii="Times New Roman" w:hAnsi="Times New Roman" w:cs="Times New Roman"/>
          <w:sz w:val="21"/>
          <w:szCs w:val="21"/>
        </w:rPr>
        <w:t>follow</w:t>
      </w:r>
      <w:r w:rsidR="0054220E">
        <w:rPr>
          <w:rFonts w:ascii="Times New Roman" w:hAnsi="Times New Roman" w:cs="Times New Roman"/>
          <w:sz w:val="21"/>
          <w:szCs w:val="21"/>
        </w:rPr>
        <w:t xml:space="preserve"> </w:t>
      </w:r>
      <w:r w:rsidR="00C22893">
        <w:rPr>
          <w:rFonts w:ascii="Times New Roman" w:hAnsi="Times New Roman" w:cs="Times New Roman"/>
          <w:sz w:val="21"/>
          <w:szCs w:val="21"/>
        </w:rPr>
        <w:t xml:space="preserve">a </w:t>
      </w:r>
      <w:r w:rsidR="00AB68AE" w:rsidRPr="00AB68AE">
        <w:rPr>
          <w:rFonts w:ascii="Times New Roman" w:hAnsi="Times New Roman" w:cs="Times New Roman"/>
          <w:sz w:val="21"/>
          <w:szCs w:val="21"/>
        </w:rPr>
        <w:t>st</w:t>
      </w:r>
      <w:r w:rsidR="00C22893">
        <w:rPr>
          <w:rFonts w:ascii="Times New Roman" w:hAnsi="Times New Roman" w:cs="Times New Roman"/>
          <w:sz w:val="21"/>
          <w:szCs w:val="21"/>
        </w:rPr>
        <w:t>eadier path.</w:t>
      </w:r>
      <w:r w:rsidR="00A9653E" w:rsidRPr="00EC356F">
        <w:rPr>
          <w:rFonts w:ascii="Times New Roman" w:hAnsi="Times New Roman" w:cs="Times New Roman"/>
          <w:sz w:val="21"/>
          <w:szCs w:val="21"/>
        </w:rPr>
        <w:t xml:space="preserve">  </w:t>
      </w:r>
    </w:p>
    <w:p w14:paraId="2F8A345C"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3.2 Aggregate supply and Aggregate demand</w:t>
      </w:r>
    </w:p>
    <w:p w14:paraId="64077739"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3.2.1 Aggregate supply</w:t>
      </w:r>
      <w:r w:rsidRPr="00EC356F">
        <w:rPr>
          <w:rStyle w:val="FootnoteReference"/>
          <w:rFonts w:ascii="Times New Roman" w:hAnsi="Times New Roman" w:cs="Times New Roman"/>
          <w:b/>
          <w:sz w:val="21"/>
          <w:szCs w:val="21"/>
        </w:rPr>
        <w:footnoteReference w:customMarkFollows="1" w:id="14"/>
        <w:t>14</w:t>
      </w:r>
    </w:p>
    <w:p w14:paraId="0D75C2B1" w14:textId="77777777" w:rsidR="008634F0"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Style w:val="longtext"/>
          <w:rFonts w:ascii="Times New Roman" w:hAnsi="Times New Roman" w:cs="Times New Roman"/>
          <w:color w:val="000000"/>
          <w:sz w:val="21"/>
          <w:szCs w:val="21"/>
          <w:shd w:val="clear" w:color="auto" w:fill="FFFFFF"/>
        </w:rPr>
        <w:t xml:space="preserve">The </w:t>
      </w:r>
      <w:r w:rsidRPr="00EC356F">
        <w:rPr>
          <w:rStyle w:val="longtext"/>
          <w:rFonts w:ascii="Times New Roman" w:hAnsi="Times New Roman" w:cs="Times New Roman"/>
          <w:b/>
          <w:color w:val="000000"/>
          <w:sz w:val="21"/>
          <w:szCs w:val="21"/>
          <w:shd w:val="clear" w:color="auto" w:fill="FFFFFF"/>
        </w:rPr>
        <w:t xml:space="preserve">economic growth </w:t>
      </w:r>
      <w:r w:rsidR="008634F0" w:rsidRPr="008634F0">
        <w:rPr>
          <w:rStyle w:val="longtext"/>
          <w:rFonts w:ascii="Times New Roman" w:hAnsi="Times New Roman" w:cs="Times New Roman"/>
          <w:color w:val="000000"/>
          <w:sz w:val="21"/>
          <w:szCs w:val="21"/>
          <w:shd w:val="clear" w:color="auto" w:fill="FFFFFF"/>
        </w:rPr>
        <w:t>in t</w:t>
      </w:r>
      <w:r w:rsidR="008634F0">
        <w:rPr>
          <w:rStyle w:val="longtext"/>
          <w:rFonts w:ascii="Times New Roman" w:hAnsi="Times New Roman" w:cs="Times New Roman"/>
          <w:color w:val="000000"/>
          <w:sz w:val="21"/>
          <w:szCs w:val="21"/>
          <w:shd w:val="clear" w:color="auto" w:fill="FFFFFF"/>
        </w:rPr>
        <w:t>he period January-September 2014 has been 3</w:t>
      </w:r>
      <w:r w:rsidRPr="00EC356F">
        <w:rPr>
          <w:rStyle w:val="longtext"/>
          <w:rFonts w:ascii="Times New Roman" w:hAnsi="Times New Roman" w:cs="Times New Roman"/>
          <w:color w:val="000000"/>
          <w:sz w:val="21"/>
          <w:szCs w:val="21"/>
          <w:shd w:val="clear" w:color="auto" w:fill="FFFFFF"/>
        </w:rPr>
        <w:t>.</w:t>
      </w:r>
      <w:r w:rsidR="008634F0">
        <w:rPr>
          <w:rStyle w:val="longtext"/>
          <w:rFonts w:ascii="Times New Roman" w:hAnsi="Times New Roman" w:cs="Times New Roman"/>
          <w:color w:val="000000"/>
          <w:sz w:val="21"/>
          <w:szCs w:val="21"/>
          <w:shd w:val="clear" w:color="auto" w:fill="FFFFFF"/>
        </w:rPr>
        <w:t>9</w:t>
      </w:r>
      <w:r w:rsidRPr="00EC356F">
        <w:rPr>
          <w:rStyle w:val="longtext"/>
          <w:rFonts w:ascii="Times New Roman" w:hAnsi="Times New Roman" w:cs="Times New Roman"/>
          <w:color w:val="000000"/>
          <w:sz w:val="21"/>
          <w:szCs w:val="21"/>
          <w:shd w:val="clear" w:color="auto" w:fill="FFFFFF"/>
        </w:rPr>
        <w:t>% y/y, w</w:t>
      </w:r>
      <w:r w:rsidR="008634F0">
        <w:rPr>
          <w:rStyle w:val="longtext"/>
          <w:rFonts w:ascii="Times New Roman" w:hAnsi="Times New Roman" w:cs="Times New Roman"/>
          <w:color w:val="000000"/>
          <w:sz w:val="21"/>
          <w:szCs w:val="21"/>
          <w:shd w:val="clear" w:color="auto" w:fill="FFFFFF"/>
        </w:rPr>
        <w:t>hich is slightly (</w:t>
      </w:r>
      <w:r w:rsidR="00E7102B" w:rsidRPr="00E7102B">
        <w:rPr>
          <w:rStyle w:val="longtext"/>
          <w:rFonts w:ascii="Times New Roman" w:hAnsi="Times New Roman" w:cs="Times New Roman"/>
          <w:color w:val="000000"/>
          <w:sz w:val="21"/>
          <w:szCs w:val="21"/>
          <w:shd w:val="clear" w:color="auto" w:fill="FFFFFF"/>
        </w:rPr>
        <w:t>0.</w:t>
      </w:r>
      <w:r w:rsidR="008634F0">
        <w:rPr>
          <w:rStyle w:val="longtext"/>
          <w:rFonts w:ascii="Times New Roman" w:hAnsi="Times New Roman" w:cs="Times New Roman"/>
          <w:color w:val="000000"/>
          <w:sz w:val="21"/>
          <w:szCs w:val="21"/>
          <w:shd w:val="clear" w:color="auto" w:fill="FFFFFF"/>
        </w:rPr>
        <w:t>2</w:t>
      </w:r>
      <w:r w:rsidR="00E7102B" w:rsidRPr="00E7102B">
        <w:rPr>
          <w:rStyle w:val="longtext"/>
          <w:rFonts w:ascii="Times New Roman" w:hAnsi="Times New Roman" w:cs="Times New Roman"/>
          <w:color w:val="000000"/>
          <w:sz w:val="21"/>
          <w:szCs w:val="21"/>
          <w:shd w:val="clear" w:color="auto" w:fill="FFFFFF"/>
        </w:rPr>
        <w:t xml:space="preserve"> pp</w:t>
      </w:r>
      <w:r w:rsidR="008634F0">
        <w:rPr>
          <w:rStyle w:val="longtext"/>
          <w:rFonts w:ascii="Times New Roman" w:hAnsi="Times New Roman" w:cs="Times New Roman"/>
          <w:color w:val="000000"/>
          <w:sz w:val="21"/>
          <w:szCs w:val="21"/>
          <w:shd w:val="clear" w:color="auto" w:fill="FFFFFF"/>
        </w:rPr>
        <w:t>)</w:t>
      </w:r>
      <w:r w:rsidR="00E7102B" w:rsidRPr="00E7102B">
        <w:rPr>
          <w:rStyle w:val="longtext"/>
          <w:rFonts w:ascii="Times New Roman" w:hAnsi="Times New Roman" w:cs="Times New Roman"/>
          <w:color w:val="000000"/>
          <w:sz w:val="21"/>
          <w:szCs w:val="21"/>
          <w:shd w:val="clear" w:color="auto" w:fill="FFFFFF"/>
        </w:rPr>
        <w:t xml:space="preserve"> </w:t>
      </w:r>
      <w:r w:rsidR="008634F0">
        <w:rPr>
          <w:rStyle w:val="longtext"/>
          <w:rFonts w:ascii="Times New Roman" w:hAnsi="Times New Roman" w:cs="Times New Roman"/>
          <w:color w:val="000000"/>
          <w:sz w:val="21"/>
          <w:szCs w:val="21"/>
          <w:shd w:val="clear" w:color="auto" w:fill="FFFFFF"/>
        </w:rPr>
        <w:t>higher</w:t>
      </w:r>
      <w:r w:rsidR="00E7102B" w:rsidRPr="00E7102B">
        <w:rPr>
          <w:rStyle w:val="longtext"/>
          <w:rFonts w:ascii="Times New Roman" w:hAnsi="Times New Roman" w:cs="Times New Roman"/>
          <w:color w:val="000000"/>
          <w:sz w:val="21"/>
          <w:szCs w:val="21"/>
          <w:shd w:val="clear" w:color="auto" w:fill="FFFFFF"/>
        </w:rPr>
        <w:t xml:space="preserve"> from the </w:t>
      </w:r>
      <w:r w:rsidR="008634F0">
        <w:rPr>
          <w:rStyle w:val="longtext"/>
          <w:rFonts w:ascii="Times New Roman" w:hAnsi="Times New Roman" w:cs="Times New Roman"/>
          <w:color w:val="000000"/>
          <w:sz w:val="21"/>
          <w:szCs w:val="21"/>
          <w:shd w:val="clear" w:color="auto" w:fill="FFFFFF"/>
        </w:rPr>
        <w:t xml:space="preserve">former forecast by the </w:t>
      </w:r>
      <w:r w:rsidR="00E7102B" w:rsidRPr="00E7102B">
        <w:rPr>
          <w:rStyle w:val="longtext"/>
          <w:rFonts w:ascii="Times New Roman" w:hAnsi="Times New Roman" w:cs="Times New Roman"/>
          <w:color w:val="000000"/>
          <w:sz w:val="21"/>
          <w:szCs w:val="21"/>
          <w:shd w:val="clear" w:color="auto" w:fill="FFFFFF"/>
        </w:rPr>
        <w:t>Central Bank</w:t>
      </w:r>
      <w:r w:rsidR="008634F0">
        <w:rPr>
          <w:rStyle w:val="longtext"/>
          <w:rFonts w:ascii="Times New Roman" w:hAnsi="Times New Roman" w:cs="Times New Roman"/>
          <w:color w:val="000000"/>
          <w:sz w:val="21"/>
          <w:szCs w:val="21"/>
          <w:shd w:val="clear" w:color="auto" w:fill="FFFFFF"/>
        </w:rPr>
        <w:t>.</w:t>
      </w:r>
      <w:r w:rsidR="00E7102B" w:rsidRPr="00E7102B">
        <w:rPr>
          <w:rStyle w:val="longtext"/>
          <w:rFonts w:ascii="Times New Roman" w:hAnsi="Times New Roman" w:cs="Times New Roman"/>
          <w:color w:val="000000"/>
          <w:sz w:val="21"/>
          <w:szCs w:val="21"/>
          <w:shd w:val="clear" w:color="auto" w:fill="FFFFFF"/>
        </w:rPr>
        <w:t xml:space="preserve"> </w:t>
      </w:r>
    </w:p>
    <w:p w14:paraId="79BAB2E0" w14:textId="77777777" w:rsidR="00A9653E" w:rsidRDefault="008634F0" w:rsidP="00A9653E">
      <w:pPr>
        <w:spacing w:line="360" w:lineRule="auto"/>
        <w:jc w:val="both"/>
        <w:rPr>
          <w:rStyle w:val="longtext"/>
          <w:rFonts w:ascii="Times New Roman" w:hAnsi="Times New Roman" w:cs="Times New Roman"/>
          <w:color w:val="000000"/>
          <w:sz w:val="21"/>
          <w:szCs w:val="21"/>
          <w:shd w:val="clear" w:color="auto" w:fill="FFFFFF"/>
        </w:rPr>
      </w:pPr>
      <w:r>
        <w:rPr>
          <w:rStyle w:val="longtext"/>
          <w:rFonts w:ascii="Times New Roman" w:hAnsi="Times New Roman" w:cs="Times New Roman"/>
          <w:color w:val="000000"/>
          <w:sz w:val="21"/>
          <w:szCs w:val="21"/>
          <w:shd w:val="clear" w:color="auto" w:fill="FFFFFF"/>
        </w:rPr>
        <w:t>In the 4th</w:t>
      </w:r>
      <w:r w:rsidR="00E7102B" w:rsidRPr="00E7102B">
        <w:rPr>
          <w:rStyle w:val="longtext"/>
          <w:rFonts w:ascii="Times New Roman" w:hAnsi="Times New Roman" w:cs="Times New Roman"/>
          <w:color w:val="000000"/>
          <w:sz w:val="21"/>
          <w:szCs w:val="21"/>
          <w:shd w:val="clear" w:color="auto" w:fill="FFFFFF"/>
        </w:rPr>
        <w:t xml:space="preserve"> </w:t>
      </w:r>
      <w:r>
        <w:rPr>
          <w:rStyle w:val="longtext"/>
          <w:rFonts w:ascii="Times New Roman" w:hAnsi="Times New Roman" w:cs="Times New Roman"/>
          <w:color w:val="000000"/>
          <w:sz w:val="21"/>
          <w:szCs w:val="21"/>
          <w:shd w:val="clear" w:color="auto" w:fill="FFFFFF"/>
        </w:rPr>
        <w:t xml:space="preserve">quarter of 2014, the economic activity slowed down due to </w:t>
      </w:r>
      <w:r w:rsidR="00E7130F">
        <w:rPr>
          <w:rStyle w:val="longtext"/>
          <w:rFonts w:ascii="Times New Roman" w:hAnsi="Times New Roman" w:cs="Times New Roman"/>
          <w:color w:val="000000"/>
          <w:sz w:val="21"/>
          <w:szCs w:val="21"/>
          <w:shd w:val="clear" w:color="auto" w:fill="FFFFFF"/>
        </w:rPr>
        <w:t xml:space="preserve">reduced trade volumes. Indeed, in the period January-December the </w:t>
      </w:r>
      <w:r w:rsidR="009068AE" w:rsidRPr="009068AE">
        <w:rPr>
          <w:rStyle w:val="longtext"/>
          <w:rFonts w:ascii="Times New Roman" w:hAnsi="Times New Roman" w:cs="Times New Roman"/>
          <w:color w:val="000000"/>
          <w:sz w:val="21"/>
          <w:szCs w:val="21"/>
          <w:shd w:val="clear" w:color="auto" w:fill="FFFFFF"/>
        </w:rPr>
        <w:t xml:space="preserve">economic </w:t>
      </w:r>
      <w:r w:rsidR="00A9653E" w:rsidRPr="00EC356F">
        <w:rPr>
          <w:rStyle w:val="longtext"/>
          <w:rFonts w:ascii="Times New Roman" w:hAnsi="Times New Roman" w:cs="Times New Roman"/>
          <w:color w:val="000000"/>
          <w:sz w:val="21"/>
          <w:szCs w:val="21"/>
          <w:shd w:val="clear" w:color="auto" w:fill="FFFFFF"/>
        </w:rPr>
        <w:t>activity</w:t>
      </w:r>
      <w:r w:rsidR="00E7130F">
        <w:rPr>
          <w:rStyle w:val="longtext"/>
          <w:rFonts w:ascii="Times New Roman" w:hAnsi="Times New Roman" w:cs="Times New Roman"/>
          <w:color w:val="000000"/>
          <w:sz w:val="21"/>
          <w:szCs w:val="21"/>
          <w:shd w:val="clear" w:color="auto" w:fill="FFFFFF"/>
        </w:rPr>
        <w:t xml:space="preserve"> indicator has grown by 3.9% compared to the </w:t>
      </w:r>
      <w:r w:rsidR="00E7130F" w:rsidRPr="00EC356F">
        <w:rPr>
          <w:rStyle w:val="longtext"/>
          <w:rFonts w:ascii="Times New Roman" w:hAnsi="Times New Roman" w:cs="Times New Roman"/>
          <w:color w:val="000000"/>
          <w:sz w:val="21"/>
          <w:szCs w:val="21"/>
          <w:shd w:val="clear" w:color="auto" w:fill="FFFFFF"/>
        </w:rPr>
        <w:t>January-</w:t>
      </w:r>
      <w:r w:rsidR="00E7130F" w:rsidRPr="009068AE">
        <w:rPr>
          <w:rStyle w:val="longtext"/>
          <w:rFonts w:ascii="Times New Roman" w:hAnsi="Times New Roman" w:cs="Times New Roman"/>
          <w:color w:val="000000"/>
          <w:sz w:val="21"/>
          <w:szCs w:val="21"/>
          <w:shd w:val="clear" w:color="auto" w:fill="FFFFFF"/>
        </w:rPr>
        <w:t xml:space="preserve">September </w:t>
      </w:r>
      <w:r w:rsidR="00E7130F">
        <w:rPr>
          <w:rStyle w:val="longtext"/>
          <w:rFonts w:ascii="Times New Roman" w:hAnsi="Times New Roman" w:cs="Times New Roman"/>
          <w:color w:val="000000"/>
          <w:sz w:val="21"/>
          <w:szCs w:val="21"/>
          <w:shd w:val="clear" w:color="auto" w:fill="FFFFFF"/>
        </w:rPr>
        <w:t xml:space="preserve">growth of 4.3% y/y. </w:t>
      </w:r>
    </w:p>
    <w:p w14:paraId="0A6D2C85" w14:textId="77777777" w:rsidR="006E7BDA" w:rsidRPr="006E7BDA" w:rsidRDefault="006E7BDA" w:rsidP="00A9653E">
      <w:pPr>
        <w:spacing w:line="360" w:lineRule="auto"/>
        <w:jc w:val="both"/>
        <w:rPr>
          <w:rStyle w:val="longtext"/>
          <w:rFonts w:ascii="Times New Roman" w:hAnsi="Times New Roman" w:cs="Times New Roman"/>
          <w:b/>
          <w:color w:val="0070C0"/>
          <w:sz w:val="18"/>
          <w:szCs w:val="18"/>
          <w:shd w:val="clear" w:color="auto" w:fill="FFFFFF"/>
        </w:rPr>
      </w:pPr>
      <w:r w:rsidRPr="006E7BDA">
        <w:rPr>
          <w:rStyle w:val="longtext"/>
          <w:rFonts w:ascii="Times New Roman" w:hAnsi="Times New Roman" w:cs="Times New Roman"/>
          <w:b/>
          <w:color w:val="0070C0"/>
          <w:sz w:val="18"/>
          <w:szCs w:val="18"/>
          <w:shd w:val="clear" w:color="auto" w:fill="FFFFFF"/>
        </w:rPr>
        <w:t xml:space="preserve">The economic growth forecasts for 2014 </w:t>
      </w:r>
      <w:r>
        <w:rPr>
          <w:rStyle w:val="longtext"/>
          <w:rFonts w:ascii="Times New Roman" w:hAnsi="Times New Roman" w:cs="Times New Roman"/>
          <w:b/>
          <w:color w:val="0070C0"/>
          <w:sz w:val="18"/>
          <w:szCs w:val="18"/>
          <w:shd w:val="clear" w:color="auto" w:fill="FFFFFF"/>
        </w:rPr>
        <w:t>were</w:t>
      </w:r>
      <w:r w:rsidRPr="006E7BDA">
        <w:rPr>
          <w:rStyle w:val="longtext"/>
          <w:rFonts w:ascii="Times New Roman" w:hAnsi="Times New Roman" w:cs="Times New Roman"/>
          <w:b/>
          <w:color w:val="0070C0"/>
          <w:sz w:val="18"/>
          <w:szCs w:val="18"/>
          <w:shd w:val="clear" w:color="auto" w:fill="FFFFFF"/>
        </w:rPr>
        <w:t xml:space="preserve"> much the same: </w:t>
      </w:r>
      <w:r>
        <w:rPr>
          <w:rStyle w:val="longtext"/>
          <w:rFonts w:ascii="Times New Roman" w:hAnsi="Times New Roman" w:cs="Times New Roman"/>
          <w:b/>
          <w:color w:val="0070C0"/>
          <w:sz w:val="18"/>
          <w:szCs w:val="18"/>
          <w:shd w:val="clear" w:color="auto" w:fill="FFFFFF"/>
        </w:rPr>
        <w:t xml:space="preserve">it </w:t>
      </w:r>
      <w:r w:rsidRPr="006E7BDA">
        <w:rPr>
          <w:rStyle w:val="longtext"/>
          <w:rFonts w:ascii="Times New Roman" w:hAnsi="Times New Roman" w:cs="Times New Roman"/>
          <w:b/>
          <w:color w:val="0070C0"/>
          <w:sz w:val="18"/>
          <w:szCs w:val="18"/>
          <w:shd w:val="clear" w:color="auto" w:fill="FFFFFF"/>
        </w:rPr>
        <w:t>is expected in the range</w:t>
      </w:r>
      <w:r w:rsidR="00154D71">
        <w:rPr>
          <w:rStyle w:val="longtext"/>
          <w:rFonts w:ascii="Times New Roman" w:hAnsi="Times New Roman" w:cs="Times New Roman"/>
          <w:b/>
          <w:color w:val="0070C0"/>
          <w:sz w:val="18"/>
          <w:szCs w:val="18"/>
          <w:shd w:val="clear" w:color="auto" w:fill="FFFFFF"/>
        </w:rPr>
        <w:t xml:space="preserve"> of</w:t>
      </w:r>
      <w:r w:rsidRPr="006E7BDA">
        <w:rPr>
          <w:rStyle w:val="longtext"/>
          <w:rFonts w:ascii="Times New Roman" w:hAnsi="Times New Roman" w:cs="Times New Roman"/>
          <w:b/>
          <w:color w:val="0070C0"/>
          <w:sz w:val="18"/>
          <w:szCs w:val="18"/>
          <w:shd w:val="clear" w:color="auto" w:fill="FFFFFF"/>
        </w:rPr>
        <w:t xml:space="preserve"> 3.2</w:t>
      </w:r>
      <w:r w:rsidR="00154D71">
        <w:rPr>
          <w:rStyle w:val="longtext"/>
          <w:rFonts w:ascii="Times New Roman" w:hAnsi="Times New Roman" w:cs="Times New Roman"/>
          <w:b/>
          <w:color w:val="0070C0"/>
          <w:sz w:val="18"/>
          <w:szCs w:val="18"/>
          <w:shd w:val="clear" w:color="auto" w:fill="FFFFFF"/>
        </w:rPr>
        <w:t>%</w:t>
      </w:r>
      <w:r w:rsidRPr="006E7BDA">
        <w:rPr>
          <w:rStyle w:val="longtext"/>
          <w:rFonts w:ascii="Times New Roman" w:hAnsi="Times New Roman" w:cs="Times New Roman"/>
          <w:b/>
          <w:color w:val="0070C0"/>
          <w:sz w:val="18"/>
          <w:szCs w:val="18"/>
          <w:shd w:val="clear" w:color="auto" w:fill="FFFFFF"/>
        </w:rPr>
        <w:t>-3.5%...</w:t>
      </w:r>
    </w:p>
    <w:p w14:paraId="1951A896" w14:textId="0304F59B" w:rsidR="00A9653E" w:rsidRPr="00EC356F" w:rsidRDefault="00C47110" w:rsidP="00A9653E">
      <w:pPr>
        <w:spacing w:line="360" w:lineRule="auto"/>
        <w:jc w:val="both"/>
        <w:rPr>
          <w:rStyle w:val="longtext"/>
          <w:rFonts w:ascii="Times New Roman" w:hAnsi="Times New Roman" w:cs="Times New Roman"/>
          <w:color w:val="000000"/>
          <w:sz w:val="21"/>
          <w:szCs w:val="21"/>
          <w:shd w:val="clear" w:color="auto" w:fill="FFFFFF"/>
        </w:rPr>
      </w:pPr>
      <w:r>
        <w:rPr>
          <w:rStyle w:val="longtext"/>
          <w:rFonts w:ascii="Times New Roman" w:hAnsi="Times New Roman" w:cs="Times New Roman"/>
          <w:color w:val="000000"/>
          <w:sz w:val="21"/>
          <w:szCs w:val="21"/>
          <w:shd w:val="clear" w:color="auto" w:fill="FFFFFF"/>
        </w:rPr>
        <w:t xml:space="preserve">The macroeconomic developments were largely in line with the Central Bank forecasts, so the economic growth </w:t>
      </w:r>
      <w:proofErr w:type="gramStart"/>
      <w:r w:rsidR="00304B53">
        <w:rPr>
          <w:rStyle w:val="longtext"/>
          <w:rFonts w:ascii="Times New Roman" w:hAnsi="Times New Roman" w:cs="Times New Roman"/>
          <w:color w:val="000000"/>
          <w:sz w:val="21"/>
          <w:szCs w:val="21"/>
          <w:shd w:val="clear" w:color="auto" w:fill="FFFFFF"/>
        </w:rPr>
        <w:t xml:space="preserve">estimates  </w:t>
      </w:r>
      <w:r>
        <w:rPr>
          <w:rStyle w:val="longtext"/>
          <w:rFonts w:ascii="Times New Roman" w:hAnsi="Times New Roman" w:cs="Times New Roman"/>
          <w:color w:val="000000"/>
          <w:sz w:val="21"/>
          <w:szCs w:val="21"/>
          <w:shd w:val="clear" w:color="auto" w:fill="FFFFFF"/>
        </w:rPr>
        <w:t>for</w:t>
      </w:r>
      <w:proofErr w:type="gramEnd"/>
      <w:r>
        <w:rPr>
          <w:rStyle w:val="longtext"/>
          <w:rFonts w:ascii="Times New Roman" w:hAnsi="Times New Roman" w:cs="Times New Roman"/>
          <w:color w:val="000000"/>
          <w:sz w:val="21"/>
          <w:szCs w:val="21"/>
          <w:shd w:val="clear" w:color="auto" w:fill="FFFFFF"/>
        </w:rPr>
        <w:t xml:space="preserve"> 2014 remained unaltered – the growth is expected in the range</w:t>
      </w:r>
      <w:r w:rsidR="00154D71">
        <w:rPr>
          <w:rStyle w:val="longtext"/>
          <w:rFonts w:ascii="Times New Roman" w:hAnsi="Times New Roman" w:cs="Times New Roman"/>
          <w:color w:val="000000"/>
          <w:sz w:val="21"/>
          <w:szCs w:val="21"/>
          <w:shd w:val="clear" w:color="auto" w:fill="FFFFFF"/>
        </w:rPr>
        <w:t xml:space="preserve"> of</w:t>
      </w:r>
      <w:r>
        <w:rPr>
          <w:rStyle w:val="longtext"/>
          <w:rFonts w:ascii="Times New Roman" w:hAnsi="Times New Roman" w:cs="Times New Roman"/>
          <w:color w:val="000000"/>
          <w:sz w:val="21"/>
          <w:szCs w:val="21"/>
          <w:shd w:val="clear" w:color="auto" w:fill="FFFFFF"/>
        </w:rPr>
        <w:t xml:space="preserve"> </w:t>
      </w:r>
      <w:r w:rsidRPr="006E7BDA">
        <w:rPr>
          <w:rStyle w:val="longtext"/>
          <w:rFonts w:ascii="Times New Roman" w:hAnsi="Times New Roman" w:cs="Times New Roman"/>
          <w:b/>
          <w:color w:val="000000"/>
          <w:sz w:val="21"/>
          <w:szCs w:val="21"/>
          <w:shd w:val="clear" w:color="auto" w:fill="FFFFFF"/>
        </w:rPr>
        <w:t>3.2</w:t>
      </w:r>
      <w:r w:rsidR="00154D71">
        <w:rPr>
          <w:rStyle w:val="longtext"/>
          <w:rFonts w:ascii="Times New Roman" w:hAnsi="Times New Roman" w:cs="Times New Roman"/>
          <w:b/>
          <w:color w:val="000000"/>
          <w:sz w:val="21"/>
          <w:szCs w:val="21"/>
          <w:shd w:val="clear" w:color="auto" w:fill="FFFFFF"/>
        </w:rPr>
        <w:t>%</w:t>
      </w:r>
      <w:r w:rsidRPr="006E7BDA">
        <w:rPr>
          <w:rStyle w:val="longtext"/>
          <w:rFonts w:ascii="Times New Roman" w:hAnsi="Times New Roman" w:cs="Times New Roman"/>
          <w:b/>
          <w:color w:val="000000"/>
          <w:sz w:val="21"/>
          <w:szCs w:val="21"/>
          <w:shd w:val="clear" w:color="auto" w:fill="FFFFFF"/>
        </w:rPr>
        <w:t>-3.5%</w:t>
      </w:r>
      <w:r w:rsidR="00A9653E" w:rsidRPr="00EC356F">
        <w:rPr>
          <w:rStyle w:val="FootnoteReference"/>
          <w:rFonts w:ascii="Times New Roman" w:hAnsi="Times New Roman" w:cs="Times New Roman"/>
          <w:color w:val="000000"/>
          <w:sz w:val="21"/>
          <w:szCs w:val="21"/>
          <w:shd w:val="clear" w:color="auto" w:fill="FFFFFF"/>
        </w:rPr>
        <w:footnoteReference w:customMarkFollows="1" w:id="15"/>
        <w:t>15</w:t>
      </w:r>
      <w:r w:rsidR="00A9653E" w:rsidRPr="00EC356F">
        <w:rPr>
          <w:rStyle w:val="longtext"/>
          <w:rFonts w:ascii="Times New Roman" w:hAnsi="Times New Roman" w:cs="Times New Roman"/>
          <w:color w:val="000000"/>
          <w:sz w:val="21"/>
          <w:szCs w:val="21"/>
          <w:shd w:val="clear" w:color="auto" w:fill="FFFFFF"/>
        </w:rPr>
        <w:t xml:space="preserve">. </w:t>
      </w:r>
    </w:p>
    <w:p w14:paraId="6CBD33CB" w14:textId="77777777" w:rsidR="00A9653E" w:rsidRPr="00EC356F" w:rsidRDefault="00A9653E" w:rsidP="00A9653E">
      <w:pPr>
        <w:spacing w:line="360" w:lineRule="auto"/>
        <w:jc w:val="both"/>
        <w:rPr>
          <w:rStyle w:val="longtext"/>
          <w:rFonts w:ascii="Times New Roman" w:hAnsi="Times New Roman" w:cs="Times New Roman"/>
          <w:color w:val="000000"/>
          <w:sz w:val="21"/>
          <w:szCs w:val="21"/>
        </w:rPr>
      </w:pPr>
      <w:r w:rsidRPr="00EC356F">
        <w:rPr>
          <w:rFonts w:ascii="Times New Roman" w:hAnsi="Times New Roman" w:cs="Times New Roman"/>
          <w:sz w:val="21"/>
          <w:szCs w:val="21"/>
        </w:rPr>
        <w:t xml:space="preserve">In </w:t>
      </w:r>
      <w:r w:rsidRPr="00EC356F">
        <w:rPr>
          <w:rFonts w:ascii="Times New Roman" w:hAnsi="Times New Roman" w:cs="Times New Roman"/>
          <w:b/>
          <w:sz w:val="21"/>
          <w:szCs w:val="21"/>
        </w:rPr>
        <w:t xml:space="preserve">Industry </w:t>
      </w:r>
      <w:r w:rsidRPr="00EC356F">
        <w:rPr>
          <w:rFonts w:ascii="Times New Roman" w:hAnsi="Times New Roman" w:cs="Times New Roman"/>
          <w:sz w:val="21"/>
          <w:szCs w:val="21"/>
        </w:rPr>
        <w:t xml:space="preserve">in </w:t>
      </w:r>
      <w:r w:rsidR="00C47110">
        <w:rPr>
          <w:rFonts w:ascii="Times New Roman" w:hAnsi="Times New Roman" w:cs="Times New Roman"/>
          <w:sz w:val="21"/>
          <w:szCs w:val="21"/>
        </w:rPr>
        <w:t>2</w:t>
      </w:r>
      <w:r w:rsidRPr="00EC356F">
        <w:rPr>
          <w:rFonts w:ascii="Times New Roman" w:hAnsi="Times New Roman" w:cs="Times New Roman"/>
          <w:sz w:val="21"/>
          <w:szCs w:val="21"/>
        </w:rPr>
        <w:t xml:space="preserve">014, the growth of value added is estimated in the range </w:t>
      </w:r>
      <w:r w:rsidR="0031610B" w:rsidRPr="0031610B">
        <w:rPr>
          <w:rFonts w:ascii="Times New Roman" w:hAnsi="Times New Roman" w:cs="Times New Roman"/>
          <w:sz w:val="21"/>
          <w:szCs w:val="21"/>
        </w:rPr>
        <w:t>0</w:t>
      </w:r>
      <w:r w:rsidRPr="00EC356F">
        <w:rPr>
          <w:rFonts w:ascii="Times New Roman" w:hAnsi="Times New Roman" w:cs="Times New Roman"/>
          <w:sz w:val="21"/>
          <w:szCs w:val="21"/>
        </w:rPr>
        <w:t>.</w:t>
      </w:r>
      <w:r w:rsidR="00C47110">
        <w:rPr>
          <w:rFonts w:ascii="Times New Roman" w:hAnsi="Times New Roman" w:cs="Times New Roman"/>
          <w:sz w:val="21"/>
          <w:szCs w:val="21"/>
        </w:rPr>
        <w:t>7</w:t>
      </w:r>
      <w:r w:rsidRPr="00EC356F">
        <w:rPr>
          <w:rFonts w:ascii="Times New Roman" w:hAnsi="Times New Roman" w:cs="Times New Roman"/>
          <w:sz w:val="21"/>
          <w:szCs w:val="21"/>
        </w:rPr>
        <w:t>-1</w:t>
      </w:r>
      <w:r w:rsidR="00C47110">
        <w:rPr>
          <w:rFonts w:ascii="Times New Roman" w:hAnsi="Times New Roman" w:cs="Times New Roman"/>
          <w:sz w:val="21"/>
          <w:szCs w:val="21"/>
        </w:rPr>
        <w:t>.2</w:t>
      </w:r>
      <w:r w:rsidRPr="00EC356F">
        <w:rPr>
          <w:rFonts w:ascii="Times New Roman" w:hAnsi="Times New Roman" w:cs="Times New Roman"/>
          <w:sz w:val="21"/>
          <w:szCs w:val="21"/>
        </w:rPr>
        <w:t xml:space="preserve">% y/y, mainly due to increased output in </w:t>
      </w:r>
      <w:r w:rsidRPr="00EC356F">
        <w:rPr>
          <w:rFonts w:ascii="Times New Roman" w:hAnsi="Times New Roman" w:cs="Times New Roman"/>
          <w:i/>
          <w:sz w:val="21"/>
          <w:szCs w:val="21"/>
        </w:rPr>
        <w:t>food products</w:t>
      </w:r>
      <w:r w:rsidRPr="00EC356F">
        <w:rPr>
          <w:rFonts w:ascii="Times New Roman" w:hAnsi="Times New Roman" w:cs="Times New Roman"/>
          <w:sz w:val="21"/>
          <w:szCs w:val="21"/>
        </w:rPr>
        <w:t xml:space="preserve"> (</w:t>
      </w:r>
      <w:r w:rsidR="00C47110">
        <w:rPr>
          <w:rFonts w:ascii="Times New Roman" w:hAnsi="Times New Roman" w:cs="Times New Roman"/>
          <w:sz w:val="21"/>
          <w:szCs w:val="21"/>
        </w:rPr>
        <w:t>8</w:t>
      </w:r>
      <w:r w:rsidRPr="00EC356F">
        <w:rPr>
          <w:rFonts w:ascii="Times New Roman" w:hAnsi="Times New Roman" w:cs="Times New Roman"/>
          <w:sz w:val="21"/>
          <w:szCs w:val="21"/>
        </w:rPr>
        <w:t>.</w:t>
      </w:r>
      <w:r w:rsidR="00C47110">
        <w:rPr>
          <w:rFonts w:ascii="Times New Roman" w:hAnsi="Times New Roman" w:cs="Times New Roman"/>
          <w:sz w:val="21"/>
          <w:szCs w:val="21"/>
        </w:rPr>
        <w:t>4</w:t>
      </w:r>
      <w:r w:rsidRPr="00EC356F">
        <w:rPr>
          <w:rFonts w:ascii="Times New Roman" w:hAnsi="Times New Roman" w:cs="Times New Roman"/>
          <w:sz w:val="21"/>
          <w:szCs w:val="21"/>
        </w:rPr>
        <w:t>%)</w:t>
      </w:r>
      <w:r w:rsidR="0031610B" w:rsidRPr="0031610B">
        <w:rPr>
          <w:rStyle w:val="FootnoteReference"/>
          <w:rFonts w:ascii="Times New Roman" w:hAnsi="Times New Roman" w:cs="Times New Roman"/>
          <w:sz w:val="21"/>
          <w:szCs w:val="21"/>
        </w:rPr>
        <w:footnoteReference w:customMarkFollows="1" w:id="16"/>
        <w:t>16</w:t>
      </w:r>
      <w:r w:rsidRPr="00EC356F">
        <w:rPr>
          <w:rFonts w:ascii="Times New Roman" w:hAnsi="Times New Roman" w:cs="Times New Roman"/>
          <w:sz w:val="21"/>
          <w:szCs w:val="21"/>
        </w:rPr>
        <w:t xml:space="preserve">, </w:t>
      </w:r>
      <w:r w:rsidRPr="00EC356F">
        <w:rPr>
          <w:rFonts w:ascii="Times New Roman" w:hAnsi="Times New Roman" w:cs="Times New Roman"/>
          <w:i/>
          <w:sz w:val="21"/>
          <w:szCs w:val="21"/>
        </w:rPr>
        <w:t xml:space="preserve">metallurgy </w:t>
      </w:r>
      <w:r w:rsidRPr="00EC356F">
        <w:rPr>
          <w:rFonts w:ascii="Times New Roman" w:hAnsi="Times New Roman" w:cs="Times New Roman"/>
          <w:sz w:val="21"/>
          <w:szCs w:val="21"/>
        </w:rPr>
        <w:t>(</w:t>
      </w:r>
      <w:r w:rsidR="0031610B" w:rsidRPr="0031610B">
        <w:rPr>
          <w:rFonts w:ascii="Times New Roman" w:hAnsi="Times New Roman" w:cs="Times New Roman"/>
          <w:sz w:val="21"/>
          <w:szCs w:val="21"/>
        </w:rPr>
        <w:t>1</w:t>
      </w:r>
      <w:r w:rsidR="00C47110">
        <w:rPr>
          <w:rFonts w:ascii="Times New Roman" w:hAnsi="Times New Roman" w:cs="Times New Roman"/>
          <w:sz w:val="21"/>
          <w:szCs w:val="21"/>
        </w:rPr>
        <w:t>0</w:t>
      </w:r>
      <w:r w:rsidRPr="00EC356F">
        <w:rPr>
          <w:rFonts w:ascii="Times New Roman" w:hAnsi="Times New Roman" w:cs="Times New Roman"/>
          <w:sz w:val="21"/>
          <w:szCs w:val="21"/>
        </w:rPr>
        <w:t>.</w:t>
      </w:r>
      <w:r w:rsidR="00C47110">
        <w:rPr>
          <w:rFonts w:ascii="Times New Roman" w:hAnsi="Times New Roman" w:cs="Times New Roman"/>
          <w:sz w:val="21"/>
          <w:szCs w:val="21"/>
        </w:rPr>
        <w:t>3</w:t>
      </w:r>
      <w:r w:rsidRPr="00EC356F">
        <w:rPr>
          <w:rFonts w:ascii="Times New Roman" w:hAnsi="Times New Roman" w:cs="Times New Roman"/>
          <w:sz w:val="21"/>
          <w:szCs w:val="21"/>
        </w:rPr>
        <w:t xml:space="preserve">%), </w:t>
      </w:r>
      <w:r w:rsidRPr="00EC356F">
        <w:rPr>
          <w:rFonts w:ascii="Times New Roman" w:hAnsi="Times New Roman" w:cs="Times New Roman"/>
          <w:i/>
          <w:sz w:val="21"/>
          <w:szCs w:val="21"/>
        </w:rPr>
        <w:t xml:space="preserve">tobacco production </w:t>
      </w:r>
      <w:r w:rsidRPr="00EC356F">
        <w:rPr>
          <w:rFonts w:ascii="Times New Roman" w:hAnsi="Times New Roman" w:cs="Times New Roman"/>
          <w:sz w:val="21"/>
          <w:szCs w:val="21"/>
        </w:rPr>
        <w:t>(</w:t>
      </w:r>
      <w:r w:rsidR="00C47110">
        <w:rPr>
          <w:rFonts w:ascii="Times New Roman" w:hAnsi="Times New Roman" w:cs="Times New Roman"/>
          <w:sz w:val="21"/>
          <w:szCs w:val="21"/>
        </w:rPr>
        <w:t>3</w:t>
      </w:r>
      <w:r w:rsidR="0031610B" w:rsidRPr="0031610B">
        <w:rPr>
          <w:rFonts w:ascii="Times New Roman" w:hAnsi="Times New Roman" w:cs="Times New Roman"/>
          <w:sz w:val="21"/>
          <w:szCs w:val="21"/>
        </w:rPr>
        <w:t>6</w:t>
      </w:r>
      <w:r w:rsidRPr="00EC356F">
        <w:rPr>
          <w:rFonts w:ascii="Times New Roman" w:hAnsi="Times New Roman" w:cs="Times New Roman"/>
          <w:sz w:val="21"/>
          <w:szCs w:val="21"/>
        </w:rPr>
        <w:t>.</w:t>
      </w:r>
      <w:r w:rsidR="00C47110">
        <w:rPr>
          <w:rFonts w:ascii="Times New Roman" w:hAnsi="Times New Roman" w:cs="Times New Roman"/>
          <w:sz w:val="21"/>
          <w:szCs w:val="21"/>
        </w:rPr>
        <w:t>5</w:t>
      </w:r>
      <w:r w:rsidRPr="00EC356F">
        <w:rPr>
          <w:rFonts w:ascii="Times New Roman" w:hAnsi="Times New Roman" w:cs="Times New Roman"/>
          <w:sz w:val="21"/>
          <w:szCs w:val="21"/>
        </w:rPr>
        <w:t>%)</w:t>
      </w:r>
      <w:r w:rsidR="0031610B" w:rsidRPr="0031610B">
        <w:rPr>
          <w:rFonts w:ascii="Times New Roman" w:hAnsi="Times New Roman" w:cs="Times New Roman"/>
          <w:sz w:val="21"/>
          <w:szCs w:val="21"/>
        </w:rPr>
        <w:t xml:space="preserve">, </w:t>
      </w:r>
      <w:r w:rsidRPr="00EC356F">
        <w:rPr>
          <w:rFonts w:ascii="Times New Roman" w:hAnsi="Times New Roman" w:cs="Times New Roman"/>
          <w:sz w:val="21"/>
          <w:szCs w:val="21"/>
        </w:rPr>
        <w:t xml:space="preserve">and </w:t>
      </w:r>
      <w:r w:rsidRPr="00EC356F">
        <w:rPr>
          <w:rFonts w:ascii="Times New Roman" w:hAnsi="Times New Roman" w:cs="Times New Roman"/>
          <w:i/>
          <w:sz w:val="21"/>
          <w:szCs w:val="21"/>
        </w:rPr>
        <w:t>water supply and sewage</w:t>
      </w:r>
      <w:r w:rsidRPr="00EC356F">
        <w:rPr>
          <w:rFonts w:ascii="Times New Roman" w:hAnsi="Times New Roman" w:cs="Times New Roman"/>
          <w:sz w:val="21"/>
          <w:szCs w:val="21"/>
        </w:rPr>
        <w:t xml:space="preserve"> (</w:t>
      </w:r>
      <w:r w:rsidR="004F56A9">
        <w:rPr>
          <w:rFonts w:ascii="Times New Roman" w:hAnsi="Times New Roman" w:cs="Times New Roman"/>
          <w:sz w:val="21"/>
          <w:szCs w:val="21"/>
        </w:rPr>
        <w:t>5</w:t>
      </w:r>
      <w:r w:rsidRPr="00EC356F">
        <w:rPr>
          <w:rFonts w:ascii="Times New Roman" w:hAnsi="Times New Roman" w:cs="Times New Roman"/>
          <w:sz w:val="21"/>
          <w:szCs w:val="21"/>
        </w:rPr>
        <w:t>%). A</w:t>
      </w:r>
      <w:r w:rsidR="004F56A9">
        <w:rPr>
          <w:rFonts w:ascii="Times New Roman" w:hAnsi="Times New Roman" w:cs="Times New Roman"/>
          <w:sz w:val="21"/>
          <w:szCs w:val="21"/>
        </w:rPr>
        <w:t xml:space="preserve">cceleration of </w:t>
      </w:r>
      <w:r w:rsidRPr="00EC356F">
        <w:rPr>
          <w:rFonts w:ascii="Times New Roman" w:hAnsi="Times New Roman" w:cs="Times New Roman"/>
          <w:sz w:val="21"/>
          <w:szCs w:val="21"/>
        </w:rPr>
        <w:t>growth rate</w:t>
      </w:r>
      <w:r w:rsidR="004F56A9">
        <w:rPr>
          <w:rFonts w:ascii="Times New Roman" w:hAnsi="Times New Roman" w:cs="Times New Roman"/>
          <w:sz w:val="21"/>
          <w:szCs w:val="21"/>
        </w:rPr>
        <w:t>s</w:t>
      </w:r>
      <w:r w:rsidRPr="00EC356F">
        <w:rPr>
          <w:rFonts w:ascii="Times New Roman" w:hAnsi="Times New Roman" w:cs="Times New Roman"/>
          <w:sz w:val="21"/>
          <w:szCs w:val="21"/>
        </w:rPr>
        <w:t xml:space="preserve"> in the sector </w:t>
      </w:r>
      <w:r w:rsidR="004F56A9">
        <w:rPr>
          <w:rFonts w:ascii="Times New Roman" w:hAnsi="Times New Roman" w:cs="Times New Roman"/>
          <w:sz w:val="21"/>
          <w:szCs w:val="21"/>
        </w:rPr>
        <w:t>in the 4th quarter i</w:t>
      </w:r>
      <w:r w:rsidRPr="00EC356F">
        <w:rPr>
          <w:rFonts w:ascii="Times New Roman" w:hAnsi="Times New Roman" w:cs="Times New Roman"/>
          <w:sz w:val="21"/>
          <w:szCs w:val="21"/>
        </w:rPr>
        <w:t xml:space="preserve">s </w:t>
      </w:r>
      <w:r w:rsidRPr="00EC356F">
        <w:rPr>
          <w:rFonts w:ascii="Times New Roman" w:hAnsi="Times New Roman" w:cs="Times New Roman"/>
          <w:sz w:val="21"/>
          <w:szCs w:val="21"/>
        </w:rPr>
        <w:lastRenderedPageBreak/>
        <w:t>primarily a</w:t>
      </w:r>
      <w:r w:rsidR="004F56A9">
        <w:rPr>
          <w:rFonts w:ascii="Times New Roman" w:hAnsi="Times New Roman" w:cs="Times New Roman"/>
          <w:sz w:val="21"/>
          <w:szCs w:val="21"/>
        </w:rPr>
        <w:t xml:space="preserve">ttributable to exploring new export markets and diversified exports. It is worth mentioning that reduced export output to Russia has been offset by strong growth of exports to </w:t>
      </w:r>
      <w:r w:rsidR="00DC3FBF">
        <w:rPr>
          <w:rFonts w:ascii="Times New Roman" w:hAnsi="Times New Roman" w:cs="Times New Roman"/>
          <w:sz w:val="21"/>
          <w:szCs w:val="21"/>
        </w:rPr>
        <w:t>other world</w:t>
      </w:r>
      <w:r w:rsidR="00D66171">
        <w:rPr>
          <w:rStyle w:val="FootnoteReference"/>
          <w:rFonts w:ascii="Times New Roman" w:hAnsi="Times New Roman" w:cs="Times New Roman"/>
          <w:sz w:val="21"/>
          <w:szCs w:val="21"/>
        </w:rPr>
        <w:footnoteReference w:customMarkFollows="1" w:id="17"/>
        <w:t>17</w:t>
      </w:r>
      <w:r w:rsidR="00DC3FBF">
        <w:rPr>
          <w:rFonts w:ascii="Times New Roman" w:hAnsi="Times New Roman" w:cs="Times New Roman"/>
          <w:sz w:val="21"/>
          <w:szCs w:val="21"/>
        </w:rPr>
        <w:t xml:space="preserve">. </w:t>
      </w:r>
      <w:r w:rsidR="004F56A9">
        <w:rPr>
          <w:rFonts w:ascii="Times New Roman" w:hAnsi="Times New Roman" w:cs="Times New Roman"/>
          <w:sz w:val="21"/>
          <w:szCs w:val="21"/>
        </w:rPr>
        <w:t xml:space="preserve">  </w:t>
      </w:r>
      <w:r w:rsidRPr="00EC356F">
        <w:rPr>
          <w:rFonts w:ascii="Times New Roman" w:hAnsi="Times New Roman" w:cs="Times New Roman"/>
          <w:sz w:val="21"/>
          <w:szCs w:val="21"/>
        </w:rPr>
        <w:t xml:space="preserve">  </w:t>
      </w:r>
    </w:p>
    <w:p w14:paraId="3178E084" w14:textId="77777777" w:rsidR="00A9653E" w:rsidRPr="00EC356F" w:rsidRDefault="006C4223" w:rsidP="00A9653E">
      <w:pPr>
        <w:spacing w:before="240" w:line="360" w:lineRule="auto"/>
        <w:jc w:val="both"/>
        <w:rPr>
          <w:rFonts w:ascii="Times New Roman" w:hAnsi="Times New Roman" w:cs="Times New Roman"/>
          <w:sz w:val="21"/>
          <w:szCs w:val="21"/>
        </w:rPr>
      </w:pPr>
      <w:r>
        <w:rPr>
          <w:rFonts w:ascii="Times New Roman" w:hAnsi="Times New Roman" w:cs="Times New Roman"/>
          <w:sz w:val="21"/>
          <w:szCs w:val="21"/>
        </w:rPr>
        <w:t xml:space="preserve">Based on </w:t>
      </w:r>
      <w:r w:rsidR="00A9653E" w:rsidRPr="00EC356F">
        <w:rPr>
          <w:rFonts w:ascii="Times New Roman" w:hAnsi="Times New Roman" w:cs="Times New Roman"/>
          <w:sz w:val="21"/>
          <w:szCs w:val="21"/>
        </w:rPr>
        <w:t xml:space="preserve">actual developments in </w:t>
      </w:r>
      <w:r w:rsidR="00A9653E" w:rsidRPr="00EC356F">
        <w:rPr>
          <w:rFonts w:ascii="Times New Roman" w:hAnsi="Times New Roman" w:cs="Times New Roman"/>
          <w:b/>
          <w:sz w:val="21"/>
          <w:szCs w:val="21"/>
        </w:rPr>
        <w:t>Construction</w:t>
      </w:r>
      <w:r w:rsidR="00A9653E" w:rsidRPr="00EC356F">
        <w:rPr>
          <w:rFonts w:ascii="Times New Roman" w:hAnsi="Times New Roman" w:cs="Times New Roman"/>
          <w:sz w:val="21"/>
          <w:szCs w:val="21"/>
        </w:rPr>
        <w:t xml:space="preserve"> reported for 2014, the decline of value added is estimated within </w:t>
      </w:r>
      <w:r>
        <w:rPr>
          <w:rFonts w:ascii="Times New Roman" w:hAnsi="Times New Roman" w:cs="Times New Roman"/>
          <w:sz w:val="21"/>
          <w:szCs w:val="21"/>
        </w:rPr>
        <w:t>3</w:t>
      </w:r>
      <w:r w:rsidR="00A9653E" w:rsidRPr="00EC356F">
        <w:rPr>
          <w:rFonts w:ascii="Times New Roman" w:hAnsi="Times New Roman" w:cs="Times New Roman"/>
          <w:sz w:val="21"/>
          <w:szCs w:val="21"/>
        </w:rPr>
        <w:t>.</w:t>
      </w:r>
      <w:r>
        <w:rPr>
          <w:rFonts w:ascii="Times New Roman" w:hAnsi="Times New Roman" w:cs="Times New Roman"/>
          <w:sz w:val="21"/>
          <w:szCs w:val="21"/>
        </w:rPr>
        <w:t>5</w:t>
      </w:r>
      <w:r w:rsidR="00A9653E" w:rsidRPr="00EC356F">
        <w:rPr>
          <w:rFonts w:ascii="Times New Roman" w:hAnsi="Times New Roman" w:cs="Times New Roman"/>
          <w:sz w:val="21"/>
          <w:szCs w:val="21"/>
        </w:rPr>
        <w:t>-</w:t>
      </w:r>
      <w:r>
        <w:rPr>
          <w:rFonts w:ascii="Times New Roman" w:hAnsi="Times New Roman" w:cs="Times New Roman"/>
          <w:sz w:val="21"/>
          <w:szCs w:val="21"/>
        </w:rPr>
        <w:t>4</w:t>
      </w:r>
      <w:r w:rsidR="007E116F" w:rsidRPr="007E116F">
        <w:rPr>
          <w:rFonts w:ascii="Times New Roman" w:hAnsi="Times New Roman" w:cs="Times New Roman"/>
          <w:sz w:val="21"/>
          <w:szCs w:val="21"/>
        </w:rPr>
        <w:t>.</w:t>
      </w:r>
      <w:r>
        <w:rPr>
          <w:rFonts w:ascii="Times New Roman" w:hAnsi="Times New Roman" w:cs="Times New Roman"/>
          <w:sz w:val="21"/>
          <w:szCs w:val="21"/>
        </w:rPr>
        <w:t>5</w:t>
      </w:r>
      <w:r w:rsidR="00A9653E" w:rsidRPr="00EC356F">
        <w:rPr>
          <w:rFonts w:ascii="Times New Roman" w:hAnsi="Times New Roman" w:cs="Times New Roman"/>
          <w:sz w:val="21"/>
          <w:szCs w:val="21"/>
        </w:rPr>
        <w:t xml:space="preserve">%. </w:t>
      </w:r>
      <w:r w:rsidR="00333FEC" w:rsidRPr="004514E6">
        <w:rPr>
          <w:rFonts w:ascii="Times New Roman" w:hAnsi="Times New Roman" w:cs="Times New Roman"/>
          <w:sz w:val="21"/>
          <w:szCs w:val="21"/>
        </w:rPr>
        <w:t>Exclusive of</w:t>
      </w:r>
      <w:r w:rsidR="00A9653E" w:rsidRPr="00EC356F">
        <w:rPr>
          <w:rFonts w:ascii="Times New Roman" w:hAnsi="Times New Roman" w:cs="Times New Roman"/>
          <w:sz w:val="21"/>
          <w:szCs w:val="21"/>
        </w:rPr>
        <w:t xml:space="preserve"> reduced volumes of construction financed by </w:t>
      </w:r>
      <w:r w:rsidR="00A9653E" w:rsidRPr="00EC356F">
        <w:rPr>
          <w:rFonts w:ascii="Times New Roman" w:hAnsi="Times New Roman" w:cs="Times New Roman"/>
          <w:i/>
          <w:sz w:val="21"/>
          <w:szCs w:val="21"/>
        </w:rPr>
        <w:t>households</w:t>
      </w:r>
      <w:r w:rsidR="00A9653E" w:rsidRPr="00EC356F">
        <w:rPr>
          <w:rFonts w:ascii="Times New Roman" w:hAnsi="Times New Roman" w:cs="Times New Roman"/>
          <w:sz w:val="21"/>
          <w:szCs w:val="21"/>
        </w:rPr>
        <w:t xml:space="preserve"> (</w:t>
      </w:r>
      <w:r>
        <w:rPr>
          <w:rFonts w:ascii="Times New Roman" w:hAnsi="Times New Roman" w:cs="Times New Roman"/>
          <w:sz w:val="21"/>
          <w:szCs w:val="21"/>
        </w:rPr>
        <w:t>18</w:t>
      </w:r>
      <w:r w:rsidR="00A9653E" w:rsidRPr="00EC356F">
        <w:rPr>
          <w:rFonts w:ascii="Times New Roman" w:hAnsi="Times New Roman" w:cs="Times New Roman"/>
          <w:sz w:val="21"/>
          <w:szCs w:val="21"/>
        </w:rPr>
        <w:t>.</w:t>
      </w:r>
      <w:r>
        <w:rPr>
          <w:rFonts w:ascii="Times New Roman" w:hAnsi="Times New Roman" w:cs="Times New Roman"/>
          <w:sz w:val="21"/>
          <w:szCs w:val="21"/>
        </w:rPr>
        <w:t>9</w:t>
      </w:r>
      <w:r w:rsidR="00A9653E" w:rsidRPr="00EC356F">
        <w:rPr>
          <w:rFonts w:ascii="Times New Roman" w:hAnsi="Times New Roman" w:cs="Times New Roman"/>
          <w:sz w:val="21"/>
          <w:szCs w:val="21"/>
        </w:rPr>
        <w:t>%)</w:t>
      </w:r>
      <w:r w:rsidR="004514E6" w:rsidRPr="004514E6">
        <w:rPr>
          <w:rFonts w:ascii="Times New Roman" w:hAnsi="Times New Roman" w:cs="Times New Roman"/>
          <w:sz w:val="21"/>
          <w:szCs w:val="21"/>
        </w:rPr>
        <w:t>,</w:t>
      </w:r>
      <w:r>
        <w:rPr>
          <w:rFonts w:ascii="Times New Roman" w:hAnsi="Times New Roman" w:cs="Times New Roman"/>
          <w:sz w:val="21"/>
          <w:szCs w:val="21"/>
        </w:rPr>
        <w:t xml:space="preserve"> </w:t>
      </w:r>
      <w:r w:rsidR="004514E6" w:rsidRPr="00EC356F">
        <w:rPr>
          <w:rFonts w:ascii="Times New Roman" w:hAnsi="Times New Roman" w:cs="Times New Roman"/>
          <w:i/>
          <w:sz w:val="21"/>
          <w:szCs w:val="21"/>
        </w:rPr>
        <w:t xml:space="preserve">state budget </w:t>
      </w:r>
      <w:r w:rsidR="004514E6" w:rsidRPr="00EC356F">
        <w:rPr>
          <w:rFonts w:ascii="Times New Roman" w:hAnsi="Times New Roman" w:cs="Times New Roman"/>
          <w:sz w:val="21"/>
          <w:szCs w:val="21"/>
        </w:rPr>
        <w:t>(</w:t>
      </w:r>
      <w:r w:rsidR="004514E6" w:rsidRPr="004514E6">
        <w:rPr>
          <w:rFonts w:ascii="Times New Roman" w:hAnsi="Times New Roman" w:cs="Times New Roman"/>
          <w:sz w:val="21"/>
          <w:szCs w:val="21"/>
        </w:rPr>
        <w:t>by 1</w:t>
      </w:r>
      <w:r>
        <w:rPr>
          <w:rFonts w:ascii="Times New Roman" w:hAnsi="Times New Roman" w:cs="Times New Roman"/>
          <w:sz w:val="21"/>
          <w:szCs w:val="21"/>
        </w:rPr>
        <w:t>3</w:t>
      </w:r>
      <w:r w:rsidR="004514E6" w:rsidRPr="00EC356F">
        <w:rPr>
          <w:rFonts w:ascii="Times New Roman" w:hAnsi="Times New Roman" w:cs="Times New Roman"/>
          <w:sz w:val="21"/>
          <w:szCs w:val="21"/>
        </w:rPr>
        <w:t>.</w:t>
      </w:r>
      <w:r w:rsidR="004514E6" w:rsidRPr="004514E6">
        <w:rPr>
          <w:rFonts w:ascii="Times New Roman" w:hAnsi="Times New Roman" w:cs="Times New Roman"/>
          <w:sz w:val="21"/>
          <w:szCs w:val="21"/>
        </w:rPr>
        <w:t>5</w:t>
      </w:r>
      <w:r w:rsidR="004514E6" w:rsidRPr="00EC356F">
        <w:rPr>
          <w:rFonts w:ascii="Times New Roman" w:hAnsi="Times New Roman" w:cs="Times New Roman"/>
          <w:sz w:val="21"/>
          <w:szCs w:val="21"/>
        </w:rPr>
        <w:t xml:space="preserve">%) </w:t>
      </w:r>
      <w:r w:rsidR="00A9653E" w:rsidRPr="00EC356F">
        <w:rPr>
          <w:rFonts w:ascii="Times New Roman" w:hAnsi="Times New Roman" w:cs="Times New Roman"/>
          <w:sz w:val="21"/>
          <w:szCs w:val="21"/>
        </w:rPr>
        <w:t>and</w:t>
      </w:r>
      <w:r w:rsidR="00A9653E" w:rsidRPr="00EC356F">
        <w:rPr>
          <w:rFonts w:ascii="Times New Roman" w:hAnsi="Times New Roman" w:cs="Times New Roman"/>
          <w:i/>
          <w:sz w:val="21"/>
          <w:szCs w:val="21"/>
        </w:rPr>
        <w:t xml:space="preserve"> humanitarian aid</w:t>
      </w:r>
      <w:r w:rsidR="00A9653E" w:rsidRPr="00EC356F">
        <w:rPr>
          <w:rFonts w:ascii="Times New Roman" w:hAnsi="Times New Roman" w:cs="Times New Roman"/>
          <w:sz w:val="21"/>
          <w:szCs w:val="21"/>
        </w:rPr>
        <w:t xml:space="preserve"> (</w:t>
      </w:r>
      <w:r w:rsidR="004514E6" w:rsidRPr="004514E6">
        <w:rPr>
          <w:rFonts w:ascii="Times New Roman" w:hAnsi="Times New Roman" w:cs="Times New Roman"/>
          <w:sz w:val="21"/>
          <w:szCs w:val="21"/>
        </w:rPr>
        <w:t xml:space="preserve">by </w:t>
      </w:r>
      <w:r>
        <w:rPr>
          <w:rFonts w:ascii="Times New Roman" w:hAnsi="Times New Roman" w:cs="Times New Roman"/>
          <w:sz w:val="21"/>
          <w:szCs w:val="21"/>
        </w:rPr>
        <w:t>23</w:t>
      </w:r>
      <w:r w:rsidR="00A9653E" w:rsidRPr="00EC356F">
        <w:rPr>
          <w:rFonts w:ascii="Times New Roman" w:hAnsi="Times New Roman" w:cs="Times New Roman"/>
          <w:sz w:val="21"/>
          <w:szCs w:val="21"/>
        </w:rPr>
        <w:t>.</w:t>
      </w:r>
      <w:r>
        <w:rPr>
          <w:rFonts w:ascii="Times New Roman" w:hAnsi="Times New Roman" w:cs="Times New Roman"/>
          <w:sz w:val="21"/>
          <w:szCs w:val="21"/>
        </w:rPr>
        <w:t>6</w:t>
      </w:r>
      <w:r w:rsidR="00A9653E" w:rsidRPr="00EC356F">
        <w:rPr>
          <w:rFonts w:ascii="Times New Roman" w:hAnsi="Times New Roman" w:cs="Times New Roman"/>
          <w:sz w:val="21"/>
          <w:szCs w:val="21"/>
        </w:rPr>
        <w:t xml:space="preserve">%), all other sources of construction financing posted growths, as follows: </w:t>
      </w:r>
      <w:r w:rsidR="00A9653E" w:rsidRPr="00EC356F">
        <w:rPr>
          <w:rFonts w:ascii="Times New Roman" w:hAnsi="Times New Roman" w:cs="Times New Roman"/>
          <w:i/>
          <w:sz w:val="21"/>
          <w:szCs w:val="21"/>
        </w:rPr>
        <w:t>organizations</w:t>
      </w:r>
      <w:r w:rsidR="00A9653E" w:rsidRPr="00EC356F">
        <w:rPr>
          <w:rFonts w:ascii="Times New Roman" w:hAnsi="Times New Roman" w:cs="Times New Roman"/>
          <w:sz w:val="21"/>
          <w:szCs w:val="21"/>
        </w:rPr>
        <w:t xml:space="preserve"> (</w:t>
      </w:r>
      <w:r w:rsidR="00272048">
        <w:rPr>
          <w:rFonts w:ascii="Times New Roman" w:hAnsi="Times New Roman" w:cs="Times New Roman"/>
          <w:sz w:val="21"/>
          <w:szCs w:val="21"/>
        </w:rPr>
        <w:t>3</w:t>
      </w:r>
      <w:r w:rsidR="00A9653E" w:rsidRPr="00EC356F">
        <w:rPr>
          <w:rFonts w:ascii="Times New Roman" w:hAnsi="Times New Roman" w:cs="Times New Roman"/>
          <w:sz w:val="21"/>
          <w:szCs w:val="21"/>
        </w:rPr>
        <w:t>.</w:t>
      </w:r>
      <w:r w:rsidR="004514E6" w:rsidRPr="004514E6">
        <w:rPr>
          <w:rFonts w:ascii="Times New Roman" w:hAnsi="Times New Roman" w:cs="Times New Roman"/>
          <w:sz w:val="21"/>
          <w:szCs w:val="21"/>
        </w:rPr>
        <w:t>7</w:t>
      </w:r>
      <w:r w:rsidR="00A9653E" w:rsidRPr="00EC356F">
        <w:rPr>
          <w:rFonts w:ascii="Times New Roman" w:hAnsi="Times New Roman" w:cs="Times New Roman"/>
          <w:sz w:val="21"/>
          <w:szCs w:val="21"/>
        </w:rPr>
        <w:t xml:space="preserve">%), </w:t>
      </w:r>
      <w:r w:rsidR="00A9653E" w:rsidRPr="00EC356F">
        <w:rPr>
          <w:rFonts w:ascii="Times New Roman" w:hAnsi="Times New Roman" w:cs="Times New Roman"/>
          <w:i/>
          <w:sz w:val="21"/>
          <w:szCs w:val="21"/>
        </w:rPr>
        <w:t xml:space="preserve">international credit </w:t>
      </w:r>
      <w:r w:rsidR="00A9653E" w:rsidRPr="00EC356F">
        <w:rPr>
          <w:rFonts w:ascii="Times New Roman" w:hAnsi="Times New Roman" w:cs="Times New Roman"/>
          <w:sz w:val="21"/>
          <w:szCs w:val="21"/>
        </w:rPr>
        <w:t>(</w:t>
      </w:r>
      <w:r w:rsidR="00272048">
        <w:rPr>
          <w:rFonts w:ascii="Times New Roman" w:hAnsi="Times New Roman" w:cs="Times New Roman"/>
          <w:sz w:val="21"/>
          <w:szCs w:val="21"/>
        </w:rPr>
        <w:t>7</w:t>
      </w:r>
      <w:r w:rsidR="00A9653E" w:rsidRPr="00EC356F">
        <w:rPr>
          <w:rFonts w:ascii="Times New Roman" w:hAnsi="Times New Roman" w:cs="Times New Roman"/>
          <w:sz w:val="21"/>
          <w:szCs w:val="21"/>
        </w:rPr>
        <w:t>.</w:t>
      </w:r>
      <w:r w:rsidR="00272048">
        <w:rPr>
          <w:rFonts w:ascii="Times New Roman" w:hAnsi="Times New Roman" w:cs="Times New Roman"/>
          <w:sz w:val="21"/>
          <w:szCs w:val="21"/>
        </w:rPr>
        <w:t>5</w:t>
      </w:r>
      <w:r w:rsidR="00A9653E" w:rsidRPr="00EC356F">
        <w:rPr>
          <w:rFonts w:ascii="Times New Roman" w:hAnsi="Times New Roman" w:cs="Times New Roman"/>
          <w:sz w:val="21"/>
          <w:szCs w:val="21"/>
        </w:rPr>
        <w:t xml:space="preserve">%) and </w:t>
      </w:r>
      <w:r w:rsidR="00A9653E" w:rsidRPr="00EC356F">
        <w:rPr>
          <w:rFonts w:ascii="Times New Roman" w:hAnsi="Times New Roman" w:cs="Times New Roman"/>
          <w:i/>
          <w:sz w:val="21"/>
          <w:szCs w:val="21"/>
        </w:rPr>
        <w:t>local community budgets</w:t>
      </w:r>
      <w:r w:rsidR="00A9653E" w:rsidRPr="00EC356F">
        <w:rPr>
          <w:rFonts w:ascii="Times New Roman" w:hAnsi="Times New Roman" w:cs="Times New Roman"/>
          <w:sz w:val="21"/>
          <w:szCs w:val="21"/>
        </w:rPr>
        <w:t xml:space="preserve"> (</w:t>
      </w:r>
      <w:r w:rsidR="00272048">
        <w:rPr>
          <w:rFonts w:ascii="Times New Roman" w:hAnsi="Times New Roman" w:cs="Times New Roman"/>
          <w:sz w:val="21"/>
          <w:szCs w:val="21"/>
        </w:rPr>
        <w:t>61</w:t>
      </w:r>
      <w:r w:rsidR="00A9653E" w:rsidRPr="00EC356F">
        <w:rPr>
          <w:rFonts w:ascii="Times New Roman" w:hAnsi="Times New Roman" w:cs="Times New Roman"/>
          <w:sz w:val="21"/>
          <w:szCs w:val="21"/>
        </w:rPr>
        <w:t>.</w:t>
      </w:r>
      <w:r w:rsidR="00272048">
        <w:rPr>
          <w:rFonts w:ascii="Times New Roman" w:hAnsi="Times New Roman" w:cs="Times New Roman"/>
          <w:sz w:val="21"/>
          <w:szCs w:val="21"/>
        </w:rPr>
        <w:t>9</w:t>
      </w:r>
      <w:r w:rsidR="00A9653E" w:rsidRPr="00EC356F">
        <w:rPr>
          <w:rFonts w:ascii="Times New Roman" w:hAnsi="Times New Roman" w:cs="Times New Roman"/>
          <w:sz w:val="21"/>
          <w:szCs w:val="21"/>
        </w:rPr>
        <w:t xml:space="preserve">%).    </w:t>
      </w:r>
    </w:p>
    <w:p w14:paraId="054A05D8" w14:textId="77777777" w:rsidR="00A9653E" w:rsidRPr="00EC356F" w:rsidRDefault="00A9653E" w:rsidP="00A9653E">
      <w:pPr>
        <w:spacing w:line="360" w:lineRule="auto"/>
        <w:jc w:val="both"/>
        <w:rPr>
          <w:rStyle w:val="longtext"/>
          <w:rFonts w:ascii="Times New Roman" w:hAnsi="Times New Roman" w:cs="Times New Roman"/>
          <w:color w:val="000000"/>
          <w:sz w:val="21"/>
          <w:szCs w:val="21"/>
        </w:rPr>
      </w:pPr>
      <w:r w:rsidRPr="00EC356F">
        <w:rPr>
          <w:rFonts w:ascii="Times New Roman" w:hAnsi="Times New Roman" w:cs="Times New Roman"/>
          <w:sz w:val="21"/>
          <w:szCs w:val="21"/>
        </w:rPr>
        <w:t xml:space="preserve">In </w:t>
      </w:r>
      <w:r w:rsidRPr="00EC356F">
        <w:rPr>
          <w:rFonts w:ascii="Times New Roman" w:hAnsi="Times New Roman" w:cs="Times New Roman"/>
          <w:b/>
          <w:sz w:val="21"/>
          <w:szCs w:val="21"/>
        </w:rPr>
        <w:t>Services</w:t>
      </w:r>
      <w:r w:rsidRPr="00EC356F">
        <w:rPr>
          <w:rFonts w:ascii="Times New Roman" w:hAnsi="Times New Roman" w:cs="Times New Roman"/>
          <w:sz w:val="21"/>
          <w:szCs w:val="21"/>
        </w:rPr>
        <w:t xml:space="preserve">, the growth of value added </w:t>
      </w:r>
      <w:r w:rsidR="004F6F44" w:rsidRPr="004F6F44">
        <w:rPr>
          <w:rFonts w:ascii="Times New Roman" w:hAnsi="Times New Roman" w:cs="Times New Roman"/>
          <w:sz w:val="21"/>
          <w:szCs w:val="21"/>
        </w:rPr>
        <w:t xml:space="preserve">in </w:t>
      </w:r>
      <w:r w:rsidR="008E6173">
        <w:rPr>
          <w:rFonts w:ascii="Times New Roman" w:hAnsi="Times New Roman" w:cs="Times New Roman"/>
          <w:sz w:val="21"/>
          <w:szCs w:val="21"/>
        </w:rPr>
        <w:t>2014</w:t>
      </w:r>
      <w:r w:rsidR="004F6F44" w:rsidRPr="004F6F44">
        <w:rPr>
          <w:rFonts w:ascii="Times New Roman" w:hAnsi="Times New Roman" w:cs="Times New Roman"/>
          <w:sz w:val="21"/>
          <w:szCs w:val="21"/>
        </w:rPr>
        <w:t xml:space="preserve"> </w:t>
      </w:r>
      <w:r w:rsidRPr="00EC356F">
        <w:rPr>
          <w:rFonts w:ascii="Times New Roman" w:hAnsi="Times New Roman" w:cs="Times New Roman"/>
          <w:sz w:val="21"/>
          <w:szCs w:val="21"/>
        </w:rPr>
        <w:t>is estimated in the r</w:t>
      </w:r>
      <w:r w:rsidR="004F6F44" w:rsidRPr="004F6F44">
        <w:rPr>
          <w:rFonts w:ascii="Times New Roman" w:hAnsi="Times New Roman" w:cs="Times New Roman"/>
          <w:sz w:val="21"/>
          <w:szCs w:val="21"/>
        </w:rPr>
        <w:t>ange</w:t>
      </w:r>
      <w:r w:rsidR="00FC2E4A">
        <w:rPr>
          <w:rFonts w:ascii="Times New Roman" w:hAnsi="Times New Roman" w:cs="Times New Roman"/>
          <w:sz w:val="21"/>
          <w:szCs w:val="21"/>
        </w:rPr>
        <w:t xml:space="preserve"> of</w:t>
      </w:r>
      <w:r w:rsidR="004F6F44" w:rsidRPr="004F6F44">
        <w:rPr>
          <w:rFonts w:ascii="Times New Roman" w:hAnsi="Times New Roman" w:cs="Times New Roman"/>
          <w:sz w:val="21"/>
          <w:szCs w:val="21"/>
        </w:rPr>
        <w:t xml:space="preserve"> </w:t>
      </w:r>
      <w:r w:rsidR="008E6173">
        <w:rPr>
          <w:rFonts w:ascii="Times New Roman" w:hAnsi="Times New Roman" w:cs="Times New Roman"/>
          <w:sz w:val="21"/>
          <w:szCs w:val="21"/>
        </w:rPr>
        <w:t>4</w:t>
      </w:r>
      <w:r w:rsidRPr="00EC356F">
        <w:rPr>
          <w:rFonts w:ascii="Times New Roman" w:hAnsi="Times New Roman" w:cs="Times New Roman"/>
          <w:sz w:val="21"/>
          <w:szCs w:val="21"/>
        </w:rPr>
        <w:t>.</w:t>
      </w:r>
      <w:r w:rsidR="008E6173">
        <w:rPr>
          <w:rFonts w:ascii="Times New Roman" w:hAnsi="Times New Roman" w:cs="Times New Roman"/>
          <w:sz w:val="21"/>
          <w:szCs w:val="21"/>
        </w:rPr>
        <w:t>2</w:t>
      </w:r>
      <w:r w:rsidR="00FC2E4A">
        <w:rPr>
          <w:rFonts w:ascii="Times New Roman" w:hAnsi="Times New Roman" w:cs="Times New Roman"/>
          <w:sz w:val="21"/>
          <w:szCs w:val="21"/>
        </w:rPr>
        <w:t>%</w:t>
      </w:r>
      <w:r w:rsidRPr="00EC356F">
        <w:rPr>
          <w:rFonts w:ascii="Times New Roman" w:hAnsi="Times New Roman" w:cs="Times New Roman"/>
          <w:sz w:val="21"/>
          <w:szCs w:val="21"/>
        </w:rPr>
        <w:t>-</w:t>
      </w:r>
      <w:r w:rsidR="004F6F44" w:rsidRPr="004F6F44">
        <w:rPr>
          <w:rFonts w:ascii="Times New Roman" w:hAnsi="Times New Roman" w:cs="Times New Roman"/>
          <w:sz w:val="21"/>
          <w:szCs w:val="21"/>
        </w:rPr>
        <w:t>4</w:t>
      </w:r>
      <w:r w:rsidRPr="00EC356F">
        <w:rPr>
          <w:rFonts w:ascii="Times New Roman" w:hAnsi="Times New Roman" w:cs="Times New Roman"/>
          <w:sz w:val="21"/>
          <w:szCs w:val="21"/>
        </w:rPr>
        <w:t>.</w:t>
      </w:r>
      <w:r w:rsidR="008E6173">
        <w:rPr>
          <w:rFonts w:ascii="Times New Roman" w:hAnsi="Times New Roman" w:cs="Times New Roman"/>
          <w:sz w:val="21"/>
          <w:szCs w:val="21"/>
        </w:rPr>
        <w:t>7</w:t>
      </w:r>
      <w:r w:rsidRPr="00EC356F">
        <w:rPr>
          <w:rFonts w:ascii="Times New Roman" w:hAnsi="Times New Roman" w:cs="Times New Roman"/>
          <w:sz w:val="21"/>
          <w:szCs w:val="21"/>
        </w:rPr>
        <w:t xml:space="preserve">% y/y as a result of volumes of services rendered and trade turnover having increased by </w:t>
      </w:r>
      <w:r w:rsidR="008E6173">
        <w:rPr>
          <w:rFonts w:ascii="Times New Roman" w:hAnsi="Times New Roman" w:cs="Times New Roman"/>
          <w:sz w:val="21"/>
          <w:szCs w:val="21"/>
        </w:rPr>
        <w:t>7</w:t>
      </w:r>
      <w:r w:rsidR="004F6F44" w:rsidRPr="004F6F44">
        <w:rPr>
          <w:rFonts w:ascii="Times New Roman" w:hAnsi="Times New Roman" w:cs="Times New Roman"/>
          <w:sz w:val="21"/>
          <w:szCs w:val="21"/>
        </w:rPr>
        <w:t>.8</w:t>
      </w:r>
      <w:r w:rsidRPr="00EC356F">
        <w:rPr>
          <w:rFonts w:ascii="Times New Roman" w:hAnsi="Times New Roman" w:cs="Times New Roman"/>
          <w:sz w:val="21"/>
          <w:szCs w:val="21"/>
        </w:rPr>
        <w:t xml:space="preserve">% and </w:t>
      </w:r>
      <w:r w:rsidR="008E6173">
        <w:rPr>
          <w:rFonts w:ascii="Times New Roman" w:hAnsi="Times New Roman" w:cs="Times New Roman"/>
          <w:sz w:val="21"/>
          <w:szCs w:val="21"/>
        </w:rPr>
        <w:t>1</w:t>
      </w:r>
      <w:r w:rsidRPr="00EC356F">
        <w:rPr>
          <w:rFonts w:ascii="Times New Roman" w:hAnsi="Times New Roman" w:cs="Times New Roman"/>
          <w:sz w:val="21"/>
          <w:szCs w:val="21"/>
        </w:rPr>
        <w:t>.</w:t>
      </w:r>
      <w:r w:rsidR="008E6173">
        <w:rPr>
          <w:rFonts w:ascii="Times New Roman" w:hAnsi="Times New Roman" w:cs="Times New Roman"/>
          <w:sz w:val="21"/>
          <w:szCs w:val="21"/>
        </w:rPr>
        <w:t>6</w:t>
      </w:r>
      <w:r w:rsidRPr="00EC356F">
        <w:rPr>
          <w:rFonts w:ascii="Times New Roman" w:hAnsi="Times New Roman" w:cs="Times New Roman"/>
          <w:sz w:val="21"/>
          <w:szCs w:val="21"/>
        </w:rPr>
        <w:t xml:space="preserve">%, respectively. The increase in the volume of services rendered was driven </w:t>
      </w:r>
      <w:r w:rsidR="004F6F44" w:rsidRPr="004F6F44">
        <w:rPr>
          <w:rFonts w:ascii="Times New Roman" w:hAnsi="Times New Roman" w:cs="Times New Roman"/>
          <w:sz w:val="21"/>
          <w:szCs w:val="21"/>
        </w:rPr>
        <w:t xml:space="preserve">largely </w:t>
      </w:r>
      <w:r w:rsidRPr="00EC356F">
        <w:rPr>
          <w:rFonts w:ascii="Times New Roman" w:hAnsi="Times New Roman" w:cs="Times New Roman"/>
          <w:sz w:val="21"/>
          <w:szCs w:val="21"/>
        </w:rPr>
        <w:t xml:space="preserve">by growth in </w:t>
      </w:r>
      <w:r w:rsidR="004F6F44" w:rsidRPr="004F6F44">
        <w:rPr>
          <w:rFonts w:ascii="Times New Roman" w:hAnsi="Times New Roman" w:cs="Times New Roman"/>
          <w:sz w:val="21"/>
          <w:szCs w:val="21"/>
        </w:rPr>
        <w:t xml:space="preserve">air </w:t>
      </w:r>
      <w:r w:rsidRPr="00EC356F">
        <w:rPr>
          <w:rFonts w:ascii="Times New Roman" w:hAnsi="Times New Roman" w:cs="Times New Roman"/>
          <w:sz w:val="21"/>
          <w:szCs w:val="21"/>
        </w:rPr>
        <w:t>transport (</w:t>
      </w:r>
      <w:r w:rsidR="008E6173">
        <w:rPr>
          <w:rFonts w:ascii="Times New Roman" w:hAnsi="Times New Roman" w:cs="Times New Roman"/>
          <w:sz w:val="21"/>
          <w:szCs w:val="21"/>
        </w:rPr>
        <w:t>66.5%</w:t>
      </w:r>
      <w:r w:rsidR="004F6F44" w:rsidRPr="004F6F44">
        <w:rPr>
          <w:rFonts w:ascii="Times New Roman" w:hAnsi="Times New Roman" w:cs="Times New Roman"/>
          <w:sz w:val="21"/>
          <w:szCs w:val="21"/>
        </w:rPr>
        <w:t>)</w:t>
      </w:r>
      <w:r w:rsidRPr="00EC356F">
        <w:rPr>
          <w:rFonts w:ascii="Times New Roman" w:hAnsi="Times New Roman" w:cs="Times New Roman"/>
          <w:sz w:val="21"/>
          <w:szCs w:val="21"/>
        </w:rPr>
        <w:t>, banking services (</w:t>
      </w:r>
      <w:r w:rsidR="008E6173">
        <w:rPr>
          <w:rFonts w:ascii="Times New Roman" w:hAnsi="Times New Roman" w:cs="Times New Roman"/>
          <w:sz w:val="21"/>
          <w:szCs w:val="21"/>
        </w:rPr>
        <w:t>9</w:t>
      </w:r>
      <w:r w:rsidRPr="00EC356F">
        <w:rPr>
          <w:rFonts w:ascii="Times New Roman" w:hAnsi="Times New Roman" w:cs="Times New Roman"/>
          <w:sz w:val="21"/>
          <w:szCs w:val="21"/>
        </w:rPr>
        <w:t>%), events, leisure and rest (</w:t>
      </w:r>
      <w:r w:rsidR="008E6173">
        <w:rPr>
          <w:rFonts w:ascii="Times New Roman" w:hAnsi="Times New Roman" w:cs="Times New Roman"/>
          <w:sz w:val="21"/>
          <w:szCs w:val="21"/>
        </w:rPr>
        <w:t>56</w:t>
      </w:r>
      <w:r w:rsidRPr="00EC356F">
        <w:rPr>
          <w:rFonts w:ascii="Times New Roman" w:hAnsi="Times New Roman" w:cs="Times New Roman"/>
          <w:sz w:val="21"/>
          <w:szCs w:val="21"/>
        </w:rPr>
        <w:t>%), real estate transactions (</w:t>
      </w:r>
      <w:r w:rsidR="008E6173">
        <w:rPr>
          <w:rFonts w:ascii="Times New Roman" w:hAnsi="Times New Roman" w:cs="Times New Roman"/>
          <w:sz w:val="21"/>
          <w:szCs w:val="21"/>
        </w:rPr>
        <w:t>9.5</w:t>
      </w:r>
      <w:r w:rsidRPr="00EC356F">
        <w:rPr>
          <w:rFonts w:ascii="Times New Roman" w:hAnsi="Times New Roman" w:cs="Times New Roman"/>
          <w:sz w:val="21"/>
          <w:szCs w:val="21"/>
        </w:rPr>
        <w:t>%), travel services (</w:t>
      </w:r>
      <w:r w:rsidR="008E6173">
        <w:rPr>
          <w:rFonts w:ascii="Times New Roman" w:hAnsi="Times New Roman" w:cs="Times New Roman"/>
          <w:sz w:val="21"/>
          <w:szCs w:val="21"/>
        </w:rPr>
        <w:t>9</w:t>
      </w:r>
      <w:r w:rsidRPr="00EC356F">
        <w:rPr>
          <w:rFonts w:ascii="Times New Roman" w:hAnsi="Times New Roman" w:cs="Times New Roman"/>
          <w:sz w:val="21"/>
          <w:szCs w:val="21"/>
        </w:rPr>
        <w:t>.</w:t>
      </w:r>
      <w:r w:rsidR="008E6173">
        <w:rPr>
          <w:rFonts w:ascii="Times New Roman" w:hAnsi="Times New Roman" w:cs="Times New Roman"/>
          <w:sz w:val="21"/>
          <w:szCs w:val="21"/>
        </w:rPr>
        <w:t>1</w:t>
      </w:r>
      <w:r w:rsidRPr="00EC356F">
        <w:rPr>
          <w:rFonts w:ascii="Times New Roman" w:hAnsi="Times New Roman" w:cs="Times New Roman"/>
          <w:sz w:val="21"/>
          <w:szCs w:val="21"/>
        </w:rPr>
        <w:t xml:space="preserve">%), </w:t>
      </w:r>
      <w:r w:rsidR="00F73A13" w:rsidRPr="00F73A13">
        <w:rPr>
          <w:rFonts w:ascii="Times New Roman" w:hAnsi="Times New Roman" w:cs="Times New Roman"/>
          <w:sz w:val="21"/>
          <w:szCs w:val="21"/>
        </w:rPr>
        <w:t>public catering (9</w:t>
      </w:r>
      <w:r w:rsidR="008E6173">
        <w:rPr>
          <w:rFonts w:ascii="Times New Roman" w:hAnsi="Times New Roman" w:cs="Times New Roman"/>
          <w:sz w:val="21"/>
          <w:szCs w:val="21"/>
        </w:rPr>
        <w:t>.3</w:t>
      </w:r>
      <w:r w:rsidR="00F73A13" w:rsidRPr="00F73A13">
        <w:rPr>
          <w:rFonts w:ascii="Times New Roman" w:hAnsi="Times New Roman" w:cs="Times New Roman"/>
          <w:sz w:val="21"/>
          <w:szCs w:val="21"/>
        </w:rPr>
        <w:t xml:space="preserve">%), </w:t>
      </w:r>
      <w:r w:rsidR="008E6173">
        <w:rPr>
          <w:rFonts w:ascii="Times New Roman" w:hAnsi="Times New Roman" w:cs="Times New Roman"/>
          <w:sz w:val="21"/>
          <w:szCs w:val="21"/>
        </w:rPr>
        <w:t xml:space="preserve">and </w:t>
      </w:r>
      <w:r w:rsidR="00121511" w:rsidRPr="00121511">
        <w:rPr>
          <w:rFonts w:ascii="Times New Roman" w:hAnsi="Times New Roman" w:cs="Times New Roman"/>
          <w:sz w:val="21"/>
          <w:szCs w:val="21"/>
        </w:rPr>
        <w:t>information technologies (</w:t>
      </w:r>
      <w:r w:rsidR="008E6173">
        <w:rPr>
          <w:rFonts w:ascii="Times New Roman" w:hAnsi="Times New Roman" w:cs="Times New Roman"/>
          <w:sz w:val="21"/>
          <w:szCs w:val="21"/>
        </w:rPr>
        <w:t>7</w:t>
      </w:r>
      <w:r w:rsidR="00121511" w:rsidRPr="00121511">
        <w:rPr>
          <w:rFonts w:ascii="Times New Roman" w:hAnsi="Times New Roman" w:cs="Times New Roman"/>
          <w:sz w:val="21"/>
          <w:szCs w:val="21"/>
        </w:rPr>
        <w:t>.</w:t>
      </w:r>
      <w:r w:rsidR="008E6173">
        <w:rPr>
          <w:rFonts w:ascii="Times New Roman" w:hAnsi="Times New Roman" w:cs="Times New Roman"/>
          <w:sz w:val="21"/>
          <w:szCs w:val="21"/>
        </w:rPr>
        <w:t>5</w:t>
      </w:r>
      <w:r w:rsidR="00121511" w:rsidRPr="00121511">
        <w:rPr>
          <w:rFonts w:ascii="Times New Roman" w:hAnsi="Times New Roman" w:cs="Times New Roman"/>
          <w:sz w:val="21"/>
          <w:szCs w:val="21"/>
        </w:rPr>
        <w:t>%)</w:t>
      </w:r>
      <w:r w:rsidRPr="00EC356F">
        <w:rPr>
          <w:rFonts w:ascii="Times New Roman" w:hAnsi="Times New Roman" w:cs="Times New Roman"/>
          <w:sz w:val="21"/>
          <w:szCs w:val="21"/>
        </w:rPr>
        <w:t>, respectively.</w:t>
      </w:r>
      <w:r w:rsidR="004C5805" w:rsidRPr="004C5805">
        <w:rPr>
          <w:rFonts w:ascii="Times New Roman" w:hAnsi="Times New Roman" w:cs="Times New Roman"/>
          <w:sz w:val="21"/>
          <w:szCs w:val="21"/>
        </w:rPr>
        <w:t xml:space="preserve"> The trade growth was a result of increased turnover in wholesale </w:t>
      </w:r>
      <w:r w:rsidR="008E6173">
        <w:rPr>
          <w:rFonts w:ascii="Times New Roman" w:hAnsi="Times New Roman" w:cs="Times New Roman"/>
          <w:sz w:val="21"/>
          <w:szCs w:val="21"/>
        </w:rPr>
        <w:t xml:space="preserve">trade </w:t>
      </w:r>
      <w:r w:rsidR="004C5805" w:rsidRPr="004C5805">
        <w:rPr>
          <w:rFonts w:ascii="Times New Roman" w:hAnsi="Times New Roman" w:cs="Times New Roman"/>
          <w:sz w:val="21"/>
          <w:szCs w:val="21"/>
        </w:rPr>
        <w:t xml:space="preserve">and passenger car </w:t>
      </w:r>
      <w:r w:rsidR="008E6173">
        <w:rPr>
          <w:rFonts w:ascii="Times New Roman" w:hAnsi="Times New Roman" w:cs="Times New Roman"/>
          <w:sz w:val="21"/>
          <w:szCs w:val="21"/>
        </w:rPr>
        <w:t>trade</w:t>
      </w:r>
      <w:r w:rsidR="004C5805" w:rsidRPr="004C5805">
        <w:rPr>
          <w:rFonts w:ascii="Times New Roman" w:hAnsi="Times New Roman" w:cs="Times New Roman"/>
          <w:sz w:val="21"/>
          <w:szCs w:val="21"/>
        </w:rPr>
        <w:t xml:space="preserve">, by </w:t>
      </w:r>
      <w:r w:rsidR="008E6173">
        <w:rPr>
          <w:rFonts w:ascii="Times New Roman" w:hAnsi="Times New Roman" w:cs="Times New Roman"/>
          <w:sz w:val="21"/>
          <w:szCs w:val="21"/>
        </w:rPr>
        <w:t>5</w:t>
      </w:r>
      <w:r w:rsidR="004C5805" w:rsidRPr="004C5805">
        <w:rPr>
          <w:rFonts w:ascii="Times New Roman" w:hAnsi="Times New Roman" w:cs="Times New Roman"/>
          <w:sz w:val="21"/>
          <w:szCs w:val="21"/>
        </w:rPr>
        <w:t>%</w:t>
      </w:r>
      <w:r w:rsidR="008E6173">
        <w:rPr>
          <w:rFonts w:ascii="Times New Roman" w:hAnsi="Times New Roman" w:cs="Times New Roman"/>
          <w:sz w:val="21"/>
          <w:szCs w:val="21"/>
        </w:rPr>
        <w:t xml:space="preserve"> </w:t>
      </w:r>
      <w:r w:rsidR="004C5805" w:rsidRPr="004C5805">
        <w:rPr>
          <w:rFonts w:ascii="Times New Roman" w:hAnsi="Times New Roman" w:cs="Times New Roman"/>
          <w:sz w:val="21"/>
          <w:szCs w:val="21"/>
        </w:rPr>
        <w:t xml:space="preserve">and </w:t>
      </w:r>
      <w:r w:rsidR="008E6173">
        <w:rPr>
          <w:rFonts w:ascii="Times New Roman" w:hAnsi="Times New Roman" w:cs="Times New Roman"/>
          <w:sz w:val="21"/>
          <w:szCs w:val="21"/>
        </w:rPr>
        <w:t>3</w:t>
      </w:r>
      <w:r w:rsidR="004C5805" w:rsidRPr="004C5805">
        <w:rPr>
          <w:rFonts w:ascii="Times New Roman" w:hAnsi="Times New Roman" w:cs="Times New Roman"/>
          <w:sz w:val="21"/>
          <w:szCs w:val="21"/>
        </w:rPr>
        <w:t>.</w:t>
      </w:r>
      <w:r w:rsidR="008E6173">
        <w:rPr>
          <w:rFonts w:ascii="Times New Roman" w:hAnsi="Times New Roman" w:cs="Times New Roman"/>
          <w:sz w:val="21"/>
          <w:szCs w:val="21"/>
        </w:rPr>
        <w:t>9</w:t>
      </w:r>
      <w:r w:rsidR="004C5805" w:rsidRPr="004C5805">
        <w:rPr>
          <w:rFonts w:ascii="Times New Roman" w:hAnsi="Times New Roman" w:cs="Times New Roman"/>
          <w:sz w:val="21"/>
          <w:szCs w:val="21"/>
        </w:rPr>
        <w:t>%, respectively</w:t>
      </w:r>
      <w:r w:rsidR="00DF5078">
        <w:rPr>
          <w:rFonts w:ascii="Times New Roman" w:hAnsi="Times New Roman" w:cs="Times New Roman"/>
          <w:sz w:val="21"/>
          <w:szCs w:val="21"/>
        </w:rPr>
        <w:t xml:space="preserve">. These growths </w:t>
      </w:r>
      <w:r w:rsidR="008E6173">
        <w:rPr>
          <w:rFonts w:ascii="Times New Roman" w:hAnsi="Times New Roman" w:cs="Times New Roman"/>
          <w:sz w:val="21"/>
          <w:szCs w:val="21"/>
        </w:rPr>
        <w:t>offset the 0.4% decline in retail trade</w:t>
      </w:r>
      <w:r w:rsidR="00DF5078">
        <w:rPr>
          <w:rFonts w:ascii="Times New Roman" w:hAnsi="Times New Roman" w:cs="Times New Roman"/>
          <w:sz w:val="21"/>
          <w:szCs w:val="21"/>
        </w:rPr>
        <w:t xml:space="preserve"> which was </w:t>
      </w:r>
      <w:r w:rsidR="00D66327">
        <w:rPr>
          <w:rFonts w:ascii="Times New Roman" w:hAnsi="Times New Roman" w:cs="Times New Roman"/>
          <w:sz w:val="21"/>
          <w:szCs w:val="21"/>
        </w:rPr>
        <w:t>determined by reduced real disposable household income as a result of an abruptly narrowed net inflow of private remittances in the 4th quarter.</w:t>
      </w:r>
      <w:r w:rsidR="004C5805" w:rsidRPr="004C5805">
        <w:rPr>
          <w:rFonts w:ascii="Times New Roman" w:hAnsi="Times New Roman" w:cs="Times New Roman"/>
          <w:sz w:val="21"/>
          <w:szCs w:val="21"/>
        </w:rPr>
        <w:t xml:space="preserve"> </w:t>
      </w:r>
    </w:p>
    <w:p w14:paraId="03CED370"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w:t>
      </w:r>
      <w:r w:rsidRPr="00EC356F">
        <w:rPr>
          <w:rFonts w:ascii="Times New Roman" w:hAnsi="Times New Roman" w:cs="Times New Roman"/>
          <w:b/>
          <w:sz w:val="21"/>
          <w:szCs w:val="21"/>
        </w:rPr>
        <w:t>Agriculture</w:t>
      </w:r>
      <w:r w:rsidRPr="00EC356F">
        <w:rPr>
          <w:rFonts w:ascii="Times New Roman" w:hAnsi="Times New Roman" w:cs="Times New Roman"/>
          <w:sz w:val="21"/>
          <w:szCs w:val="21"/>
        </w:rPr>
        <w:t>,</w:t>
      </w:r>
      <w:r w:rsidR="00D66327">
        <w:rPr>
          <w:rFonts w:ascii="Times New Roman" w:hAnsi="Times New Roman" w:cs="Times New Roman"/>
          <w:sz w:val="21"/>
          <w:szCs w:val="21"/>
        </w:rPr>
        <w:t xml:space="preserve"> </w:t>
      </w:r>
      <w:r w:rsidRPr="00EC356F">
        <w:rPr>
          <w:rFonts w:ascii="Times New Roman" w:hAnsi="Times New Roman" w:cs="Times New Roman"/>
          <w:sz w:val="21"/>
          <w:szCs w:val="21"/>
        </w:rPr>
        <w:t xml:space="preserve">the growth of value added for 2014 is estimated in the range </w:t>
      </w:r>
      <w:r w:rsidR="00FC2E4A">
        <w:rPr>
          <w:rFonts w:ascii="Times New Roman" w:hAnsi="Times New Roman" w:cs="Times New Roman"/>
          <w:sz w:val="21"/>
          <w:szCs w:val="21"/>
        </w:rPr>
        <w:t xml:space="preserve">of </w:t>
      </w:r>
      <w:r w:rsidR="003C7912">
        <w:rPr>
          <w:rFonts w:ascii="Times New Roman" w:hAnsi="Times New Roman" w:cs="Times New Roman"/>
          <w:sz w:val="21"/>
          <w:szCs w:val="21"/>
        </w:rPr>
        <w:t>7</w:t>
      </w:r>
      <w:r w:rsidR="006432D2" w:rsidRPr="006432D2">
        <w:rPr>
          <w:rFonts w:ascii="Times New Roman" w:hAnsi="Times New Roman" w:cs="Times New Roman"/>
          <w:sz w:val="21"/>
          <w:szCs w:val="21"/>
        </w:rPr>
        <w:t>.</w:t>
      </w:r>
      <w:r w:rsidR="003C7912">
        <w:rPr>
          <w:rFonts w:ascii="Times New Roman" w:hAnsi="Times New Roman" w:cs="Times New Roman"/>
          <w:sz w:val="21"/>
          <w:szCs w:val="21"/>
        </w:rPr>
        <w:t>3</w:t>
      </w:r>
      <w:r w:rsidR="00FC2E4A">
        <w:rPr>
          <w:rFonts w:ascii="Times New Roman" w:hAnsi="Times New Roman" w:cs="Times New Roman"/>
          <w:sz w:val="21"/>
          <w:szCs w:val="21"/>
        </w:rPr>
        <w:t>%</w:t>
      </w:r>
      <w:r w:rsidRPr="00EC356F">
        <w:rPr>
          <w:rFonts w:ascii="Times New Roman" w:hAnsi="Times New Roman" w:cs="Times New Roman"/>
          <w:sz w:val="21"/>
          <w:szCs w:val="21"/>
        </w:rPr>
        <w:t>-</w:t>
      </w:r>
      <w:r w:rsidR="006432D2" w:rsidRPr="006432D2">
        <w:rPr>
          <w:rFonts w:ascii="Times New Roman" w:hAnsi="Times New Roman" w:cs="Times New Roman"/>
          <w:sz w:val="21"/>
          <w:szCs w:val="21"/>
        </w:rPr>
        <w:t>7</w:t>
      </w:r>
      <w:r w:rsidRPr="00EC356F">
        <w:rPr>
          <w:rFonts w:ascii="Times New Roman" w:hAnsi="Times New Roman" w:cs="Times New Roman"/>
          <w:sz w:val="21"/>
          <w:szCs w:val="21"/>
        </w:rPr>
        <w:t>.</w:t>
      </w:r>
      <w:r w:rsidR="003C7912">
        <w:rPr>
          <w:rFonts w:ascii="Times New Roman" w:hAnsi="Times New Roman" w:cs="Times New Roman"/>
          <w:sz w:val="21"/>
          <w:szCs w:val="21"/>
        </w:rPr>
        <w:t>8</w:t>
      </w:r>
      <w:r w:rsidRPr="00EC356F">
        <w:rPr>
          <w:rFonts w:ascii="Times New Roman" w:hAnsi="Times New Roman" w:cs="Times New Roman"/>
          <w:sz w:val="21"/>
          <w:szCs w:val="21"/>
        </w:rPr>
        <w:t xml:space="preserve">% y/y, </w:t>
      </w:r>
      <w:r w:rsidR="003C7912">
        <w:rPr>
          <w:rFonts w:ascii="Times New Roman" w:hAnsi="Times New Roman" w:cs="Times New Roman"/>
          <w:sz w:val="21"/>
          <w:szCs w:val="21"/>
        </w:rPr>
        <w:t xml:space="preserve">fostered by </w:t>
      </w:r>
      <w:r w:rsidRPr="00EC356F">
        <w:rPr>
          <w:rFonts w:ascii="Times New Roman" w:hAnsi="Times New Roman" w:cs="Times New Roman"/>
          <w:sz w:val="21"/>
          <w:szCs w:val="21"/>
        </w:rPr>
        <w:t>increased outputs in animal breeding</w:t>
      </w:r>
      <w:r w:rsidR="006432D2" w:rsidRPr="006432D2">
        <w:rPr>
          <w:rFonts w:ascii="Times New Roman" w:hAnsi="Times New Roman" w:cs="Times New Roman"/>
          <w:sz w:val="21"/>
          <w:szCs w:val="21"/>
        </w:rPr>
        <w:t>, plant growing</w:t>
      </w:r>
      <w:r w:rsidRPr="00EC356F">
        <w:rPr>
          <w:rFonts w:ascii="Times New Roman" w:hAnsi="Times New Roman" w:cs="Times New Roman"/>
          <w:sz w:val="21"/>
          <w:szCs w:val="21"/>
        </w:rPr>
        <w:t xml:space="preserve"> and fishing by </w:t>
      </w:r>
      <w:r w:rsidR="003C7912">
        <w:rPr>
          <w:rFonts w:ascii="Times New Roman" w:hAnsi="Times New Roman" w:cs="Times New Roman"/>
          <w:sz w:val="21"/>
          <w:szCs w:val="21"/>
        </w:rPr>
        <w:t>6</w:t>
      </w:r>
      <w:r w:rsidRPr="00EC356F">
        <w:rPr>
          <w:rFonts w:ascii="Times New Roman" w:hAnsi="Times New Roman" w:cs="Times New Roman"/>
          <w:sz w:val="21"/>
          <w:szCs w:val="21"/>
        </w:rPr>
        <w:t>.</w:t>
      </w:r>
      <w:r w:rsidR="003C7912">
        <w:rPr>
          <w:rFonts w:ascii="Times New Roman" w:hAnsi="Times New Roman" w:cs="Times New Roman"/>
          <w:sz w:val="21"/>
          <w:szCs w:val="21"/>
        </w:rPr>
        <w:t>9</w:t>
      </w:r>
      <w:r w:rsidRPr="00EC356F">
        <w:rPr>
          <w:rFonts w:ascii="Times New Roman" w:hAnsi="Times New Roman" w:cs="Times New Roman"/>
          <w:sz w:val="21"/>
          <w:szCs w:val="21"/>
        </w:rPr>
        <w:t xml:space="preserve">%, </w:t>
      </w:r>
      <w:r w:rsidR="006432D2" w:rsidRPr="006432D2">
        <w:rPr>
          <w:rFonts w:ascii="Times New Roman" w:hAnsi="Times New Roman" w:cs="Times New Roman"/>
          <w:sz w:val="21"/>
          <w:szCs w:val="21"/>
        </w:rPr>
        <w:t>7</w:t>
      </w:r>
      <w:r w:rsidRPr="00EC356F">
        <w:rPr>
          <w:rFonts w:ascii="Times New Roman" w:hAnsi="Times New Roman" w:cs="Times New Roman"/>
          <w:sz w:val="21"/>
          <w:szCs w:val="21"/>
        </w:rPr>
        <w:t>.</w:t>
      </w:r>
      <w:r w:rsidR="003C7912">
        <w:rPr>
          <w:rFonts w:ascii="Times New Roman" w:hAnsi="Times New Roman" w:cs="Times New Roman"/>
          <w:sz w:val="21"/>
          <w:szCs w:val="21"/>
        </w:rPr>
        <w:t>8</w:t>
      </w:r>
      <w:r w:rsidRPr="00EC356F">
        <w:rPr>
          <w:rFonts w:ascii="Times New Roman" w:hAnsi="Times New Roman" w:cs="Times New Roman"/>
          <w:sz w:val="21"/>
          <w:szCs w:val="21"/>
        </w:rPr>
        <w:t xml:space="preserve">% and </w:t>
      </w:r>
      <w:r w:rsidR="006432D2" w:rsidRPr="006432D2">
        <w:rPr>
          <w:rFonts w:ascii="Times New Roman" w:hAnsi="Times New Roman" w:cs="Times New Roman"/>
          <w:sz w:val="21"/>
          <w:szCs w:val="21"/>
        </w:rPr>
        <w:t>2</w:t>
      </w:r>
      <w:r w:rsidR="003C7912">
        <w:rPr>
          <w:rFonts w:ascii="Times New Roman" w:hAnsi="Times New Roman" w:cs="Times New Roman"/>
          <w:sz w:val="21"/>
          <w:szCs w:val="21"/>
        </w:rPr>
        <w:t>4</w:t>
      </w:r>
      <w:r w:rsidRPr="00EC356F">
        <w:rPr>
          <w:rFonts w:ascii="Times New Roman" w:hAnsi="Times New Roman" w:cs="Times New Roman"/>
          <w:sz w:val="21"/>
          <w:szCs w:val="21"/>
        </w:rPr>
        <w:t>.</w:t>
      </w:r>
      <w:r w:rsidR="003C7912">
        <w:rPr>
          <w:rFonts w:ascii="Times New Roman" w:hAnsi="Times New Roman" w:cs="Times New Roman"/>
          <w:sz w:val="21"/>
          <w:szCs w:val="21"/>
        </w:rPr>
        <w:t>6</w:t>
      </w:r>
      <w:r w:rsidRPr="00EC356F">
        <w:rPr>
          <w:rFonts w:ascii="Times New Roman" w:hAnsi="Times New Roman" w:cs="Times New Roman"/>
          <w:sz w:val="21"/>
          <w:szCs w:val="21"/>
        </w:rPr>
        <w:t xml:space="preserve">%, respectively. Reported increases in </w:t>
      </w:r>
      <w:r w:rsidRPr="00EC356F">
        <w:rPr>
          <w:rFonts w:ascii="Times New Roman" w:hAnsi="Times New Roman" w:cs="Times New Roman"/>
          <w:i/>
          <w:sz w:val="21"/>
          <w:szCs w:val="21"/>
        </w:rPr>
        <w:t>milk production</w:t>
      </w:r>
      <w:r w:rsidRPr="00EC356F">
        <w:rPr>
          <w:rFonts w:ascii="Times New Roman" w:hAnsi="Times New Roman" w:cs="Times New Roman"/>
          <w:sz w:val="21"/>
          <w:szCs w:val="21"/>
        </w:rPr>
        <w:t xml:space="preserve">, </w:t>
      </w:r>
      <w:r w:rsidRPr="00EC356F">
        <w:rPr>
          <w:rFonts w:ascii="Times New Roman" w:hAnsi="Times New Roman" w:cs="Times New Roman"/>
          <w:i/>
          <w:sz w:val="21"/>
          <w:szCs w:val="21"/>
        </w:rPr>
        <w:t>egg production</w:t>
      </w:r>
      <w:r w:rsidRPr="00EC356F">
        <w:rPr>
          <w:rFonts w:ascii="Times New Roman" w:hAnsi="Times New Roman" w:cs="Times New Roman"/>
          <w:sz w:val="21"/>
          <w:szCs w:val="21"/>
        </w:rPr>
        <w:t xml:space="preserve"> and </w:t>
      </w:r>
      <w:r w:rsidRPr="00EC356F">
        <w:rPr>
          <w:rFonts w:ascii="Times New Roman" w:hAnsi="Times New Roman" w:cs="Times New Roman"/>
          <w:i/>
          <w:sz w:val="21"/>
          <w:szCs w:val="21"/>
        </w:rPr>
        <w:t>slaughtered animal and poultry production</w:t>
      </w:r>
      <w:r w:rsidRPr="00EC356F">
        <w:rPr>
          <w:rFonts w:ascii="Times New Roman" w:hAnsi="Times New Roman" w:cs="Times New Roman"/>
          <w:sz w:val="21"/>
          <w:szCs w:val="21"/>
        </w:rPr>
        <w:t xml:space="preserve"> by </w:t>
      </w:r>
      <w:r w:rsidR="007B2DDE" w:rsidRPr="007B2DDE">
        <w:rPr>
          <w:rFonts w:ascii="Times New Roman" w:hAnsi="Times New Roman" w:cs="Times New Roman"/>
          <w:sz w:val="21"/>
          <w:szCs w:val="21"/>
        </w:rPr>
        <w:t>6</w:t>
      </w:r>
      <w:r w:rsidR="00A724D7">
        <w:rPr>
          <w:rFonts w:ascii="Times New Roman" w:hAnsi="Times New Roman" w:cs="Times New Roman"/>
          <w:sz w:val="21"/>
          <w:szCs w:val="21"/>
        </w:rPr>
        <w:t>.6</w:t>
      </w:r>
      <w:r w:rsidRPr="00EC356F">
        <w:rPr>
          <w:rFonts w:ascii="Times New Roman" w:hAnsi="Times New Roman" w:cs="Times New Roman"/>
          <w:sz w:val="21"/>
          <w:szCs w:val="21"/>
        </w:rPr>
        <w:t xml:space="preserve">%, </w:t>
      </w:r>
      <w:r w:rsidR="007B2DDE" w:rsidRPr="007B2DDE">
        <w:rPr>
          <w:rFonts w:ascii="Times New Roman" w:hAnsi="Times New Roman" w:cs="Times New Roman"/>
          <w:sz w:val="21"/>
          <w:szCs w:val="21"/>
        </w:rPr>
        <w:t>3</w:t>
      </w:r>
      <w:r w:rsidR="00A724D7">
        <w:rPr>
          <w:rFonts w:ascii="Times New Roman" w:hAnsi="Times New Roman" w:cs="Times New Roman"/>
          <w:sz w:val="21"/>
          <w:szCs w:val="21"/>
        </w:rPr>
        <w:t>.8</w:t>
      </w:r>
      <w:r w:rsidRPr="00EC356F">
        <w:rPr>
          <w:rFonts w:ascii="Times New Roman" w:hAnsi="Times New Roman" w:cs="Times New Roman"/>
          <w:sz w:val="21"/>
          <w:szCs w:val="21"/>
        </w:rPr>
        <w:t xml:space="preserve">% and </w:t>
      </w:r>
      <w:r w:rsidR="007B2DDE" w:rsidRPr="007B2DDE">
        <w:rPr>
          <w:rFonts w:ascii="Times New Roman" w:hAnsi="Times New Roman" w:cs="Times New Roman"/>
          <w:sz w:val="21"/>
          <w:szCs w:val="21"/>
        </w:rPr>
        <w:t>1</w:t>
      </w:r>
      <w:r w:rsidR="00A724D7">
        <w:rPr>
          <w:rFonts w:ascii="Times New Roman" w:hAnsi="Times New Roman" w:cs="Times New Roman"/>
          <w:sz w:val="21"/>
          <w:szCs w:val="21"/>
        </w:rPr>
        <w:t>1</w:t>
      </w:r>
      <w:r w:rsidRPr="00EC356F">
        <w:rPr>
          <w:rFonts w:ascii="Times New Roman" w:hAnsi="Times New Roman" w:cs="Times New Roman"/>
          <w:sz w:val="21"/>
          <w:szCs w:val="21"/>
        </w:rPr>
        <w:t>.</w:t>
      </w:r>
      <w:r w:rsidR="00A724D7">
        <w:rPr>
          <w:rFonts w:ascii="Times New Roman" w:hAnsi="Times New Roman" w:cs="Times New Roman"/>
          <w:sz w:val="21"/>
          <w:szCs w:val="21"/>
        </w:rPr>
        <w:t>3</w:t>
      </w:r>
      <w:r w:rsidRPr="00EC356F">
        <w:rPr>
          <w:rFonts w:ascii="Times New Roman" w:hAnsi="Times New Roman" w:cs="Times New Roman"/>
          <w:sz w:val="21"/>
          <w:szCs w:val="21"/>
        </w:rPr>
        <w:t xml:space="preserve">%, respectively, contributed to the overall growth in </w:t>
      </w:r>
      <w:r w:rsidRPr="00EC356F">
        <w:rPr>
          <w:rFonts w:ascii="Times New Roman" w:hAnsi="Times New Roman" w:cs="Times New Roman"/>
          <w:i/>
          <w:sz w:val="21"/>
          <w:szCs w:val="21"/>
        </w:rPr>
        <w:t>animal breeding</w:t>
      </w:r>
      <w:r w:rsidRPr="00EC356F">
        <w:rPr>
          <w:rFonts w:ascii="Times New Roman" w:hAnsi="Times New Roman" w:cs="Times New Roman"/>
          <w:sz w:val="21"/>
          <w:szCs w:val="21"/>
        </w:rPr>
        <w:t xml:space="preserve">. </w:t>
      </w:r>
      <w:r w:rsidR="007B2DDE" w:rsidRPr="007B2DDE">
        <w:rPr>
          <w:rFonts w:ascii="Times New Roman" w:hAnsi="Times New Roman" w:cs="Times New Roman"/>
          <w:sz w:val="21"/>
          <w:szCs w:val="21"/>
        </w:rPr>
        <w:t>Similarly, increased production of potato (</w:t>
      </w:r>
      <w:r w:rsidR="00A724D7">
        <w:rPr>
          <w:rFonts w:ascii="Times New Roman" w:hAnsi="Times New Roman" w:cs="Times New Roman"/>
          <w:sz w:val="21"/>
          <w:szCs w:val="21"/>
        </w:rPr>
        <w:t>11</w:t>
      </w:r>
      <w:r w:rsidR="007B2DDE" w:rsidRPr="007B2DDE">
        <w:rPr>
          <w:rFonts w:ascii="Times New Roman" w:hAnsi="Times New Roman" w:cs="Times New Roman"/>
          <w:sz w:val="21"/>
          <w:szCs w:val="21"/>
        </w:rPr>
        <w:t>%), wheat (</w:t>
      </w:r>
      <w:r w:rsidR="00A724D7">
        <w:rPr>
          <w:rFonts w:ascii="Times New Roman" w:hAnsi="Times New Roman" w:cs="Times New Roman"/>
          <w:sz w:val="21"/>
          <w:szCs w:val="21"/>
        </w:rPr>
        <w:t>7</w:t>
      </w:r>
      <w:r w:rsidR="007B2DDE" w:rsidRPr="007B2DDE">
        <w:rPr>
          <w:rFonts w:ascii="Times New Roman" w:hAnsi="Times New Roman" w:cs="Times New Roman"/>
          <w:sz w:val="21"/>
          <w:szCs w:val="21"/>
        </w:rPr>
        <w:t>.</w:t>
      </w:r>
      <w:r w:rsidR="00A724D7">
        <w:rPr>
          <w:rFonts w:ascii="Times New Roman" w:hAnsi="Times New Roman" w:cs="Times New Roman"/>
          <w:sz w:val="21"/>
          <w:szCs w:val="21"/>
        </w:rPr>
        <w:t>6</w:t>
      </w:r>
      <w:r w:rsidR="007B2DDE" w:rsidRPr="007B2DDE">
        <w:rPr>
          <w:rFonts w:ascii="Times New Roman" w:hAnsi="Times New Roman" w:cs="Times New Roman"/>
          <w:sz w:val="21"/>
          <w:szCs w:val="21"/>
        </w:rPr>
        <w:t>%), vegetables (</w:t>
      </w:r>
      <w:r w:rsidR="00A724D7">
        <w:rPr>
          <w:rFonts w:ascii="Times New Roman" w:hAnsi="Times New Roman" w:cs="Times New Roman"/>
          <w:sz w:val="21"/>
          <w:szCs w:val="21"/>
        </w:rPr>
        <w:t>9</w:t>
      </w:r>
      <w:r w:rsidR="007B2DDE" w:rsidRPr="007B2DDE">
        <w:rPr>
          <w:rFonts w:ascii="Times New Roman" w:hAnsi="Times New Roman" w:cs="Times New Roman"/>
          <w:sz w:val="21"/>
          <w:szCs w:val="21"/>
        </w:rPr>
        <w:t>%)</w:t>
      </w:r>
      <w:r w:rsidR="007E59CF" w:rsidRPr="007E59CF">
        <w:rPr>
          <w:rFonts w:ascii="Times New Roman" w:hAnsi="Times New Roman" w:cs="Times New Roman"/>
          <w:sz w:val="21"/>
          <w:szCs w:val="21"/>
        </w:rPr>
        <w:t>, gourds and melons (</w:t>
      </w:r>
      <w:r w:rsidR="00A724D7">
        <w:rPr>
          <w:rFonts w:ascii="Times New Roman" w:hAnsi="Times New Roman" w:cs="Times New Roman"/>
          <w:sz w:val="21"/>
          <w:szCs w:val="21"/>
        </w:rPr>
        <w:t>18.1</w:t>
      </w:r>
      <w:r w:rsidR="007E59CF" w:rsidRPr="007E59CF">
        <w:rPr>
          <w:rFonts w:ascii="Times New Roman" w:hAnsi="Times New Roman" w:cs="Times New Roman"/>
          <w:sz w:val="21"/>
          <w:szCs w:val="21"/>
        </w:rPr>
        <w:t>%) and grapes (</w:t>
      </w:r>
      <w:r w:rsidR="00A724D7">
        <w:rPr>
          <w:rFonts w:ascii="Times New Roman" w:hAnsi="Times New Roman" w:cs="Times New Roman"/>
          <w:sz w:val="21"/>
          <w:szCs w:val="21"/>
        </w:rPr>
        <w:t>8.5</w:t>
      </w:r>
      <w:r w:rsidR="007E59CF" w:rsidRPr="007E59CF">
        <w:rPr>
          <w:rFonts w:ascii="Times New Roman" w:hAnsi="Times New Roman" w:cs="Times New Roman"/>
          <w:sz w:val="21"/>
          <w:szCs w:val="21"/>
        </w:rPr>
        <w:t xml:space="preserve">%) contributed positively to </w:t>
      </w:r>
      <w:r w:rsidR="007E59CF" w:rsidRPr="007E59CF">
        <w:rPr>
          <w:rFonts w:ascii="Times New Roman" w:hAnsi="Times New Roman" w:cs="Times New Roman"/>
          <w:i/>
          <w:sz w:val="21"/>
          <w:szCs w:val="21"/>
        </w:rPr>
        <w:t>plant growing</w:t>
      </w:r>
      <w:r w:rsidR="007E59CF" w:rsidRPr="007E59CF">
        <w:rPr>
          <w:rFonts w:ascii="Times New Roman" w:hAnsi="Times New Roman" w:cs="Times New Roman"/>
          <w:sz w:val="21"/>
          <w:szCs w:val="21"/>
        </w:rPr>
        <w:t>.</w:t>
      </w:r>
    </w:p>
    <w:p w14:paraId="30922A5C"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3.2.2 Aggregate demand</w:t>
      </w:r>
      <w:r w:rsidR="00561357">
        <w:rPr>
          <w:rStyle w:val="FootnoteReference"/>
          <w:rFonts w:ascii="Times New Roman" w:hAnsi="Times New Roman" w:cs="Times New Roman"/>
          <w:b/>
          <w:sz w:val="21"/>
          <w:szCs w:val="21"/>
        </w:rPr>
        <w:footnoteReference w:customMarkFollows="1" w:id="18"/>
        <w:t>18</w:t>
      </w:r>
    </w:p>
    <w:p w14:paraId="726FC783" w14:textId="77777777" w:rsidR="00AA2F4F" w:rsidRPr="00A32C75" w:rsidRDefault="00AA2F4F" w:rsidP="00A9653E">
      <w:pPr>
        <w:spacing w:line="360" w:lineRule="auto"/>
        <w:jc w:val="both"/>
        <w:rPr>
          <w:rFonts w:ascii="Times New Roman" w:hAnsi="Times New Roman" w:cs="Times New Roman"/>
          <w:b/>
          <w:bCs/>
          <w:iCs/>
          <w:color w:val="0070C0"/>
          <w:sz w:val="18"/>
          <w:szCs w:val="18"/>
        </w:rPr>
      </w:pPr>
      <w:r w:rsidRPr="00A32C75">
        <w:rPr>
          <w:rFonts w:ascii="Times New Roman" w:hAnsi="Times New Roman" w:cs="Times New Roman"/>
          <w:b/>
          <w:bCs/>
          <w:iCs/>
          <w:color w:val="0070C0"/>
          <w:sz w:val="18"/>
          <w:szCs w:val="18"/>
        </w:rPr>
        <w:t xml:space="preserve">In the 4th quarter of 2014, the growth of private consumption slowed down and </w:t>
      </w:r>
      <w:r w:rsidR="00A32C75">
        <w:rPr>
          <w:rFonts w:ascii="Times New Roman" w:hAnsi="Times New Roman" w:cs="Times New Roman"/>
          <w:b/>
          <w:bCs/>
          <w:iCs/>
          <w:color w:val="0070C0"/>
          <w:sz w:val="18"/>
          <w:szCs w:val="18"/>
        </w:rPr>
        <w:t xml:space="preserve">it </w:t>
      </w:r>
      <w:r w:rsidRPr="00A32C75">
        <w:rPr>
          <w:rFonts w:ascii="Times New Roman" w:hAnsi="Times New Roman" w:cs="Times New Roman"/>
          <w:b/>
          <w:bCs/>
          <w:iCs/>
          <w:color w:val="0070C0"/>
          <w:sz w:val="18"/>
          <w:szCs w:val="18"/>
        </w:rPr>
        <w:t>is estimated that private spending will not change significantly in relation to the previous year</w:t>
      </w:r>
      <w:r w:rsidR="00A32C75">
        <w:rPr>
          <w:rFonts w:ascii="Times New Roman" w:hAnsi="Times New Roman" w:cs="Times New Roman"/>
          <w:b/>
          <w:bCs/>
          <w:iCs/>
          <w:color w:val="0070C0"/>
          <w:sz w:val="18"/>
          <w:szCs w:val="18"/>
        </w:rPr>
        <w:t>…</w:t>
      </w:r>
    </w:p>
    <w:p w14:paraId="4545E05B" w14:textId="77777777" w:rsidR="00C83007" w:rsidRPr="00C57C3E" w:rsidRDefault="00DA5EA7"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I</w:t>
      </w:r>
      <w:r w:rsidRPr="00EC356F">
        <w:rPr>
          <w:rFonts w:ascii="Times New Roman" w:hAnsi="Times New Roman" w:cs="Times New Roman"/>
          <w:bCs/>
          <w:iCs/>
          <w:sz w:val="21"/>
          <w:szCs w:val="21"/>
        </w:rPr>
        <w:t xml:space="preserve">n the </w:t>
      </w:r>
      <w:r>
        <w:rPr>
          <w:rFonts w:ascii="Times New Roman" w:hAnsi="Times New Roman" w:cs="Times New Roman"/>
          <w:bCs/>
          <w:iCs/>
          <w:sz w:val="21"/>
          <w:szCs w:val="21"/>
        </w:rPr>
        <w:t>4th</w:t>
      </w:r>
      <w:r w:rsidRPr="00EC356F">
        <w:rPr>
          <w:rFonts w:ascii="Times New Roman" w:hAnsi="Times New Roman" w:cs="Times New Roman"/>
          <w:bCs/>
          <w:iCs/>
          <w:sz w:val="21"/>
          <w:szCs w:val="21"/>
        </w:rPr>
        <w:t xml:space="preserve"> quarter of 2014</w:t>
      </w:r>
      <w:r>
        <w:rPr>
          <w:rFonts w:ascii="Times New Roman" w:hAnsi="Times New Roman" w:cs="Times New Roman"/>
          <w:bCs/>
          <w:iCs/>
          <w:sz w:val="21"/>
          <w:szCs w:val="21"/>
        </w:rPr>
        <w:t>,</w:t>
      </w:r>
      <w:r w:rsidRPr="00EC356F">
        <w:rPr>
          <w:rFonts w:ascii="Times New Roman" w:hAnsi="Times New Roman" w:cs="Times New Roman"/>
          <w:bCs/>
          <w:iCs/>
          <w:sz w:val="21"/>
          <w:szCs w:val="21"/>
        </w:rPr>
        <w:t xml:space="preserve"> </w:t>
      </w:r>
      <w:r>
        <w:rPr>
          <w:rFonts w:ascii="Times New Roman" w:hAnsi="Times New Roman" w:cs="Times New Roman"/>
          <w:bCs/>
          <w:iCs/>
          <w:sz w:val="21"/>
          <w:szCs w:val="21"/>
        </w:rPr>
        <w:t>the growth of p</w:t>
      </w:r>
      <w:r w:rsidR="00A9653E" w:rsidRPr="00EC356F">
        <w:rPr>
          <w:rFonts w:ascii="Times New Roman" w:hAnsi="Times New Roman" w:cs="Times New Roman"/>
          <w:bCs/>
          <w:iCs/>
          <w:sz w:val="21"/>
          <w:szCs w:val="21"/>
        </w:rPr>
        <w:t xml:space="preserve">rivate consumption </w:t>
      </w:r>
      <w:r>
        <w:rPr>
          <w:rFonts w:ascii="Times New Roman" w:hAnsi="Times New Roman" w:cs="Times New Roman"/>
          <w:bCs/>
          <w:iCs/>
          <w:sz w:val="21"/>
          <w:szCs w:val="21"/>
        </w:rPr>
        <w:t>slowed down to 0.9%</w:t>
      </w:r>
      <w:r w:rsidR="004A6D50">
        <w:rPr>
          <w:rFonts w:ascii="Times New Roman" w:hAnsi="Times New Roman" w:cs="Times New Roman"/>
          <w:bCs/>
          <w:iCs/>
          <w:sz w:val="21"/>
          <w:szCs w:val="21"/>
        </w:rPr>
        <w:t xml:space="preserve">, which is somewhat </w:t>
      </w:r>
      <w:r w:rsidR="00C83007" w:rsidRPr="00C83007">
        <w:rPr>
          <w:rFonts w:ascii="Times New Roman" w:hAnsi="Times New Roman" w:cs="Times New Roman"/>
          <w:bCs/>
          <w:iCs/>
          <w:sz w:val="21"/>
          <w:szCs w:val="21"/>
        </w:rPr>
        <w:t xml:space="preserve">lower from </w:t>
      </w:r>
      <w:r w:rsidR="004A6D50">
        <w:rPr>
          <w:rFonts w:ascii="Times New Roman" w:hAnsi="Times New Roman" w:cs="Times New Roman"/>
          <w:bCs/>
          <w:iCs/>
          <w:sz w:val="21"/>
          <w:szCs w:val="21"/>
        </w:rPr>
        <w:t xml:space="preserve">previous forecasts. Under such circumstances, </w:t>
      </w:r>
      <w:r w:rsidR="004A6D50" w:rsidRPr="004A6D50">
        <w:rPr>
          <w:rFonts w:ascii="Times New Roman" w:hAnsi="Times New Roman" w:cs="Times New Roman"/>
          <w:bCs/>
          <w:iCs/>
          <w:sz w:val="21"/>
          <w:szCs w:val="21"/>
        </w:rPr>
        <w:t xml:space="preserve">private spending </w:t>
      </w:r>
      <w:r w:rsidR="004A6D50">
        <w:rPr>
          <w:rFonts w:ascii="Times New Roman" w:hAnsi="Times New Roman" w:cs="Times New Roman"/>
          <w:bCs/>
          <w:iCs/>
          <w:sz w:val="21"/>
          <w:szCs w:val="21"/>
        </w:rPr>
        <w:t xml:space="preserve">in 2014 </w:t>
      </w:r>
      <w:r w:rsidR="004A6D50" w:rsidRPr="004A6D50">
        <w:rPr>
          <w:rFonts w:ascii="Times New Roman" w:hAnsi="Times New Roman" w:cs="Times New Roman"/>
          <w:bCs/>
          <w:iCs/>
          <w:sz w:val="21"/>
          <w:szCs w:val="21"/>
        </w:rPr>
        <w:t xml:space="preserve">will not </w:t>
      </w:r>
      <w:r w:rsidR="004A6D50">
        <w:rPr>
          <w:rFonts w:ascii="Times New Roman" w:hAnsi="Times New Roman" w:cs="Times New Roman"/>
          <w:bCs/>
          <w:iCs/>
          <w:sz w:val="21"/>
          <w:szCs w:val="21"/>
        </w:rPr>
        <w:t xml:space="preserve">change </w:t>
      </w:r>
      <w:r w:rsidR="00A04988">
        <w:rPr>
          <w:rFonts w:ascii="Times New Roman" w:hAnsi="Times New Roman" w:cs="Times New Roman"/>
          <w:bCs/>
          <w:iCs/>
          <w:sz w:val="21"/>
          <w:szCs w:val="21"/>
        </w:rPr>
        <w:t>significantly</w:t>
      </w:r>
      <w:r w:rsidR="004A6D50">
        <w:rPr>
          <w:rFonts w:ascii="Times New Roman" w:hAnsi="Times New Roman" w:cs="Times New Roman"/>
          <w:bCs/>
          <w:iCs/>
          <w:sz w:val="21"/>
          <w:szCs w:val="21"/>
        </w:rPr>
        <w:t xml:space="preserve"> </w:t>
      </w:r>
      <w:r w:rsidR="00AA2F4F">
        <w:rPr>
          <w:rFonts w:ascii="Times New Roman" w:hAnsi="Times New Roman" w:cs="Times New Roman"/>
          <w:bCs/>
          <w:iCs/>
          <w:sz w:val="21"/>
          <w:szCs w:val="21"/>
        </w:rPr>
        <w:t xml:space="preserve">in </w:t>
      </w:r>
      <w:r w:rsidR="004A6D50">
        <w:rPr>
          <w:rFonts w:ascii="Times New Roman" w:hAnsi="Times New Roman" w:cs="Times New Roman"/>
          <w:bCs/>
          <w:iCs/>
          <w:sz w:val="21"/>
          <w:szCs w:val="21"/>
        </w:rPr>
        <w:t xml:space="preserve">relation to 2013. </w:t>
      </w:r>
      <w:r w:rsidR="00C83007" w:rsidRPr="00C83007">
        <w:rPr>
          <w:rFonts w:ascii="Times New Roman" w:hAnsi="Times New Roman" w:cs="Times New Roman"/>
          <w:bCs/>
          <w:iCs/>
          <w:sz w:val="21"/>
          <w:szCs w:val="21"/>
        </w:rPr>
        <w:t xml:space="preserve"> </w:t>
      </w:r>
    </w:p>
    <w:p w14:paraId="24BCCEF7" w14:textId="005D92B7" w:rsidR="00912A65" w:rsidRPr="00C57C3E" w:rsidRDefault="00C83007" w:rsidP="00A9653E">
      <w:pPr>
        <w:spacing w:line="360" w:lineRule="auto"/>
        <w:jc w:val="both"/>
        <w:rPr>
          <w:rFonts w:ascii="Times New Roman" w:hAnsi="Times New Roman" w:cs="Times New Roman"/>
          <w:bCs/>
          <w:iCs/>
          <w:sz w:val="21"/>
          <w:szCs w:val="21"/>
        </w:rPr>
      </w:pPr>
      <w:r w:rsidRPr="00207D1F">
        <w:rPr>
          <w:rFonts w:ascii="Times New Roman" w:hAnsi="Times New Roman" w:cs="Times New Roman"/>
          <w:bCs/>
          <w:iCs/>
          <w:sz w:val="21"/>
          <w:szCs w:val="21"/>
        </w:rPr>
        <w:t xml:space="preserve">Reduced </w:t>
      </w:r>
      <w:r w:rsidRPr="00207D1F">
        <w:rPr>
          <w:rFonts w:ascii="Times New Roman" w:hAnsi="Times New Roman" w:cs="Times New Roman"/>
          <w:sz w:val="21"/>
          <w:szCs w:val="21"/>
        </w:rPr>
        <w:t>private transfers from Russia</w:t>
      </w:r>
      <w:r w:rsidR="00207D1F">
        <w:rPr>
          <w:rFonts w:ascii="Times New Roman" w:hAnsi="Times New Roman" w:cs="Times New Roman"/>
          <w:sz w:val="21"/>
          <w:szCs w:val="21"/>
        </w:rPr>
        <w:t xml:space="preserve"> </w:t>
      </w:r>
      <w:r w:rsidR="00946355" w:rsidRPr="00946355">
        <w:rPr>
          <w:rFonts w:ascii="Times New Roman" w:hAnsi="Times New Roman" w:cs="Times New Roman"/>
          <w:sz w:val="21"/>
          <w:szCs w:val="21"/>
        </w:rPr>
        <w:t xml:space="preserve">adversely affected the </w:t>
      </w:r>
      <w:r>
        <w:rPr>
          <w:rFonts w:ascii="Times New Roman" w:hAnsi="Times New Roman" w:cs="Times New Roman"/>
          <w:sz w:val="21"/>
          <w:szCs w:val="21"/>
        </w:rPr>
        <w:t>level of private consumption</w:t>
      </w:r>
      <w:r w:rsidR="00946355" w:rsidRPr="00946355">
        <w:rPr>
          <w:rFonts w:ascii="Times New Roman" w:hAnsi="Times New Roman" w:cs="Times New Roman"/>
          <w:sz w:val="21"/>
          <w:szCs w:val="21"/>
        </w:rPr>
        <w:t xml:space="preserve"> </w:t>
      </w:r>
      <w:r w:rsidR="00207D1F">
        <w:rPr>
          <w:rFonts w:ascii="Times New Roman" w:hAnsi="Times New Roman" w:cs="Times New Roman"/>
          <w:sz w:val="21"/>
          <w:szCs w:val="21"/>
        </w:rPr>
        <w:t xml:space="preserve">by households </w:t>
      </w:r>
      <w:r w:rsidR="00946355" w:rsidRPr="00946355">
        <w:rPr>
          <w:rFonts w:ascii="Times New Roman" w:hAnsi="Times New Roman" w:cs="Times New Roman"/>
          <w:sz w:val="21"/>
          <w:szCs w:val="21"/>
        </w:rPr>
        <w:t>in the</w:t>
      </w:r>
      <w:r w:rsidR="00207D1F">
        <w:rPr>
          <w:rFonts w:ascii="Times New Roman" w:hAnsi="Times New Roman" w:cs="Times New Roman"/>
          <w:sz w:val="21"/>
          <w:szCs w:val="21"/>
        </w:rPr>
        <w:t xml:space="preserve"> 4th</w:t>
      </w:r>
      <w:r w:rsidR="00946355" w:rsidRPr="00946355">
        <w:rPr>
          <w:rFonts w:ascii="Times New Roman" w:hAnsi="Times New Roman" w:cs="Times New Roman"/>
          <w:sz w:val="21"/>
          <w:szCs w:val="21"/>
        </w:rPr>
        <w:t xml:space="preserve"> </w:t>
      </w:r>
      <w:r w:rsidR="00946355">
        <w:rPr>
          <w:rFonts w:ascii="Times New Roman" w:hAnsi="Times New Roman" w:cs="Times New Roman"/>
          <w:bCs/>
          <w:iCs/>
          <w:sz w:val="21"/>
          <w:szCs w:val="21"/>
        </w:rPr>
        <w:t>quarter</w:t>
      </w:r>
      <w:r w:rsidR="00207D1F">
        <w:rPr>
          <w:rFonts w:ascii="Times New Roman" w:hAnsi="Times New Roman" w:cs="Times New Roman"/>
          <w:bCs/>
          <w:iCs/>
          <w:sz w:val="21"/>
          <w:szCs w:val="21"/>
        </w:rPr>
        <w:t xml:space="preserve"> of 2014</w:t>
      </w:r>
      <w:r w:rsidR="00946355" w:rsidRPr="00946355">
        <w:rPr>
          <w:rFonts w:ascii="Times New Roman" w:hAnsi="Times New Roman" w:cs="Times New Roman"/>
          <w:bCs/>
          <w:iCs/>
          <w:sz w:val="21"/>
          <w:szCs w:val="21"/>
        </w:rPr>
        <w:t xml:space="preserve">. </w:t>
      </w:r>
      <w:r w:rsidR="00207D1F">
        <w:rPr>
          <w:rFonts w:ascii="Times New Roman" w:hAnsi="Times New Roman" w:cs="Times New Roman"/>
          <w:bCs/>
          <w:iCs/>
          <w:sz w:val="21"/>
          <w:szCs w:val="21"/>
        </w:rPr>
        <w:t>T</w:t>
      </w:r>
      <w:r w:rsidR="00F045F1" w:rsidRPr="00F045F1">
        <w:rPr>
          <w:rFonts w:ascii="Times New Roman" w:hAnsi="Times New Roman" w:cs="Times New Roman"/>
          <w:bCs/>
          <w:iCs/>
          <w:sz w:val="21"/>
          <w:szCs w:val="21"/>
        </w:rPr>
        <w:t>h</w:t>
      </w:r>
      <w:r w:rsidR="00207D1F">
        <w:rPr>
          <w:rFonts w:ascii="Times New Roman" w:hAnsi="Times New Roman" w:cs="Times New Roman"/>
          <w:bCs/>
          <w:iCs/>
          <w:sz w:val="21"/>
          <w:szCs w:val="21"/>
        </w:rPr>
        <w:t>is</w:t>
      </w:r>
      <w:r w:rsidR="00F045F1" w:rsidRPr="00F045F1">
        <w:rPr>
          <w:rFonts w:ascii="Times New Roman" w:hAnsi="Times New Roman" w:cs="Times New Roman"/>
          <w:bCs/>
          <w:iCs/>
          <w:sz w:val="21"/>
          <w:szCs w:val="21"/>
        </w:rPr>
        <w:t xml:space="preserve"> negative impact</w:t>
      </w:r>
      <w:r w:rsidR="00207D1F">
        <w:rPr>
          <w:rFonts w:ascii="Times New Roman" w:hAnsi="Times New Roman" w:cs="Times New Roman"/>
          <w:bCs/>
          <w:iCs/>
          <w:sz w:val="21"/>
          <w:szCs w:val="21"/>
        </w:rPr>
        <w:t>, however,</w:t>
      </w:r>
      <w:r w:rsidR="00F045F1" w:rsidRPr="00F045F1">
        <w:rPr>
          <w:rFonts w:ascii="Times New Roman" w:hAnsi="Times New Roman" w:cs="Times New Roman"/>
          <w:bCs/>
          <w:iCs/>
          <w:sz w:val="21"/>
          <w:szCs w:val="21"/>
        </w:rPr>
        <w:t xml:space="preserve"> </w:t>
      </w:r>
      <w:r w:rsidR="00207D1F">
        <w:rPr>
          <w:rFonts w:ascii="Times New Roman" w:hAnsi="Times New Roman" w:cs="Times New Roman"/>
          <w:bCs/>
          <w:iCs/>
          <w:sz w:val="21"/>
          <w:szCs w:val="21"/>
        </w:rPr>
        <w:t>was</w:t>
      </w:r>
      <w:r w:rsidR="00F045F1" w:rsidRPr="00F045F1">
        <w:rPr>
          <w:rFonts w:ascii="Times New Roman" w:hAnsi="Times New Roman" w:cs="Times New Roman"/>
          <w:bCs/>
          <w:iCs/>
          <w:sz w:val="21"/>
          <w:szCs w:val="21"/>
        </w:rPr>
        <w:t xml:space="preserve"> somehow </w:t>
      </w:r>
      <w:proofErr w:type="gramStart"/>
      <w:r w:rsidR="00304B53">
        <w:rPr>
          <w:rFonts w:ascii="Times New Roman" w:hAnsi="Times New Roman" w:cs="Times New Roman"/>
          <w:bCs/>
          <w:iCs/>
          <w:sz w:val="21"/>
          <w:szCs w:val="21"/>
        </w:rPr>
        <w:t xml:space="preserve">mitigated </w:t>
      </w:r>
      <w:r w:rsidR="00304B53" w:rsidRPr="00F045F1">
        <w:rPr>
          <w:rFonts w:ascii="Times New Roman" w:hAnsi="Times New Roman" w:cs="Times New Roman"/>
          <w:bCs/>
          <w:iCs/>
          <w:sz w:val="21"/>
          <w:szCs w:val="21"/>
        </w:rPr>
        <w:t xml:space="preserve"> </w:t>
      </w:r>
      <w:r w:rsidR="00F045F1" w:rsidRPr="00F045F1">
        <w:rPr>
          <w:rFonts w:ascii="Times New Roman" w:hAnsi="Times New Roman" w:cs="Times New Roman"/>
          <w:bCs/>
          <w:iCs/>
          <w:sz w:val="21"/>
          <w:szCs w:val="21"/>
        </w:rPr>
        <w:t>thanks</w:t>
      </w:r>
      <w:proofErr w:type="gramEnd"/>
      <w:r w:rsidR="00F045F1" w:rsidRPr="00F045F1">
        <w:rPr>
          <w:rFonts w:ascii="Times New Roman" w:hAnsi="Times New Roman" w:cs="Times New Roman"/>
          <w:bCs/>
          <w:iCs/>
          <w:sz w:val="21"/>
          <w:szCs w:val="21"/>
        </w:rPr>
        <w:t xml:space="preserve"> to expansionary monetary and fiscal policy implementation. In particular, </w:t>
      </w:r>
      <w:r w:rsidR="00CE5E30" w:rsidRPr="00F045F1">
        <w:rPr>
          <w:rFonts w:ascii="Times New Roman" w:hAnsi="Times New Roman" w:cs="Times New Roman"/>
          <w:bCs/>
          <w:iCs/>
          <w:sz w:val="21"/>
          <w:szCs w:val="21"/>
        </w:rPr>
        <w:t xml:space="preserve">during the </w:t>
      </w:r>
      <w:r w:rsidR="006D45B3">
        <w:rPr>
          <w:rFonts w:ascii="Times New Roman" w:hAnsi="Times New Roman" w:cs="Times New Roman"/>
          <w:bCs/>
          <w:iCs/>
          <w:sz w:val="21"/>
          <w:szCs w:val="21"/>
        </w:rPr>
        <w:t>4th</w:t>
      </w:r>
      <w:r w:rsidR="00CE5E30" w:rsidRPr="00F045F1">
        <w:rPr>
          <w:rFonts w:ascii="Times New Roman" w:hAnsi="Times New Roman" w:cs="Times New Roman"/>
          <w:bCs/>
          <w:iCs/>
          <w:sz w:val="21"/>
          <w:szCs w:val="21"/>
        </w:rPr>
        <w:t xml:space="preserve"> quarter </w:t>
      </w:r>
      <w:r w:rsidR="00F045F1" w:rsidRPr="00F045F1">
        <w:rPr>
          <w:rFonts w:ascii="Times New Roman" w:hAnsi="Times New Roman" w:cs="Times New Roman"/>
          <w:bCs/>
          <w:iCs/>
          <w:sz w:val="21"/>
          <w:szCs w:val="21"/>
        </w:rPr>
        <w:t xml:space="preserve">total </w:t>
      </w:r>
      <w:r w:rsidR="00F045F1" w:rsidRPr="00F045F1">
        <w:rPr>
          <w:rFonts w:ascii="Times New Roman" w:hAnsi="Times New Roman" w:cs="Times New Roman"/>
          <w:bCs/>
          <w:iCs/>
          <w:sz w:val="21"/>
          <w:szCs w:val="21"/>
        </w:rPr>
        <w:lastRenderedPageBreak/>
        <w:t xml:space="preserve">credit to the economy grew by about </w:t>
      </w:r>
      <w:r w:rsidR="006D45B3">
        <w:rPr>
          <w:rFonts w:ascii="Times New Roman" w:hAnsi="Times New Roman" w:cs="Times New Roman"/>
          <w:bCs/>
          <w:iCs/>
          <w:sz w:val="21"/>
          <w:szCs w:val="21"/>
        </w:rPr>
        <w:t>20</w:t>
      </w:r>
      <w:r w:rsidR="00F045F1" w:rsidRPr="00F045F1">
        <w:rPr>
          <w:rFonts w:ascii="Times New Roman" w:hAnsi="Times New Roman" w:cs="Times New Roman"/>
          <w:bCs/>
          <w:iCs/>
          <w:sz w:val="21"/>
          <w:szCs w:val="21"/>
        </w:rPr>
        <w:t>% y/y and consumer loans, by 2</w:t>
      </w:r>
      <w:r w:rsidR="006D45B3">
        <w:rPr>
          <w:rFonts w:ascii="Times New Roman" w:hAnsi="Times New Roman" w:cs="Times New Roman"/>
          <w:bCs/>
          <w:iCs/>
          <w:sz w:val="21"/>
          <w:szCs w:val="21"/>
        </w:rPr>
        <w:t>3.5</w:t>
      </w:r>
      <w:r w:rsidR="00F045F1" w:rsidRPr="00F045F1">
        <w:rPr>
          <w:rFonts w:ascii="Times New Roman" w:hAnsi="Times New Roman" w:cs="Times New Roman"/>
          <w:bCs/>
          <w:iCs/>
          <w:sz w:val="21"/>
          <w:szCs w:val="21"/>
        </w:rPr>
        <w:t xml:space="preserve">% y/y </w:t>
      </w:r>
      <w:r w:rsidR="00304B53">
        <w:rPr>
          <w:rFonts w:ascii="Times New Roman" w:hAnsi="Times New Roman" w:cs="Times New Roman"/>
          <w:bCs/>
          <w:iCs/>
          <w:sz w:val="21"/>
          <w:szCs w:val="21"/>
        </w:rPr>
        <w:t xml:space="preserve">reflecting </w:t>
      </w:r>
      <w:proofErr w:type="gramStart"/>
      <w:r w:rsidR="00304B53">
        <w:rPr>
          <w:rFonts w:ascii="Times New Roman" w:hAnsi="Times New Roman" w:cs="Times New Roman"/>
          <w:bCs/>
          <w:iCs/>
          <w:sz w:val="21"/>
          <w:szCs w:val="21"/>
        </w:rPr>
        <w:t xml:space="preserve">the </w:t>
      </w:r>
      <w:r w:rsidR="00F045F1" w:rsidRPr="00F045F1">
        <w:rPr>
          <w:rFonts w:ascii="Times New Roman" w:hAnsi="Times New Roman" w:cs="Times New Roman"/>
          <w:bCs/>
          <w:iCs/>
          <w:sz w:val="21"/>
          <w:szCs w:val="21"/>
        </w:rPr>
        <w:t xml:space="preserve"> expansionary</w:t>
      </w:r>
      <w:proofErr w:type="gramEnd"/>
      <w:r w:rsidR="00F045F1" w:rsidRPr="00F045F1">
        <w:rPr>
          <w:rFonts w:ascii="Times New Roman" w:hAnsi="Times New Roman" w:cs="Times New Roman"/>
          <w:bCs/>
          <w:iCs/>
          <w:sz w:val="21"/>
          <w:szCs w:val="21"/>
        </w:rPr>
        <w:t xml:space="preserve"> monetary policy.</w:t>
      </w:r>
      <w:r w:rsidR="006D45B3">
        <w:rPr>
          <w:rFonts w:ascii="Times New Roman" w:hAnsi="Times New Roman" w:cs="Times New Roman"/>
          <w:bCs/>
          <w:iCs/>
          <w:sz w:val="21"/>
          <w:szCs w:val="21"/>
        </w:rPr>
        <w:t xml:space="preserve"> The expansionary fiscal impulse amounted to nearly 0.7%.  </w:t>
      </w:r>
    </w:p>
    <w:p w14:paraId="7A5C8D47" w14:textId="77777777" w:rsidR="00A72422" w:rsidRDefault="00A72422"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Further </w:t>
      </w:r>
      <w:r w:rsidRPr="00A72422">
        <w:rPr>
          <w:rFonts w:ascii="Times New Roman" w:hAnsi="Times New Roman" w:cs="Times New Roman"/>
          <w:bCs/>
          <w:iCs/>
          <w:sz w:val="21"/>
          <w:szCs w:val="21"/>
        </w:rPr>
        <w:t xml:space="preserve">reduction in </w:t>
      </w:r>
      <w:r>
        <w:rPr>
          <w:rFonts w:ascii="Times New Roman" w:hAnsi="Times New Roman" w:cs="Times New Roman"/>
          <w:bCs/>
          <w:iCs/>
          <w:sz w:val="21"/>
          <w:szCs w:val="21"/>
        </w:rPr>
        <w:t xml:space="preserve">private </w:t>
      </w:r>
      <w:r w:rsidRPr="00A72422">
        <w:rPr>
          <w:rFonts w:ascii="Times New Roman" w:hAnsi="Times New Roman" w:cs="Times New Roman"/>
          <w:bCs/>
          <w:iCs/>
          <w:sz w:val="21"/>
          <w:szCs w:val="21"/>
        </w:rPr>
        <w:t xml:space="preserve">remittances from Russia </w:t>
      </w:r>
      <w:r>
        <w:rPr>
          <w:rFonts w:ascii="Times New Roman" w:hAnsi="Times New Roman" w:cs="Times New Roman"/>
          <w:bCs/>
          <w:iCs/>
          <w:sz w:val="21"/>
          <w:szCs w:val="21"/>
        </w:rPr>
        <w:t>i</w:t>
      </w:r>
      <w:r w:rsidRPr="00A72422">
        <w:rPr>
          <w:rFonts w:ascii="Times New Roman" w:hAnsi="Times New Roman" w:cs="Times New Roman"/>
          <w:bCs/>
          <w:iCs/>
          <w:sz w:val="21"/>
          <w:szCs w:val="21"/>
        </w:rPr>
        <w:t xml:space="preserve">n the </w:t>
      </w:r>
      <w:r>
        <w:rPr>
          <w:rFonts w:ascii="Times New Roman" w:hAnsi="Times New Roman" w:cs="Times New Roman"/>
          <w:bCs/>
          <w:iCs/>
          <w:sz w:val="21"/>
          <w:szCs w:val="21"/>
        </w:rPr>
        <w:t>4</w:t>
      </w:r>
      <w:r w:rsidRPr="00A72422">
        <w:rPr>
          <w:rFonts w:ascii="Times New Roman" w:hAnsi="Times New Roman" w:cs="Times New Roman"/>
          <w:bCs/>
          <w:iCs/>
          <w:sz w:val="21"/>
          <w:szCs w:val="21"/>
        </w:rPr>
        <w:t>th quarter of 2014</w:t>
      </w:r>
      <w:r>
        <w:rPr>
          <w:rFonts w:ascii="Times New Roman" w:hAnsi="Times New Roman" w:cs="Times New Roman"/>
          <w:bCs/>
          <w:iCs/>
          <w:sz w:val="21"/>
          <w:szCs w:val="21"/>
        </w:rPr>
        <w:t xml:space="preserve"> has s</w:t>
      </w:r>
      <w:r w:rsidRPr="00A72422">
        <w:rPr>
          <w:rFonts w:ascii="Times New Roman" w:hAnsi="Times New Roman" w:cs="Times New Roman"/>
          <w:bCs/>
          <w:iCs/>
          <w:sz w:val="21"/>
          <w:szCs w:val="21"/>
        </w:rPr>
        <w:t xml:space="preserve">ignificantly </w:t>
      </w:r>
      <w:r>
        <w:rPr>
          <w:rFonts w:ascii="Times New Roman" w:hAnsi="Times New Roman" w:cs="Times New Roman"/>
          <w:bCs/>
          <w:iCs/>
          <w:sz w:val="21"/>
          <w:szCs w:val="21"/>
        </w:rPr>
        <w:t>diminished the</w:t>
      </w:r>
      <w:r w:rsidRPr="00A72422">
        <w:rPr>
          <w:rFonts w:ascii="Times New Roman" w:hAnsi="Times New Roman" w:cs="Times New Roman"/>
          <w:bCs/>
          <w:iCs/>
          <w:sz w:val="21"/>
          <w:szCs w:val="21"/>
        </w:rPr>
        <w:t xml:space="preserve"> households' disposable income, which</w:t>
      </w:r>
      <w:r>
        <w:rPr>
          <w:rFonts w:ascii="Times New Roman" w:hAnsi="Times New Roman" w:cs="Times New Roman"/>
          <w:bCs/>
          <w:iCs/>
          <w:sz w:val="21"/>
          <w:szCs w:val="21"/>
        </w:rPr>
        <w:t>,</w:t>
      </w:r>
      <w:r w:rsidRPr="00A72422">
        <w:rPr>
          <w:rFonts w:ascii="Times New Roman" w:hAnsi="Times New Roman" w:cs="Times New Roman"/>
          <w:bCs/>
          <w:iCs/>
          <w:sz w:val="21"/>
          <w:szCs w:val="21"/>
        </w:rPr>
        <w:t xml:space="preserve"> in turn, </w:t>
      </w:r>
      <w:r>
        <w:rPr>
          <w:rFonts w:ascii="Times New Roman" w:hAnsi="Times New Roman" w:cs="Times New Roman"/>
          <w:bCs/>
          <w:iCs/>
          <w:sz w:val="21"/>
          <w:szCs w:val="21"/>
        </w:rPr>
        <w:t xml:space="preserve">led to the slowing of the </w:t>
      </w:r>
      <w:r w:rsidRPr="00A72422">
        <w:rPr>
          <w:rFonts w:ascii="Times New Roman" w:hAnsi="Times New Roman" w:cs="Times New Roman"/>
          <w:bCs/>
          <w:iCs/>
          <w:sz w:val="21"/>
          <w:szCs w:val="21"/>
        </w:rPr>
        <w:t>growth</w:t>
      </w:r>
      <w:r>
        <w:rPr>
          <w:rFonts w:ascii="Times New Roman" w:hAnsi="Times New Roman" w:cs="Times New Roman"/>
          <w:bCs/>
          <w:iCs/>
          <w:sz w:val="21"/>
          <w:szCs w:val="21"/>
        </w:rPr>
        <w:t xml:space="preserve"> rate</w:t>
      </w:r>
      <w:r w:rsidRPr="00A72422">
        <w:rPr>
          <w:rFonts w:ascii="Times New Roman" w:hAnsi="Times New Roman" w:cs="Times New Roman"/>
          <w:bCs/>
          <w:iCs/>
          <w:sz w:val="21"/>
          <w:szCs w:val="21"/>
        </w:rPr>
        <w:t xml:space="preserve"> in private spending </w:t>
      </w:r>
      <w:r>
        <w:rPr>
          <w:rFonts w:ascii="Times New Roman" w:hAnsi="Times New Roman" w:cs="Times New Roman"/>
          <w:bCs/>
          <w:iCs/>
          <w:sz w:val="21"/>
          <w:szCs w:val="21"/>
        </w:rPr>
        <w:t>on the back of weak growth reported in the 3</w:t>
      </w:r>
      <w:r w:rsidRPr="00A72422">
        <w:rPr>
          <w:rFonts w:ascii="Times New Roman" w:hAnsi="Times New Roman" w:cs="Times New Roman"/>
          <w:bCs/>
          <w:iCs/>
          <w:sz w:val="21"/>
          <w:szCs w:val="21"/>
        </w:rPr>
        <w:t>rd quarter.</w:t>
      </w:r>
    </w:p>
    <w:p w14:paraId="4BA4DBCC" w14:textId="77777777" w:rsidR="00912A65" w:rsidRPr="00655418" w:rsidRDefault="00912A65" w:rsidP="00A9653E">
      <w:pPr>
        <w:spacing w:line="360" w:lineRule="auto"/>
        <w:jc w:val="both"/>
        <w:rPr>
          <w:rFonts w:ascii="Times New Roman" w:hAnsi="Times New Roman" w:cs="Times New Roman"/>
          <w:sz w:val="21"/>
          <w:szCs w:val="21"/>
        </w:rPr>
      </w:pPr>
      <w:r w:rsidRPr="00EC356F">
        <w:rPr>
          <w:rFonts w:ascii="Times New Roman" w:hAnsi="Times New Roman" w:cs="Times New Roman"/>
          <w:bCs/>
          <w:iCs/>
          <w:sz w:val="21"/>
          <w:szCs w:val="21"/>
        </w:rPr>
        <w:t>The results of the Central Bank</w:t>
      </w:r>
      <w:r w:rsidRPr="00912A65">
        <w:rPr>
          <w:rFonts w:ascii="Times New Roman" w:hAnsi="Times New Roman" w:cs="Times New Roman"/>
          <w:bCs/>
          <w:iCs/>
          <w:sz w:val="21"/>
          <w:szCs w:val="21"/>
        </w:rPr>
        <w:t xml:space="preserve"> s</w:t>
      </w:r>
      <w:r w:rsidRPr="00EC356F">
        <w:rPr>
          <w:rFonts w:ascii="Times New Roman" w:hAnsi="Times New Roman" w:cs="Times New Roman"/>
          <w:bCs/>
          <w:iCs/>
          <w:sz w:val="21"/>
          <w:szCs w:val="21"/>
        </w:rPr>
        <w:t>urveys</w:t>
      </w:r>
      <w:r w:rsidR="00D22F97">
        <w:rPr>
          <w:rStyle w:val="FootnoteReference"/>
          <w:rFonts w:ascii="Times New Roman" w:hAnsi="Times New Roman" w:cs="Times New Roman"/>
          <w:bCs/>
          <w:iCs/>
          <w:sz w:val="21"/>
          <w:szCs w:val="21"/>
        </w:rPr>
        <w:footnoteReference w:customMarkFollows="1" w:id="19"/>
        <w:t>19</w:t>
      </w:r>
      <w:r w:rsidRPr="00912A65">
        <w:rPr>
          <w:rFonts w:ascii="Times New Roman" w:hAnsi="Times New Roman" w:cs="Times New Roman"/>
          <w:bCs/>
          <w:iCs/>
          <w:sz w:val="21"/>
          <w:szCs w:val="21"/>
        </w:rPr>
        <w:t xml:space="preserve"> </w:t>
      </w:r>
      <w:r w:rsidR="00FD2B4E">
        <w:rPr>
          <w:rFonts w:ascii="Times New Roman" w:hAnsi="Times New Roman" w:cs="Times New Roman"/>
          <w:bCs/>
          <w:iCs/>
          <w:sz w:val="21"/>
          <w:szCs w:val="21"/>
        </w:rPr>
        <w:t>as well as trade turnover and import of goods and services ind</w:t>
      </w:r>
      <w:r w:rsidR="006A4E1E">
        <w:rPr>
          <w:rFonts w:ascii="Times New Roman" w:hAnsi="Times New Roman" w:cs="Times New Roman"/>
          <w:bCs/>
          <w:iCs/>
          <w:sz w:val="21"/>
          <w:szCs w:val="21"/>
        </w:rPr>
        <w:t>ices</w:t>
      </w:r>
      <w:r w:rsidR="00FD2B4E">
        <w:rPr>
          <w:rFonts w:ascii="Times New Roman" w:hAnsi="Times New Roman" w:cs="Times New Roman"/>
          <w:bCs/>
          <w:iCs/>
          <w:sz w:val="21"/>
          <w:szCs w:val="21"/>
        </w:rPr>
        <w:t xml:space="preserve">, </w:t>
      </w:r>
      <w:r w:rsidR="00FD2B4E" w:rsidRPr="00FD2B4E">
        <w:rPr>
          <w:rFonts w:ascii="Times New Roman" w:hAnsi="Times New Roman" w:cs="Times New Roman"/>
          <w:bCs/>
          <w:iCs/>
          <w:sz w:val="21"/>
          <w:szCs w:val="21"/>
        </w:rPr>
        <w:t xml:space="preserve">as calculated by the </w:t>
      </w:r>
      <w:r w:rsidR="00FD2B4E">
        <w:rPr>
          <w:rFonts w:ascii="Times New Roman" w:hAnsi="Times New Roman" w:cs="Times New Roman"/>
          <w:bCs/>
          <w:iCs/>
          <w:sz w:val="21"/>
          <w:szCs w:val="21"/>
        </w:rPr>
        <w:t>National S</w:t>
      </w:r>
      <w:r w:rsidR="00FD2B4E" w:rsidRPr="00FD2B4E">
        <w:rPr>
          <w:rFonts w:ascii="Times New Roman" w:hAnsi="Times New Roman" w:cs="Times New Roman"/>
          <w:bCs/>
          <w:iCs/>
          <w:sz w:val="21"/>
          <w:szCs w:val="21"/>
        </w:rPr>
        <w:t xml:space="preserve">tatistics </w:t>
      </w:r>
      <w:r w:rsidR="00FD2B4E">
        <w:rPr>
          <w:rFonts w:ascii="Times New Roman" w:hAnsi="Times New Roman" w:cs="Times New Roman"/>
          <w:bCs/>
          <w:iCs/>
          <w:sz w:val="21"/>
          <w:szCs w:val="21"/>
        </w:rPr>
        <w:t xml:space="preserve">Service of Armenia, </w:t>
      </w:r>
      <w:r w:rsidRPr="00912A65">
        <w:rPr>
          <w:rFonts w:ascii="Times New Roman" w:hAnsi="Times New Roman" w:cs="Times New Roman"/>
          <w:bCs/>
          <w:iCs/>
          <w:sz w:val="21"/>
          <w:szCs w:val="21"/>
        </w:rPr>
        <w:t xml:space="preserve">also point to the above developments with private consumption. </w:t>
      </w:r>
      <w:r w:rsidR="00655418" w:rsidRPr="00655418">
        <w:rPr>
          <w:rFonts w:ascii="Times New Roman" w:hAnsi="Times New Roman" w:cs="Times New Roman"/>
          <w:bCs/>
          <w:iCs/>
          <w:sz w:val="21"/>
          <w:szCs w:val="21"/>
        </w:rPr>
        <w:t xml:space="preserve">Thus, in </w:t>
      </w:r>
      <w:r w:rsidR="00655418" w:rsidRPr="00EC356F">
        <w:rPr>
          <w:rFonts w:ascii="Times New Roman" w:hAnsi="Times New Roman" w:cs="Times New Roman"/>
          <w:sz w:val="21"/>
          <w:szCs w:val="21"/>
        </w:rPr>
        <w:t xml:space="preserve">the </w:t>
      </w:r>
      <w:r w:rsidR="006A4E1E">
        <w:rPr>
          <w:rFonts w:ascii="Times New Roman" w:hAnsi="Times New Roman" w:cs="Times New Roman"/>
          <w:sz w:val="21"/>
          <w:szCs w:val="21"/>
        </w:rPr>
        <w:t>4th</w:t>
      </w:r>
      <w:r w:rsidR="00655418" w:rsidRPr="00EC356F">
        <w:rPr>
          <w:rFonts w:ascii="Times New Roman" w:hAnsi="Times New Roman" w:cs="Times New Roman"/>
          <w:sz w:val="21"/>
          <w:szCs w:val="21"/>
        </w:rPr>
        <w:t xml:space="preserve"> quarter of 2014, </w:t>
      </w:r>
      <w:r w:rsidR="006A4E1E">
        <w:rPr>
          <w:rFonts w:ascii="Times New Roman" w:hAnsi="Times New Roman" w:cs="Times New Roman"/>
          <w:sz w:val="21"/>
          <w:szCs w:val="21"/>
        </w:rPr>
        <w:t xml:space="preserve">the </w:t>
      </w:r>
      <w:r w:rsidR="006A4E1E" w:rsidRPr="006A4E1E">
        <w:rPr>
          <w:rFonts w:ascii="Times New Roman" w:hAnsi="Times New Roman" w:cs="Times New Roman"/>
          <w:sz w:val="21"/>
          <w:szCs w:val="21"/>
        </w:rPr>
        <w:t xml:space="preserve">Consumer </w:t>
      </w:r>
      <w:r w:rsidR="006A4E1E">
        <w:rPr>
          <w:rFonts w:ascii="Times New Roman" w:hAnsi="Times New Roman" w:cs="Times New Roman"/>
          <w:sz w:val="21"/>
          <w:szCs w:val="21"/>
        </w:rPr>
        <w:t>C</w:t>
      </w:r>
      <w:r w:rsidR="006A4E1E" w:rsidRPr="006A4E1E">
        <w:rPr>
          <w:rFonts w:ascii="Times New Roman" w:hAnsi="Times New Roman" w:cs="Times New Roman"/>
          <w:sz w:val="21"/>
          <w:szCs w:val="21"/>
        </w:rPr>
        <w:t xml:space="preserve">onfidence </w:t>
      </w:r>
      <w:r w:rsidR="006A4E1E">
        <w:rPr>
          <w:rFonts w:ascii="Times New Roman" w:hAnsi="Times New Roman" w:cs="Times New Roman"/>
          <w:sz w:val="21"/>
          <w:szCs w:val="21"/>
        </w:rPr>
        <w:t>I</w:t>
      </w:r>
      <w:r w:rsidR="006A4E1E" w:rsidRPr="006A4E1E">
        <w:rPr>
          <w:rFonts w:ascii="Times New Roman" w:hAnsi="Times New Roman" w:cs="Times New Roman"/>
          <w:sz w:val="21"/>
          <w:szCs w:val="21"/>
        </w:rPr>
        <w:t>ndex</w:t>
      </w:r>
      <w:r w:rsidR="006A4E1E">
        <w:rPr>
          <w:rFonts w:ascii="Times New Roman" w:hAnsi="Times New Roman" w:cs="Times New Roman"/>
          <w:sz w:val="21"/>
          <w:szCs w:val="21"/>
        </w:rPr>
        <w:t xml:space="preserve"> dropped by</w:t>
      </w:r>
      <w:r w:rsidR="006A4E1E" w:rsidRPr="006A4E1E">
        <w:rPr>
          <w:rFonts w:ascii="Times New Roman" w:hAnsi="Times New Roman" w:cs="Times New Roman"/>
          <w:sz w:val="21"/>
          <w:szCs w:val="21"/>
        </w:rPr>
        <w:t xml:space="preserve"> about 2.0% </w:t>
      </w:r>
      <w:r w:rsidR="00655418" w:rsidRPr="00EC356F">
        <w:rPr>
          <w:rFonts w:ascii="Times New Roman" w:hAnsi="Times New Roman" w:cs="Times New Roman"/>
          <w:sz w:val="21"/>
          <w:szCs w:val="21"/>
        </w:rPr>
        <w:t xml:space="preserve">relative to the same </w:t>
      </w:r>
      <w:r w:rsidR="00655418" w:rsidRPr="00655418">
        <w:rPr>
          <w:rFonts w:ascii="Times New Roman" w:hAnsi="Times New Roman" w:cs="Times New Roman"/>
          <w:sz w:val="21"/>
          <w:szCs w:val="21"/>
        </w:rPr>
        <w:t xml:space="preserve">reference </w:t>
      </w:r>
      <w:r w:rsidR="00655418" w:rsidRPr="00EC356F">
        <w:rPr>
          <w:rFonts w:ascii="Times New Roman" w:hAnsi="Times New Roman" w:cs="Times New Roman"/>
          <w:sz w:val="21"/>
          <w:szCs w:val="21"/>
        </w:rPr>
        <w:t xml:space="preserve">period </w:t>
      </w:r>
      <w:r w:rsidR="00655418" w:rsidRPr="00655418">
        <w:rPr>
          <w:rFonts w:ascii="Times New Roman" w:hAnsi="Times New Roman" w:cs="Times New Roman"/>
          <w:sz w:val="21"/>
          <w:szCs w:val="21"/>
        </w:rPr>
        <w:t>last year</w:t>
      </w:r>
      <w:r w:rsidR="006A4E1E">
        <w:rPr>
          <w:rFonts w:ascii="Times New Roman" w:hAnsi="Times New Roman" w:cs="Times New Roman"/>
          <w:sz w:val="21"/>
          <w:szCs w:val="21"/>
        </w:rPr>
        <w:t xml:space="preserve"> and nearly </w:t>
      </w:r>
      <w:r w:rsidR="006A4E1E" w:rsidRPr="006A4E1E">
        <w:rPr>
          <w:rFonts w:ascii="Times New Roman" w:hAnsi="Times New Roman" w:cs="Times New Roman"/>
          <w:sz w:val="21"/>
          <w:szCs w:val="21"/>
        </w:rPr>
        <w:t xml:space="preserve">7.0% </w:t>
      </w:r>
      <w:r w:rsidR="006A4E1E">
        <w:rPr>
          <w:rFonts w:ascii="Times New Roman" w:hAnsi="Times New Roman" w:cs="Times New Roman"/>
          <w:sz w:val="21"/>
          <w:szCs w:val="21"/>
        </w:rPr>
        <w:t>compared to t</w:t>
      </w:r>
      <w:r w:rsidR="006A4E1E" w:rsidRPr="006A4E1E">
        <w:rPr>
          <w:rFonts w:ascii="Times New Roman" w:hAnsi="Times New Roman" w:cs="Times New Roman"/>
          <w:sz w:val="21"/>
          <w:szCs w:val="21"/>
        </w:rPr>
        <w:t xml:space="preserve">he previous quarter. </w:t>
      </w:r>
      <w:r w:rsidR="006A4E1E">
        <w:rPr>
          <w:rFonts w:ascii="Times New Roman" w:hAnsi="Times New Roman" w:cs="Times New Roman"/>
          <w:sz w:val="21"/>
          <w:szCs w:val="21"/>
        </w:rPr>
        <w:t>Moreover</w:t>
      </w:r>
      <w:r w:rsidR="006A4E1E" w:rsidRPr="006A4E1E">
        <w:rPr>
          <w:rFonts w:ascii="Times New Roman" w:hAnsi="Times New Roman" w:cs="Times New Roman"/>
          <w:sz w:val="21"/>
          <w:szCs w:val="21"/>
        </w:rPr>
        <w:t xml:space="preserve">, </w:t>
      </w:r>
      <w:r w:rsidR="006A4E1E">
        <w:rPr>
          <w:rFonts w:ascii="Times New Roman" w:hAnsi="Times New Roman" w:cs="Times New Roman"/>
          <w:sz w:val="21"/>
          <w:szCs w:val="21"/>
        </w:rPr>
        <w:t xml:space="preserve">the CCI trended down with regard to </w:t>
      </w:r>
      <w:r w:rsidR="006A4E1E" w:rsidRPr="006A4E1E">
        <w:rPr>
          <w:rFonts w:ascii="Times New Roman" w:hAnsi="Times New Roman" w:cs="Times New Roman"/>
          <w:sz w:val="21"/>
          <w:szCs w:val="21"/>
        </w:rPr>
        <w:t>all components</w:t>
      </w:r>
      <w:r w:rsidR="006A08C5">
        <w:rPr>
          <w:rFonts w:ascii="Times New Roman" w:hAnsi="Times New Roman" w:cs="Times New Roman"/>
          <w:sz w:val="21"/>
          <w:szCs w:val="21"/>
        </w:rPr>
        <w:t xml:space="preserve">, reflecting a declined </w:t>
      </w:r>
      <w:r w:rsidR="006A4E1E" w:rsidRPr="006A4E1E">
        <w:rPr>
          <w:rFonts w:ascii="Times New Roman" w:hAnsi="Times New Roman" w:cs="Times New Roman"/>
          <w:sz w:val="21"/>
          <w:szCs w:val="21"/>
        </w:rPr>
        <w:t xml:space="preserve">consumer spending by households </w:t>
      </w:r>
      <w:r w:rsidR="006A08C5">
        <w:rPr>
          <w:rFonts w:ascii="Times New Roman" w:hAnsi="Times New Roman" w:cs="Times New Roman"/>
          <w:sz w:val="21"/>
          <w:szCs w:val="21"/>
        </w:rPr>
        <w:t xml:space="preserve">in the </w:t>
      </w:r>
      <w:r w:rsidR="006A4E1E" w:rsidRPr="006A4E1E">
        <w:rPr>
          <w:rFonts w:ascii="Times New Roman" w:hAnsi="Times New Roman" w:cs="Times New Roman"/>
          <w:sz w:val="21"/>
          <w:szCs w:val="21"/>
        </w:rPr>
        <w:t xml:space="preserve">reporting period. In the </w:t>
      </w:r>
      <w:r w:rsidR="006A08C5">
        <w:rPr>
          <w:rFonts w:ascii="Times New Roman" w:hAnsi="Times New Roman" w:cs="Times New Roman"/>
          <w:sz w:val="21"/>
          <w:szCs w:val="21"/>
        </w:rPr>
        <w:t>4th</w:t>
      </w:r>
      <w:r w:rsidR="006A4E1E" w:rsidRPr="006A4E1E">
        <w:rPr>
          <w:rFonts w:ascii="Times New Roman" w:hAnsi="Times New Roman" w:cs="Times New Roman"/>
          <w:sz w:val="21"/>
          <w:szCs w:val="21"/>
        </w:rPr>
        <w:t xml:space="preserve"> quarter, compared to the same period last year, </w:t>
      </w:r>
      <w:r w:rsidR="006A08C5" w:rsidRPr="006A4E1E">
        <w:rPr>
          <w:rFonts w:ascii="Times New Roman" w:hAnsi="Times New Roman" w:cs="Times New Roman"/>
          <w:sz w:val="21"/>
          <w:szCs w:val="21"/>
        </w:rPr>
        <w:t xml:space="preserve">trade turnover </w:t>
      </w:r>
      <w:r w:rsidR="006A08C5">
        <w:rPr>
          <w:rFonts w:ascii="Times New Roman" w:hAnsi="Times New Roman" w:cs="Times New Roman"/>
          <w:sz w:val="21"/>
          <w:szCs w:val="21"/>
        </w:rPr>
        <w:t xml:space="preserve">in </w:t>
      </w:r>
      <w:r w:rsidR="006A4E1E" w:rsidRPr="006A4E1E">
        <w:rPr>
          <w:rFonts w:ascii="Times New Roman" w:hAnsi="Times New Roman" w:cs="Times New Roman"/>
          <w:sz w:val="21"/>
          <w:szCs w:val="21"/>
        </w:rPr>
        <w:t xml:space="preserve">the economy </w:t>
      </w:r>
      <w:r w:rsidR="006A08C5">
        <w:rPr>
          <w:rFonts w:ascii="Times New Roman" w:hAnsi="Times New Roman" w:cs="Times New Roman"/>
          <w:sz w:val="21"/>
          <w:szCs w:val="21"/>
        </w:rPr>
        <w:t xml:space="preserve">has </w:t>
      </w:r>
      <w:r w:rsidR="006A4E1E" w:rsidRPr="006A4E1E">
        <w:rPr>
          <w:rFonts w:ascii="Times New Roman" w:hAnsi="Times New Roman" w:cs="Times New Roman"/>
          <w:sz w:val="21"/>
          <w:szCs w:val="21"/>
        </w:rPr>
        <w:t>decreased by 5.6%</w:t>
      </w:r>
      <w:r w:rsidR="006A08C5">
        <w:rPr>
          <w:rFonts w:ascii="Times New Roman" w:hAnsi="Times New Roman" w:cs="Times New Roman"/>
          <w:sz w:val="21"/>
          <w:szCs w:val="21"/>
        </w:rPr>
        <w:t xml:space="preserve">, with </w:t>
      </w:r>
      <w:r w:rsidR="006A4E1E" w:rsidRPr="006A4E1E">
        <w:rPr>
          <w:rFonts w:ascii="Times New Roman" w:hAnsi="Times New Roman" w:cs="Times New Roman"/>
          <w:sz w:val="21"/>
          <w:szCs w:val="21"/>
        </w:rPr>
        <w:t xml:space="preserve">retail trade </w:t>
      </w:r>
      <w:r w:rsidR="006A08C5">
        <w:rPr>
          <w:rFonts w:ascii="Times New Roman" w:hAnsi="Times New Roman" w:cs="Times New Roman"/>
          <w:sz w:val="21"/>
          <w:szCs w:val="21"/>
        </w:rPr>
        <w:t xml:space="preserve">having reduced by </w:t>
      </w:r>
      <w:r w:rsidR="006A4E1E" w:rsidRPr="006A4E1E">
        <w:rPr>
          <w:rFonts w:ascii="Times New Roman" w:hAnsi="Times New Roman" w:cs="Times New Roman"/>
          <w:sz w:val="21"/>
          <w:szCs w:val="21"/>
        </w:rPr>
        <w:t>7.2%</w:t>
      </w:r>
      <w:r w:rsidR="006A08C5">
        <w:rPr>
          <w:rFonts w:ascii="Times New Roman" w:hAnsi="Times New Roman" w:cs="Times New Roman"/>
          <w:sz w:val="21"/>
          <w:szCs w:val="21"/>
        </w:rPr>
        <w:t xml:space="preserve"> and</w:t>
      </w:r>
      <w:r w:rsidR="006A4E1E" w:rsidRPr="006A4E1E">
        <w:rPr>
          <w:rFonts w:ascii="Times New Roman" w:hAnsi="Times New Roman" w:cs="Times New Roman"/>
          <w:sz w:val="21"/>
          <w:szCs w:val="21"/>
        </w:rPr>
        <w:t xml:space="preserve"> import of goods and services </w:t>
      </w:r>
      <w:r w:rsidR="006A08C5">
        <w:rPr>
          <w:rFonts w:ascii="Times New Roman" w:hAnsi="Times New Roman" w:cs="Times New Roman"/>
          <w:sz w:val="21"/>
          <w:szCs w:val="21"/>
        </w:rPr>
        <w:t xml:space="preserve">in dollar terms shrunk by </w:t>
      </w:r>
      <w:r w:rsidR="006A4E1E" w:rsidRPr="006A4E1E">
        <w:rPr>
          <w:rFonts w:ascii="Times New Roman" w:hAnsi="Times New Roman" w:cs="Times New Roman"/>
          <w:sz w:val="21"/>
          <w:szCs w:val="21"/>
        </w:rPr>
        <w:t>9.3%</w:t>
      </w:r>
      <w:r w:rsidR="006A08C5">
        <w:rPr>
          <w:rFonts w:ascii="Times New Roman" w:hAnsi="Times New Roman" w:cs="Times New Roman"/>
          <w:sz w:val="21"/>
          <w:szCs w:val="21"/>
        </w:rPr>
        <w:t>.</w:t>
      </w:r>
      <w:r w:rsidR="00C57C3E">
        <w:rPr>
          <w:rFonts w:ascii="Times New Roman" w:hAnsi="Times New Roman" w:cs="Times New Roman"/>
          <w:sz w:val="21"/>
          <w:szCs w:val="21"/>
        </w:rPr>
        <w:t xml:space="preserve">  </w:t>
      </w:r>
    </w:p>
    <w:p w14:paraId="0E90F675" w14:textId="77777777" w:rsidR="008359D6" w:rsidRPr="008359D6" w:rsidRDefault="008359D6" w:rsidP="00A9653E">
      <w:pPr>
        <w:spacing w:line="360" w:lineRule="auto"/>
        <w:jc w:val="both"/>
        <w:rPr>
          <w:rFonts w:ascii="Times New Roman" w:hAnsi="Times New Roman" w:cs="Times New Roman"/>
          <w:b/>
          <w:bCs/>
          <w:iCs/>
          <w:color w:val="0070C0"/>
          <w:sz w:val="18"/>
          <w:szCs w:val="18"/>
        </w:rPr>
      </w:pPr>
      <w:r w:rsidRPr="008359D6">
        <w:rPr>
          <w:rFonts w:ascii="Times New Roman" w:hAnsi="Times New Roman" w:cs="Times New Roman"/>
          <w:b/>
          <w:bCs/>
          <w:iCs/>
          <w:color w:val="0070C0"/>
          <w:sz w:val="18"/>
          <w:szCs w:val="18"/>
        </w:rPr>
        <w:t>The growth of private investment in 2014 is an estimated 1.2%...</w:t>
      </w:r>
    </w:p>
    <w:p w14:paraId="6A4B95B5" w14:textId="77777777" w:rsidR="00A9653E" w:rsidRPr="00EC356F" w:rsidRDefault="00A9653E"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 xml:space="preserve">In the </w:t>
      </w:r>
      <w:r w:rsidR="002A2990">
        <w:rPr>
          <w:rFonts w:ascii="Times New Roman" w:hAnsi="Times New Roman" w:cs="Times New Roman"/>
          <w:bCs/>
          <w:iCs/>
          <w:sz w:val="21"/>
          <w:szCs w:val="21"/>
        </w:rPr>
        <w:t>4th</w:t>
      </w:r>
      <w:r w:rsidRPr="00EC356F">
        <w:rPr>
          <w:rFonts w:ascii="Times New Roman" w:hAnsi="Times New Roman" w:cs="Times New Roman"/>
          <w:bCs/>
          <w:iCs/>
          <w:sz w:val="21"/>
          <w:szCs w:val="21"/>
        </w:rPr>
        <w:t xml:space="preserve"> quarter of 2014, the </w:t>
      </w:r>
      <w:r w:rsidRPr="002A2990">
        <w:rPr>
          <w:rFonts w:ascii="Times New Roman" w:hAnsi="Times New Roman" w:cs="Times New Roman"/>
          <w:b/>
          <w:bCs/>
          <w:iCs/>
          <w:sz w:val="21"/>
          <w:szCs w:val="21"/>
        </w:rPr>
        <w:t>investment climate</w:t>
      </w:r>
      <w:r w:rsidRPr="00AA51B2">
        <w:rPr>
          <w:rFonts w:ascii="Times New Roman" w:hAnsi="Times New Roman" w:cs="Times New Roman"/>
          <w:bCs/>
          <w:iCs/>
          <w:sz w:val="21"/>
          <w:szCs w:val="21"/>
        </w:rPr>
        <w:t xml:space="preserve"> i</w:t>
      </w:r>
      <w:r w:rsidRPr="00EC356F">
        <w:rPr>
          <w:rFonts w:ascii="Times New Roman" w:hAnsi="Times New Roman" w:cs="Times New Roman"/>
          <w:bCs/>
          <w:iCs/>
          <w:sz w:val="21"/>
          <w:szCs w:val="21"/>
        </w:rPr>
        <w:t>n the economy was weak</w:t>
      </w:r>
      <w:r w:rsidR="002A2990">
        <w:rPr>
          <w:rFonts w:ascii="Times New Roman" w:hAnsi="Times New Roman" w:cs="Times New Roman"/>
          <w:bCs/>
          <w:iCs/>
          <w:sz w:val="21"/>
          <w:szCs w:val="21"/>
        </w:rPr>
        <w:t>er than anticipated</w:t>
      </w:r>
      <w:r w:rsidR="00AA51B2">
        <w:rPr>
          <w:rFonts w:ascii="Times New Roman" w:hAnsi="Times New Roman" w:cs="Times New Roman"/>
          <w:bCs/>
          <w:iCs/>
          <w:sz w:val="21"/>
          <w:szCs w:val="21"/>
        </w:rPr>
        <w:t xml:space="preserve">, </w:t>
      </w:r>
      <w:r w:rsidR="002A2990">
        <w:rPr>
          <w:rFonts w:ascii="Times New Roman" w:hAnsi="Times New Roman" w:cs="Times New Roman"/>
          <w:bCs/>
          <w:iCs/>
          <w:sz w:val="21"/>
          <w:szCs w:val="21"/>
        </w:rPr>
        <w:t xml:space="preserve">under which circumstance </w:t>
      </w:r>
      <w:r w:rsidR="00BB7280">
        <w:rPr>
          <w:rFonts w:ascii="Times New Roman" w:hAnsi="Times New Roman" w:cs="Times New Roman"/>
          <w:bCs/>
          <w:iCs/>
          <w:sz w:val="21"/>
          <w:szCs w:val="21"/>
        </w:rPr>
        <w:t xml:space="preserve">the </w:t>
      </w:r>
      <w:r w:rsidR="002A2990">
        <w:rPr>
          <w:rFonts w:ascii="Times New Roman" w:hAnsi="Times New Roman" w:cs="Times New Roman"/>
          <w:bCs/>
          <w:iCs/>
          <w:sz w:val="21"/>
          <w:szCs w:val="21"/>
        </w:rPr>
        <w:t xml:space="preserve">decline in the </w:t>
      </w:r>
      <w:r w:rsidR="00BB7280" w:rsidRPr="00EC356F">
        <w:rPr>
          <w:rFonts w:ascii="Times New Roman" w:hAnsi="Times New Roman" w:cs="Times New Roman"/>
          <w:bCs/>
          <w:iCs/>
          <w:sz w:val="21"/>
          <w:szCs w:val="21"/>
        </w:rPr>
        <w:t xml:space="preserve">private investment </w:t>
      </w:r>
      <w:r w:rsidR="00BB7280">
        <w:rPr>
          <w:rFonts w:ascii="Times New Roman" w:hAnsi="Times New Roman" w:cs="Times New Roman"/>
          <w:bCs/>
          <w:iCs/>
          <w:sz w:val="21"/>
          <w:szCs w:val="21"/>
        </w:rPr>
        <w:t>was</w:t>
      </w:r>
      <w:r w:rsidR="002A2990">
        <w:rPr>
          <w:rFonts w:ascii="Times New Roman" w:hAnsi="Times New Roman" w:cs="Times New Roman"/>
          <w:bCs/>
          <w:iCs/>
          <w:sz w:val="21"/>
          <w:szCs w:val="21"/>
        </w:rPr>
        <w:t xml:space="preserve"> </w:t>
      </w:r>
      <w:r w:rsidR="00BB7280">
        <w:rPr>
          <w:rFonts w:ascii="Times New Roman" w:hAnsi="Times New Roman" w:cs="Times New Roman"/>
          <w:bCs/>
          <w:iCs/>
          <w:sz w:val="21"/>
          <w:szCs w:val="21"/>
        </w:rPr>
        <w:t xml:space="preserve">an </w:t>
      </w:r>
      <w:r w:rsidR="00BB7280" w:rsidRPr="00EC356F">
        <w:rPr>
          <w:rFonts w:ascii="Times New Roman" w:hAnsi="Times New Roman" w:cs="Times New Roman"/>
          <w:bCs/>
          <w:iCs/>
          <w:sz w:val="21"/>
          <w:szCs w:val="21"/>
        </w:rPr>
        <w:t xml:space="preserve">estimated </w:t>
      </w:r>
      <w:r w:rsidR="002A2990">
        <w:rPr>
          <w:rFonts w:ascii="Times New Roman" w:hAnsi="Times New Roman" w:cs="Times New Roman"/>
          <w:bCs/>
          <w:iCs/>
          <w:sz w:val="21"/>
          <w:szCs w:val="21"/>
        </w:rPr>
        <w:t>0</w:t>
      </w:r>
      <w:r w:rsidR="00BB7280" w:rsidRPr="00EC356F">
        <w:rPr>
          <w:rFonts w:ascii="Times New Roman" w:hAnsi="Times New Roman" w:cs="Times New Roman"/>
          <w:bCs/>
          <w:iCs/>
          <w:sz w:val="21"/>
          <w:szCs w:val="21"/>
        </w:rPr>
        <w:t>.</w:t>
      </w:r>
      <w:r w:rsidR="002A2990">
        <w:rPr>
          <w:rFonts w:ascii="Times New Roman" w:hAnsi="Times New Roman" w:cs="Times New Roman"/>
          <w:bCs/>
          <w:iCs/>
          <w:sz w:val="21"/>
          <w:szCs w:val="21"/>
        </w:rPr>
        <w:t>6</w:t>
      </w:r>
      <w:r w:rsidR="00BB7280" w:rsidRPr="00EC356F">
        <w:rPr>
          <w:rFonts w:ascii="Times New Roman" w:hAnsi="Times New Roman" w:cs="Times New Roman"/>
          <w:bCs/>
          <w:iCs/>
          <w:sz w:val="21"/>
          <w:szCs w:val="21"/>
        </w:rPr>
        <w:t>%</w:t>
      </w:r>
      <w:r w:rsidR="00BB7280">
        <w:rPr>
          <w:rFonts w:ascii="Times New Roman" w:hAnsi="Times New Roman" w:cs="Times New Roman"/>
          <w:bCs/>
          <w:iCs/>
          <w:sz w:val="21"/>
          <w:szCs w:val="21"/>
        </w:rPr>
        <w:t xml:space="preserve"> in relation to the same period last year</w:t>
      </w:r>
      <w:r w:rsidR="00BB7280" w:rsidRPr="00EC356F">
        <w:rPr>
          <w:rFonts w:ascii="Times New Roman" w:hAnsi="Times New Roman" w:cs="Times New Roman"/>
          <w:bCs/>
          <w:iCs/>
          <w:sz w:val="21"/>
          <w:szCs w:val="21"/>
        </w:rPr>
        <w:t xml:space="preserve">. </w:t>
      </w:r>
      <w:r w:rsidR="00BB7280">
        <w:rPr>
          <w:rFonts w:ascii="Times New Roman" w:hAnsi="Times New Roman" w:cs="Times New Roman"/>
          <w:bCs/>
          <w:iCs/>
          <w:sz w:val="21"/>
          <w:szCs w:val="21"/>
        </w:rPr>
        <w:t>Weak investment climate observable since the start of the year was due to</w:t>
      </w:r>
      <w:r w:rsidR="002A2990">
        <w:rPr>
          <w:rFonts w:ascii="Times New Roman" w:hAnsi="Times New Roman" w:cs="Times New Roman"/>
          <w:bCs/>
          <w:iCs/>
          <w:sz w:val="21"/>
          <w:szCs w:val="21"/>
        </w:rPr>
        <w:t xml:space="preserve"> </w:t>
      </w:r>
      <w:r w:rsidR="00BB7280">
        <w:rPr>
          <w:rFonts w:ascii="Times New Roman" w:hAnsi="Times New Roman" w:cs="Times New Roman"/>
          <w:bCs/>
          <w:iCs/>
          <w:sz w:val="21"/>
          <w:szCs w:val="21"/>
        </w:rPr>
        <w:t xml:space="preserve">a </w:t>
      </w:r>
      <w:r w:rsidR="002A2990">
        <w:rPr>
          <w:rFonts w:ascii="Times New Roman" w:hAnsi="Times New Roman" w:cs="Times New Roman"/>
          <w:bCs/>
          <w:iCs/>
          <w:sz w:val="21"/>
          <w:szCs w:val="21"/>
        </w:rPr>
        <w:t xml:space="preserve">shrinkage </w:t>
      </w:r>
      <w:r w:rsidRPr="00EC356F">
        <w:rPr>
          <w:rFonts w:ascii="Times New Roman" w:hAnsi="Times New Roman" w:cs="Times New Roman"/>
          <w:bCs/>
          <w:iCs/>
          <w:sz w:val="21"/>
          <w:szCs w:val="21"/>
        </w:rPr>
        <w:t xml:space="preserve">in construction </w:t>
      </w:r>
      <w:r w:rsidR="002A2990">
        <w:rPr>
          <w:rFonts w:ascii="Times New Roman" w:hAnsi="Times New Roman" w:cs="Times New Roman"/>
          <w:bCs/>
          <w:iCs/>
          <w:sz w:val="21"/>
          <w:szCs w:val="21"/>
        </w:rPr>
        <w:t xml:space="preserve">output </w:t>
      </w:r>
      <w:r w:rsidRPr="00EC356F">
        <w:rPr>
          <w:rFonts w:ascii="Times New Roman" w:hAnsi="Times New Roman" w:cs="Times New Roman"/>
          <w:bCs/>
          <w:iCs/>
          <w:sz w:val="21"/>
          <w:szCs w:val="21"/>
        </w:rPr>
        <w:t>and sluggish economic activity</w:t>
      </w:r>
      <w:r w:rsidR="00BB7280">
        <w:rPr>
          <w:rFonts w:ascii="Times New Roman" w:hAnsi="Times New Roman" w:cs="Times New Roman"/>
          <w:bCs/>
          <w:iCs/>
          <w:sz w:val="21"/>
          <w:szCs w:val="21"/>
        </w:rPr>
        <w:t xml:space="preserve"> on the whole</w:t>
      </w:r>
      <w:r w:rsidRPr="00EC356F">
        <w:rPr>
          <w:rFonts w:ascii="Times New Roman" w:hAnsi="Times New Roman" w:cs="Times New Roman"/>
          <w:bCs/>
          <w:iCs/>
          <w:sz w:val="21"/>
          <w:szCs w:val="21"/>
        </w:rPr>
        <w:t xml:space="preserve">. </w:t>
      </w:r>
      <w:r w:rsidR="002A2990">
        <w:rPr>
          <w:rFonts w:ascii="Times New Roman" w:hAnsi="Times New Roman" w:cs="Times New Roman"/>
          <w:bCs/>
          <w:iCs/>
          <w:sz w:val="21"/>
          <w:szCs w:val="21"/>
        </w:rPr>
        <w:t xml:space="preserve">The </w:t>
      </w:r>
      <w:r w:rsidR="002A2990" w:rsidRPr="002A2990">
        <w:rPr>
          <w:rFonts w:ascii="Times New Roman" w:hAnsi="Times New Roman" w:cs="Times New Roman"/>
          <w:bCs/>
          <w:iCs/>
          <w:sz w:val="21"/>
          <w:szCs w:val="21"/>
        </w:rPr>
        <w:t xml:space="preserve">decrease in remittances from Russia </w:t>
      </w:r>
      <w:r w:rsidR="002A2990">
        <w:rPr>
          <w:rFonts w:ascii="Times New Roman" w:hAnsi="Times New Roman" w:cs="Times New Roman"/>
          <w:bCs/>
          <w:iCs/>
          <w:sz w:val="21"/>
          <w:szCs w:val="21"/>
        </w:rPr>
        <w:t>i</w:t>
      </w:r>
      <w:r w:rsidR="002A2990" w:rsidRPr="002A2990">
        <w:rPr>
          <w:rFonts w:ascii="Times New Roman" w:hAnsi="Times New Roman" w:cs="Times New Roman"/>
          <w:bCs/>
          <w:iCs/>
          <w:sz w:val="21"/>
          <w:szCs w:val="21"/>
        </w:rPr>
        <w:t xml:space="preserve">n the </w:t>
      </w:r>
      <w:r w:rsidR="002A2990">
        <w:rPr>
          <w:rFonts w:ascii="Times New Roman" w:hAnsi="Times New Roman" w:cs="Times New Roman"/>
          <w:bCs/>
          <w:iCs/>
          <w:sz w:val="21"/>
          <w:szCs w:val="21"/>
        </w:rPr>
        <w:t>4th</w:t>
      </w:r>
      <w:r w:rsidR="002A2990" w:rsidRPr="002A2990">
        <w:rPr>
          <w:rFonts w:ascii="Times New Roman" w:hAnsi="Times New Roman" w:cs="Times New Roman"/>
          <w:bCs/>
          <w:iCs/>
          <w:sz w:val="21"/>
          <w:szCs w:val="21"/>
        </w:rPr>
        <w:t xml:space="preserve"> quarter led to </w:t>
      </w:r>
      <w:r w:rsidR="002A2990">
        <w:rPr>
          <w:rFonts w:ascii="Times New Roman" w:hAnsi="Times New Roman" w:cs="Times New Roman"/>
          <w:bCs/>
          <w:iCs/>
          <w:sz w:val="21"/>
          <w:szCs w:val="21"/>
        </w:rPr>
        <w:t xml:space="preserve">contracted volumes of household-funded </w:t>
      </w:r>
      <w:r w:rsidR="002A2990" w:rsidRPr="002A2990">
        <w:rPr>
          <w:rFonts w:ascii="Times New Roman" w:hAnsi="Times New Roman" w:cs="Times New Roman"/>
          <w:bCs/>
          <w:iCs/>
          <w:sz w:val="21"/>
          <w:szCs w:val="21"/>
        </w:rPr>
        <w:t>construction, which determine</w:t>
      </w:r>
      <w:r w:rsidR="002A2990">
        <w:rPr>
          <w:rFonts w:ascii="Times New Roman" w:hAnsi="Times New Roman" w:cs="Times New Roman"/>
          <w:bCs/>
          <w:iCs/>
          <w:sz w:val="21"/>
          <w:szCs w:val="21"/>
        </w:rPr>
        <w:t>d</w:t>
      </w:r>
      <w:r w:rsidR="002A2990" w:rsidRPr="002A2990">
        <w:rPr>
          <w:rFonts w:ascii="Times New Roman" w:hAnsi="Times New Roman" w:cs="Times New Roman"/>
          <w:bCs/>
          <w:iCs/>
          <w:sz w:val="21"/>
          <w:szCs w:val="21"/>
        </w:rPr>
        <w:t xml:space="preserve"> a 0.6% decline in private investment in the same period of </w:t>
      </w:r>
      <w:r w:rsidR="002A2990">
        <w:rPr>
          <w:rFonts w:ascii="Times New Roman" w:hAnsi="Times New Roman" w:cs="Times New Roman"/>
          <w:bCs/>
          <w:iCs/>
          <w:sz w:val="21"/>
          <w:szCs w:val="21"/>
        </w:rPr>
        <w:t xml:space="preserve">time </w:t>
      </w:r>
      <w:r w:rsidR="00020962">
        <w:rPr>
          <w:rFonts w:ascii="Times New Roman" w:hAnsi="Times New Roman" w:cs="Times New Roman"/>
          <w:bCs/>
          <w:iCs/>
          <w:sz w:val="21"/>
          <w:szCs w:val="21"/>
        </w:rPr>
        <w:t xml:space="preserve">as opposed to </w:t>
      </w:r>
      <w:r w:rsidR="002A2990" w:rsidRPr="002A2990">
        <w:rPr>
          <w:rFonts w:ascii="Times New Roman" w:hAnsi="Times New Roman" w:cs="Times New Roman"/>
          <w:bCs/>
          <w:iCs/>
          <w:sz w:val="21"/>
          <w:szCs w:val="21"/>
        </w:rPr>
        <w:t>the previous quarte</w:t>
      </w:r>
      <w:r w:rsidR="00020962">
        <w:rPr>
          <w:rFonts w:ascii="Times New Roman" w:hAnsi="Times New Roman" w:cs="Times New Roman"/>
          <w:bCs/>
          <w:iCs/>
          <w:sz w:val="21"/>
          <w:szCs w:val="21"/>
        </w:rPr>
        <w:t>r</w:t>
      </w:r>
      <w:r w:rsidR="00FC2E4A" w:rsidRPr="00863CD6">
        <w:rPr>
          <w:rFonts w:ascii="Times New Roman" w:hAnsi="Times New Roman" w:cs="Times New Roman"/>
          <w:sz w:val="21"/>
          <w:szCs w:val="21"/>
        </w:rPr>
        <w:t>'</w:t>
      </w:r>
      <w:r w:rsidR="00020962">
        <w:rPr>
          <w:rFonts w:ascii="Times New Roman" w:hAnsi="Times New Roman" w:cs="Times New Roman"/>
          <w:bCs/>
          <w:iCs/>
          <w:sz w:val="21"/>
          <w:szCs w:val="21"/>
        </w:rPr>
        <w:t>s</w:t>
      </w:r>
      <w:r w:rsidR="002A2990" w:rsidRPr="002A2990">
        <w:rPr>
          <w:rFonts w:ascii="Times New Roman" w:hAnsi="Times New Roman" w:cs="Times New Roman"/>
          <w:bCs/>
          <w:iCs/>
          <w:sz w:val="21"/>
          <w:szCs w:val="21"/>
        </w:rPr>
        <w:t xml:space="preserve"> 3.0% </w:t>
      </w:r>
      <w:r w:rsidR="00020962">
        <w:rPr>
          <w:rFonts w:ascii="Times New Roman" w:hAnsi="Times New Roman" w:cs="Times New Roman"/>
          <w:bCs/>
          <w:iCs/>
          <w:sz w:val="21"/>
          <w:szCs w:val="21"/>
        </w:rPr>
        <w:t xml:space="preserve">increase. The growth of </w:t>
      </w:r>
      <w:r w:rsidR="002A2990" w:rsidRPr="002A2990">
        <w:rPr>
          <w:rFonts w:ascii="Times New Roman" w:hAnsi="Times New Roman" w:cs="Times New Roman"/>
          <w:bCs/>
          <w:iCs/>
          <w:sz w:val="21"/>
          <w:szCs w:val="21"/>
        </w:rPr>
        <w:t xml:space="preserve">private investment in 2014 is </w:t>
      </w:r>
      <w:r w:rsidR="00020962">
        <w:rPr>
          <w:rFonts w:ascii="Times New Roman" w:hAnsi="Times New Roman" w:cs="Times New Roman"/>
          <w:bCs/>
          <w:iCs/>
          <w:sz w:val="21"/>
          <w:szCs w:val="21"/>
        </w:rPr>
        <w:t xml:space="preserve">an </w:t>
      </w:r>
      <w:r w:rsidR="002A2990" w:rsidRPr="002A2990">
        <w:rPr>
          <w:rFonts w:ascii="Times New Roman" w:hAnsi="Times New Roman" w:cs="Times New Roman"/>
          <w:bCs/>
          <w:iCs/>
          <w:sz w:val="21"/>
          <w:szCs w:val="21"/>
        </w:rPr>
        <w:t>estimated 1.2%.</w:t>
      </w:r>
    </w:p>
    <w:p w14:paraId="70BB2B39" w14:textId="4B13DA03" w:rsidR="004E31BD" w:rsidRDefault="00304B53"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Under the sircumstances </w:t>
      </w:r>
      <w:proofErr w:type="gramStart"/>
      <w:r>
        <w:rPr>
          <w:rFonts w:ascii="Times New Roman" w:hAnsi="Times New Roman" w:cs="Times New Roman"/>
          <w:bCs/>
          <w:iCs/>
          <w:sz w:val="21"/>
          <w:szCs w:val="21"/>
        </w:rPr>
        <w:t xml:space="preserve">of </w:t>
      </w:r>
      <w:r w:rsidR="00407A12">
        <w:rPr>
          <w:rFonts w:ascii="Times New Roman" w:hAnsi="Times New Roman" w:cs="Times New Roman"/>
          <w:bCs/>
          <w:iCs/>
          <w:sz w:val="21"/>
          <w:szCs w:val="21"/>
        </w:rPr>
        <w:t xml:space="preserve"> </w:t>
      </w:r>
      <w:r>
        <w:rPr>
          <w:rFonts w:ascii="Times New Roman" w:hAnsi="Times New Roman" w:cs="Times New Roman"/>
          <w:bCs/>
          <w:iCs/>
          <w:sz w:val="21"/>
          <w:szCs w:val="21"/>
        </w:rPr>
        <w:t>4.3</w:t>
      </w:r>
      <w:proofErr w:type="gramEnd"/>
      <w:r>
        <w:rPr>
          <w:rFonts w:ascii="Times New Roman" w:hAnsi="Times New Roman" w:cs="Times New Roman"/>
          <w:bCs/>
          <w:iCs/>
          <w:sz w:val="21"/>
          <w:szCs w:val="21"/>
        </w:rPr>
        <w:t xml:space="preserve">% decline of </w:t>
      </w:r>
      <w:r w:rsidR="00407A12">
        <w:rPr>
          <w:rFonts w:ascii="Times New Roman" w:hAnsi="Times New Roman" w:cs="Times New Roman"/>
          <w:bCs/>
          <w:iCs/>
          <w:sz w:val="21"/>
          <w:szCs w:val="21"/>
        </w:rPr>
        <w:t xml:space="preserve">construction output, the moderate growth in private investment has been due to </w:t>
      </w:r>
      <w:r w:rsidR="00721FB1">
        <w:rPr>
          <w:rFonts w:ascii="Times New Roman" w:hAnsi="Times New Roman" w:cs="Times New Roman"/>
          <w:bCs/>
          <w:iCs/>
          <w:sz w:val="21"/>
          <w:szCs w:val="21"/>
        </w:rPr>
        <w:t xml:space="preserve">an </w:t>
      </w:r>
      <w:r w:rsidR="00407A12">
        <w:rPr>
          <w:rFonts w:ascii="Times New Roman" w:hAnsi="Times New Roman" w:cs="Times New Roman"/>
          <w:bCs/>
          <w:iCs/>
          <w:sz w:val="21"/>
          <w:szCs w:val="21"/>
        </w:rPr>
        <w:t xml:space="preserve">increased </w:t>
      </w:r>
      <w:r w:rsidR="00721FB1">
        <w:rPr>
          <w:rFonts w:ascii="Times New Roman" w:hAnsi="Times New Roman" w:cs="Times New Roman"/>
          <w:bCs/>
          <w:iCs/>
          <w:sz w:val="21"/>
          <w:szCs w:val="21"/>
        </w:rPr>
        <w:t xml:space="preserve">amount of </w:t>
      </w:r>
      <w:r w:rsidR="00407A12">
        <w:rPr>
          <w:rFonts w:ascii="Times New Roman" w:hAnsi="Times New Roman" w:cs="Times New Roman"/>
          <w:bCs/>
          <w:iCs/>
          <w:sz w:val="21"/>
          <w:szCs w:val="21"/>
        </w:rPr>
        <w:t xml:space="preserve">investment </w:t>
      </w:r>
      <w:r>
        <w:rPr>
          <w:rFonts w:ascii="Times New Roman" w:hAnsi="Times New Roman" w:cs="Times New Roman"/>
          <w:bCs/>
          <w:iCs/>
          <w:sz w:val="21"/>
          <w:szCs w:val="21"/>
        </w:rPr>
        <w:t xml:space="preserve"> by companies</w:t>
      </w:r>
      <w:r w:rsidR="00407A12">
        <w:rPr>
          <w:rFonts w:ascii="Times New Roman" w:hAnsi="Times New Roman" w:cs="Times New Roman"/>
          <w:bCs/>
          <w:iCs/>
          <w:sz w:val="21"/>
          <w:szCs w:val="21"/>
        </w:rPr>
        <w:t xml:space="preserve">. </w:t>
      </w:r>
      <w:r w:rsidR="0076293E">
        <w:rPr>
          <w:rFonts w:ascii="Times New Roman" w:hAnsi="Times New Roman" w:cs="Times New Roman"/>
          <w:bCs/>
          <w:iCs/>
          <w:sz w:val="21"/>
          <w:szCs w:val="21"/>
        </w:rPr>
        <w:t xml:space="preserve">According to </w:t>
      </w:r>
      <w:r w:rsidR="00A9653E" w:rsidRPr="00EC356F">
        <w:rPr>
          <w:rFonts w:ascii="Times New Roman" w:hAnsi="Times New Roman" w:cs="Times New Roman"/>
          <w:bCs/>
          <w:iCs/>
          <w:sz w:val="21"/>
          <w:szCs w:val="21"/>
        </w:rPr>
        <w:t>the Central Bank investment surveys</w:t>
      </w:r>
      <w:r w:rsidR="00D22F97">
        <w:rPr>
          <w:rStyle w:val="FootnoteReference"/>
          <w:rFonts w:ascii="Times New Roman" w:hAnsi="Times New Roman" w:cs="Times New Roman"/>
          <w:bCs/>
          <w:iCs/>
          <w:sz w:val="21"/>
          <w:szCs w:val="21"/>
        </w:rPr>
        <w:footnoteReference w:customMarkFollows="1" w:id="20"/>
        <w:t>20</w:t>
      </w:r>
      <w:r w:rsidR="00A9653E" w:rsidRPr="00EC356F">
        <w:rPr>
          <w:rFonts w:ascii="Times New Roman" w:hAnsi="Times New Roman" w:cs="Times New Roman"/>
          <w:bCs/>
          <w:iCs/>
          <w:sz w:val="21"/>
          <w:szCs w:val="21"/>
        </w:rPr>
        <w:t xml:space="preserve"> of Armenian companies</w:t>
      </w:r>
      <w:r w:rsidR="0076293E">
        <w:rPr>
          <w:rFonts w:ascii="Times New Roman" w:hAnsi="Times New Roman" w:cs="Times New Roman"/>
          <w:bCs/>
          <w:iCs/>
          <w:sz w:val="21"/>
          <w:szCs w:val="21"/>
        </w:rPr>
        <w:t xml:space="preserve">, </w:t>
      </w:r>
      <w:r w:rsidR="0076293E" w:rsidRPr="0076293E">
        <w:rPr>
          <w:rFonts w:ascii="Times New Roman" w:hAnsi="Times New Roman" w:cs="Times New Roman"/>
          <w:bCs/>
          <w:iCs/>
          <w:sz w:val="21"/>
          <w:szCs w:val="21"/>
        </w:rPr>
        <w:t xml:space="preserve">about 50% of </w:t>
      </w:r>
      <w:r w:rsidR="0076293E">
        <w:rPr>
          <w:rFonts w:ascii="Times New Roman" w:hAnsi="Times New Roman" w:cs="Times New Roman"/>
          <w:bCs/>
          <w:iCs/>
          <w:sz w:val="21"/>
          <w:szCs w:val="21"/>
        </w:rPr>
        <w:t xml:space="preserve">companies </w:t>
      </w:r>
      <w:r w:rsidR="004E31BD">
        <w:rPr>
          <w:rFonts w:ascii="Times New Roman" w:hAnsi="Times New Roman" w:cs="Times New Roman"/>
          <w:bCs/>
          <w:iCs/>
          <w:sz w:val="21"/>
          <w:szCs w:val="21"/>
        </w:rPr>
        <w:t xml:space="preserve">having invested used the </w:t>
      </w:r>
      <w:r w:rsidR="004E31BD" w:rsidRPr="0076293E">
        <w:rPr>
          <w:rFonts w:ascii="Times New Roman" w:hAnsi="Times New Roman" w:cs="Times New Roman"/>
          <w:bCs/>
          <w:iCs/>
          <w:sz w:val="21"/>
          <w:szCs w:val="21"/>
        </w:rPr>
        <w:t>loan funds from local banks as a source of investment</w:t>
      </w:r>
      <w:r w:rsidR="004E31BD">
        <w:rPr>
          <w:rFonts w:ascii="Times New Roman" w:hAnsi="Times New Roman" w:cs="Times New Roman"/>
          <w:bCs/>
          <w:iCs/>
          <w:sz w:val="21"/>
          <w:szCs w:val="21"/>
        </w:rPr>
        <w:t xml:space="preserve"> in 2014. The </w:t>
      </w:r>
      <w:r w:rsidR="004E31BD" w:rsidRPr="0076293E">
        <w:rPr>
          <w:rFonts w:ascii="Times New Roman" w:hAnsi="Times New Roman" w:cs="Times New Roman"/>
          <w:bCs/>
          <w:iCs/>
          <w:sz w:val="21"/>
          <w:szCs w:val="21"/>
        </w:rPr>
        <w:t>expansionary monetary policy</w:t>
      </w:r>
      <w:r w:rsidR="004E31BD">
        <w:rPr>
          <w:rFonts w:ascii="Times New Roman" w:hAnsi="Times New Roman" w:cs="Times New Roman"/>
          <w:bCs/>
          <w:iCs/>
          <w:sz w:val="21"/>
          <w:szCs w:val="21"/>
        </w:rPr>
        <w:t xml:space="preserve"> of the Central Bank contributed to about</w:t>
      </w:r>
      <w:r w:rsidR="004E31BD" w:rsidRPr="0076293E">
        <w:rPr>
          <w:rFonts w:ascii="Times New Roman" w:hAnsi="Times New Roman" w:cs="Times New Roman"/>
          <w:bCs/>
          <w:iCs/>
          <w:sz w:val="21"/>
          <w:szCs w:val="21"/>
        </w:rPr>
        <w:t xml:space="preserve"> 17% growth in </w:t>
      </w:r>
      <w:r w:rsidR="004E31BD">
        <w:rPr>
          <w:rFonts w:ascii="Times New Roman" w:hAnsi="Times New Roman" w:cs="Times New Roman"/>
          <w:bCs/>
          <w:iCs/>
          <w:sz w:val="21"/>
          <w:szCs w:val="21"/>
        </w:rPr>
        <w:t xml:space="preserve">credit to companies </w:t>
      </w:r>
      <w:r w:rsidR="0076293E" w:rsidRPr="0076293E">
        <w:rPr>
          <w:rFonts w:ascii="Times New Roman" w:hAnsi="Times New Roman" w:cs="Times New Roman"/>
          <w:bCs/>
          <w:iCs/>
          <w:sz w:val="21"/>
          <w:szCs w:val="21"/>
        </w:rPr>
        <w:t>in various sectors of the economy in 2014</w:t>
      </w:r>
      <w:r w:rsidR="004E31BD">
        <w:rPr>
          <w:rFonts w:ascii="Times New Roman" w:hAnsi="Times New Roman" w:cs="Times New Roman"/>
          <w:bCs/>
          <w:iCs/>
          <w:sz w:val="21"/>
          <w:szCs w:val="21"/>
        </w:rPr>
        <w:t xml:space="preserve">. </w:t>
      </w:r>
      <w:r w:rsidR="0076293E" w:rsidRPr="0076293E">
        <w:rPr>
          <w:rFonts w:ascii="Times New Roman" w:hAnsi="Times New Roman" w:cs="Times New Roman"/>
          <w:bCs/>
          <w:iCs/>
          <w:sz w:val="21"/>
          <w:szCs w:val="21"/>
        </w:rPr>
        <w:t xml:space="preserve"> </w:t>
      </w:r>
    </w:p>
    <w:p w14:paraId="57762E2E" w14:textId="77777777" w:rsidR="004E31BD" w:rsidRDefault="004E31BD"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With p</w:t>
      </w:r>
      <w:r w:rsidRPr="004E31BD">
        <w:rPr>
          <w:rFonts w:ascii="Times New Roman" w:hAnsi="Times New Roman" w:cs="Times New Roman"/>
          <w:bCs/>
          <w:iCs/>
          <w:sz w:val="21"/>
          <w:szCs w:val="21"/>
        </w:rPr>
        <w:t>rivate consumption and investment developments described above</w:t>
      </w:r>
      <w:r>
        <w:rPr>
          <w:rFonts w:ascii="Times New Roman" w:hAnsi="Times New Roman" w:cs="Times New Roman"/>
          <w:bCs/>
          <w:iCs/>
          <w:sz w:val="21"/>
          <w:szCs w:val="21"/>
        </w:rPr>
        <w:t>,</w:t>
      </w:r>
      <w:r w:rsidRPr="004E31BD">
        <w:rPr>
          <w:rFonts w:ascii="Times New Roman" w:hAnsi="Times New Roman" w:cs="Times New Roman"/>
          <w:bCs/>
          <w:iCs/>
          <w:sz w:val="21"/>
          <w:szCs w:val="21"/>
        </w:rPr>
        <w:t xml:space="preserve"> the growth rate in </w:t>
      </w:r>
      <w:r>
        <w:rPr>
          <w:rFonts w:ascii="Times New Roman" w:hAnsi="Times New Roman" w:cs="Times New Roman"/>
          <w:bCs/>
          <w:iCs/>
          <w:sz w:val="21"/>
          <w:szCs w:val="21"/>
        </w:rPr>
        <w:t xml:space="preserve">private spending slowed down to 0.7% in </w:t>
      </w:r>
      <w:r w:rsidRPr="004E31BD">
        <w:rPr>
          <w:rFonts w:ascii="Times New Roman" w:hAnsi="Times New Roman" w:cs="Times New Roman"/>
          <w:bCs/>
          <w:iCs/>
          <w:sz w:val="21"/>
          <w:szCs w:val="21"/>
        </w:rPr>
        <w:t xml:space="preserve">the </w:t>
      </w:r>
      <w:r>
        <w:rPr>
          <w:rFonts w:ascii="Times New Roman" w:hAnsi="Times New Roman" w:cs="Times New Roman"/>
          <w:bCs/>
          <w:iCs/>
          <w:sz w:val="21"/>
          <w:szCs w:val="21"/>
        </w:rPr>
        <w:t>4th</w:t>
      </w:r>
      <w:r w:rsidRPr="004E31BD">
        <w:rPr>
          <w:rFonts w:ascii="Times New Roman" w:hAnsi="Times New Roman" w:cs="Times New Roman"/>
          <w:bCs/>
          <w:iCs/>
          <w:sz w:val="21"/>
          <w:szCs w:val="21"/>
        </w:rPr>
        <w:t xml:space="preserve"> quarter compared to the </w:t>
      </w:r>
      <w:r>
        <w:rPr>
          <w:rFonts w:ascii="Times New Roman" w:hAnsi="Times New Roman" w:cs="Times New Roman"/>
          <w:bCs/>
          <w:iCs/>
          <w:sz w:val="21"/>
          <w:szCs w:val="21"/>
        </w:rPr>
        <w:t xml:space="preserve">previous quarter, which, coupled with </w:t>
      </w:r>
      <w:r w:rsidR="00CB4B81">
        <w:rPr>
          <w:rFonts w:ascii="Times New Roman" w:hAnsi="Times New Roman" w:cs="Times New Roman"/>
          <w:bCs/>
          <w:iCs/>
          <w:sz w:val="21"/>
          <w:szCs w:val="21"/>
        </w:rPr>
        <w:t xml:space="preserve">a </w:t>
      </w:r>
      <w:r w:rsidRPr="004E31BD">
        <w:rPr>
          <w:rFonts w:ascii="Times New Roman" w:hAnsi="Times New Roman" w:cs="Times New Roman"/>
          <w:bCs/>
          <w:iCs/>
          <w:sz w:val="21"/>
          <w:szCs w:val="21"/>
        </w:rPr>
        <w:t xml:space="preserve">2.3% </w:t>
      </w:r>
      <w:r w:rsidR="00CB4B81">
        <w:rPr>
          <w:rFonts w:ascii="Times New Roman" w:hAnsi="Times New Roman" w:cs="Times New Roman"/>
          <w:bCs/>
          <w:iCs/>
          <w:sz w:val="21"/>
          <w:szCs w:val="21"/>
        </w:rPr>
        <w:t>increase in</w:t>
      </w:r>
      <w:r w:rsidRPr="004E31BD">
        <w:rPr>
          <w:rFonts w:ascii="Times New Roman" w:hAnsi="Times New Roman" w:cs="Times New Roman"/>
          <w:bCs/>
          <w:iCs/>
          <w:sz w:val="21"/>
          <w:szCs w:val="21"/>
        </w:rPr>
        <w:t xml:space="preserve"> public expenditure</w:t>
      </w:r>
      <w:r w:rsidR="00CB4B81">
        <w:rPr>
          <w:rFonts w:ascii="Times New Roman" w:hAnsi="Times New Roman" w:cs="Times New Roman"/>
          <w:bCs/>
          <w:iCs/>
          <w:sz w:val="21"/>
          <w:szCs w:val="21"/>
        </w:rPr>
        <w:t>s, pushed the</w:t>
      </w:r>
      <w:r w:rsidRPr="004E31BD">
        <w:rPr>
          <w:rFonts w:ascii="Times New Roman" w:hAnsi="Times New Roman" w:cs="Times New Roman"/>
          <w:bCs/>
          <w:iCs/>
          <w:sz w:val="21"/>
          <w:szCs w:val="21"/>
        </w:rPr>
        <w:t xml:space="preserve"> domestic demand </w:t>
      </w:r>
      <w:r w:rsidR="00CB4B81">
        <w:rPr>
          <w:rFonts w:ascii="Times New Roman" w:hAnsi="Times New Roman" w:cs="Times New Roman"/>
          <w:bCs/>
          <w:iCs/>
          <w:sz w:val="21"/>
          <w:szCs w:val="21"/>
        </w:rPr>
        <w:t xml:space="preserve">up by </w:t>
      </w:r>
      <w:r w:rsidRPr="004E31BD">
        <w:rPr>
          <w:rFonts w:ascii="Times New Roman" w:hAnsi="Times New Roman" w:cs="Times New Roman"/>
          <w:bCs/>
          <w:iCs/>
          <w:sz w:val="21"/>
          <w:szCs w:val="21"/>
        </w:rPr>
        <w:t>1.0% in the reporting period.</w:t>
      </w:r>
    </w:p>
    <w:p w14:paraId="6BD679F1" w14:textId="274E53B9" w:rsidR="00A9653E" w:rsidRPr="00EC356F" w:rsidRDefault="00E96F5D" w:rsidP="00A9653E">
      <w:pPr>
        <w:spacing w:line="360" w:lineRule="auto"/>
        <w:jc w:val="both"/>
        <w:rPr>
          <w:rFonts w:ascii="Times New Roman" w:hAnsi="Times New Roman" w:cs="Times New Roman"/>
          <w:bCs/>
          <w:iCs/>
          <w:sz w:val="21"/>
          <w:szCs w:val="21"/>
        </w:rPr>
      </w:pPr>
      <w:r>
        <w:rPr>
          <w:rFonts w:ascii="Times New Roman" w:hAnsi="Times New Roman" w:cs="Times New Roman"/>
          <w:sz w:val="21"/>
          <w:szCs w:val="21"/>
        </w:rPr>
        <w:lastRenderedPageBreak/>
        <w:t>T</w:t>
      </w:r>
      <w:r w:rsidRPr="00EC356F">
        <w:rPr>
          <w:rFonts w:ascii="Times New Roman" w:hAnsi="Times New Roman" w:cs="Times New Roman"/>
          <w:sz w:val="21"/>
          <w:szCs w:val="21"/>
        </w:rPr>
        <w:t xml:space="preserve">he private spending gap </w:t>
      </w:r>
      <w:r>
        <w:rPr>
          <w:rFonts w:ascii="Times New Roman" w:hAnsi="Times New Roman" w:cs="Times New Roman"/>
          <w:sz w:val="21"/>
          <w:szCs w:val="21"/>
        </w:rPr>
        <w:t xml:space="preserve">in the 4th quarter of 2014 </w:t>
      </w:r>
      <w:r w:rsidRPr="00EC356F">
        <w:rPr>
          <w:rFonts w:ascii="Times New Roman" w:hAnsi="Times New Roman" w:cs="Times New Roman"/>
          <w:sz w:val="21"/>
          <w:szCs w:val="21"/>
        </w:rPr>
        <w:t xml:space="preserve">is estimated </w:t>
      </w:r>
      <w:r>
        <w:rPr>
          <w:rFonts w:ascii="Times New Roman" w:hAnsi="Times New Roman" w:cs="Times New Roman"/>
          <w:sz w:val="21"/>
          <w:szCs w:val="21"/>
        </w:rPr>
        <w:t xml:space="preserve">as </w:t>
      </w:r>
      <w:r w:rsidRPr="00EC356F">
        <w:rPr>
          <w:rFonts w:ascii="Times New Roman" w:hAnsi="Times New Roman" w:cs="Times New Roman"/>
          <w:sz w:val="21"/>
          <w:szCs w:val="21"/>
        </w:rPr>
        <w:t xml:space="preserve">negative, </w:t>
      </w:r>
      <w:r>
        <w:rPr>
          <w:rFonts w:ascii="Times New Roman" w:hAnsi="Times New Roman" w:cs="Times New Roman"/>
          <w:sz w:val="21"/>
          <w:szCs w:val="21"/>
        </w:rPr>
        <w:t xml:space="preserve">which </w:t>
      </w:r>
      <w:r w:rsidR="00304B53">
        <w:rPr>
          <w:rFonts w:ascii="Times New Roman" w:hAnsi="Times New Roman" w:cs="Times New Roman"/>
          <w:sz w:val="21"/>
          <w:szCs w:val="21"/>
        </w:rPr>
        <w:t xml:space="preserve">had </w:t>
      </w:r>
      <w:r w:rsidRPr="00E96F5D">
        <w:rPr>
          <w:rFonts w:ascii="Times New Roman" w:hAnsi="Times New Roman" w:cs="Times New Roman"/>
          <w:b/>
          <w:sz w:val="21"/>
          <w:szCs w:val="21"/>
        </w:rPr>
        <w:t>1.5</w:t>
      </w:r>
      <w:r w:rsidR="00FC2E4A">
        <w:rPr>
          <w:rFonts w:ascii="Times New Roman" w:hAnsi="Times New Roman" w:cs="Times New Roman"/>
          <w:b/>
          <w:sz w:val="21"/>
          <w:szCs w:val="21"/>
        </w:rPr>
        <w:t xml:space="preserve"> pp </w:t>
      </w:r>
      <w:r w:rsidRPr="00E96F5D">
        <w:rPr>
          <w:rFonts w:ascii="Times New Roman" w:hAnsi="Times New Roman" w:cs="Times New Roman"/>
          <w:b/>
          <w:sz w:val="21"/>
          <w:szCs w:val="21"/>
        </w:rPr>
        <w:t>-</w:t>
      </w:r>
      <w:r w:rsidR="00FC2E4A">
        <w:rPr>
          <w:rFonts w:ascii="Times New Roman" w:hAnsi="Times New Roman" w:cs="Times New Roman"/>
          <w:b/>
          <w:sz w:val="21"/>
          <w:szCs w:val="21"/>
        </w:rPr>
        <w:t xml:space="preserve"> </w:t>
      </w:r>
      <w:r w:rsidRPr="00E96F5D">
        <w:rPr>
          <w:rFonts w:ascii="Times New Roman" w:hAnsi="Times New Roman" w:cs="Times New Roman"/>
          <w:b/>
          <w:sz w:val="21"/>
          <w:szCs w:val="21"/>
        </w:rPr>
        <w:t>1.7 pp contractionary impact</w:t>
      </w:r>
      <w:r w:rsidRPr="00EC356F">
        <w:rPr>
          <w:rFonts w:ascii="Times New Roman" w:hAnsi="Times New Roman" w:cs="Times New Roman"/>
          <w:sz w:val="21"/>
          <w:szCs w:val="21"/>
        </w:rPr>
        <w:t xml:space="preserve"> on the inflation.</w:t>
      </w:r>
      <w:r>
        <w:rPr>
          <w:rFonts w:ascii="Times New Roman" w:hAnsi="Times New Roman" w:cs="Times New Roman"/>
          <w:sz w:val="21"/>
          <w:szCs w:val="21"/>
        </w:rPr>
        <w:t xml:space="preserve"> </w:t>
      </w:r>
    </w:p>
    <w:p w14:paraId="1E110D96" w14:textId="02EEAA9D" w:rsidR="00A9653E" w:rsidRPr="00EC356F" w:rsidRDefault="00052637"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According to the Central Bank estimates, i</w:t>
      </w:r>
      <w:r w:rsidR="00A9653E" w:rsidRPr="00EC356F">
        <w:rPr>
          <w:rFonts w:ascii="Times New Roman" w:hAnsi="Times New Roman" w:cs="Times New Roman"/>
          <w:sz w:val="21"/>
          <w:szCs w:val="21"/>
        </w:rPr>
        <w:t xml:space="preserve">n the </w:t>
      </w:r>
      <w:r w:rsidR="00E96F5D">
        <w:rPr>
          <w:rFonts w:ascii="Times New Roman" w:hAnsi="Times New Roman" w:cs="Times New Roman"/>
          <w:sz w:val="21"/>
          <w:szCs w:val="21"/>
        </w:rPr>
        <w:t>4th</w:t>
      </w:r>
      <w:r w:rsidR="00A9653E" w:rsidRPr="00EC356F">
        <w:rPr>
          <w:rFonts w:ascii="Times New Roman" w:hAnsi="Times New Roman" w:cs="Times New Roman"/>
          <w:sz w:val="21"/>
          <w:szCs w:val="21"/>
        </w:rPr>
        <w:t xml:space="preserve"> quarter of 2014</w:t>
      </w:r>
      <w:r>
        <w:rPr>
          <w:rFonts w:ascii="Times New Roman" w:hAnsi="Times New Roman" w:cs="Times New Roman"/>
          <w:sz w:val="21"/>
          <w:szCs w:val="21"/>
        </w:rPr>
        <w:t xml:space="preserve"> the negative balance of net export in real terms </w:t>
      </w:r>
      <w:r w:rsidR="00E96F5D">
        <w:rPr>
          <w:rFonts w:ascii="Times New Roman" w:hAnsi="Times New Roman" w:cs="Times New Roman"/>
          <w:sz w:val="21"/>
          <w:szCs w:val="21"/>
        </w:rPr>
        <w:t xml:space="preserve">somewhat </w:t>
      </w:r>
      <w:r w:rsidR="00B0759A">
        <w:rPr>
          <w:rFonts w:ascii="Times New Roman" w:hAnsi="Times New Roman" w:cs="Times New Roman"/>
          <w:sz w:val="21"/>
          <w:szCs w:val="21"/>
        </w:rPr>
        <w:t>declined</w:t>
      </w:r>
      <w:r w:rsidR="002C4067">
        <w:rPr>
          <w:rFonts w:ascii="Times New Roman" w:hAnsi="Times New Roman" w:cs="Times New Roman"/>
          <w:sz w:val="21"/>
          <w:szCs w:val="21"/>
        </w:rPr>
        <w:t xml:space="preserve"> </w:t>
      </w:r>
      <w:r w:rsidR="002C4067">
        <w:rPr>
          <w:rFonts w:ascii="Sylfaen" w:hAnsi="Sylfaen" w:cs="Times New Roman"/>
          <w:sz w:val="21"/>
          <w:szCs w:val="21"/>
        </w:rPr>
        <w:t>in absolute value</w:t>
      </w:r>
      <w:r w:rsidR="00E96F5D">
        <w:rPr>
          <w:rFonts w:ascii="Times New Roman" w:hAnsi="Times New Roman" w:cs="Times New Roman"/>
          <w:sz w:val="21"/>
          <w:szCs w:val="21"/>
        </w:rPr>
        <w:t xml:space="preserve"> </w:t>
      </w:r>
      <w:r w:rsidR="008D5F4B">
        <w:rPr>
          <w:rFonts w:ascii="Times New Roman" w:hAnsi="Times New Roman" w:cs="Times New Roman"/>
          <w:sz w:val="21"/>
          <w:szCs w:val="21"/>
        </w:rPr>
        <w:t xml:space="preserve">due to a faster </w:t>
      </w:r>
      <w:r w:rsidR="00E96F5D" w:rsidRPr="00E96F5D">
        <w:rPr>
          <w:rFonts w:ascii="Times New Roman" w:hAnsi="Times New Roman" w:cs="Times New Roman"/>
          <w:sz w:val="21"/>
          <w:szCs w:val="21"/>
        </w:rPr>
        <w:t xml:space="preserve">growth of </w:t>
      </w:r>
      <w:r w:rsidR="008D5F4B">
        <w:rPr>
          <w:rFonts w:ascii="Times New Roman" w:hAnsi="Times New Roman" w:cs="Times New Roman"/>
          <w:sz w:val="21"/>
          <w:szCs w:val="21"/>
        </w:rPr>
        <w:t>ex</w:t>
      </w:r>
      <w:r w:rsidR="00E96F5D" w:rsidRPr="00E96F5D">
        <w:rPr>
          <w:rFonts w:ascii="Times New Roman" w:hAnsi="Times New Roman" w:cs="Times New Roman"/>
          <w:sz w:val="21"/>
          <w:szCs w:val="21"/>
        </w:rPr>
        <w:t xml:space="preserve">port of goods and services </w:t>
      </w:r>
      <w:r w:rsidR="008D5F4B">
        <w:rPr>
          <w:rFonts w:ascii="Times New Roman" w:hAnsi="Times New Roman" w:cs="Times New Roman"/>
          <w:sz w:val="21"/>
          <w:szCs w:val="21"/>
        </w:rPr>
        <w:t xml:space="preserve">in real terms </w:t>
      </w:r>
      <w:r w:rsidR="00E96F5D" w:rsidRPr="00E96F5D">
        <w:rPr>
          <w:rFonts w:ascii="Times New Roman" w:hAnsi="Times New Roman" w:cs="Times New Roman"/>
          <w:sz w:val="21"/>
          <w:szCs w:val="21"/>
        </w:rPr>
        <w:t xml:space="preserve">over the growth of </w:t>
      </w:r>
      <w:r w:rsidR="008D5F4B">
        <w:rPr>
          <w:rFonts w:ascii="Times New Roman" w:hAnsi="Times New Roman" w:cs="Times New Roman"/>
          <w:sz w:val="21"/>
          <w:szCs w:val="21"/>
        </w:rPr>
        <w:t>im</w:t>
      </w:r>
      <w:r w:rsidR="00E96F5D" w:rsidRPr="00E96F5D">
        <w:rPr>
          <w:rFonts w:ascii="Times New Roman" w:hAnsi="Times New Roman" w:cs="Times New Roman"/>
          <w:sz w:val="21"/>
          <w:szCs w:val="21"/>
        </w:rPr>
        <w:t>port of goods and services</w:t>
      </w:r>
      <w:r w:rsidR="008D5F4B">
        <w:rPr>
          <w:rFonts w:ascii="Times New Roman" w:hAnsi="Times New Roman" w:cs="Times New Roman"/>
          <w:sz w:val="21"/>
          <w:szCs w:val="21"/>
        </w:rPr>
        <w:t xml:space="preserve"> in real terms</w:t>
      </w:r>
      <w:r>
        <w:rPr>
          <w:rFonts w:ascii="Times New Roman" w:hAnsi="Times New Roman" w:cs="Times New Roman"/>
          <w:sz w:val="21"/>
          <w:szCs w:val="21"/>
        </w:rPr>
        <w:t xml:space="preserve">. </w:t>
      </w:r>
      <w:r w:rsidR="008D5F4B">
        <w:rPr>
          <w:rFonts w:ascii="Times New Roman" w:hAnsi="Times New Roman" w:cs="Times New Roman"/>
          <w:sz w:val="21"/>
          <w:szCs w:val="21"/>
        </w:rPr>
        <w:t>T</w:t>
      </w:r>
      <w:r w:rsidR="00A9653E" w:rsidRPr="00EC356F">
        <w:rPr>
          <w:rFonts w:ascii="Times New Roman" w:hAnsi="Times New Roman" w:cs="Times New Roman"/>
          <w:sz w:val="21"/>
          <w:szCs w:val="21"/>
        </w:rPr>
        <w:t xml:space="preserve">he growth rates </w:t>
      </w:r>
      <w:r w:rsidR="008D5F4B">
        <w:rPr>
          <w:rFonts w:ascii="Times New Roman" w:hAnsi="Times New Roman" w:cs="Times New Roman"/>
          <w:sz w:val="21"/>
          <w:szCs w:val="21"/>
        </w:rPr>
        <w:t>in</w:t>
      </w:r>
      <w:r w:rsidR="00A9653E" w:rsidRPr="00EC356F">
        <w:rPr>
          <w:rFonts w:ascii="Times New Roman" w:hAnsi="Times New Roman" w:cs="Times New Roman"/>
          <w:sz w:val="21"/>
          <w:szCs w:val="21"/>
        </w:rPr>
        <w:t xml:space="preserve"> export of goods and services in real terms amounted to </w:t>
      </w:r>
      <w:r w:rsidR="008D5F4B">
        <w:rPr>
          <w:rFonts w:ascii="Times New Roman" w:hAnsi="Times New Roman" w:cs="Times New Roman"/>
          <w:sz w:val="21"/>
          <w:szCs w:val="21"/>
        </w:rPr>
        <w:t>7</w:t>
      </w:r>
      <w:r w:rsidR="00A9653E" w:rsidRPr="00EC356F">
        <w:rPr>
          <w:rFonts w:ascii="Times New Roman" w:hAnsi="Times New Roman" w:cs="Times New Roman"/>
          <w:sz w:val="21"/>
          <w:szCs w:val="21"/>
        </w:rPr>
        <w:t>.</w:t>
      </w:r>
      <w:r w:rsidR="008D5F4B">
        <w:rPr>
          <w:rFonts w:ascii="Times New Roman" w:hAnsi="Times New Roman" w:cs="Times New Roman"/>
          <w:sz w:val="21"/>
          <w:szCs w:val="21"/>
        </w:rPr>
        <w:t>3</w:t>
      </w:r>
      <w:r w:rsidR="00A9653E" w:rsidRPr="00EC356F">
        <w:rPr>
          <w:rFonts w:ascii="Times New Roman" w:hAnsi="Times New Roman" w:cs="Times New Roman"/>
          <w:sz w:val="21"/>
          <w:szCs w:val="21"/>
        </w:rPr>
        <w:t>% y/y</w:t>
      </w:r>
      <w:r w:rsidR="00634E66">
        <w:rPr>
          <w:rFonts w:ascii="Times New Roman" w:hAnsi="Times New Roman" w:cs="Times New Roman"/>
          <w:sz w:val="21"/>
          <w:szCs w:val="21"/>
        </w:rPr>
        <w:t xml:space="preserve"> and t</w:t>
      </w:r>
      <w:r w:rsidR="00A9653E" w:rsidRPr="00EC356F">
        <w:rPr>
          <w:rFonts w:ascii="Times New Roman" w:hAnsi="Times New Roman" w:cs="Times New Roman"/>
          <w:sz w:val="21"/>
          <w:szCs w:val="21"/>
        </w:rPr>
        <w:t xml:space="preserve">he growth rates </w:t>
      </w:r>
      <w:r w:rsidR="008D5F4B">
        <w:rPr>
          <w:rFonts w:ascii="Times New Roman" w:hAnsi="Times New Roman" w:cs="Times New Roman"/>
          <w:sz w:val="21"/>
          <w:szCs w:val="21"/>
        </w:rPr>
        <w:t>in</w:t>
      </w:r>
      <w:r w:rsidR="00A9653E" w:rsidRPr="00EC356F">
        <w:rPr>
          <w:rFonts w:ascii="Times New Roman" w:hAnsi="Times New Roman" w:cs="Times New Roman"/>
          <w:sz w:val="21"/>
          <w:szCs w:val="21"/>
        </w:rPr>
        <w:t xml:space="preserve"> import of goods and services in real terms</w:t>
      </w:r>
      <w:r w:rsidR="008D5F4B">
        <w:rPr>
          <w:rFonts w:ascii="Times New Roman" w:hAnsi="Times New Roman" w:cs="Times New Roman"/>
          <w:sz w:val="21"/>
          <w:szCs w:val="21"/>
        </w:rPr>
        <w:t>, by</w:t>
      </w:r>
      <w:r w:rsidR="00A9653E" w:rsidRPr="00EC356F">
        <w:rPr>
          <w:rFonts w:ascii="Times New Roman" w:hAnsi="Times New Roman" w:cs="Times New Roman"/>
          <w:sz w:val="21"/>
          <w:szCs w:val="21"/>
        </w:rPr>
        <w:t xml:space="preserve"> </w:t>
      </w:r>
      <w:r w:rsidR="00634E66">
        <w:rPr>
          <w:rFonts w:ascii="Times New Roman" w:hAnsi="Times New Roman" w:cs="Times New Roman"/>
          <w:sz w:val="21"/>
          <w:szCs w:val="21"/>
        </w:rPr>
        <w:t>3.</w:t>
      </w:r>
      <w:r w:rsidR="008D5F4B">
        <w:rPr>
          <w:rFonts w:ascii="Times New Roman" w:hAnsi="Times New Roman" w:cs="Times New Roman"/>
          <w:sz w:val="21"/>
          <w:szCs w:val="21"/>
        </w:rPr>
        <w:t>5</w:t>
      </w:r>
      <w:r w:rsidR="00634E66">
        <w:rPr>
          <w:rFonts w:ascii="Times New Roman" w:hAnsi="Times New Roman" w:cs="Times New Roman"/>
          <w:sz w:val="21"/>
          <w:szCs w:val="21"/>
        </w:rPr>
        <w:t>% y/y</w:t>
      </w:r>
      <w:r w:rsidR="00AE76FC">
        <w:rPr>
          <w:rFonts w:ascii="Times New Roman" w:hAnsi="Times New Roman" w:cs="Times New Roman"/>
          <w:sz w:val="21"/>
          <w:szCs w:val="21"/>
        </w:rPr>
        <w:t>.</w:t>
      </w:r>
      <w:r w:rsidR="00AE76FC" w:rsidRPr="00EC356F">
        <w:rPr>
          <w:rStyle w:val="FootnoteReference"/>
          <w:rFonts w:ascii="Times New Roman" w:hAnsi="Times New Roman" w:cs="Times New Roman"/>
          <w:sz w:val="21"/>
          <w:szCs w:val="21"/>
        </w:rPr>
        <w:footnoteReference w:customMarkFollows="1" w:id="21"/>
        <w:t>21</w:t>
      </w:r>
      <w:r w:rsidR="00AE76FC">
        <w:t xml:space="preserve">                     </w:t>
      </w:r>
    </w:p>
    <w:p w14:paraId="0F42F0DD" w14:textId="19140AAD" w:rsidR="00A9653E" w:rsidRPr="00EC356F" w:rsidRDefault="00C70768"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In the </w:t>
      </w:r>
      <w:r w:rsidR="008D5F4B">
        <w:rPr>
          <w:rFonts w:ascii="Times New Roman" w:hAnsi="Times New Roman" w:cs="Times New Roman"/>
          <w:bCs/>
          <w:iCs/>
          <w:sz w:val="21"/>
          <w:szCs w:val="21"/>
        </w:rPr>
        <w:t xml:space="preserve">4th </w:t>
      </w:r>
      <w:r w:rsidR="00A9653E" w:rsidRPr="00EC356F">
        <w:rPr>
          <w:rFonts w:ascii="Times New Roman" w:hAnsi="Times New Roman" w:cs="Times New Roman"/>
          <w:bCs/>
          <w:iCs/>
          <w:sz w:val="21"/>
          <w:szCs w:val="21"/>
        </w:rPr>
        <w:t xml:space="preserve">quarter of 2014, </w:t>
      </w:r>
      <w:r w:rsidR="008D5F4B">
        <w:rPr>
          <w:rFonts w:ascii="Times New Roman" w:hAnsi="Times New Roman" w:cs="Times New Roman"/>
          <w:bCs/>
          <w:iCs/>
          <w:sz w:val="21"/>
          <w:szCs w:val="21"/>
        </w:rPr>
        <w:t>the dollar value of n</w:t>
      </w:r>
      <w:r w:rsidR="00A9653E" w:rsidRPr="00EC356F">
        <w:rPr>
          <w:rFonts w:ascii="Times New Roman" w:hAnsi="Times New Roman" w:cs="Times New Roman"/>
          <w:bCs/>
          <w:iCs/>
          <w:sz w:val="21"/>
          <w:szCs w:val="21"/>
        </w:rPr>
        <w:t xml:space="preserve">et inflow of non-commercial remittances of individuals via the banking system </w:t>
      </w:r>
      <w:r w:rsidR="00B0759A">
        <w:rPr>
          <w:rFonts w:ascii="Times New Roman" w:hAnsi="Times New Roman" w:cs="Times New Roman"/>
          <w:bCs/>
          <w:iCs/>
          <w:sz w:val="21"/>
          <w:szCs w:val="21"/>
        </w:rPr>
        <w:t>declined</w:t>
      </w:r>
      <w:r w:rsidR="00A9653E" w:rsidRPr="00EC356F">
        <w:rPr>
          <w:rFonts w:ascii="Times New Roman" w:hAnsi="Times New Roman" w:cs="Times New Roman"/>
          <w:bCs/>
          <w:iCs/>
          <w:sz w:val="21"/>
          <w:szCs w:val="21"/>
        </w:rPr>
        <w:t xml:space="preserve"> </w:t>
      </w:r>
      <w:r>
        <w:rPr>
          <w:rFonts w:ascii="Times New Roman" w:hAnsi="Times New Roman" w:cs="Times New Roman"/>
          <w:bCs/>
          <w:iCs/>
          <w:sz w:val="21"/>
          <w:szCs w:val="21"/>
        </w:rPr>
        <w:t xml:space="preserve">by </w:t>
      </w:r>
      <w:r w:rsidR="008D5F4B">
        <w:rPr>
          <w:rFonts w:ascii="Times New Roman" w:hAnsi="Times New Roman" w:cs="Times New Roman"/>
          <w:bCs/>
          <w:iCs/>
          <w:sz w:val="21"/>
          <w:szCs w:val="21"/>
        </w:rPr>
        <w:t>as much as 30</w:t>
      </w:r>
      <w:r>
        <w:rPr>
          <w:rFonts w:ascii="Times New Roman" w:hAnsi="Times New Roman" w:cs="Times New Roman"/>
          <w:bCs/>
          <w:iCs/>
          <w:sz w:val="21"/>
          <w:szCs w:val="21"/>
        </w:rPr>
        <w:t>.</w:t>
      </w:r>
      <w:r w:rsidR="008D5F4B">
        <w:rPr>
          <w:rFonts w:ascii="Times New Roman" w:hAnsi="Times New Roman" w:cs="Times New Roman"/>
          <w:bCs/>
          <w:iCs/>
          <w:sz w:val="21"/>
          <w:szCs w:val="21"/>
        </w:rPr>
        <w:t>5</w:t>
      </w:r>
      <w:r w:rsidR="00A9653E" w:rsidRPr="00EC356F">
        <w:rPr>
          <w:rFonts w:ascii="Times New Roman" w:hAnsi="Times New Roman" w:cs="Times New Roman"/>
          <w:bCs/>
          <w:iCs/>
          <w:sz w:val="21"/>
          <w:szCs w:val="21"/>
        </w:rPr>
        <w:t>% y/y</w:t>
      </w:r>
      <w:r w:rsidR="008D5F4B">
        <w:rPr>
          <w:rFonts w:ascii="Times New Roman" w:hAnsi="Times New Roman" w:cs="Times New Roman"/>
          <w:bCs/>
          <w:iCs/>
          <w:sz w:val="21"/>
          <w:szCs w:val="21"/>
        </w:rPr>
        <w:t xml:space="preserve"> (a 10.1% decrease on an annual basis)</w:t>
      </w:r>
      <w:r>
        <w:rPr>
          <w:rFonts w:ascii="Times New Roman" w:hAnsi="Times New Roman" w:cs="Times New Roman"/>
          <w:bCs/>
          <w:iCs/>
          <w:sz w:val="21"/>
          <w:szCs w:val="21"/>
        </w:rPr>
        <w:t xml:space="preserve"> due to a</w:t>
      </w:r>
      <w:r w:rsidR="008D5F4B">
        <w:rPr>
          <w:rFonts w:ascii="Times New Roman" w:hAnsi="Times New Roman" w:cs="Times New Roman"/>
          <w:bCs/>
          <w:iCs/>
          <w:sz w:val="21"/>
          <w:szCs w:val="21"/>
        </w:rPr>
        <w:t>n abrupt depreciation of the Russian ruble against the U.S. dollar</w:t>
      </w:r>
      <w:r w:rsidR="00A9653E" w:rsidRPr="00EC356F">
        <w:rPr>
          <w:rFonts w:ascii="Times New Roman" w:hAnsi="Times New Roman" w:cs="Times New Roman"/>
          <w:bCs/>
          <w:iCs/>
          <w:sz w:val="21"/>
          <w:szCs w:val="21"/>
        </w:rPr>
        <w:t>.</w:t>
      </w:r>
    </w:p>
    <w:p w14:paraId="161EF8B3" w14:textId="77777777" w:rsidR="00A9653E" w:rsidRPr="00EC356F" w:rsidRDefault="00A9653E" w:rsidP="00A9653E">
      <w:pPr>
        <w:tabs>
          <w:tab w:val="left" w:pos="600"/>
        </w:tabs>
        <w:spacing w:after="120" w:line="270" w:lineRule="atLeast"/>
        <w:jc w:val="both"/>
        <w:rPr>
          <w:rFonts w:ascii="Times New Roman" w:hAnsi="Times New Roman" w:cs="Times New Roman"/>
          <w:b/>
          <w:iCs/>
          <w:sz w:val="21"/>
          <w:szCs w:val="21"/>
        </w:rPr>
      </w:pPr>
      <w:r w:rsidRPr="00EC356F">
        <w:rPr>
          <w:rFonts w:ascii="Times New Roman" w:hAnsi="Times New Roman" w:cs="Times New Roman"/>
          <w:b/>
          <w:bCs/>
          <w:iCs/>
          <w:sz w:val="21"/>
          <w:szCs w:val="21"/>
        </w:rPr>
        <w:t>3.2.3. Labor market</w:t>
      </w:r>
      <w:r w:rsidR="00471408">
        <w:rPr>
          <w:rStyle w:val="FootnoteReference"/>
          <w:rFonts w:ascii="Times New Roman" w:hAnsi="Times New Roman" w:cs="Times New Roman"/>
          <w:b/>
          <w:iCs/>
          <w:sz w:val="21"/>
          <w:szCs w:val="21"/>
        </w:rPr>
        <w:footnoteReference w:customMarkFollows="1" w:id="22"/>
        <w:t>22</w:t>
      </w:r>
    </w:p>
    <w:p w14:paraId="3D379729" w14:textId="77777777" w:rsidR="00C5755C" w:rsidRDefault="00D60711" w:rsidP="00A9653E">
      <w:pPr>
        <w:spacing w:line="360" w:lineRule="auto"/>
        <w:jc w:val="both"/>
        <w:rPr>
          <w:rFonts w:ascii="Times New Roman" w:hAnsi="Times New Roman" w:cs="Times New Roman"/>
          <w:bCs/>
          <w:iCs/>
          <w:sz w:val="21"/>
          <w:szCs w:val="21"/>
        </w:rPr>
      </w:pPr>
      <w:r>
        <w:rPr>
          <w:rStyle w:val="longtext"/>
          <w:rFonts w:ascii="Times New Roman" w:hAnsi="Times New Roman" w:cs="Times New Roman"/>
          <w:sz w:val="21"/>
          <w:szCs w:val="21"/>
          <w:shd w:val="clear" w:color="auto" w:fill="FFFFFF"/>
        </w:rPr>
        <w:t xml:space="preserve">In the </w:t>
      </w:r>
      <w:r w:rsidR="00C5755C">
        <w:rPr>
          <w:rStyle w:val="longtext"/>
          <w:rFonts w:ascii="Times New Roman" w:hAnsi="Times New Roman" w:cs="Times New Roman"/>
          <w:sz w:val="21"/>
          <w:szCs w:val="21"/>
          <w:shd w:val="clear" w:color="auto" w:fill="FFFFFF"/>
        </w:rPr>
        <w:t xml:space="preserve">4th </w:t>
      </w:r>
      <w:r>
        <w:rPr>
          <w:rStyle w:val="longtext"/>
          <w:rFonts w:ascii="Times New Roman" w:hAnsi="Times New Roman" w:cs="Times New Roman"/>
          <w:sz w:val="21"/>
          <w:szCs w:val="21"/>
          <w:shd w:val="clear" w:color="auto" w:fill="FFFFFF"/>
        </w:rPr>
        <w:t xml:space="preserve">quarter of </w:t>
      </w:r>
      <w:r w:rsidR="00A9653E" w:rsidRPr="00EC356F">
        <w:rPr>
          <w:rStyle w:val="longtext"/>
          <w:rFonts w:ascii="Times New Roman" w:hAnsi="Times New Roman" w:cs="Times New Roman"/>
          <w:sz w:val="21"/>
          <w:szCs w:val="21"/>
          <w:shd w:val="clear" w:color="auto" w:fill="FFFFFF"/>
        </w:rPr>
        <w:t>2014</w:t>
      </w:r>
      <w:r>
        <w:rPr>
          <w:rStyle w:val="longtext"/>
          <w:rFonts w:ascii="Times New Roman" w:hAnsi="Times New Roman" w:cs="Times New Roman"/>
          <w:sz w:val="21"/>
          <w:szCs w:val="21"/>
          <w:shd w:val="clear" w:color="auto" w:fill="FFFFFF"/>
        </w:rPr>
        <w:t>,</w:t>
      </w:r>
      <w:r w:rsidR="00C5755C">
        <w:rPr>
          <w:rStyle w:val="longtext"/>
          <w:rFonts w:ascii="Times New Roman" w:hAnsi="Times New Roman" w:cs="Times New Roman"/>
          <w:sz w:val="21"/>
          <w:szCs w:val="21"/>
          <w:shd w:val="clear" w:color="auto" w:fill="FFFFFF"/>
        </w:rPr>
        <w:t xml:space="preserve"> </w:t>
      </w:r>
      <w:r>
        <w:rPr>
          <w:rStyle w:val="longtext"/>
          <w:rFonts w:ascii="Times New Roman" w:hAnsi="Times New Roman" w:cs="Times New Roman"/>
          <w:sz w:val="21"/>
          <w:szCs w:val="21"/>
          <w:shd w:val="clear" w:color="auto" w:fill="FFFFFF"/>
        </w:rPr>
        <w:t xml:space="preserve">the </w:t>
      </w:r>
      <w:r w:rsidR="00EA0237" w:rsidRPr="00EA0237">
        <w:rPr>
          <w:rStyle w:val="longtext"/>
          <w:rFonts w:ascii="Times New Roman" w:hAnsi="Times New Roman" w:cs="Times New Roman"/>
          <w:b/>
          <w:sz w:val="21"/>
          <w:szCs w:val="21"/>
          <w:shd w:val="clear" w:color="auto" w:fill="FFFFFF"/>
        </w:rPr>
        <w:t xml:space="preserve">average nominal wage </w:t>
      </w:r>
      <w:r w:rsidR="00A9653E" w:rsidRPr="00EC356F">
        <w:rPr>
          <w:rFonts w:ascii="Times New Roman" w:hAnsi="Times New Roman" w:cs="Times New Roman"/>
          <w:b/>
          <w:bCs/>
          <w:iCs/>
          <w:sz w:val="21"/>
          <w:szCs w:val="21"/>
        </w:rPr>
        <w:t xml:space="preserve">growth rate </w:t>
      </w:r>
      <w:r w:rsidR="00A9653E" w:rsidRPr="00EC356F">
        <w:rPr>
          <w:rFonts w:ascii="Times New Roman" w:hAnsi="Times New Roman" w:cs="Times New Roman"/>
          <w:bCs/>
          <w:iCs/>
          <w:sz w:val="21"/>
          <w:szCs w:val="21"/>
        </w:rPr>
        <w:t xml:space="preserve">was </w:t>
      </w:r>
      <w:r w:rsidR="00C5755C">
        <w:rPr>
          <w:rFonts w:ascii="Times New Roman" w:hAnsi="Times New Roman" w:cs="Times New Roman"/>
          <w:bCs/>
          <w:iCs/>
          <w:sz w:val="21"/>
          <w:szCs w:val="21"/>
        </w:rPr>
        <w:t>in line with the</w:t>
      </w:r>
      <w:r w:rsidR="00EA0237">
        <w:rPr>
          <w:rFonts w:ascii="Times New Roman" w:hAnsi="Times New Roman" w:cs="Times New Roman"/>
          <w:bCs/>
          <w:iCs/>
          <w:sz w:val="21"/>
          <w:szCs w:val="21"/>
        </w:rPr>
        <w:t xml:space="preserve"> forecast</w:t>
      </w:r>
      <w:r w:rsidR="00C5755C">
        <w:rPr>
          <w:rFonts w:ascii="Times New Roman" w:hAnsi="Times New Roman" w:cs="Times New Roman"/>
          <w:bCs/>
          <w:iCs/>
          <w:sz w:val="21"/>
          <w:szCs w:val="21"/>
        </w:rPr>
        <w:t>,</w:t>
      </w:r>
      <w:r w:rsidR="00EA0237">
        <w:rPr>
          <w:rFonts w:ascii="Times New Roman" w:hAnsi="Times New Roman" w:cs="Times New Roman"/>
          <w:bCs/>
          <w:iCs/>
          <w:sz w:val="21"/>
          <w:szCs w:val="21"/>
        </w:rPr>
        <w:t xml:space="preserve"> </w:t>
      </w:r>
      <w:r w:rsidR="00C5755C">
        <w:rPr>
          <w:rFonts w:ascii="Times New Roman" w:hAnsi="Times New Roman" w:cs="Times New Roman"/>
          <w:bCs/>
          <w:iCs/>
          <w:sz w:val="21"/>
          <w:szCs w:val="21"/>
        </w:rPr>
        <w:t>9</w:t>
      </w:r>
      <w:r w:rsidR="00A9653E" w:rsidRPr="00EC356F">
        <w:rPr>
          <w:rFonts w:ascii="Times New Roman" w:hAnsi="Times New Roman" w:cs="Times New Roman"/>
          <w:bCs/>
          <w:iCs/>
          <w:sz w:val="21"/>
          <w:szCs w:val="21"/>
        </w:rPr>
        <w:t>.</w:t>
      </w:r>
      <w:r w:rsidR="00C5755C">
        <w:rPr>
          <w:rFonts w:ascii="Times New Roman" w:hAnsi="Times New Roman" w:cs="Times New Roman"/>
          <w:bCs/>
          <w:iCs/>
          <w:sz w:val="21"/>
          <w:szCs w:val="21"/>
        </w:rPr>
        <w:t>5</w:t>
      </w:r>
      <w:r w:rsidR="00A9653E" w:rsidRPr="00EC356F">
        <w:rPr>
          <w:rFonts w:ascii="Times New Roman" w:hAnsi="Times New Roman" w:cs="Times New Roman"/>
          <w:bCs/>
          <w:iCs/>
          <w:sz w:val="21"/>
          <w:szCs w:val="21"/>
        </w:rPr>
        <w:t>%.</w:t>
      </w:r>
      <w:r w:rsidR="00EA0237">
        <w:rPr>
          <w:rFonts w:ascii="Times New Roman" w:hAnsi="Times New Roman" w:cs="Times New Roman"/>
          <w:bCs/>
          <w:iCs/>
          <w:sz w:val="21"/>
          <w:szCs w:val="21"/>
        </w:rPr>
        <w:t xml:space="preserve"> </w:t>
      </w:r>
      <w:r w:rsidR="00C5755C" w:rsidRPr="00F60CE5">
        <w:rPr>
          <w:rFonts w:ascii="Times New Roman" w:hAnsi="Times New Roman" w:cs="Times New Roman"/>
          <w:bCs/>
          <w:iCs/>
          <w:sz w:val="21"/>
          <w:szCs w:val="21"/>
          <w:highlight w:val="red"/>
        </w:rPr>
        <w:t xml:space="preserve">In the period </w:t>
      </w:r>
      <w:r w:rsidR="00337DC7" w:rsidRPr="00F60CE5">
        <w:rPr>
          <w:rFonts w:ascii="Times New Roman" w:hAnsi="Times New Roman" w:cs="Times New Roman"/>
          <w:bCs/>
          <w:iCs/>
          <w:sz w:val="21"/>
          <w:szCs w:val="21"/>
          <w:highlight w:val="red"/>
        </w:rPr>
        <w:t>January-December</w:t>
      </w:r>
      <w:r w:rsidR="00C5755C" w:rsidRPr="00C5755C">
        <w:rPr>
          <w:rFonts w:ascii="Times New Roman" w:hAnsi="Times New Roman" w:cs="Times New Roman"/>
          <w:bCs/>
          <w:iCs/>
          <w:sz w:val="21"/>
          <w:szCs w:val="21"/>
        </w:rPr>
        <w:t xml:space="preserve">, </w:t>
      </w:r>
      <w:r w:rsidR="00C5755C">
        <w:rPr>
          <w:rFonts w:ascii="Times New Roman" w:hAnsi="Times New Roman" w:cs="Times New Roman"/>
          <w:bCs/>
          <w:iCs/>
          <w:sz w:val="21"/>
          <w:szCs w:val="21"/>
        </w:rPr>
        <w:t xml:space="preserve">the </w:t>
      </w:r>
      <w:r w:rsidR="00C5755C" w:rsidRPr="00C5755C">
        <w:rPr>
          <w:rFonts w:ascii="Times New Roman" w:hAnsi="Times New Roman" w:cs="Times New Roman"/>
          <w:bCs/>
          <w:iCs/>
          <w:sz w:val="21"/>
          <w:szCs w:val="21"/>
        </w:rPr>
        <w:t>nominal wage</w:t>
      </w:r>
      <w:r w:rsidR="00C5755C">
        <w:rPr>
          <w:rFonts w:ascii="Times New Roman" w:hAnsi="Times New Roman" w:cs="Times New Roman"/>
          <w:bCs/>
          <w:iCs/>
          <w:sz w:val="21"/>
          <w:szCs w:val="21"/>
        </w:rPr>
        <w:t xml:space="preserve"> has gro</w:t>
      </w:r>
      <w:r w:rsidR="00C5755C" w:rsidRPr="00C5755C">
        <w:rPr>
          <w:rFonts w:ascii="Times New Roman" w:hAnsi="Times New Roman" w:cs="Times New Roman"/>
          <w:bCs/>
          <w:iCs/>
          <w:sz w:val="21"/>
          <w:szCs w:val="21"/>
        </w:rPr>
        <w:t>w</w:t>
      </w:r>
      <w:r w:rsidR="00C5755C">
        <w:rPr>
          <w:rFonts w:ascii="Times New Roman" w:hAnsi="Times New Roman" w:cs="Times New Roman"/>
          <w:bCs/>
          <w:iCs/>
          <w:sz w:val="21"/>
          <w:szCs w:val="21"/>
        </w:rPr>
        <w:t>n</w:t>
      </w:r>
      <w:r w:rsidR="00C5755C" w:rsidRPr="00C5755C">
        <w:rPr>
          <w:rFonts w:ascii="Times New Roman" w:hAnsi="Times New Roman" w:cs="Times New Roman"/>
          <w:bCs/>
          <w:iCs/>
          <w:sz w:val="21"/>
          <w:szCs w:val="21"/>
        </w:rPr>
        <w:t xml:space="preserve"> by 8.1%</w:t>
      </w:r>
      <w:r w:rsidR="00C5755C">
        <w:rPr>
          <w:rFonts w:ascii="Times New Roman" w:hAnsi="Times New Roman" w:cs="Times New Roman"/>
          <w:bCs/>
          <w:iCs/>
          <w:sz w:val="21"/>
          <w:szCs w:val="21"/>
        </w:rPr>
        <w:t xml:space="preserve">. In the meantime, the growth rate in wages of public sector has been slightly faster than the wage growth in the private sector.  </w:t>
      </w:r>
      <w:r w:rsidR="00C5755C" w:rsidRPr="00C5755C">
        <w:rPr>
          <w:rFonts w:ascii="Times New Roman" w:hAnsi="Times New Roman" w:cs="Times New Roman"/>
          <w:bCs/>
          <w:iCs/>
          <w:sz w:val="21"/>
          <w:szCs w:val="21"/>
        </w:rPr>
        <w:t xml:space="preserve"> </w:t>
      </w:r>
    </w:p>
    <w:p w14:paraId="18AED936" w14:textId="77777777" w:rsidR="00A9653E" w:rsidRPr="00EC356F" w:rsidRDefault="00EF6F8E"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sz w:val="21"/>
          <w:szCs w:val="21"/>
        </w:rPr>
        <w:t xml:space="preserve">The increase of </w:t>
      </w:r>
      <w:r>
        <w:rPr>
          <w:rFonts w:ascii="Times New Roman" w:hAnsi="Times New Roman" w:cs="Times New Roman"/>
          <w:sz w:val="21"/>
          <w:szCs w:val="21"/>
        </w:rPr>
        <w:t xml:space="preserve">the wage in some areas of the public sector </w:t>
      </w:r>
      <w:r w:rsidR="00C5755C">
        <w:rPr>
          <w:rFonts w:ascii="Times New Roman" w:hAnsi="Times New Roman" w:cs="Times New Roman"/>
          <w:sz w:val="21"/>
          <w:szCs w:val="21"/>
        </w:rPr>
        <w:t>since</w:t>
      </w:r>
      <w:r>
        <w:rPr>
          <w:rFonts w:ascii="Times New Roman" w:hAnsi="Times New Roman" w:cs="Times New Roman"/>
          <w:sz w:val="21"/>
          <w:szCs w:val="21"/>
        </w:rPr>
        <w:t xml:space="preserve"> July of 2014 pushed the average </w:t>
      </w:r>
      <w:r w:rsidR="00C5755C">
        <w:rPr>
          <w:rFonts w:ascii="Times New Roman" w:hAnsi="Times New Roman" w:cs="Times New Roman"/>
          <w:sz w:val="21"/>
          <w:szCs w:val="21"/>
        </w:rPr>
        <w:t xml:space="preserve">public sector </w:t>
      </w:r>
      <w:r>
        <w:rPr>
          <w:rFonts w:ascii="Times New Roman" w:hAnsi="Times New Roman" w:cs="Times New Roman"/>
          <w:sz w:val="21"/>
          <w:szCs w:val="21"/>
        </w:rPr>
        <w:t>wage up by 11</w:t>
      </w:r>
      <w:r w:rsidR="00C5755C">
        <w:rPr>
          <w:rFonts w:ascii="Times New Roman" w:hAnsi="Times New Roman" w:cs="Times New Roman"/>
          <w:sz w:val="21"/>
          <w:szCs w:val="21"/>
        </w:rPr>
        <w:t>.3</w:t>
      </w:r>
      <w:r>
        <w:rPr>
          <w:rFonts w:ascii="Times New Roman" w:hAnsi="Times New Roman" w:cs="Times New Roman"/>
          <w:sz w:val="21"/>
          <w:szCs w:val="21"/>
        </w:rPr>
        <w:t xml:space="preserve">% in the </w:t>
      </w:r>
      <w:r w:rsidR="00C5755C">
        <w:rPr>
          <w:rFonts w:ascii="Times New Roman" w:hAnsi="Times New Roman" w:cs="Times New Roman"/>
          <w:sz w:val="21"/>
          <w:szCs w:val="21"/>
        </w:rPr>
        <w:t xml:space="preserve">second half of the year, </w:t>
      </w:r>
      <w:r w:rsidR="00914CEA">
        <w:rPr>
          <w:rFonts w:ascii="Times New Roman" w:hAnsi="Times New Roman" w:cs="Times New Roman"/>
          <w:sz w:val="21"/>
          <w:szCs w:val="21"/>
        </w:rPr>
        <w:t xml:space="preserve">which </w:t>
      </w:r>
      <w:r w:rsidR="00C5755C">
        <w:rPr>
          <w:rFonts w:ascii="Times New Roman" w:hAnsi="Times New Roman" w:cs="Times New Roman"/>
          <w:sz w:val="21"/>
          <w:szCs w:val="21"/>
        </w:rPr>
        <w:t>was</w:t>
      </w:r>
      <w:r w:rsidR="00914CEA">
        <w:rPr>
          <w:rFonts w:ascii="Times New Roman" w:hAnsi="Times New Roman" w:cs="Times New Roman"/>
          <w:sz w:val="21"/>
          <w:szCs w:val="21"/>
        </w:rPr>
        <w:t xml:space="preserve"> a 6 pp increase </w:t>
      </w:r>
      <w:r w:rsidR="00265E19">
        <w:rPr>
          <w:rFonts w:ascii="Times New Roman" w:hAnsi="Times New Roman" w:cs="Times New Roman"/>
          <w:sz w:val="21"/>
          <w:szCs w:val="21"/>
        </w:rPr>
        <w:t>relative to the first half</w:t>
      </w:r>
      <w:r w:rsidR="00914CEA">
        <w:rPr>
          <w:rFonts w:ascii="Times New Roman" w:hAnsi="Times New Roman" w:cs="Times New Roman"/>
          <w:sz w:val="21"/>
          <w:szCs w:val="21"/>
        </w:rPr>
        <w:t>.</w:t>
      </w:r>
      <w:r w:rsidR="0012560E">
        <w:rPr>
          <w:rFonts w:ascii="Times New Roman" w:hAnsi="Times New Roman" w:cs="Times New Roman"/>
          <w:sz w:val="21"/>
          <w:szCs w:val="21"/>
        </w:rPr>
        <w:t xml:space="preserve"> </w:t>
      </w:r>
      <w:r w:rsidR="00914CEA">
        <w:rPr>
          <w:rFonts w:ascii="Times New Roman" w:hAnsi="Times New Roman" w:cs="Times New Roman"/>
          <w:sz w:val="21"/>
          <w:szCs w:val="21"/>
        </w:rPr>
        <w:t xml:space="preserve"> </w:t>
      </w:r>
      <w:r w:rsidR="0012560E" w:rsidRPr="0012560E">
        <w:rPr>
          <w:rFonts w:ascii="Times New Roman" w:hAnsi="Times New Roman" w:cs="Times New Roman"/>
          <w:sz w:val="21"/>
          <w:szCs w:val="21"/>
        </w:rPr>
        <w:t>As a result, the average annual wage growth was 8.3%.</w:t>
      </w:r>
    </w:p>
    <w:p w14:paraId="06CFB3E1" w14:textId="77777777" w:rsidR="00100F38"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bCs/>
          <w:iCs/>
          <w:sz w:val="21"/>
          <w:szCs w:val="21"/>
        </w:rPr>
        <w:t xml:space="preserve">In the </w:t>
      </w:r>
      <w:r w:rsidR="00100F38">
        <w:rPr>
          <w:rFonts w:ascii="Times New Roman" w:hAnsi="Times New Roman" w:cs="Times New Roman"/>
          <w:bCs/>
          <w:iCs/>
          <w:sz w:val="21"/>
          <w:szCs w:val="21"/>
        </w:rPr>
        <w:t xml:space="preserve">first half </w:t>
      </w:r>
      <w:r w:rsidR="008B47E2">
        <w:rPr>
          <w:rFonts w:ascii="Times New Roman" w:hAnsi="Times New Roman" w:cs="Times New Roman"/>
          <w:bCs/>
          <w:iCs/>
          <w:sz w:val="21"/>
          <w:szCs w:val="21"/>
        </w:rPr>
        <w:t>of 2014</w:t>
      </w:r>
      <w:r w:rsidRPr="00EC356F">
        <w:rPr>
          <w:rFonts w:ascii="Times New Roman" w:hAnsi="Times New Roman" w:cs="Times New Roman"/>
          <w:bCs/>
          <w:iCs/>
          <w:sz w:val="21"/>
          <w:szCs w:val="21"/>
        </w:rPr>
        <w:t xml:space="preserve">, the </w:t>
      </w:r>
      <w:r w:rsidR="00100F38">
        <w:rPr>
          <w:rFonts w:ascii="Times New Roman" w:hAnsi="Times New Roman" w:cs="Times New Roman"/>
          <w:bCs/>
          <w:iCs/>
          <w:sz w:val="21"/>
          <w:szCs w:val="21"/>
        </w:rPr>
        <w:t xml:space="preserve">average nominal </w:t>
      </w:r>
      <w:r w:rsidRPr="00EC356F">
        <w:rPr>
          <w:rFonts w:ascii="Times New Roman" w:hAnsi="Times New Roman" w:cs="Times New Roman"/>
          <w:bCs/>
          <w:iCs/>
          <w:sz w:val="21"/>
          <w:szCs w:val="21"/>
        </w:rPr>
        <w:t>wage grow</w:t>
      </w:r>
      <w:r w:rsidR="008B47E2">
        <w:rPr>
          <w:rFonts w:ascii="Times New Roman" w:hAnsi="Times New Roman" w:cs="Times New Roman"/>
          <w:bCs/>
          <w:iCs/>
          <w:sz w:val="21"/>
          <w:szCs w:val="21"/>
        </w:rPr>
        <w:t xml:space="preserve">th </w:t>
      </w:r>
      <w:r w:rsidR="00100F38">
        <w:rPr>
          <w:rFonts w:ascii="Times New Roman" w:hAnsi="Times New Roman" w:cs="Times New Roman"/>
          <w:bCs/>
          <w:iCs/>
          <w:sz w:val="21"/>
          <w:szCs w:val="21"/>
        </w:rPr>
        <w:t>rate in the private sector was</w:t>
      </w:r>
      <w:r w:rsidRPr="00EC356F">
        <w:rPr>
          <w:rFonts w:ascii="Times New Roman" w:hAnsi="Times New Roman" w:cs="Times New Roman"/>
          <w:bCs/>
          <w:iCs/>
          <w:sz w:val="21"/>
          <w:szCs w:val="21"/>
        </w:rPr>
        <w:t xml:space="preserve"> </w:t>
      </w:r>
      <w:r w:rsidR="00100F38">
        <w:rPr>
          <w:rFonts w:ascii="Times New Roman" w:hAnsi="Times New Roman" w:cs="Times New Roman"/>
          <w:bCs/>
          <w:iCs/>
          <w:sz w:val="21"/>
          <w:szCs w:val="21"/>
        </w:rPr>
        <w:t>8</w:t>
      </w:r>
      <w:r w:rsidRPr="00EC356F">
        <w:rPr>
          <w:rFonts w:ascii="Times New Roman" w:hAnsi="Times New Roman" w:cs="Times New Roman"/>
          <w:bCs/>
          <w:iCs/>
          <w:sz w:val="21"/>
          <w:szCs w:val="21"/>
        </w:rPr>
        <w:t>.</w:t>
      </w:r>
      <w:r w:rsidR="00100F38">
        <w:rPr>
          <w:rFonts w:ascii="Times New Roman" w:hAnsi="Times New Roman" w:cs="Times New Roman"/>
          <w:bCs/>
          <w:iCs/>
          <w:sz w:val="21"/>
          <w:szCs w:val="21"/>
        </w:rPr>
        <w:t>8</w:t>
      </w:r>
      <w:r w:rsidRPr="00EC356F">
        <w:rPr>
          <w:rFonts w:ascii="Times New Roman" w:hAnsi="Times New Roman" w:cs="Times New Roman"/>
          <w:bCs/>
          <w:iCs/>
          <w:sz w:val="21"/>
          <w:szCs w:val="21"/>
        </w:rPr>
        <w:t xml:space="preserve">%. </w:t>
      </w:r>
      <w:r w:rsidR="00EC356F" w:rsidRPr="00EC356F">
        <w:rPr>
          <w:rFonts w:ascii="Times New Roman" w:hAnsi="Times New Roman" w:cs="Times New Roman"/>
          <w:sz w:val="21"/>
          <w:szCs w:val="21"/>
        </w:rPr>
        <w:t xml:space="preserve">The increase </w:t>
      </w:r>
      <w:r w:rsidR="00100F38">
        <w:rPr>
          <w:rFonts w:ascii="Times New Roman" w:hAnsi="Times New Roman" w:cs="Times New Roman"/>
          <w:sz w:val="21"/>
          <w:szCs w:val="21"/>
        </w:rPr>
        <w:t>of</w:t>
      </w:r>
      <w:r w:rsidR="00EC356F" w:rsidRPr="00EC356F">
        <w:rPr>
          <w:rFonts w:ascii="Times New Roman" w:hAnsi="Times New Roman" w:cs="Times New Roman"/>
          <w:sz w:val="21"/>
          <w:szCs w:val="21"/>
        </w:rPr>
        <w:t xml:space="preserve"> wages in the private sector in the context of the funded pension reform notably contributed to the nominal wage </w:t>
      </w:r>
      <w:r w:rsidR="00100F38">
        <w:rPr>
          <w:rFonts w:ascii="Times New Roman" w:hAnsi="Times New Roman" w:cs="Times New Roman"/>
          <w:sz w:val="21"/>
          <w:szCs w:val="21"/>
        </w:rPr>
        <w:t xml:space="preserve">growth in some companies of </w:t>
      </w:r>
      <w:r w:rsidR="00EC356F" w:rsidRPr="00EC356F">
        <w:rPr>
          <w:rFonts w:ascii="Times New Roman" w:hAnsi="Times New Roman" w:cs="Times New Roman"/>
          <w:sz w:val="21"/>
          <w:szCs w:val="21"/>
        </w:rPr>
        <w:t>the private sector.</w:t>
      </w:r>
      <w:r w:rsidR="0094112D">
        <w:rPr>
          <w:rFonts w:ascii="Times New Roman" w:hAnsi="Times New Roman" w:cs="Times New Roman"/>
          <w:sz w:val="21"/>
          <w:szCs w:val="21"/>
        </w:rPr>
        <w:t xml:space="preserve"> </w:t>
      </w:r>
      <w:r w:rsidR="00100F38">
        <w:rPr>
          <w:rFonts w:ascii="Times New Roman" w:hAnsi="Times New Roman" w:cs="Times New Roman"/>
          <w:sz w:val="21"/>
          <w:szCs w:val="21"/>
        </w:rPr>
        <w:t xml:space="preserve">Note that the minimum wage threshold has been </w:t>
      </w:r>
      <w:r w:rsidR="00044A6F">
        <w:rPr>
          <w:rFonts w:ascii="Times New Roman" w:hAnsi="Times New Roman" w:cs="Times New Roman"/>
          <w:sz w:val="21"/>
          <w:szCs w:val="21"/>
        </w:rPr>
        <w:t>lifted</w:t>
      </w:r>
      <w:r w:rsidR="00100F38">
        <w:rPr>
          <w:rFonts w:ascii="Times New Roman" w:hAnsi="Times New Roman" w:cs="Times New Roman"/>
          <w:sz w:val="21"/>
          <w:szCs w:val="21"/>
        </w:rPr>
        <w:t xml:space="preserve"> since July 2014. </w:t>
      </w:r>
    </w:p>
    <w:p w14:paraId="6934683F" w14:textId="77777777" w:rsidR="00A9653E" w:rsidRPr="00EC356F" w:rsidRDefault="0094112D" w:rsidP="00A9653E">
      <w:pPr>
        <w:spacing w:line="360" w:lineRule="auto"/>
        <w:jc w:val="both"/>
        <w:rPr>
          <w:rFonts w:ascii="Times New Roman" w:hAnsi="Times New Roman" w:cs="Times New Roman"/>
          <w:bCs/>
          <w:iCs/>
          <w:sz w:val="21"/>
          <w:szCs w:val="21"/>
        </w:rPr>
      </w:pPr>
      <w:r>
        <w:rPr>
          <w:rFonts w:ascii="Times New Roman" w:hAnsi="Times New Roman" w:cs="Times New Roman"/>
          <w:sz w:val="21"/>
          <w:szCs w:val="21"/>
        </w:rPr>
        <w:t xml:space="preserve">The aforementioned factors notwithstanding, a relatively weak economic activity </w:t>
      </w:r>
      <w:r w:rsidR="00100F38">
        <w:rPr>
          <w:rFonts w:ascii="Times New Roman" w:hAnsi="Times New Roman" w:cs="Times New Roman"/>
          <w:sz w:val="21"/>
          <w:szCs w:val="21"/>
        </w:rPr>
        <w:t xml:space="preserve">persisted over the </w:t>
      </w:r>
      <w:r w:rsidR="00C02C12">
        <w:rPr>
          <w:rFonts w:ascii="Times New Roman" w:hAnsi="Times New Roman" w:cs="Times New Roman"/>
          <w:sz w:val="21"/>
          <w:szCs w:val="21"/>
        </w:rPr>
        <w:t xml:space="preserve">second half of the year </w:t>
      </w:r>
      <w:r>
        <w:rPr>
          <w:rFonts w:ascii="Times New Roman" w:hAnsi="Times New Roman" w:cs="Times New Roman"/>
          <w:sz w:val="21"/>
          <w:szCs w:val="21"/>
        </w:rPr>
        <w:t xml:space="preserve">exerted negative pressures on </w:t>
      </w:r>
      <w:r w:rsidR="00C02C12">
        <w:rPr>
          <w:rFonts w:ascii="Times New Roman" w:hAnsi="Times New Roman" w:cs="Times New Roman"/>
          <w:sz w:val="21"/>
          <w:szCs w:val="21"/>
        </w:rPr>
        <w:t xml:space="preserve">the growth of </w:t>
      </w:r>
      <w:r>
        <w:rPr>
          <w:rFonts w:ascii="Times New Roman" w:hAnsi="Times New Roman" w:cs="Times New Roman"/>
          <w:sz w:val="21"/>
          <w:szCs w:val="21"/>
        </w:rPr>
        <w:t>wage</w:t>
      </w:r>
      <w:r w:rsidR="00C02C12">
        <w:rPr>
          <w:rFonts w:ascii="Times New Roman" w:hAnsi="Times New Roman" w:cs="Times New Roman"/>
          <w:sz w:val="21"/>
          <w:szCs w:val="21"/>
        </w:rPr>
        <w:t>s</w:t>
      </w:r>
      <w:r>
        <w:rPr>
          <w:rFonts w:ascii="Times New Roman" w:hAnsi="Times New Roman" w:cs="Times New Roman"/>
          <w:sz w:val="21"/>
          <w:szCs w:val="21"/>
        </w:rPr>
        <w:t xml:space="preserve"> in the private sector</w:t>
      </w:r>
      <w:r w:rsidR="00337DC7" w:rsidRPr="00F60CE5">
        <w:rPr>
          <w:rFonts w:ascii="Times New Roman" w:hAnsi="Times New Roman" w:cs="Times New Roman"/>
          <w:sz w:val="21"/>
          <w:szCs w:val="21"/>
          <w:highlight w:val="red"/>
        </w:rPr>
        <w:t>. As a consequence, it was 6.5% in the second half of the year.</w:t>
      </w:r>
      <w:r>
        <w:rPr>
          <w:rFonts w:ascii="Times New Roman" w:hAnsi="Times New Roman" w:cs="Times New Roman"/>
          <w:sz w:val="21"/>
          <w:szCs w:val="21"/>
        </w:rPr>
        <w:t xml:space="preserve"> </w:t>
      </w:r>
      <w:r w:rsidR="00C02C12">
        <w:rPr>
          <w:rFonts w:ascii="Times New Roman" w:hAnsi="Times New Roman" w:cs="Times New Roman"/>
          <w:sz w:val="21"/>
          <w:szCs w:val="21"/>
        </w:rPr>
        <w:t>I</w:t>
      </w:r>
      <w:r w:rsidR="00C02C12" w:rsidRPr="00C02C12">
        <w:rPr>
          <w:rFonts w:ascii="Times New Roman" w:hAnsi="Times New Roman" w:cs="Times New Roman"/>
          <w:sz w:val="21"/>
          <w:szCs w:val="21"/>
        </w:rPr>
        <w:t>n 2014, the average wage in the private sector rose by 7.6</w:t>
      </w:r>
      <w:r w:rsidR="00C02C12">
        <w:rPr>
          <w:rFonts w:ascii="Times New Roman" w:hAnsi="Times New Roman" w:cs="Times New Roman"/>
          <w:sz w:val="21"/>
          <w:szCs w:val="21"/>
        </w:rPr>
        <w:t>%</w:t>
      </w:r>
      <w:r w:rsidR="00C02C12" w:rsidRPr="00C02C12">
        <w:rPr>
          <w:rFonts w:ascii="Times New Roman" w:hAnsi="Times New Roman" w:cs="Times New Roman"/>
          <w:sz w:val="21"/>
          <w:szCs w:val="21"/>
        </w:rPr>
        <w:t>.</w:t>
      </w:r>
      <w:r>
        <w:rPr>
          <w:rFonts w:ascii="Times New Roman" w:hAnsi="Times New Roman" w:cs="Times New Roman"/>
          <w:sz w:val="21"/>
          <w:szCs w:val="21"/>
        </w:rPr>
        <w:t xml:space="preserve">   </w:t>
      </w:r>
    </w:p>
    <w:p w14:paraId="1A902ADB" w14:textId="77777777" w:rsidR="00A9653E" w:rsidRPr="00EC356F" w:rsidRDefault="00DE7064"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A weak economic activity recorded in 2014 prompted the supply for the labor market to outgrow the demand for th</w:t>
      </w:r>
      <w:r w:rsidR="00D93E6E">
        <w:rPr>
          <w:rFonts w:ascii="Times New Roman" w:hAnsi="Times New Roman" w:cs="Times New Roman"/>
          <w:sz w:val="21"/>
          <w:szCs w:val="21"/>
        </w:rPr>
        <w:t>at</w:t>
      </w:r>
      <w:r>
        <w:rPr>
          <w:rFonts w:ascii="Times New Roman" w:hAnsi="Times New Roman" w:cs="Times New Roman"/>
          <w:sz w:val="21"/>
          <w:szCs w:val="21"/>
        </w:rPr>
        <w:t xml:space="preserve"> market, with the employment rate posting a small growth of 0.</w:t>
      </w:r>
      <w:r w:rsidR="00C903EA">
        <w:rPr>
          <w:rFonts w:ascii="Times New Roman" w:hAnsi="Times New Roman" w:cs="Times New Roman"/>
          <w:sz w:val="21"/>
          <w:szCs w:val="21"/>
        </w:rPr>
        <w:t>6</w:t>
      </w:r>
      <w:r>
        <w:rPr>
          <w:rFonts w:ascii="Times New Roman" w:hAnsi="Times New Roman" w:cs="Times New Roman"/>
          <w:sz w:val="21"/>
          <w:szCs w:val="21"/>
        </w:rPr>
        <w:t xml:space="preserve">% </w:t>
      </w:r>
      <w:r w:rsidR="00D93E6E">
        <w:rPr>
          <w:rFonts w:ascii="Times New Roman" w:hAnsi="Times New Roman" w:cs="Times New Roman"/>
          <w:sz w:val="21"/>
          <w:szCs w:val="21"/>
        </w:rPr>
        <w:t>against</w:t>
      </w:r>
      <w:r>
        <w:rPr>
          <w:rFonts w:ascii="Times New Roman" w:hAnsi="Times New Roman" w:cs="Times New Roman"/>
          <w:sz w:val="21"/>
          <w:szCs w:val="21"/>
        </w:rPr>
        <w:t xml:space="preserve"> </w:t>
      </w:r>
      <w:r w:rsidR="00D93E6E">
        <w:rPr>
          <w:rFonts w:ascii="Times New Roman" w:hAnsi="Times New Roman" w:cs="Times New Roman"/>
          <w:sz w:val="21"/>
          <w:szCs w:val="21"/>
        </w:rPr>
        <w:t>2</w:t>
      </w:r>
      <w:r>
        <w:rPr>
          <w:rFonts w:ascii="Times New Roman" w:hAnsi="Times New Roman" w:cs="Times New Roman"/>
          <w:sz w:val="21"/>
          <w:szCs w:val="21"/>
        </w:rPr>
        <w:t>.</w:t>
      </w:r>
      <w:r w:rsidR="00D93E6E">
        <w:rPr>
          <w:rFonts w:ascii="Times New Roman" w:hAnsi="Times New Roman" w:cs="Times New Roman"/>
          <w:sz w:val="21"/>
          <w:szCs w:val="21"/>
        </w:rPr>
        <w:t>4</w:t>
      </w:r>
      <w:r>
        <w:rPr>
          <w:rFonts w:ascii="Times New Roman" w:hAnsi="Times New Roman" w:cs="Times New Roman"/>
          <w:sz w:val="21"/>
          <w:szCs w:val="21"/>
        </w:rPr>
        <w:t xml:space="preserve">% growth of </w:t>
      </w:r>
      <w:r w:rsidRPr="00EC356F">
        <w:rPr>
          <w:rFonts w:ascii="Times New Roman" w:hAnsi="Times New Roman" w:cs="Times New Roman"/>
          <w:sz w:val="21"/>
          <w:szCs w:val="21"/>
        </w:rPr>
        <w:t>economically active population</w:t>
      </w:r>
      <w:r>
        <w:rPr>
          <w:rFonts w:ascii="Times New Roman" w:hAnsi="Times New Roman" w:cs="Times New Roman"/>
          <w:sz w:val="21"/>
          <w:szCs w:val="21"/>
        </w:rPr>
        <w:t>.</w:t>
      </w:r>
      <w:r w:rsidR="00991DF8">
        <w:rPr>
          <w:rFonts w:ascii="Times New Roman" w:hAnsi="Times New Roman" w:cs="Times New Roman"/>
          <w:sz w:val="21"/>
          <w:szCs w:val="21"/>
        </w:rPr>
        <w:t xml:space="preserve"> </w:t>
      </w:r>
      <w:r w:rsidR="007832F0" w:rsidRPr="007832F0">
        <w:rPr>
          <w:rFonts w:ascii="Times New Roman" w:hAnsi="Times New Roman" w:cs="Times New Roman"/>
          <w:sz w:val="21"/>
          <w:szCs w:val="21"/>
        </w:rPr>
        <w:t xml:space="preserve">This trend has been observed since the first quarter and </w:t>
      </w:r>
      <w:r w:rsidR="007832F0">
        <w:rPr>
          <w:rFonts w:ascii="Times New Roman" w:hAnsi="Times New Roman" w:cs="Times New Roman"/>
          <w:sz w:val="21"/>
          <w:szCs w:val="21"/>
        </w:rPr>
        <w:t xml:space="preserve">grown deeper </w:t>
      </w:r>
      <w:r w:rsidR="007832F0" w:rsidRPr="007832F0">
        <w:rPr>
          <w:rFonts w:ascii="Times New Roman" w:hAnsi="Times New Roman" w:cs="Times New Roman"/>
          <w:sz w:val="21"/>
          <w:szCs w:val="21"/>
        </w:rPr>
        <w:t>in the second half of the year</w:t>
      </w:r>
      <w:r w:rsidR="007832F0">
        <w:rPr>
          <w:rFonts w:ascii="Times New Roman" w:hAnsi="Times New Roman" w:cs="Times New Roman"/>
          <w:sz w:val="21"/>
          <w:szCs w:val="21"/>
        </w:rPr>
        <w:t xml:space="preserve">. </w:t>
      </w:r>
      <w:r w:rsidR="00991DF8">
        <w:rPr>
          <w:rFonts w:ascii="Times New Roman" w:hAnsi="Times New Roman" w:cs="Times New Roman"/>
          <w:sz w:val="21"/>
          <w:szCs w:val="21"/>
        </w:rPr>
        <w:t>As a result, i</w:t>
      </w:r>
      <w:r w:rsidR="00A9653E" w:rsidRPr="00EC356F">
        <w:rPr>
          <w:rFonts w:ascii="Times New Roman" w:hAnsi="Times New Roman" w:cs="Times New Roman"/>
          <w:sz w:val="21"/>
          <w:szCs w:val="21"/>
        </w:rPr>
        <w:t xml:space="preserve">n the </w:t>
      </w:r>
      <w:r w:rsidR="002F051B">
        <w:rPr>
          <w:rFonts w:ascii="Times New Roman" w:hAnsi="Times New Roman" w:cs="Times New Roman"/>
          <w:sz w:val="21"/>
          <w:szCs w:val="21"/>
        </w:rPr>
        <w:t>4th</w:t>
      </w:r>
      <w:r w:rsidR="00A9653E" w:rsidRPr="00EC356F">
        <w:rPr>
          <w:rFonts w:ascii="Times New Roman" w:hAnsi="Times New Roman" w:cs="Times New Roman"/>
          <w:sz w:val="21"/>
          <w:szCs w:val="21"/>
        </w:rPr>
        <w:t xml:space="preserve"> quarter of 2014, relative to the same </w:t>
      </w:r>
      <w:r w:rsidR="002F051B">
        <w:rPr>
          <w:rFonts w:ascii="Times New Roman" w:hAnsi="Times New Roman" w:cs="Times New Roman"/>
          <w:sz w:val="21"/>
          <w:szCs w:val="21"/>
        </w:rPr>
        <w:t xml:space="preserve">reference </w:t>
      </w:r>
      <w:r w:rsidR="00A9653E" w:rsidRPr="00EC356F">
        <w:rPr>
          <w:rFonts w:ascii="Times New Roman" w:hAnsi="Times New Roman" w:cs="Times New Roman"/>
          <w:sz w:val="21"/>
          <w:szCs w:val="21"/>
        </w:rPr>
        <w:t xml:space="preserve">period </w:t>
      </w:r>
      <w:r w:rsidR="002F051B">
        <w:rPr>
          <w:rFonts w:ascii="Times New Roman" w:hAnsi="Times New Roman" w:cs="Times New Roman"/>
          <w:sz w:val="21"/>
          <w:szCs w:val="21"/>
        </w:rPr>
        <w:t xml:space="preserve">last </w:t>
      </w:r>
      <w:r w:rsidR="00A9653E" w:rsidRPr="00EC356F">
        <w:rPr>
          <w:rFonts w:ascii="Times New Roman" w:hAnsi="Times New Roman" w:cs="Times New Roman"/>
          <w:sz w:val="21"/>
          <w:szCs w:val="21"/>
        </w:rPr>
        <w:t xml:space="preserve">year, the </w:t>
      </w:r>
      <w:r w:rsidR="00A9653E" w:rsidRPr="00EC356F">
        <w:rPr>
          <w:rFonts w:ascii="Times New Roman" w:hAnsi="Times New Roman" w:cs="Times New Roman"/>
          <w:b/>
          <w:sz w:val="21"/>
          <w:szCs w:val="21"/>
        </w:rPr>
        <w:t>unemployment rate</w:t>
      </w:r>
      <w:r w:rsidR="00A9653E" w:rsidRPr="00EC356F">
        <w:rPr>
          <w:rFonts w:ascii="Times New Roman" w:hAnsi="Times New Roman" w:cs="Times New Roman"/>
          <w:sz w:val="21"/>
          <w:szCs w:val="21"/>
        </w:rPr>
        <w:t xml:space="preserve"> has </w:t>
      </w:r>
      <w:r w:rsidR="002F051B">
        <w:rPr>
          <w:rFonts w:ascii="Times New Roman" w:hAnsi="Times New Roman" w:cs="Times New Roman"/>
          <w:sz w:val="21"/>
          <w:szCs w:val="21"/>
        </w:rPr>
        <w:t>risen</w:t>
      </w:r>
      <w:r w:rsidR="00A9653E" w:rsidRPr="00EC356F">
        <w:rPr>
          <w:rFonts w:ascii="Times New Roman" w:hAnsi="Times New Roman" w:cs="Times New Roman"/>
          <w:sz w:val="21"/>
          <w:szCs w:val="21"/>
        </w:rPr>
        <w:t xml:space="preserve"> by </w:t>
      </w:r>
      <w:r w:rsidR="002F051B">
        <w:rPr>
          <w:rFonts w:ascii="Times New Roman" w:hAnsi="Times New Roman" w:cs="Times New Roman"/>
          <w:sz w:val="21"/>
          <w:szCs w:val="21"/>
        </w:rPr>
        <w:t>1</w:t>
      </w:r>
      <w:r w:rsidR="00A9653E" w:rsidRPr="00EC356F">
        <w:rPr>
          <w:rFonts w:ascii="Times New Roman" w:hAnsi="Times New Roman" w:cs="Times New Roman"/>
          <w:sz w:val="21"/>
          <w:szCs w:val="21"/>
        </w:rPr>
        <w:t>.</w:t>
      </w:r>
      <w:r w:rsidR="002F051B">
        <w:rPr>
          <w:rFonts w:ascii="Times New Roman" w:hAnsi="Times New Roman" w:cs="Times New Roman"/>
          <w:sz w:val="21"/>
          <w:szCs w:val="21"/>
        </w:rPr>
        <w:t>2</w:t>
      </w:r>
      <w:r w:rsidR="00A9653E" w:rsidRPr="00EC356F">
        <w:rPr>
          <w:rFonts w:ascii="Times New Roman" w:hAnsi="Times New Roman" w:cs="Times New Roman"/>
          <w:sz w:val="21"/>
          <w:szCs w:val="21"/>
        </w:rPr>
        <w:t xml:space="preserve"> pp to 1</w:t>
      </w:r>
      <w:r w:rsidR="002F051B">
        <w:rPr>
          <w:rFonts w:ascii="Times New Roman" w:hAnsi="Times New Roman" w:cs="Times New Roman"/>
          <w:sz w:val="21"/>
          <w:szCs w:val="21"/>
        </w:rPr>
        <w:t>7</w:t>
      </w:r>
      <w:r w:rsidR="00A9653E" w:rsidRPr="00EC356F">
        <w:rPr>
          <w:rFonts w:ascii="Times New Roman" w:hAnsi="Times New Roman" w:cs="Times New Roman"/>
          <w:sz w:val="21"/>
          <w:szCs w:val="21"/>
        </w:rPr>
        <w:t>.</w:t>
      </w:r>
      <w:r w:rsidR="002F051B">
        <w:rPr>
          <w:rFonts w:ascii="Times New Roman" w:hAnsi="Times New Roman" w:cs="Times New Roman"/>
          <w:sz w:val="21"/>
          <w:szCs w:val="21"/>
        </w:rPr>
        <w:t>4</w:t>
      </w:r>
      <w:r w:rsidR="00A9653E" w:rsidRPr="00EC356F">
        <w:rPr>
          <w:rFonts w:ascii="Times New Roman" w:hAnsi="Times New Roman" w:cs="Times New Roman"/>
          <w:sz w:val="21"/>
          <w:szCs w:val="21"/>
        </w:rPr>
        <w:t>%.</w:t>
      </w:r>
      <w:r w:rsidR="00D91AF9">
        <w:rPr>
          <w:rFonts w:ascii="Times New Roman" w:hAnsi="Times New Roman" w:cs="Times New Roman"/>
          <w:sz w:val="21"/>
          <w:szCs w:val="21"/>
        </w:rPr>
        <w:t xml:space="preserve"> </w:t>
      </w:r>
      <w:r w:rsidR="008B294D">
        <w:rPr>
          <w:rFonts w:ascii="Times New Roman" w:hAnsi="Times New Roman" w:cs="Times New Roman"/>
          <w:sz w:val="21"/>
          <w:szCs w:val="21"/>
        </w:rPr>
        <w:t xml:space="preserve">Compared to the </w:t>
      </w:r>
      <w:r w:rsidR="008B294D">
        <w:rPr>
          <w:rFonts w:ascii="Times New Roman" w:hAnsi="Times New Roman" w:cs="Times New Roman"/>
          <w:sz w:val="21"/>
          <w:szCs w:val="21"/>
        </w:rPr>
        <w:lastRenderedPageBreak/>
        <w:t>previous forecasts, the</w:t>
      </w:r>
      <w:r w:rsidR="00D91AF9">
        <w:rPr>
          <w:rFonts w:ascii="Times New Roman" w:hAnsi="Times New Roman" w:cs="Times New Roman"/>
          <w:sz w:val="21"/>
          <w:szCs w:val="21"/>
        </w:rPr>
        <w:t xml:space="preserve"> unemployment rate </w:t>
      </w:r>
      <w:r w:rsidR="008B294D">
        <w:rPr>
          <w:rFonts w:ascii="Times New Roman" w:hAnsi="Times New Roman" w:cs="Times New Roman"/>
          <w:sz w:val="21"/>
          <w:szCs w:val="21"/>
        </w:rPr>
        <w:t>grew</w:t>
      </w:r>
      <w:r w:rsidR="008B294D" w:rsidRPr="008B294D">
        <w:rPr>
          <w:rFonts w:ascii="Times New Roman" w:hAnsi="Times New Roman" w:cs="Times New Roman"/>
          <w:sz w:val="21"/>
          <w:szCs w:val="21"/>
        </w:rPr>
        <w:t xml:space="preserve"> more quickly </w:t>
      </w:r>
      <w:r w:rsidR="008B294D">
        <w:rPr>
          <w:rFonts w:ascii="Times New Roman" w:hAnsi="Times New Roman" w:cs="Times New Roman"/>
          <w:sz w:val="21"/>
          <w:szCs w:val="21"/>
        </w:rPr>
        <w:t xml:space="preserve">during the second half and reached </w:t>
      </w:r>
      <w:r w:rsidR="008B294D" w:rsidRPr="008B294D">
        <w:rPr>
          <w:rFonts w:ascii="Times New Roman" w:hAnsi="Times New Roman" w:cs="Times New Roman"/>
          <w:sz w:val="21"/>
          <w:szCs w:val="21"/>
        </w:rPr>
        <w:t>17.5%</w:t>
      </w:r>
      <w:r w:rsidR="008B294D">
        <w:rPr>
          <w:rFonts w:ascii="Times New Roman" w:hAnsi="Times New Roman" w:cs="Times New Roman"/>
          <w:sz w:val="21"/>
          <w:szCs w:val="21"/>
        </w:rPr>
        <w:t xml:space="preserve"> for the year, which wa</w:t>
      </w:r>
      <w:r w:rsidR="008B294D" w:rsidRPr="008B294D">
        <w:rPr>
          <w:rFonts w:ascii="Times New Roman" w:hAnsi="Times New Roman" w:cs="Times New Roman"/>
          <w:sz w:val="21"/>
          <w:szCs w:val="21"/>
        </w:rPr>
        <w:t>s 1.3 pp higher than the 2013 figure.</w:t>
      </w:r>
      <w:r w:rsidR="00D91AF9">
        <w:rPr>
          <w:rFonts w:ascii="Times New Roman" w:hAnsi="Times New Roman" w:cs="Times New Roman"/>
          <w:sz w:val="21"/>
          <w:szCs w:val="21"/>
        </w:rPr>
        <w:t xml:space="preserve">   </w:t>
      </w:r>
    </w:p>
    <w:p w14:paraId="27C8D19A" w14:textId="77777777" w:rsidR="005A4C65" w:rsidRDefault="0052389F" w:rsidP="00A9653E">
      <w:pPr>
        <w:spacing w:line="360" w:lineRule="auto"/>
        <w:jc w:val="both"/>
        <w:rPr>
          <w:rStyle w:val="longtext"/>
          <w:rFonts w:ascii="Times New Roman" w:hAnsi="Times New Roman" w:cs="Times New Roman"/>
          <w:sz w:val="21"/>
          <w:szCs w:val="21"/>
          <w:shd w:val="clear" w:color="auto" w:fill="FFFFFF"/>
        </w:rPr>
      </w:pPr>
      <w:r>
        <w:rPr>
          <w:rStyle w:val="longtext"/>
          <w:rFonts w:ascii="Times New Roman" w:hAnsi="Times New Roman" w:cs="Times New Roman"/>
          <w:sz w:val="21"/>
          <w:szCs w:val="21"/>
          <w:shd w:val="clear" w:color="auto" w:fill="FFFFFF"/>
        </w:rPr>
        <w:t>I</w:t>
      </w:r>
      <w:r w:rsidRPr="00EC356F">
        <w:rPr>
          <w:rStyle w:val="longtext"/>
          <w:rFonts w:ascii="Times New Roman" w:hAnsi="Times New Roman" w:cs="Times New Roman"/>
          <w:sz w:val="21"/>
          <w:szCs w:val="21"/>
          <w:shd w:val="clear" w:color="auto" w:fill="FFFFFF"/>
        </w:rPr>
        <w:t xml:space="preserve">n the </w:t>
      </w:r>
      <w:r w:rsidR="009619F4">
        <w:rPr>
          <w:rStyle w:val="longtext"/>
          <w:rFonts w:ascii="Times New Roman" w:hAnsi="Times New Roman" w:cs="Times New Roman"/>
          <w:sz w:val="21"/>
          <w:szCs w:val="21"/>
          <w:shd w:val="clear" w:color="auto" w:fill="FFFFFF"/>
        </w:rPr>
        <w:t xml:space="preserve">period under review, </w:t>
      </w:r>
      <w:r>
        <w:rPr>
          <w:rStyle w:val="longtext"/>
          <w:rFonts w:ascii="Times New Roman" w:hAnsi="Times New Roman" w:cs="Times New Roman"/>
          <w:sz w:val="21"/>
          <w:szCs w:val="21"/>
          <w:shd w:val="clear" w:color="auto" w:fill="FFFFFF"/>
        </w:rPr>
        <w:t>th</w:t>
      </w:r>
      <w:r w:rsidR="00A9653E" w:rsidRPr="00EC356F">
        <w:rPr>
          <w:rStyle w:val="longtext"/>
          <w:rFonts w:ascii="Times New Roman" w:hAnsi="Times New Roman" w:cs="Times New Roman"/>
          <w:sz w:val="21"/>
          <w:szCs w:val="21"/>
          <w:shd w:val="clear" w:color="auto" w:fill="FFFFFF"/>
        </w:rPr>
        <w:t>e</w:t>
      </w:r>
      <w:r w:rsidR="009619F4">
        <w:rPr>
          <w:rStyle w:val="longtext"/>
          <w:rFonts w:ascii="Times New Roman" w:hAnsi="Times New Roman" w:cs="Times New Roman"/>
          <w:sz w:val="21"/>
          <w:szCs w:val="21"/>
          <w:shd w:val="clear" w:color="auto" w:fill="FFFFFF"/>
        </w:rPr>
        <w:t>re has been a</w:t>
      </w:r>
      <w:r w:rsidR="00A9653E" w:rsidRPr="00EC356F">
        <w:rPr>
          <w:rStyle w:val="longtext"/>
          <w:rFonts w:ascii="Times New Roman" w:hAnsi="Times New Roman" w:cs="Times New Roman"/>
          <w:sz w:val="21"/>
          <w:szCs w:val="21"/>
          <w:shd w:val="clear" w:color="auto" w:fill="FFFFFF"/>
        </w:rPr>
        <w:t xml:space="preserve"> </w:t>
      </w:r>
      <w:r w:rsidR="009619F4">
        <w:rPr>
          <w:rStyle w:val="longtext"/>
          <w:rFonts w:ascii="Times New Roman" w:hAnsi="Times New Roman" w:cs="Times New Roman"/>
          <w:sz w:val="21"/>
          <w:szCs w:val="21"/>
          <w:shd w:val="clear" w:color="auto" w:fill="FFFFFF"/>
        </w:rPr>
        <w:t xml:space="preserve">slight </w:t>
      </w:r>
      <w:r w:rsidR="009619F4" w:rsidRPr="00EC356F">
        <w:rPr>
          <w:rStyle w:val="longtext"/>
          <w:rFonts w:ascii="Times New Roman" w:hAnsi="Times New Roman" w:cs="Times New Roman"/>
          <w:sz w:val="21"/>
          <w:szCs w:val="21"/>
          <w:shd w:val="clear" w:color="auto" w:fill="FFFFFF"/>
        </w:rPr>
        <w:t>increase</w:t>
      </w:r>
      <w:r w:rsidR="009619F4">
        <w:rPr>
          <w:rStyle w:val="longtext"/>
          <w:rFonts w:ascii="Times New Roman" w:hAnsi="Times New Roman" w:cs="Times New Roman"/>
          <w:sz w:val="21"/>
          <w:szCs w:val="21"/>
          <w:shd w:val="clear" w:color="auto" w:fill="FFFFFF"/>
        </w:rPr>
        <w:t xml:space="preserve"> in</w:t>
      </w:r>
      <w:r w:rsidR="009619F4" w:rsidRPr="00EC356F">
        <w:rPr>
          <w:rStyle w:val="longtext"/>
          <w:rFonts w:ascii="Times New Roman" w:hAnsi="Times New Roman" w:cs="Times New Roman"/>
          <w:sz w:val="21"/>
          <w:szCs w:val="21"/>
          <w:shd w:val="clear" w:color="auto" w:fill="FFFFFF"/>
        </w:rPr>
        <w:t xml:space="preserve"> productivity </w:t>
      </w:r>
      <w:r w:rsidR="009619F4">
        <w:rPr>
          <w:rStyle w:val="longtext"/>
          <w:rFonts w:ascii="Times New Roman" w:hAnsi="Times New Roman" w:cs="Times New Roman"/>
          <w:sz w:val="21"/>
          <w:szCs w:val="21"/>
          <w:shd w:val="clear" w:color="auto" w:fill="FFFFFF"/>
        </w:rPr>
        <w:t xml:space="preserve">in the </w:t>
      </w:r>
      <w:r w:rsidR="00A9653E" w:rsidRPr="00EC356F">
        <w:rPr>
          <w:rStyle w:val="longtext"/>
          <w:rFonts w:ascii="Times New Roman" w:hAnsi="Times New Roman" w:cs="Times New Roman"/>
          <w:sz w:val="21"/>
          <w:szCs w:val="21"/>
          <w:shd w:val="clear" w:color="auto" w:fill="FFFFFF"/>
        </w:rPr>
        <w:t>labor market</w:t>
      </w:r>
      <w:r w:rsidR="009619F4">
        <w:rPr>
          <w:rStyle w:val="longtext"/>
          <w:rFonts w:ascii="Times New Roman" w:hAnsi="Times New Roman" w:cs="Times New Roman"/>
          <w:sz w:val="21"/>
          <w:szCs w:val="21"/>
          <w:shd w:val="clear" w:color="auto" w:fill="FFFFFF"/>
        </w:rPr>
        <w:t>,</w:t>
      </w:r>
      <w:r>
        <w:rPr>
          <w:rStyle w:val="longtext"/>
          <w:rFonts w:ascii="Times New Roman" w:hAnsi="Times New Roman" w:cs="Times New Roman"/>
          <w:sz w:val="21"/>
          <w:szCs w:val="21"/>
          <w:shd w:val="clear" w:color="auto" w:fill="FFFFFF"/>
        </w:rPr>
        <w:t xml:space="preserve"> w</w:t>
      </w:r>
      <w:r w:rsidR="009619F4">
        <w:rPr>
          <w:rStyle w:val="longtext"/>
          <w:rFonts w:ascii="Times New Roman" w:hAnsi="Times New Roman" w:cs="Times New Roman"/>
          <w:sz w:val="21"/>
          <w:szCs w:val="21"/>
          <w:shd w:val="clear" w:color="auto" w:fill="FFFFFF"/>
        </w:rPr>
        <w:t xml:space="preserve">hile </w:t>
      </w:r>
      <w:r w:rsidR="00A9653E" w:rsidRPr="00EC356F">
        <w:rPr>
          <w:rStyle w:val="longtext"/>
          <w:rFonts w:ascii="Times New Roman" w:hAnsi="Times New Roman" w:cs="Times New Roman"/>
          <w:sz w:val="21"/>
          <w:szCs w:val="21"/>
          <w:shd w:val="clear" w:color="auto" w:fill="FFFFFF"/>
        </w:rPr>
        <w:t>wage</w:t>
      </w:r>
      <w:r>
        <w:rPr>
          <w:rStyle w:val="longtext"/>
          <w:rFonts w:ascii="Times New Roman" w:hAnsi="Times New Roman" w:cs="Times New Roman"/>
          <w:sz w:val="21"/>
          <w:szCs w:val="21"/>
          <w:shd w:val="clear" w:color="auto" w:fill="FFFFFF"/>
        </w:rPr>
        <w:t>s</w:t>
      </w:r>
      <w:r w:rsidR="009619F4">
        <w:rPr>
          <w:rStyle w:val="longtext"/>
          <w:rFonts w:ascii="Times New Roman" w:hAnsi="Times New Roman" w:cs="Times New Roman"/>
          <w:sz w:val="21"/>
          <w:szCs w:val="21"/>
          <w:shd w:val="clear" w:color="auto" w:fill="FFFFFF"/>
        </w:rPr>
        <w:t xml:space="preserve"> </w:t>
      </w:r>
      <w:r>
        <w:rPr>
          <w:rStyle w:val="longtext"/>
          <w:rFonts w:ascii="Times New Roman" w:hAnsi="Times New Roman" w:cs="Times New Roman"/>
          <w:sz w:val="21"/>
          <w:szCs w:val="21"/>
          <w:shd w:val="clear" w:color="auto" w:fill="FFFFFF"/>
        </w:rPr>
        <w:t>hav</w:t>
      </w:r>
      <w:r w:rsidR="005A4C65">
        <w:rPr>
          <w:rStyle w:val="longtext"/>
          <w:rFonts w:ascii="Times New Roman" w:hAnsi="Times New Roman" w:cs="Times New Roman"/>
          <w:sz w:val="21"/>
          <w:szCs w:val="21"/>
          <w:shd w:val="clear" w:color="auto" w:fill="FFFFFF"/>
        </w:rPr>
        <w:t>e</w:t>
      </w:r>
      <w:r>
        <w:rPr>
          <w:rStyle w:val="longtext"/>
          <w:rFonts w:ascii="Times New Roman" w:hAnsi="Times New Roman" w:cs="Times New Roman"/>
          <w:sz w:val="21"/>
          <w:szCs w:val="21"/>
          <w:shd w:val="clear" w:color="auto" w:fill="FFFFFF"/>
        </w:rPr>
        <w:t xml:space="preserve"> somewhat outgr</w:t>
      </w:r>
      <w:r w:rsidR="005A4C65">
        <w:rPr>
          <w:rStyle w:val="longtext"/>
          <w:rFonts w:ascii="Times New Roman" w:hAnsi="Times New Roman" w:cs="Times New Roman"/>
          <w:sz w:val="21"/>
          <w:szCs w:val="21"/>
          <w:shd w:val="clear" w:color="auto" w:fill="FFFFFF"/>
        </w:rPr>
        <w:t>own</w:t>
      </w:r>
      <w:r>
        <w:rPr>
          <w:rStyle w:val="longtext"/>
          <w:rFonts w:ascii="Times New Roman" w:hAnsi="Times New Roman" w:cs="Times New Roman"/>
          <w:sz w:val="21"/>
          <w:szCs w:val="21"/>
          <w:shd w:val="clear" w:color="auto" w:fill="FFFFFF"/>
        </w:rPr>
        <w:t xml:space="preserve"> the </w:t>
      </w:r>
      <w:r w:rsidR="00A9653E" w:rsidRPr="00EC356F">
        <w:rPr>
          <w:rStyle w:val="longtext"/>
          <w:rFonts w:ascii="Times New Roman" w:hAnsi="Times New Roman" w:cs="Times New Roman"/>
          <w:sz w:val="21"/>
          <w:szCs w:val="21"/>
          <w:shd w:val="clear" w:color="auto" w:fill="FFFFFF"/>
        </w:rPr>
        <w:t>productivity</w:t>
      </w:r>
      <w:r w:rsidR="005A4C65">
        <w:rPr>
          <w:rStyle w:val="longtext"/>
          <w:rFonts w:ascii="Times New Roman" w:hAnsi="Times New Roman" w:cs="Times New Roman"/>
          <w:sz w:val="21"/>
          <w:szCs w:val="21"/>
          <w:shd w:val="clear" w:color="auto" w:fill="FFFFFF"/>
        </w:rPr>
        <w:t xml:space="preserve"> thus add</w:t>
      </w:r>
      <w:r w:rsidR="009619F4">
        <w:rPr>
          <w:rStyle w:val="longtext"/>
          <w:rFonts w:ascii="Times New Roman" w:hAnsi="Times New Roman" w:cs="Times New Roman"/>
          <w:sz w:val="21"/>
          <w:szCs w:val="21"/>
          <w:shd w:val="clear" w:color="auto" w:fill="FFFFFF"/>
        </w:rPr>
        <w:t>ing</w:t>
      </w:r>
      <w:r w:rsidR="005A4C65">
        <w:rPr>
          <w:rStyle w:val="longtext"/>
          <w:rFonts w:ascii="Times New Roman" w:hAnsi="Times New Roman" w:cs="Times New Roman"/>
          <w:sz w:val="21"/>
          <w:szCs w:val="21"/>
          <w:shd w:val="clear" w:color="auto" w:fill="FFFFFF"/>
        </w:rPr>
        <w:t xml:space="preserve"> to unit labor costs in companies</w:t>
      </w:r>
      <w:r w:rsidR="00A9653E" w:rsidRPr="00EC356F">
        <w:rPr>
          <w:rStyle w:val="longtext"/>
          <w:rFonts w:ascii="Times New Roman" w:hAnsi="Times New Roman" w:cs="Times New Roman"/>
          <w:sz w:val="21"/>
          <w:szCs w:val="21"/>
          <w:shd w:val="clear" w:color="auto" w:fill="FFFFFF"/>
        </w:rPr>
        <w:t xml:space="preserve">. Consequently, </w:t>
      </w:r>
      <w:r w:rsidR="005A4C65">
        <w:rPr>
          <w:rStyle w:val="longtext"/>
          <w:rFonts w:ascii="Times New Roman" w:hAnsi="Times New Roman" w:cs="Times New Roman"/>
          <w:sz w:val="21"/>
          <w:szCs w:val="21"/>
          <w:shd w:val="clear" w:color="auto" w:fill="FFFFFF"/>
        </w:rPr>
        <w:t>increased labor costs have brought in minor inflationary pressures of 0.1</w:t>
      </w:r>
      <w:r w:rsidR="009619F4">
        <w:rPr>
          <w:rStyle w:val="longtext"/>
          <w:rFonts w:ascii="Times New Roman" w:hAnsi="Times New Roman" w:cs="Times New Roman"/>
          <w:sz w:val="21"/>
          <w:szCs w:val="21"/>
          <w:shd w:val="clear" w:color="auto" w:fill="FFFFFF"/>
        </w:rPr>
        <w:t>5</w:t>
      </w:r>
      <w:r w:rsidR="00445FCA">
        <w:rPr>
          <w:rStyle w:val="longtext"/>
          <w:rFonts w:ascii="Times New Roman" w:hAnsi="Times New Roman" w:cs="Times New Roman"/>
          <w:sz w:val="21"/>
          <w:szCs w:val="21"/>
          <w:shd w:val="clear" w:color="auto" w:fill="FFFFFF"/>
        </w:rPr>
        <w:t xml:space="preserve"> pp </w:t>
      </w:r>
      <w:r w:rsidR="005A4C65">
        <w:rPr>
          <w:rStyle w:val="longtext"/>
          <w:rFonts w:ascii="Times New Roman" w:hAnsi="Times New Roman" w:cs="Times New Roman"/>
          <w:sz w:val="21"/>
          <w:szCs w:val="21"/>
          <w:shd w:val="clear" w:color="auto" w:fill="FFFFFF"/>
        </w:rPr>
        <w:t>-</w:t>
      </w:r>
      <w:r w:rsidR="00445FCA">
        <w:rPr>
          <w:rStyle w:val="longtext"/>
          <w:rFonts w:ascii="Times New Roman" w:hAnsi="Times New Roman" w:cs="Times New Roman"/>
          <w:sz w:val="21"/>
          <w:szCs w:val="21"/>
          <w:shd w:val="clear" w:color="auto" w:fill="FFFFFF"/>
        </w:rPr>
        <w:t xml:space="preserve"> </w:t>
      </w:r>
      <w:r w:rsidR="005A4C65">
        <w:rPr>
          <w:rStyle w:val="longtext"/>
          <w:rFonts w:ascii="Times New Roman" w:hAnsi="Times New Roman" w:cs="Times New Roman"/>
          <w:sz w:val="21"/>
          <w:szCs w:val="21"/>
          <w:shd w:val="clear" w:color="auto" w:fill="FFFFFF"/>
        </w:rPr>
        <w:t>0.2</w:t>
      </w:r>
      <w:r w:rsidR="009619F4">
        <w:rPr>
          <w:rStyle w:val="longtext"/>
          <w:rFonts w:ascii="Times New Roman" w:hAnsi="Times New Roman" w:cs="Times New Roman"/>
          <w:sz w:val="21"/>
          <w:szCs w:val="21"/>
          <w:shd w:val="clear" w:color="auto" w:fill="FFFFFF"/>
        </w:rPr>
        <w:t>5</w:t>
      </w:r>
      <w:r w:rsidR="005A4C65">
        <w:rPr>
          <w:rStyle w:val="longtext"/>
          <w:rFonts w:ascii="Times New Roman" w:hAnsi="Times New Roman" w:cs="Times New Roman"/>
          <w:sz w:val="21"/>
          <w:szCs w:val="21"/>
          <w:shd w:val="clear" w:color="auto" w:fill="FFFFFF"/>
        </w:rPr>
        <w:t xml:space="preserve"> pp in the economy</w:t>
      </w:r>
      <w:r w:rsidR="007571B1">
        <w:rPr>
          <w:rStyle w:val="longtext"/>
          <w:rFonts w:ascii="Times New Roman" w:hAnsi="Times New Roman" w:cs="Times New Roman"/>
          <w:sz w:val="21"/>
          <w:szCs w:val="21"/>
          <w:shd w:val="clear" w:color="auto" w:fill="FFFFFF"/>
        </w:rPr>
        <w:t xml:space="preserve"> over the second half of the year</w:t>
      </w:r>
      <w:r w:rsidR="005A4C65">
        <w:rPr>
          <w:rStyle w:val="longtext"/>
          <w:rFonts w:ascii="Times New Roman" w:hAnsi="Times New Roman" w:cs="Times New Roman"/>
          <w:sz w:val="21"/>
          <w:szCs w:val="21"/>
          <w:shd w:val="clear" w:color="auto" w:fill="FFFFFF"/>
        </w:rPr>
        <w:t>.</w:t>
      </w:r>
    </w:p>
    <w:p w14:paraId="5E1DC3B4" w14:textId="77777777" w:rsidR="00A9653E" w:rsidRPr="00EC356F" w:rsidRDefault="005A4C65" w:rsidP="00A9653E">
      <w:pPr>
        <w:spacing w:line="360" w:lineRule="auto"/>
        <w:jc w:val="both"/>
        <w:rPr>
          <w:rFonts w:ascii="Times New Roman" w:hAnsi="Times New Roman" w:cs="Times New Roman"/>
          <w:b/>
          <w:sz w:val="21"/>
          <w:szCs w:val="21"/>
        </w:rPr>
      </w:pPr>
      <w:r w:rsidRPr="005A4C65">
        <w:rPr>
          <w:rStyle w:val="longtext"/>
          <w:rFonts w:ascii="Times New Roman" w:hAnsi="Times New Roman" w:cs="Times New Roman"/>
          <w:b/>
          <w:sz w:val="21"/>
          <w:szCs w:val="21"/>
          <w:shd w:val="clear" w:color="auto" w:fill="FFFFFF"/>
        </w:rPr>
        <w:t>3</w:t>
      </w:r>
      <w:r w:rsidR="00A9653E" w:rsidRPr="00EC356F">
        <w:rPr>
          <w:rFonts w:ascii="Times New Roman" w:hAnsi="Times New Roman" w:cs="Times New Roman"/>
          <w:b/>
          <w:sz w:val="21"/>
          <w:szCs w:val="21"/>
        </w:rPr>
        <w:t>.2.4 Fiscal policy</w:t>
      </w:r>
      <w:r w:rsidR="004149F6">
        <w:rPr>
          <w:rStyle w:val="FootnoteReference"/>
          <w:rFonts w:ascii="Times New Roman" w:hAnsi="Times New Roman" w:cs="Times New Roman"/>
          <w:b/>
          <w:sz w:val="21"/>
          <w:szCs w:val="21"/>
        </w:rPr>
        <w:footnoteReference w:customMarkFollows="1" w:id="23"/>
        <w:t>23</w:t>
      </w:r>
    </w:p>
    <w:p w14:paraId="36E9CA86" w14:textId="30EA46D3" w:rsidR="00A9653E" w:rsidRPr="00B93C23" w:rsidRDefault="00A9653E" w:rsidP="00A9653E">
      <w:pPr>
        <w:spacing w:line="360" w:lineRule="auto"/>
        <w:jc w:val="both"/>
        <w:rPr>
          <w:rStyle w:val="longtext"/>
          <w:rFonts w:ascii="Times New Roman" w:hAnsi="Times New Roman" w:cs="Times New Roman"/>
          <w:sz w:val="21"/>
          <w:szCs w:val="21"/>
          <w:shd w:val="clear" w:color="auto" w:fill="FFFFFF"/>
        </w:rPr>
      </w:pPr>
      <w:r w:rsidRPr="0012281D">
        <w:rPr>
          <w:rStyle w:val="longtext"/>
          <w:rFonts w:ascii="Times New Roman" w:hAnsi="Times New Roman" w:cs="Times New Roman"/>
          <w:b/>
          <w:sz w:val="21"/>
          <w:szCs w:val="21"/>
          <w:shd w:val="clear" w:color="auto" w:fill="FFFFFF"/>
        </w:rPr>
        <w:t xml:space="preserve">In the </w:t>
      </w:r>
      <w:r w:rsidR="0012281D" w:rsidRPr="0012281D">
        <w:rPr>
          <w:rStyle w:val="longtext"/>
          <w:rFonts w:ascii="Times New Roman" w:hAnsi="Times New Roman" w:cs="Times New Roman"/>
          <w:b/>
          <w:sz w:val="21"/>
          <w:szCs w:val="21"/>
          <w:shd w:val="clear" w:color="auto" w:fill="FFFFFF"/>
        </w:rPr>
        <w:t>4th</w:t>
      </w:r>
      <w:r w:rsidRPr="0012281D">
        <w:rPr>
          <w:rStyle w:val="longtext"/>
          <w:rFonts w:ascii="Times New Roman" w:hAnsi="Times New Roman" w:cs="Times New Roman"/>
          <w:b/>
          <w:sz w:val="21"/>
          <w:szCs w:val="21"/>
          <w:shd w:val="clear" w:color="auto" w:fill="FFFFFF"/>
        </w:rPr>
        <w:t xml:space="preserve"> quarter of 2014</w:t>
      </w:r>
      <w:r w:rsidRPr="00EC356F">
        <w:rPr>
          <w:rStyle w:val="longtext"/>
          <w:rFonts w:ascii="Times New Roman" w:hAnsi="Times New Roman" w:cs="Times New Roman"/>
          <w:sz w:val="21"/>
          <w:szCs w:val="21"/>
          <w:shd w:val="clear" w:color="auto" w:fill="FFFFFF"/>
        </w:rPr>
        <w:t xml:space="preserve">, </w:t>
      </w:r>
      <w:r w:rsidR="00A0590B">
        <w:rPr>
          <w:rStyle w:val="longtext"/>
          <w:rFonts w:ascii="Times New Roman" w:hAnsi="Times New Roman" w:cs="Times New Roman"/>
          <w:sz w:val="21"/>
          <w:szCs w:val="21"/>
          <w:shd w:val="clear" w:color="auto" w:fill="FFFFFF"/>
        </w:rPr>
        <w:t xml:space="preserve">the </w:t>
      </w:r>
      <w:r w:rsidRPr="00EC356F">
        <w:rPr>
          <w:rFonts w:ascii="Times New Roman" w:hAnsi="Times New Roman" w:cs="Times New Roman"/>
          <w:bCs/>
          <w:iCs/>
          <w:sz w:val="21"/>
          <w:szCs w:val="21"/>
        </w:rPr>
        <w:t xml:space="preserve">State Budget </w:t>
      </w:r>
      <w:r w:rsidR="00997CE8">
        <w:rPr>
          <w:rFonts w:ascii="Times New Roman" w:hAnsi="Times New Roman" w:cs="Times New Roman"/>
          <w:bCs/>
          <w:iCs/>
          <w:sz w:val="21"/>
          <w:szCs w:val="21"/>
        </w:rPr>
        <w:t xml:space="preserve">performed with tax revenues under-collected [due to a decline in economic activity] and </w:t>
      </w:r>
      <w:r w:rsidR="00E43576">
        <w:rPr>
          <w:rFonts w:ascii="Times New Roman" w:hAnsi="Times New Roman" w:cs="Times New Roman"/>
          <w:bCs/>
          <w:iCs/>
          <w:sz w:val="21"/>
          <w:szCs w:val="21"/>
        </w:rPr>
        <w:t xml:space="preserve">with </w:t>
      </w:r>
      <w:r w:rsidR="00997CE8">
        <w:rPr>
          <w:rFonts w:ascii="Times New Roman" w:hAnsi="Times New Roman" w:cs="Times New Roman"/>
          <w:bCs/>
          <w:iCs/>
          <w:sz w:val="21"/>
          <w:szCs w:val="21"/>
        </w:rPr>
        <w:t>more expenditures in com</w:t>
      </w:r>
      <w:r w:rsidR="00E43576">
        <w:rPr>
          <w:rFonts w:ascii="Times New Roman" w:hAnsi="Times New Roman" w:cs="Times New Roman"/>
          <w:bCs/>
          <w:iCs/>
          <w:sz w:val="21"/>
          <w:szCs w:val="21"/>
        </w:rPr>
        <w:t>parison with previous quarters. As a result, t</w:t>
      </w:r>
      <w:r w:rsidRPr="00EC356F">
        <w:rPr>
          <w:rFonts w:ascii="Times New Roman" w:hAnsi="Times New Roman" w:cs="Times New Roman"/>
          <w:sz w:val="21"/>
          <w:szCs w:val="21"/>
        </w:rPr>
        <w:t>he fiscal sector</w:t>
      </w:r>
      <w:r w:rsidR="00F86B6B" w:rsidRPr="00863CD6">
        <w:rPr>
          <w:rFonts w:ascii="Times New Roman" w:hAnsi="Times New Roman" w:cs="Times New Roman"/>
          <w:sz w:val="21"/>
          <w:szCs w:val="21"/>
        </w:rPr>
        <w:t>'</w:t>
      </w:r>
      <w:r w:rsidRPr="00EC356F">
        <w:rPr>
          <w:rFonts w:ascii="Times New Roman" w:hAnsi="Times New Roman" w:cs="Times New Roman"/>
          <w:sz w:val="21"/>
          <w:szCs w:val="21"/>
        </w:rPr>
        <w:t xml:space="preserve">s impact on aggregate demand </w:t>
      </w:r>
      <w:r w:rsidR="00E43576">
        <w:rPr>
          <w:rFonts w:ascii="Times New Roman" w:hAnsi="Times New Roman" w:cs="Times New Roman"/>
          <w:sz w:val="21"/>
          <w:szCs w:val="21"/>
        </w:rPr>
        <w:t>has been</w:t>
      </w:r>
      <w:r w:rsidRPr="00EC356F">
        <w:rPr>
          <w:rFonts w:ascii="Times New Roman" w:hAnsi="Times New Roman" w:cs="Times New Roman"/>
          <w:sz w:val="21"/>
          <w:szCs w:val="21"/>
        </w:rPr>
        <w:t xml:space="preserve"> </w:t>
      </w:r>
      <w:r w:rsidR="00E43576">
        <w:rPr>
          <w:rFonts w:ascii="Times New Roman" w:hAnsi="Times New Roman" w:cs="Times New Roman"/>
          <w:sz w:val="21"/>
          <w:szCs w:val="21"/>
        </w:rPr>
        <w:t>neutral instead of projected</w:t>
      </w:r>
      <w:r w:rsidRPr="00EC356F">
        <w:rPr>
          <w:rFonts w:ascii="Times New Roman" w:hAnsi="Times New Roman" w:cs="Times New Roman"/>
          <w:sz w:val="21"/>
          <w:szCs w:val="21"/>
        </w:rPr>
        <w:t xml:space="preserve"> </w:t>
      </w:r>
      <w:r w:rsidR="00E43576">
        <w:rPr>
          <w:rFonts w:ascii="Times New Roman" w:hAnsi="Times New Roman" w:cs="Times New Roman"/>
          <w:sz w:val="21"/>
          <w:szCs w:val="21"/>
        </w:rPr>
        <w:t>contractionary:</w:t>
      </w:r>
      <w:r w:rsidR="00E43576" w:rsidRPr="00E43576">
        <w:rPr>
          <w:rFonts w:ascii="Times New Roman" w:hAnsi="Times New Roman" w:cs="Times New Roman"/>
          <w:sz w:val="21"/>
          <w:szCs w:val="21"/>
        </w:rPr>
        <w:t xml:space="preserve"> </w:t>
      </w:r>
      <w:r w:rsidR="00E43576">
        <w:rPr>
          <w:rFonts w:ascii="Times New Roman" w:hAnsi="Times New Roman" w:cs="Times New Roman"/>
          <w:sz w:val="21"/>
          <w:szCs w:val="21"/>
        </w:rPr>
        <w:t>t</w:t>
      </w:r>
      <w:r w:rsidR="00E43576" w:rsidRPr="009642D3">
        <w:rPr>
          <w:rFonts w:ascii="Times New Roman" w:hAnsi="Times New Roman" w:cs="Times New Roman"/>
          <w:sz w:val="21"/>
          <w:szCs w:val="21"/>
        </w:rPr>
        <w:t>he fiscal impulse</w:t>
      </w:r>
      <w:r w:rsidR="00E43576" w:rsidRPr="00EC356F">
        <w:rPr>
          <w:rFonts w:ascii="Times New Roman" w:hAnsi="Times New Roman" w:cs="Times New Roman"/>
          <w:sz w:val="21"/>
          <w:szCs w:val="21"/>
        </w:rPr>
        <w:t xml:space="preserve"> indicator</w:t>
      </w:r>
      <w:r w:rsidR="00E43576">
        <w:rPr>
          <w:rFonts w:ascii="Times New Roman" w:hAnsi="Times New Roman" w:cs="Times New Roman"/>
          <w:sz w:val="21"/>
          <w:szCs w:val="21"/>
        </w:rPr>
        <w:t xml:space="preserve"> amounted to </w:t>
      </w:r>
      <w:proofErr w:type="gramStart"/>
      <w:r w:rsidR="00511C55">
        <w:rPr>
          <w:rFonts w:ascii="Times New Roman" w:hAnsi="Times New Roman" w:cs="Times New Roman"/>
          <w:sz w:val="21"/>
          <w:szCs w:val="21"/>
        </w:rPr>
        <w:t xml:space="preserve">neutral  </w:t>
      </w:r>
      <w:r w:rsidR="00E43576">
        <w:rPr>
          <w:rFonts w:ascii="Times New Roman" w:hAnsi="Times New Roman" w:cs="Times New Roman"/>
          <w:sz w:val="21"/>
          <w:szCs w:val="21"/>
        </w:rPr>
        <w:t>instead</w:t>
      </w:r>
      <w:proofErr w:type="gramEnd"/>
      <w:r w:rsidR="00E43576">
        <w:rPr>
          <w:rFonts w:ascii="Times New Roman" w:hAnsi="Times New Roman" w:cs="Times New Roman"/>
          <w:sz w:val="21"/>
          <w:szCs w:val="21"/>
        </w:rPr>
        <w:t xml:space="preserve"> of projected 1.2 contractionary mainly due to the </w:t>
      </w:r>
      <w:r w:rsidR="00E43576">
        <w:rPr>
          <w:rFonts w:ascii="Times New Roman" w:hAnsi="Times New Roman" w:cs="Times New Roman"/>
          <w:bCs/>
          <w:iCs/>
          <w:sz w:val="21"/>
          <w:szCs w:val="21"/>
        </w:rPr>
        <w:t xml:space="preserve">deviated </w:t>
      </w:r>
      <w:r w:rsidR="009642D3">
        <w:rPr>
          <w:rFonts w:ascii="Times New Roman" w:hAnsi="Times New Roman" w:cs="Times New Roman"/>
          <w:bCs/>
          <w:iCs/>
          <w:sz w:val="21"/>
          <w:szCs w:val="21"/>
        </w:rPr>
        <w:t xml:space="preserve">revenues </w:t>
      </w:r>
      <w:r w:rsidRPr="00EC356F">
        <w:rPr>
          <w:rFonts w:ascii="Times New Roman" w:hAnsi="Times New Roman" w:cs="Times New Roman"/>
          <w:bCs/>
          <w:iCs/>
          <w:sz w:val="21"/>
          <w:szCs w:val="21"/>
        </w:rPr>
        <w:t>impulse</w:t>
      </w:r>
      <w:r w:rsidR="00E43576">
        <w:rPr>
          <w:rFonts w:ascii="Times New Roman" w:hAnsi="Times New Roman" w:cs="Times New Roman"/>
          <w:bCs/>
          <w:iCs/>
          <w:sz w:val="21"/>
          <w:szCs w:val="21"/>
        </w:rPr>
        <w:t xml:space="preserve">. The neutral impact has come with both </w:t>
      </w:r>
      <w:r w:rsidR="00D653AD">
        <w:rPr>
          <w:rFonts w:ascii="Times New Roman" w:hAnsi="Times New Roman" w:cs="Times New Roman"/>
          <w:bCs/>
          <w:iCs/>
          <w:sz w:val="21"/>
          <w:szCs w:val="21"/>
        </w:rPr>
        <w:t xml:space="preserve">the revenues and expenditures. </w:t>
      </w:r>
    </w:p>
    <w:p w14:paraId="420B535E" w14:textId="77777777" w:rsidR="00D37234"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Revenues </w:t>
      </w:r>
      <w:r w:rsidR="00CE1A0E">
        <w:rPr>
          <w:rFonts w:ascii="Times New Roman" w:hAnsi="Times New Roman" w:cs="Times New Roman"/>
          <w:sz w:val="21"/>
          <w:szCs w:val="21"/>
        </w:rPr>
        <w:t>o</w:t>
      </w:r>
      <w:r w:rsidRPr="00EC356F">
        <w:rPr>
          <w:rFonts w:ascii="Times New Roman" w:hAnsi="Times New Roman" w:cs="Times New Roman"/>
          <w:sz w:val="21"/>
          <w:szCs w:val="21"/>
        </w:rPr>
        <w:t xml:space="preserve">f the consolidated budget have grown by </w:t>
      </w:r>
      <w:r w:rsidR="00CE1A0E">
        <w:rPr>
          <w:rFonts w:ascii="Times New Roman" w:hAnsi="Times New Roman" w:cs="Times New Roman"/>
          <w:sz w:val="21"/>
          <w:szCs w:val="21"/>
        </w:rPr>
        <w:t>10</w:t>
      </w:r>
      <w:r w:rsidRPr="00EC356F">
        <w:rPr>
          <w:rFonts w:ascii="Times New Roman" w:hAnsi="Times New Roman" w:cs="Times New Roman"/>
          <w:sz w:val="21"/>
          <w:szCs w:val="21"/>
        </w:rPr>
        <w:t>.</w:t>
      </w:r>
      <w:r w:rsidR="00CE1A0E">
        <w:rPr>
          <w:rFonts w:ascii="Times New Roman" w:hAnsi="Times New Roman" w:cs="Times New Roman"/>
          <w:sz w:val="21"/>
          <w:szCs w:val="21"/>
        </w:rPr>
        <w:t>0</w:t>
      </w:r>
      <w:r w:rsidRPr="00EC356F">
        <w:rPr>
          <w:rFonts w:ascii="Times New Roman" w:hAnsi="Times New Roman" w:cs="Times New Roman"/>
          <w:sz w:val="21"/>
          <w:szCs w:val="21"/>
        </w:rPr>
        <w:t xml:space="preserve">% in relation to the </w:t>
      </w:r>
      <w:r w:rsidR="00CE1A0E">
        <w:rPr>
          <w:rFonts w:ascii="Times New Roman" w:hAnsi="Times New Roman" w:cs="Times New Roman"/>
          <w:sz w:val="21"/>
          <w:szCs w:val="21"/>
        </w:rPr>
        <w:t>4th</w:t>
      </w:r>
      <w:r w:rsidRPr="00EC356F">
        <w:rPr>
          <w:rFonts w:ascii="Times New Roman" w:hAnsi="Times New Roman" w:cs="Times New Roman"/>
          <w:sz w:val="21"/>
          <w:szCs w:val="21"/>
        </w:rPr>
        <w:t xml:space="preserve"> quarter of the </w:t>
      </w:r>
      <w:r w:rsidRPr="00120B7A">
        <w:rPr>
          <w:rFonts w:ascii="Times New Roman" w:hAnsi="Times New Roman" w:cs="Times New Roman"/>
          <w:sz w:val="21"/>
          <w:szCs w:val="21"/>
        </w:rPr>
        <w:t xml:space="preserve">previous year, with tax revenues having increased by </w:t>
      </w:r>
      <w:r w:rsidR="00120B7A">
        <w:rPr>
          <w:rFonts w:ascii="Times New Roman" w:hAnsi="Times New Roman" w:cs="Times New Roman"/>
          <w:sz w:val="21"/>
          <w:szCs w:val="21"/>
        </w:rPr>
        <w:t>10</w:t>
      </w:r>
      <w:r w:rsidRPr="00120B7A">
        <w:rPr>
          <w:rFonts w:ascii="Times New Roman" w:hAnsi="Times New Roman" w:cs="Times New Roman"/>
          <w:sz w:val="21"/>
          <w:szCs w:val="21"/>
        </w:rPr>
        <w:t>.</w:t>
      </w:r>
      <w:r w:rsidR="00120B7A">
        <w:rPr>
          <w:rFonts w:ascii="Times New Roman" w:hAnsi="Times New Roman" w:cs="Times New Roman"/>
          <w:sz w:val="21"/>
          <w:szCs w:val="21"/>
        </w:rPr>
        <w:t>3</w:t>
      </w:r>
      <w:r w:rsidRPr="00120B7A">
        <w:rPr>
          <w:rFonts w:ascii="Times New Roman" w:hAnsi="Times New Roman" w:cs="Times New Roman"/>
          <w:sz w:val="21"/>
          <w:szCs w:val="21"/>
        </w:rPr>
        <w:t>% y/y</w:t>
      </w:r>
      <w:r w:rsidRPr="007E2A45">
        <w:rPr>
          <w:rFonts w:ascii="Times New Roman" w:hAnsi="Times New Roman" w:cs="Times New Roman"/>
          <w:sz w:val="21"/>
          <w:szCs w:val="21"/>
        </w:rPr>
        <w:t xml:space="preserve">. </w:t>
      </w:r>
      <w:r w:rsidR="007E2A45" w:rsidRPr="00EC356F">
        <w:rPr>
          <w:rFonts w:ascii="Times New Roman" w:hAnsi="Times New Roman" w:cs="Times New Roman"/>
          <w:sz w:val="21"/>
          <w:szCs w:val="21"/>
        </w:rPr>
        <w:t xml:space="preserve">Relative to the </w:t>
      </w:r>
      <w:r w:rsidR="007E2A45">
        <w:rPr>
          <w:rFonts w:ascii="Times New Roman" w:hAnsi="Times New Roman" w:cs="Times New Roman"/>
          <w:sz w:val="21"/>
          <w:szCs w:val="21"/>
        </w:rPr>
        <w:t>4th</w:t>
      </w:r>
      <w:r w:rsidR="007E2A45" w:rsidRPr="00EC356F">
        <w:rPr>
          <w:rFonts w:ascii="Times New Roman" w:hAnsi="Times New Roman" w:cs="Times New Roman"/>
          <w:sz w:val="21"/>
          <w:szCs w:val="21"/>
        </w:rPr>
        <w:t xml:space="preserve"> quarter of the previous year, </w:t>
      </w:r>
      <w:r w:rsidR="007E2A45">
        <w:rPr>
          <w:rFonts w:ascii="Times New Roman" w:hAnsi="Times New Roman" w:cs="Times New Roman"/>
          <w:sz w:val="21"/>
          <w:szCs w:val="21"/>
        </w:rPr>
        <w:t>i</w:t>
      </w:r>
      <w:r w:rsidR="007E2A45" w:rsidRPr="00EC356F">
        <w:rPr>
          <w:rFonts w:ascii="Times New Roman" w:hAnsi="Times New Roman" w:cs="Times New Roman"/>
          <w:sz w:val="21"/>
          <w:szCs w:val="21"/>
        </w:rPr>
        <w:t xml:space="preserve">ndirect tax </w:t>
      </w:r>
      <w:r w:rsidR="007E2A45">
        <w:rPr>
          <w:rFonts w:ascii="Times New Roman" w:hAnsi="Times New Roman" w:cs="Times New Roman"/>
          <w:sz w:val="21"/>
          <w:szCs w:val="21"/>
        </w:rPr>
        <w:t>ha</w:t>
      </w:r>
      <w:r w:rsidR="00D37234">
        <w:rPr>
          <w:rFonts w:ascii="Times New Roman" w:hAnsi="Times New Roman" w:cs="Times New Roman"/>
          <w:sz w:val="21"/>
          <w:szCs w:val="21"/>
        </w:rPr>
        <w:t>s</w:t>
      </w:r>
      <w:r w:rsidR="007E2A45">
        <w:rPr>
          <w:rFonts w:ascii="Times New Roman" w:hAnsi="Times New Roman" w:cs="Times New Roman"/>
          <w:sz w:val="21"/>
          <w:szCs w:val="21"/>
        </w:rPr>
        <w:t xml:space="preserve"> grown by</w:t>
      </w:r>
      <w:r w:rsidR="007E2A45" w:rsidRPr="00EC356F">
        <w:rPr>
          <w:rFonts w:ascii="Times New Roman" w:hAnsi="Times New Roman" w:cs="Times New Roman"/>
          <w:sz w:val="21"/>
          <w:szCs w:val="21"/>
        </w:rPr>
        <w:t xml:space="preserve"> </w:t>
      </w:r>
      <w:r w:rsidR="007E2A45">
        <w:rPr>
          <w:rFonts w:ascii="Times New Roman" w:hAnsi="Times New Roman" w:cs="Times New Roman"/>
          <w:sz w:val="21"/>
          <w:szCs w:val="21"/>
        </w:rPr>
        <w:t>0</w:t>
      </w:r>
      <w:r w:rsidR="007E2A45" w:rsidRPr="00EC356F">
        <w:rPr>
          <w:rFonts w:ascii="Times New Roman" w:hAnsi="Times New Roman" w:cs="Times New Roman"/>
          <w:sz w:val="21"/>
          <w:szCs w:val="21"/>
        </w:rPr>
        <w:t>.</w:t>
      </w:r>
      <w:r w:rsidR="007E2A45">
        <w:rPr>
          <w:rFonts w:ascii="Times New Roman" w:hAnsi="Times New Roman" w:cs="Times New Roman"/>
          <w:sz w:val="21"/>
          <w:szCs w:val="21"/>
        </w:rPr>
        <w:t>2 pp, making up 50</w:t>
      </w:r>
      <w:r w:rsidR="007E2A45" w:rsidRPr="00EC356F">
        <w:rPr>
          <w:rFonts w:ascii="Times New Roman" w:hAnsi="Times New Roman" w:cs="Times New Roman"/>
          <w:sz w:val="21"/>
          <w:szCs w:val="21"/>
        </w:rPr>
        <w:t>.</w:t>
      </w:r>
      <w:r w:rsidR="007E2A45">
        <w:rPr>
          <w:rFonts w:ascii="Times New Roman" w:hAnsi="Times New Roman" w:cs="Times New Roman"/>
          <w:sz w:val="21"/>
          <w:szCs w:val="21"/>
        </w:rPr>
        <w:t>2</w:t>
      </w:r>
      <w:r w:rsidR="007E2A45" w:rsidRPr="00EC356F">
        <w:rPr>
          <w:rFonts w:ascii="Times New Roman" w:hAnsi="Times New Roman" w:cs="Times New Roman"/>
          <w:sz w:val="21"/>
          <w:szCs w:val="21"/>
        </w:rPr>
        <w:t>% of tax revenue</w:t>
      </w:r>
      <w:r w:rsidR="007E2A45">
        <w:rPr>
          <w:rFonts w:ascii="Times New Roman" w:hAnsi="Times New Roman" w:cs="Times New Roman"/>
          <w:sz w:val="21"/>
          <w:szCs w:val="21"/>
        </w:rPr>
        <w:t>,</w:t>
      </w:r>
      <w:r w:rsidR="007E2A45" w:rsidRPr="00EC356F">
        <w:rPr>
          <w:rFonts w:ascii="Times New Roman" w:hAnsi="Times New Roman" w:cs="Times New Roman"/>
          <w:sz w:val="21"/>
          <w:szCs w:val="21"/>
        </w:rPr>
        <w:t xml:space="preserve"> </w:t>
      </w:r>
      <w:r w:rsidR="007E2A45">
        <w:rPr>
          <w:rFonts w:ascii="Times New Roman" w:hAnsi="Times New Roman" w:cs="Times New Roman"/>
          <w:sz w:val="21"/>
          <w:szCs w:val="21"/>
        </w:rPr>
        <w:t>but</w:t>
      </w:r>
      <w:r w:rsidR="007E2A45" w:rsidRPr="00EC356F">
        <w:rPr>
          <w:rFonts w:ascii="Times New Roman" w:hAnsi="Times New Roman" w:cs="Times New Roman"/>
          <w:sz w:val="21"/>
          <w:szCs w:val="21"/>
        </w:rPr>
        <w:t xml:space="preserve"> direct tax</w:t>
      </w:r>
      <w:r w:rsidR="007E2A45">
        <w:rPr>
          <w:rFonts w:ascii="Times New Roman" w:hAnsi="Times New Roman" w:cs="Times New Roman"/>
          <w:sz w:val="21"/>
          <w:szCs w:val="21"/>
        </w:rPr>
        <w:t xml:space="preserve"> ha</w:t>
      </w:r>
      <w:r w:rsidR="00D37234">
        <w:rPr>
          <w:rFonts w:ascii="Times New Roman" w:hAnsi="Times New Roman" w:cs="Times New Roman"/>
          <w:sz w:val="21"/>
          <w:szCs w:val="21"/>
        </w:rPr>
        <w:t>s</w:t>
      </w:r>
      <w:r w:rsidR="007E2A45">
        <w:rPr>
          <w:rFonts w:ascii="Times New Roman" w:hAnsi="Times New Roman" w:cs="Times New Roman"/>
          <w:sz w:val="21"/>
          <w:szCs w:val="21"/>
        </w:rPr>
        <w:t xml:space="preserve"> reduced by 4</w:t>
      </w:r>
      <w:r w:rsidR="007E2A45" w:rsidRPr="00EC356F">
        <w:rPr>
          <w:rFonts w:ascii="Times New Roman" w:hAnsi="Times New Roman" w:cs="Times New Roman"/>
          <w:sz w:val="21"/>
          <w:szCs w:val="21"/>
        </w:rPr>
        <w:t>.</w:t>
      </w:r>
      <w:r w:rsidR="007E2A45">
        <w:rPr>
          <w:rFonts w:ascii="Times New Roman" w:hAnsi="Times New Roman" w:cs="Times New Roman"/>
          <w:sz w:val="21"/>
          <w:szCs w:val="21"/>
        </w:rPr>
        <w:t xml:space="preserve">8 pp to 36.6% of tax revenue. </w:t>
      </w:r>
      <w:r w:rsidR="00D37234">
        <w:rPr>
          <w:rFonts w:ascii="Times New Roman" w:hAnsi="Times New Roman" w:cs="Times New Roman"/>
          <w:sz w:val="21"/>
          <w:szCs w:val="21"/>
        </w:rPr>
        <w:t>Value added tax has grown by 14% in the indirect tax portfolio but profit tax has reduced by 44.7% in the direct tax portfolio. The y/y increase of indirect tax has been 10.8% and the y/y decrease of direct tax</w:t>
      </w:r>
      <w:r w:rsidR="00F86B6B">
        <w:rPr>
          <w:rFonts w:ascii="Times New Roman" w:hAnsi="Times New Roman" w:cs="Times New Roman"/>
          <w:sz w:val="21"/>
          <w:szCs w:val="21"/>
        </w:rPr>
        <w:t xml:space="preserve">, </w:t>
      </w:r>
      <w:r w:rsidR="00D37234">
        <w:rPr>
          <w:rFonts w:ascii="Times New Roman" w:hAnsi="Times New Roman" w:cs="Times New Roman"/>
          <w:sz w:val="21"/>
          <w:szCs w:val="21"/>
        </w:rPr>
        <w:t xml:space="preserve">2.5%. </w:t>
      </w:r>
      <w:r w:rsidR="007E2A45">
        <w:rPr>
          <w:rFonts w:ascii="Times New Roman" w:hAnsi="Times New Roman" w:cs="Times New Roman"/>
          <w:sz w:val="21"/>
          <w:szCs w:val="21"/>
        </w:rPr>
        <w:t xml:space="preserve">The share of </w:t>
      </w:r>
      <w:r w:rsidR="007E2A45" w:rsidRPr="00EC356F">
        <w:rPr>
          <w:rFonts w:ascii="Times New Roman" w:hAnsi="Times New Roman" w:cs="Times New Roman"/>
          <w:sz w:val="21"/>
          <w:szCs w:val="21"/>
        </w:rPr>
        <w:t>other tax</w:t>
      </w:r>
      <w:r w:rsidR="00D37234">
        <w:rPr>
          <w:rFonts w:ascii="Times New Roman" w:hAnsi="Times New Roman" w:cs="Times New Roman"/>
          <w:sz w:val="21"/>
          <w:szCs w:val="21"/>
        </w:rPr>
        <w:t xml:space="preserve"> has</w:t>
      </w:r>
      <w:r w:rsidR="007E2A45" w:rsidRPr="00EC356F">
        <w:rPr>
          <w:rFonts w:ascii="Times New Roman" w:hAnsi="Times New Roman" w:cs="Times New Roman"/>
          <w:sz w:val="21"/>
          <w:szCs w:val="21"/>
        </w:rPr>
        <w:t xml:space="preserve"> </w:t>
      </w:r>
      <w:r w:rsidR="007E2A45">
        <w:rPr>
          <w:rFonts w:ascii="Times New Roman" w:hAnsi="Times New Roman" w:cs="Times New Roman"/>
          <w:sz w:val="21"/>
          <w:szCs w:val="21"/>
        </w:rPr>
        <w:t>gr</w:t>
      </w:r>
      <w:r w:rsidR="00D37234">
        <w:rPr>
          <w:rFonts w:ascii="Times New Roman" w:hAnsi="Times New Roman" w:cs="Times New Roman"/>
          <w:sz w:val="21"/>
          <w:szCs w:val="21"/>
        </w:rPr>
        <w:t xml:space="preserve">own </w:t>
      </w:r>
      <w:r w:rsidR="007E2A45">
        <w:rPr>
          <w:rFonts w:ascii="Times New Roman" w:hAnsi="Times New Roman" w:cs="Times New Roman"/>
          <w:sz w:val="21"/>
          <w:szCs w:val="21"/>
        </w:rPr>
        <w:t xml:space="preserve">by </w:t>
      </w:r>
      <w:r w:rsidR="00D37234">
        <w:rPr>
          <w:rFonts w:ascii="Times New Roman" w:hAnsi="Times New Roman" w:cs="Times New Roman"/>
          <w:sz w:val="21"/>
          <w:szCs w:val="21"/>
        </w:rPr>
        <w:t>4</w:t>
      </w:r>
      <w:r w:rsidR="007E2A45">
        <w:rPr>
          <w:rFonts w:ascii="Times New Roman" w:hAnsi="Times New Roman" w:cs="Times New Roman"/>
          <w:sz w:val="21"/>
          <w:szCs w:val="21"/>
        </w:rPr>
        <w:t>.</w:t>
      </w:r>
      <w:r w:rsidR="00D37234">
        <w:rPr>
          <w:rFonts w:ascii="Times New Roman" w:hAnsi="Times New Roman" w:cs="Times New Roman"/>
          <w:sz w:val="21"/>
          <w:szCs w:val="21"/>
        </w:rPr>
        <w:t>6</w:t>
      </w:r>
      <w:r w:rsidR="007E2A45">
        <w:rPr>
          <w:rFonts w:ascii="Times New Roman" w:hAnsi="Times New Roman" w:cs="Times New Roman"/>
          <w:sz w:val="21"/>
          <w:szCs w:val="21"/>
        </w:rPr>
        <w:t xml:space="preserve"> pp</w:t>
      </w:r>
      <w:r w:rsidR="00D37234">
        <w:rPr>
          <w:rFonts w:ascii="Times New Roman" w:hAnsi="Times New Roman" w:cs="Times New Roman"/>
          <w:sz w:val="21"/>
          <w:szCs w:val="21"/>
        </w:rPr>
        <w:t xml:space="preserve"> y/y </w:t>
      </w:r>
      <w:r w:rsidR="007E2A45">
        <w:rPr>
          <w:rFonts w:ascii="Times New Roman" w:hAnsi="Times New Roman" w:cs="Times New Roman"/>
          <w:sz w:val="21"/>
          <w:szCs w:val="21"/>
        </w:rPr>
        <w:t xml:space="preserve">to </w:t>
      </w:r>
      <w:r w:rsidR="00D37234">
        <w:rPr>
          <w:rFonts w:ascii="Times New Roman" w:hAnsi="Times New Roman" w:cs="Times New Roman"/>
          <w:sz w:val="21"/>
          <w:szCs w:val="21"/>
        </w:rPr>
        <w:t>13</w:t>
      </w:r>
      <w:r w:rsidR="007E2A45" w:rsidRPr="00EC356F">
        <w:rPr>
          <w:rFonts w:ascii="Times New Roman" w:hAnsi="Times New Roman" w:cs="Times New Roman"/>
          <w:sz w:val="21"/>
          <w:szCs w:val="21"/>
        </w:rPr>
        <w:t>.</w:t>
      </w:r>
      <w:r w:rsidR="00D37234">
        <w:rPr>
          <w:rFonts w:ascii="Times New Roman" w:hAnsi="Times New Roman" w:cs="Times New Roman"/>
          <w:sz w:val="21"/>
          <w:szCs w:val="21"/>
        </w:rPr>
        <w:t>2</w:t>
      </w:r>
      <w:r w:rsidR="007E2A45" w:rsidRPr="00EC356F">
        <w:rPr>
          <w:rFonts w:ascii="Times New Roman" w:hAnsi="Times New Roman" w:cs="Times New Roman"/>
          <w:sz w:val="21"/>
          <w:szCs w:val="21"/>
        </w:rPr>
        <w:t>% in total</w:t>
      </w:r>
      <w:r w:rsidR="00D37234">
        <w:rPr>
          <w:rFonts w:ascii="Times New Roman" w:hAnsi="Times New Roman" w:cs="Times New Roman"/>
          <w:sz w:val="21"/>
          <w:szCs w:val="21"/>
        </w:rPr>
        <w:t xml:space="preserve"> tax revenue</w:t>
      </w:r>
      <w:r w:rsidR="007E2A45" w:rsidRPr="00EC356F">
        <w:rPr>
          <w:rFonts w:ascii="Times New Roman" w:hAnsi="Times New Roman" w:cs="Times New Roman"/>
          <w:sz w:val="21"/>
          <w:szCs w:val="21"/>
        </w:rPr>
        <w:t>.</w:t>
      </w:r>
      <w:r w:rsidR="00D37234">
        <w:rPr>
          <w:rFonts w:ascii="Times New Roman" w:hAnsi="Times New Roman" w:cs="Times New Roman"/>
          <w:sz w:val="21"/>
          <w:szCs w:val="21"/>
        </w:rPr>
        <w:t xml:space="preserve"> </w:t>
      </w:r>
      <w:r w:rsidR="00D37234" w:rsidRPr="00EC356F">
        <w:rPr>
          <w:rFonts w:ascii="Times New Roman" w:hAnsi="Times New Roman" w:cs="Times New Roman"/>
          <w:sz w:val="21"/>
          <w:szCs w:val="21"/>
        </w:rPr>
        <w:t xml:space="preserve">As a result, the revenues impulse </w:t>
      </w:r>
      <w:r w:rsidR="00D37234">
        <w:rPr>
          <w:rFonts w:ascii="Times New Roman" w:hAnsi="Times New Roman" w:cs="Times New Roman"/>
          <w:sz w:val="21"/>
          <w:szCs w:val="21"/>
        </w:rPr>
        <w:t xml:space="preserve">has been neutral, </w:t>
      </w:r>
      <w:r w:rsidR="00D37234" w:rsidRPr="00EC356F">
        <w:rPr>
          <w:rFonts w:ascii="Times New Roman" w:hAnsi="Times New Roman" w:cs="Times New Roman"/>
          <w:sz w:val="21"/>
          <w:szCs w:val="21"/>
        </w:rPr>
        <w:t xml:space="preserve">instead of projected </w:t>
      </w:r>
      <w:r w:rsidR="00D37234">
        <w:rPr>
          <w:rFonts w:ascii="Times New Roman" w:hAnsi="Times New Roman" w:cs="Times New Roman"/>
          <w:sz w:val="21"/>
          <w:szCs w:val="21"/>
        </w:rPr>
        <w:t xml:space="preserve">contractionary, which is attributable to tax revenues under-collected as a result of slackened economic activity.                                  </w:t>
      </w:r>
    </w:p>
    <w:p w14:paraId="478A0B13" w14:textId="77777777" w:rsidR="007B16B1" w:rsidRDefault="00D37234"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In the 4th quarter of 2014, relative to the 4th quarter last year, </w:t>
      </w:r>
      <w:r w:rsidR="007B16B1">
        <w:rPr>
          <w:rFonts w:ascii="Times New Roman" w:hAnsi="Times New Roman" w:cs="Times New Roman"/>
          <w:sz w:val="21"/>
          <w:szCs w:val="21"/>
        </w:rPr>
        <w:t>total</w:t>
      </w:r>
      <w:r w:rsidR="00A9653E" w:rsidRPr="00EC356F">
        <w:rPr>
          <w:rFonts w:ascii="Times New Roman" w:hAnsi="Times New Roman" w:cs="Times New Roman"/>
          <w:sz w:val="21"/>
          <w:szCs w:val="21"/>
        </w:rPr>
        <w:t xml:space="preserve"> expenditures </w:t>
      </w:r>
      <w:r w:rsidR="007B16B1">
        <w:rPr>
          <w:rFonts w:ascii="Times New Roman" w:hAnsi="Times New Roman" w:cs="Times New Roman"/>
          <w:sz w:val="21"/>
          <w:szCs w:val="21"/>
        </w:rPr>
        <w:t xml:space="preserve">have grown by 0.8%. However, current expenditures have reduced by 3.7% y/y, with </w:t>
      </w:r>
      <w:r w:rsidR="007B16B1" w:rsidRPr="007B16B1">
        <w:rPr>
          <w:rFonts w:ascii="Times New Roman" w:hAnsi="Times New Roman" w:cs="Times New Roman"/>
          <w:b/>
          <w:sz w:val="21"/>
          <w:szCs w:val="21"/>
        </w:rPr>
        <w:t>public consumption</w:t>
      </w:r>
      <w:r w:rsidR="007B16B1">
        <w:rPr>
          <w:rFonts w:ascii="Times New Roman" w:hAnsi="Times New Roman" w:cs="Times New Roman"/>
          <w:sz w:val="21"/>
          <w:szCs w:val="21"/>
        </w:rPr>
        <w:t xml:space="preserve"> having contracted by 16.4% y/y. The </w:t>
      </w:r>
      <w:r w:rsidR="007B16B1" w:rsidRPr="007B16B1">
        <w:rPr>
          <w:rFonts w:ascii="Times New Roman" w:hAnsi="Times New Roman" w:cs="Times New Roman"/>
          <w:b/>
          <w:sz w:val="21"/>
          <w:szCs w:val="21"/>
        </w:rPr>
        <w:t xml:space="preserve">item </w:t>
      </w:r>
      <w:r w:rsidR="00F86B6B" w:rsidRPr="00F86B6B">
        <w:rPr>
          <w:rFonts w:ascii="Times New Roman" w:hAnsi="Times New Roman" w:cs="Times New Roman"/>
          <w:b/>
          <w:sz w:val="21"/>
          <w:szCs w:val="21"/>
        </w:rPr>
        <w:t>''</w:t>
      </w:r>
      <w:r w:rsidR="007B16B1" w:rsidRPr="00F86B6B">
        <w:rPr>
          <w:rFonts w:ascii="Times New Roman" w:hAnsi="Times New Roman" w:cs="Times New Roman"/>
          <w:b/>
          <w:sz w:val="21"/>
          <w:szCs w:val="21"/>
        </w:rPr>
        <w:t>transactions with non-financial assets</w:t>
      </w:r>
      <w:r w:rsidR="00F86B6B" w:rsidRPr="00F86B6B">
        <w:rPr>
          <w:rFonts w:ascii="Times New Roman" w:hAnsi="Times New Roman" w:cs="Times New Roman"/>
          <w:b/>
          <w:sz w:val="21"/>
          <w:szCs w:val="21"/>
        </w:rPr>
        <w:t>''</w:t>
      </w:r>
      <w:r w:rsidR="007B16B1">
        <w:rPr>
          <w:rFonts w:ascii="Times New Roman" w:hAnsi="Times New Roman" w:cs="Times New Roman"/>
          <w:sz w:val="21"/>
          <w:szCs w:val="21"/>
        </w:rPr>
        <w:t xml:space="preserve"> posted a 30.0% increase against the 4th quarter last year. The 4th </w:t>
      </w:r>
      <w:r w:rsidR="007B16B1" w:rsidRPr="007B16B1">
        <w:rPr>
          <w:rFonts w:ascii="Times New Roman" w:hAnsi="Times New Roman" w:cs="Times New Roman"/>
          <w:sz w:val="21"/>
          <w:szCs w:val="21"/>
        </w:rPr>
        <w:t>quarter</w:t>
      </w:r>
      <w:r w:rsidR="00F86B6B" w:rsidRPr="00863CD6">
        <w:rPr>
          <w:rFonts w:ascii="Times New Roman" w:hAnsi="Times New Roman" w:cs="Times New Roman"/>
          <w:sz w:val="21"/>
          <w:szCs w:val="21"/>
        </w:rPr>
        <w:t>'</w:t>
      </w:r>
      <w:r w:rsidR="007B16B1">
        <w:rPr>
          <w:rFonts w:ascii="Times New Roman" w:hAnsi="Times New Roman" w:cs="Times New Roman"/>
          <w:sz w:val="21"/>
          <w:szCs w:val="21"/>
        </w:rPr>
        <w:t>s</w:t>
      </w:r>
      <w:r w:rsidR="007B16B1" w:rsidRPr="007B16B1">
        <w:rPr>
          <w:rFonts w:ascii="Times New Roman" w:hAnsi="Times New Roman" w:cs="Times New Roman"/>
          <w:sz w:val="21"/>
          <w:szCs w:val="21"/>
        </w:rPr>
        <w:t xml:space="preserve"> spending </w:t>
      </w:r>
      <w:r w:rsidR="004475FC">
        <w:rPr>
          <w:rFonts w:ascii="Times New Roman" w:hAnsi="Times New Roman" w:cs="Times New Roman"/>
          <w:sz w:val="21"/>
          <w:szCs w:val="21"/>
        </w:rPr>
        <w:t xml:space="preserve">amounted to roughly </w:t>
      </w:r>
      <w:r w:rsidR="004475FC" w:rsidRPr="007B16B1">
        <w:rPr>
          <w:rFonts w:ascii="Times New Roman" w:hAnsi="Times New Roman" w:cs="Times New Roman"/>
          <w:sz w:val="21"/>
          <w:szCs w:val="21"/>
        </w:rPr>
        <w:t>33%</w:t>
      </w:r>
      <w:r w:rsidR="004475FC">
        <w:rPr>
          <w:rFonts w:ascii="Times New Roman" w:hAnsi="Times New Roman" w:cs="Times New Roman"/>
          <w:sz w:val="21"/>
          <w:szCs w:val="21"/>
        </w:rPr>
        <w:t xml:space="preserve"> of annual expenditures</w:t>
      </w:r>
      <w:r w:rsidR="004475FC" w:rsidRPr="007B16B1">
        <w:rPr>
          <w:rFonts w:ascii="Times New Roman" w:hAnsi="Times New Roman" w:cs="Times New Roman"/>
          <w:sz w:val="21"/>
          <w:szCs w:val="21"/>
        </w:rPr>
        <w:t xml:space="preserve">, </w:t>
      </w:r>
      <w:r w:rsidR="007B16B1" w:rsidRPr="007B16B1">
        <w:rPr>
          <w:rFonts w:ascii="Times New Roman" w:hAnsi="Times New Roman" w:cs="Times New Roman"/>
          <w:sz w:val="21"/>
          <w:szCs w:val="21"/>
        </w:rPr>
        <w:t xml:space="preserve">which exceeded the </w:t>
      </w:r>
      <w:r w:rsidR="004475FC" w:rsidRPr="007B16B1">
        <w:rPr>
          <w:rFonts w:ascii="Times New Roman" w:hAnsi="Times New Roman" w:cs="Times New Roman"/>
          <w:sz w:val="21"/>
          <w:szCs w:val="21"/>
        </w:rPr>
        <w:t xml:space="preserve">figure </w:t>
      </w:r>
      <w:r w:rsidR="00754F95">
        <w:rPr>
          <w:rFonts w:ascii="Times New Roman" w:hAnsi="Times New Roman" w:cs="Times New Roman"/>
          <w:sz w:val="21"/>
          <w:szCs w:val="21"/>
        </w:rPr>
        <w:t xml:space="preserve">of quarterly </w:t>
      </w:r>
      <w:r w:rsidR="007B16B1" w:rsidRPr="007B16B1">
        <w:rPr>
          <w:rFonts w:ascii="Times New Roman" w:hAnsi="Times New Roman" w:cs="Times New Roman"/>
          <w:sz w:val="21"/>
          <w:szCs w:val="21"/>
        </w:rPr>
        <w:t>p</w:t>
      </w:r>
      <w:r w:rsidR="004475FC">
        <w:rPr>
          <w:rFonts w:ascii="Times New Roman" w:hAnsi="Times New Roman" w:cs="Times New Roman"/>
          <w:sz w:val="21"/>
          <w:szCs w:val="21"/>
        </w:rPr>
        <w:t xml:space="preserve">lanning </w:t>
      </w:r>
      <w:r w:rsidR="007B16B1" w:rsidRPr="007B16B1">
        <w:rPr>
          <w:rFonts w:ascii="Times New Roman" w:hAnsi="Times New Roman" w:cs="Times New Roman"/>
          <w:sz w:val="21"/>
          <w:szCs w:val="21"/>
        </w:rPr>
        <w:t>(</w:t>
      </w:r>
      <w:r w:rsidR="00754F95">
        <w:rPr>
          <w:rFonts w:ascii="Times New Roman" w:hAnsi="Times New Roman" w:cs="Times New Roman"/>
          <w:sz w:val="21"/>
          <w:szCs w:val="21"/>
        </w:rPr>
        <w:t xml:space="preserve">part of expenditure savings of </w:t>
      </w:r>
      <w:r w:rsidR="007B16B1" w:rsidRPr="007B16B1">
        <w:rPr>
          <w:rFonts w:ascii="Times New Roman" w:hAnsi="Times New Roman" w:cs="Times New Roman"/>
          <w:sz w:val="21"/>
          <w:szCs w:val="21"/>
        </w:rPr>
        <w:t xml:space="preserve">previous quarters </w:t>
      </w:r>
      <w:r w:rsidR="00754F95">
        <w:rPr>
          <w:rFonts w:ascii="Times New Roman" w:hAnsi="Times New Roman" w:cs="Times New Roman"/>
          <w:sz w:val="21"/>
          <w:szCs w:val="21"/>
        </w:rPr>
        <w:t>wa</w:t>
      </w:r>
      <w:r w:rsidR="007B16B1" w:rsidRPr="007B16B1">
        <w:rPr>
          <w:rFonts w:ascii="Times New Roman" w:hAnsi="Times New Roman" w:cs="Times New Roman"/>
          <w:sz w:val="21"/>
          <w:szCs w:val="21"/>
        </w:rPr>
        <w:t>s</w:t>
      </w:r>
      <w:r w:rsidR="00754F95">
        <w:rPr>
          <w:rFonts w:ascii="Times New Roman" w:hAnsi="Times New Roman" w:cs="Times New Roman"/>
          <w:sz w:val="21"/>
          <w:szCs w:val="21"/>
        </w:rPr>
        <w:t xml:space="preserve"> used for spending this quarter</w:t>
      </w:r>
      <w:r w:rsidR="007B16B1" w:rsidRPr="007B16B1">
        <w:rPr>
          <w:rFonts w:ascii="Times New Roman" w:hAnsi="Times New Roman" w:cs="Times New Roman"/>
          <w:sz w:val="21"/>
          <w:szCs w:val="21"/>
        </w:rPr>
        <w:t>)</w:t>
      </w:r>
      <w:r w:rsidR="00754F95">
        <w:rPr>
          <w:rFonts w:ascii="Times New Roman" w:hAnsi="Times New Roman" w:cs="Times New Roman"/>
          <w:sz w:val="21"/>
          <w:szCs w:val="21"/>
        </w:rPr>
        <w:t>.</w:t>
      </w:r>
      <w:r w:rsidR="007B16B1" w:rsidRPr="007B16B1">
        <w:rPr>
          <w:rFonts w:ascii="Times New Roman" w:hAnsi="Times New Roman" w:cs="Times New Roman"/>
          <w:sz w:val="21"/>
          <w:szCs w:val="21"/>
        </w:rPr>
        <w:t xml:space="preserve"> </w:t>
      </w:r>
      <w:r w:rsidR="00754F95">
        <w:rPr>
          <w:rFonts w:ascii="Times New Roman" w:hAnsi="Times New Roman" w:cs="Times New Roman"/>
          <w:sz w:val="21"/>
          <w:szCs w:val="21"/>
        </w:rPr>
        <w:t xml:space="preserve">The </w:t>
      </w:r>
      <w:r w:rsidR="00754F95" w:rsidRPr="007B16B1">
        <w:rPr>
          <w:rFonts w:ascii="Times New Roman" w:hAnsi="Times New Roman" w:cs="Times New Roman"/>
          <w:sz w:val="21"/>
          <w:szCs w:val="21"/>
        </w:rPr>
        <w:t xml:space="preserve">43.4% </w:t>
      </w:r>
      <w:r w:rsidR="00754F95">
        <w:rPr>
          <w:rFonts w:ascii="Times New Roman" w:hAnsi="Times New Roman" w:cs="Times New Roman"/>
          <w:sz w:val="21"/>
          <w:szCs w:val="21"/>
        </w:rPr>
        <w:t xml:space="preserve">y/y </w:t>
      </w:r>
      <w:r w:rsidR="00754F95" w:rsidRPr="007B16B1">
        <w:rPr>
          <w:rFonts w:ascii="Times New Roman" w:hAnsi="Times New Roman" w:cs="Times New Roman"/>
          <w:sz w:val="21"/>
          <w:szCs w:val="21"/>
        </w:rPr>
        <w:t>growth</w:t>
      </w:r>
      <w:r w:rsidR="00754F95">
        <w:rPr>
          <w:rFonts w:ascii="Times New Roman" w:hAnsi="Times New Roman" w:cs="Times New Roman"/>
          <w:sz w:val="21"/>
          <w:szCs w:val="21"/>
        </w:rPr>
        <w:t xml:space="preserve"> of</w:t>
      </w:r>
      <w:r w:rsidR="00121ACB">
        <w:rPr>
          <w:rFonts w:ascii="Times New Roman" w:hAnsi="Times New Roman" w:cs="Times New Roman"/>
          <w:sz w:val="21"/>
          <w:szCs w:val="21"/>
        </w:rPr>
        <w:t xml:space="preserve"> </w:t>
      </w:r>
      <w:r w:rsidR="00121ACB" w:rsidRPr="007B16B1">
        <w:rPr>
          <w:rFonts w:ascii="Times New Roman" w:hAnsi="Times New Roman" w:cs="Times New Roman"/>
          <w:sz w:val="21"/>
          <w:szCs w:val="21"/>
        </w:rPr>
        <w:t>capital expenditure</w:t>
      </w:r>
      <w:r w:rsidR="00121ACB">
        <w:rPr>
          <w:rFonts w:ascii="Times New Roman" w:hAnsi="Times New Roman" w:cs="Times New Roman"/>
          <w:sz w:val="21"/>
          <w:szCs w:val="21"/>
        </w:rPr>
        <w:t xml:space="preserve">s funded by external sources has been a remarkable posting in the item </w:t>
      </w:r>
      <w:r w:rsidR="00F86B6B" w:rsidRPr="00863CD6">
        <w:rPr>
          <w:rFonts w:ascii="Times New Roman" w:hAnsi="Times New Roman" w:cs="Times New Roman"/>
          <w:sz w:val="21"/>
          <w:szCs w:val="21"/>
        </w:rPr>
        <w:t>''</w:t>
      </w:r>
      <w:r w:rsidR="00121ACB" w:rsidRPr="00121ACB">
        <w:rPr>
          <w:rFonts w:ascii="Times New Roman" w:hAnsi="Times New Roman" w:cs="Times New Roman"/>
          <w:sz w:val="21"/>
          <w:szCs w:val="21"/>
        </w:rPr>
        <w:t>transactions with non-financial assets</w:t>
      </w:r>
      <w:r w:rsidR="00F86B6B" w:rsidRPr="00863CD6">
        <w:rPr>
          <w:rFonts w:ascii="Times New Roman" w:hAnsi="Times New Roman" w:cs="Times New Roman"/>
          <w:sz w:val="21"/>
          <w:szCs w:val="21"/>
        </w:rPr>
        <w:t>''</w:t>
      </w:r>
      <w:r w:rsidR="00121ACB">
        <w:rPr>
          <w:rFonts w:ascii="Times New Roman" w:hAnsi="Times New Roman" w:cs="Times New Roman"/>
          <w:sz w:val="21"/>
          <w:szCs w:val="21"/>
        </w:rPr>
        <w:t>. I</w:t>
      </w:r>
      <w:r w:rsidR="007B16B1" w:rsidRPr="007B16B1">
        <w:rPr>
          <w:rFonts w:ascii="Times New Roman" w:hAnsi="Times New Roman" w:cs="Times New Roman"/>
          <w:sz w:val="21"/>
          <w:szCs w:val="21"/>
        </w:rPr>
        <w:t xml:space="preserve">n the </w:t>
      </w:r>
      <w:r w:rsidR="00121ACB">
        <w:rPr>
          <w:rFonts w:ascii="Times New Roman" w:hAnsi="Times New Roman" w:cs="Times New Roman"/>
          <w:sz w:val="21"/>
          <w:szCs w:val="21"/>
        </w:rPr>
        <w:t>4</w:t>
      </w:r>
      <w:r w:rsidR="007B16B1" w:rsidRPr="007B16B1">
        <w:rPr>
          <w:rFonts w:ascii="Times New Roman" w:hAnsi="Times New Roman" w:cs="Times New Roman"/>
          <w:sz w:val="21"/>
          <w:szCs w:val="21"/>
        </w:rPr>
        <w:t>th quarter</w:t>
      </w:r>
      <w:r w:rsidR="00121ACB">
        <w:rPr>
          <w:rFonts w:ascii="Times New Roman" w:hAnsi="Times New Roman" w:cs="Times New Roman"/>
          <w:sz w:val="21"/>
          <w:szCs w:val="21"/>
        </w:rPr>
        <w:t>,</w:t>
      </w:r>
      <w:r w:rsidR="007B16B1" w:rsidRPr="007B16B1">
        <w:rPr>
          <w:rFonts w:ascii="Times New Roman" w:hAnsi="Times New Roman" w:cs="Times New Roman"/>
          <w:sz w:val="21"/>
          <w:szCs w:val="21"/>
        </w:rPr>
        <w:t xml:space="preserve"> </w:t>
      </w:r>
      <w:r w:rsidR="00121ACB">
        <w:rPr>
          <w:rFonts w:ascii="Times New Roman" w:hAnsi="Times New Roman" w:cs="Times New Roman"/>
          <w:sz w:val="21"/>
          <w:szCs w:val="21"/>
        </w:rPr>
        <w:t xml:space="preserve">public expenditures </w:t>
      </w:r>
      <w:r w:rsidR="007B16B1" w:rsidRPr="007B16B1">
        <w:rPr>
          <w:rFonts w:ascii="Times New Roman" w:hAnsi="Times New Roman" w:cs="Times New Roman"/>
          <w:sz w:val="21"/>
          <w:szCs w:val="21"/>
        </w:rPr>
        <w:t>(including net lending) had a neutral effec</w:t>
      </w:r>
      <w:r w:rsidR="00121ACB">
        <w:rPr>
          <w:rFonts w:ascii="Times New Roman" w:hAnsi="Times New Roman" w:cs="Times New Roman"/>
          <w:sz w:val="21"/>
          <w:szCs w:val="21"/>
        </w:rPr>
        <w:t xml:space="preserve">t on aggregate demand, which is consistent with the </w:t>
      </w:r>
      <w:r w:rsidR="007B16B1" w:rsidRPr="007B16B1">
        <w:rPr>
          <w:rFonts w:ascii="Times New Roman" w:hAnsi="Times New Roman" w:cs="Times New Roman"/>
          <w:sz w:val="21"/>
          <w:szCs w:val="21"/>
        </w:rPr>
        <w:t>project</w:t>
      </w:r>
      <w:r w:rsidR="00121ACB">
        <w:rPr>
          <w:rFonts w:ascii="Times New Roman" w:hAnsi="Times New Roman" w:cs="Times New Roman"/>
          <w:sz w:val="21"/>
          <w:szCs w:val="21"/>
        </w:rPr>
        <w:t>ion</w:t>
      </w:r>
      <w:r w:rsidR="007B16B1" w:rsidRPr="007B16B1">
        <w:rPr>
          <w:rFonts w:ascii="Times New Roman" w:hAnsi="Times New Roman" w:cs="Times New Roman"/>
          <w:sz w:val="21"/>
          <w:szCs w:val="21"/>
        </w:rPr>
        <w:t>.</w:t>
      </w:r>
      <w:r w:rsidR="007B16B1">
        <w:rPr>
          <w:rFonts w:ascii="Times New Roman" w:hAnsi="Times New Roman" w:cs="Times New Roman"/>
          <w:sz w:val="21"/>
          <w:szCs w:val="21"/>
        </w:rPr>
        <w:t xml:space="preserve">  </w:t>
      </w:r>
    </w:p>
    <w:p w14:paraId="15D7AE26" w14:textId="77777777" w:rsidR="00BF0068" w:rsidRDefault="00BF0068"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lastRenderedPageBreak/>
        <w:t>W</w:t>
      </w:r>
      <w:r w:rsidRPr="00EC356F">
        <w:rPr>
          <w:rFonts w:ascii="Times New Roman" w:hAnsi="Times New Roman" w:cs="Times New Roman"/>
          <w:sz w:val="21"/>
          <w:szCs w:val="21"/>
        </w:rPr>
        <w:t xml:space="preserve">ith revenues and expenditures figures </w:t>
      </w:r>
      <w:r>
        <w:rPr>
          <w:rFonts w:ascii="Times New Roman" w:hAnsi="Times New Roman" w:cs="Times New Roman"/>
          <w:sz w:val="21"/>
          <w:szCs w:val="21"/>
        </w:rPr>
        <w:t>i</w:t>
      </w:r>
      <w:r w:rsidR="00A9653E" w:rsidRPr="00EC356F">
        <w:rPr>
          <w:rFonts w:ascii="Times New Roman" w:hAnsi="Times New Roman" w:cs="Times New Roman"/>
          <w:sz w:val="21"/>
          <w:szCs w:val="21"/>
        </w:rPr>
        <w:t xml:space="preserve">n the </w:t>
      </w:r>
      <w:r>
        <w:rPr>
          <w:rFonts w:ascii="Times New Roman" w:hAnsi="Times New Roman" w:cs="Times New Roman"/>
          <w:sz w:val="21"/>
          <w:szCs w:val="21"/>
        </w:rPr>
        <w:t>4th</w:t>
      </w:r>
      <w:r w:rsidR="00A9653E" w:rsidRPr="00EC356F">
        <w:rPr>
          <w:rFonts w:ascii="Times New Roman" w:hAnsi="Times New Roman" w:cs="Times New Roman"/>
          <w:sz w:val="21"/>
          <w:szCs w:val="21"/>
        </w:rPr>
        <w:t xml:space="preserve"> quarter of 2014, the budget </w:t>
      </w:r>
      <w:r w:rsidR="00354F55">
        <w:rPr>
          <w:rFonts w:ascii="Times New Roman" w:hAnsi="Times New Roman" w:cs="Times New Roman"/>
          <w:sz w:val="21"/>
          <w:szCs w:val="21"/>
        </w:rPr>
        <w:t xml:space="preserve">reported </w:t>
      </w:r>
      <w:r>
        <w:rPr>
          <w:rFonts w:ascii="Times New Roman" w:hAnsi="Times New Roman" w:cs="Times New Roman"/>
          <w:sz w:val="21"/>
          <w:szCs w:val="21"/>
        </w:rPr>
        <w:t xml:space="preserve">a </w:t>
      </w:r>
      <w:r w:rsidR="00354F55">
        <w:rPr>
          <w:rFonts w:ascii="Times New Roman" w:hAnsi="Times New Roman" w:cs="Times New Roman"/>
          <w:sz w:val="21"/>
          <w:szCs w:val="21"/>
        </w:rPr>
        <w:t xml:space="preserve">deficit of </w:t>
      </w:r>
      <w:r w:rsidR="00A9653E" w:rsidRPr="00EC356F">
        <w:rPr>
          <w:rFonts w:ascii="Times New Roman" w:hAnsi="Times New Roman" w:cs="Times New Roman"/>
          <w:sz w:val="21"/>
          <w:szCs w:val="21"/>
        </w:rPr>
        <w:t xml:space="preserve">AMD </w:t>
      </w:r>
      <w:r>
        <w:rPr>
          <w:rFonts w:ascii="Times New Roman" w:hAnsi="Times New Roman" w:cs="Times New Roman"/>
          <w:sz w:val="21"/>
          <w:szCs w:val="21"/>
        </w:rPr>
        <w:t>87</w:t>
      </w:r>
      <w:r w:rsidR="00A9653E" w:rsidRPr="00EC356F">
        <w:rPr>
          <w:rFonts w:ascii="Times New Roman" w:hAnsi="Times New Roman" w:cs="Times New Roman"/>
          <w:sz w:val="21"/>
          <w:szCs w:val="21"/>
        </w:rPr>
        <w:t>.</w:t>
      </w:r>
      <w:r>
        <w:rPr>
          <w:rFonts w:ascii="Times New Roman" w:hAnsi="Times New Roman" w:cs="Times New Roman"/>
          <w:sz w:val="21"/>
          <w:szCs w:val="21"/>
        </w:rPr>
        <w:t>5</w:t>
      </w:r>
      <w:r w:rsidR="00A9653E" w:rsidRPr="00EC356F">
        <w:rPr>
          <w:rFonts w:ascii="Times New Roman" w:hAnsi="Times New Roman" w:cs="Times New Roman"/>
          <w:sz w:val="21"/>
          <w:szCs w:val="21"/>
        </w:rPr>
        <w:t xml:space="preserve"> billion</w:t>
      </w:r>
      <w:r>
        <w:rPr>
          <w:rFonts w:ascii="Times New Roman" w:hAnsi="Times New Roman" w:cs="Times New Roman"/>
          <w:sz w:val="21"/>
          <w:szCs w:val="21"/>
        </w:rPr>
        <w:t xml:space="preserve">. Around 40.0% of the deficit has been funded by domestic sources and 60.0%, by external sources. </w:t>
      </w:r>
    </w:p>
    <w:p w14:paraId="0E409DE8" w14:textId="77777777" w:rsidR="009E659F" w:rsidRDefault="00786296"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Based on the results of the </w:t>
      </w:r>
      <w:r w:rsidR="00BB2DE9" w:rsidRPr="00BB2DE9">
        <w:rPr>
          <w:rFonts w:ascii="Times New Roman" w:hAnsi="Times New Roman" w:cs="Times New Roman"/>
          <w:b/>
          <w:sz w:val="21"/>
          <w:szCs w:val="21"/>
        </w:rPr>
        <w:t>year</w:t>
      </w:r>
      <w:r w:rsidR="009E659F" w:rsidRPr="00BB2DE9">
        <w:rPr>
          <w:rFonts w:ascii="Times New Roman" w:hAnsi="Times New Roman" w:cs="Times New Roman"/>
          <w:b/>
          <w:sz w:val="21"/>
          <w:szCs w:val="21"/>
        </w:rPr>
        <w:t xml:space="preserve"> 2014</w:t>
      </w:r>
      <w:r w:rsidR="007B3644">
        <w:rPr>
          <w:rStyle w:val="FootnoteReference"/>
          <w:rFonts w:ascii="Times New Roman" w:hAnsi="Times New Roman" w:cs="Times New Roman"/>
          <w:b/>
          <w:sz w:val="21"/>
          <w:szCs w:val="21"/>
        </w:rPr>
        <w:footnoteReference w:customMarkFollows="1" w:id="24"/>
        <w:t>24</w:t>
      </w:r>
      <w:r>
        <w:rPr>
          <w:rFonts w:ascii="Times New Roman" w:hAnsi="Times New Roman" w:cs="Times New Roman"/>
          <w:sz w:val="21"/>
          <w:szCs w:val="21"/>
        </w:rPr>
        <w:t xml:space="preserve">, the </w:t>
      </w:r>
      <w:r w:rsidR="00BB2DE9">
        <w:rPr>
          <w:rFonts w:ascii="Times New Roman" w:hAnsi="Times New Roman" w:cs="Times New Roman"/>
          <w:sz w:val="21"/>
          <w:szCs w:val="21"/>
        </w:rPr>
        <w:t xml:space="preserve">state budget generated </w:t>
      </w:r>
      <w:r>
        <w:rPr>
          <w:rFonts w:ascii="Times New Roman" w:hAnsi="Times New Roman" w:cs="Times New Roman"/>
          <w:sz w:val="21"/>
          <w:szCs w:val="21"/>
        </w:rPr>
        <w:t xml:space="preserve">revenues </w:t>
      </w:r>
      <w:r w:rsidR="00BB2DE9">
        <w:rPr>
          <w:rFonts w:ascii="Times New Roman" w:hAnsi="Times New Roman" w:cs="Times New Roman"/>
          <w:sz w:val="21"/>
          <w:szCs w:val="21"/>
        </w:rPr>
        <w:t>totaled AMD 1103.4 billion, which is 4.2% less from the adjusted projection</w:t>
      </w:r>
      <w:r w:rsidR="007B3644">
        <w:rPr>
          <w:rStyle w:val="FootnoteReference"/>
          <w:rFonts w:ascii="Times New Roman" w:hAnsi="Times New Roman" w:cs="Times New Roman"/>
          <w:sz w:val="21"/>
          <w:szCs w:val="21"/>
        </w:rPr>
        <w:footnoteReference w:customMarkFollows="1" w:id="25"/>
        <w:t>25</w:t>
      </w:r>
      <w:r w:rsidR="00BB2DE9">
        <w:rPr>
          <w:rFonts w:ascii="Times New Roman" w:hAnsi="Times New Roman" w:cs="Times New Roman"/>
          <w:sz w:val="21"/>
          <w:szCs w:val="21"/>
        </w:rPr>
        <w:t>. Tax revenue amounted to AMD 1062.8 billion</w:t>
      </w:r>
      <w:r>
        <w:rPr>
          <w:rFonts w:ascii="Times New Roman" w:hAnsi="Times New Roman" w:cs="Times New Roman"/>
          <w:sz w:val="21"/>
          <w:szCs w:val="21"/>
        </w:rPr>
        <w:t>, which secured</w:t>
      </w:r>
      <w:r w:rsidR="00BB2DE9">
        <w:rPr>
          <w:rFonts w:ascii="Times New Roman" w:hAnsi="Times New Roman" w:cs="Times New Roman"/>
          <w:sz w:val="21"/>
          <w:szCs w:val="21"/>
        </w:rPr>
        <w:t xml:space="preserve"> the</w:t>
      </w:r>
      <w:r>
        <w:rPr>
          <w:rFonts w:ascii="Times New Roman" w:hAnsi="Times New Roman" w:cs="Times New Roman"/>
          <w:sz w:val="21"/>
          <w:szCs w:val="21"/>
        </w:rPr>
        <w:t xml:space="preserve"> </w:t>
      </w:r>
      <w:r w:rsidR="00BB2DE9" w:rsidRPr="00BB2DE9">
        <w:rPr>
          <w:rFonts w:ascii="Times New Roman" w:hAnsi="Times New Roman" w:cs="Times New Roman"/>
          <w:b/>
          <w:sz w:val="21"/>
          <w:szCs w:val="21"/>
        </w:rPr>
        <w:t>Tax-to-GDP rati</w:t>
      </w:r>
      <w:r w:rsidR="00BB2DE9" w:rsidRPr="00F86B6B">
        <w:rPr>
          <w:rFonts w:ascii="Times New Roman" w:hAnsi="Times New Roman" w:cs="Times New Roman"/>
          <w:b/>
          <w:sz w:val="21"/>
          <w:szCs w:val="21"/>
        </w:rPr>
        <w:t>o</w:t>
      </w:r>
      <w:r w:rsidR="00F86B6B" w:rsidRPr="00F86B6B">
        <w:rPr>
          <w:rFonts w:ascii="Times New Roman" w:hAnsi="Times New Roman" w:cs="Times New Roman"/>
          <w:b/>
          <w:sz w:val="21"/>
          <w:szCs w:val="21"/>
        </w:rPr>
        <w:t>'</w:t>
      </w:r>
      <w:r w:rsidR="00BB2DE9" w:rsidRPr="00F86B6B">
        <w:rPr>
          <w:rFonts w:ascii="Times New Roman" w:hAnsi="Times New Roman" w:cs="Times New Roman"/>
          <w:b/>
          <w:sz w:val="21"/>
          <w:szCs w:val="21"/>
        </w:rPr>
        <w:t>s</w:t>
      </w:r>
      <w:r w:rsidR="00BB2DE9" w:rsidRPr="00BB2DE9">
        <w:rPr>
          <w:rFonts w:ascii="Times New Roman" w:hAnsi="Times New Roman" w:cs="Times New Roman"/>
          <w:b/>
          <w:sz w:val="21"/>
          <w:szCs w:val="21"/>
        </w:rPr>
        <w:t xml:space="preserve"> 23.4% </w:t>
      </w:r>
      <w:r w:rsidRPr="00BB2DE9">
        <w:rPr>
          <w:rFonts w:ascii="Times New Roman" w:hAnsi="Times New Roman" w:cs="Times New Roman"/>
          <w:b/>
          <w:sz w:val="21"/>
          <w:szCs w:val="21"/>
        </w:rPr>
        <w:t>performance</w:t>
      </w:r>
      <w:r w:rsidR="00BB2DE9">
        <w:rPr>
          <w:rFonts w:ascii="Times New Roman" w:hAnsi="Times New Roman" w:cs="Times New Roman"/>
          <w:sz w:val="21"/>
          <w:szCs w:val="21"/>
        </w:rPr>
        <w:t xml:space="preserve"> projected for 2014. </w:t>
      </w:r>
      <w:r>
        <w:rPr>
          <w:rFonts w:ascii="Times New Roman" w:hAnsi="Times New Roman" w:cs="Times New Roman"/>
          <w:sz w:val="21"/>
          <w:szCs w:val="21"/>
        </w:rPr>
        <w:t xml:space="preserve">Relative to the same </w:t>
      </w:r>
      <w:r w:rsidR="000E04B9">
        <w:rPr>
          <w:rFonts w:ascii="Times New Roman" w:hAnsi="Times New Roman" w:cs="Times New Roman"/>
          <w:sz w:val="21"/>
          <w:szCs w:val="21"/>
        </w:rPr>
        <w:t xml:space="preserve">reference </w:t>
      </w:r>
      <w:r>
        <w:rPr>
          <w:rFonts w:ascii="Times New Roman" w:hAnsi="Times New Roman" w:cs="Times New Roman"/>
          <w:sz w:val="21"/>
          <w:szCs w:val="21"/>
        </w:rPr>
        <w:t xml:space="preserve">period of </w:t>
      </w:r>
      <w:r w:rsidR="000E04B9">
        <w:rPr>
          <w:rFonts w:ascii="Times New Roman" w:hAnsi="Times New Roman" w:cs="Times New Roman"/>
          <w:sz w:val="21"/>
          <w:szCs w:val="21"/>
        </w:rPr>
        <w:t>last year</w:t>
      </w:r>
      <w:r>
        <w:rPr>
          <w:rFonts w:ascii="Times New Roman" w:hAnsi="Times New Roman" w:cs="Times New Roman"/>
          <w:sz w:val="21"/>
          <w:szCs w:val="21"/>
        </w:rPr>
        <w:t>, tax revenue ha</w:t>
      </w:r>
      <w:r w:rsidR="000E04B9">
        <w:rPr>
          <w:rFonts w:ascii="Times New Roman" w:hAnsi="Times New Roman" w:cs="Times New Roman"/>
          <w:sz w:val="21"/>
          <w:szCs w:val="21"/>
        </w:rPr>
        <w:t>s</w:t>
      </w:r>
      <w:r>
        <w:rPr>
          <w:rFonts w:ascii="Times New Roman" w:hAnsi="Times New Roman" w:cs="Times New Roman"/>
          <w:sz w:val="21"/>
          <w:szCs w:val="21"/>
        </w:rPr>
        <w:t xml:space="preserve"> grown by </w:t>
      </w:r>
      <w:r w:rsidR="000E04B9">
        <w:rPr>
          <w:rFonts w:ascii="Times New Roman" w:hAnsi="Times New Roman" w:cs="Times New Roman"/>
          <w:sz w:val="21"/>
          <w:szCs w:val="21"/>
        </w:rPr>
        <w:t>6</w:t>
      </w:r>
      <w:r>
        <w:rPr>
          <w:rFonts w:ascii="Times New Roman" w:hAnsi="Times New Roman" w:cs="Times New Roman"/>
          <w:sz w:val="21"/>
          <w:szCs w:val="21"/>
        </w:rPr>
        <w:t>.</w:t>
      </w:r>
      <w:r w:rsidR="000E04B9">
        <w:rPr>
          <w:rFonts w:ascii="Times New Roman" w:hAnsi="Times New Roman" w:cs="Times New Roman"/>
          <w:sz w:val="21"/>
          <w:szCs w:val="21"/>
        </w:rPr>
        <w:t>3</w:t>
      </w:r>
      <w:r>
        <w:rPr>
          <w:rFonts w:ascii="Times New Roman" w:hAnsi="Times New Roman" w:cs="Times New Roman"/>
          <w:sz w:val="21"/>
          <w:szCs w:val="21"/>
        </w:rPr>
        <w:t xml:space="preserve">% or AMD </w:t>
      </w:r>
      <w:r w:rsidR="000E04B9">
        <w:rPr>
          <w:rFonts w:ascii="Times New Roman" w:hAnsi="Times New Roman" w:cs="Times New Roman"/>
          <w:sz w:val="21"/>
          <w:szCs w:val="21"/>
        </w:rPr>
        <w:t>63</w:t>
      </w:r>
      <w:r>
        <w:rPr>
          <w:rFonts w:ascii="Times New Roman" w:hAnsi="Times New Roman" w:cs="Times New Roman"/>
          <w:sz w:val="21"/>
          <w:szCs w:val="21"/>
        </w:rPr>
        <w:t>.</w:t>
      </w:r>
      <w:r w:rsidR="000E04B9">
        <w:rPr>
          <w:rFonts w:ascii="Times New Roman" w:hAnsi="Times New Roman" w:cs="Times New Roman"/>
          <w:sz w:val="21"/>
          <w:szCs w:val="21"/>
        </w:rPr>
        <w:t>4</w:t>
      </w:r>
      <w:r>
        <w:rPr>
          <w:rFonts w:ascii="Times New Roman" w:hAnsi="Times New Roman" w:cs="Times New Roman"/>
          <w:sz w:val="21"/>
          <w:szCs w:val="21"/>
        </w:rPr>
        <w:t xml:space="preserve"> billion due mostly to increased value added tax and income tax. </w:t>
      </w:r>
      <w:r w:rsidR="00FA4974">
        <w:rPr>
          <w:rFonts w:ascii="Times New Roman" w:hAnsi="Times New Roman" w:cs="Times New Roman"/>
          <w:sz w:val="21"/>
          <w:szCs w:val="21"/>
        </w:rPr>
        <w:t xml:space="preserve">Relative to the same </w:t>
      </w:r>
      <w:r w:rsidR="000E04B9">
        <w:rPr>
          <w:rFonts w:ascii="Times New Roman" w:hAnsi="Times New Roman" w:cs="Times New Roman"/>
          <w:sz w:val="21"/>
          <w:szCs w:val="21"/>
        </w:rPr>
        <w:t xml:space="preserve">reference </w:t>
      </w:r>
      <w:r w:rsidR="00FA4974">
        <w:rPr>
          <w:rFonts w:ascii="Times New Roman" w:hAnsi="Times New Roman" w:cs="Times New Roman"/>
          <w:sz w:val="21"/>
          <w:szCs w:val="21"/>
        </w:rPr>
        <w:t xml:space="preserve">period </w:t>
      </w:r>
      <w:r w:rsidR="000E04B9">
        <w:rPr>
          <w:rFonts w:ascii="Times New Roman" w:hAnsi="Times New Roman" w:cs="Times New Roman"/>
          <w:sz w:val="21"/>
          <w:szCs w:val="21"/>
        </w:rPr>
        <w:t>last year</w:t>
      </w:r>
      <w:r w:rsidR="00FA4974">
        <w:rPr>
          <w:rFonts w:ascii="Times New Roman" w:hAnsi="Times New Roman" w:cs="Times New Roman"/>
          <w:sz w:val="21"/>
          <w:szCs w:val="21"/>
        </w:rPr>
        <w:t>, p</w:t>
      </w:r>
      <w:r w:rsidR="00182A56">
        <w:rPr>
          <w:rFonts w:ascii="Times New Roman" w:hAnsi="Times New Roman" w:cs="Times New Roman"/>
          <w:sz w:val="21"/>
          <w:szCs w:val="21"/>
        </w:rPr>
        <w:t xml:space="preserve">ublic expenditures (PIU funds included) have grown by </w:t>
      </w:r>
      <w:r w:rsidR="00E96434">
        <w:rPr>
          <w:rFonts w:ascii="Times New Roman" w:hAnsi="Times New Roman" w:cs="Times New Roman"/>
          <w:sz w:val="21"/>
          <w:szCs w:val="21"/>
        </w:rPr>
        <w:t>7.9</w:t>
      </w:r>
      <w:r w:rsidR="00182A56">
        <w:rPr>
          <w:rFonts w:ascii="Times New Roman" w:hAnsi="Times New Roman" w:cs="Times New Roman"/>
          <w:sz w:val="21"/>
          <w:szCs w:val="21"/>
        </w:rPr>
        <w:t>%</w:t>
      </w:r>
      <w:r w:rsidR="006B7091">
        <w:rPr>
          <w:rFonts w:ascii="Times New Roman" w:hAnsi="Times New Roman" w:cs="Times New Roman"/>
          <w:sz w:val="21"/>
          <w:szCs w:val="21"/>
        </w:rPr>
        <w:t>.</w:t>
      </w:r>
      <w:r w:rsidR="00E96434">
        <w:rPr>
          <w:rFonts w:ascii="Times New Roman" w:hAnsi="Times New Roman" w:cs="Times New Roman"/>
          <w:sz w:val="21"/>
          <w:szCs w:val="21"/>
        </w:rPr>
        <w:t xml:space="preserve"> Based on the results of the </w:t>
      </w:r>
      <w:r w:rsidR="00E96434" w:rsidRPr="00E96434">
        <w:rPr>
          <w:rFonts w:ascii="Times New Roman" w:hAnsi="Times New Roman" w:cs="Times New Roman"/>
          <w:sz w:val="21"/>
          <w:szCs w:val="21"/>
        </w:rPr>
        <w:t>year 2014</w:t>
      </w:r>
      <w:r w:rsidR="009E659F" w:rsidRPr="00E96434">
        <w:rPr>
          <w:rFonts w:ascii="Times New Roman" w:hAnsi="Times New Roman" w:cs="Times New Roman"/>
          <w:sz w:val="21"/>
          <w:szCs w:val="21"/>
        </w:rPr>
        <w:t>, t</w:t>
      </w:r>
      <w:r w:rsidR="009E659F">
        <w:rPr>
          <w:rFonts w:ascii="Times New Roman" w:hAnsi="Times New Roman" w:cs="Times New Roman"/>
          <w:sz w:val="21"/>
          <w:szCs w:val="21"/>
        </w:rPr>
        <w:t xml:space="preserve">he </w:t>
      </w:r>
      <w:r w:rsidR="00E96434">
        <w:rPr>
          <w:rFonts w:ascii="Times New Roman" w:hAnsi="Times New Roman" w:cs="Times New Roman"/>
          <w:sz w:val="21"/>
          <w:szCs w:val="21"/>
        </w:rPr>
        <w:t xml:space="preserve">state </w:t>
      </w:r>
      <w:r w:rsidR="009E659F">
        <w:rPr>
          <w:rFonts w:ascii="Times New Roman" w:hAnsi="Times New Roman" w:cs="Times New Roman"/>
          <w:sz w:val="21"/>
          <w:szCs w:val="21"/>
        </w:rPr>
        <w:t>budget deficit totaled AMD 93</w:t>
      </w:r>
      <w:r w:rsidR="00E96434">
        <w:rPr>
          <w:rFonts w:ascii="Times New Roman" w:hAnsi="Times New Roman" w:cs="Times New Roman"/>
          <w:sz w:val="21"/>
          <w:szCs w:val="21"/>
        </w:rPr>
        <w:t>.2</w:t>
      </w:r>
      <w:r w:rsidR="009E659F">
        <w:rPr>
          <w:rFonts w:ascii="Times New Roman" w:hAnsi="Times New Roman" w:cs="Times New Roman"/>
          <w:sz w:val="21"/>
          <w:szCs w:val="21"/>
        </w:rPr>
        <w:t xml:space="preserve"> billion. </w:t>
      </w:r>
    </w:p>
    <w:p w14:paraId="5FF6864D" w14:textId="77777777" w:rsidR="000978AB" w:rsidRPr="000978AB" w:rsidRDefault="000978AB" w:rsidP="00A9653E">
      <w:pPr>
        <w:spacing w:line="360" w:lineRule="auto"/>
        <w:jc w:val="both"/>
        <w:rPr>
          <w:rFonts w:ascii="Times New Roman" w:hAnsi="Times New Roman" w:cs="Times New Roman"/>
          <w:b/>
          <w:color w:val="0070C0"/>
          <w:sz w:val="18"/>
          <w:szCs w:val="18"/>
        </w:rPr>
      </w:pPr>
      <w:r w:rsidRPr="000978AB">
        <w:rPr>
          <w:rFonts w:ascii="Times New Roman" w:hAnsi="Times New Roman" w:cs="Times New Roman"/>
          <w:b/>
          <w:color w:val="0070C0"/>
          <w:sz w:val="18"/>
          <w:szCs w:val="18"/>
        </w:rPr>
        <w:t>In 2014, the fiscal policy had a 0.65 expansionary impact on the aggregate demand…</w:t>
      </w:r>
    </w:p>
    <w:p w14:paraId="0F8B1A95" w14:textId="77777777" w:rsidR="009E659F" w:rsidRDefault="002255DB" w:rsidP="00A9653E">
      <w:pPr>
        <w:spacing w:line="360" w:lineRule="auto"/>
        <w:jc w:val="both"/>
        <w:rPr>
          <w:rFonts w:ascii="Times New Roman" w:hAnsi="Times New Roman" w:cs="Times New Roman"/>
          <w:sz w:val="21"/>
          <w:szCs w:val="21"/>
        </w:rPr>
      </w:pPr>
      <w:r w:rsidRPr="002255DB">
        <w:rPr>
          <w:rFonts w:ascii="Times New Roman" w:hAnsi="Times New Roman" w:cs="Times New Roman"/>
          <w:b/>
          <w:sz w:val="21"/>
          <w:szCs w:val="21"/>
        </w:rPr>
        <w:t>Based on the results of the year 2014</w:t>
      </w:r>
      <w:r w:rsidR="009E659F" w:rsidRPr="002255DB">
        <w:rPr>
          <w:rFonts w:ascii="Times New Roman" w:hAnsi="Times New Roman" w:cs="Times New Roman"/>
          <w:b/>
          <w:sz w:val="21"/>
          <w:szCs w:val="21"/>
        </w:rPr>
        <w:t>, the fiscal policy</w:t>
      </w:r>
      <w:r>
        <w:rPr>
          <w:rFonts w:ascii="Times New Roman" w:hAnsi="Times New Roman" w:cs="Times New Roman"/>
          <w:b/>
          <w:sz w:val="21"/>
          <w:szCs w:val="21"/>
        </w:rPr>
        <w:t xml:space="preserve"> has </w:t>
      </w:r>
      <w:r w:rsidR="00B031B7">
        <w:rPr>
          <w:rFonts w:ascii="Times New Roman" w:hAnsi="Times New Roman" w:cs="Times New Roman"/>
          <w:b/>
          <w:sz w:val="21"/>
          <w:szCs w:val="21"/>
        </w:rPr>
        <w:t>left</w:t>
      </w:r>
      <w:r>
        <w:rPr>
          <w:rFonts w:ascii="Times New Roman" w:hAnsi="Times New Roman" w:cs="Times New Roman"/>
          <w:b/>
          <w:sz w:val="21"/>
          <w:szCs w:val="21"/>
        </w:rPr>
        <w:t xml:space="preserve"> </w:t>
      </w:r>
      <w:r w:rsidR="00CD4C11">
        <w:rPr>
          <w:rFonts w:ascii="Times New Roman" w:hAnsi="Times New Roman" w:cs="Times New Roman"/>
          <w:b/>
          <w:sz w:val="21"/>
          <w:szCs w:val="21"/>
        </w:rPr>
        <w:t xml:space="preserve">a </w:t>
      </w:r>
      <w:r w:rsidRPr="002255DB">
        <w:rPr>
          <w:rFonts w:ascii="Times New Roman" w:hAnsi="Times New Roman" w:cs="Times New Roman"/>
          <w:b/>
          <w:sz w:val="21"/>
          <w:szCs w:val="21"/>
        </w:rPr>
        <w:t>0.65 expansionary</w:t>
      </w:r>
      <w:r w:rsidR="009E659F" w:rsidRPr="002255DB">
        <w:rPr>
          <w:rFonts w:ascii="Times New Roman" w:hAnsi="Times New Roman" w:cs="Times New Roman"/>
          <w:b/>
          <w:sz w:val="21"/>
          <w:szCs w:val="21"/>
        </w:rPr>
        <w:t xml:space="preserve"> i</w:t>
      </w:r>
      <w:r w:rsidR="005F5299" w:rsidRPr="002255DB">
        <w:rPr>
          <w:rFonts w:ascii="Times New Roman" w:hAnsi="Times New Roman" w:cs="Times New Roman"/>
          <w:b/>
          <w:sz w:val="21"/>
          <w:szCs w:val="21"/>
        </w:rPr>
        <w:t>mpact</w:t>
      </w:r>
      <w:r w:rsidR="009E659F" w:rsidRPr="002255DB">
        <w:rPr>
          <w:rFonts w:ascii="Times New Roman" w:hAnsi="Times New Roman" w:cs="Times New Roman"/>
          <w:b/>
          <w:sz w:val="21"/>
          <w:szCs w:val="21"/>
        </w:rPr>
        <w:t xml:space="preserve"> on aggregate demand </w:t>
      </w:r>
      <w:r w:rsidR="00FF4844" w:rsidRPr="00FF4844">
        <w:rPr>
          <w:rFonts w:ascii="Times New Roman" w:hAnsi="Times New Roman" w:cs="Times New Roman"/>
          <w:sz w:val="21"/>
          <w:szCs w:val="21"/>
        </w:rPr>
        <w:t>a</w:t>
      </w:r>
      <w:r>
        <w:rPr>
          <w:rFonts w:ascii="Times New Roman" w:hAnsi="Times New Roman" w:cs="Times New Roman"/>
          <w:sz w:val="21"/>
          <w:szCs w:val="21"/>
        </w:rPr>
        <w:t>s</w:t>
      </w:r>
      <w:r w:rsidR="009E659F">
        <w:rPr>
          <w:rFonts w:ascii="Times New Roman" w:hAnsi="Times New Roman" w:cs="Times New Roman"/>
          <w:sz w:val="21"/>
          <w:szCs w:val="21"/>
        </w:rPr>
        <w:t xml:space="preserve"> the </w:t>
      </w:r>
      <w:r>
        <w:rPr>
          <w:rFonts w:ascii="Times New Roman" w:hAnsi="Times New Roman" w:cs="Times New Roman"/>
          <w:sz w:val="21"/>
          <w:szCs w:val="21"/>
        </w:rPr>
        <w:t>revenues created neutral pressures and the expenditures</w:t>
      </w:r>
      <w:r w:rsidR="00CD4C11">
        <w:rPr>
          <w:rFonts w:ascii="Times New Roman" w:hAnsi="Times New Roman" w:cs="Times New Roman"/>
          <w:sz w:val="21"/>
          <w:szCs w:val="21"/>
        </w:rPr>
        <w:t>,</w:t>
      </w:r>
      <w:r>
        <w:rPr>
          <w:rFonts w:ascii="Times New Roman" w:hAnsi="Times New Roman" w:cs="Times New Roman"/>
          <w:sz w:val="21"/>
          <w:szCs w:val="21"/>
        </w:rPr>
        <w:t xml:space="preserve"> </w:t>
      </w:r>
      <w:r w:rsidR="00CD4C11">
        <w:rPr>
          <w:rFonts w:ascii="Times New Roman" w:hAnsi="Times New Roman" w:cs="Times New Roman"/>
          <w:sz w:val="21"/>
          <w:szCs w:val="21"/>
        </w:rPr>
        <w:t xml:space="preserve">expansionary pressures. </w:t>
      </w:r>
      <w:r w:rsidR="009E659F">
        <w:rPr>
          <w:rFonts w:ascii="Times New Roman" w:hAnsi="Times New Roman" w:cs="Times New Roman"/>
          <w:sz w:val="21"/>
          <w:szCs w:val="21"/>
        </w:rPr>
        <w:t xml:space="preserve"> </w:t>
      </w:r>
    </w:p>
    <w:p w14:paraId="66877B1A" w14:textId="26ABCB12" w:rsidR="00D95604" w:rsidRPr="00D95604" w:rsidRDefault="00D95604" w:rsidP="00D95604">
      <w:pPr>
        <w:spacing w:line="360" w:lineRule="auto"/>
        <w:jc w:val="both"/>
        <w:rPr>
          <w:rFonts w:ascii="Times New Roman" w:hAnsi="Times New Roman" w:cs="Times New Roman"/>
          <w:b/>
          <w:sz w:val="21"/>
          <w:szCs w:val="21"/>
        </w:rPr>
      </w:pPr>
      <w:r w:rsidRPr="00D95604">
        <w:rPr>
          <w:rFonts w:ascii="Times New Roman" w:hAnsi="Times New Roman" w:cs="Times New Roman"/>
          <w:b/>
          <w:sz w:val="21"/>
          <w:szCs w:val="21"/>
        </w:rPr>
        <w:t>Summary</w:t>
      </w:r>
      <w:r>
        <w:rPr>
          <w:rFonts w:ascii="Times New Roman" w:hAnsi="Times New Roman" w:cs="Times New Roman"/>
          <w:b/>
          <w:sz w:val="21"/>
          <w:szCs w:val="21"/>
        </w:rPr>
        <w:t>:</w:t>
      </w:r>
      <w:r w:rsidRPr="00D95604">
        <w:rPr>
          <w:rFonts w:ascii="Times New Roman" w:hAnsi="Times New Roman" w:cs="Times New Roman"/>
          <w:b/>
          <w:sz w:val="21"/>
          <w:szCs w:val="21"/>
        </w:rPr>
        <w:t xml:space="preserve"> reduc</w:t>
      </w:r>
      <w:r>
        <w:rPr>
          <w:rFonts w:ascii="Times New Roman" w:hAnsi="Times New Roman" w:cs="Times New Roman"/>
          <w:b/>
          <w:sz w:val="21"/>
          <w:szCs w:val="21"/>
        </w:rPr>
        <w:t xml:space="preserve">ed private </w:t>
      </w:r>
      <w:r w:rsidRPr="00D95604">
        <w:rPr>
          <w:rFonts w:ascii="Times New Roman" w:hAnsi="Times New Roman" w:cs="Times New Roman"/>
          <w:b/>
          <w:sz w:val="21"/>
          <w:szCs w:val="21"/>
        </w:rPr>
        <w:t>transfer</w:t>
      </w:r>
      <w:r>
        <w:rPr>
          <w:rFonts w:ascii="Times New Roman" w:hAnsi="Times New Roman" w:cs="Times New Roman"/>
          <w:b/>
          <w:sz w:val="21"/>
          <w:szCs w:val="21"/>
        </w:rPr>
        <w:t>s</w:t>
      </w:r>
      <w:r w:rsidRPr="00D95604">
        <w:rPr>
          <w:rFonts w:ascii="Times New Roman" w:hAnsi="Times New Roman" w:cs="Times New Roman"/>
          <w:b/>
          <w:sz w:val="21"/>
          <w:szCs w:val="21"/>
        </w:rPr>
        <w:t xml:space="preserve"> from Russia</w:t>
      </w:r>
      <w:r>
        <w:rPr>
          <w:rFonts w:ascii="Times New Roman" w:hAnsi="Times New Roman" w:cs="Times New Roman"/>
          <w:b/>
          <w:sz w:val="21"/>
          <w:szCs w:val="21"/>
        </w:rPr>
        <w:t>, declined c</w:t>
      </w:r>
      <w:r w:rsidRPr="00D95604">
        <w:rPr>
          <w:rFonts w:ascii="Times New Roman" w:hAnsi="Times New Roman" w:cs="Times New Roman"/>
          <w:b/>
          <w:sz w:val="21"/>
          <w:szCs w:val="21"/>
        </w:rPr>
        <w:t xml:space="preserve">onstruction output and </w:t>
      </w:r>
      <w:r>
        <w:rPr>
          <w:rFonts w:ascii="Times New Roman" w:hAnsi="Times New Roman" w:cs="Times New Roman"/>
          <w:b/>
          <w:sz w:val="21"/>
          <w:szCs w:val="21"/>
        </w:rPr>
        <w:t xml:space="preserve">sluggish </w:t>
      </w:r>
      <w:r w:rsidRPr="00D95604">
        <w:rPr>
          <w:rFonts w:ascii="Times New Roman" w:hAnsi="Times New Roman" w:cs="Times New Roman"/>
          <w:b/>
          <w:sz w:val="21"/>
          <w:szCs w:val="21"/>
        </w:rPr>
        <w:t xml:space="preserve">investment activity </w:t>
      </w:r>
      <w:r>
        <w:rPr>
          <w:rFonts w:ascii="Times New Roman" w:hAnsi="Times New Roman" w:cs="Times New Roman"/>
          <w:b/>
          <w:sz w:val="21"/>
          <w:szCs w:val="21"/>
        </w:rPr>
        <w:t xml:space="preserve">all </w:t>
      </w:r>
      <w:r w:rsidRPr="00D95604">
        <w:rPr>
          <w:rFonts w:ascii="Times New Roman" w:hAnsi="Times New Roman" w:cs="Times New Roman"/>
          <w:b/>
          <w:sz w:val="21"/>
          <w:szCs w:val="21"/>
        </w:rPr>
        <w:t>exert</w:t>
      </w:r>
      <w:r>
        <w:rPr>
          <w:rFonts w:ascii="Times New Roman" w:hAnsi="Times New Roman" w:cs="Times New Roman"/>
          <w:b/>
          <w:sz w:val="21"/>
          <w:szCs w:val="21"/>
        </w:rPr>
        <w:t>ed</w:t>
      </w:r>
      <w:r w:rsidRPr="00D95604">
        <w:rPr>
          <w:rFonts w:ascii="Times New Roman" w:hAnsi="Times New Roman" w:cs="Times New Roman"/>
          <w:b/>
          <w:sz w:val="21"/>
          <w:szCs w:val="21"/>
        </w:rPr>
        <w:t xml:space="preserve"> negative pressure</w:t>
      </w:r>
      <w:r>
        <w:rPr>
          <w:rFonts w:ascii="Times New Roman" w:hAnsi="Times New Roman" w:cs="Times New Roman"/>
          <w:b/>
          <w:sz w:val="21"/>
          <w:szCs w:val="21"/>
        </w:rPr>
        <w:t>s</w:t>
      </w:r>
      <w:r w:rsidRPr="00D95604">
        <w:rPr>
          <w:rFonts w:ascii="Times New Roman" w:hAnsi="Times New Roman" w:cs="Times New Roman"/>
          <w:b/>
          <w:sz w:val="21"/>
          <w:szCs w:val="21"/>
        </w:rPr>
        <w:t xml:space="preserve"> </w:t>
      </w:r>
      <w:r>
        <w:rPr>
          <w:rFonts w:ascii="Times New Roman" w:hAnsi="Times New Roman" w:cs="Times New Roman"/>
          <w:b/>
          <w:sz w:val="21"/>
          <w:szCs w:val="21"/>
        </w:rPr>
        <w:t>on spending in</w:t>
      </w:r>
      <w:r w:rsidRPr="00D95604">
        <w:rPr>
          <w:rFonts w:ascii="Times New Roman" w:hAnsi="Times New Roman" w:cs="Times New Roman"/>
          <w:b/>
          <w:sz w:val="21"/>
          <w:szCs w:val="21"/>
        </w:rPr>
        <w:t xml:space="preserve"> the </w:t>
      </w:r>
      <w:r>
        <w:rPr>
          <w:rFonts w:ascii="Times New Roman" w:hAnsi="Times New Roman" w:cs="Times New Roman"/>
          <w:b/>
          <w:sz w:val="21"/>
          <w:szCs w:val="21"/>
        </w:rPr>
        <w:t xml:space="preserve">domestic </w:t>
      </w:r>
      <w:r w:rsidRPr="00D95604">
        <w:rPr>
          <w:rFonts w:ascii="Times New Roman" w:hAnsi="Times New Roman" w:cs="Times New Roman"/>
          <w:b/>
          <w:sz w:val="21"/>
          <w:szCs w:val="21"/>
        </w:rPr>
        <w:t>private sector</w:t>
      </w:r>
      <w:r>
        <w:rPr>
          <w:rFonts w:ascii="Times New Roman" w:hAnsi="Times New Roman" w:cs="Times New Roman"/>
          <w:b/>
          <w:sz w:val="21"/>
          <w:szCs w:val="21"/>
        </w:rPr>
        <w:t xml:space="preserve"> in the 4th</w:t>
      </w:r>
      <w:r w:rsidRPr="00D95604">
        <w:rPr>
          <w:rFonts w:ascii="Times New Roman" w:hAnsi="Times New Roman" w:cs="Times New Roman"/>
          <w:b/>
          <w:sz w:val="21"/>
          <w:szCs w:val="21"/>
        </w:rPr>
        <w:t xml:space="preserve"> </w:t>
      </w:r>
      <w:r>
        <w:rPr>
          <w:rFonts w:ascii="Times New Roman" w:hAnsi="Times New Roman" w:cs="Times New Roman"/>
          <w:b/>
          <w:sz w:val="21"/>
          <w:szCs w:val="21"/>
        </w:rPr>
        <w:t xml:space="preserve">quarter of 2014. These pressures, however, have been diminished considerably by </w:t>
      </w:r>
      <w:r w:rsidRPr="00D95604">
        <w:rPr>
          <w:rFonts w:ascii="Times New Roman" w:hAnsi="Times New Roman" w:cs="Times New Roman"/>
          <w:b/>
          <w:sz w:val="21"/>
          <w:szCs w:val="21"/>
        </w:rPr>
        <w:t xml:space="preserve">expansionary monetary and fiscal policies </w:t>
      </w:r>
      <w:r w:rsidR="00063196">
        <w:rPr>
          <w:rFonts w:ascii="Times New Roman" w:hAnsi="Times New Roman" w:cs="Times New Roman"/>
          <w:b/>
          <w:sz w:val="21"/>
          <w:szCs w:val="21"/>
        </w:rPr>
        <w:t xml:space="preserve">implemented during the year, which </w:t>
      </w:r>
      <w:r w:rsidR="00FB3E5E">
        <w:rPr>
          <w:rFonts w:ascii="Times New Roman" w:hAnsi="Times New Roman" w:cs="Times New Roman"/>
          <w:b/>
          <w:sz w:val="21"/>
          <w:szCs w:val="21"/>
        </w:rPr>
        <w:t xml:space="preserve">in its turn </w:t>
      </w:r>
      <w:r w:rsidR="00063196">
        <w:rPr>
          <w:rFonts w:ascii="Times New Roman" w:hAnsi="Times New Roman" w:cs="Times New Roman"/>
          <w:b/>
          <w:sz w:val="21"/>
          <w:szCs w:val="21"/>
        </w:rPr>
        <w:t>mitigated the domestic econom</w:t>
      </w:r>
      <w:r w:rsidR="00063196" w:rsidRPr="00173515">
        <w:rPr>
          <w:rFonts w:ascii="Times New Roman" w:hAnsi="Times New Roman" w:cs="Times New Roman"/>
          <w:b/>
          <w:sz w:val="21"/>
          <w:szCs w:val="21"/>
        </w:rPr>
        <w:t>y</w:t>
      </w:r>
      <w:r w:rsidR="00173515" w:rsidRPr="00173515">
        <w:rPr>
          <w:rFonts w:ascii="Times New Roman" w:hAnsi="Times New Roman" w:cs="Times New Roman"/>
          <w:b/>
          <w:sz w:val="21"/>
          <w:szCs w:val="21"/>
        </w:rPr>
        <w:t>'</w:t>
      </w:r>
      <w:r w:rsidR="00063196" w:rsidRPr="00173515">
        <w:rPr>
          <w:rFonts w:ascii="Times New Roman" w:hAnsi="Times New Roman" w:cs="Times New Roman"/>
          <w:b/>
          <w:sz w:val="21"/>
          <w:szCs w:val="21"/>
        </w:rPr>
        <w:t>s</w:t>
      </w:r>
      <w:r w:rsidR="00063196">
        <w:rPr>
          <w:rFonts w:ascii="Times New Roman" w:hAnsi="Times New Roman" w:cs="Times New Roman"/>
          <w:b/>
          <w:sz w:val="21"/>
          <w:szCs w:val="21"/>
        </w:rPr>
        <w:t xml:space="preserve"> slowdown </w:t>
      </w:r>
      <w:r w:rsidRPr="00D95604">
        <w:rPr>
          <w:rFonts w:ascii="Times New Roman" w:hAnsi="Times New Roman" w:cs="Times New Roman"/>
          <w:b/>
          <w:sz w:val="21"/>
          <w:szCs w:val="21"/>
        </w:rPr>
        <w:t xml:space="preserve">and </w:t>
      </w:r>
      <w:r w:rsidR="00063196">
        <w:rPr>
          <w:rFonts w:ascii="Times New Roman" w:hAnsi="Times New Roman" w:cs="Times New Roman"/>
          <w:b/>
          <w:sz w:val="21"/>
          <w:szCs w:val="21"/>
        </w:rPr>
        <w:t xml:space="preserve">the </w:t>
      </w:r>
      <w:r w:rsidRPr="00D95604">
        <w:rPr>
          <w:rFonts w:ascii="Times New Roman" w:hAnsi="Times New Roman" w:cs="Times New Roman"/>
          <w:b/>
          <w:sz w:val="21"/>
          <w:szCs w:val="21"/>
        </w:rPr>
        <w:t>deflationary environment.</w:t>
      </w:r>
    </w:p>
    <w:p w14:paraId="768A7E64" w14:textId="77777777" w:rsidR="00BF35CB" w:rsidRDefault="00D95604" w:rsidP="00A9653E">
      <w:pPr>
        <w:spacing w:line="360" w:lineRule="auto"/>
        <w:jc w:val="both"/>
        <w:rPr>
          <w:rFonts w:ascii="Times New Roman" w:hAnsi="Times New Roman" w:cs="Times New Roman"/>
          <w:b/>
          <w:sz w:val="21"/>
          <w:szCs w:val="21"/>
        </w:rPr>
      </w:pPr>
      <w:r w:rsidRPr="00D95604">
        <w:rPr>
          <w:rFonts w:ascii="Times New Roman" w:hAnsi="Times New Roman" w:cs="Times New Roman"/>
          <w:b/>
          <w:sz w:val="21"/>
          <w:szCs w:val="21"/>
        </w:rPr>
        <w:t xml:space="preserve">In the </w:t>
      </w:r>
      <w:r w:rsidR="00BF35CB">
        <w:rPr>
          <w:rFonts w:ascii="Times New Roman" w:hAnsi="Times New Roman" w:cs="Times New Roman"/>
          <w:b/>
          <w:sz w:val="21"/>
          <w:szCs w:val="21"/>
        </w:rPr>
        <w:t>4th</w:t>
      </w:r>
      <w:r w:rsidRPr="00D95604">
        <w:rPr>
          <w:rFonts w:ascii="Times New Roman" w:hAnsi="Times New Roman" w:cs="Times New Roman"/>
          <w:b/>
          <w:sz w:val="21"/>
          <w:szCs w:val="21"/>
        </w:rPr>
        <w:t xml:space="preserve"> quarter of 2014</w:t>
      </w:r>
      <w:r w:rsidR="00BF35CB">
        <w:rPr>
          <w:rFonts w:ascii="Times New Roman" w:hAnsi="Times New Roman" w:cs="Times New Roman"/>
          <w:b/>
          <w:sz w:val="21"/>
          <w:szCs w:val="21"/>
        </w:rPr>
        <w:t>,</w:t>
      </w:r>
      <w:r w:rsidRPr="00D95604">
        <w:rPr>
          <w:rFonts w:ascii="Times New Roman" w:hAnsi="Times New Roman" w:cs="Times New Roman"/>
          <w:b/>
          <w:sz w:val="21"/>
          <w:szCs w:val="21"/>
        </w:rPr>
        <w:t xml:space="preserve"> </w:t>
      </w:r>
      <w:r w:rsidR="00BF35CB">
        <w:rPr>
          <w:rFonts w:ascii="Times New Roman" w:hAnsi="Times New Roman" w:cs="Times New Roman"/>
          <w:b/>
          <w:sz w:val="21"/>
          <w:szCs w:val="21"/>
        </w:rPr>
        <w:t xml:space="preserve">the private </w:t>
      </w:r>
      <w:r w:rsidRPr="00D95604">
        <w:rPr>
          <w:rFonts w:ascii="Times New Roman" w:hAnsi="Times New Roman" w:cs="Times New Roman"/>
          <w:b/>
          <w:sz w:val="21"/>
          <w:szCs w:val="21"/>
        </w:rPr>
        <w:t xml:space="preserve">spending gap is estimated to be negative. Given </w:t>
      </w:r>
      <w:r w:rsidR="00FB3E5E">
        <w:rPr>
          <w:rFonts w:ascii="Times New Roman" w:hAnsi="Times New Roman" w:cs="Times New Roman"/>
          <w:b/>
          <w:sz w:val="21"/>
          <w:szCs w:val="21"/>
        </w:rPr>
        <w:t xml:space="preserve">also </w:t>
      </w:r>
      <w:r w:rsidRPr="00D95604">
        <w:rPr>
          <w:rFonts w:ascii="Times New Roman" w:hAnsi="Times New Roman" w:cs="Times New Roman"/>
          <w:b/>
          <w:sz w:val="21"/>
          <w:szCs w:val="21"/>
        </w:rPr>
        <w:t xml:space="preserve">the </w:t>
      </w:r>
      <w:r w:rsidR="00BF35CB">
        <w:rPr>
          <w:rFonts w:ascii="Times New Roman" w:hAnsi="Times New Roman" w:cs="Times New Roman"/>
          <w:b/>
          <w:sz w:val="21"/>
          <w:szCs w:val="21"/>
        </w:rPr>
        <w:t xml:space="preserve">behavior of the </w:t>
      </w:r>
      <w:r w:rsidRPr="00D95604">
        <w:rPr>
          <w:rFonts w:ascii="Times New Roman" w:hAnsi="Times New Roman" w:cs="Times New Roman"/>
          <w:b/>
          <w:sz w:val="21"/>
          <w:szCs w:val="21"/>
        </w:rPr>
        <w:t xml:space="preserve">labor market and </w:t>
      </w:r>
      <w:r w:rsidR="00BF35CB">
        <w:rPr>
          <w:rFonts w:ascii="Times New Roman" w:hAnsi="Times New Roman" w:cs="Times New Roman"/>
          <w:b/>
          <w:sz w:val="21"/>
          <w:szCs w:val="21"/>
        </w:rPr>
        <w:t xml:space="preserve">public expenditures, it is </w:t>
      </w:r>
      <w:r w:rsidRPr="00D95604">
        <w:rPr>
          <w:rFonts w:ascii="Times New Roman" w:hAnsi="Times New Roman" w:cs="Times New Roman"/>
          <w:b/>
          <w:sz w:val="21"/>
          <w:szCs w:val="21"/>
        </w:rPr>
        <w:t xml:space="preserve">estimated </w:t>
      </w:r>
      <w:r w:rsidR="00BF35CB">
        <w:rPr>
          <w:rFonts w:ascii="Times New Roman" w:hAnsi="Times New Roman" w:cs="Times New Roman"/>
          <w:b/>
          <w:sz w:val="21"/>
          <w:szCs w:val="21"/>
        </w:rPr>
        <w:t xml:space="preserve">that </w:t>
      </w:r>
      <w:r w:rsidRPr="00D95604">
        <w:rPr>
          <w:rFonts w:ascii="Times New Roman" w:hAnsi="Times New Roman" w:cs="Times New Roman"/>
          <w:b/>
          <w:sz w:val="21"/>
          <w:szCs w:val="21"/>
        </w:rPr>
        <w:t xml:space="preserve">the above factors </w:t>
      </w:r>
      <w:r w:rsidR="00FB3E5E">
        <w:rPr>
          <w:rFonts w:ascii="Times New Roman" w:hAnsi="Times New Roman" w:cs="Times New Roman"/>
          <w:b/>
          <w:sz w:val="21"/>
          <w:szCs w:val="21"/>
        </w:rPr>
        <w:t xml:space="preserve">jointly </w:t>
      </w:r>
      <w:r w:rsidRPr="00D95604">
        <w:rPr>
          <w:rFonts w:ascii="Times New Roman" w:hAnsi="Times New Roman" w:cs="Times New Roman"/>
          <w:b/>
          <w:sz w:val="21"/>
          <w:szCs w:val="21"/>
        </w:rPr>
        <w:t xml:space="preserve">have created </w:t>
      </w:r>
      <w:r w:rsidR="00BF35CB" w:rsidRPr="00D95604">
        <w:rPr>
          <w:rFonts w:ascii="Times New Roman" w:hAnsi="Times New Roman" w:cs="Times New Roman"/>
          <w:b/>
          <w:sz w:val="21"/>
          <w:szCs w:val="21"/>
        </w:rPr>
        <w:t>0.7</w:t>
      </w:r>
      <w:r w:rsidR="00173515">
        <w:rPr>
          <w:rFonts w:ascii="Times New Roman" w:hAnsi="Times New Roman" w:cs="Times New Roman"/>
          <w:b/>
          <w:sz w:val="21"/>
          <w:szCs w:val="21"/>
        </w:rPr>
        <w:t xml:space="preserve"> pp </w:t>
      </w:r>
      <w:r w:rsidR="00BF35CB" w:rsidRPr="00D95604">
        <w:rPr>
          <w:rFonts w:ascii="Times New Roman" w:hAnsi="Times New Roman" w:cs="Times New Roman"/>
          <w:b/>
          <w:sz w:val="21"/>
          <w:szCs w:val="21"/>
        </w:rPr>
        <w:t>-</w:t>
      </w:r>
      <w:r w:rsidR="00173515">
        <w:rPr>
          <w:rFonts w:ascii="Times New Roman" w:hAnsi="Times New Roman" w:cs="Times New Roman"/>
          <w:b/>
          <w:sz w:val="21"/>
          <w:szCs w:val="21"/>
        </w:rPr>
        <w:t xml:space="preserve"> </w:t>
      </w:r>
      <w:r w:rsidR="00BF35CB" w:rsidRPr="00D95604">
        <w:rPr>
          <w:rFonts w:ascii="Times New Roman" w:hAnsi="Times New Roman" w:cs="Times New Roman"/>
          <w:b/>
          <w:sz w:val="21"/>
          <w:szCs w:val="21"/>
        </w:rPr>
        <w:t>0.8 p</w:t>
      </w:r>
      <w:r w:rsidR="00BF35CB">
        <w:rPr>
          <w:rFonts w:ascii="Times New Roman" w:hAnsi="Times New Roman" w:cs="Times New Roman"/>
          <w:b/>
          <w:sz w:val="21"/>
          <w:szCs w:val="21"/>
        </w:rPr>
        <w:t>p</w:t>
      </w:r>
      <w:r w:rsidR="00BF35CB" w:rsidRPr="00D95604">
        <w:rPr>
          <w:rFonts w:ascii="Times New Roman" w:hAnsi="Times New Roman" w:cs="Times New Roman"/>
          <w:b/>
          <w:sz w:val="21"/>
          <w:szCs w:val="21"/>
        </w:rPr>
        <w:t xml:space="preserve"> </w:t>
      </w:r>
      <w:r w:rsidR="00BF35CB">
        <w:rPr>
          <w:rFonts w:ascii="Times New Roman" w:hAnsi="Times New Roman" w:cs="Times New Roman"/>
          <w:b/>
          <w:sz w:val="21"/>
          <w:szCs w:val="21"/>
        </w:rPr>
        <w:t xml:space="preserve">of </w:t>
      </w:r>
      <w:r w:rsidR="00BF35CB" w:rsidRPr="00D95604">
        <w:rPr>
          <w:rFonts w:ascii="Times New Roman" w:hAnsi="Times New Roman" w:cs="Times New Roman"/>
          <w:b/>
          <w:sz w:val="21"/>
          <w:szCs w:val="21"/>
        </w:rPr>
        <w:t xml:space="preserve">deflationary pressures </w:t>
      </w:r>
      <w:r w:rsidR="00BF35CB">
        <w:rPr>
          <w:rFonts w:ascii="Times New Roman" w:hAnsi="Times New Roman" w:cs="Times New Roman"/>
          <w:b/>
          <w:sz w:val="21"/>
          <w:szCs w:val="21"/>
        </w:rPr>
        <w:t>in the</w:t>
      </w:r>
      <w:r w:rsidRPr="00D95604">
        <w:rPr>
          <w:rFonts w:ascii="Times New Roman" w:hAnsi="Times New Roman" w:cs="Times New Roman"/>
          <w:b/>
          <w:sz w:val="21"/>
          <w:szCs w:val="21"/>
        </w:rPr>
        <w:t xml:space="preserve"> consumer market in the </w:t>
      </w:r>
      <w:r w:rsidR="00BF35CB">
        <w:rPr>
          <w:rFonts w:ascii="Times New Roman" w:hAnsi="Times New Roman" w:cs="Times New Roman"/>
          <w:b/>
          <w:sz w:val="21"/>
          <w:szCs w:val="21"/>
        </w:rPr>
        <w:t>period under review.</w:t>
      </w:r>
    </w:p>
    <w:p w14:paraId="3A1FBC63"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3.3 Money and financial market developments</w:t>
      </w:r>
    </w:p>
    <w:p w14:paraId="6E8AF7C1" w14:textId="77777777" w:rsidR="00A9653E" w:rsidRPr="00EC356F" w:rsidRDefault="00A9653E" w:rsidP="00A9653E">
      <w:pPr>
        <w:spacing w:line="360" w:lineRule="auto"/>
        <w:jc w:val="both"/>
        <w:rPr>
          <w:rFonts w:ascii="Times New Roman" w:hAnsi="Times New Roman" w:cs="Times New Roman"/>
          <w:b/>
          <w:sz w:val="21"/>
          <w:szCs w:val="21"/>
        </w:rPr>
      </w:pPr>
      <w:r w:rsidRPr="00F42718">
        <w:rPr>
          <w:rFonts w:ascii="Times New Roman" w:hAnsi="Times New Roman" w:cs="Times New Roman"/>
          <w:b/>
          <w:sz w:val="21"/>
          <w:szCs w:val="21"/>
        </w:rPr>
        <w:t>3.3.1 Financial market, money and credit</w:t>
      </w:r>
    </w:p>
    <w:p w14:paraId="644FA67D" w14:textId="77777777" w:rsidR="0049575D" w:rsidRDefault="0049575D" w:rsidP="00A9653E">
      <w:pPr>
        <w:spacing w:line="360" w:lineRule="auto"/>
        <w:jc w:val="both"/>
        <w:rPr>
          <w:rFonts w:ascii="Times New Roman" w:hAnsi="Times New Roman" w:cs="Times New Roman"/>
          <w:b/>
          <w:color w:val="0070C0"/>
          <w:sz w:val="18"/>
          <w:szCs w:val="18"/>
        </w:rPr>
      </w:pPr>
      <w:r w:rsidRPr="0049575D">
        <w:rPr>
          <w:rFonts w:ascii="Times New Roman" w:hAnsi="Times New Roman" w:cs="Times New Roman"/>
          <w:b/>
          <w:color w:val="0070C0"/>
          <w:sz w:val="18"/>
          <w:szCs w:val="18"/>
        </w:rPr>
        <w:t>In the 4th quarter, the Central Bank fine-tuned the monetary policy directions aimed at the fulfillment of the inflation target while weathering the tension in the domestic financial and currency markets driven by the global economy and developments in the region. The policy adjustment went in line with an active use of monetary instruments and frequent public</w:t>
      </w:r>
      <w:r w:rsidR="0002076D">
        <w:rPr>
          <w:rFonts w:ascii="Times New Roman" w:hAnsi="Times New Roman" w:cs="Times New Roman"/>
          <w:b/>
          <w:color w:val="0070C0"/>
          <w:sz w:val="18"/>
          <w:szCs w:val="18"/>
        </w:rPr>
        <w:t xml:space="preserve"> statements…</w:t>
      </w:r>
    </w:p>
    <w:p w14:paraId="5EB30185" w14:textId="77777777" w:rsidR="0002076D" w:rsidRPr="00E74EA8" w:rsidRDefault="0002076D" w:rsidP="00A9653E">
      <w:pPr>
        <w:spacing w:line="360" w:lineRule="auto"/>
        <w:jc w:val="both"/>
        <w:rPr>
          <w:rFonts w:ascii="Times New Roman" w:hAnsi="Times New Roman" w:cs="Times New Roman"/>
          <w:b/>
          <w:color w:val="0070C0"/>
          <w:sz w:val="18"/>
          <w:szCs w:val="18"/>
        </w:rPr>
      </w:pPr>
      <w:r w:rsidRPr="00E74EA8">
        <w:rPr>
          <w:rFonts w:ascii="Times New Roman" w:hAnsi="Times New Roman" w:cs="Times New Roman"/>
          <w:b/>
          <w:color w:val="0070C0"/>
          <w:sz w:val="18"/>
          <w:szCs w:val="18"/>
        </w:rPr>
        <w:t xml:space="preserve">Since end-November, the Central Bank has twice increased the Lombard Repo Facility rate </w:t>
      </w:r>
      <w:r w:rsidR="00E74EA8" w:rsidRPr="00E74EA8">
        <w:rPr>
          <w:rFonts w:ascii="Times New Roman" w:hAnsi="Times New Roman" w:cs="Times New Roman"/>
          <w:b/>
          <w:color w:val="0070C0"/>
          <w:sz w:val="18"/>
          <w:szCs w:val="18"/>
        </w:rPr>
        <w:t xml:space="preserve">up to </w:t>
      </w:r>
      <w:r w:rsidRPr="00E74EA8">
        <w:rPr>
          <w:rFonts w:ascii="Times New Roman" w:hAnsi="Times New Roman" w:cs="Times New Roman"/>
          <w:b/>
          <w:color w:val="0070C0"/>
          <w:sz w:val="18"/>
          <w:szCs w:val="18"/>
        </w:rPr>
        <w:t>21%</w:t>
      </w:r>
      <w:r w:rsidR="00E74EA8" w:rsidRPr="00E74EA8">
        <w:rPr>
          <w:rFonts w:ascii="Times New Roman" w:hAnsi="Times New Roman" w:cs="Times New Roman"/>
          <w:b/>
          <w:color w:val="0070C0"/>
          <w:sz w:val="18"/>
          <w:szCs w:val="18"/>
        </w:rPr>
        <w:t>...</w:t>
      </w:r>
    </w:p>
    <w:p w14:paraId="144E2BAD" w14:textId="77777777" w:rsidR="00F15101" w:rsidRDefault="00417309" w:rsidP="00A9653E">
      <w:pPr>
        <w:spacing w:line="360" w:lineRule="auto"/>
        <w:jc w:val="both"/>
        <w:rPr>
          <w:rFonts w:ascii="Times New Roman" w:hAnsi="Times New Roman" w:cs="Times New Roman"/>
          <w:sz w:val="21"/>
          <w:szCs w:val="21"/>
        </w:rPr>
      </w:pPr>
      <w:r w:rsidRPr="0049575D">
        <w:rPr>
          <w:rFonts w:ascii="Times New Roman" w:hAnsi="Times New Roman" w:cs="Times New Roman"/>
          <w:sz w:val="21"/>
          <w:szCs w:val="21"/>
        </w:rPr>
        <w:t xml:space="preserve">In the </w:t>
      </w:r>
      <w:r w:rsidR="0053451C" w:rsidRPr="0049575D">
        <w:rPr>
          <w:rFonts w:ascii="Times New Roman" w:hAnsi="Times New Roman" w:cs="Times New Roman"/>
          <w:sz w:val="21"/>
          <w:szCs w:val="21"/>
        </w:rPr>
        <w:t>4th</w:t>
      </w:r>
      <w:r w:rsidRPr="0049575D">
        <w:rPr>
          <w:rFonts w:ascii="Times New Roman" w:hAnsi="Times New Roman" w:cs="Times New Roman"/>
          <w:sz w:val="21"/>
          <w:szCs w:val="21"/>
        </w:rPr>
        <w:t xml:space="preserve"> quarter of 2014, the Central Bank </w:t>
      </w:r>
      <w:r w:rsidR="00F42718" w:rsidRPr="0049575D">
        <w:rPr>
          <w:rFonts w:ascii="Times New Roman" w:hAnsi="Times New Roman" w:cs="Times New Roman"/>
          <w:sz w:val="21"/>
          <w:szCs w:val="21"/>
        </w:rPr>
        <w:t>had its monetary policy directions steered for the</w:t>
      </w:r>
      <w:r w:rsidR="00F42718">
        <w:rPr>
          <w:rFonts w:ascii="Times New Roman" w:hAnsi="Times New Roman" w:cs="Times New Roman"/>
          <w:sz w:val="21"/>
          <w:szCs w:val="21"/>
        </w:rPr>
        <w:t xml:space="preserve"> fulfillment of the inflation target </w:t>
      </w:r>
      <w:r w:rsidR="00F15101">
        <w:rPr>
          <w:rFonts w:ascii="Times New Roman" w:hAnsi="Times New Roman" w:cs="Times New Roman"/>
          <w:sz w:val="21"/>
          <w:szCs w:val="21"/>
        </w:rPr>
        <w:t xml:space="preserve">while </w:t>
      </w:r>
      <w:r w:rsidR="00F42718">
        <w:rPr>
          <w:rFonts w:ascii="Times New Roman" w:hAnsi="Times New Roman" w:cs="Times New Roman"/>
          <w:sz w:val="21"/>
          <w:szCs w:val="21"/>
        </w:rPr>
        <w:t xml:space="preserve">weathering </w:t>
      </w:r>
      <w:r w:rsidR="00F42718" w:rsidRPr="00F42718">
        <w:rPr>
          <w:rFonts w:ascii="Times New Roman" w:hAnsi="Times New Roman" w:cs="Times New Roman"/>
          <w:sz w:val="21"/>
          <w:szCs w:val="21"/>
        </w:rPr>
        <w:t xml:space="preserve">the </w:t>
      </w:r>
      <w:r w:rsidR="00F42718">
        <w:rPr>
          <w:rFonts w:ascii="Times New Roman" w:hAnsi="Times New Roman" w:cs="Times New Roman"/>
          <w:sz w:val="21"/>
          <w:szCs w:val="21"/>
        </w:rPr>
        <w:t xml:space="preserve">tension in the domestic </w:t>
      </w:r>
      <w:r w:rsidR="00F42718" w:rsidRPr="00F42718">
        <w:rPr>
          <w:rFonts w:ascii="Times New Roman" w:hAnsi="Times New Roman" w:cs="Times New Roman"/>
          <w:sz w:val="21"/>
          <w:szCs w:val="21"/>
        </w:rPr>
        <w:t xml:space="preserve">financial </w:t>
      </w:r>
      <w:r w:rsidR="00F42718">
        <w:rPr>
          <w:rFonts w:ascii="Times New Roman" w:hAnsi="Times New Roman" w:cs="Times New Roman"/>
          <w:sz w:val="21"/>
          <w:szCs w:val="21"/>
        </w:rPr>
        <w:t xml:space="preserve">and currency </w:t>
      </w:r>
      <w:r w:rsidR="00F42718" w:rsidRPr="00F42718">
        <w:rPr>
          <w:rFonts w:ascii="Times New Roman" w:hAnsi="Times New Roman" w:cs="Times New Roman"/>
          <w:sz w:val="21"/>
          <w:szCs w:val="21"/>
        </w:rPr>
        <w:lastRenderedPageBreak/>
        <w:t>market</w:t>
      </w:r>
      <w:r w:rsidR="00F42718">
        <w:rPr>
          <w:rFonts w:ascii="Times New Roman" w:hAnsi="Times New Roman" w:cs="Times New Roman"/>
          <w:sz w:val="21"/>
          <w:szCs w:val="21"/>
        </w:rPr>
        <w:t xml:space="preserve">s driven by the global economy and developments at the regional level. </w:t>
      </w:r>
      <w:r w:rsidR="00F15101">
        <w:rPr>
          <w:rFonts w:ascii="Times New Roman" w:hAnsi="Times New Roman" w:cs="Times New Roman"/>
          <w:sz w:val="21"/>
          <w:szCs w:val="21"/>
        </w:rPr>
        <w:t>The</w:t>
      </w:r>
      <w:r w:rsidR="00F42718" w:rsidRPr="00F42718">
        <w:rPr>
          <w:rFonts w:ascii="Times New Roman" w:hAnsi="Times New Roman" w:cs="Times New Roman"/>
          <w:sz w:val="21"/>
          <w:szCs w:val="21"/>
        </w:rPr>
        <w:t xml:space="preserve"> policy adjustment w</w:t>
      </w:r>
      <w:r w:rsidR="00F15101">
        <w:rPr>
          <w:rFonts w:ascii="Times New Roman" w:hAnsi="Times New Roman" w:cs="Times New Roman"/>
          <w:sz w:val="21"/>
          <w:szCs w:val="21"/>
        </w:rPr>
        <w:t xml:space="preserve">ent along with an active use of </w:t>
      </w:r>
      <w:r w:rsidR="00F15101" w:rsidRPr="00F42718">
        <w:rPr>
          <w:rFonts w:ascii="Times New Roman" w:hAnsi="Times New Roman" w:cs="Times New Roman"/>
          <w:sz w:val="21"/>
          <w:szCs w:val="21"/>
        </w:rPr>
        <w:t xml:space="preserve">monetary instruments </w:t>
      </w:r>
      <w:r w:rsidR="00F15101">
        <w:rPr>
          <w:rFonts w:ascii="Times New Roman" w:hAnsi="Times New Roman" w:cs="Times New Roman"/>
          <w:sz w:val="21"/>
          <w:szCs w:val="21"/>
        </w:rPr>
        <w:t>a</w:t>
      </w:r>
      <w:r w:rsidR="00F15101" w:rsidRPr="00F42718">
        <w:rPr>
          <w:rFonts w:ascii="Times New Roman" w:hAnsi="Times New Roman" w:cs="Times New Roman"/>
          <w:sz w:val="21"/>
          <w:szCs w:val="21"/>
        </w:rPr>
        <w:t xml:space="preserve">nd </w:t>
      </w:r>
      <w:r w:rsidR="00F15101">
        <w:rPr>
          <w:rFonts w:ascii="Times New Roman" w:hAnsi="Times New Roman" w:cs="Times New Roman"/>
          <w:sz w:val="21"/>
          <w:szCs w:val="21"/>
        </w:rPr>
        <w:t>frequent public</w:t>
      </w:r>
      <w:r w:rsidR="00F42718" w:rsidRPr="00F42718">
        <w:rPr>
          <w:rFonts w:ascii="Times New Roman" w:hAnsi="Times New Roman" w:cs="Times New Roman"/>
          <w:sz w:val="21"/>
          <w:szCs w:val="21"/>
        </w:rPr>
        <w:t xml:space="preserve"> statements.</w:t>
      </w:r>
      <w:r w:rsidR="00F42718">
        <w:rPr>
          <w:rFonts w:ascii="Times New Roman" w:hAnsi="Times New Roman" w:cs="Times New Roman"/>
          <w:sz w:val="21"/>
          <w:szCs w:val="21"/>
        </w:rPr>
        <w:t xml:space="preserve"> </w:t>
      </w:r>
    </w:p>
    <w:p w14:paraId="15EE55F4" w14:textId="0D3537E6" w:rsidR="00723483" w:rsidRDefault="006B120F"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fundamentals of the Armenian economy necessitated correction in the exchange rate of the domestic currency, and in late November the dram exchange rate </w:t>
      </w:r>
      <w:proofErr w:type="gramStart"/>
      <w:r>
        <w:rPr>
          <w:rFonts w:ascii="Times New Roman" w:hAnsi="Times New Roman" w:cs="Times New Roman"/>
          <w:sz w:val="21"/>
          <w:szCs w:val="21"/>
        </w:rPr>
        <w:t>was  depreciat</w:t>
      </w:r>
      <w:r w:rsidR="001C7F7D">
        <w:rPr>
          <w:rFonts w:ascii="Times New Roman" w:hAnsi="Times New Roman" w:cs="Times New Roman"/>
          <w:sz w:val="21"/>
          <w:szCs w:val="21"/>
        </w:rPr>
        <w:t>ed</w:t>
      </w:r>
      <w:proofErr w:type="gramEnd"/>
      <w:r w:rsidR="001C7F7D">
        <w:rPr>
          <w:rFonts w:ascii="Times New Roman" w:hAnsi="Times New Roman" w:cs="Times New Roman"/>
          <w:sz w:val="21"/>
          <w:szCs w:val="21"/>
        </w:rPr>
        <w:t xml:space="preserve"> to adjust. </w:t>
      </w:r>
      <w:r>
        <w:rPr>
          <w:rFonts w:ascii="Times New Roman" w:hAnsi="Times New Roman" w:cs="Times New Roman"/>
          <w:sz w:val="21"/>
          <w:szCs w:val="21"/>
        </w:rPr>
        <w:t>T</w:t>
      </w:r>
      <w:r w:rsidR="00F15101" w:rsidRPr="00F15101">
        <w:rPr>
          <w:rFonts w:ascii="Times New Roman" w:hAnsi="Times New Roman" w:cs="Times New Roman"/>
          <w:sz w:val="21"/>
          <w:szCs w:val="21"/>
        </w:rPr>
        <w:t xml:space="preserve">he </w:t>
      </w:r>
      <w:r>
        <w:rPr>
          <w:rFonts w:ascii="Times New Roman" w:hAnsi="Times New Roman" w:cs="Times New Roman"/>
          <w:sz w:val="21"/>
          <w:szCs w:val="21"/>
        </w:rPr>
        <w:t>C</w:t>
      </w:r>
      <w:r w:rsidR="00F15101" w:rsidRPr="00F15101">
        <w:rPr>
          <w:rFonts w:ascii="Times New Roman" w:hAnsi="Times New Roman" w:cs="Times New Roman"/>
          <w:sz w:val="21"/>
          <w:szCs w:val="21"/>
        </w:rPr>
        <w:t xml:space="preserve">entral </w:t>
      </w:r>
      <w:r>
        <w:rPr>
          <w:rFonts w:ascii="Times New Roman" w:hAnsi="Times New Roman" w:cs="Times New Roman"/>
          <w:sz w:val="21"/>
          <w:szCs w:val="21"/>
        </w:rPr>
        <w:t>B</w:t>
      </w:r>
      <w:r w:rsidR="00F15101" w:rsidRPr="00F15101">
        <w:rPr>
          <w:rFonts w:ascii="Times New Roman" w:hAnsi="Times New Roman" w:cs="Times New Roman"/>
          <w:sz w:val="21"/>
          <w:szCs w:val="21"/>
        </w:rPr>
        <w:t xml:space="preserve">ank and financial market participants evaluated </w:t>
      </w:r>
      <w:r>
        <w:rPr>
          <w:rFonts w:ascii="Times New Roman" w:hAnsi="Times New Roman" w:cs="Times New Roman"/>
          <w:sz w:val="21"/>
          <w:szCs w:val="21"/>
        </w:rPr>
        <w:t>and</w:t>
      </w:r>
      <w:r w:rsidR="00F15101" w:rsidRPr="00F15101">
        <w:rPr>
          <w:rFonts w:ascii="Times New Roman" w:hAnsi="Times New Roman" w:cs="Times New Roman"/>
          <w:sz w:val="21"/>
          <w:szCs w:val="21"/>
        </w:rPr>
        <w:t xml:space="preserve"> the Central Bank announced that the </w:t>
      </w:r>
      <w:r>
        <w:rPr>
          <w:rFonts w:ascii="Times New Roman" w:hAnsi="Times New Roman" w:cs="Times New Roman"/>
          <w:sz w:val="21"/>
          <w:szCs w:val="21"/>
        </w:rPr>
        <w:t xml:space="preserve">domestic </w:t>
      </w:r>
      <w:r w:rsidR="00F15101" w:rsidRPr="00F15101">
        <w:rPr>
          <w:rFonts w:ascii="Times New Roman" w:hAnsi="Times New Roman" w:cs="Times New Roman"/>
          <w:sz w:val="21"/>
          <w:szCs w:val="21"/>
        </w:rPr>
        <w:t xml:space="preserve">exchange rate </w:t>
      </w:r>
      <w:r>
        <w:rPr>
          <w:rFonts w:ascii="Times New Roman" w:hAnsi="Times New Roman" w:cs="Times New Roman"/>
          <w:sz w:val="21"/>
          <w:szCs w:val="21"/>
        </w:rPr>
        <w:t xml:space="preserve">had been </w:t>
      </w:r>
      <w:r w:rsidR="00F15101" w:rsidRPr="00F15101">
        <w:rPr>
          <w:rFonts w:ascii="Times New Roman" w:hAnsi="Times New Roman" w:cs="Times New Roman"/>
          <w:sz w:val="21"/>
          <w:szCs w:val="21"/>
        </w:rPr>
        <w:t>adjust</w:t>
      </w:r>
      <w:r>
        <w:rPr>
          <w:rFonts w:ascii="Times New Roman" w:hAnsi="Times New Roman" w:cs="Times New Roman"/>
          <w:sz w:val="21"/>
          <w:szCs w:val="21"/>
        </w:rPr>
        <w:t>ed and it</w:t>
      </w:r>
      <w:r w:rsidR="00173515" w:rsidRPr="00863CD6">
        <w:rPr>
          <w:rFonts w:ascii="Times New Roman" w:hAnsi="Times New Roman" w:cs="Times New Roman"/>
          <w:sz w:val="21"/>
          <w:szCs w:val="21"/>
        </w:rPr>
        <w:t>'</w:t>
      </w:r>
      <w:r>
        <w:rPr>
          <w:rFonts w:ascii="Times New Roman" w:hAnsi="Times New Roman" w:cs="Times New Roman"/>
          <w:sz w:val="21"/>
          <w:szCs w:val="21"/>
        </w:rPr>
        <w:t xml:space="preserve">s been on the path to stabilization. </w:t>
      </w:r>
      <w:r w:rsidR="00CA441D">
        <w:rPr>
          <w:rFonts w:ascii="Times New Roman" w:hAnsi="Times New Roman" w:cs="Times New Roman"/>
          <w:sz w:val="21"/>
          <w:szCs w:val="21"/>
        </w:rPr>
        <w:t xml:space="preserve">However, </w:t>
      </w:r>
      <w:r w:rsidR="00CA441D" w:rsidRPr="00F15101">
        <w:rPr>
          <w:rFonts w:ascii="Times New Roman" w:hAnsi="Times New Roman" w:cs="Times New Roman"/>
          <w:sz w:val="21"/>
          <w:szCs w:val="21"/>
        </w:rPr>
        <w:t xml:space="preserve">deteriorating economic situation </w:t>
      </w:r>
      <w:r w:rsidR="00CA441D">
        <w:rPr>
          <w:rFonts w:ascii="Times New Roman" w:hAnsi="Times New Roman" w:cs="Times New Roman"/>
          <w:sz w:val="21"/>
          <w:szCs w:val="21"/>
        </w:rPr>
        <w:t>in</w:t>
      </w:r>
      <w:r w:rsidR="00F15101" w:rsidRPr="00F15101">
        <w:rPr>
          <w:rFonts w:ascii="Times New Roman" w:hAnsi="Times New Roman" w:cs="Times New Roman"/>
          <w:sz w:val="21"/>
          <w:szCs w:val="21"/>
        </w:rPr>
        <w:t xml:space="preserve"> Russia in early December</w:t>
      </w:r>
      <w:r w:rsidR="00CA441D">
        <w:rPr>
          <w:rFonts w:ascii="Times New Roman" w:hAnsi="Times New Roman" w:cs="Times New Roman"/>
          <w:sz w:val="21"/>
          <w:szCs w:val="21"/>
        </w:rPr>
        <w:t xml:space="preserve"> brought in new depreciation pressures and </w:t>
      </w:r>
      <w:r w:rsidR="00F15101" w:rsidRPr="00F15101">
        <w:rPr>
          <w:rFonts w:ascii="Times New Roman" w:hAnsi="Times New Roman" w:cs="Times New Roman"/>
          <w:sz w:val="21"/>
          <w:szCs w:val="21"/>
        </w:rPr>
        <w:t xml:space="preserve">exchange rate volatility. </w:t>
      </w:r>
      <w:r w:rsidR="00CA441D">
        <w:rPr>
          <w:rFonts w:ascii="Times New Roman" w:hAnsi="Times New Roman" w:cs="Times New Roman"/>
          <w:sz w:val="21"/>
          <w:szCs w:val="21"/>
        </w:rPr>
        <w:t>This prompted t</w:t>
      </w:r>
      <w:r w:rsidR="00F15101" w:rsidRPr="00F15101">
        <w:rPr>
          <w:rFonts w:ascii="Times New Roman" w:hAnsi="Times New Roman" w:cs="Times New Roman"/>
          <w:sz w:val="21"/>
          <w:szCs w:val="21"/>
        </w:rPr>
        <w:t xml:space="preserve">he Central Bank </w:t>
      </w:r>
      <w:r w:rsidR="00CA441D">
        <w:rPr>
          <w:rFonts w:ascii="Times New Roman" w:hAnsi="Times New Roman" w:cs="Times New Roman"/>
          <w:sz w:val="21"/>
          <w:szCs w:val="21"/>
        </w:rPr>
        <w:t xml:space="preserve">to </w:t>
      </w:r>
      <w:r w:rsidR="00F15101" w:rsidRPr="00F15101">
        <w:rPr>
          <w:rFonts w:ascii="Times New Roman" w:hAnsi="Times New Roman" w:cs="Times New Roman"/>
          <w:sz w:val="21"/>
          <w:szCs w:val="21"/>
        </w:rPr>
        <w:t>issue a</w:t>
      </w:r>
      <w:r w:rsidR="00CA441D">
        <w:rPr>
          <w:rFonts w:ascii="Times New Roman" w:hAnsi="Times New Roman" w:cs="Times New Roman"/>
          <w:sz w:val="21"/>
          <w:szCs w:val="21"/>
        </w:rPr>
        <w:t>nother</w:t>
      </w:r>
      <w:r w:rsidR="00F15101" w:rsidRPr="00F15101">
        <w:rPr>
          <w:rFonts w:ascii="Times New Roman" w:hAnsi="Times New Roman" w:cs="Times New Roman"/>
          <w:sz w:val="21"/>
          <w:szCs w:val="21"/>
        </w:rPr>
        <w:t xml:space="preserve"> statement </w:t>
      </w:r>
      <w:r w:rsidR="00CA441D">
        <w:rPr>
          <w:rFonts w:ascii="Times New Roman" w:hAnsi="Times New Roman" w:cs="Times New Roman"/>
          <w:sz w:val="21"/>
          <w:szCs w:val="21"/>
        </w:rPr>
        <w:t xml:space="preserve">saying </w:t>
      </w:r>
      <w:r w:rsidR="00F15101" w:rsidRPr="00F15101">
        <w:rPr>
          <w:rFonts w:ascii="Times New Roman" w:hAnsi="Times New Roman" w:cs="Times New Roman"/>
          <w:sz w:val="21"/>
          <w:szCs w:val="21"/>
        </w:rPr>
        <w:t xml:space="preserve">that these phenomena are short-term in nature, and </w:t>
      </w:r>
      <w:r w:rsidR="00CA441D">
        <w:rPr>
          <w:rFonts w:ascii="Times New Roman" w:hAnsi="Times New Roman" w:cs="Times New Roman"/>
          <w:sz w:val="21"/>
          <w:szCs w:val="21"/>
        </w:rPr>
        <w:t xml:space="preserve">the </w:t>
      </w:r>
      <w:r w:rsidR="00F15101" w:rsidRPr="00F15101">
        <w:rPr>
          <w:rFonts w:ascii="Times New Roman" w:hAnsi="Times New Roman" w:cs="Times New Roman"/>
          <w:sz w:val="21"/>
          <w:szCs w:val="21"/>
        </w:rPr>
        <w:t xml:space="preserve">Central Bank reserves are sufficient to </w:t>
      </w:r>
      <w:r w:rsidR="00CA441D">
        <w:rPr>
          <w:rFonts w:ascii="Times New Roman" w:hAnsi="Times New Roman" w:cs="Times New Roman"/>
          <w:sz w:val="21"/>
          <w:szCs w:val="21"/>
        </w:rPr>
        <w:t>prevent</w:t>
      </w:r>
      <w:r w:rsidR="00F15101" w:rsidRPr="00F15101">
        <w:rPr>
          <w:rFonts w:ascii="Times New Roman" w:hAnsi="Times New Roman" w:cs="Times New Roman"/>
          <w:sz w:val="21"/>
          <w:szCs w:val="21"/>
        </w:rPr>
        <w:t xml:space="preserve"> all kinds of artificial exchange rate fluctuations and </w:t>
      </w:r>
      <w:r w:rsidR="00CA441D">
        <w:rPr>
          <w:rFonts w:ascii="Times New Roman" w:hAnsi="Times New Roman" w:cs="Times New Roman"/>
          <w:sz w:val="21"/>
          <w:szCs w:val="21"/>
        </w:rPr>
        <w:t>maintain the</w:t>
      </w:r>
      <w:r w:rsidR="00F15101" w:rsidRPr="00F15101">
        <w:rPr>
          <w:rFonts w:ascii="Times New Roman" w:hAnsi="Times New Roman" w:cs="Times New Roman"/>
          <w:sz w:val="21"/>
          <w:szCs w:val="21"/>
        </w:rPr>
        <w:t xml:space="preserve"> financial stability. </w:t>
      </w:r>
      <w:r w:rsidR="00F15101" w:rsidRPr="00723483">
        <w:rPr>
          <w:rFonts w:ascii="Times New Roman" w:hAnsi="Times New Roman" w:cs="Times New Roman"/>
          <w:b/>
          <w:sz w:val="21"/>
          <w:szCs w:val="21"/>
        </w:rPr>
        <w:t xml:space="preserve">To this end, </w:t>
      </w:r>
      <w:r w:rsidR="00CA441D" w:rsidRPr="00723483">
        <w:rPr>
          <w:rFonts w:ascii="Times New Roman" w:hAnsi="Times New Roman" w:cs="Times New Roman"/>
          <w:b/>
          <w:sz w:val="21"/>
          <w:szCs w:val="21"/>
        </w:rPr>
        <w:t xml:space="preserve">the </w:t>
      </w:r>
      <w:r w:rsidR="00F15101" w:rsidRPr="00723483">
        <w:rPr>
          <w:rFonts w:ascii="Times New Roman" w:hAnsi="Times New Roman" w:cs="Times New Roman"/>
          <w:b/>
          <w:sz w:val="21"/>
          <w:szCs w:val="21"/>
        </w:rPr>
        <w:t>C</w:t>
      </w:r>
      <w:r w:rsidR="00CA441D" w:rsidRPr="00723483">
        <w:rPr>
          <w:rFonts w:ascii="Times New Roman" w:hAnsi="Times New Roman" w:cs="Times New Roman"/>
          <w:b/>
          <w:sz w:val="21"/>
          <w:szCs w:val="21"/>
        </w:rPr>
        <w:t xml:space="preserve">entral Bank successfully </w:t>
      </w:r>
      <w:r w:rsidR="001C7F7D">
        <w:rPr>
          <w:rFonts w:ascii="Times New Roman" w:hAnsi="Times New Roman" w:cs="Times New Roman"/>
          <w:b/>
          <w:sz w:val="21"/>
          <w:szCs w:val="21"/>
        </w:rPr>
        <w:t>manag</w:t>
      </w:r>
      <w:r w:rsidR="001C7F7D" w:rsidRPr="00723483">
        <w:rPr>
          <w:rFonts w:ascii="Times New Roman" w:hAnsi="Times New Roman" w:cs="Times New Roman"/>
          <w:b/>
          <w:sz w:val="21"/>
          <w:szCs w:val="21"/>
        </w:rPr>
        <w:t xml:space="preserve">ed </w:t>
      </w:r>
      <w:r w:rsidR="00CA441D" w:rsidRPr="00723483">
        <w:rPr>
          <w:rFonts w:ascii="Times New Roman" w:hAnsi="Times New Roman" w:cs="Times New Roman"/>
          <w:b/>
          <w:sz w:val="21"/>
          <w:szCs w:val="21"/>
        </w:rPr>
        <w:t xml:space="preserve">the dram </w:t>
      </w:r>
      <w:r w:rsidR="00F15101" w:rsidRPr="00723483">
        <w:rPr>
          <w:rFonts w:ascii="Times New Roman" w:hAnsi="Times New Roman" w:cs="Times New Roman"/>
          <w:b/>
          <w:sz w:val="21"/>
          <w:szCs w:val="21"/>
        </w:rPr>
        <w:t>liquidity</w:t>
      </w:r>
      <w:r w:rsidR="00CA441D" w:rsidRPr="00723483">
        <w:rPr>
          <w:rFonts w:ascii="Times New Roman" w:hAnsi="Times New Roman" w:cs="Times New Roman"/>
          <w:b/>
          <w:sz w:val="21"/>
          <w:szCs w:val="21"/>
        </w:rPr>
        <w:t xml:space="preserve"> at the time by raising the Lombard Repo Facility rate a total of two times up to 21%</w:t>
      </w:r>
      <w:r w:rsidR="00723483">
        <w:rPr>
          <w:rFonts w:ascii="Times New Roman" w:hAnsi="Times New Roman" w:cs="Times New Roman"/>
          <w:sz w:val="21"/>
          <w:szCs w:val="21"/>
        </w:rPr>
        <w:t xml:space="preserve">. </w:t>
      </w:r>
    </w:p>
    <w:p w14:paraId="73643DC4" w14:textId="77777777" w:rsidR="00461A1D" w:rsidRPr="00461A1D" w:rsidRDefault="00461A1D" w:rsidP="00A9653E">
      <w:pPr>
        <w:spacing w:line="360" w:lineRule="auto"/>
        <w:jc w:val="both"/>
        <w:rPr>
          <w:rFonts w:ascii="Times New Roman" w:hAnsi="Times New Roman" w:cs="Times New Roman"/>
          <w:b/>
          <w:color w:val="0070C0"/>
          <w:sz w:val="18"/>
          <w:szCs w:val="18"/>
        </w:rPr>
      </w:pPr>
      <w:r w:rsidRPr="00461A1D">
        <w:rPr>
          <w:rFonts w:ascii="Times New Roman" w:hAnsi="Times New Roman" w:cs="Times New Roman"/>
          <w:b/>
          <w:color w:val="0070C0"/>
          <w:sz w:val="18"/>
          <w:szCs w:val="18"/>
        </w:rPr>
        <w:t>For the first time in recent years, the reserve requirement mechanism was used as a monetary policy instrument to regulate the liquidity by raising the reserve requirement ratio with regard to funds attracted in foreign currency from 12% to 24%...</w:t>
      </w:r>
    </w:p>
    <w:p w14:paraId="67A27705" w14:textId="4CDCDB71" w:rsidR="00043848" w:rsidRDefault="00723483"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E</w:t>
      </w:r>
      <w:r w:rsidRPr="00723483">
        <w:rPr>
          <w:rFonts w:ascii="Times New Roman" w:hAnsi="Times New Roman" w:cs="Times New Roman"/>
          <w:sz w:val="21"/>
          <w:szCs w:val="21"/>
        </w:rPr>
        <w:t xml:space="preserve">xpectations </w:t>
      </w:r>
      <w:r>
        <w:rPr>
          <w:rFonts w:ascii="Times New Roman" w:hAnsi="Times New Roman" w:cs="Times New Roman"/>
          <w:sz w:val="21"/>
          <w:szCs w:val="21"/>
        </w:rPr>
        <w:t xml:space="preserve">for </w:t>
      </w:r>
      <w:r w:rsidR="00F05FE4">
        <w:rPr>
          <w:rFonts w:ascii="Times New Roman" w:hAnsi="Times New Roman" w:cs="Times New Roman"/>
          <w:sz w:val="21"/>
          <w:szCs w:val="21"/>
        </w:rPr>
        <w:t xml:space="preserve">dram </w:t>
      </w:r>
      <w:r>
        <w:rPr>
          <w:rFonts w:ascii="Times New Roman" w:hAnsi="Times New Roman" w:cs="Times New Roman"/>
          <w:sz w:val="21"/>
          <w:szCs w:val="21"/>
        </w:rPr>
        <w:t>depreciati</w:t>
      </w:r>
      <w:r w:rsidR="00F05FE4">
        <w:rPr>
          <w:rFonts w:ascii="Times New Roman" w:hAnsi="Times New Roman" w:cs="Times New Roman"/>
          <w:sz w:val="21"/>
          <w:szCs w:val="21"/>
        </w:rPr>
        <w:t>o</w:t>
      </w:r>
      <w:r>
        <w:rPr>
          <w:rFonts w:ascii="Times New Roman" w:hAnsi="Times New Roman" w:cs="Times New Roman"/>
          <w:sz w:val="21"/>
          <w:szCs w:val="21"/>
        </w:rPr>
        <w:t xml:space="preserve">ncontinued </w:t>
      </w:r>
      <w:r w:rsidR="00F05FE4">
        <w:rPr>
          <w:rFonts w:ascii="Times New Roman" w:hAnsi="Times New Roman" w:cs="Times New Roman"/>
          <w:sz w:val="21"/>
          <w:szCs w:val="21"/>
        </w:rPr>
        <w:t xml:space="preserve">while </w:t>
      </w:r>
      <w:r>
        <w:rPr>
          <w:rFonts w:ascii="Times New Roman" w:hAnsi="Times New Roman" w:cs="Times New Roman"/>
          <w:sz w:val="21"/>
          <w:szCs w:val="21"/>
        </w:rPr>
        <w:t xml:space="preserve">pressures coming from the </w:t>
      </w:r>
      <w:r w:rsidRPr="00723483">
        <w:rPr>
          <w:rFonts w:ascii="Times New Roman" w:hAnsi="Times New Roman" w:cs="Times New Roman"/>
          <w:sz w:val="21"/>
          <w:szCs w:val="21"/>
        </w:rPr>
        <w:t>Russian financial market</w:t>
      </w:r>
      <w:r w:rsidR="00F05FE4">
        <w:rPr>
          <w:rFonts w:ascii="Times New Roman" w:hAnsi="Times New Roman" w:cs="Times New Roman"/>
          <w:sz w:val="21"/>
          <w:szCs w:val="21"/>
        </w:rPr>
        <w:t xml:space="preserve"> were intensifying</w:t>
      </w:r>
      <w:r w:rsidR="000434BD">
        <w:rPr>
          <w:rFonts w:ascii="Times New Roman" w:hAnsi="Times New Roman" w:cs="Times New Roman"/>
          <w:sz w:val="21"/>
          <w:szCs w:val="21"/>
        </w:rPr>
        <w:t>. To handle t</w:t>
      </w:r>
      <w:r w:rsidRPr="00723483">
        <w:rPr>
          <w:rFonts w:ascii="Times New Roman" w:hAnsi="Times New Roman" w:cs="Times New Roman"/>
          <w:sz w:val="21"/>
          <w:szCs w:val="21"/>
        </w:rPr>
        <w:t>he situation, smooth</w:t>
      </w:r>
      <w:r w:rsidR="000434BD">
        <w:rPr>
          <w:rFonts w:ascii="Times New Roman" w:hAnsi="Times New Roman" w:cs="Times New Roman"/>
          <w:sz w:val="21"/>
          <w:szCs w:val="21"/>
        </w:rPr>
        <w:t xml:space="preserve"> out</w:t>
      </w:r>
      <w:r w:rsidRPr="00723483">
        <w:rPr>
          <w:rFonts w:ascii="Times New Roman" w:hAnsi="Times New Roman" w:cs="Times New Roman"/>
          <w:sz w:val="21"/>
          <w:szCs w:val="21"/>
        </w:rPr>
        <w:t xml:space="preserve"> </w:t>
      </w:r>
      <w:r w:rsidR="000434BD">
        <w:rPr>
          <w:rFonts w:ascii="Times New Roman" w:hAnsi="Times New Roman" w:cs="Times New Roman"/>
          <w:sz w:val="21"/>
          <w:szCs w:val="21"/>
        </w:rPr>
        <w:t>the exchange rate</w:t>
      </w:r>
      <w:r w:rsidRPr="00723483">
        <w:rPr>
          <w:rFonts w:ascii="Times New Roman" w:hAnsi="Times New Roman" w:cs="Times New Roman"/>
          <w:sz w:val="21"/>
          <w:szCs w:val="21"/>
        </w:rPr>
        <w:t xml:space="preserve"> fluctuations</w:t>
      </w:r>
      <w:r w:rsidR="000434BD">
        <w:rPr>
          <w:rFonts w:ascii="Times New Roman" w:hAnsi="Times New Roman" w:cs="Times New Roman"/>
          <w:sz w:val="21"/>
          <w:szCs w:val="21"/>
        </w:rPr>
        <w:t xml:space="preserve"> and </w:t>
      </w:r>
      <w:r w:rsidR="00402E04">
        <w:rPr>
          <w:rFonts w:ascii="Times New Roman" w:hAnsi="Times New Roman" w:cs="Times New Roman"/>
          <w:sz w:val="21"/>
          <w:szCs w:val="21"/>
        </w:rPr>
        <w:t xml:space="preserve">go back to </w:t>
      </w:r>
      <w:r w:rsidR="000434BD">
        <w:rPr>
          <w:rFonts w:ascii="Times New Roman" w:hAnsi="Times New Roman" w:cs="Times New Roman"/>
          <w:sz w:val="21"/>
          <w:szCs w:val="21"/>
        </w:rPr>
        <w:t xml:space="preserve">the </w:t>
      </w:r>
      <w:r w:rsidR="000434BD" w:rsidRPr="00723483">
        <w:rPr>
          <w:rFonts w:ascii="Times New Roman" w:hAnsi="Times New Roman" w:cs="Times New Roman"/>
          <w:sz w:val="21"/>
          <w:szCs w:val="21"/>
        </w:rPr>
        <w:t xml:space="preserve">balance </w:t>
      </w:r>
      <w:r w:rsidRPr="00723483">
        <w:rPr>
          <w:rFonts w:ascii="Times New Roman" w:hAnsi="Times New Roman" w:cs="Times New Roman"/>
          <w:sz w:val="21"/>
          <w:szCs w:val="21"/>
        </w:rPr>
        <w:t>in the foreign exchange market</w:t>
      </w:r>
      <w:r w:rsidR="000434BD">
        <w:rPr>
          <w:rFonts w:ascii="Times New Roman" w:hAnsi="Times New Roman" w:cs="Times New Roman"/>
          <w:sz w:val="21"/>
          <w:szCs w:val="21"/>
        </w:rPr>
        <w:t>,</w:t>
      </w:r>
      <w:r w:rsidRPr="00723483">
        <w:rPr>
          <w:rFonts w:ascii="Times New Roman" w:hAnsi="Times New Roman" w:cs="Times New Roman"/>
          <w:sz w:val="21"/>
          <w:szCs w:val="21"/>
        </w:rPr>
        <w:t xml:space="preserve"> the Central Bank </w:t>
      </w:r>
      <w:r w:rsidR="000434BD">
        <w:rPr>
          <w:rFonts w:ascii="Times New Roman" w:hAnsi="Times New Roman" w:cs="Times New Roman"/>
          <w:sz w:val="21"/>
          <w:szCs w:val="21"/>
        </w:rPr>
        <w:t>took</w:t>
      </w:r>
      <w:r w:rsidRPr="00723483">
        <w:rPr>
          <w:rFonts w:ascii="Times New Roman" w:hAnsi="Times New Roman" w:cs="Times New Roman"/>
          <w:sz w:val="21"/>
          <w:szCs w:val="21"/>
        </w:rPr>
        <w:t xml:space="preserve"> a new approach to </w:t>
      </w:r>
      <w:r w:rsidR="000434BD">
        <w:rPr>
          <w:rFonts w:ascii="Times New Roman" w:hAnsi="Times New Roman" w:cs="Times New Roman"/>
          <w:sz w:val="21"/>
          <w:szCs w:val="21"/>
        </w:rPr>
        <w:t xml:space="preserve">selling foreign currency through </w:t>
      </w:r>
      <w:r w:rsidRPr="00723483">
        <w:rPr>
          <w:rFonts w:ascii="Times New Roman" w:hAnsi="Times New Roman" w:cs="Times New Roman"/>
          <w:sz w:val="21"/>
          <w:szCs w:val="21"/>
        </w:rPr>
        <w:t>daily currency auction</w:t>
      </w:r>
      <w:r w:rsidR="000434BD">
        <w:rPr>
          <w:rFonts w:ascii="Times New Roman" w:hAnsi="Times New Roman" w:cs="Times New Roman"/>
          <w:sz w:val="21"/>
          <w:szCs w:val="21"/>
        </w:rPr>
        <w:t>s</w:t>
      </w:r>
      <w:r w:rsidR="009A20AB">
        <w:rPr>
          <w:rFonts w:ascii="Times New Roman" w:hAnsi="Times New Roman" w:cs="Times New Roman"/>
          <w:sz w:val="21"/>
          <w:szCs w:val="21"/>
        </w:rPr>
        <w:t xml:space="preserve">, </w:t>
      </w:r>
      <w:r w:rsidR="00402E04">
        <w:rPr>
          <w:rFonts w:ascii="Times New Roman" w:hAnsi="Times New Roman" w:cs="Times New Roman"/>
          <w:sz w:val="21"/>
          <w:szCs w:val="21"/>
        </w:rPr>
        <w:t>using</w:t>
      </w:r>
      <w:r w:rsidR="009A20AB">
        <w:rPr>
          <w:rFonts w:ascii="Times New Roman" w:hAnsi="Times New Roman" w:cs="Times New Roman"/>
          <w:sz w:val="21"/>
          <w:szCs w:val="21"/>
        </w:rPr>
        <w:t xml:space="preserve"> </w:t>
      </w:r>
      <w:r w:rsidR="00402E04">
        <w:rPr>
          <w:rFonts w:ascii="Times New Roman" w:hAnsi="Times New Roman" w:cs="Times New Roman"/>
          <w:sz w:val="21"/>
          <w:szCs w:val="21"/>
        </w:rPr>
        <w:t xml:space="preserve">the </w:t>
      </w:r>
      <w:r w:rsidR="009A20AB">
        <w:rPr>
          <w:rFonts w:ascii="Times New Roman" w:hAnsi="Times New Roman" w:cs="Times New Roman"/>
          <w:sz w:val="21"/>
          <w:szCs w:val="21"/>
        </w:rPr>
        <w:t>pre</w:t>
      </w:r>
      <w:r w:rsidRPr="00723483">
        <w:rPr>
          <w:rFonts w:ascii="Times New Roman" w:hAnsi="Times New Roman" w:cs="Times New Roman"/>
          <w:sz w:val="21"/>
          <w:szCs w:val="21"/>
        </w:rPr>
        <w:t xml:space="preserve">announced </w:t>
      </w:r>
      <w:r w:rsidR="00402E04" w:rsidRPr="00723483">
        <w:rPr>
          <w:rFonts w:ascii="Times New Roman" w:hAnsi="Times New Roman" w:cs="Times New Roman"/>
          <w:sz w:val="21"/>
          <w:szCs w:val="21"/>
        </w:rPr>
        <w:t>highest</w:t>
      </w:r>
      <w:r w:rsidRPr="00723483">
        <w:rPr>
          <w:rFonts w:ascii="Times New Roman" w:hAnsi="Times New Roman" w:cs="Times New Roman"/>
          <w:sz w:val="21"/>
          <w:szCs w:val="21"/>
        </w:rPr>
        <w:t xml:space="preserve"> </w:t>
      </w:r>
      <w:r w:rsidR="009A20AB">
        <w:rPr>
          <w:rFonts w:ascii="Times New Roman" w:hAnsi="Times New Roman" w:cs="Times New Roman"/>
          <w:sz w:val="21"/>
          <w:szCs w:val="21"/>
        </w:rPr>
        <w:t xml:space="preserve">lots. </w:t>
      </w:r>
      <w:r w:rsidRPr="00723483">
        <w:rPr>
          <w:rFonts w:ascii="Times New Roman" w:hAnsi="Times New Roman" w:cs="Times New Roman"/>
          <w:sz w:val="21"/>
          <w:szCs w:val="21"/>
        </w:rPr>
        <w:t xml:space="preserve">The </w:t>
      </w:r>
      <w:r w:rsidR="009A20AB">
        <w:rPr>
          <w:rFonts w:ascii="Times New Roman" w:hAnsi="Times New Roman" w:cs="Times New Roman"/>
          <w:sz w:val="21"/>
          <w:szCs w:val="21"/>
        </w:rPr>
        <w:t xml:space="preserve">information on the results of currency auction was </w:t>
      </w:r>
      <w:r w:rsidRPr="00723483">
        <w:rPr>
          <w:rFonts w:ascii="Times New Roman" w:hAnsi="Times New Roman" w:cs="Times New Roman"/>
          <w:sz w:val="21"/>
          <w:szCs w:val="21"/>
        </w:rPr>
        <w:t>publishe</w:t>
      </w:r>
      <w:r w:rsidR="009A20AB">
        <w:rPr>
          <w:rFonts w:ascii="Times New Roman" w:hAnsi="Times New Roman" w:cs="Times New Roman"/>
          <w:sz w:val="21"/>
          <w:szCs w:val="21"/>
        </w:rPr>
        <w:t>d</w:t>
      </w:r>
      <w:r w:rsidRPr="00723483">
        <w:rPr>
          <w:rFonts w:ascii="Times New Roman" w:hAnsi="Times New Roman" w:cs="Times New Roman"/>
          <w:sz w:val="21"/>
          <w:szCs w:val="21"/>
        </w:rPr>
        <w:t xml:space="preserve"> </w:t>
      </w:r>
      <w:r w:rsidR="009A20AB">
        <w:rPr>
          <w:rFonts w:ascii="Times New Roman" w:hAnsi="Times New Roman" w:cs="Times New Roman"/>
          <w:sz w:val="21"/>
          <w:szCs w:val="21"/>
        </w:rPr>
        <w:t xml:space="preserve">on a </w:t>
      </w:r>
      <w:r w:rsidRPr="00723483">
        <w:rPr>
          <w:rFonts w:ascii="Times New Roman" w:hAnsi="Times New Roman" w:cs="Times New Roman"/>
          <w:sz w:val="21"/>
          <w:szCs w:val="21"/>
        </w:rPr>
        <w:t>daily basis</w:t>
      </w:r>
      <w:r w:rsidR="009A20AB">
        <w:rPr>
          <w:rFonts w:ascii="Times New Roman" w:hAnsi="Times New Roman" w:cs="Times New Roman"/>
          <w:sz w:val="21"/>
          <w:szCs w:val="21"/>
        </w:rPr>
        <w:t xml:space="preserve">. </w:t>
      </w:r>
      <w:r w:rsidRPr="00723483">
        <w:rPr>
          <w:rFonts w:ascii="Times New Roman" w:hAnsi="Times New Roman" w:cs="Times New Roman"/>
          <w:sz w:val="21"/>
          <w:szCs w:val="21"/>
        </w:rPr>
        <w:t xml:space="preserve">In an effort to </w:t>
      </w:r>
      <w:r w:rsidR="003D4059" w:rsidRPr="00723483">
        <w:rPr>
          <w:rFonts w:ascii="Times New Roman" w:hAnsi="Times New Roman" w:cs="Times New Roman"/>
          <w:sz w:val="21"/>
          <w:szCs w:val="21"/>
        </w:rPr>
        <w:t>lessen</w:t>
      </w:r>
      <w:r w:rsidRPr="00723483">
        <w:rPr>
          <w:rFonts w:ascii="Times New Roman" w:hAnsi="Times New Roman" w:cs="Times New Roman"/>
          <w:sz w:val="21"/>
          <w:szCs w:val="21"/>
        </w:rPr>
        <w:t xml:space="preserve"> the impact of </w:t>
      </w:r>
      <w:r w:rsidR="009A20AB">
        <w:rPr>
          <w:rFonts w:ascii="Times New Roman" w:hAnsi="Times New Roman" w:cs="Times New Roman"/>
          <w:sz w:val="21"/>
          <w:szCs w:val="21"/>
        </w:rPr>
        <w:t>the Central Bank on the dram</w:t>
      </w:r>
      <w:r w:rsidRPr="00723483">
        <w:rPr>
          <w:rFonts w:ascii="Times New Roman" w:hAnsi="Times New Roman" w:cs="Times New Roman"/>
          <w:sz w:val="21"/>
          <w:szCs w:val="21"/>
        </w:rPr>
        <w:t xml:space="preserve"> exchange rate</w:t>
      </w:r>
      <w:r w:rsidR="009A20AB">
        <w:rPr>
          <w:rFonts w:ascii="Times New Roman" w:hAnsi="Times New Roman" w:cs="Times New Roman"/>
          <w:sz w:val="21"/>
          <w:szCs w:val="21"/>
        </w:rPr>
        <w:t xml:space="preserve">, </w:t>
      </w:r>
      <w:r w:rsidRPr="00723483">
        <w:rPr>
          <w:rFonts w:ascii="Times New Roman" w:hAnsi="Times New Roman" w:cs="Times New Roman"/>
          <w:sz w:val="21"/>
          <w:szCs w:val="21"/>
        </w:rPr>
        <w:t xml:space="preserve">the planned </w:t>
      </w:r>
      <w:r w:rsidR="003D4059" w:rsidRPr="00723483">
        <w:rPr>
          <w:rFonts w:ascii="Times New Roman" w:hAnsi="Times New Roman" w:cs="Times New Roman"/>
          <w:sz w:val="21"/>
          <w:szCs w:val="21"/>
        </w:rPr>
        <w:t>daily intervention volume</w:t>
      </w:r>
      <w:r w:rsidR="003D4059">
        <w:rPr>
          <w:rFonts w:ascii="Times New Roman" w:hAnsi="Times New Roman" w:cs="Times New Roman"/>
          <w:sz w:val="21"/>
          <w:szCs w:val="21"/>
        </w:rPr>
        <w:t xml:space="preserve">s were reduced phase by phase to return to an acceptable level for the exchange rate. </w:t>
      </w:r>
      <w:r w:rsidR="00277109">
        <w:rPr>
          <w:rFonts w:ascii="Times New Roman" w:hAnsi="Times New Roman" w:cs="Times New Roman"/>
          <w:sz w:val="21"/>
          <w:szCs w:val="21"/>
        </w:rPr>
        <w:t xml:space="preserve">It should also be noted that, </w:t>
      </w:r>
      <w:r w:rsidR="00277109" w:rsidRPr="00277109">
        <w:rPr>
          <w:rFonts w:ascii="Times New Roman" w:hAnsi="Times New Roman" w:cs="Times New Roman"/>
          <w:b/>
          <w:sz w:val="21"/>
          <w:szCs w:val="21"/>
        </w:rPr>
        <w:t xml:space="preserve">for the first time in recent years, </w:t>
      </w:r>
      <w:r w:rsidRPr="00277109">
        <w:rPr>
          <w:rFonts w:ascii="Times New Roman" w:hAnsi="Times New Roman" w:cs="Times New Roman"/>
          <w:b/>
          <w:sz w:val="21"/>
          <w:szCs w:val="21"/>
        </w:rPr>
        <w:t xml:space="preserve">the Central Bank </w:t>
      </w:r>
      <w:r w:rsidR="00277109" w:rsidRPr="00277109">
        <w:rPr>
          <w:rFonts w:ascii="Times New Roman" w:hAnsi="Times New Roman" w:cs="Times New Roman"/>
          <w:b/>
          <w:sz w:val="21"/>
          <w:szCs w:val="21"/>
        </w:rPr>
        <w:t xml:space="preserve">used the </w:t>
      </w:r>
      <w:r w:rsidRPr="00277109">
        <w:rPr>
          <w:rFonts w:ascii="Times New Roman" w:hAnsi="Times New Roman" w:cs="Times New Roman"/>
          <w:b/>
          <w:sz w:val="21"/>
          <w:szCs w:val="21"/>
        </w:rPr>
        <w:t>reserve requirement</w:t>
      </w:r>
      <w:r w:rsidR="00277109" w:rsidRPr="00277109">
        <w:rPr>
          <w:rFonts w:ascii="Times New Roman" w:hAnsi="Times New Roman" w:cs="Times New Roman"/>
          <w:b/>
          <w:sz w:val="21"/>
          <w:szCs w:val="21"/>
        </w:rPr>
        <w:t xml:space="preserve"> mechanism as a monetary policy tool for </w:t>
      </w:r>
      <w:r w:rsidR="00F05FE4">
        <w:rPr>
          <w:rFonts w:ascii="Times New Roman" w:hAnsi="Times New Roman" w:cs="Times New Roman"/>
          <w:b/>
          <w:sz w:val="21"/>
          <w:szCs w:val="21"/>
        </w:rPr>
        <w:t xml:space="preserve">managing </w:t>
      </w:r>
      <w:r w:rsidR="00277109" w:rsidRPr="00277109">
        <w:rPr>
          <w:rFonts w:ascii="Times New Roman" w:hAnsi="Times New Roman" w:cs="Times New Roman"/>
          <w:b/>
          <w:sz w:val="21"/>
          <w:szCs w:val="21"/>
        </w:rPr>
        <w:t>the liquidity by raising the reserve requirement ratio with regard to funds attracted in foreign currency from 12</w:t>
      </w:r>
      <w:r w:rsidR="00277109">
        <w:rPr>
          <w:rFonts w:ascii="Times New Roman" w:hAnsi="Times New Roman" w:cs="Times New Roman"/>
          <w:b/>
          <w:sz w:val="21"/>
          <w:szCs w:val="21"/>
        </w:rPr>
        <w:t>%</w:t>
      </w:r>
      <w:r w:rsidR="00277109" w:rsidRPr="00277109">
        <w:rPr>
          <w:rFonts w:ascii="Times New Roman" w:hAnsi="Times New Roman" w:cs="Times New Roman"/>
          <w:b/>
          <w:sz w:val="21"/>
          <w:szCs w:val="21"/>
        </w:rPr>
        <w:t xml:space="preserve"> to 24%</w:t>
      </w:r>
      <w:r w:rsidR="00277109" w:rsidRPr="00277109">
        <w:rPr>
          <w:rFonts w:ascii="Times New Roman" w:hAnsi="Times New Roman" w:cs="Times New Roman"/>
          <w:sz w:val="21"/>
          <w:szCs w:val="21"/>
        </w:rPr>
        <w:t>.</w:t>
      </w:r>
      <w:r w:rsidR="00277109">
        <w:rPr>
          <w:rFonts w:ascii="Times New Roman" w:hAnsi="Times New Roman" w:cs="Times New Roman"/>
          <w:sz w:val="21"/>
          <w:szCs w:val="21"/>
        </w:rPr>
        <w:t xml:space="preserve"> To satisfy the </w:t>
      </w:r>
      <w:r w:rsidR="00277109" w:rsidRPr="00723483">
        <w:rPr>
          <w:rFonts w:ascii="Times New Roman" w:hAnsi="Times New Roman" w:cs="Times New Roman"/>
          <w:sz w:val="21"/>
          <w:szCs w:val="21"/>
        </w:rPr>
        <w:t>demand for the U</w:t>
      </w:r>
      <w:r w:rsidR="00277109">
        <w:rPr>
          <w:rFonts w:ascii="Times New Roman" w:hAnsi="Times New Roman" w:cs="Times New Roman"/>
          <w:sz w:val="21"/>
          <w:szCs w:val="21"/>
        </w:rPr>
        <w:t>.</w:t>
      </w:r>
      <w:r w:rsidR="00277109" w:rsidRPr="00723483">
        <w:rPr>
          <w:rFonts w:ascii="Times New Roman" w:hAnsi="Times New Roman" w:cs="Times New Roman"/>
          <w:sz w:val="21"/>
          <w:szCs w:val="21"/>
        </w:rPr>
        <w:t>S</w:t>
      </w:r>
      <w:r w:rsidR="00277109">
        <w:rPr>
          <w:rFonts w:ascii="Times New Roman" w:hAnsi="Times New Roman" w:cs="Times New Roman"/>
          <w:sz w:val="21"/>
          <w:szCs w:val="21"/>
        </w:rPr>
        <w:t>.</w:t>
      </w:r>
      <w:r w:rsidR="00277109" w:rsidRPr="00723483">
        <w:rPr>
          <w:rFonts w:ascii="Times New Roman" w:hAnsi="Times New Roman" w:cs="Times New Roman"/>
          <w:sz w:val="21"/>
          <w:szCs w:val="21"/>
        </w:rPr>
        <w:t xml:space="preserve"> dollar</w:t>
      </w:r>
      <w:r w:rsidR="00277109">
        <w:rPr>
          <w:rFonts w:ascii="Times New Roman" w:hAnsi="Times New Roman" w:cs="Times New Roman"/>
          <w:sz w:val="21"/>
          <w:szCs w:val="21"/>
        </w:rPr>
        <w:t xml:space="preserve">, </w:t>
      </w:r>
      <w:r w:rsidRPr="00723483">
        <w:rPr>
          <w:rFonts w:ascii="Times New Roman" w:hAnsi="Times New Roman" w:cs="Times New Roman"/>
          <w:sz w:val="21"/>
          <w:szCs w:val="21"/>
        </w:rPr>
        <w:t xml:space="preserve">the Central Bank announced </w:t>
      </w:r>
      <w:r w:rsidR="00043848">
        <w:rPr>
          <w:rFonts w:ascii="Times New Roman" w:hAnsi="Times New Roman" w:cs="Times New Roman"/>
          <w:sz w:val="21"/>
          <w:szCs w:val="21"/>
        </w:rPr>
        <w:t xml:space="preserve">and carried out </w:t>
      </w:r>
      <w:r w:rsidR="00043848" w:rsidRPr="00723483">
        <w:rPr>
          <w:rFonts w:ascii="Times New Roman" w:hAnsi="Times New Roman" w:cs="Times New Roman"/>
          <w:sz w:val="21"/>
          <w:szCs w:val="21"/>
        </w:rPr>
        <w:t xml:space="preserve">foreign currency swap </w:t>
      </w:r>
      <w:r w:rsidR="00155B35">
        <w:rPr>
          <w:rFonts w:ascii="Times New Roman" w:hAnsi="Times New Roman" w:cs="Times New Roman"/>
          <w:sz w:val="21"/>
          <w:szCs w:val="21"/>
        </w:rPr>
        <w:t xml:space="preserve">attraction and allocation </w:t>
      </w:r>
      <w:r w:rsidR="00043848" w:rsidRPr="00723483">
        <w:rPr>
          <w:rFonts w:ascii="Times New Roman" w:hAnsi="Times New Roman" w:cs="Times New Roman"/>
          <w:sz w:val="21"/>
          <w:szCs w:val="21"/>
        </w:rPr>
        <w:t>transactions</w:t>
      </w:r>
      <w:r w:rsidR="00043848">
        <w:rPr>
          <w:rFonts w:ascii="Times New Roman" w:hAnsi="Times New Roman" w:cs="Times New Roman"/>
          <w:sz w:val="21"/>
          <w:szCs w:val="21"/>
        </w:rPr>
        <w:t>.</w:t>
      </w:r>
    </w:p>
    <w:p w14:paraId="5EBCED88" w14:textId="77777777" w:rsidR="00A96288" w:rsidRDefault="00043848"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T</w:t>
      </w:r>
      <w:r w:rsidRPr="00043848">
        <w:rPr>
          <w:rFonts w:ascii="Times New Roman" w:hAnsi="Times New Roman" w:cs="Times New Roman"/>
          <w:sz w:val="21"/>
          <w:szCs w:val="21"/>
        </w:rPr>
        <w:t xml:space="preserve">hese </w:t>
      </w:r>
      <w:r>
        <w:rPr>
          <w:rFonts w:ascii="Times New Roman" w:hAnsi="Times New Roman" w:cs="Times New Roman"/>
          <w:sz w:val="21"/>
          <w:szCs w:val="21"/>
        </w:rPr>
        <w:t xml:space="preserve">measures brought some </w:t>
      </w:r>
      <w:r w:rsidRPr="00043848">
        <w:rPr>
          <w:rFonts w:ascii="Times New Roman" w:hAnsi="Times New Roman" w:cs="Times New Roman"/>
          <w:sz w:val="21"/>
          <w:szCs w:val="21"/>
        </w:rPr>
        <w:t xml:space="preserve">stabilization </w:t>
      </w:r>
      <w:r>
        <w:rPr>
          <w:rFonts w:ascii="Times New Roman" w:hAnsi="Times New Roman" w:cs="Times New Roman"/>
          <w:sz w:val="21"/>
          <w:szCs w:val="21"/>
        </w:rPr>
        <w:t xml:space="preserve">in the currency market, and </w:t>
      </w:r>
      <w:r w:rsidRPr="00A96288">
        <w:rPr>
          <w:rFonts w:ascii="Times New Roman" w:hAnsi="Times New Roman" w:cs="Times New Roman"/>
          <w:b/>
          <w:sz w:val="21"/>
          <w:szCs w:val="21"/>
        </w:rPr>
        <w:t xml:space="preserve">in late December the Board of the Central Bank decided to lower </w:t>
      </w:r>
      <w:r w:rsidR="00A96288" w:rsidRPr="00A96288">
        <w:rPr>
          <w:rFonts w:ascii="Times New Roman" w:hAnsi="Times New Roman" w:cs="Times New Roman"/>
          <w:b/>
          <w:sz w:val="21"/>
          <w:szCs w:val="21"/>
        </w:rPr>
        <w:t>the Reserve Requirement Ratio with regard to funds attracted in foreign currency from 24.0% to 20.0% and the Lombard Repo Facility Rate from 21.0% to 20.0%</w:t>
      </w:r>
      <w:r w:rsidR="00A96288">
        <w:rPr>
          <w:rFonts w:ascii="Times New Roman" w:hAnsi="Times New Roman" w:cs="Times New Roman"/>
          <w:sz w:val="21"/>
          <w:szCs w:val="21"/>
        </w:rPr>
        <w:t xml:space="preserve">. </w:t>
      </w:r>
      <w:r w:rsidR="00A96288" w:rsidRPr="00F538B8">
        <w:rPr>
          <w:rFonts w:ascii="Times New Roman" w:hAnsi="Times New Roman" w:cs="Times New Roman"/>
          <w:sz w:val="21"/>
          <w:szCs w:val="21"/>
        </w:rPr>
        <w:t xml:space="preserve">At the same time, </w:t>
      </w:r>
      <w:r w:rsidR="00A96288">
        <w:rPr>
          <w:rFonts w:ascii="Times New Roman" w:hAnsi="Times New Roman" w:cs="Times New Roman"/>
          <w:sz w:val="21"/>
          <w:szCs w:val="21"/>
        </w:rPr>
        <w:t xml:space="preserve">to have the </w:t>
      </w:r>
      <w:r w:rsidR="00A96288" w:rsidRPr="00F538B8">
        <w:rPr>
          <w:rFonts w:ascii="Times New Roman" w:hAnsi="Times New Roman" w:cs="Times New Roman"/>
          <w:sz w:val="21"/>
          <w:szCs w:val="21"/>
        </w:rPr>
        <w:t>inflationary expectations anchored around the target</w:t>
      </w:r>
      <w:r w:rsidR="00A96288">
        <w:rPr>
          <w:rFonts w:ascii="Times New Roman" w:hAnsi="Times New Roman" w:cs="Times New Roman"/>
          <w:sz w:val="21"/>
          <w:szCs w:val="21"/>
        </w:rPr>
        <w:t xml:space="preserve">, </w:t>
      </w:r>
      <w:r w:rsidR="00A96288" w:rsidRPr="00F538B8">
        <w:rPr>
          <w:rFonts w:ascii="Times New Roman" w:hAnsi="Times New Roman" w:cs="Times New Roman"/>
          <w:sz w:val="21"/>
          <w:szCs w:val="21"/>
        </w:rPr>
        <w:t>the Central Bank</w:t>
      </w:r>
      <w:r w:rsidR="00A96288">
        <w:rPr>
          <w:rFonts w:ascii="Times New Roman" w:hAnsi="Times New Roman" w:cs="Times New Roman"/>
          <w:sz w:val="21"/>
          <w:szCs w:val="21"/>
        </w:rPr>
        <w:t xml:space="preserve"> lifted</w:t>
      </w:r>
      <w:r w:rsidR="00A96288" w:rsidRPr="00F538B8">
        <w:rPr>
          <w:rFonts w:ascii="Times New Roman" w:hAnsi="Times New Roman" w:cs="Times New Roman"/>
          <w:sz w:val="21"/>
          <w:szCs w:val="21"/>
        </w:rPr>
        <w:t xml:space="preserve"> </w:t>
      </w:r>
      <w:r w:rsidR="00A96288">
        <w:rPr>
          <w:rFonts w:ascii="Times New Roman" w:hAnsi="Times New Roman" w:cs="Times New Roman"/>
          <w:sz w:val="21"/>
          <w:szCs w:val="21"/>
        </w:rPr>
        <w:t>the</w:t>
      </w:r>
      <w:r w:rsidR="00A96288" w:rsidRPr="00F538B8">
        <w:rPr>
          <w:rFonts w:ascii="Times New Roman" w:hAnsi="Times New Roman" w:cs="Times New Roman"/>
          <w:sz w:val="21"/>
          <w:szCs w:val="21"/>
        </w:rPr>
        <w:t xml:space="preserve"> </w:t>
      </w:r>
      <w:r w:rsidR="00A96288">
        <w:rPr>
          <w:rFonts w:ascii="Times New Roman" w:hAnsi="Times New Roman" w:cs="Times New Roman"/>
          <w:sz w:val="21"/>
          <w:szCs w:val="21"/>
        </w:rPr>
        <w:t>R</w:t>
      </w:r>
      <w:r w:rsidR="00A96288" w:rsidRPr="00F538B8">
        <w:rPr>
          <w:rFonts w:ascii="Times New Roman" w:hAnsi="Times New Roman" w:cs="Times New Roman"/>
          <w:sz w:val="21"/>
          <w:szCs w:val="21"/>
        </w:rPr>
        <w:t xml:space="preserve">efinancing </w:t>
      </w:r>
      <w:r w:rsidR="00A96288">
        <w:rPr>
          <w:rFonts w:ascii="Times New Roman" w:hAnsi="Times New Roman" w:cs="Times New Roman"/>
          <w:sz w:val="21"/>
          <w:szCs w:val="21"/>
        </w:rPr>
        <w:t>R</w:t>
      </w:r>
      <w:r w:rsidR="00A96288" w:rsidRPr="00F538B8">
        <w:rPr>
          <w:rFonts w:ascii="Times New Roman" w:hAnsi="Times New Roman" w:cs="Times New Roman"/>
          <w:sz w:val="21"/>
          <w:szCs w:val="21"/>
        </w:rPr>
        <w:t xml:space="preserve">ate by 1.75 </w:t>
      </w:r>
      <w:r w:rsidR="00A96288">
        <w:rPr>
          <w:rFonts w:ascii="Times New Roman" w:hAnsi="Times New Roman" w:cs="Times New Roman"/>
          <w:sz w:val="21"/>
          <w:szCs w:val="21"/>
        </w:rPr>
        <w:t xml:space="preserve">pp to 8.5%. </w:t>
      </w:r>
    </w:p>
    <w:p w14:paraId="10F157C5" w14:textId="77777777" w:rsidR="00A96288" w:rsidRDefault="00A96288"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In early 2015, the </w:t>
      </w:r>
      <w:r w:rsidRPr="003916F1">
        <w:rPr>
          <w:rFonts w:ascii="Times New Roman" w:hAnsi="Times New Roman" w:cs="Times New Roman"/>
          <w:sz w:val="21"/>
          <w:szCs w:val="21"/>
        </w:rPr>
        <w:t>Lombard Repo Facility Rate</w:t>
      </w:r>
      <w:r w:rsidRPr="007E66DC">
        <w:rPr>
          <w:rFonts w:ascii="Times New Roman" w:hAnsi="Times New Roman" w:cs="Times New Roman"/>
          <w:sz w:val="21"/>
          <w:szCs w:val="21"/>
        </w:rPr>
        <w:t xml:space="preserve"> </w:t>
      </w:r>
      <w:r>
        <w:rPr>
          <w:rFonts w:ascii="Times New Roman" w:hAnsi="Times New Roman" w:cs="Times New Roman"/>
          <w:sz w:val="21"/>
          <w:szCs w:val="21"/>
        </w:rPr>
        <w:t xml:space="preserve">was reduced further to </w:t>
      </w:r>
      <w:r w:rsidRPr="00A96288">
        <w:rPr>
          <w:rFonts w:ascii="Times New Roman" w:hAnsi="Times New Roman" w:cs="Times New Roman"/>
          <w:sz w:val="21"/>
          <w:szCs w:val="21"/>
        </w:rPr>
        <w:t>14.5%</w:t>
      </w:r>
      <w:r>
        <w:rPr>
          <w:rFonts w:ascii="Times New Roman" w:hAnsi="Times New Roman" w:cs="Times New Roman"/>
          <w:sz w:val="21"/>
          <w:szCs w:val="21"/>
        </w:rPr>
        <w:t xml:space="preserve">. </w:t>
      </w:r>
      <w:r w:rsidR="00EE71F0">
        <w:rPr>
          <w:rFonts w:ascii="Times New Roman" w:hAnsi="Times New Roman" w:cs="Times New Roman"/>
          <w:sz w:val="21"/>
          <w:szCs w:val="21"/>
        </w:rPr>
        <w:t xml:space="preserve">Lowered by a total of 5.5 pp, the above policy rate of the Central Bank pushed </w:t>
      </w:r>
      <w:r w:rsidRPr="00A96288">
        <w:rPr>
          <w:rFonts w:ascii="Times New Roman" w:hAnsi="Times New Roman" w:cs="Times New Roman"/>
          <w:sz w:val="21"/>
          <w:szCs w:val="21"/>
        </w:rPr>
        <w:t xml:space="preserve">short-term </w:t>
      </w:r>
      <w:r w:rsidR="00EE71F0">
        <w:rPr>
          <w:rFonts w:ascii="Times New Roman" w:hAnsi="Times New Roman" w:cs="Times New Roman"/>
          <w:sz w:val="21"/>
          <w:szCs w:val="21"/>
        </w:rPr>
        <w:t xml:space="preserve">dram market rates down. In the meantime, </w:t>
      </w:r>
      <w:r w:rsidRPr="00A96288">
        <w:rPr>
          <w:rFonts w:ascii="Times New Roman" w:hAnsi="Times New Roman" w:cs="Times New Roman"/>
          <w:sz w:val="21"/>
          <w:szCs w:val="21"/>
        </w:rPr>
        <w:t>bas</w:t>
      </w:r>
      <w:r w:rsidR="00EE71F0">
        <w:rPr>
          <w:rFonts w:ascii="Times New Roman" w:hAnsi="Times New Roman" w:cs="Times New Roman"/>
          <w:sz w:val="21"/>
          <w:szCs w:val="21"/>
        </w:rPr>
        <w:t>ing upon</w:t>
      </w:r>
      <w:r w:rsidRPr="00A96288">
        <w:rPr>
          <w:rFonts w:ascii="Times New Roman" w:hAnsi="Times New Roman" w:cs="Times New Roman"/>
          <w:sz w:val="21"/>
          <w:szCs w:val="21"/>
        </w:rPr>
        <w:t xml:space="preserve"> </w:t>
      </w:r>
      <w:r w:rsidR="00EE71F0">
        <w:rPr>
          <w:rFonts w:ascii="Times New Roman" w:hAnsi="Times New Roman" w:cs="Times New Roman"/>
          <w:sz w:val="21"/>
          <w:szCs w:val="21"/>
        </w:rPr>
        <w:t xml:space="preserve">the </w:t>
      </w:r>
      <w:r w:rsidRPr="00A96288">
        <w:rPr>
          <w:rFonts w:ascii="Times New Roman" w:hAnsi="Times New Roman" w:cs="Times New Roman"/>
          <w:sz w:val="21"/>
          <w:szCs w:val="21"/>
        </w:rPr>
        <w:t xml:space="preserve">forecasts of </w:t>
      </w:r>
      <w:r w:rsidR="00EE71F0">
        <w:rPr>
          <w:rFonts w:ascii="Times New Roman" w:hAnsi="Times New Roman" w:cs="Times New Roman"/>
          <w:sz w:val="21"/>
          <w:szCs w:val="21"/>
        </w:rPr>
        <w:t xml:space="preserve">the </w:t>
      </w:r>
      <w:r w:rsidRPr="00A96288">
        <w:rPr>
          <w:rFonts w:ascii="Times New Roman" w:hAnsi="Times New Roman" w:cs="Times New Roman"/>
          <w:sz w:val="21"/>
          <w:szCs w:val="21"/>
        </w:rPr>
        <w:t>inflation</w:t>
      </w:r>
      <w:r w:rsidR="00EE71F0">
        <w:rPr>
          <w:rFonts w:ascii="Times New Roman" w:hAnsi="Times New Roman" w:cs="Times New Roman"/>
          <w:sz w:val="21"/>
          <w:szCs w:val="21"/>
        </w:rPr>
        <w:t xml:space="preserve"> environment,</w:t>
      </w:r>
      <w:r w:rsidRPr="00A96288">
        <w:rPr>
          <w:rFonts w:ascii="Times New Roman" w:hAnsi="Times New Roman" w:cs="Times New Roman"/>
          <w:sz w:val="21"/>
          <w:szCs w:val="21"/>
        </w:rPr>
        <w:t xml:space="preserve"> the Central Bank </w:t>
      </w:r>
      <w:r w:rsidR="00EE71F0">
        <w:rPr>
          <w:rFonts w:ascii="Times New Roman" w:hAnsi="Times New Roman" w:cs="Times New Roman"/>
          <w:sz w:val="21"/>
          <w:szCs w:val="21"/>
        </w:rPr>
        <w:t xml:space="preserve">kept on increasing the Refinancing Rate </w:t>
      </w:r>
      <w:r w:rsidR="004C4296">
        <w:rPr>
          <w:rFonts w:ascii="Times New Roman" w:hAnsi="Times New Roman" w:cs="Times New Roman"/>
          <w:sz w:val="21"/>
          <w:szCs w:val="21"/>
        </w:rPr>
        <w:t xml:space="preserve">by </w:t>
      </w:r>
      <w:r w:rsidR="00EE71F0">
        <w:rPr>
          <w:rFonts w:ascii="Times New Roman" w:hAnsi="Times New Roman" w:cs="Times New Roman"/>
          <w:sz w:val="21"/>
          <w:szCs w:val="21"/>
        </w:rPr>
        <w:t xml:space="preserve">a total of 2 </w:t>
      </w:r>
      <w:r w:rsidR="00106258">
        <w:rPr>
          <w:rFonts w:ascii="Times New Roman" w:hAnsi="Times New Roman" w:cs="Times New Roman"/>
          <w:sz w:val="21"/>
          <w:szCs w:val="21"/>
        </w:rPr>
        <w:t>pp</w:t>
      </w:r>
      <w:r w:rsidR="00EE71F0">
        <w:rPr>
          <w:rFonts w:ascii="Times New Roman" w:hAnsi="Times New Roman" w:cs="Times New Roman"/>
          <w:sz w:val="21"/>
          <w:szCs w:val="21"/>
        </w:rPr>
        <w:t xml:space="preserve"> to </w:t>
      </w:r>
      <w:r w:rsidRPr="00A96288">
        <w:rPr>
          <w:rFonts w:ascii="Times New Roman" w:hAnsi="Times New Roman" w:cs="Times New Roman"/>
          <w:sz w:val="21"/>
          <w:szCs w:val="21"/>
        </w:rPr>
        <w:t>10.5%.</w:t>
      </w:r>
    </w:p>
    <w:p w14:paraId="15C0E07C" w14:textId="77777777" w:rsidR="00CD3C39" w:rsidRDefault="00981DDB" w:rsidP="00A9653E">
      <w:pPr>
        <w:spacing w:line="360" w:lineRule="auto"/>
        <w:jc w:val="both"/>
        <w:rPr>
          <w:rStyle w:val="longtext"/>
          <w:rFonts w:ascii="Times New Roman" w:hAnsi="Times New Roman" w:cs="Times New Roman"/>
          <w:color w:val="000000"/>
          <w:sz w:val="21"/>
          <w:szCs w:val="21"/>
          <w:shd w:val="clear" w:color="auto" w:fill="FFFFFF"/>
        </w:rPr>
      </w:pPr>
      <w:r>
        <w:rPr>
          <w:rStyle w:val="longtext"/>
          <w:rFonts w:ascii="Times New Roman" w:hAnsi="Times New Roman" w:cs="Times New Roman"/>
          <w:color w:val="000000"/>
          <w:sz w:val="21"/>
          <w:szCs w:val="21"/>
          <w:shd w:val="clear" w:color="auto" w:fill="FFFFFF"/>
        </w:rPr>
        <w:lastRenderedPageBreak/>
        <w:t xml:space="preserve">During the quarter, the </w:t>
      </w:r>
      <w:r w:rsidRPr="006F415E">
        <w:rPr>
          <w:rStyle w:val="longtext"/>
          <w:rFonts w:ascii="Times New Roman" w:hAnsi="Times New Roman" w:cs="Times New Roman"/>
          <w:b/>
          <w:color w:val="000000"/>
          <w:sz w:val="21"/>
          <w:szCs w:val="21"/>
          <w:shd w:val="clear" w:color="auto" w:fill="FFFFFF"/>
        </w:rPr>
        <w:t>7-day R</w:t>
      </w:r>
      <w:r w:rsidR="00A9653E" w:rsidRPr="006F415E">
        <w:rPr>
          <w:rStyle w:val="longtext"/>
          <w:rFonts w:ascii="Times New Roman" w:hAnsi="Times New Roman" w:cs="Times New Roman"/>
          <w:b/>
          <w:color w:val="000000"/>
          <w:sz w:val="21"/>
          <w:szCs w:val="21"/>
          <w:shd w:val="clear" w:color="auto" w:fill="FFFFFF"/>
        </w:rPr>
        <w:t xml:space="preserve">epo </w:t>
      </w:r>
      <w:r w:rsidRPr="006F415E">
        <w:rPr>
          <w:rStyle w:val="longtext"/>
          <w:rFonts w:ascii="Times New Roman" w:hAnsi="Times New Roman" w:cs="Times New Roman"/>
          <w:b/>
          <w:color w:val="000000"/>
          <w:sz w:val="21"/>
          <w:szCs w:val="21"/>
          <w:shd w:val="clear" w:color="auto" w:fill="FFFFFF"/>
        </w:rPr>
        <w:t>R</w:t>
      </w:r>
      <w:r w:rsidR="00A9653E" w:rsidRPr="006F415E">
        <w:rPr>
          <w:rStyle w:val="longtext"/>
          <w:rFonts w:ascii="Times New Roman" w:hAnsi="Times New Roman" w:cs="Times New Roman"/>
          <w:b/>
          <w:color w:val="000000"/>
          <w:sz w:val="21"/>
          <w:szCs w:val="21"/>
          <w:shd w:val="clear" w:color="auto" w:fill="FFFFFF"/>
        </w:rPr>
        <w:t>ate</w:t>
      </w:r>
      <w:r w:rsidR="00A9653E" w:rsidRPr="00EC356F">
        <w:rPr>
          <w:rStyle w:val="longtext"/>
          <w:rFonts w:ascii="Times New Roman" w:hAnsi="Times New Roman" w:cs="Times New Roman"/>
          <w:color w:val="000000"/>
          <w:sz w:val="21"/>
          <w:szCs w:val="21"/>
          <w:shd w:val="clear" w:color="auto" w:fill="FFFFFF"/>
        </w:rPr>
        <w:t xml:space="preserve">, </w:t>
      </w:r>
      <w:r w:rsidR="00CD3C39">
        <w:rPr>
          <w:rStyle w:val="longtext"/>
          <w:rFonts w:ascii="Times New Roman" w:hAnsi="Times New Roman" w:cs="Times New Roman"/>
          <w:color w:val="000000"/>
          <w:sz w:val="21"/>
          <w:szCs w:val="21"/>
          <w:shd w:val="clear" w:color="auto" w:fill="FFFFFF"/>
        </w:rPr>
        <w:t xml:space="preserve">the </w:t>
      </w:r>
      <w:r w:rsidR="00A9653E" w:rsidRPr="00EC356F">
        <w:rPr>
          <w:rStyle w:val="longtext"/>
          <w:rFonts w:ascii="Times New Roman" w:hAnsi="Times New Roman" w:cs="Times New Roman"/>
          <w:color w:val="000000"/>
          <w:sz w:val="21"/>
          <w:szCs w:val="21"/>
          <w:shd w:val="clear" w:color="auto" w:fill="FFFFFF"/>
        </w:rPr>
        <w:t xml:space="preserve">main </w:t>
      </w:r>
      <w:r w:rsidR="00CD3C39">
        <w:rPr>
          <w:rStyle w:val="longtext"/>
          <w:rFonts w:ascii="Times New Roman" w:hAnsi="Times New Roman" w:cs="Times New Roman"/>
          <w:color w:val="000000"/>
          <w:sz w:val="21"/>
          <w:szCs w:val="21"/>
          <w:shd w:val="clear" w:color="auto" w:fill="FFFFFF"/>
        </w:rPr>
        <w:t xml:space="preserve">policy </w:t>
      </w:r>
      <w:r w:rsidR="00A9653E" w:rsidRPr="00EC356F">
        <w:rPr>
          <w:rStyle w:val="longtext"/>
          <w:rFonts w:ascii="Times New Roman" w:hAnsi="Times New Roman" w:cs="Times New Roman"/>
          <w:color w:val="000000"/>
          <w:sz w:val="21"/>
          <w:szCs w:val="21"/>
          <w:shd w:val="clear" w:color="auto" w:fill="FFFFFF"/>
        </w:rPr>
        <w:t xml:space="preserve">instrument of the Central Bank, trended </w:t>
      </w:r>
      <w:r>
        <w:rPr>
          <w:rStyle w:val="longtext"/>
          <w:rFonts w:ascii="Times New Roman" w:hAnsi="Times New Roman" w:cs="Times New Roman"/>
          <w:color w:val="000000"/>
          <w:sz w:val="21"/>
          <w:szCs w:val="21"/>
          <w:shd w:val="clear" w:color="auto" w:fill="FFFFFF"/>
        </w:rPr>
        <w:t>upward on the back of contracting dram liquidity in the banking sector since late November, drifting around</w:t>
      </w:r>
      <w:r w:rsidRPr="00981DDB">
        <w:rPr>
          <w:rFonts w:ascii="Times New Roman" w:hAnsi="Times New Roman" w:cs="Times New Roman"/>
          <w:sz w:val="21"/>
          <w:szCs w:val="21"/>
        </w:rPr>
        <w:t xml:space="preserve"> </w:t>
      </w:r>
      <w:r>
        <w:rPr>
          <w:rFonts w:ascii="Times New Roman" w:hAnsi="Times New Roman" w:cs="Times New Roman"/>
          <w:sz w:val="21"/>
          <w:szCs w:val="21"/>
        </w:rPr>
        <w:t xml:space="preserve">the </w:t>
      </w:r>
      <w:r w:rsidRPr="003916F1">
        <w:rPr>
          <w:rFonts w:ascii="Times New Roman" w:hAnsi="Times New Roman" w:cs="Times New Roman"/>
          <w:sz w:val="21"/>
          <w:szCs w:val="21"/>
        </w:rPr>
        <w:t>Lombard Repo Facility Rate</w:t>
      </w:r>
      <w:r>
        <w:rPr>
          <w:rFonts w:ascii="Times New Roman" w:hAnsi="Times New Roman" w:cs="Times New Roman"/>
          <w:sz w:val="21"/>
          <w:szCs w:val="21"/>
        </w:rPr>
        <w:t xml:space="preserve">. </w:t>
      </w:r>
      <w:r w:rsidR="006F415E">
        <w:rPr>
          <w:rFonts w:ascii="Times New Roman" w:hAnsi="Times New Roman" w:cs="Times New Roman"/>
          <w:sz w:val="21"/>
          <w:szCs w:val="21"/>
        </w:rPr>
        <w:t xml:space="preserve">As a result, </w:t>
      </w:r>
      <w:r w:rsidR="00A9653E" w:rsidRPr="00EC356F">
        <w:rPr>
          <w:rStyle w:val="longtext"/>
          <w:rFonts w:ascii="Times New Roman" w:hAnsi="Times New Roman" w:cs="Times New Roman"/>
          <w:color w:val="000000"/>
          <w:sz w:val="21"/>
          <w:szCs w:val="21"/>
          <w:shd w:val="clear" w:color="auto" w:fill="FFFFFF"/>
        </w:rPr>
        <w:t xml:space="preserve">the average </w:t>
      </w:r>
      <w:r w:rsidR="006F415E">
        <w:rPr>
          <w:rStyle w:val="longtext"/>
          <w:rFonts w:ascii="Times New Roman" w:hAnsi="Times New Roman" w:cs="Times New Roman"/>
          <w:color w:val="000000"/>
          <w:sz w:val="21"/>
          <w:szCs w:val="21"/>
          <w:shd w:val="clear" w:color="auto" w:fill="FFFFFF"/>
        </w:rPr>
        <w:t xml:space="preserve">December </w:t>
      </w:r>
      <w:r w:rsidR="00A9653E" w:rsidRPr="00EC356F">
        <w:rPr>
          <w:rStyle w:val="longtext"/>
          <w:rFonts w:ascii="Times New Roman" w:hAnsi="Times New Roman" w:cs="Times New Roman"/>
          <w:color w:val="000000"/>
          <w:sz w:val="21"/>
          <w:szCs w:val="21"/>
          <w:shd w:val="clear" w:color="auto" w:fill="FFFFFF"/>
        </w:rPr>
        <w:t xml:space="preserve">rate </w:t>
      </w:r>
      <w:r w:rsidR="006F415E">
        <w:rPr>
          <w:rStyle w:val="longtext"/>
          <w:rFonts w:ascii="Times New Roman" w:hAnsi="Times New Roman" w:cs="Times New Roman"/>
          <w:color w:val="000000"/>
          <w:sz w:val="21"/>
          <w:szCs w:val="21"/>
          <w:shd w:val="clear" w:color="auto" w:fill="FFFFFF"/>
        </w:rPr>
        <w:t xml:space="preserve">has grown by 13.6 pp </w:t>
      </w:r>
      <w:r w:rsidR="00173515">
        <w:rPr>
          <w:rStyle w:val="longtext"/>
          <w:rFonts w:ascii="Times New Roman" w:hAnsi="Times New Roman" w:cs="Times New Roman"/>
          <w:color w:val="000000"/>
          <w:sz w:val="21"/>
          <w:szCs w:val="21"/>
          <w:shd w:val="clear" w:color="auto" w:fill="FFFFFF"/>
        </w:rPr>
        <w:t xml:space="preserve">against </w:t>
      </w:r>
      <w:r w:rsidR="006F415E">
        <w:rPr>
          <w:rStyle w:val="longtext"/>
          <w:rFonts w:ascii="Times New Roman" w:hAnsi="Times New Roman" w:cs="Times New Roman"/>
          <w:color w:val="000000"/>
          <w:sz w:val="21"/>
          <w:szCs w:val="21"/>
          <w:shd w:val="clear" w:color="auto" w:fill="FFFFFF"/>
        </w:rPr>
        <w:t xml:space="preserve">September and amounted to 20.61%. The average quarterly growth of the rate </w:t>
      </w:r>
      <w:r w:rsidR="00173515">
        <w:rPr>
          <w:rStyle w:val="longtext"/>
          <w:rFonts w:ascii="Times New Roman" w:hAnsi="Times New Roman" w:cs="Times New Roman"/>
          <w:color w:val="000000"/>
          <w:sz w:val="21"/>
          <w:szCs w:val="21"/>
          <w:shd w:val="clear" w:color="auto" w:fill="FFFFFF"/>
        </w:rPr>
        <w:t>was</w:t>
      </w:r>
      <w:r w:rsidR="006F415E">
        <w:rPr>
          <w:rStyle w:val="longtext"/>
          <w:rFonts w:ascii="Times New Roman" w:hAnsi="Times New Roman" w:cs="Times New Roman"/>
          <w:color w:val="000000"/>
          <w:sz w:val="21"/>
          <w:szCs w:val="21"/>
          <w:shd w:val="clear" w:color="auto" w:fill="FFFFFF"/>
        </w:rPr>
        <w:t xml:space="preserve"> 3.44 </w:t>
      </w:r>
      <w:r w:rsidR="00106258">
        <w:rPr>
          <w:rStyle w:val="longtext"/>
          <w:rFonts w:ascii="Times New Roman" w:hAnsi="Times New Roman" w:cs="Times New Roman"/>
          <w:color w:val="000000"/>
          <w:sz w:val="21"/>
          <w:szCs w:val="21"/>
          <w:shd w:val="clear" w:color="auto" w:fill="FFFFFF"/>
        </w:rPr>
        <w:t>pp</w:t>
      </w:r>
      <w:r w:rsidR="00173515">
        <w:rPr>
          <w:rStyle w:val="longtext"/>
          <w:rFonts w:ascii="Times New Roman" w:hAnsi="Times New Roman" w:cs="Times New Roman"/>
          <w:color w:val="000000"/>
          <w:sz w:val="21"/>
          <w:szCs w:val="21"/>
          <w:shd w:val="clear" w:color="auto" w:fill="FFFFFF"/>
        </w:rPr>
        <w:t>.</w:t>
      </w:r>
      <w:r w:rsidR="00C571CE">
        <w:rPr>
          <w:rStyle w:val="longtext"/>
          <w:rFonts w:ascii="Times New Roman" w:hAnsi="Times New Roman" w:cs="Times New Roman"/>
          <w:color w:val="000000"/>
          <w:sz w:val="21"/>
          <w:szCs w:val="21"/>
          <w:shd w:val="clear" w:color="auto" w:fill="FFFFFF"/>
        </w:rPr>
        <w:t xml:space="preserve"> </w:t>
      </w:r>
    </w:p>
    <w:tbl>
      <w:tblPr>
        <w:tblW w:w="6230" w:type="dxa"/>
        <w:tblInd w:w="133"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1109"/>
        <w:gridCol w:w="993"/>
        <w:gridCol w:w="799"/>
        <w:gridCol w:w="902"/>
        <w:gridCol w:w="735"/>
        <w:gridCol w:w="937"/>
        <w:gridCol w:w="755"/>
      </w:tblGrid>
      <w:tr w:rsidR="00AD6187" w:rsidRPr="00AD6187" w14:paraId="33A4D25D" w14:textId="77777777" w:rsidTr="00640360">
        <w:trPr>
          <w:trHeight w:val="20"/>
        </w:trPr>
        <w:tc>
          <w:tcPr>
            <w:tcW w:w="6230" w:type="dxa"/>
            <w:gridSpan w:val="7"/>
            <w:shd w:val="clear" w:color="auto" w:fill="auto"/>
          </w:tcPr>
          <w:p w14:paraId="2370A634" w14:textId="77777777" w:rsidR="00AD6187" w:rsidRPr="00AD6187" w:rsidRDefault="00AD6187" w:rsidP="00AD6187">
            <w:pPr>
              <w:spacing w:before="40" w:after="40"/>
              <w:ind w:left="-57" w:right="-57"/>
              <w:jc w:val="center"/>
              <w:rPr>
                <w:rFonts w:ascii="Times New Roman" w:hAnsi="Times New Roman" w:cs="Times New Roman"/>
                <w:b/>
                <w:sz w:val="18"/>
                <w:szCs w:val="18"/>
                <w:lang w:val="hy-AM"/>
              </w:rPr>
            </w:pPr>
            <w:r w:rsidRPr="00AD6187">
              <w:rPr>
                <w:rFonts w:ascii="Times New Roman" w:hAnsi="Times New Roman" w:cs="Times New Roman"/>
                <w:b/>
                <w:sz w:val="18"/>
                <w:szCs w:val="18"/>
                <w:lang w:val="es-AR"/>
              </w:rPr>
              <w:t>Operations carried out by the Central Bank (average value)</w:t>
            </w:r>
          </w:p>
        </w:tc>
      </w:tr>
      <w:tr w:rsidR="00AD6187" w:rsidRPr="00AD6187" w14:paraId="18DB189F" w14:textId="77777777" w:rsidTr="00640360">
        <w:trPr>
          <w:trHeight w:val="20"/>
        </w:trPr>
        <w:tc>
          <w:tcPr>
            <w:tcW w:w="1109" w:type="dxa"/>
            <w:vMerge w:val="restart"/>
            <w:shd w:val="clear" w:color="auto" w:fill="auto"/>
          </w:tcPr>
          <w:p w14:paraId="5526F979" w14:textId="77777777" w:rsidR="00AD6187" w:rsidRPr="00AD6187" w:rsidRDefault="00AD6187" w:rsidP="00640360">
            <w:pPr>
              <w:spacing w:before="40" w:after="40"/>
              <w:ind w:left="-57" w:right="-57"/>
              <w:rPr>
                <w:rFonts w:ascii="Times New Roman" w:hAnsi="Times New Roman" w:cs="Times New Roman"/>
                <w:sz w:val="18"/>
                <w:szCs w:val="18"/>
              </w:rPr>
            </w:pPr>
            <w:r w:rsidRPr="00AD6187">
              <w:rPr>
                <w:rFonts w:ascii="Times New Roman" w:hAnsi="Times New Roman" w:cs="Times New Roman"/>
                <w:sz w:val="18"/>
                <w:szCs w:val="18"/>
              </w:rPr>
              <w:t>Period</w:t>
            </w:r>
          </w:p>
        </w:tc>
        <w:tc>
          <w:tcPr>
            <w:tcW w:w="1792" w:type="dxa"/>
            <w:gridSpan w:val="2"/>
            <w:shd w:val="clear" w:color="auto" w:fill="auto"/>
          </w:tcPr>
          <w:p w14:paraId="533D7FEE"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Repo (up to 7 days)</w:t>
            </w:r>
          </w:p>
        </w:tc>
        <w:tc>
          <w:tcPr>
            <w:tcW w:w="1637" w:type="dxa"/>
            <w:gridSpan w:val="2"/>
            <w:shd w:val="clear" w:color="auto" w:fill="auto"/>
          </w:tcPr>
          <w:p w14:paraId="7961B9A7" w14:textId="77777777" w:rsidR="00AD6187" w:rsidRPr="00AD6187" w:rsidRDefault="00AD6187" w:rsidP="00640360">
            <w:pPr>
              <w:spacing w:before="20" w:after="20"/>
              <w:jc w:val="center"/>
              <w:rPr>
                <w:rFonts w:ascii="Times New Roman" w:hAnsi="Times New Roman" w:cs="Times New Roman"/>
                <w:sz w:val="18"/>
                <w:szCs w:val="18"/>
              </w:rPr>
            </w:pPr>
            <w:r w:rsidRPr="00AD6187">
              <w:rPr>
                <w:rFonts w:ascii="Times New Roman" w:hAnsi="Times New Roman" w:cs="Times New Roman"/>
                <w:sz w:val="18"/>
                <w:szCs w:val="18"/>
              </w:rPr>
              <w:t>Funds attracted</w:t>
            </w:r>
          </w:p>
        </w:tc>
        <w:tc>
          <w:tcPr>
            <w:tcW w:w="1692" w:type="dxa"/>
            <w:gridSpan w:val="2"/>
            <w:shd w:val="clear" w:color="auto" w:fill="auto"/>
          </w:tcPr>
          <w:p w14:paraId="351C46F6" w14:textId="77777777" w:rsidR="00AD6187" w:rsidRPr="00AD6187" w:rsidRDefault="00AD6187" w:rsidP="00640360">
            <w:pPr>
              <w:spacing w:before="20" w:after="20"/>
              <w:jc w:val="center"/>
              <w:rPr>
                <w:rFonts w:ascii="Times New Roman" w:hAnsi="Times New Roman" w:cs="Times New Roman"/>
                <w:sz w:val="18"/>
                <w:szCs w:val="18"/>
              </w:rPr>
            </w:pPr>
            <w:r w:rsidRPr="00AD6187">
              <w:rPr>
                <w:rFonts w:ascii="Times New Roman" w:hAnsi="Times New Roman" w:cs="Times New Roman"/>
                <w:sz w:val="18"/>
                <w:szCs w:val="18"/>
              </w:rPr>
              <w:t>Lombard repo</w:t>
            </w:r>
          </w:p>
        </w:tc>
      </w:tr>
      <w:tr w:rsidR="00AD6187" w:rsidRPr="00AD6187" w14:paraId="3144E8A7" w14:textId="77777777" w:rsidTr="00640360">
        <w:trPr>
          <w:trHeight w:val="20"/>
        </w:trPr>
        <w:tc>
          <w:tcPr>
            <w:tcW w:w="1109" w:type="dxa"/>
            <w:vMerge/>
            <w:tcBorders>
              <w:bottom w:val="single" w:sz="4" w:space="0" w:color="auto"/>
            </w:tcBorders>
            <w:shd w:val="clear" w:color="auto" w:fill="auto"/>
          </w:tcPr>
          <w:p w14:paraId="284C49A7" w14:textId="77777777" w:rsidR="00AD6187" w:rsidRPr="00AD6187" w:rsidRDefault="00AD6187" w:rsidP="00640360">
            <w:pPr>
              <w:spacing w:before="40" w:after="40"/>
              <w:ind w:left="-57" w:right="-57"/>
              <w:rPr>
                <w:rFonts w:ascii="Times New Roman" w:hAnsi="Times New Roman" w:cs="Times New Roman"/>
                <w:sz w:val="18"/>
                <w:szCs w:val="18"/>
              </w:rPr>
            </w:pPr>
          </w:p>
        </w:tc>
        <w:tc>
          <w:tcPr>
            <w:tcW w:w="993" w:type="dxa"/>
            <w:tcBorders>
              <w:bottom w:val="single" w:sz="4" w:space="0" w:color="auto"/>
            </w:tcBorders>
            <w:shd w:val="clear" w:color="auto" w:fill="auto"/>
            <w:vAlign w:val="bottom"/>
          </w:tcPr>
          <w:p w14:paraId="11B266DC" w14:textId="77777777" w:rsidR="00AD6187" w:rsidRPr="00AD6187" w:rsidRDefault="00AD6187" w:rsidP="00640360">
            <w:pPr>
              <w:spacing w:before="60" w:after="60"/>
              <w:ind w:left="-57" w:right="-57"/>
              <w:jc w:val="center"/>
              <w:rPr>
                <w:rFonts w:ascii="Times New Roman" w:hAnsi="Times New Roman" w:cs="Times New Roman"/>
                <w:sz w:val="16"/>
                <w:szCs w:val="16"/>
              </w:rPr>
            </w:pPr>
            <w:r w:rsidRPr="00AD6187">
              <w:rPr>
                <w:rFonts w:ascii="Times New Roman" w:hAnsi="Times New Roman" w:cs="Times New Roman"/>
                <w:sz w:val="16"/>
                <w:szCs w:val="16"/>
              </w:rPr>
              <w:t>Value</w:t>
            </w:r>
            <w:r w:rsidRPr="00AD6187">
              <w:rPr>
                <w:rFonts w:ascii="Times New Roman" w:hAnsi="Times New Roman" w:cs="Times New Roman"/>
                <w:sz w:val="16"/>
                <w:szCs w:val="16"/>
              </w:rPr>
              <w:br/>
              <w:t xml:space="preserve"> (million AMD)</w:t>
            </w:r>
          </w:p>
        </w:tc>
        <w:tc>
          <w:tcPr>
            <w:tcW w:w="799" w:type="dxa"/>
            <w:tcBorders>
              <w:bottom w:val="single" w:sz="4" w:space="0" w:color="auto"/>
            </w:tcBorders>
            <w:shd w:val="clear" w:color="auto" w:fill="auto"/>
            <w:vAlign w:val="bottom"/>
          </w:tcPr>
          <w:p w14:paraId="0420BB93" w14:textId="77777777" w:rsidR="00AD6187" w:rsidRPr="00AD6187" w:rsidRDefault="00AD6187" w:rsidP="00640360">
            <w:pPr>
              <w:spacing w:before="60" w:after="60"/>
              <w:ind w:left="-57" w:right="-57"/>
              <w:jc w:val="center"/>
              <w:rPr>
                <w:rFonts w:ascii="Times New Roman" w:hAnsi="Times New Roman" w:cs="Times New Roman"/>
                <w:sz w:val="16"/>
                <w:szCs w:val="16"/>
              </w:rPr>
            </w:pPr>
            <w:r w:rsidRPr="00AD6187">
              <w:rPr>
                <w:rFonts w:ascii="Times New Roman" w:hAnsi="Times New Roman" w:cs="Times New Roman"/>
                <w:sz w:val="16"/>
                <w:szCs w:val="16"/>
              </w:rPr>
              <w:t>Weighted average %</w:t>
            </w:r>
          </w:p>
        </w:tc>
        <w:tc>
          <w:tcPr>
            <w:tcW w:w="902" w:type="dxa"/>
            <w:tcBorders>
              <w:bottom w:val="single" w:sz="4" w:space="0" w:color="auto"/>
            </w:tcBorders>
            <w:shd w:val="clear" w:color="auto" w:fill="auto"/>
            <w:vAlign w:val="bottom"/>
          </w:tcPr>
          <w:p w14:paraId="76C8ABF9" w14:textId="77777777" w:rsidR="00AD6187" w:rsidRPr="00AD6187" w:rsidRDefault="00AD6187" w:rsidP="00640360">
            <w:pPr>
              <w:spacing w:before="60" w:after="60"/>
              <w:ind w:left="-57" w:right="-57"/>
              <w:jc w:val="center"/>
              <w:rPr>
                <w:rFonts w:ascii="Times New Roman" w:hAnsi="Times New Roman" w:cs="Times New Roman"/>
                <w:sz w:val="16"/>
                <w:szCs w:val="16"/>
              </w:rPr>
            </w:pPr>
            <w:r w:rsidRPr="00AD6187">
              <w:rPr>
                <w:rFonts w:ascii="Times New Roman" w:hAnsi="Times New Roman" w:cs="Times New Roman"/>
                <w:sz w:val="16"/>
                <w:szCs w:val="16"/>
              </w:rPr>
              <w:t>Value</w:t>
            </w:r>
            <w:r w:rsidRPr="00AD6187">
              <w:rPr>
                <w:rFonts w:ascii="Times New Roman" w:hAnsi="Times New Roman" w:cs="Times New Roman"/>
                <w:sz w:val="16"/>
                <w:szCs w:val="16"/>
              </w:rPr>
              <w:br/>
              <w:t xml:space="preserve"> (million AMD)</w:t>
            </w:r>
          </w:p>
        </w:tc>
        <w:tc>
          <w:tcPr>
            <w:tcW w:w="735" w:type="dxa"/>
            <w:tcBorders>
              <w:bottom w:val="single" w:sz="4" w:space="0" w:color="auto"/>
            </w:tcBorders>
            <w:shd w:val="clear" w:color="auto" w:fill="auto"/>
            <w:vAlign w:val="bottom"/>
          </w:tcPr>
          <w:p w14:paraId="0B7A6ACB" w14:textId="77777777" w:rsidR="00AD6187" w:rsidRPr="00AD6187" w:rsidRDefault="00AD6187" w:rsidP="00640360">
            <w:pPr>
              <w:spacing w:before="60" w:after="60"/>
              <w:ind w:left="-57" w:right="-57"/>
              <w:jc w:val="center"/>
              <w:rPr>
                <w:rFonts w:ascii="Times New Roman" w:hAnsi="Times New Roman" w:cs="Times New Roman"/>
                <w:sz w:val="16"/>
                <w:szCs w:val="16"/>
              </w:rPr>
            </w:pPr>
            <w:r w:rsidRPr="00AD6187">
              <w:rPr>
                <w:rFonts w:ascii="Times New Roman" w:hAnsi="Times New Roman" w:cs="Times New Roman"/>
                <w:sz w:val="16"/>
                <w:szCs w:val="16"/>
              </w:rPr>
              <w:t>Weighted average %</w:t>
            </w:r>
          </w:p>
        </w:tc>
        <w:tc>
          <w:tcPr>
            <w:tcW w:w="937" w:type="dxa"/>
            <w:tcBorders>
              <w:bottom w:val="single" w:sz="4" w:space="0" w:color="auto"/>
            </w:tcBorders>
            <w:shd w:val="clear" w:color="auto" w:fill="auto"/>
            <w:vAlign w:val="bottom"/>
          </w:tcPr>
          <w:p w14:paraId="725FA09F" w14:textId="77777777" w:rsidR="00AD6187" w:rsidRPr="00AD6187" w:rsidRDefault="00AD6187" w:rsidP="00640360">
            <w:pPr>
              <w:spacing w:before="60" w:after="60"/>
              <w:ind w:left="-57" w:right="-57"/>
              <w:jc w:val="center"/>
              <w:rPr>
                <w:rFonts w:ascii="Times New Roman" w:hAnsi="Times New Roman" w:cs="Times New Roman"/>
                <w:sz w:val="16"/>
                <w:szCs w:val="16"/>
              </w:rPr>
            </w:pPr>
            <w:r w:rsidRPr="00AD6187">
              <w:rPr>
                <w:rFonts w:ascii="Times New Roman" w:hAnsi="Times New Roman" w:cs="Times New Roman"/>
                <w:sz w:val="16"/>
                <w:szCs w:val="16"/>
              </w:rPr>
              <w:t>Value</w:t>
            </w:r>
            <w:r w:rsidRPr="00AD6187">
              <w:rPr>
                <w:rFonts w:ascii="Times New Roman" w:hAnsi="Times New Roman" w:cs="Times New Roman"/>
                <w:sz w:val="16"/>
                <w:szCs w:val="16"/>
              </w:rPr>
              <w:br/>
              <w:t xml:space="preserve"> (million AMD)</w:t>
            </w:r>
          </w:p>
        </w:tc>
        <w:tc>
          <w:tcPr>
            <w:tcW w:w="755" w:type="dxa"/>
            <w:tcBorders>
              <w:bottom w:val="single" w:sz="4" w:space="0" w:color="auto"/>
            </w:tcBorders>
            <w:shd w:val="clear" w:color="auto" w:fill="auto"/>
            <w:vAlign w:val="bottom"/>
          </w:tcPr>
          <w:p w14:paraId="59A1DA6A" w14:textId="77777777" w:rsidR="00AD6187" w:rsidRPr="00AD6187" w:rsidRDefault="00AD6187" w:rsidP="00640360">
            <w:pPr>
              <w:spacing w:before="60" w:after="60"/>
              <w:ind w:left="-57" w:right="-57"/>
              <w:jc w:val="center"/>
              <w:rPr>
                <w:rFonts w:ascii="Times New Roman" w:hAnsi="Times New Roman" w:cs="Times New Roman"/>
                <w:sz w:val="16"/>
                <w:szCs w:val="16"/>
              </w:rPr>
            </w:pPr>
            <w:r w:rsidRPr="00AD6187">
              <w:rPr>
                <w:rFonts w:ascii="Times New Roman" w:hAnsi="Times New Roman" w:cs="Times New Roman"/>
                <w:sz w:val="16"/>
                <w:szCs w:val="16"/>
              </w:rPr>
              <w:t>Weighted average %</w:t>
            </w:r>
          </w:p>
        </w:tc>
      </w:tr>
      <w:tr w:rsidR="00AD6187" w:rsidRPr="00AD6187" w14:paraId="58695D8B" w14:textId="77777777" w:rsidTr="00640360">
        <w:trPr>
          <w:trHeight w:val="20"/>
        </w:trPr>
        <w:tc>
          <w:tcPr>
            <w:tcW w:w="1109" w:type="dxa"/>
            <w:shd w:val="clear" w:color="auto" w:fill="auto"/>
            <w:vAlign w:val="bottom"/>
          </w:tcPr>
          <w:p w14:paraId="3B9E27D5" w14:textId="77777777" w:rsidR="00AD6187" w:rsidRPr="00AD6187" w:rsidRDefault="00AD6187" w:rsidP="00AD6187">
            <w:pPr>
              <w:spacing w:before="40" w:after="40"/>
              <w:ind w:right="-57"/>
              <w:rPr>
                <w:rFonts w:ascii="Times New Roman" w:hAnsi="Times New Roman" w:cs="Times New Roman"/>
                <w:sz w:val="18"/>
                <w:szCs w:val="18"/>
              </w:rPr>
            </w:pPr>
            <w:r w:rsidRPr="00AD6187">
              <w:rPr>
                <w:rFonts w:ascii="Times New Roman" w:hAnsi="Times New Roman" w:cs="Times New Roman"/>
                <w:sz w:val="18"/>
                <w:szCs w:val="18"/>
              </w:rPr>
              <w:t xml:space="preserve">Q1 2013 </w:t>
            </w:r>
          </w:p>
        </w:tc>
        <w:tc>
          <w:tcPr>
            <w:tcW w:w="993" w:type="dxa"/>
            <w:shd w:val="clear" w:color="auto" w:fill="auto"/>
          </w:tcPr>
          <w:p w14:paraId="3D6AF610"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63652.16 </w:t>
            </w:r>
          </w:p>
        </w:tc>
        <w:tc>
          <w:tcPr>
            <w:tcW w:w="799" w:type="dxa"/>
            <w:shd w:val="clear" w:color="auto" w:fill="auto"/>
            <w:vAlign w:val="bottom"/>
          </w:tcPr>
          <w:p w14:paraId="4B6E9BEE"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8.09</w:t>
            </w:r>
          </w:p>
        </w:tc>
        <w:tc>
          <w:tcPr>
            <w:tcW w:w="902" w:type="dxa"/>
            <w:shd w:val="clear" w:color="auto" w:fill="auto"/>
          </w:tcPr>
          <w:p w14:paraId="6D60C450"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2518.46 </w:t>
            </w:r>
          </w:p>
        </w:tc>
        <w:tc>
          <w:tcPr>
            <w:tcW w:w="735" w:type="dxa"/>
            <w:shd w:val="clear" w:color="auto" w:fill="auto"/>
            <w:vAlign w:val="bottom"/>
          </w:tcPr>
          <w:p w14:paraId="34581C83"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6.50</w:t>
            </w:r>
          </w:p>
        </w:tc>
        <w:tc>
          <w:tcPr>
            <w:tcW w:w="937" w:type="dxa"/>
            <w:shd w:val="clear" w:color="auto" w:fill="auto"/>
          </w:tcPr>
          <w:p w14:paraId="334A9359"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14.53 </w:t>
            </w:r>
          </w:p>
        </w:tc>
        <w:tc>
          <w:tcPr>
            <w:tcW w:w="755" w:type="dxa"/>
            <w:shd w:val="clear" w:color="auto" w:fill="auto"/>
            <w:vAlign w:val="bottom"/>
          </w:tcPr>
          <w:p w14:paraId="4F039B4B"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9.50</w:t>
            </w:r>
          </w:p>
        </w:tc>
      </w:tr>
      <w:tr w:rsidR="00AD6187" w:rsidRPr="00AD6187" w14:paraId="44BE334F" w14:textId="77777777" w:rsidTr="00640360">
        <w:trPr>
          <w:trHeight w:val="20"/>
        </w:trPr>
        <w:tc>
          <w:tcPr>
            <w:tcW w:w="1109" w:type="dxa"/>
            <w:shd w:val="clear" w:color="auto" w:fill="auto"/>
            <w:vAlign w:val="bottom"/>
          </w:tcPr>
          <w:p w14:paraId="5D367A68" w14:textId="77777777" w:rsidR="00AD6187" w:rsidRPr="00AD6187" w:rsidRDefault="00AD6187" w:rsidP="00640360">
            <w:pPr>
              <w:spacing w:before="40" w:after="40"/>
              <w:ind w:right="-57"/>
              <w:rPr>
                <w:rFonts w:ascii="Times New Roman" w:hAnsi="Times New Roman" w:cs="Times New Roman"/>
                <w:sz w:val="18"/>
                <w:szCs w:val="18"/>
              </w:rPr>
            </w:pPr>
            <w:r w:rsidRPr="00AD6187">
              <w:rPr>
                <w:rFonts w:ascii="Times New Roman" w:hAnsi="Times New Roman" w:cs="Times New Roman"/>
                <w:sz w:val="18"/>
                <w:szCs w:val="18"/>
              </w:rPr>
              <w:t>Q2</w:t>
            </w:r>
          </w:p>
        </w:tc>
        <w:tc>
          <w:tcPr>
            <w:tcW w:w="993" w:type="dxa"/>
            <w:shd w:val="clear" w:color="auto" w:fill="auto"/>
          </w:tcPr>
          <w:p w14:paraId="0E02CA9D"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71467.51 </w:t>
            </w:r>
          </w:p>
        </w:tc>
        <w:tc>
          <w:tcPr>
            <w:tcW w:w="799" w:type="dxa"/>
            <w:shd w:val="clear" w:color="auto" w:fill="auto"/>
            <w:vAlign w:val="bottom"/>
          </w:tcPr>
          <w:p w14:paraId="1C23B2EB"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8.19</w:t>
            </w:r>
          </w:p>
        </w:tc>
        <w:tc>
          <w:tcPr>
            <w:tcW w:w="902" w:type="dxa"/>
            <w:shd w:val="clear" w:color="auto" w:fill="auto"/>
          </w:tcPr>
          <w:p w14:paraId="20939898"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2712.31 </w:t>
            </w:r>
          </w:p>
        </w:tc>
        <w:tc>
          <w:tcPr>
            <w:tcW w:w="735" w:type="dxa"/>
            <w:shd w:val="clear" w:color="auto" w:fill="auto"/>
            <w:vAlign w:val="bottom"/>
          </w:tcPr>
          <w:p w14:paraId="5951D409"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6.50</w:t>
            </w:r>
          </w:p>
        </w:tc>
        <w:tc>
          <w:tcPr>
            <w:tcW w:w="937" w:type="dxa"/>
            <w:shd w:val="clear" w:color="auto" w:fill="auto"/>
          </w:tcPr>
          <w:p w14:paraId="33404EC9"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45.74 </w:t>
            </w:r>
          </w:p>
        </w:tc>
        <w:tc>
          <w:tcPr>
            <w:tcW w:w="755" w:type="dxa"/>
            <w:shd w:val="clear" w:color="auto" w:fill="auto"/>
            <w:vAlign w:val="bottom"/>
          </w:tcPr>
          <w:p w14:paraId="451B55FA"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9.50</w:t>
            </w:r>
          </w:p>
        </w:tc>
      </w:tr>
      <w:tr w:rsidR="00AD6187" w:rsidRPr="00AD6187" w14:paraId="764B5769" w14:textId="77777777" w:rsidTr="00640360">
        <w:trPr>
          <w:trHeight w:val="20"/>
        </w:trPr>
        <w:tc>
          <w:tcPr>
            <w:tcW w:w="1109" w:type="dxa"/>
            <w:shd w:val="clear" w:color="auto" w:fill="auto"/>
            <w:vAlign w:val="bottom"/>
          </w:tcPr>
          <w:p w14:paraId="4FC32F38" w14:textId="77777777" w:rsidR="00AD6187" w:rsidRPr="00AD6187" w:rsidRDefault="00AD6187" w:rsidP="00640360">
            <w:pPr>
              <w:spacing w:before="40" w:after="40"/>
              <w:ind w:right="-57"/>
              <w:rPr>
                <w:rFonts w:ascii="Times New Roman" w:hAnsi="Times New Roman" w:cs="Times New Roman"/>
                <w:sz w:val="18"/>
                <w:szCs w:val="18"/>
              </w:rPr>
            </w:pPr>
            <w:r w:rsidRPr="00AD6187">
              <w:rPr>
                <w:rFonts w:ascii="Times New Roman" w:hAnsi="Times New Roman" w:cs="Times New Roman"/>
                <w:sz w:val="18"/>
                <w:szCs w:val="18"/>
              </w:rPr>
              <w:t>Q3</w:t>
            </w:r>
          </w:p>
        </w:tc>
        <w:tc>
          <w:tcPr>
            <w:tcW w:w="993" w:type="dxa"/>
            <w:shd w:val="clear" w:color="auto" w:fill="auto"/>
          </w:tcPr>
          <w:p w14:paraId="0DF7692A"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86238.94 </w:t>
            </w:r>
          </w:p>
        </w:tc>
        <w:tc>
          <w:tcPr>
            <w:tcW w:w="799" w:type="dxa"/>
            <w:shd w:val="clear" w:color="auto" w:fill="auto"/>
            <w:vAlign w:val="bottom"/>
          </w:tcPr>
          <w:p w14:paraId="678A205C"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8.42</w:t>
            </w:r>
          </w:p>
        </w:tc>
        <w:tc>
          <w:tcPr>
            <w:tcW w:w="902" w:type="dxa"/>
            <w:shd w:val="clear" w:color="auto" w:fill="auto"/>
          </w:tcPr>
          <w:p w14:paraId="39085ACA"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2712.31 </w:t>
            </w:r>
          </w:p>
        </w:tc>
        <w:tc>
          <w:tcPr>
            <w:tcW w:w="735" w:type="dxa"/>
            <w:shd w:val="clear" w:color="auto" w:fill="auto"/>
            <w:vAlign w:val="bottom"/>
          </w:tcPr>
          <w:p w14:paraId="108FCA68"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6.75</w:t>
            </w:r>
          </w:p>
        </w:tc>
        <w:tc>
          <w:tcPr>
            <w:tcW w:w="937" w:type="dxa"/>
            <w:shd w:val="clear" w:color="auto" w:fill="auto"/>
          </w:tcPr>
          <w:p w14:paraId="7754B525"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20.30 </w:t>
            </w:r>
          </w:p>
        </w:tc>
        <w:tc>
          <w:tcPr>
            <w:tcW w:w="755" w:type="dxa"/>
            <w:shd w:val="clear" w:color="auto" w:fill="auto"/>
            <w:vAlign w:val="bottom"/>
          </w:tcPr>
          <w:p w14:paraId="07B64395"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9.50</w:t>
            </w:r>
          </w:p>
        </w:tc>
      </w:tr>
      <w:tr w:rsidR="00AD6187" w:rsidRPr="00AD6187" w14:paraId="677A5F9F" w14:textId="77777777" w:rsidTr="00640360">
        <w:trPr>
          <w:trHeight w:val="20"/>
        </w:trPr>
        <w:tc>
          <w:tcPr>
            <w:tcW w:w="1109" w:type="dxa"/>
            <w:shd w:val="clear" w:color="auto" w:fill="auto"/>
            <w:vAlign w:val="bottom"/>
          </w:tcPr>
          <w:p w14:paraId="43653E65" w14:textId="77777777" w:rsidR="00AD6187" w:rsidRPr="00AD6187" w:rsidRDefault="00AD6187" w:rsidP="00640360">
            <w:pPr>
              <w:spacing w:before="40" w:after="40"/>
              <w:ind w:right="-57"/>
              <w:rPr>
                <w:rFonts w:ascii="Times New Roman" w:hAnsi="Times New Roman" w:cs="Times New Roman"/>
                <w:sz w:val="18"/>
                <w:szCs w:val="18"/>
              </w:rPr>
            </w:pPr>
            <w:r w:rsidRPr="00AD6187">
              <w:rPr>
                <w:rFonts w:ascii="Times New Roman" w:hAnsi="Times New Roman" w:cs="Times New Roman"/>
                <w:sz w:val="18"/>
                <w:szCs w:val="18"/>
              </w:rPr>
              <w:t>Q4</w:t>
            </w:r>
          </w:p>
        </w:tc>
        <w:tc>
          <w:tcPr>
            <w:tcW w:w="993" w:type="dxa"/>
            <w:shd w:val="clear" w:color="auto" w:fill="auto"/>
          </w:tcPr>
          <w:p w14:paraId="1E178E39"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76070.53 </w:t>
            </w:r>
          </w:p>
        </w:tc>
        <w:tc>
          <w:tcPr>
            <w:tcW w:w="799" w:type="dxa"/>
            <w:shd w:val="clear" w:color="auto" w:fill="auto"/>
            <w:vAlign w:val="bottom"/>
          </w:tcPr>
          <w:p w14:paraId="08B7D8E8"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8.31</w:t>
            </w:r>
          </w:p>
        </w:tc>
        <w:tc>
          <w:tcPr>
            <w:tcW w:w="902" w:type="dxa"/>
            <w:shd w:val="clear" w:color="auto" w:fill="auto"/>
          </w:tcPr>
          <w:p w14:paraId="1008F89A"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6035.38 </w:t>
            </w:r>
          </w:p>
        </w:tc>
        <w:tc>
          <w:tcPr>
            <w:tcW w:w="735" w:type="dxa"/>
            <w:shd w:val="clear" w:color="auto" w:fill="auto"/>
            <w:vAlign w:val="bottom"/>
          </w:tcPr>
          <w:p w14:paraId="4335E7E3"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6.71</w:t>
            </w:r>
          </w:p>
        </w:tc>
        <w:tc>
          <w:tcPr>
            <w:tcW w:w="937" w:type="dxa"/>
            <w:shd w:val="clear" w:color="auto" w:fill="auto"/>
          </w:tcPr>
          <w:p w14:paraId="060DD54C"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7.69 </w:t>
            </w:r>
          </w:p>
        </w:tc>
        <w:tc>
          <w:tcPr>
            <w:tcW w:w="755" w:type="dxa"/>
            <w:shd w:val="clear" w:color="auto" w:fill="auto"/>
            <w:vAlign w:val="bottom"/>
          </w:tcPr>
          <w:p w14:paraId="5BBC7250"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10.0</w:t>
            </w:r>
          </w:p>
        </w:tc>
      </w:tr>
      <w:tr w:rsidR="00AD6187" w:rsidRPr="00AD6187" w14:paraId="3A13D704" w14:textId="77777777" w:rsidTr="00640360">
        <w:trPr>
          <w:trHeight w:val="20"/>
        </w:trPr>
        <w:tc>
          <w:tcPr>
            <w:tcW w:w="1109" w:type="dxa"/>
            <w:shd w:val="clear" w:color="auto" w:fill="auto"/>
            <w:vAlign w:val="bottom"/>
          </w:tcPr>
          <w:p w14:paraId="5CB33A91" w14:textId="77777777" w:rsidR="00AD6187" w:rsidRPr="00AD6187" w:rsidRDefault="00AD6187" w:rsidP="00640360">
            <w:pPr>
              <w:spacing w:before="40" w:after="40"/>
              <w:ind w:right="-57"/>
              <w:rPr>
                <w:rFonts w:ascii="Times New Roman" w:hAnsi="Times New Roman" w:cs="Times New Roman"/>
                <w:sz w:val="18"/>
                <w:szCs w:val="18"/>
              </w:rPr>
            </w:pPr>
            <w:r w:rsidRPr="00AD6187">
              <w:rPr>
                <w:rFonts w:ascii="Times New Roman" w:hAnsi="Times New Roman" w:cs="Times New Roman"/>
                <w:sz w:val="18"/>
                <w:szCs w:val="18"/>
              </w:rPr>
              <w:t>Q1 2014</w:t>
            </w:r>
          </w:p>
        </w:tc>
        <w:tc>
          <w:tcPr>
            <w:tcW w:w="993" w:type="dxa"/>
            <w:shd w:val="clear" w:color="auto" w:fill="auto"/>
          </w:tcPr>
          <w:p w14:paraId="62DAA46A"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58769.52 </w:t>
            </w:r>
          </w:p>
        </w:tc>
        <w:tc>
          <w:tcPr>
            <w:tcW w:w="799" w:type="dxa"/>
            <w:shd w:val="clear" w:color="auto" w:fill="auto"/>
            <w:vAlign w:val="bottom"/>
          </w:tcPr>
          <w:p w14:paraId="78E26B3E"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7.80</w:t>
            </w:r>
          </w:p>
        </w:tc>
        <w:tc>
          <w:tcPr>
            <w:tcW w:w="902" w:type="dxa"/>
            <w:shd w:val="clear" w:color="auto" w:fill="auto"/>
          </w:tcPr>
          <w:p w14:paraId="21392994"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8230.77 </w:t>
            </w:r>
          </w:p>
        </w:tc>
        <w:tc>
          <w:tcPr>
            <w:tcW w:w="735" w:type="dxa"/>
            <w:shd w:val="clear" w:color="auto" w:fill="auto"/>
            <w:vAlign w:val="bottom"/>
          </w:tcPr>
          <w:p w14:paraId="28FCD694"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6.17</w:t>
            </w:r>
          </w:p>
        </w:tc>
        <w:tc>
          <w:tcPr>
            <w:tcW w:w="937" w:type="dxa"/>
            <w:shd w:val="clear" w:color="auto" w:fill="auto"/>
          </w:tcPr>
          <w:p w14:paraId="06C0AE02"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297.76 </w:t>
            </w:r>
          </w:p>
        </w:tc>
        <w:tc>
          <w:tcPr>
            <w:tcW w:w="755" w:type="dxa"/>
            <w:shd w:val="clear" w:color="auto" w:fill="auto"/>
            <w:vAlign w:val="bottom"/>
          </w:tcPr>
          <w:p w14:paraId="28E025B8"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9.05</w:t>
            </w:r>
          </w:p>
        </w:tc>
      </w:tr>
      <w:tr w:rsidR="00AD6187" w:rsidRPr="00AD6187" w14:paraId="021FF37B" w14:textId="77777777" w:rsidTr="00640360">
        <w:trPr>
          <w:trHeight w:val="20"/>
        </w:trPr>
        <w:tc>
          <w:tcPr>
            <w:tcW w:w="1109" w:type="dxa"/>
            <w:shd w:val="clear" w:color="auto" w:fill="auto"/>
            <w:vAlign w:val="bottom"/>
          </w:tcPr>
          <w:p w14:paraId="262C7FC2" w14:textId="77777777" w:rsidR="00AD6187" w:rsidRPr="00AD6187" w:rsidRDefault="00AD6187" w:rsidP="00640360">
            <w:pPr>
              <w:spacing w:before="40" w:after="40"/>
              <w:ind w:right="-57"/>
              <w:rPr>
                <w:rFonts w:ascii="Times New Roman" w:hAnsi="Times New Roman" w:cs="Times New Roman"/>
                <w:sz w:val="18"/>
                <w:szCs w:val="18"/>
              </w:rPr>
            </w:pPr>
            <w:r w:rsidRPr="00AD6187">
              <w:rPr>
                <w:rFonts w:ascii="Times New Roman" w:hAnsi="Times New Roman" w:cs="Times New Roman"/>
                <w:sz w:val="18"/>
                <w:szCs w:val="18"/>
              </w:rPr>
              <w:t>Q2</w:t>
            </w:r>
          </w:p>
        </w:tc>
        <w:tc>
          <w:tcPr>
            <w:tcW w:w="993" w:type="dxa"/>
            <w:shd w:val="clear" w:color="auto" w:fill="auto"/>
          </w:tcPr>
          <w:p w14:paraId="142DFE03"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41619.24 </w:t>
            </w:r>
          </w:p>
        </w:tc>
        <w:tc>
          <w:tcPr>
            <w:tcW w:w="799" w:type="dxa"/>
            <w:shd w:val="clear" w:color="auto" w:fill="auto"/>
            <w:vAlign w:val="bottom"/>
          </w:tcPr>
          <w:p w14:paraId="437665F9"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7.79</w:t>
            </w:r>
          </w:p>
        </w:tc>
        <w:tc>
          <w:tcPr>
            <w:tcW w:w="902" w:type="dxa"/>
            <w:shd w:val="clear" w:color="auto" w:fill="auto"/>
          </w:tcPr>
          <w:p w14:paraId="3032D3BB"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9908.46 </w:t>
            </w:r>
          </w:p>
        </w:tc>
        <w:tc>
          <w:tcPr>
            <w:tcW w:w="735" w:type="dxa"/>
            <w:shd w:val="clear" w:color="auto" w:fill="auto"/>
            <w:vAlign w:val="bottom"/>
          </w:tcPr>
          <w:p w14:paraId="28F17158"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5.88</w:t>
            </w:r>
          </w:p>
        </w:tc>
        <w:tc>
          <w:tcPr>
            <w:tcW w:w="937" w:type="dxa"/>
            <w:shd w:val="clear" w:color="auto" w:fill="auto"/>
          </w:tcPr>
          <w:p w14:paraId="51961097"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41.38 </w:t>
            </w:r>
          </w:p>
        </w:tc>
        <w:tc>
          <w:tcPr>
            <w:tcW w:w="755" w:type="dxa"/>
            <w:shd w:val="clear" w:color="auto" w:fill="auto"/>
            <w:vAlign w:val="bottom"/>
          </w:tcPr>
          <w:p w14:paraId="05073F9C"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8.75</w:t>
            </w:r>
          </w:p>
        </w:tc>
      </w:tr>
      <w:tr w:rsidR="00AD6187" w:rsidRPr="00AD6187" w14:paraId="6BBD83A7" w14:textId="77777777" w:rsidTr="00640360">
        <w:trPr>
          <w:trHeight w:val="20"/>
        </w:trPr>
        <w:tc>
          <w:tcPr>
            <w:tcW w:w="1109" w:type="dxa"/>
            <w:shd w:val="clear" w:color="auto" w:fill="auto"/>
            <w:vAlign w:val="bottom"/>
          </w:tcPr>
          <w:p w14:paraId="1ECC64D1" w14:textId="77777777" w:rsidR="00AD6187" w:rsidRPr="00AD6187" w:rsidRDefault="00AD6187" w:rsidP="00640360">
            <w:pPr>
              <w:spacing w:before="40" w:after="40"/>
              <w:ind w:right="-57"/>
              <w:rPr>
                <w:rFonts w:ascii="Times New Roman" w:hAnsi="Times New Roman" w:cs="Times New Roman"/>
                <w:sz w:val="18"/>
                <w:szCs w:val="18"/>
              </w:rPr>
            </w:pPr>
            <w:r w:rsidRPr="00AD6187">
              <w:rPr>
                <w:rFonts w:ascii="Times New Roman" w:hAnsi="Times New Roman" w:cs="Times New Roman"/>
                <w:sz w:val="18"/>
                <w:szCs w:val="18"/>
              </w:rPr>
              <w:t>Q3</w:t>
            </w:r>
          </w:p>
        </w:tc>
        <w:tc>
          <w:tcPr>
            <w:tcW w:w="993" w:type="dxa"/>
            <w:shd w:val="clear" w:color="auto" w:fill="auto"/>
          </w:tcPr>
          <w:p w14:paraId="22446312"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37331.05 </w:t>
            </w:r>
          </w:p>
        </w:tc>
        <w:tc>
          <w:tcPr>
            <w:tcW w:w="799" w:type="dxa"/>
            <w:shd w:val="clear" w:color="auto" w:fill="auto"/>
            <w:vAlign w:val="bottom"/>
          </w:tcPr>
          <w:p w14:paraId="34997C69"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7.16</w:t>
            </w:r>
          </w:p>
        </w:tc>
        <w:tc>
          <w:tcPr>
            <w:tcW w:w="902" w:type="dxa"/>
            <w:shd w:val="clear" w:color="auto" w:fill="auto"/>
          </w:tcPr>
          <w:p w14:paraId="7F469DEF"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3270.00 </w:t>
            </w:r>
          </w:p>
        </w:tc>
        <w:tc>
          <w:tcPr>
            <w:tcW w:w="735" w:type="dxa"/>
            <w:shd w:val="clear" w:color="auto" w:fill="auto"/>
            <w:vAlign w:val="bottom"/>
          </w:tcPr>
          <w:p w14:paraId="5325D934"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5.47</w:t>
            </w:r>
          </w:p>
        </w:tc>
        <w:tc>
          <w:tcPr>
            <w:tcW w:w="937" w:type="dxa"/>
            <w:shd w:val="clear" w:color="auto" w:fill="auto"/>
          </w:tcPr>
          <w:p w14:paraId="6E0A71A3"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 xml:space="preserve">16.08 </w:t>
            </w:r>
          </w:p>
        </w:tc>
        <w:tc>
          <w:tcPr>
            <w:tcW w:w="755" w:type="dxa"/>
            <w:shd w:val="clear" w:color="auto" w:fill="auto"/>
            <w:vAlign w:val="bottom"/>
          </w:tcPr>
          <w:p w14:paraId="21B65A93"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8.43</w:t>
            </w:r>
          </w:p>
        </w:tc>
      </w:tr>
      <w:tr w:rsidR="00AD6187" w:rsidRPr="00AD6187" w14:paraId="01BD78C8" w14:textId="77777777" w:rsidTr="00640360">
        <w:trPr>
          <w:trHeight w:val="20"/>
        </w:trPr>
        <w:tc>
          <w:tcPr>
            <w:tcW w:w="1109" w:type="dxa"/>
            <w:shd w:val="clear" w:color="auto" w:fill="auto"/>
            <w:vAlign w:val="bottom"/>
          </w:tcPr>
          <w:p w14:paraId="60709E18" w14:textId="77777777" w:rsidR="00AD6187" w:rsidRPr="00AD6187" w:rsidRDefault="00AD6187" w:rsidP="00640360">
            <w:pPr>
              <w:spacing w:before="40" w:after="40"/>
              <w:ind w:right="-57"/>
              <w:rPr>
                <w:rFonts w:ascii="Times New Roman" w:hAnsi="Times New Roman" w:cs="Times New Roman"/>
                <w:sz w:val="18"/>
                <w:szCs w:val="18"/>
              </w:rPr>
            </w:pPr>
            <w:r w:rsidRPr="00AD6187">
              <w:rPr>
                <w:rFonts w:ascii="Times New Roman" w:hAnsi="Times New Roman" w:cs="Times New Roman"/>
                <w:sz w:val="18"/>
                <w:szCs w:val="18"/>
              </w:rPr>
              <w:t>Q4</w:t>
            </w:r>
          </w:p>
        </w:tc>
        <w:tc>
          <w:tcPr>
            <w:tcW w:w="993" w:type="dxa"/>
            <w:shd w:val="clear" w:color="auto" w:fill="auto"/>
          </w:tcPr>
          <w:p w14:paraId="5B6DE572"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34048.94</w:t>
            </w:r>
          </w:p>
        </w:tc>
        <w:tc>
          <w:tcPr>
            <w:tcW w:w="799" w:type="dxa"/>
            <w:shd w:val="clear" w:color="auto" w:fill="auto"/>
            <w:vAlign w:val="bottom"/>
          </w:tcPr>
          <w:p w14:paraId="22082161"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10.60</w:t>
            </w:r>
          </w:p>
        </w:tc>
        <w:tc>
          <w:tcPr>
            <w:tcW w:w="902" w:type="dxa"/>
            <w:shd w:val="clear" w:color="auto" w:fill="auto"/>
          </w:tcPr>
          <w:p w14:paraId="2CF54D59"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1765.67</w:t>
            </w:r>
          </w:p>
        </w:tc>
        <w:tc>
          <w:tcPr>
            <w:tcW w:w="735" w:type="dxa"/>
            <w:shd w:val="clear" w:color="auto" w:fill="auto"/>
            <w:vAlign w:val="bottom"/>
          </w:tcPr>
          <w:p w14:paraId="59A51145"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5.25</w:t>
            </w:r>
          </w:p>
        </w:tc>
        <w:tc>
          <w:tcPr>
            <w:tcW w:w="937" w:type="dxa"/>
            <w:shd w:val="clear" w:color="auto" w:fill="auto"/>
          </w:tcPr>
          <w:p w14:paraId="2C9457EA"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41550.14</w:t>
            </w:r>
          </w:p>
        </w:tc>
        <w:tc>
          <w:tcPr>
            <w:tcW w:w="755" w:type="dxa"/>
            <w:shd w:val="clear" w:color="auto" w:fill="auto"/>
            <w:vAlign w:val="bottom"/>
          </w:tcPr>
          <w:p w14:paraId="51FD694C" w14:textId="77777777" w:rsidR="00AD6187" w:rsidRPr="00AD6187" w:rsidRDefault="00AD6187" w:rsidP="00640360">
            <w:pPr>
              <w:spacing w:before="40" w:after="40"/>
              <w:ind w:left="-57" w:right="-57"/>
              <w:jc w:val="center"/>
              <w:rPr>
                <w:rFonts w:ascii="Times New Roman" w:hAnsi="Times New Roman" w:cs="Times New Roman"/>
                <w:sz w:val="18"/>
                <w:szCs w:val="18"/>
              </w:rPr>
            </w:pPr>
            <w:r w:rsidRPr="00AD6187">
              <w:rPr>
                <w:rFonts w:ascii="Times New Roman" w:hAnsi="Times New Roman" w:cs="Times New Roman"/>
                <w:sz w:val="18"/>
                <w:szCs w:val="18"/>
              </w:rPr>
              <w:t>19.69</w:t>
            </w:r>
          </w:p>
        </w:tc>
      </w:tr>
    </w:tbl>
    <w:p w14:paraId="5CCF40E9" w14:textId="77777777" w:rsidR="00AD6187" w:rsidRPr="0007020B" w:rsidRDefault="00AD6187" w:rsidP="00AD6187">
      <w:pPr>
        <w:spacing w:line="260" w:lineRule="atLeast"/>
        <w:ind w:firstLine="284"/>
        <w:jc w:val="both"/>
        <w:rPr>
          <w:rFonts w:ascii="Arial LatArm" w:hAnsi="Arial LatArm" w:cs="Sylfaen"/>
          <w:color w:val="FF0000"/>
          <w:sz w:val="20"/>
          <w:szCs w:val="20"/>
          <w:lang w:val="es-AR"/>
        </w:rPr>
      </w:pPr>
    </w:p>
    <w:p w14:paraId="15FA0397" w14:textId="77777777" w:rsidR="00A9653E" w:rsidRPr="00EC356F" w:rsidRDefault="00A27447" w:rsidP="00A9653E">
      <w:pPr>
        <w:spacing w:line="360" w:lineRule="auto"/>
        <w:jc w:val="both"/>
        <w:rPr>
          <w:rFonts w:ascii="Times New Roman" w:hAnsi="Times New Roman" w:cs="Times New Roman"/>
          <w:sz w:val="21"/>
          <w:szCs w:val="21"/>
        </w:rPr>
      </w:pPr>
      <w:r>
        <w:rPr>
          <w:rStyle w:val="longtext"/>
          <w:rFonts w:ascii="Times New Roman" w:hAnsi="Times New Roman" w:cs="Times New Roman"/>
          <w:color w:val="000000"/>
          <w:sz w:val="21"/>
          <w:szCs w:val="21"/>
          <w:shd w:val="clear" w:color="auto" w:fill="FFFFFF"/>
        </w:rPr>
        <w:t xml:space="preserve">The </w:t>
      </w:r>
      <w:r w:rsidRPr="00A27447">
        <w:rPr>
          <w:rStyle w:val="longtext"/>
          <w:rFonts w:ascii="Times New Roman" w:hAnsi="Times New Roman" w:cs="Times New Roman"/>
          <w:color w:val="000000"/>
          <w:sz w:val="21"/>
          <w:szCs w:val="21"/>
          <w:shd w:val="clear" w:color="auto" w:fill="FFFFFF"/>
        </w:rPr>
        <w:t xml:space="preserve">situation </w:t>
      </w:r>
      <w:r>
        <w:rPr>
          <w:rStyle w:val="longtext"/>
          <w:rFonts w:ascii="Times New Roman" w:hAnsi="Times New Roman" w:cs="Times New Roman"/>
          <w:color w:val="000000"/>
          <w:sz w:val="21"/>
          <w:szCs w:val="21"/>
          <w:shd w:val="clear" w:color="auto" w:fill="FFFFFF"/>
        </w:rPr>
        <w:t xml:space="preserve">in the </w:t>
      </w:r>
      <w:r w:rsidRPr="00A27447">
        <w:rPr>
          <w:rStyle w:val="longtext"/>
          <w:rFonts w:ascii="Times New Roman" w:hAnsi="Times New Roman" w:cs="Times New Roman"/>
          <w:color w:val="000000"/>
          <w:sz w:val="21"/>
          <w:szCs w:val="21"/>
          <w:shd w:val="clear" w:color="auto" w:fill="FFFFFF"/>
        </w:rPr>
        <w:t xml:space="preserve">financial market </w:t>
      </w:r>
      <w:r>
        <w:rPr>
          <w:rStyle w:val="longtext"/>
          <w:rFonts w:ascii="Times New Roman" w:hAnsi="Times New Roman" w:cs="Times New Roman"/>
          <w:color w:val="000000"/>
          <w:sz w:val="21"/>
          <w:szCs w:val="21"/>
          <w:shd w:val="clear" w:color="auto" w:fill="FFFFFF"/>
        </w:rPr>
        <w:t xml:space="preserve">in the 4th quarter of </w:t>
      </w:r>
      <w:r w:rsidRPr="00A27447">
        <w:rPr>
          <w:rStyle w:val="longtext"/>
          <w:rFonts w:ascii="Times New Roman" w:hAnsi="Times New Roman" w:cs="Times New Roman"/>
          <w:color w:val="000000"/>
          <w:sz w:val="21"/>
          <w:szCs w:val="21"/>
          <w:shd w:val="clear" w:color="auto" w:fill="FFFFFF"/>
        </w:rPr>
        <w:t>2014</w:t>
      </w:r>
      <w:r>
        <w:rPr>
          <w:rStyle w:val="longtext"/>
          <w:rFonts w:ascii="Times New Roman" w:hAnsi="Times New Roman" w:cs="Times New Roman"/>
          <w:color w:val="000000"/>
          <w:sz w:val="21"/>
          <w:szCs w:val="21"/>
          <w:shd w:val="clear" w:color="auto" w:fill="FFFFFF"/>
        </w:rPr>
        <w:t xml:space="preserve"> – the depreciated dram </w:t>
      </w:r>
      <w:r w:rsidRPr="00A27447">
        <w:rPr>
          <w:rStyle w:val="longtext"/>
          <w:rFonts w:ascii="Times New Roman" w:hAnsi="Times New Roman" w:cs="Times New Roman"/>
          <w:color w:val="000000"/>
          <w:sz w:val="21"/>
          <w:szCs w:val="21"/>
          <w:shd w:val="clear" w:color="auto" w:fill="FFFFFF"/>
        </w:rPr>
        <w:t>exchange rate</w:t>
      </w:r>
      <w:r>
        <w:rPr>
          <w:rStyle w:val="longtext"/>
          <w:rFonts w:ascii="Times New Roman" w:hAnsi="Times New Roman" w:cs="Times New Roman"/>
          <w:color w:val="000000"/>
          <w:sz w:val="21"/>
          <w:szCs w:val="21"/>
          <w:shd w:val="clear" w:color="auto" w:fill="FFFFFF"/>
        </w:rPr>
        <w:t xml:space="preserve">, </w:t>
      </w:r>
      <w:r w:rsidRPr="00A27447">
        <w:rPr>
          <w:rStyle w:val="longtext"/>
          <w:rFonts w:ascii="Times New Roman" w:hAnsi="Times New Roman" w:cs="Times New Roman"/>
          <w:color w:val="000000"/>
          <w:sz w:val="21"/>
          <w:szCs w:val="21"/>
          <w:shd w:val="clear" w:color="auto" w:fill="FFFFFF"/>
        </w:rPr>
        <w:t xml:space="preserve"> </w:t>
      </w:r>
      <w:r w:rsidR="000A16EF" w:rsidRPr="00A27447">
        <w:rPr>
          <w:rStyle w:val="longtext"/>
          <w:rFonts w:ascii="Times New Roman" w:hAnsi="Times New Roman" w:cs="Times New Roman"/>
          <w:color w:val="000000"/>
          <w:sz w:val="21"/>
          <w:szCs w:val="21"/>
          <w:shd w:val="clear" w:color="auto" w:fill="FFFFFF"/>
        </w:rPr>
        <w:t>rais</w:t>
      </w:r>
      <w:r w:rsidR="000A16EF">
        <w:rPr>
          <w:rStyle w:val="longtext"/>
          <w:rFonts w:ascii="Times New Roman" w:hAnsi="Times New Roman" w:cs="Times New Roman"/>
          <w:color w:val="000000"/>
          <w:sz w:val="21"/>
          <w:szCs w:val="21"/>
          <w:shd w:val="clear" w:color="auto" w:fill="FFFFFF"/>
        </w:rPr>
        <w:t>ed</w:t>
      </w:r>
      <w:r w:rsidR="000A16EF" w:rsidRPr="00A27447">
        <w:rPr>
          <w:rStyle w:val="longtext"/>
          <w:rFonts w:ascii="Times New Roman" w:hAnsi="Times New Roman" w:cs="Times New Roman"/>
          <w:color w:val="000000"/>
          <w:sz w:val="21"/>
          <w:szCs w:val="21"/>
          <w:shd w:val="clear" w:color="auto" w:fill="FFFFFF"/>
        </w:rPr>
        <w:t xml:space="preserve"> interest rates </w:t>
      </w:r>
      <w:r w:rsidR="000A16EF">
        <w:rPr>
          <w:rStyle w:val="longtext"/>
          <w:rFonts w:ascii="Times New Roman" w:hAnsi="Times New Roman" w:cs="Times New Roman"/>
          <w:color w:val="000000"/>
          <w:sz w:val="21"/>
          <w:szCs w:val="21"/>
          <w:shd w:val="clear" w:color="auto" w:fill="FFFFFF"/>
        </w:rPr>
        <w:t>of the monetary policy</w:t>
      </w:r>
      <w:r w:rsidRPr="00A27447">
        <w:rPr>
          <w:rStyle w:val="longtext"/>
          <w:rFonts w:ascii="Times New Roman" w:hAnsi="Times New Roman" w:cs="Times New Roman"/>
          <w:color w:val="000000"/>
          <w:sz w:val="21"/>
          <w:szCs w:val="21"/>
          <w:shd w:val="clear" w:color="auto" w:fill="FFFFFF"/>
        </w:rPr>
        <w:t xml:space="preserve"> instruments</w:t>
      </w:r>
      <w:r w:rsidR="000A16EF">
        <w:rPr>
          <w:rStyle w:val="longtext"/>
          <w:rFonts w:ascii="Times New Roman" w:hAnsi="Times New Roman" w:cs="Times New Roman"/>
          <w:color w:val="000000"/>
          <w:sz w:val="21"/>
          <w:szCs w:val="21"/>
          <w:shd w:val="clear" w:color="auto" w:fill="FFFFFF"/>
        </w:rPr>
        <w:t xml:space="preserve"> by the Central Bank, reduced liquidity in the</w:t>
      </w:r>
      <w:r w:rsidR="00322F68">
        <w:rPr>
          <w:rStyle w:val="longtext"/>
          <w:rFonts w:ascii="Times New Roman" w:hAnsi="Times New Roman" w:cs="Times New Roman"/>
          <w:color w:val="000000"/>
          <w:sz w:val="21"/>
          <w:szCs w:val="21"/>
          <w:shd w:val="clear" w:color="auto" w:fill="FFFFFF"/>
        </w:rPr>
        <w:t xml:space="preserve"> </w:t>
      </w:r>
      <w:r w:rsidR="000A16EF">
        <w:rPr>
          <w:rStyle w:val="longtext"/>
          <w:rFonts w:ascii="Times New Roman" w:hAnsi="Times New Roman" w:cs="Times New Roman"/>
          <w:color w:val="000000"/>
          <w:sz w:val="21"/>
          <w:szCs w:val="21"/>
          <w:shd w:val="clear" w:color="auto" w:fill="FFFFFF"/>
        </w:rPr>
        <w:t>banking sector as a result of an adjusted reserve requirement ratio – would have to lead inevitabl</w:t>
      </w:r>
      <w:r w:rsidR="000A16EF" w:rsidRPr="00A27447">
        <w:rPr>
          <w:rStyle w:val="longtext"/>
          <w:rFonts w:ascii="Times New Roman" w:hAnsi="Times New Roman" w:cs="Times New Roman"/>
          <w:color w:val="000000"/>
          <w:sz w:val="21"/>
          <w:szCs w:val="21"/>
          <w:shd w:val="clear" w:color="auto" w:fill="FFFFFF"/>
        </w:rPr>
        <w:t xml:space="preserve">y </w:t>
      </w:r>
      <w:r w:rsidR="000A16EF">
        <w:rPr>
          <w:rStyle w:val="longtext"/>
          <w:rFonts w:ascii="Times New Roman" w:hAnsi="Times New Roman" w:cs="Times New Roman"/>
          <w:color w:val="000000"/>
          <w:sz w:val="21"/>
          <w:szCs w:val="21"/>
          <w:shd w:val="clear" w:color="auto" w:fill="FFFFFF"/>
        </w:rPr>
        <w:t>to an</w:t>
      </w:r>
      <w:r w:rsidRPr="00A27447">
        <w:rPr>
          <w:rStyle w:val="longtext"/>
          <w:rFonts w:ascii="Times New Roman" w:hAnsi="Times New Roman" w:cs="Times New Roman"/>
          <w:color w:val="000000"/>
          <w:sz w:val="21"/>
          <w:szCs w:val="21"/>
          <w:shd w:val="clear" w:color="auto" w:fill="FFFFFF"/>
        </w:rPr>
        <w:t xml:space="preserve"> </w:t>
      </w:r>
      <w:r w:rsidR="000A16EF">
        <w:rPr>
          <w:rStyle w:val="longtext"/>
          <w:rFonts w:ascii="Times New Roman" w:hAnsi="Times New Roman" w:cs="Times New Roman"/>
          <w:color w:val="000000"/>
          <w:sz w:val="21"/>
          <w:szCs w:val="21"/>
          <w:shd w:val="clear" w:color="auto" w:fill="FFFFFF"/>
        </w:rPr>
        <w:t>abrupt rise of short-term dram market rates.</w:t>
      </w:r>
      <w:r w:rsidRPr="00A27447">
        <w:rPr>
          <w:rStyle w:val="longtext"/>
          <w:rFonts w:ascii="Times New Roman" w:hAnsi="Times New Roman" w:cs="Times New Roman"/>
          <w:color w:val="000000"/>
          <w:sz w:val="21"/>
          <w:szCs w:val="21"/>
          <w:shd w:val="clear" w:color="auto" w:fill="FFFFFF"/>
        </w:rPr>
        <w:t xml:space="preserve"> Th</w:t>
      </w:r>
      <w:r w:rsidR="000A16EF">
        <w:rPr>
          <w:rStyle w:val="longtext"/>
          <w:rFonts w:ascii="Times New Roman" w:hAnsi="Times New Roman" w:cs="Times New Roman"/>
          <w:color w:val="000000"/>
          <w:sz w:val="21"/>
          <w:szCs w:val="21"/>
          <w:shd w:val="clear" w:color="auto" w:fill="FFFFFF"/>
        </w:rPr>
        <w:t>us, th</w:t>
      </w:r>
      <w:r w:rsidRPr="00A27447">
        <w:rPr>
          <w:rStyle w:val="longtext"/>
          <w:rFonts w:ascii="Times New Roman" w:hAnsi="Times New Roman" w:cs="Times New Roman"/>
          <w:color w:val="000000"/>
          <w:sz w:val="21"/>
          <w:szCs w:val="21"/>
          <w:shd w:val="clear" w:color="auto" w:fill="FFFFFF"/>
        </w:rPr>
        <w:t xml:space="preserve">e average quarterly </w:t>
      </w:r>
      <w:r w:rsidR="000A16EF">
        <w:rPr>
          <w:rStyle w:val="longtext"/>
          <w:rFonts w:ascii="Times New Roman" w:hAnsi="Times New Roman" w:cs="Times New Roman"/>
          <w:color w:val="000000"/>
          <w:sz w:val="21"/>
          <w:szCs w:val="21"/>
          <w:shd w:val="clear" w:color="auto" w:fill="FFFFFF"/>
        </w:rPr>
        <w:t xml:space="preserve">overnight loan rate has </w:t>
      </w:r>
      <w:r w:rsidRPr="00A27447">
        <w:rPr>
          <w:rStyle w:val="longtext"/>
          <w:rFonts w:ascii="Times New Roman" w:hAnsi="Times New Roman" w:cs="Times New Roman"/>
          <w:color w:val="000000"/>
          <w:sz w:val="21"/>
          <w:szCs w:val="21"/>
          <w:shd w:val="clear" w:color="auto" w:fill="FFFFFF"/>
        </w:rPr>
        <w:t>gr</w:t>
      </w:r>
      <w:r w:rsidR="000A16EF">
        <w:rPr>
          <w:rStyle w:val="longtext"/>
          <w:rFonts w:ascii="Times New Roman" w:hAnsi="Times New Roman" w:cs="Times New Roman"/>
          <w:color w:val="000000"/>
          <w:sz w:val="21"/>
          <w:szCs w:val="21"/>
          <w:shd w:val="clear" w:color="auto" w:fill="FFFFFF"/>
        </w:rPr>
        <w:t xml:space="preserve">own </w:t>
      </w:r>
      <w:r w:rsidRPr="00A27447">
        <w:rPr>
          <w:rStyle w:val="longtext"/>
          <w:rFonts w:ascii="Times New Roman" w:hAnsi="Times New Roman" w:cs="Times New Roman"/>
          <w:color w:val="000000"/>
          <w:sz w:val="21"/>
          <w:szCs w:val="21"/>
          <w:shd w:val="clear" w:color="auto" w:fill="FFFFFF"/>
        </w:rPr>
        <w:t>by 1.</w:t>
      </w:r>
      <w:r w:rsidR="000A16EF">
        <w:rPr>
          <w:rStyle w:val="longtext"/>
          <w:rFonts w:ascii="Times New Roman" w:hAnsi="Times New Roman" w:cs="Times New Roman"/>
          <w:color w:val="000000"/>
          <w:sz w:val="21"/>
          <w:szCs w:val="21"/>
          <w:shd w:val="clear" w:color="auto" w:fill="FFFFFF"/>
        </w:rPr>
        <w:t>88</w:t>
      </w:r>
      <w:r w:rsidRPr="00A27447">
        <w:rPr>
          <w:rStyle w:val="longtext"/>
          <w:rFonts w:ascii="Times New Roman" w:hAnsi="Times New Roman" w:cs="Times New Roman"/>
          <w:color w:val="000000"/>
          <w:sz w:val="21"/>
          <w:szCs w:val="21"/>
          <w:shd w:val="clear" w:color="auto" w:fill="FFFFFF"/>
        </w:rPr>
        <w:t xml:space="preserve"> </w:t>
      </w:r>
      <w:r w:rsidR="00106258">
        <w:rPr>
          <w:rStyle w:val="longtext"/>
          <w:rFonts w:ascii="Times New Roman" w:hAnsi="Times New Roman" w:cs="Times New Roman"/>
          <w:color w:val="000000"/>
          <w:sz w:val="21"/>
          <w:szCs w:val="21"/>
          <w:shd w:val="clear" w:color="auto" w:fill="FFFFFF"/>
        </w:rPr>
        <w:t>pp</w:t>
      </w:r>
      <w:r w:rsidR="000A16EF">
        <w:rPr>
          <w:rStyle w:val="longtext"/>
          <w:rFonts w:ascii="Times New Roman" w:hAnsi="Times New Roman" w:cs="Times New Roman"/>
          <w:color w:val="000000"/>
          <w:sz w:val="21"/>
          <w:szCs w:val="21"/>
          <w:shd w:val="clear" w:color="auto" w:fill="FFFFFF"/>
        </w:rPr>
        <w:t xml:space="preserve"> to 8.54% in relation to the </w:t>
      </w:r>
      <w:r w:rsidRPr="00A27447">
        <w:rPr>
          <w:rStyle w:val="longtext"/>
          <w:rFonts w:ascii="Times New Roman" w:hAnsi="Times New Roman" w:cs="Times New Roman"/>
          <w:color w:val="000000"/>
          <w:sz w:val="21"/>
          <w:szCs w:val="21"/>
          <w:shd w:val="clear" w:color="auto" w:fill="FFFFFF"/>
        </w:rPr>
        <w:t>previous quarter, while the average rate for December</w:t>
      </w:r>
      <w:r w:rsidR="000A16EF">
        <w:rPr>
          <w:rStyle w:val="longtext"/>
          <w:rFonts w:ascii="Times New Roman" w:hAnsi="Times New Roman" w:cs="Times New Roman"/>
          <w:color w:val="000000"/>
          <w:sz w:val="21"/>
          <w:szCs w:val="21"/>
          <w:shd w:val="clear" w:color="auto" w:fill="FFFFFF"/>
        </w:rPr>
        <w:t xml:space="preserve"> amounted to 20.07</w:t>
      </w:r>
      <w:r w:rsidRPr="00A27447">
        <w:rPr>
          <w:rStyle w:val="longtext"/>
          <w:rFonts w:ascii="Times New Roman" w:hAnsi="Times New Roman" w:cs="Times New Roman"/>
          <w:color w:val="000000"/>
          <w:sz w:val="21"/>
          <w:szCs w:val="21"/>
          <w:shd w:val="clear" w:color="auto" w:fill="FFFFFF"/>
        </w:rPr>
        <w:t>%.</w:t>
      </w:r>
      <w:r w:rsidR="000A16EF">
        <w:rPr>
          <w:rStyle w:val="longtext"/>
          <w:rFonts w:ascii="Times New Roman" w:hAnsi="Times New Roman" w:cs="Times New Roman"/>
          <w:color w:val="000000"/>
          <w:sz w:val="21"/>
          <w:szCs w:val="21"/>
          <w:shd w:val="clear" w:color="auto" w:fill="FFFFFF"/>
        </w:rPr>
        <w:t xml:space="preserve"> The average quarterly rate in interbank repo market has risen by 1.46 pp against the previous quarter</w:t>
      </w:r>
      <w:r w:rsidR="00573D45">
        <w:rPr>
          <w:rStyle w:val="longtext"/>
          <w:rFonts w:ascii="Times New Roman" w:hAnsi="Times New Roman" w:cs="Times New Roman"/>
          <w:color w:val="000000"/>
          <w:sz w:val="21"/>
          <w:szCs w:val="21"/>
          <w:shd w:val="clear" w:color="auto" w:fill="FFFFFF"/>
        </w:rPr>
        <w:t xml:space="preserve">, and the average December rate has grown by 12.94 pp to 19.89% in relation to the average September rate. </w:t>
      </w:r>
    </w:p>
    <w:p w14:paraId="33687346"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 xml:space="preserve">Box </w:t>
      </w:r>
      <w:r w:rsidR="00573D45">
        <w:rPr>
          <w:rFonts w:ascii="Times New Roman" w:hAnsi="Times New Roman" w:cs="Times New Roman"/>
          <w:b/>
          <w:sz w:val="21"/>
          <w:szCs w:val="21"/>
        </w:rPr>
        <w:t>2</w:t>
      </w:r>
    </w:p>
    <w:p w14:paraId="491B1FD8"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Government securities market</w:t>
      </w:r>
    </w:p>
    <w:p w14:paraId="30A16C06" w14:textId="237F0F1C" w:rsidR="00573D45" w:rsidRPr="00106258" w:rsidRDefault="007409A3" w:rsidP="00573D45">
      <w:pPr>
        <w:spacing w:line="360" w:lineRule="auto"/>
        <w:jc w:val="both"/>
        <w:rPr>
          <w:rFonts w:ascii="Times New Roman" w:hAnsi="Times New Roman" w:cs="Times New Roman"/>
          <w:i/>
          <w:sz w:val="21"/>
          <w:szCs w:val="21"/>
        </w:rPr>
      </w:pPr>
      <w:r>
        <w:rPr>
          <w:rFonts w:ascii="Times New Roman" w:hAnsi="Times New Roman" w:cs="Times New Roman"/>
          <w:i/>
          <w:sz w:val="21"/>
          <w:szCs w:val="21"/>
        </w:rPr>
        <w:t>The</w:t>
      </w:r>
      <w:r w:rsidR="00573D45" w:rsidRPr="00106258">
        <w:rPr>
          <w:rFonts w:ascii="Times New Roman" w:hAnsi="Times New Roman" w:cs="Times New Roman"/>
          <w:i/>
          <w:sz w:val="21"/>
          <w:szCs w:val="21"/>
        </w:rPr>
        <w:t xml:space="preserve"> yields of government bonds react</w:t>
      </w:r>
      <w:r>
        <w:rPr>
          <w:rFonts w:ascii="Times New Roman" w:hAnsi="Times New Roman" w:cs="Times New Roman"/>
          <w:i/>
          <w:sz w:val="21"/>
          <w:szCs w:val="21"/>
        </w:rPr>
        <w:t xml:space="preserve">ed </w:t>
      </w:r>
      <w:r w:rsidR="00573D45" w:rsidRPr="00106258">
        <w:rPr>
          <w:rFonts w:ascii="Times New Roman" w:hAnsi="Times New Roman" w:cs="Times New Roman"/>
          <w:i/>
          <w:sz w:val="21"/>
          <w:szCs w:val="21"/>
        </w:rPr>
        <w:t xml:space="preserve">to a sharp increase in short-term interest rates in late November of 2014. However, the Armenian Ministry of Finance decided to withhold from placement of short-term </w:t>
      </w:r>
      <w:r w:rsidR="00106258" w:rsidRPr="00106258">
        <w:rPr>
          <w:rFonts w:ascii="Times New Roman" w:hAnsi="Times New Roman" w:cs="Times New Roman"/>
          <w:i/>
          <w:sz w:val="21"/>
          <w:szCs w:val="21"/>
        </w:rPr>
        <w:t>bills</w:t>
      </w:r>
      <w:r w:rsidR="00573D45" w:rsidRPr="00106258">
        <w:rPr>
          <w:rFonts w:ascii="Times New Roman" w:hAnsi="Times New Roman" w:cs="Times New Roman"/>
          <w:i/>
          <w:sz w:val="21"/>
          <w:szCs w:val="21"/>
        </w:rPr>
        <w:t xml:space="preserve"> in December. As a result, </w:t>
      </w:r>
      <w:r w:rsidR="00106258" w:rsidRPr="00106258">
        <w:rPr>
          <w:rFonts w:ascii="Times New Roman" w:hAnsi="Times New Roman" w:cs="Times New Roman"/>
          <w:i/>
          <w:sz w:val="21"/>
          <w:szCs w:val="21"/>
        </w:rPr>
        <w:t xml:space="preserve">the average quarterly yield has dipped by 0.36 pp to 7.09% in relation to the </w:t>
      </w:r>
      <w:r w:rsidR="00573D45" w:rsidRPr="00106258">
        <w:rPr>
          <w:rFonts w:ascii="Times New Roman" w:hAnsi="Times New Roman" w:cs="Times New Roman"/>
          <w:i/>
          <w:sz w:val="21"/>
          <w:szCs w:val="21"/>
        </w:rPr>
        <w:t>previous quar</w:t>
      </w:r>
      <w:r w:rsidR="00106258" w:rsidRPr="00106258">
        <w:rPr>
          <w:rFonts w:ascii="Times New Roman" w:hAnsi="Times New Roman" w:cs="Times New Roman"/>
          <w:i/>
          <w:sz w:val="21"/>
          <w:szCs w:val="21"/>
        </w:rPr>
        <w:t>ter.</w:t>
      </w:r>
      <w:r w:rsidR="00573D45" w:rsidRPr="00106258">
        <w:rPr>
          <w:rFonts w:ascii="Times New Roman" w:hAnsi="Times New Roman" w:cs="Times New Roman"/>
          <w:i/>
          <w:sz w:val="21"/>
          <w:szCs w:val="21"/>
        </w:rPr>
        <w:t xml:space="preserve"> </w:t>
      </w:r>
      <w:r w:rsidR="00106258" w:rsidRPr="00106258">
        <w:rPr>
          <w:rFonts w:ascii="Times New Roman" w:hAnsi="Times New Roman" w:cs="Times New Roman"/>
          <w:i/>
          <w:sz w:val="21"/>
          <w:szCs w:val="21"/>
        </w:rPr>
        <w:t>T</w:t>
      </w:r>
      <w:r w:rsidR="00573D45" w:rsidRPr="00106258">
        <w:rPr>
          <w:rFonts w:ascii="Times New Roman" w:hAnsi="Times New Roman" w:cs="Times New Roman"/>
          <w:i/>
          <w:sz w:val="21"/>
          <w:szCs w:val="21"/>
        </w:rPr>
        <w:t xml:space="preserve">he average yield </w:t>
      </w:r>
      <w:r w:rsidR="00106258" w:rsidRPr="00106258">
        <w:rPr>
          <w:rFonts w:ascii="Times New Roman" w:hAnsi="Times New Roman" w:cs="Times New Roman"/>
          <w:i/>
          <w:sz w:val="21"/>
          <w:szCs w:val="21"/>
        </w:rPr>
        <w:t xml:space="preserve">of </w:t>
      </w:r>
      <w:r w:rsidR="00573D45" w:rsidRPr="00106258">
        <w:rPr>
          <w:rFonts w:ascii="Times New Roman" w:hAnsi="Times New Roman" w:cs="Times New Roman"/>
          <w:i/>
          <w:sz w:val="21"/>
          <w:szCs w:val="21"/>
        </w:rPr>
        <w:t xml:space="preserve">mid-term </w:t>
      </w:r>
      <w:r w:rsidR="00106258" w:rsidRPr="00106258">
        <w:rPr>
          <w:rFonts w:ascii="Times New Roman" w:hAnsi="Times New Roman" w:cs="Times New Roman"/>
          <w:i/>
          <w:sz w:val="21"/>
          <w:szCs w:val="21"/>
        </w:rPr>
        <w:t xml:space="preserve">notes </w:t>
      </w:r>
      <w:r w:rsidR="00573D45" w:rsidRPr="00106258">
        <w:rPr>
          <w:rFonts w:ascii="Times New Roman" w:hAnsi="Times New Roman" w:cs="Times New Roman"/>
          <w:i/>
          <w:sz w:val="21"/>
          <w:szCs w:val="21"/>
        </w:rPr>
        <w:t>and long-term</w:t>
      </w:r>
      <w:r w:rsidR="00106258" w:rsidRPr="00106258">
        <w:rPr>
          <w:rFonts w:ascii="Times New Roman" w:hAnsi="Times New Roman" w:cs="Times New Roman"/>
          <w:i/>
          <w:sz w:val="21"/>
          <w:szCs w:val="21"/>
        </w:rPr>
        <w:t xml:space="preserve"> bonds has increased in December by more than 2 pp relative to September.</w:t>
      </w:r>
    </w:p>
    <w:p w14:paraId="3BB9F1C1" w14:textId="77777777" w:rsidR="00106258" w:rsidRPr="00106258" w:rsidRDefault="00106258" w:rsidP="00573D45">
      <w:pPr>
        <w:spacing w:line="360" w:lineRule="auto"/>
        <w:jc w:val="both"/>
        <w:rPr>
          <w:rFonts w:ascii="Times New Roman" w:hAnsi="Times New Roman" w:cs="Times New Roman"/>
          <w:i/>
          <w:sz w:val="21"/>
          <w:szCs w:val="21"/>
        </w:rPr>
      </w:pPr>
      <w:r w:rsidRPr="00106258">
        <w:rPr>
          <w:rFonts w:ascii="Times New Roman" w:hAnsi="Times New Roman" w:cs="Times New Roman"/>
          <w:i/>
          <w:sz w:val="21"/>
          <w:szCs w:val="21"/>
        </w:rPr>
        <w:t>According to yield to maturity curve, interest rates in the secondary market of government securities have grown all along the curve. In the long-term segment, the interest rate rose in late December by around 3.0 pp to 14.42% against September. The long-term and short-term interest rates spread widened in December by 0.88 pp to 5.64 pp in relation to September.</w:t>
      </w:r>
    </w:p>
    <w:p w14:paraId="677C4F34" w14:textId="77777777" w:rsidR="005C5D68" w:rsidRDefault="005C5D68"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lastRenderedPageBreak/>
        <w:t xml:space="preserve">A </w:t>
      </w:r>
      <w:r w:rsidRPr="005C5D68">
        <w:rPr>
          <w:rFonts w:ascii="Times New Roman" w:hAnsi="Times New Roman" w:cs="Times New Roman"/>
          <w:sz w:val="21"/>
          <w:szCs w:val="21"/>
        </w:rPr>
        <w:t>sharp</w:t>
      </w:r>
      <w:r>
        <w:rPr>
          <w:rFonts w:ascii="Times New Roman" w:hAnsi="Times New Roman" w:cs="Times New Roman"/>
          <w:sz w:val="21"/>
          <w:szCs w:val="21"/>
        </w:rPr>
        <w:t>ly</w:t>
      </w:r>
      <w:r w:rsidRPr="005C5D68">
        <w:rPr>
          <w:rFonts w:ascii="Times New Roman" w:hAnsi="Times New Roman" w:cs="Times New Roman"/>
          <w:sz w:val="21"/>
          <w:szCs w:val="21"/>
        </w:rPr>
        <w:t xml:space="preserve"> increase</w:t>
      </w:r>
      <w:r>
        <w:rPr>
          <w:rFonts w:ascii="Times New Roman" w:hAnsi="Times New Roman" w:cs="Times New Roman"/>
          <w:sz w:val="21"/>
          <w:szCs w:val="21"/>
        </w:rPr>
        <w:t>d</w:t>
      </w:r>
      <w:r w:rsidRPr="005C5D68">
        <w:rPr>
          <w:rFonts w:ascii="Times New Roman" w:hAnsi="Times New Roman" w:cs="Times New Roman"/>
          <w:sz w:val="21"/>
          <w:szCs w:val="21"/>
        </w:rPr>
        <w:t xml:space="preserve"> demand for foreign currency </w:t>
      </w:r>
      <w:r>
        <w:rPr>
          <w:rFonts w:ascii="Times New Roman" w:hAnsi="Times New Roman" w:cs="Times New Roman"/>
          <w:sz w:val="21"/>
          <w:szCs w:val="21"/>
        </w:rPr>
        <w:t>in</w:t>
      </w:r>
      <w:r w:rsidRPr="005C5D68">
        <w:rPr>
          <w:rFonts w:ascii="Times New Roman" w:hAnsi="Times New Roman" w:cs="Times New Roman"/>
          <w:sz w:val="21"/>
          <w:szCs w:val="21"/>
        </w:rPr>
        <w:t xml:space="preserve"> December </w:t>
      </w:r>
      <w:r>
        <w:rPr>
          <w:rFonts w:ascii="Times New Roman" w:hAnsi="Times New Roman" w:cs="Times New Roman"/>
          <w:sz w:val="21"/>
          <w:szCs w:val="21"/>
        </w:rPr>
        <w:t xml:space="preserve">of 2014 provoked a change in </w:t>
      </w:r>
      <w:r w:rsidRPr="005C5D68">
        <w:rPr>
          <w:rFonts w:ascii="Times New Roman" w:hAnsi="Times New Roman" w:cs="Times New Roman"/>
          <w:sz w:val="21"/>
          <w:szCs w:val="21"/>
        </w:rPr>
        <w:t xml:space="preserve">the structure </w:t>
      </w:r>
      <w:r>
        <w:rPr>
          <w:rFonts w:ascii="Times New Roman" w:hAnsi="Times New Roman" w:cs="Times New Roman"/>
          <w:sz w:val="21"/>
          <w:szCs w:val="21"/>
        </w:rPr>
        <w:t xml:space="preserve">deposits as part of dram deposits and </w:t>
      </w:r>
      <w:r w:rsidRPr="005C5D68">
        <w:rPr>
          <w:rFonts w:ascii="Times New Roman" w:hAnsi="Times New Roman" w:cs="Times New Roman"/>
          <w:sz w:val="21"/>
          <w:szCs w:val="21"/>
        </w:rPr>
        <w:t xml:space="preserve">time deposits </w:t>
      </w:r>
      <w:r>
        <w:rPr>
          <w:rFonts w:ascii="Times New Roman" w:hAnsi="Times New Roman" w:cs="Times New Roman"/>
          <w:sz w:val="21"/>
          <w:szCs w:val="21"/>
        </w:rPr>
        <w:t>in</w:t>
      </w:r>
      <w:r w:rsidRPr="005C5D68">
        <w:rPr>
          <w:rFonts w:ascii="Times New Roman" w:hAnsi="Times New Roman" w:cs="Times New Roman"/>
          <w:sz w:val="21"/>
          <w:szCs w:val="21"/>
        </w:rPr>
        <w:t xml:space="preserve"> foreign currency </w:t>
      </w:r>
      <w:r>
        <w:rPr>
          <w:rFonts w:ascii="Times New Roman" w:hAnsi="Times New Roman" w:cs="Times New Roman"/>
          <w:sz w:val="21"/>
          <w:szCs w:val="21"/>
        </w:rPr>
        <w:t xml:space="preserve">was converted into </w:t>
      </w:r>
      <w:r w:rsidRPr="005C5D68">
        <w:rPr>
          <w:rFonts w:ascii="Times New Roman" w:hAnsi="Times New Roman" w:cs="Times New Roman"/>
          <w:sz w:val="21"/>
          <w:szCs w:val="21"/>
        </w:rPr>
        <w:t>demand deposits in foreign currency</w:t>
      </w:r>
      <w:r>
        <w:rPr>
          <w:rFonts w:ascii="Times New Roman" w:hAnsi="Times New Roman" w:cs="Times New Roman"/>
          <w:sz w:val="21"/>
          <w:szCs w:val="21"/>
        </w:rPr>
        <w:t xml:space="preserve">. </w:t>
      </w:r>
      <w:r w:rsidRPr="005C5D68">
        <w:rPr>
          <w:rFonts w:ascii="Times New Roman" w:hAnsi="Times New Roman" w:cs="Times New Roman"/>
          <w:sz w:val="21"/>
          <w:szCs w:val="21"/>
        </w:rPr>
        <w:t xml:space="preserve"> </w:t>
      </w:r>
    </w:p>
    <w:p w14:paraId="26F772C8" w14:textId="77777777" w:rsidR="00057C44" w:rsidRDefault="003D2AB9"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At the same time, the dramatic </w:t>
      </w:r>
      <w:r w:rsidRPr="003D2AB9">
        <w:rPr>
          <w:rFonts w:ascii="Times New Roman" w:hAnsi="Times New Roman" w:cs="Times New Roman"/>
          <w:sz w:val="21"/>
          <w:szCs w:val="21"/>
        </w:rPr>
        <w:t xml:space="preserve">decline in financial market liquidity </w:t>
      </w:r>
      <w:r w:rsidR="00057C44">
        <w:rPr>
          <w:rFonts w:ascii="Times New Roman" w:hAnsi="Times New Roman" w:cs="Times New Roman"/>
          <w:sz w:val="21"/>
          <w:szCs w:val="21"/>
        </w:rPr>
        <w:t xml:space="preserve">would imply </w:t>
      </w:r>
      <w:r w:rsidRPr="003D2AB9">
        <w:rPr>
          <w:rFonts w:ascii="Times New Roman" w:hAnsi="Times New Roman" w:cs="Times New Roman"/>
          <w:sz w:val="21"/>
          <w:szCs w:val="21"/>
        </w:rPr>
        <w:t xml:space="preserve">an increase in interest rates </w:t>
      </w:r>
      <w:r w:rsidR="00057C44">
        <w:rPr>
          <w:rFonts w:ascii="Times New Roman" w:hAnsi="Times New Roman" w:cs="Times New Roman"/>
          <w:sz w:val="21"/>
          <w:szCs w:val="21"/>
        </w:rPr>
        <w:t xml:space="preserve">in deposits of both the local and foreign currencies. To this end, the </w:t>
      </w:r>
      <w:r w:rsidRPr="003D2AB9">
        <w:rPr>
          <w:rFonts w:ascii="Times New Roman" w:hAnsi="Times New Roman" w:cs="Times New Roman"/>
          <w:sz w:val="21"/>
          <w:szCs w:val="21"/>
        </w:rPr>
        <w:t xml:space="preserve">commercial banks announced a </w:t>
      </w:r>
      <w:r w:rsidR="00057C44">
        <w:rPr>
          <w:rFonts w:ascii="Times New Roman" w:hAnsi="Times New Roman" w:cs="Times New Roman"/>
          <w:sz w:val="21"/>
          <w:szCs w:val="21"/>
        </w:rPr>
        <w:t xml:space="preserve">considerable rising of </w:t>
      </w:r>
      <w:r w:rsidRPr="003D2AB9">
        <w:rPr>
          <w:rFonts w:ascii="Times New Roman" w:hAnsi="Times New Roman" w:cs="Times New Roman"/>
          <w:sz w:val="21"/>
          <w:szCs w:val="21"/>
        </w:rPr>
        <w:t>deposit interest rates</w:t>
      </w:r>
      <w:r w:rsidR="00057C44">
        <w:rPr>
          <w:rFonts w:ascii="Times New Roman" w:hAnsi="Times New Roman" w:cs="Times New Roman"/>
          <w:sz w:val="21"/>
          <w:szCs w:val="21"/>
        </w:rPr>
        <w:t>,</w:t>
      </w:r>
      <w:r w:rsidRPr="003D2AB9">
        <w:rPr>
          <w:rFonts w:ascii="Times New Roman" w:hAnsi="Times New Roman" w:cs="Times New Roman"/>
          <w:sz w:val="21"/>
          <w:szCs w:val="21"/>
        </w:rPr>
        <w:t xml:space="preserve"> which is expected to have an impact on the volume of deposits </w:t>
      </w:r>
      <w:r w:rsidR="00057C44">
        <w:rPr>
          <w:rFonts w:ascii="Times New Roman" w:hAnsi="Times New Roman" w:cs="Times New Roman"/>
          <w:sz w:val="21"/>
          <w:szCs w:val="21"/>
        </w:rPr>
        <w:t xml:space="preserve">already </w:t>
      </w:r>
      <w:r w:rsidRPr="003D2AB9">
        <w:rPr>
          <w:rFonts w:ascii="Times New Roman" w:hAnsi="Times New Roman" w:cs="Times New Roman"/>
          <w:sz w:val="21"/>
          <w:szCs w:val="21"/>
        </w:rPr>
        <w:t>in</w:t>
      </w:r>
      <w:r w:rsidR="00057C44">
        <w:rPr>
          <w:rFonts w:ascii="Times New Roman" w:hAnsi="Times New Roman" w:cs="Times New Roman"/>
          <w:sz w:val="21"/>
          <w:szCs w:val="21"/>
        </w:rPr>
        <w:t xml:space="preserve"> the 1st</w:t>
      </w:r>
      <w:r w:rsidRPr="003D2AB9">
        <w:rPr>
          <w:rFonts w:ascii="Times New Roman" w:hAnsi="Times New Roman" w:cs="Times New Roman"/>
          <w:sz w:val="21"/>
          <w:szCs w:val="21"/>
        </w:rPr>
        <w:t xml:space="preserve"> </w:t>
      </w:r>
      <w:r w:rsidR="00057C44">
        <w:rPr>
          <w:rFonts w:ascii="Times New Roman" w:hAnsi="Times New Roman" w:cs="Times New Roman"/>
          <w:sz w:val="21"/>
          <w:szCs w:val="21"/>
        </w:rPr>
        <w:t xml:space="preserve">quarter of </w:t>
      </w:r>
      <w:r w:rsidRPr="003D2AB9">
        <w:rPr>
          <w:rFonts w:ascii="Times New Roman" w:hAnsi="Times New Roman" w:cs="Times New Roman"/>
          <w:sz w:val="21"/>
          <w:szCs w:val="21"/>
        </w:rPr>
        <w:t xml:space="preserve">2015. </w:t>
      </w:r>
    </w:p>
    <w:p w14:paraId="7DFB23EA" w14:textId="77777777" w:rsidR="00057C44" w:rsidRPr="00057C44" w:rsidRDefault="00057C44" w:rsidP="00057C44">
      <w:pPr>
        <w:spacing w:line="360" w:lineRule="auto"/>
        <w:jc w:val="both"/>
        <w:rPr>
          <w:rFonts w:ascii="Times New Roman" w:hAnsi="Times New Roman" w:cs="Times New Roman"/>
          <w:sz w:val="21"/>
          <w:szCs w:val="21"/>
        </w:rPr>
      </w:pPr>
      <w:r w:rsidRPr="00057C44">
        <w:rPr>
          <w:rFonts w:ascii="Times New Roman" w:hAnsi="Times New Roman" w:cs="Times New Roman"/>
          <w:sz w:val="21"/>
          <w:szCs w:val="21"/>
        </w:rPr>
        <w:t xml:space="preserve">In December, the average monthly </w:t>
      </w:r>
      <w:r>
        <w:rPr>
          <w:rFonts w:ascii="Times New Roman" w:hAnsi="Times New Roman" w:cs="Times New Roman"/>
          <w:sz w:val="21"/>
          <w:szCs w:val="21"/>
        </w:rPr>
        <w:t xml:space="preserve">dram </w:t>
      </w:r>
      <w:r w:rsidRPr="00057C44">
        <w:rPr>
          <w:rFonts w:ascii="Times New Roman" w:hAnsi="Times New Roman" w:cs="Times New Roman"/>
          <w:sz w:val="21"/>
          <w:szCs w:val="21"/>
        </w:rPr>
        <w:t>deposit rate was 11.9%</w:t>
      </w:r>
      <w:r>
        <w:rPr>
          <w:rFonts w:ascii="Times New Roman" w:hAnsi="Times New Roman" w:cs="Times New Roman"/>
          <w:sz w:val="21"/>
          <w:szCs w:val="21"/>
        </w:rPr>
        <w:t xml:space="preserve">, up by </w:t>
      </w:r>
      <w:r w:rsidRPr="00057C44">
        <w:rPr>
          <w:rFonts w:ascii="Times New Roman" w:hAnsi="Times New Roman" w:cs="Times New Roman"/>
          <w:sz w:val="21"/>
          <w:szCs w:val="21"/>
        </w:rPr>
        <w:t>0.2 p</w:t>
      </w:r>
      <w:r>
        <w:rPr>
          <w:rFonts w:ascii="Times New Roman" w:hAnsi="Times New Roman" w:cs="Times New Roman"/>
          <w:sz w:val="21"/>
          <w:szCs w:val="21"/>
        </w:rPr>
        <w:t xml:space="preserve">p </w:t>
      </w:r>
      <w:r w:rsidRPr="00057C44">
        <w:rPr>
          <w:rFonts w:ascii="Times New Roman" w:hAnsi="Times New Roman" w:cs="Times New Roman"/>
          <w:sz w:val="21"/>
          <w:szCs w:val="21"/>
        </w:rPr>
        <w:t>compared to September</w:t>
      </w:r>
      <w:r>
        <w:rPr>
          <w:rFonts w:ascii="Times New Roman" w:hAnsi="Times New Roman" w:cs="Times New Roman"/>
          <w:sz w:val="21"/>
          <w:szCs w:val="21"/>
        </w:rPr>
        <w:t>.</w:t>
      </w:r>
      <w:r w:rsidRPr="00057C44">
        <w:rPr>
          <w:rFonts w:ascii="Times New Roman" w:hAnsi="Times New Roman" w:cs="Times New Roman"/>
          <w:sz w:val="21"/>
          <w:szCs w:val="21"/>
        </w:rPr>
        <w:t xml:space="preserve"> </w:t>
      </w:r>
      <w:r w:rsidR="00CC10B1">
        <w:rPr>
          <w:rFonts w:ascii="Times New Roman" w:hAnsi="Times New Roman" w:cs="Times New Roman"/>
          <w:sz w:val="21"/>
          <w:szCs w:val="21"/>
        </w:rPr>
        <w:t>The average foreign currency deposit rate was</w:t>
      </w:r>
      <w:r w:rsidRPr="00057C44">
        <w:rPr>
          <w:rFonts w:ascii="Times New Roman" w:hAnsi="Times New Roman" w:cs="Times New Roman"/>
          <w:sz w:val="21"/>
          <w:szCs w:val="21"/>
        </w:rPr>
        <w:t xml:space="preserve"> 8.2% in December</w:t>
      </w:r>
      <w:r w:rsidR="00CC10B1">
        <w:rPr>
          <w:rFonts w:ascii="Times New Roman" w:hAnsi="Times New Roman" w:cs="Times New Roman"/>
          <w:sz w:val="21"/>
          <w:szCs w:val="21"/>
        </w:rPr>
        <w:t xml:space="preserve">, up by 1.3 pp against </w:t>
      </w:r>
      <w:r w:rsidRPr="00057C44">
        <w:rPr>
          <w:rFonts w:ascii="Times New Roman" w:hAnsi="Times New Roman" w:cs="Times New Roman"/>
          <w:sz w:val="21"/>
          <w:szCs w:val="21"/>
        </w:rPr>
        <w:t>September</w:t>
      </w:r>
      <w:r w:rsidR="00CC10B1">
        <w:rPr>
          <w:rFonts w:ascii="Times New Roman" w:hAnsi="Times New Roman" w:cs="Times New Roman"/>
          <w:sz w:val="21"/>
          <w:szCs w:val="21"/>
        </w:rPr>
        <w:t xml:space="preserve">, with average quarterly interest rate having grown by 0.2 pp to 7.2% in relation to the previous quarter. During the quarter, the </w:t>
      </w:r>
      <w:r w:rsidRPr="00057C44">
        <w:rPr>
          <w:rFonts w:ascii="Times New Roman" w:hAnsi="Times New Roman" w:cs="Times New Roman"/>
          <w:sz w:val="21"/>
          <w:szCs w:val="21"/>
        </w:rPr>
        <w:t xml:space="preserve">volume of </w:t>
      </w:r>
      <w:r w:rsidR="00CC10B1">
        <w:rPr>
          <w:rFonts w:ascii="Times New Roman" w:hAnsi="Times New Roman" w:cs="Times New Roman"/>
          <w:sz w:val="21"/>
          <w:szCs w:val="21"/>
        </w:rPr>
        <w:t xml:space="preserve">dram </w:t>
      </w:r>
      <w:r w:rsidRPr="00057C44">
        <w:rPr>
          <w:rFonts w:ascii="Times New Roman" w:hAnsi="Times New Roman" w:cs="Times New Roman"/>
          <w:sz w:val="21"/>
          <w:szCs w:val="21"/>
        </w:rPr>
        <w:t xml:space="preserve">deposits </w:t>
      </w:r>
      <w:r w:rsidR="00CC10B1">
        <w:rPr>
          <w:rFonts w:ascii="Times New Roman" w:hAnsi="Times New Roman" w:cs="Times New Roman"/>
          <w:sz w:val="21"/>
          <w:szCs w:val="21"/>
        </w:rPr>
        <w:t xml:space="preserve">shrank by </w:t>
      </w:r>
      <w:r w:rsidRPr="00057C44">
        <w:rPr>
          <w:rFonts w:ascii="Times New Roman" w:hAnsi="Times New Roman" w:cs="Times New Roman"/>
          <w:sz w:val="21"/>
          <w:szCs w:val="21"/>
        </w:rPr>
        <w:t>7.4%</w:t>
      </w:r>
      <w:r w:rsidR="00CC10B1">
        <w:rPr>
          <w:rFonts w:ascii="Times New Roman" w:hAnsi="Times New Roman" w:cs="Times New Roman"/>
          <w:sz w:val="21"/>
          <w:szCs w:val="21"/>
        </w:rPr>
        <w:t xml:space="preserve">, primarily attributable to dram </w:t>
      </w:r>
      <w:r w:rsidRPr="00057C44">
        <w:rPr>
          <w:rFonts w:ascii="Times New Roman" w:hAnsi="Times New Roman" w:cs="Times New Roman"/>
          <w:sz w:val="21"/>
          <w:szCs w:val="21"/>
        </w:rPr>
        <w:t xml:space="preserve">demand deposits </w:t>
      </w:r>
      <w:r w:rsidR="00CC10B1">
        <w:rPr>
          <w:rFonts w:ascii="Times New Roman" w:hAnsi="Times New Roman" w:cs="Times New Roman"/>
          <w:sz w:val="21"/>
          <w:szCs w:val="21"/>
        </w:rPr>
        <w:t xml:space="preserve">having diminished </w:t>
      </w:r>
      <w:r w:rsidRPr="00057C44">
        <w:rPr>
          <w:rFonts w:ascii="Times New Roman" w:hAnsi="Times New Roman" w:cs="Times New Roman"/>
          <w:sz w:val="21"/>
          <w:szCs w:val="21"/>
        </w:rPr>
        <w:t xml:space="preserve">by 11.3%, </w:t>
      </w:r>
      <w:r w:rsidR="00CC10B1">
        <w:rPr>
          <w:rFonts w:ascii="Times New Roman" w:hAnsi="Times New Roman" w:cs="Times New Roman"/>
          <w:sz w:val="21"/>
          <w:szCs w:val="21"/>
        </w:rPr>
        <w:t xml:space="preserve">whereas dram time </w:t>
      </w:r>
      <w:r w:rsidRPr="00057C44">
        <w:rPr>
          <w:rFonts w:ascii="Times New Roman" w:hAnsi="Times New Roman" w:cs="Times New Roman"/>
          <w:sz w:val="21"/>
          <w:szCs w:val="21"/>
        </w:rPr>
        <w:t>deposits</w:t>
      </w:r>
      <w:r w:rsidR="00CC10B1">
        <w:rPr>
          <w:rFonts w:ascii="Times New Roman" w:hAnsi="Times New Roman" w:cs="Times New Roman"/>
          <w:sz w:val="21"/>
          <w:szCs w:val="21"/>
        </w:rPr>
        <w:t xml:space="preserve"> decreased by </w:t>
      </w:r>
      <w:r w:rsidRPr="00057C44">
        <w:rPr>
          <w:rFonts w:ascii="Times New Roman" w:hAnsi="Times New Roman" w:cs="Times New Roman"/>
          <w:sz w:val="21"/>
          <w:szCs w:val="21"/>
        </w:rPr>
        <w:t>4.8%</w:t>
      </w:r>
      <w:r w:rsidR="00CC10B1">
        <w:rPr>
          <w:rFonts w:ascii="Times New Roman" w:hAnsi="Times New Roman" w:cs="Times New Roman"/>
          <w:sz w:val="21"/>
          <w:szCs w:val="21"/>
        </w:rPr>
        <w:t xml:space="preserve">. The </w:t>
      </w:r>
      <w:r w:rsidR="00CC10B1" w:rsidRPr="00057C44">
        <w:rPr>
          <w:rFonts w:ascii="Times New Roman" w:hAnsi="Times New Roman" w:cs="Times New Roman"/>
          <w:sz w:val="21"/>
          <w:szCs w:val="21"/>
        </w:rPr>
        <w:t xml:space="preserve">volume of </w:t>
      </w:r>
      <w:r w:rsidR="00CC10B1">
        <w:rPr>
          <w:rFonts w:ascii="Times New Roman" w:hAnsi="Times New Roman" w:cs="Times New Roman"/>
          <w:sz w:val="21"/>
          <w:szCs w:val="21"/>
        </w:rPr>
        <w:t xml:space="preserve">dram </w:t>
      </w:r>
      <w:r w:rsidR="00CC10B1" w:rsidRPr="00057C44">
        <w:rPr>
          <w:rFonts w:ascii="Times New Roman" w:hAnsi="Times New Roman" w:cs="Times New Roman"/>
          <w:sz w:val="21"/>
          <w:szCs w:val="21"/>
        </w:rPr>
        <w:t xml:space="preserve">deposits </w:t>
      </w:r>
      <w:r w:rsidR="00CC10B1">
        <w:rPr>
          <w:rFonts w:ascii="Times New Roman" w:hAnsi="Times New Roman" w:cs="Times New Roman"/>
          <w:sz w:val="21"/>
          <w:szCs w:val="21"/>
        </w:rPr>
        <w:t xml:space="preserve">is predicted to recover in 2015 in the event </w:t>
      </w:r>
      <w:r w:rsidR="006D6597">
        <w:rPr>
          <w:rFonts w:ascii="Times New Roman" w:hAnsi="Times New Roman" w:cs="Times New Roman"/>
          <w:sz w:val="21"/>
          <w:szCs w:val="21"/>
        </w:rPr>
        <w:t xml:space="preserve">the </w:t>
      </w:r>
      <w:r w:rsidR="00CC10B1">
        <w:rPr>
          <w:rFonts w:ascii="Times New Roman" w:hAnsi="Times New Roman" w:cs="Times New Roman"/>
          <w:sz w:val="21"/>
          <w:szCs w:val="21"/>
        </w:rPr>
        <w:t>interest rate</w:t>
      </w:r>
      <w:r w:rsidR="006D6597">
        <w:rPr>
          <w:rFonts w:ascii="Times New Roman" w:hAnsi="Times New Roman" w:cs="Times New Roman"/>
          <w:sz w:val="21"/>
          <w:szCs w:val="21"/>
        </w:rPr>
        <w:t xml:space="preserve">s of dram deposits </w:t>
      </w:r>
      <w:r w:rsidR="00CC10B1">
        <w:rPr>
          <w:rFonts w:ascii="Times New Roman" w:hAnsi="Times New Roman" w:cs="Times New Roman"/>
          <w:sz w:val="21"/>
          <w:szCs w:val="21"/>
        </w:rPr>
        <w:t>ris</w:t>
      </w:r>
      <w:r w:rsidR="006D6597">
        <w:rPr>
          <w:rFonts w:ascii="Times New Roman" w:hAnsi="Times New Roman" w:cs="Times New Roman"/>
          <w:sz w:val="21"/>
          <w:szCs w:val="21"/>
        </w:rPr>
        <w:t>e</w:t>
      </w:r>
      <w:r w:rsidR="00CC10B1">
        <w:rPr>
          <w:rFonts w:ascii="Times New Roman" w:hAnsi="Times New Roman" w:cs="Times New Roman"/>
          <w:sz w:val="21"/>
          <w:szCs w:val="21"/>
        </w:rPr>
        <w:t xml:space="preserve">. </w:t>
      </w:r>
    </w:p>
    <w:p w14:paraId="269DD03B" w14:textId="77777777" w:rsidR="00A9653E" w:rsidRPr="00EC356F" w:rsidRDefault="006720E6" w:rsidP="00057C44">
      <w:pPr>
        <w:spacing w:line="360" w:lineRule="auto"/>
        <w:jc w:val="both"/>
        <w:rPr>
          <w:rFonts w:ascii="Times New Roman" w:hAnsi="Times New Roman" w:cs="Times New Roman"/>
          <w:sz w:val="21"/>
          <w:szCs w:val="21"/>
        </w:rPr>
      </w:pPr>
      <w:r>
        <w:rPr>
          <w:rFonts w:ascii="Times New Roman" w:hAnsi="Times New Roman" w:cs="Times New Roman"/>
          <w:sz w:val="21"/>
          <w:szCs w:val="21"/>
        </w:rPr>
        <w:t>The volume of f</w:t>
      </w:r>
      <w:r w:rsidR="00057C44" w:rsidRPr="006D6597">
        <w:rPr>
          <w:rFonts w:ascii="Times New Roman" w:hAnsi="Times New Roman" w:cs="Times New Roman"/>
          <w:sz w:val="21"/>
          <w:szCs w:val="21"/>
        </w:rPr>
        <w:t xml:space="preserve">oreign currency deposits </w:t>
      </w:r>
      <w:r>
        <w:rPr>
          <w:rFonts w:ascii="Times New Roman" w:hAnsi="Times New Roman" w:cs="Times New Roman"/>
          <w:sz w:val="21"/>
          <w:szCs w:val="21"/>
        </w:rPr>
        <w:t>grew</w:t>
      </w:r>
      <w:r w:rsidR="00057C44" w:rsidRPr="006D6597">
        <w:rPr>
          <w:rFonts w:ascii="Times New Roman" w:hAnsi="Times New Roman" w:cs="Times New Roman"/>
          <w:sz w:val="21"/>
          <w:szCs w:val="21"/>
        </w:rPr>
        <w:t xml:space="preserve"> by 17.2% during the quarter due primarily to </w:t>
      </w:r>
      <w:r>
        <w:rPr>
          <w:rFonts w:ascii="Times New Roman" w:hAnsi="Times New Roman" w:cs="Times New Roman"/>
          <w:sz w:val="21"/>
          <w:szCs w:val="21"/>
        </w:rPr>
        <w:t>an increased volume of</w:t>
      </w:r>
      <w:r w:rsidR="00057C44" w:rsidRPr="006D6597">
        <w:rPr>
          <w:rFonts w:ascii="Times New Roman" w:hAnsi="Times New Roman" w:cs="Times New Roman"/>
          <w:sz w:val="21"/>
          <w:szCs w:val="21"/>
        </w:rPr>
        <w:t xml:space="preserve"> demand</w:t>
      </w:r>
      <w:r w:rsidR="00057C44" w:rsidRPr="00057C44">
        <w:rPr>
          <w:rFonts w:ascii="Times New Roman" w:hAnsi="Times New Roman" w:cs="Times New Roman"/>
          <w:sz w:val="21"/>
          <w:szCs w:val="21"/>
        </w:rPr>
        <w:t xml:space="preserve"> deposits</w:t>
      </w:r>
      <w:r>
        <w:rPr>
          <w:rFonts w:ascii="Times New Roman" w:hAnsi="Times New Roman" w:cs="Times New Roman"/>
          <w:sz w:val="21"/>
          <w:szCs w:val="21"/>
        </w:rPr>
        <w:t>.</w:t>
      </w:r>
      <w:r w:rsidR="00057C44" w:rsidRPr="00057C44">
        <w:rPr>
          <w:rFonts w:ascii="Times New Roman" w:hAnsi="Times New Roman" w:cs="Times New Roman"/>
          <w:sz w:val="21"/>
          <w:szCs w:val="21"/>
        </w:rPr>
        <w:t xml:space="preserve"> </w:t>
      </w:r>
      <w:r>
        <w:rPr>
          <w:rFonts w:ascii="Times New Roman" w:hAnsi="Times New Roman" w:cs="Times New Roman"/>
          <w:sz w:val="21"/>
          <w:szCs w:val="21"/>
        </w:rPr>
        <w:t xml:space="preserve">If </w:t>
      </w:r>
      <w:r w:rsidRPr="00057C44">
        <w:rPr>
          <w:rFonts w:ascii="Times New Roman" w:hAnsi="Times New Roman" w:cs="Times New Roman"/>
          <w:sz w:val="21"/>
          <w:szCs w:val="21"/>
        </w:rPr>
        <w:t xml:space="preserve">the exchange rate </w:t>
      </w:r>
      <w:r w:rsidR="00057C44" w:rsidRPr="00057C44">
        <w:rPr>
          <w:rFonts w:ascii="Times New Roman" w:hAnsi="Times New Roman" w:cs="Times New Roman"/>
          <w:sz w:val="21"/>
          <w:szCs w:val="21"/>
        </w:rPr>
        <w:t xml:space="preserve">depreciation in the </w:t>
      </w:r>
      <w:r>
        <w:rPr>
          <w:rFonts w:ascii="Times New Roman" w:hAnsi="Times New Roman" w:cs="Times New Roman"/>
          <w:sz w:val="21"/>
          <w:szCs w:val="21"/>
        </w:rPr>
        <w:t>4th</w:t>
      </w:r>
      <w:r w:rsidR="00057C44" w:rsidRPr="00057C44">
        <w:rPr>
          <w:rFonts w:ascii="Times New Roman" w:hAnsi="Times New Roman" w:cs="Times New Roman"/>
          <w:sz w:val="21"/>
          <w:szCs w:val="21"/>
        </w:rPr>
        <w:t xml:space="preserve"> quarter</w:t>
      </w:r>
      <w:r>
        <w:rPr>
          <w:rFonts w:ascii="Times New Roman" w:hAnsi="Times New Roman" w:cs="Times New Roman"/>
          <w:sz w:val="21"/>
          <w:szCs w:val="21"/>
        </w:rPr>
        <w:t xml:space="preserve"> is excluded</w:t>
      </w:r>
      <w:r w:rsidR="00057C44" w:rsidRPr="00057C44">
        <w:rPr>
          <w:rFonts w:ascii="Times New Roman" w:hAnsi="Times New Roman" w:cs="Times New Roman"/>
          <w:sz w:val="21"/>
          <w:szCs w:val="21"/>
        </w:rPr>
        <w:t>, the volume</w:t>
      </w:r>
      <w:r>
        <w:rPr>
          <w:rFonts w:ascii="Times New Roman" w:hAnsi="Times New Roman" w:cs="Times New Roman"/>
          <w:sz w:val="21"/>
          <w:szCs w:val="21"/>
        </w:rPr>
        <w:t>s</w:t>
      </w:r>
      <w:r w:rsidR="00057C44" w:rsidRPr="00057C44">
        <w:rPr>
          <w:rFonts w:ascii="Times New Roman" w:hAnsi="Times New Roman" w:cs="Times New Roman"/>
          <w:sz w:val="21"/>
          <w:szCs w:val="21"/>
        </w:rPr>
        <w:t xml:space="preserve"> of deposits remained virtually unchanged</w:t>
      </w:r>
      <w:r>
        <w:rPr>
          <w:rFonts w:ascii="Times New Roman" w:hAnsi="Times New Roman" w:cs="Times New Roman"/>
          <w:sz w:val="21"/>
          <w:szCs w:val="21"/>
        </w:rPr>
        <w:t xml:space="preserve"> – the </w:t>
      </w:r>
      <w:r w:rsidR="00057C44" w:rsidRPr="00057C44">
        <w:rPr>
          <w:rFonts w:ascii="Times New Roman" w:hAnsi="Times New Roman" w:cs="Times New Roman"/>
          <w:sz w:val="21"/>
          <w:szCs w:val="21"/>
        </w:rPr>
        <w:t xml:space="preserve">growth </w:t>
      </w:r>
      <w:r>
        <w:rPr>
          <w:rFonts w:ascii="Times New Roman" w:hAnsi="Times New Roman" w:cs="Times New Roman"/>
          <w:sz w:val="21"/>
          <w:szCs w:val="21"/>
        </w:rPr>
        <w:t xml:space="preserve">of demand deposits </w:t>
      </w:r>
      <w:r w:rsidR="00057C44" w:rsidRPr="00057C44">
        <w:rPr>
          <w:rFonts w:ascii="Times New Roman" w:hAnsi="Times New Roman" w:cs="Times New Roman"/>
          <w:sz w:val="21"/>
          <w:szCs w:val="21"/>
        </w:rPr>
        <w:t xml:space="preserve">was </w:t>
      </w:r>
      <w:r>
        <w:rPr>
          <w:rFonts w:ascii="Times New Roman" w:hAnsi="Times New Roman" w:cs="Times New Roman"/>
          <w:sz w:val="21"/>
          <w:szCs w:val="21"/>
        </w:rPr>
        <w:t xml:space="preserve">concomitant with </w:t>
      </w:r>
      <w:r w:rsidR="00045916">
        <w:rPr>
          <w:rFonts w:ascii="Times New Roman" w:hAnsi="Times New Roman" w:cs="Times New Roman"/>
          <w:sz w:val="21"/>
          <w:szCs w:val="21"/>
        </w:rPr>
        <w:t xml:space="preserve">reducing volume of </w:t>
      </w:r>
      <w:r w:rsidR="00057C44" w:rsidRPr="00057C44">
        <w:rPr>
          <w:rFonts w:ascii="Times New Roman" w:hAnsi="Times New Roman" w:cs="Times New Roman"/>
          <w:sz w:val="21"/>
          <w:szCs w:val="21"/>
        </w:rPr>
        <w:t>time deposits.</w:t>
      </w:r>
      <w:r w:rsidR="00A9653E" w:rsidRPr="00EC356F">
        <w:rPr>
          <w:rFonts w:ascii="Times New Roman" w:hAnsi="Times New Roman" w:cs="Times New Roman"/>
          <w:sz w:val="21"/>
          <w:szCs w:val="21"/>
        </w:rPr>
        <w:t xml:space="preserve"> </w:t>
      </w:r>
    </w:p>
    <w:p w14:paraId="0F4A239B" w14:textId="70233D44" w:rsidR="00945E09" w:rsidRPr="00EC356F" w:rsidRDefault="00945E09" w:rsidP="00945E09">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In the period under review, interest rates of dram loans extended to both </w:t>
      </w:r>
      <w:r w:rsidR="00177180">
        <w:rPr>
          <w:rFonts w:ascii="Times New Roman" w:hAnsi="Times New Roman" w:cs="Times New Roman"/>
          <w:sz w:val="21"/>
          <w:szCs w:val="21"/>
        </w:rPr>
        <w:t xml:space="preserve">households </w:t>
      </w:r>
      <w:r>
        <w:rPr>
          <w:rFonts w:ascii="Times New Roman" w:hAnsi="Times New Roman" w:cs="Times New Roman"/>
          <w:sz w:val="21"/>
          <w:szCs w:val="21"/>
        </w:rPr>
        <w:t xml:space="preserve">and </w:t>
      </w:r>
      <w:r w:rsidR="00177180">
        <w:rPr>
          <w:rFonts w:ascii="Times New Roman" w:hAnsi="Times New Roman" w:cs="Times New Roman"/>
          <w:sz w:val="21"/>
          <w:szCs w:val="21"/>
        </w:rPr>
        <w:t xml:space="preserve">non-financial corporations </w:t>
      </w:r>
      <w:r>
        <w:rPr>
          <w:rFonts w:ascii="Times New Roman" w:hAnsi="Times New Roman" w:cs="Times New Roman"/>
          <w:sz w:val="21"/>
          <w:szCs w:val="21"/>
        </w:rPr>
        <w:t>for a period over 1 year trended downward: the a</w:t>
      </w:r>
      <w:r w:rsidR="00A9653E" w:rsidRPr="00EC356F">
        <w:rPr>
          <w:rFonts w:ascii="Times New Roman" w:hAnsi="Times New Roman" w:cs="Times New Roman"/>
          <w:sz w:val="21"/>
          <w:szCs w:val="21"/>
        </w:rPr>
        <w:t xml:space="preserve">verage quarterly </w:t>
      </w:r>
      <w:r>
        <w:rPr>
          <w:rFonts w:ascii="Times New Roman" w:hAnsi="Times New Roman" w:cs="Times New Roman"/>
          <w:sz w:val="21"/>
          <w:szCs w:val="21"/>
        </w:rPr>
        <w:t xml:space="preserve">interest rate of loans in dram </w:t>
      </w:r>
      <w:r w:rsidR="00A9653E" w:rsidRPr="00EC356F">
        <w:rPr>
          <w:rFonts w:ascii="Times New Roman" w:hAnsi="Times New Roman" w:cs="Times New Roman"/>
          <w:sz w:val="21"/>
          <w:szCs w:val="21"/>
        </w:rPr>
        <w:t xml:space="preserve">has </w:t>
      </w:r>
      <w:r>
        <w:rPr>
          <w:rFonts w:ascii="Times New Roman" w:hAnsi="Times New Roman" w:cs="Times New Roman"/>
          <w:sz w:val="21"/>
          <w:szCs w:val="21"/>
        </w:rPr>
        <w:t xml:space="preserve">fallen </w:t>
      </w:r>
      <w:r w:rsidR="005D3272">
        <w:rPr>
          <w:rFonts w:ascii="Times New Roman" w:hAnsi="Times New Roman" w:cs="Times New Roman"/>
          <w:sz w:val="21"/>
          <w:szCs w:val="21"/>
        </w:rPr>
        <w:t>by 0.</w:t>
      </w:r>
      <w:r>
        <w:rPr>
          <w:rFonts w:ascii="Times New Roman" w:hAnsi="Times New Roman" w:cs="Times New Roman"/>
          <w:sz w:val="21"/>
          <w:szCs w:val="21"/>
        </w:rPr>
        <w:t>1</w:t>
      </w:r>
      <w:r w:rsidR="005D3272">
        <w:rPr>
          <w:rFonts w:ascii="Times New Roman" w:hAnsi="Times New Roman" w:cs="Times New Roman"/>
          <w:sz w:val="21"/>
          <w:szCs w:val="21"/>
        </w:rPr>
        <w:t xml:space="preserve"> pp </w:t>
      </w:r>
      <w:r>
        <w:rPr>
          <w:rFonts w:ascii="Times New Roman" w:hAnsi="Times New Roman" w:cs="Times New Roman"/>
          <w:sz w:val="21"/>
          <w:szCs w:val="21"/>
        </w:rPr>
        <w:t xml:space="preserve">to 18.0% in relation to the previous quarter. </w:t>
      </w:r>
    </w:p>
    <w:p w14:paraId="2A449F51" w14:textId="77777777" w:rsidR="00945E09"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945E09">
        <w:rPr>
          <w:rFonts w:ascii="Times New Roman" w:hAnsi="Times New Roman" w:cs="Times New Roman"/>
          <w:sz w:val="21"/>
          <w:szCs w:val="21"/>
        </w:rPr>
        <w:t>4th</w:t>
      </w:r>
      <w:r w:rsidRPr="00EC356F">
        <w:rPr>
          <w:rFonts w:ascii="Times New Roman" w:hAnsi="Times New Roman" w:cs="Times New Roman"/>
          <w:sz w:val="21"/>
          <w:szCs w:val="21"/>
        </w:rPr>
        <w:t xml:space="preserve"> quarter of 2014, foreign currency lending rates dropped as well, with average quarterly interest rate having </w:t>
      </w:r>
      <w:r w:rsidR="00945E09">
        <w:rPr>
          <w:rFonts w:ascii="Times New Roman" w:hAnsi="Times New Roman" w:cs="Times New Roman"/>
          <w:sz w:val="21"/>
          <w:szCs w:val="21"/>
        </w:rPr>
        <w:t>dipped by</w:t>
      </w:r>
      <w:r w:rsidRPr="00EC356F">
        <w:rPr>
          <w:rFonts w:ascii="Times New Roman" w:hAnsi="Times New Roman" w:cs="Times New Roman"/>
          <w:sz w:val="21"/>
          <w:szCs w:val="21"/>
        </w:rPr>
        <w:t xml:space="preserve"> 0.</w:t>
      </w:r>
      <w:r w:rsidR="005563E5">
        <w:rPr>
          <w:rFonts w:ascii="Times New Roman" w:hAnsi="Times New Roman" w:cs="Times New Roman"/>
          <w:sz w:val="21"/>
          <w:szCs w:val="21"/>
        </w:rPr>
        <w:t>2</w:t>
      </w:r>
      <w:r w:rsidRPr="00EC356F">
        <w:rPr>
          <w:rFonts w:ascii="Times New Roman" w:hAnsi="Times New Roman" w:cs="Times New Roman"/>
          <w:sz w:val="21"/>
          <w:szCs w:val="21"/>
        </w:rPr>
        <w:t xml:space="preserve"> pp to 1</w:t>
      </w:r>
      <w:r w:rsidR="00945E09">
        <w:rPr>
          <w:rFonts w:ascii="Times New Roman" w:hAnsi="Times New Roman" w:cs="Times New Roman"/>
          <w:sz w:val="21"/>
          <w:szCs w:val="21"/>
        </w:rPr>
        <w:t>0</w:t>
      </w:r>
      <w:r w:rsidRPr="00EC356F">
        <w:rPr>
          <w:rFonts w:ascii="Times New Roman" w:hAnsi="Times New Roman" w:cs="Times New Roman"/>
          <w:sz w:val="21"/>
          <w:szCs w:val="21"/>
        </w:rPr>
        <w:t>.</w:t>
      </w:r>
      <w:r w:rsidR="00945E09">
        <w:rPr>
          <w:rFonts w:ascii="Times New Roman" w:hAnsi="Times New Roman" w:cs="Times New Roman"/>
          <w:sz w:val="21"/>
          <w:szCs w:val="21"/>
        </w:rPr>
        <w:t>9</w:t>
      </w:r>
      <w:r w:rsidRPr="00EC356F">
        <w:rPr>
          <w:rFonts w:ascii="Times New Roman" w:hAnsi="Times New Roman" w:cs="Times New Roman"/>
          <w:sz w:val="21"/>
          <w:szCs w:val="21"/>
        </w:rPr>
        <w:t xml:space="preserve">%. </w:t>
      </w:r>
    </w:p>
    <w:p w14:paraId="25A0AE22" w14:textId="77777777" w:rsidR="00945E09" w:rsidRDefault="00B474BB"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value of loans in both </w:t>
      </w:r>
      <w:r w:rsidRPr="00B474BB">
        <w:rPr>
          <w:rFonts w:ascii="Times New Roman" w:hAnsi="Times New Roman" w:cs="Times New Roman"/>
          <w:sz w:val="21"/>
          <w:szCs w:val="21"/>
        </w:rPr>
        <w:t xml:space="preserve">foreign currency </w:t>
      </w:r>
      <w:r>
        <w:rPr>
          <w:rFonts w:ascii="Times New Roman" w:hAnsi="Times New Roman" w:cs="Times New Roman"/>
          <w:sz w:val="21"/>
          <w:szCs w:val="21"/>
        </w:rPr>
        <w:t xml:space="preserve">and local currency has grown by </w:t>
      </w:r>
      <w:r w:rsidRPr="00B474BB">
        <w:rPr>
          <w:rFonts w:ascii="Times New Roman" w:hAnsi="Times New Roman" w:cs="Times New Roman"/>
          <w:sz w:val="21"/>
          <w:szCs w:val="21"/>
        </w:rPr>
        <w:t>17.8% and 2.7%</w:t>
      </w:r>
      <w:r>
        <w:rPr>
          <w:rFonts w:ascii="Times New Roman" w:hAnsi="Times New Roman" w:cs="Times New Roman"/>
          <w:sz w:val="21"/>
          <w:szCs w:val="21"/>
        </w:rPr>
        <w:t>,</w:t>
      </w:r>
      <w:r w:rsidRPr="00B474BB">
        <w:rPr>
          <w:rFonts w:ascii="Times New Roman" w:hAnsi="Times New Roman" w:cs="Times New Roman"/>
          <w:sz w:val="21"/>
          <w:szCs w:val="21"/>
        </w:rPr>
        <w:t xml:space="preserve"> respectively</w:t>
      </w:r>
      <w:r>
        <w:rPr>
          <w:rFonts w:ascii="Times New Roman" w:hAnsi="Times New Roman" w:cs="Times New Roman"/>
          <w:sz w:val="21"/>
          <w:szCs w:val="21"/>
        </w:rPr>
        <w:t>. The</w:t>
      </w:r>
      <w:r w:rsidRPr="00B474BB">
        <w:rPr>
          <w:rFonts w:ascii="Times New Roman" w:hAnsi="Times New Roman" w:cs="Times New Roman"/>
          <w:sz w:val="21"/>
          <w:szCs w:val="21"/>
        </w:rPr>
        <w:t xml:space="preserve"> loans </w:t>
      </w:r>
      <w:r>
        <w:rPr>
          <w:rFonts w:ascii="Times New Roman" w:hAnsi="Times New Roman" w:cs="Times New Roman"/>
          <w:sz w:val="21"/>
          <w:szCs w:val="21"/>
        </w:rPr>
        <w:t>in foreign currency still</w:t>
      </w:r>
      <w:r w:rsidRPr="00B474BB">
        <w:rPr>
          <w:rFonts w:ascii="Times New Roman" w:hAnsi="Times New Roman" w:cs="Times New Roman"/>
          <w:sz w:val="21"/>
          <w:szCs w:val="21"/>
        </w:rPr>
        <w:t xml:space="preserve"> prevail</w:t>
      </w:r>
      <w:r>
        <w:rPr>
          <w:rFonts w:ascii="Times New Roman" w:hAnsi="Times New Roman" w:cs="Times New Roman"/>
          <w:sz w:val="21"/>
          <w:szCs w:val="21"/>
        </w:rPr>
        <w:t>ed</w:t>
      </w:r>
      <w:r w:rsidRPr="00B474BB">
        <w:rPr>
          <w:rFonts w:ascii="Times New Roman" w:hAnsi="Times New Roman" w:cs="Times New Roman"/>
          <w:sz w:val="21"/>
          <w:szCs w:val="21"/>
        </w:rPr>
        <w:t xml:space="preserve"> in the </w:t>
      </w:r>
      <w:r>
        <w:rPr>
          <w:rFonts w:ascii="Times New Roman" w:hAnsi="Times New Roman" w:cs="Times New Roman"/>
          <w:sz w:val="21"/>
          <w:szCs w:val="21"/>
        </w:rPr>
        <w:t xml:space="preserve">total loan portfolio, making up </w:t>
      </w:r>
      <w:r w:rsidRPr="00B474BB">
        <w:rPr>
          <w:rFonts w:ascii="Times New Roman" w:hAnsi="Times New Roman" w:cs="Times New Roman"/>
          <w:sz w:val="21"/>
          <w:szCs w:val="21"/>
        </w:rPr>
        <w:t>about 60%</w:t>
      </w:r>
      <w:r>
        <w:rPr>
          <w:rFonts w:ascii="Times New Roman" w:hAnsi="Times New Roman" w:cs="Times New Roman"/>
          <w:sz w:val="21"/>
          <w:szCs w:val="21"/>
        </w:rPr>
        <w:t xml:space="preserve"> of it. The </w:t>
      </w:r>
      <w:r w:rsidR="00E83843" w:rsidRPr="00B474BB">
        <w:rPr>
          <w:rFonts w:ascii="Times New Roman" w:hAnsi="Times New Roman" w:cs="Times New Roman"/>
          <w:sz w:val="21"/>
          <w:szCs w:val="21"/>
        </w:rPr>
        <w:t>growth</w:t>
      </w:r>
      <w:r w:rsidR="00E83843">
        <w:rPr>
          <w:rFonts w:ascii="Times New Roman" w:hAnsi="Times New Roman" w:cs="Times New Roman"/>
          <w:sz w:val="21"/>
          <w:szCs w:val="21"/>
        </w:rPr>
        <w:t xml:space="preserve"> of </w:t>
      </w:r>
      <w:r>
        <w:rPr>
          <w:rFonts w:ascii="Times New Roman" w:hAnsi="Times New Roman" w:cs="Times New Roman"/>
          <w:sz w:val="21"/>
          <w:szCs w:val="21"/>
        </w:rPr>
        <w:t xml:space="preserve">total </w:t>
      </w:r>
      <w:r w:rsidRPr="00B474BB">
        <w:rPr>
          <w:rFonts w:ascii="Times New Roman" w:hAnsi="Times New Roman" w:cs="Times New Roman"/>
          <w:sz w:val="21"/>
          <w:szCs w:val="21"/>
        </w:rPr>
        <w:t xml:space="preserve">loan </w:t>
      </w:r>
      <w:r>
        <w:rPr>
          <w:rFonts w:ascii="Times New Roman" w:hAnsi="Times New Roman" w:cs="Times New Roman"/>
          <w:sz w:val="21"/>
          <w:szCs w:val="21"/>
        </w:rPr>
        <w:t>value</w:t>
      </w:r>
      <w:r w:rsidRPr="00B474BB">
        <w:rPr>
          <w:rFonts w:ascii="Times New Roman" w:hAnsi="Times New Roman" w:cs="Times New Roman"/>
          <w:sz w:val="21"/>
          <w:szCs w:val="21"/>
        </w:rPr>
        <w:t xml:space="preserve"> during the quarter was 11.7% (21.0% </w:t>
      </w:r>
      <w:r w:rsidR="00E83843" w:rsidRPr="00B474BB">
        <w:rPr>
          <w:rFonts w:ascii="Times New Roman" w:hAnsi="Times New Roman" w:cs="Times New Roman"/>
          <w:sz w:val="21"/>
          <w:szCs w:val="21"/>
        </w:rPr>
        <w:t>y/y</w:t>
      </w:r>
      <w:r w:rsidRPr="00B474BB">
        <w:rPr>
          <w:rFonts w:ascii="Times New Roman" w:hAnsi="Times New Roman" w:cs="Times New Roman"/>
          <w:sz w:val="21"/>
          <w:szCs w:val="21"/>
        </w:rPr>
        <w:t>)</w:t>
      </w:r>
      <w:r w:rsidR="00E83843">
        <w:rPr>
          <w:rFonts w:ascii="Times New Roman" w:hAnsi="Times New Roman" w:cs="Times New Roman"/>
          <w:sz w:val="21"/>
          <w:szCs w:val="21"/>
        </w:rPr>
        <w:t xml:space="preserve"> or AMD </w:t>
      </w:r>
      <w:r w:rsidR="00E83843" w:rsidRPr="00B474BB">
        <w:rPr>
          <w:rFonts w:ascii="Times New Roman" w:hAnsi="Times New Roman" w:cs="Times New Roman"/>
          <w:sz w:val="21"/>
          <w:szCs w:val="21"/>
        </w:rPr>
        <w:t>241.7 billion</w:t>
      </w:r>
      <w:r w:rsidR="00E83843">
        <w:rPr>
          <w:rFonts w:ascii="Times New Roman" w:hAnsi="Times New Roman" w:cs="Times New Roman"/>
          <w:sz w:val="21"/>
          <w:szCs w:val="21"/>
        </w:rPr>
        <w:t xml:space="preserve"> in </w:t>
      </w:r>
      <w:r w:rsidRPr="00B474BB">
        <w:rPr>
          <w:rFonts w:ascii="Times New Roman" w:hAnsi="Times New Roman" w:cs="Times New Roman"/>
          <w:sz w:val="21"/>
          <w:szCs w:val="21"/>
        </w:rPr>
        <w:t xml:space="preserve">absolute </w:t>
      </w:r>
      <w:r w:rsidR="00E83843">
        <w:rPr>
          <w:rFonts w:ascii="Times New Roman" w:hAnsi="Times New Roman" w:cs="Times New Roman"/>
          <w:sz w:val="21"/>
          <w:szCs w:val="21"/>
        </w:rPr>
        <w:t xml:space="preserve">terms. Given the exchange rate is constant relative to the 3rd quarter, the value of loans in foreign currency has grown by </w:t>
      </w:r>
      <w:r w:rsidRPr="00B474BB">
        <w:rPr>
          <w:rFonts w:ascii="Times New Roman" w:hAnsi="Times New Roman" w:cs="Times New Roman"/>
          <w:sz w:val="21"/>
          <w:szCs w:val="21"/>
        </w:rPr>
        <w:t xml:space="preserve">1.0% and </w:t>
      </w:r>
      <w:r w:rsidR="00E83843">
        <w:rPr>
          <w:rFonts w:ascii="Times New Roman" w:hAnsi="Times New Roman" w:cs="Times New Roman"/>
          <w:sz w:val="21"/>
          <w:szCs w:val="21"/>
        </w:rPr>
        <w:t xml:space="preserve">total lending volumes, by </w:t>
      </w:r>
      <w:r w:rsidRPr="00B474BB">
        <w:rPr>
          <w:rFonts w:ascii="Times New Roman" w:hAnsi="Times New Roman" w:cs="Times New Roman"/>
          <w:sz w:val="21"/>
          <w:szCs w:val="21"/>
        </w:rPr>
        <w:t>1.8%</w:t>
      </w:r>
      <w:r w:rsidR="00E83843">
        <w:rPr>
          <w:rFonts w:ascii="Times New Roman" w:hAnsi="Times New Roman" w:cs="Times New Roman"/>
          <w:sz w:val="21"/>
          <w:szCs w:val="21"/>
        </w:rPr>
        <w:t xml:space="preserve">. The quarterly growth of loans in dram </w:t>
      </w:r>
      <w:r w:rsidRPr="00B474BB">
        <w:rPr>
          <w:rFonts w:ascii="Times New Roman" w:hAnsi="Times New Roman" w:cs="Times New Roman"/>
          <w:sz w:val="21"/>
          <w:szCs w:val="21"/>
        </w:rPr>
        <w:t>amounted to 2.73%.</w:t>
      </w:r>
    </w:p>
    <w:p w14:paraId="204521AD" w14:textId="77777777" w:rsidR="00A9653E" w:rsidRPr="00EC356F" w:rsidRDefault="001A56BF" w:rsidP="00A9653E">
      <w:pPr>
        <w:spacing w:line="360" w:lineRule="auto"/>
        <w:jc w:val="both"/>
        <w:rPr>
          <w:rFonts w:ascii="Times New Roman" w:hAnsi="Times New Roman" w:cs="Times New Roman"/>
          <w:b/>
          <w:sz w:val="21"/>
          <w:szCs w:val="21"/>
        </w:rPr>
      </w:pPr>
      <w:r>
        <w:rPr>
          <w:rFonts w:ascii="Times New Roman" w:hAnsi="Times New Roman" w:cs="Times New Roman"/>
          <w:b/>
          <w:color w:val="000000"/>
          <w:sz w:val="21"/>
          <w:szCs w:val="21"/>
        </w:rPr>
        <w:t>B</w:t>
      </w:r>
      <w:r w:rsidR="00A9653E" w:rsidRPr="00EC356F">
        <w:rPr>
          <w:rFonts w:ascii="Times New Roman" w:hAnsi="Times New Roman" w:cs="Times New Roman"/>
          <w:b/>
          <w:color w:val="000000"/>
          <w:sz w:val="21"/>
          <w:szCs w:val="21"/>
        </w:rPr>
        <w:t xml:space="preserve">ox </w:t>
      </w:r>
      <w:r w:rsidR="00CC63AA">
        <w:rPr>
          <w:rFonts w:ascii="Times New Roman" w:hAnsi="Times New Roman" w:cs="Times New Roman"/>
          <w:b/>
          <w:color w:val="000000"/>
          <w:sz w:val="21"/>
          <w:szCs w:val="21"/>
        </w:rPr>
        <w:t>3</w:t>
      </w:r>
    </w:p>
    <w:p w14:paraId="17299CBA" w14:textId="12F25D35" w:rsidR="00CC63AA" w:rsidRPr="00FD4314" w:rsidRDefault="00A51B24" w:rsidP="00A9653E">
      <w:pPr>
        <w:spacing w:line="360" w:lineRule="auto"/>
        <w:jc w:val="both"/>
        <w:rPr>
          <w:rFonts w:ascii="Times New Roman" w:hAnsi="Times New Roman" w:cs="Times New Roman"/>
          <w:i/>
          <w:sz w:val="21"/>
          <w:szCs w:val="21"/>
        </w:rPr>
      </w:pPr>
      <w:r w:rsidRPr="00FD4314">
        <w:rPr>
          <w:rFonts w:ascii="Times New Roman" w:hAnsi="Times New Roman" w:cs="Times New Roman"/>
          <w:i/>
          <w:sz w:val="21"/>
          <w:szCs w:val="21"/>
        </w:rPr>
        <w:t>The</w:t>
      </w:r>
      <w:r w:rsidR="00A9653E" w:rsidRPr="00FD4314">
        <w:rPr>
          <w:rFonts w:ascii="Times New Roman" w:hAnsi="Times New Roman" w:cs="Times New Roman"/>
          <w:i/>
          <w:sz w:val="21"/>
          <w:szCs w:val="21"/>
        </w:rPr>
        <w:t xml:space="preserve"> results of </w:t>
      </w:r>
      <w:r w:rsidRPr="00FD4314">
        <w:rPr>
          <w:rFonts w:ascii="Times New Roman" w:hAnsi="Times New Roman" w:cs="Times New Roman"/>
          <w:i/>
          <w:sz w:val="21"/>
          <w:szCs w:val="21"/>
        </w:rPr>
        <w:t>Q4</w:t>
      </w:r>
      <w:r w:rsidR="00A9653E" w:rsidRPr="00FD4314">
        <w:rPr>
          <w:rFonts w:ascii="Times New Roman" w:hAnsi="Times New Roman" w:cs="Times New Roman"/>
          <w:i/>
          <w:sz w:val="21"/>
          <w:szCs w:val="21"/>
        </w:rPr>
        <w:t xml:space="preserve"> 2014 survey on terms of lending by Armenian banks and credit organizations</w:t>
      </w:r>
      <w:r w:rsidRPr="00FD4314">
        <w:rPr>
          <w:rFonts w:ascii="Times New Roman" w:hAnsi="Times New Roman" w:cs="Times New Roman"/>
          <w:i/>
          <w:sz w:val="21"/>
          <w:szCs w:val="21"/>
        </w:rPr>
        <w:t xml:space="preserve"> suggest that </w:t>
      </w:r>
      <w:r w:rsidR="00A9653E" w:rsidRPr="00FD4314">
        <w:rPr>
          <w:rFonts w:ascii="Times New Roman" w:hAnsi="Times New Roman" w:cs="Times New Roman"/>
          <w:i/>
          <w:color w:val="000000"/>
          <w:sz w:val="21"/>
          <w:szCs w:val="21"/>
        </w:rPr>
        <w:t xml:space="preserve">the terms of lending </w:t>
      </w:r>
      <w:r w:rsidR="00CC63AA" w:rsidRPr="00FD4314">
        <w:rPr>
          <w:rFonts w:ascii="Times New Roman" w:hAnsi="Times New Roman" w:cs="Times New Roman"/>
          <w:i/>
          <w:color w:val="000000"/>
          <w:sz w:val="21"/>
          <w:szCs w:val="21"/>
        </w:rPr>
        <w:t xml:space="preserve">came in much </w:t>
      </w:r>
      <w:r w:rsidRPr="00FD4314">
        <w:rPr>
          <w:rFonts w:ascii="Times New Roman" w:hAnsi="Times New Roman" w:cs="Times New Roman"/>
          <w:i/>
          <w:color w:val="000000"/>
          <w:sz w:val="21"/>
          <w:szCs w:val="21"/>
        </w:rPr>
        <w:t>tightened</w:t>
      </w:r>
      <w:r w:rsidR="00CC63AA" w:rsidRPr="00FD4314">
        <w:rPr>
          <w:rFonts w:ascii="Times New Roman" w:hAnsi="Times New Roman" w:cs="Times New Roman"/>
          <w:i/>
          <w:color w:val="000000"/>
          <w:sz w:val="21"/>
          <w:szCs w:val="21"/>
        </w:rPr>
        <w:t>. The factors in support of the tightening included r</w:t>
      </w:r>
      <w:r w:rsidR="00CC63AA" w:rsidRPr="00FD4314">
        <w:rPr>
          <w:rFonts w:ascii="Times New Roman" w:hAnsi="Times New Roman" w:cs="Times New Roman"/>
          <w:i/>
          <w:sz w:val="21"/>
          <w:szCs w:val="21"/>
        </w:rPr>
        <w:t xml:space="preserve">estricted liquidity, borrower creditworthiness, accessibility to the money markets, slowing of the economic activity. </w:t>
      </w:r>
    </w:p>
    <w:p w14:paraId="326E4BDC" w14:textId="77777777" w:rsidR="0061526A" w:rsidRPr="00FD4314" w:rsidRDefault="0061526A" w:rsidP="00A9653E">
      <w:pPr>
        <w:spacing w:line="360" w:lineRule="auto"/>
        <w:jc w:val="both"/>
        <w:rPr>
          <w:rFonts w:ascii="Times New Roman" w:hAnsi="Times New Roman" w:cs="Times New Roman"/>
          <w:i/>
          <w:color w:val="000000"/>
          <w:sz w:val="21"/>
          <w:szCs w:val="21"/>
        </w:rPr>
      </w:pPr>
      <w:r w:rsidRPr="00FD4314">
        <w:rPr>
          <w:rFonts w:ascii="Times New Roman" w:hAnsi="Times New Roman" w:cs="Times New Roman"/>
          <w:i/>
          <w:color w:val="000000"/>
          <w:sz w:val="21"/>
          <w:szCs w:val="21"/>
        </w:rPr>
        <w:lastRenderedPageBreak/>
        <w:t>During the 4th quarter, o</w:t>
      </w:r>
      <w:r w:rsidR="00AC6678" w:rsidRPr="00FD4314">
        <w:rPr>
          <w:rFonts w:ascii="Times New Roman" w:hAnsi="Times New Roman" w:cs="Times New Roman"/>
          <w:i/>
          <w:color w:val="000000"/>
          <w:sz w:val="21"/>
          <w:szCs w:val="21"/>
        </w:rPr>
        <w:t xml:space="preserve">ne could see the demand growing for consumer loans, </w:t>
      </w:r>
      <w:r w:rsidRPr="00FD4314">
        <w:rPr>
          <w:rFonts w:ascii="Times New Roman" w:hAnsi="Times New Roman" w:cs="Times New Roman"/>
          <w:i/>
          <w:color w:val="000000"/>
          <w:sz w:val="21"/>
          <w:szCs w:val="21"/>
        </w:rPr>
        <w:t>staying unchanged for mortgage loans and declining for business loans, with the planned low level of capital investment as the principal factor for the decline.</w:t>
      </w:r>
      <w:r w:rsidR="00AC6678" w:rsidRPr="00FD4314">
        <w:rPr>
          <w:rFonts w:ascii="Times New Roman" w:hAnsi="Times New Roman" w:cs="Times New Roman"/>
          <w:i/>
          <w:color w:val="000000"/>
          <w:sz w:val="21"/>
          <w:szCs w:val="21"/>
        </w:rPr>
        <w:t xml:space="preserve"> </w:t>
      </w:r>
      <w:r w:rsidR="00CC63AA" w:rsidRPr="00FD4314">
        <w:rPr>
          <w:rFonts w:ascii="Times New Roman" w:hAnsi="Times New Roman" w:cs="Times New Roman"/>
          <w:i/>
          <w:color w:val="000000"/>
          <w:sz w:val="21"/>
          <w:szCs w:val="21"/>
        </w:rPr>
        <w:t xml:space="preserve"> </w:t>
      </w:r>
    </w:p>
    <w:p w14:paraId="4C610AEB" w14:textId="77777777" w:rsidR="00A9653E" w:rsidRPr="00A51B24" w:rsidRDefault="008E5EDD" w:rsidP="00A9653E">
      <w:pPr>
        <w:spacing w:line="360" w:lineRule="auto"/>
        <w:jc w:val="both"/>
        <w:rPr>
          <w:rFonts w:ascii="Times New Roman" w:hAnsi="Times New Roman" w:cs="Times New Roman"/>
          <w:sz w:val="21"/>
          <w:szCs w:val="21"/>
        </w:rPr>
      </w:pPr>
      <w:r w:rsidRPr="00FD4314">
        <w:rPr>
          <w:rFonts w:ascii="Times New Roman" w:hAnsi="Times New Roman" w:cs="Times New Roman"/>
          <w:i/>
          <w:sz w:val="21"/>
          <w:szCs w:val="21"/>
        </w:rPr>
        <w:t xml:space="preserve">The </w:t>
      </w:r>
      <w:r w:rsidR="00A9653E" w:rsidRPr="00FD4314">
        <w:rPr>
          <w:rFonts w:ascii="Times New Roman" w:hAnsi="Times New Roman" w:cs="Times New Roman"/>
          <w:i/>
          <w:sz w:val="21"/>
          <w:szCs w:val="21"/>
        </w:rPr>
        <w:t xml:space="preserve">terms of </w:t>
      </w:r>
      <w:r w:rsidRPr="00FD4314">
        <w:rPr>
          <w:rFonts w:ascii="Times New Roman" w:hAnsi="Times New Roman" w:cs="Times New Roman"/>
          <w:i/>
          <w:sz w:val="21"/>
          <w:szCs w:val="21"/>
        </w:rPr>
        <w:t xml:space="preserve">lending will </w:t>
      </w:r>
      <w:r w:rsidR="00FD4314" w:rsidRPr="00FD4314">
        <w:rPr>
          <w:rFonts w:ascii="Times New Roman" w:hAnsi="Times New Roman" w:cs="Times New Roman"/>
          <w:i/>
          <w:sz w:val="21"/>
          <w:szCs w:val="21"/>
        </w:rPr>
        <w:t xml:space="preserve">continue to be tightened during the 4th quarter with regard to </w:t>
      </w:r>
      <w:r w:rsidR="00A9653E" w:rsidRPr="00FD4314">
        <w:rPr>
          <w:rFonts w:ascii="Times New Roman" w:hAnsi="Times New Roman" w:cs="Times New Roman"/>
          <w:i/>
          <w:sz w:val="21"/>
          <w:szCs w:val="21"/>
        </w:rPr>
        <w:t>all types of loan products</w:t>
      </w:r>
      <w:r w:rsidR="00FD4314" w:rsidRPr="00FD4314">
        <w:rPr>
          <w:rFonts w:ascii="Times New Roman" w:hAnsi="Times New Roman" w:cs="Times New Roman"/>
          <w:i/>
          <w:sz w:val="21"/>
          <w:szCs w:val="21"/>
        </w:rPr>
        <w:t>. The</w:t>
      </w:r>
      <w:r w:rsidR="00B80AFB" w:rsidRPr="00FD4314">
        <w:rPr>
          <w:rFonts w:ascii="Times New Roman" w:hAnsi="Times New Roman" w:cs="Times New Roman"/>
          <w:i/>
          <w:sz w:val="21"/>
          <w:szCs w:val="21"/>
        </w:rPr>
        <w:t xml:space="preserve"> demand for </w:t>
      </w:r>
      <w:r w:rsidR="00FD4314" w:rsidRPr="00FD4314">
        <w:rPr>
          <w:rFonts w:ascii="Times New Roman" w:hAnsi="Times New Roman" w:cs="Times New Roman"/>
          <w:i/>
          <w:sz w:val="21"/>
          <w:szCs w:val="21"/>
        </w:rPr>
        <w:t xml:space="preserve">business loans and consumer loans </w:t>
      </w:r>
      <w:r w:rsidR="00B80AFB" w:rsidRPr="00FD4314">
        <w:rPr>
          <w:rFonts w:ascii="Times New Roman" w:hAnsi="Times New Roman" w:cs="Times New Roman"/>
          <w:i/>
          <w:sz w:val="21"/>
          <w:szCs w:val="21"/>
        </w:rPr>
        <w:t xml:space="preserve">is expected to </w:t>
      </w:r>
      <w:r w:rsidR="00FD4314" w:rsidRPr="00FD4314">
        <w:rPr>
          <w:rFonts w:ascii="Times New Roman" w:hAnsi="Times New Roman" w:cs="Times New Roman"/>
          <w:i/>
          <w:sz w:val="21"/>
          <w:szCs w:val="21"/>
        </w:rPr>
        <w:t xml:space="preserve">somewhat </w:t>
      </w:r>
      <w:r w:rsidR="00B80AFB" w:rsidRPr="00FD4314">
        <w:rPr>
          <w:rFonts w:ascii="Times New Roman" w:hAnsi="Times New Roman" w:cs="Times New Roman"/>
          <w:i/>
          <w:sz w:val="21"/>
          <w:szCs w:val="21"/>
        </w:rPr>
        <w:t>grow</w:t>
      </w:r>
      <w:r w:rsidR="00FD4314" w:rsidRPr="00FD4314">
        <w:rPr>
          <w:rFonts w:ascii="Times New Roman" w:hAnsi="Times New Roman" w:cs="Times New Roman"/>
          <w:i/>
          <w:sz w:val="21"/>
          <w:szCs w:val="21"/>
        </w:rPr>
        <w:t xml:space="preserve"> while the demand for mortgage loans will be more or less the same</w:t>
      </w:r>
      <w:r w:rsidR="00B80AFB" w:rsidRPr="00A51B24">
        <w:rPr>
          <w:rFonts w:ascii="Times New Roman" w:hAnsi="Times New Roman" w:cs="Times New Roman"/>
          <w:sz w:val="21"/>
          <w:szCs w:val="21"/>
        </w:rPr>
        <w:t xml:space="preserve">. </w:t>
      </w:r>
    </w:p>
    <w:p w14:paraId="41ECA499" w14:textId="32B27F17" w:rsidR="005728D3" w:rsidRDefault="00AA10B7" w:rsidP="00A9653E">
      <w:pPr>
        <w:spacing w:line="360" w:lineRule="auto"/>
        <w:jc w:val="both"/>
        <w:rPr>
          <w:rFonts w:ascii="Times New Roman" w:hAnsi="Times New Roman" w:cs="Times New Roman"/>
          <w:color w:val="000000"/>
          <w:sz w:val="21"/>
          <w:szCs w:val="21"/>
        </w:rPr>
      </w:pPr>
      <w:r w:rsidRPr="008A4DCA">
        <w:rPr>
          <w:rFonts w:ascii="Times New Roman" w:hAnsi="Times New Roman" w:cs="Times New Roman"/>
          <w:color w:val="000000"/>
          <w:sz w:val="21"/>
          <w:szCs w:val="21"/>
        </w:rPr>
        <w:t>T</w:t>
      </w:r>
      <w:r w:rsidR="00B80AFB" w:rsidRPr="008A4DCA">
        <w:rPr>
          <w:rFonts w:ascii="Times New Roman" w:hAnsi="Times New Roman" w:cs="Times New Roman"/>
          <w:color w:val="000000"/>
          <w:sz w:val="21"/>
          <w:szCs w:val="21"/>
        </w:rPr>
        <w:t xml:space="preserve">he </w:t>
      </w:r>
      <w:r w:rsidR="00891164" w:rsidRPr="008A4DCA">
        <w:rPr>
          <w:rFonts w:ascii="Times New Roman" w:hAnsi="Times New Roman" w:cs="Times New Roman"/>
          <w:color w:val="000000"/>
          <w:sz w:val="21"/>
          <w:szCs w:val="21"/>
        </w:rPr>
        <w:t xml:space="preserve">narrowing </w:t>
      </w:r>
      <w:r w:rsidRPr="008A4DCA">
        <w:rPr>
          <w:rFonts w:ascii="Times New Roman" w:hAnsi="Times New Roman" w:cs="Times New Roman"/>
          <w:color w:val="000000"/>
          <w:sz w:val="21"/>
          <w:szCs w:val="21"/>
        </w:rPr>
        <w:t>spread of interest rates of loans and deposits</w:t>
      </w:r>
      <w:r w:rsidR="00891164" w:rsidRPr="008A4DCA">
        <w:rPr>
          <w:rFonts w:ascii="Times New Roman" w:hAnsi="Times New Roman" w:cs="Times New Roman"/>
          <w:color w:val="000000"/>
          <w:sz w:val="21"/>
          <w:szCs w:val="21"/>
          <w:lang w:val="hy-AM"/>
        </w:rPr>
        <w:t xml:space="preserve"> in foreign currency</w:t>
      </w:r>
      <w:r w:rsidR="00FD4314">
        <w:rPr>
          <w:rFonts w:ascii="Times New Roman" w:hAnsi="Times New Roman" w:cs="Times New Roman"/>
          <w:color w:val="000000"/>
          <w:sz w:val="21"/>
          <w:szCs w:val="21"/>
        </w:rPr>
        <w:t xml:space="preserve"> remained a trend during the 4th quarter of 2014. </w:t>
      </w:r>
      <w:r w:rsidR="008A4DCA" w:rsidRPr="008A4DCA">
        <w:rPr>
          <w:rFonts w:ascii="Times New Roman" w:hAnsi="Times New Roman" w:cs="Times New Roman"/>
          <w:color w:val="000000"/>
          <w:sz w:val="21"/>
          <w:szCs w:val="21"/>
          <w:lang w:val="hy-AM"/>
        </w:rPr>
        <w:t xml:space="preserve">The </w:t>
      </w:r>
      <w:r w:rsidR="00FD4314">
        <w:rPr>
          <w:rFonts w:ascii="Times New Roman" w:hAnsi="Times New Roman" w:cs="Times New Roman"/>
          <w:color w:val="000000"/>
          <w:sz w:val="21"/>
          <w:szCs w:val="21"/>
        </w:rPr>
        <w:t xml:space="preserve">average quarterly indicator of </w:t>
      </w:r>
      <w:r w:rsidR="008A4DCA" w:rsidRPr="008A4DCA">
        <w:rPr>
          <w:rFonts w:ascii="Times New Roman" w:hAnsi="Times New Roman" w:cs="Times New Roman"/>
          <w:color w:val="000000"/>
          <w:sz w:val="21"/>
          <w:szCs w:val="21"/>
          <w:lang w:val="hy-AM"/>
        </w:rPr>
        <w:t xml:space="preserve">spread </w:t>
      </w:r>
      <w:r w:rsidR="00FD4314">
        <w:rPr>
          <w:rFonts w:ascii="Times New Roman" w:hAnsi="Times New Roman" w:cs="Times New Roman"/>
          <w:color w:val="000000"/>
          <w:sz w:val="21"/>
          <w:szCs w:val="21"/>
        </w:rPr>
        <w:t xml:space="preserve">has </w:t>
      </w:r>
      <w:r w:rsidR="008A4DCA" w:rsidRPr="008A4DCA">
        <w:rPr>
          <w:rFonts w:ascii="Times New Roman" w:hAnsi="Times New Roman" w:cs="Times New Roman"/>
          <w:color w:val="000000"/>
          <w:sz w:val="21"/>
          <w:szCs w:val="21"/>
          <w:lang w:val="hy-AM"/>
        </w:rPr>
        <w:t xml:space="preserve">reduced by 0.4 pp to </w:t>
      </w:r>
      <w:r w:rsidR="00FD4314">
        <w:rPr>
          <w:rFonts w:ascii="Times New Roman" w:hAnsi="Times New Roman" w:cs="Times New Roman"/>
          <w:color w:val="000000"/>
          <w:sz w:val="21"/>
          <w:szCs w:val="21"/>
        </w:rPr>
        <w:t>3</w:t>
      </w:r>
      <w:r w:rsidR="008A4DCA" w:rsidRPr="008A4DCA">
        <w:rPr>
          <w:rFonts w:ascii="Times New Roman" w:hAnsi="Times New Roman" w:cs="Times New Roman"/>
          <w:color w:val="000000"/>
          <w:sz w:val="21"/>
          <w:szCs w:val="21"/>
          <w:lang w:val="hy-AM"/>
        </w:rPr>
        <w:t>.</w:t>
      </w:r>
      <w:r w:rsidR="00FD4314">
        <w:rPr>
          <w:rFonts w:ascii="Times New Roman" w:hAnsi="Times New Roman" w:cs="Times New Roman"/>
          <w:color w:val="000000"/>
          <w:sz w:val="21"/>
          <w:szCs w:val="21"/>
        </w:rPr>
        <w:t>7</w:t>
      </w:r>
      <w:r w:rsidR="008A4DCA" w:rsidRPr="008A4DCA">
        <w:rPr>
          <w:rFonts w:ascii="Times New Roman" w:hAnsi="Times New Roman" w:cs="Times New Roman"/>
          <w:color w:val="000000"/>
          <w:sz w:val="21"/>
          <w:szCs w:val="21"/>
          <w:lang w:val="hy-AM"/>
        </w:rPr>
        <w:t xml:space="preserve">% </w:t>
      </w:r>
      <w:r w:rsidR="00FD4314">
        <w:rPr>
          <w:rFonts w:ascii="Times New Roman" w:hAnsi="Times New Roman" w:cs="Times New Roman"/>
          <w:color w:val="000000"/>
          <w:sz w:val="21"/>
          <w:szCs w:val="21"/>
        </w:rPr>
        <w:t xml:space="preserve">relative to the previous quarter. On the contrary, the </w:t>
      </w:r>
      <w:r w:rsidR="00FD4314" w:rsidRPr="008A4DCA">
        <w:rPr>
          <w:rFonts w:ascii="Times New Roman" w:hAnsi="Times New Roman" w:cs="Times New Roman"/>
          <w:color w:val="000000"/>
          <w:sz w:val="21"/>
          <w:szCs w:val="21"/>
        </w:rPr>
        <w:t>spread of interest rates of loans and deposits</w:t>
      </w:r>
      <w:r w:rsidR="00FD4314" w:rsidRPr="008A4DCA">
        <w:rPr>
          <w:rFonts w:ascii="Times New Roman" w:hAnsi="Times New Roman" w:cs="Times New Roman"/>
          <w:color w:val="000000"/>
          <w:sz w:val="21"/>
          <w:szCs w:val="21"/>
          <w:lang w:val="hy-AM"/>
        </w:rPr>
        <w:t xml:space="preserve"> in </w:t>
      </w:r>
      <w:r w:rsidR="00FD4314">
        <w:rPr>
          <w:rFonts w:ascii="Times New Roman" w:hAnsi="Times New Roman" w:cs="Times New Roman"/>
          <w:color w:val="000000"/>
          <w:sz w:val="21"/>
          <w:szCs w:val="21"/>
        </w:rPr>
        <w:t xml:space="preserve">the Armenian dram has grown </w:t>
      </w:r>
      <w:r w:rsidR="008A4DCA">
        <w:rPr>
          <w:rFonts w:ascii="Times New Roman" w:hAnsi="Times New Roman" w:cs="Times New Roman"/>
          <w:color w:val="000000"/>
          <w:sz w:val="21"/>
          <w:szCs w:val="21"/>
        </w:rPr>
        <w:t>by 0.</w:t>
      </w:r>
      <w:r w:rsidR="00FD4314">
        <w:rPr>
          <w:rFonts w:ascii="Times New Roman" w:hAnsi="Times New Roman" w:cs="Times New Roman"/>
          <w:color w:val="000000"/>
          <w:sz w:val="21"/>
          <w:szCs w:val="21"/>
        </w:rPr>
        <w:t>1</w:t>
      </w:r>
      <w:r w:rsidR="008A4DCA">
        <w:rPr>
          <w:rFonts w:ascii="Times New Roman" w:hAnsi="Times New Roman" w:cs="Times New Roman"/>
          <w:color w:val="000000"/>
          <w:sz w:val="21"/>
          <w:szCs w:val="21"/>
        </w:rPr>
        <w:t xml:space="preserve"> </w:t>
      </w:r>
      <w:r w:rsidR="00106258">
        <w:rPr>
          <w:rFonts w:ascii="Times New Roman" w:hAnsi="Times New Roman" w:cs="Times New Roman"/>
          <w:color w:val="000000"/>
          <w:sz w:val="21"/>
          <w:szCs w:val="21"/>
        </w:rPr>
        <w:t>pp</w:t>
      </w:r>
      <w:r w:rsidR="008A4DCA">
        <w:rPr>
          <w:rFonts w:ascii="Times New Roman" w:hAnsi="Times New Roman" w:cs="Times New Roman"/>
          <w:color w:val="000000"/>
          <w:sz w:val="21"/>
          <w:szCs w:val="21"/>
        </w:rPr>
        <w:t xml:space="preserve"> </w:t>
      </w:r>
      <w:r w:rsidR="00FD4314">
        <w:rPr>
          <w:rFonts w:ascii="Times New Roman" w:hAnsi="Times New Roman" w:cs="Times New Roman"/>
          <w:color w:val="000000"/>
          <w:sz w:val="21"/>
          <w:szCs w:val="21"/>
        </w:rPr>
        <w:t xml:space="preserve">to </w:t>
      </w:r>
      <w:r w:rsidR="00876D80">
        <w:rPr>
          <w:rFonts w:ascii="Times New Roman" w:hAnsi="Times New Roman" w:cs="Times New Roman"/>
          <w:color w:val="000000"/>
          <w:sz w:val="21"/>
          <w:szCs w:val="21"/>
        </w:rPr>
        <w:t xml:space="preserve">6.05%. </w:t>
      </w:r>
      <w:r w:rsidR="00D653EA">
        <w:rPr>
          <w:rFonts w:ascii="Times New Roman" w:hAnsi="Times New Roman" w:cs="Times New Roman"/>
          <w:color w:val="000000"/>
          <w:sz w:val="21"/>
          <w:szCs w:val="21"/>
        </w:rPr>
        <w:t>I</w:t>
      </w:r>
      <w:r w:rsidR="008A4DCA">
        <w:rPr>
          <w:rFonts w:ascii="Times New Roman" w:hAnsi="Times New Roman" w:cs="Times New Roman"/>
          <w:color w:val="000000"/>
          <w:sz w:val="21"/>
          <w:szCs w:val="21"/>
        </w:rPr>
        <w:t xml:space="preserve">n </w:t>
      </w:r>
      <w:r w:rsidR="00876D80">
        <w:rPr>
          <w:rFonts w:ascii="Times New Roman" w:hAnsi="Times New Roman" w:cs="Times New Roman"/>
          <w:color w:val="000000"/>
          <w:sz w:val="21"/>
          <w:szCs w:val="21"/>
        </w:rPr>
        <w:t>December</w:t>
      </w:r>
      <w:r w:rsidR="008A4DCA">
        <w:rPr>
          <w:rFonts w:ascii="Times New Roman" w:hAnsi="Times New Roman" w:cs="Times New Roman"/>
          <w:color w:val="000000"/>
          <w:sz w:val="21"/>
          <w:szCs w:val="21"/>
        </w:rPr>
        <w:t xml:space="preserve">, against </w:t>
      </w:r>
      <w:r w:rsidR="00876D80">
        <w:rPr>
          <w:rFonts w:ascii="Times New Roman" w:hAnsi="Times New Roman" w:cs="Times New Roman"/>
          <w:color w:val="000000"/>
          <w:sz w:val="21"/>
          <w:szCs w:val="21"/>
        </w:rPr>
        <w:t>September</w:t>
      </w:r>
      <w:r w:rsidR="008A4DCA">
        <w:rPr>
          <w:rFonts w:ascii="Times New Roman" w:hAnsi="Times New Roman" w:cs="Times New Roman"/>
          <w:color w:val="000000"/>
          <w:sz w:val="21"/>
          <w:szCs w:val="21"/>
        </w:rPr>
        <w:t xml:space="preserve">, the spread </w:t>
      </w:r>
      <w:r w:rsidR="00876D80">
        <w:rPr>
          <w:rFonts w:ascii="Times New Roman" w:hAnsi="Times New Roman" w:cs="Times New Roman"/>
          <w:color w:val="000000"/>
          <w:sz w:val="21"/>
          <w:szCs w:val="21"/>
        </w:rPr>
        <w:t>had narrowed</w:t>
      </w:r>
      <w:r w:rsidR="00611725">
        <w:rPr>
          <w:rFonts w:ascii="Times New Roman" w:hAnsi="Times New Roman" w:cs="Times New Roman"/>
          <w:color w:val="000000"/>
          <w:sz w:val="21"/>
          <w:szCs w:val="21"/>
        </w:rPr>
        <w:t xml:space="preserve"> by </w:t>
      </w:r>
      <w:r w:rsidR="008A4DCA">
        <w:rPr>
          <w:rFonts w:ascii="Times New Roman" w:hAnsi="Times New Roman" w:cs="Times New Roman"/>
          <w:color w:val="000000"/>
          <w:sz w:val="21"/>
          <w:szCs w:val="21"/>
        </w:rPr>
        <w:t>0.</w:t>
      </w:r>
      <w:r w:rsidR="00876D80">
        <w:rPr>
          <w:rFonts w:ascii="Times New Roman" w:hAnsi="Times New Roman" w:cs="Times New Roman"/>
          <w:color w:val="000000"/>
          <w:sz w:val="21"/>
          <w:szCs w:val="21"/>
        </w:rPr>
        <w:t>3</w:t>
      </w:r>
      <w:r w:rsidR="008A4DCA">
        <w:rPr>
          <w:rFonts w:ascii="Times New Roman" w:hAnsi="Times New Roman" w:cs="Times New Roman"/>
          <w:color w:val="000000"/>
          <w:sz w:val="21"/>
          <w:szCs w:val="21"/>
        </w:rPr>
        <w:t xml:space="preserve"> pp to </w:t>
      </w:r>
      <w:r w:rsidR="00876D80">
        <w:rPr>
          <w:rFonts w:ascii="Times New Roman" w:hAnsi="Times New Roman" w:cs="Times New Roman"/>
          <w:color w:val="000000"/>
          <w:sz w:val="21"/>
          <w:szCs w:val="21"/>
        </w:rPr>
        <w:t>5</w:t>
      </w:r>
      <w:r w:rsidR="008A4DCA">
        <w:rPr>
          <w:rFonts w:ascii="Times New Roman" w:hAnsi="Times New Roman" w:cs="Times New Roman"/>
          <w:color w:val="000000"/>
          <w:sz w:val="21"/>
          <w:szCs w:val="21"/>
        </w:rPr>
        <w:t xml:space="preserve">.9%.  </w:t>
      </w:r>
    </w:p>
    <w:p w14:paraId="2E736982" w14:textId="77777777" w:rsidR="00317CEA" w:rsidRPr="00940BC4" w:rsidRDefault="00DB4E78" w:rsidP="00A9653E">
      <w:pPr>
        <w:spacing w:line="360" w:lineRule="auto"/>
        <w:jc w:val="both"/>
        <w:rPr>
          <w:rFonts w:ascii="Times New Roman" w:hAnsi="Times New Roman" w:cs="Times New Roman"/>
          <w:color w:val="000000"/>
          <w:sz w:val="18"/>
          <w:szCs w:val="18"/>
        </w:rPr>
      </w:pPr>
      <w:r>
        <w:rPr>
          <w:rFonts w:ascii="Times New Roman" w:hAnsi="Times New Roman" w:cs="Times New Roman"/>
          <w:color w:val="000000"/>
          <w:sz w:val="21"/>
          <w:szCs w:val="21"/>
        </w:rPr>
        <w:t>The Armenian dram depreciating d</w:t>
      </w:r>
      <w:r w:rsidR="00317CEA" w:rsidRPr="00EC356F">
        <w:rPr>
          <w:rFonts w:ascii="Times New Roman" w:hAnsi="Times New Roman" w:cs="Times New Roman"/>
          <w:color w:val="000000"/>
          <w:sz w:val="21"/>
          <w:szCs w:val="21"/>
        </w:rPr>
        <w:t>uring the quarter</w:t>
      </w:r>
      <w:r>
        <w:rPr>
          <w:rFonts w:ascii="Times New Roman" w:hAnsi="Times New Roman" w:cs="Times New Roman"/>
          <w:color w:val="000000"/>
          <w:sz w:val="21"/>
          <w:szCs w:val="21"/>
        </w:rPr>
        <w:t xml:space="preserve"> reflected </w:t>
      </w:r>
      <w:r w:rsidR="00317CEA" w:rsidRPr="00EC356F">
        <w:rPr>
          <w:rFonts w:ascii="Times New Roman" w:hAnsi="Times New Roman" w:cs="Times New Roman"/>
          <w:color w:val="000000"/>
          <w:sz w:val="21"/>
          <w:szCs w:val="21"/>
        </w:rPr>
        <w:t xml:space="preserve">the </w:t>
      </w:r>
      <w:r>
        <w:rPr>
          <w:rFonts w:ascii="Times New Roman" w:hAnsi="Times New Roman" w:cs="Times New Roman"/>
          <w:color w:val="000000"/>
          <w:sz w:val="21"/>
          <w:szCs w:val="21"/>
        </w:rPr>
        <w:t xml:space="preserve">indicator of </w:t>
      </w:r>
      <w:r w:rsidR="00317CEA" w:rsidRPr="00EC356F">
        <w:rPr>
          <w:rFonts w:ascii="Times New Roman" w:hAnsi="Times New Roman" w:cs="Times New Roman"/>
          <w:color w:val="000000"/>
          <w:sz w:val="21"/>
          <w:szCs w:val="21"/>
        </w:rPr>
        <w:t>dollarization (</w:t>
      </w:r>
      <w:r>
        <w:rPr>
          <w:rFonts w:ascii="Times New Roman" w:hAnsi="Times New Roman" w:cs="Times New Roman"/>
          <w:color w:val="000000"/>
          <w:sz w:val="21"/>
          <w:szCs w:val="21"/>
        </w:rPr>
        <w:t>the</w:t>
      </w:r>
      <w:r w:rsidR="00317CEA" w:rsidRPr="00EC356F">
        <w:rPr>
          <w:rFonts w:ascii="Times New Roman" w:hAnsi="Times New Roman" w:cs="Times New Roman"/>
          <w:color w:val="000000"/>
          <w:sz w:val="21"/>
          <w:szCs w:val="21"/>
        </w:rPr>
        <w:t xml:space="preserve"> </w:t>
      </w:r>
      <w:r w:rsidR="004F116D">
        <w:rPr>
          <w:rFonts w:ascii="Times New Roman" w:hAnsi="Times New Roman" w:cs="Times New Roman"/>
          <w:color w:val="000000"/>
          <w:sz w:val="21"/>
          <w:szCs w:val="21"/>
        </w:rPr>
        <w:t>F</w:t>
      </w:r>
      <w:r w:rsidR="00317CEA" w:rsidRPr="00EC356F">
        <w:rPr>
          <w:rFonts w:ascii="Times New Roman" w:hAnsi="Times New Roman" w:cs="Times New Roman"/>
          <w:color w:val="000000"/>
          <w:sz w:val="21"/>
          <w:szCs w:val="21"/>
        </w:rPr>
        <w:t xml:space="preserve">oreign </w:t>
      </w:r>
      <w:r w:rsidR="004F116D">
        <w:rPr>
          <w:rFonts w:ascii="Times New Roman" w:hAnsi="Times New Roman" w:cs="Times New Roman"/>
          <w:color w:val="000000"/>
          <w:sz w:val="21"/>
          <w:szCs w:val="21"/>
        </w:rPr>
        <w:t>C</w:t>
      </w:r>
      <w:r w:rsidR="00317CEA" w:rsidRPr="00EC356F">
        <w:rPr>
          <w:rFonts w:ascii="Times New Roman" w:hAnsi="Times New Roman" w:cs="Times New Roman"/>
          <w:color w:val="000000"/>
          <w:sz w:val="21"/>
          <w:szCs w:val="21"/>
        </w:rPr>
        <w:t xml:space="preserve">urrency </w:t>
      </w:r>
      <w:r w:rsidR="004F116D">
        <w:rPr>
          <w:rFonts w:ascii="Times New Roman" w:hAnsi="Times New Roman" w:cs="Times New Roman"/>
          <w:color w:val="000000"/>
          <w:sz w:val="21"/>
          <w:szCs w:val="21"/>
        </w:rPr>
        <w:t>D</w:t>
      </w:r>
      <w:r w:rsidR="00317CEA" w:rsidRPr="00EC356F">
        <w:rPr>
          <w:rFonts w:ascii="Times New Roman" w:hAnsi="Times New Roman" w:cs="Times New Roman"/>
          <w:color w:val="000000"/>
          <w:sz w:val="21"/>
          <w:szCs w:val="21"/>
        </w:rPr>
        <w:t>eposits</w:t>
      </w:r>
      <w:r>
        <w:rPr>
          <w:rFonts w:ascii="Times New Roman" w:hAnsi="Times New Roman" w:cs="Times New Roman"/>
          <w:color w:val="000000"/>
          <w:sz w:val="21"/>
          <w:szCs w:val="21"/>
        </w:rPr>
        <w:t>-</w:t>
      </w:r>
      <w:r w:rsidR="00317CEA" w:rsidRPr="00EC356F">
        <w:rPr>
          <w:rFonts w:ascii="Times New Roman" w:hAnsi="Times New Roman" w:cs="Times New Roman"/>
          <w:color w:val="000000"/>
          <w:sz w:val="21"/>
          <w:szCs w:val="21"/>
        </w:rPr>
        <w:t>to</w:t>
      </w:r>
      <w:r>
        <w:rPr>
          <w:rFonts w:ascii="Times New Roman" w:hAnsi="Times New Roman" w:cs="Times New Roman"/>
          <w:color w:val="000000"/>
          <w:sz w:val="21"/>
          <w:szCs w:val="21"/>
        </w:rPr>
        <w:t>-</w:t>
      </w:r>
      <w:r w:rsidR="004F116D">
        <w:rPr>
          <w:rFonts w:ascii="Times New Roman" w:hAnsi="Times New Roman" w:cs="Times New Roman"/>
          <w:color w:val="000000"/>
          <w:sz w:val="21"/>
          <w:szCs w:val="21"/>
        </w:rPr>
        <w:t>B</w:t>
      </w:r>
      <w:r w:rsidR="00317CEA" w:rsidRPr="00EC356F">
        <w:rPr>
          <w:rFonts w:ascii="Times New Roman" w:hAnsi="Times New Roman" w:cs="Times New Roman"/>
          <w:color w:val="000000"/>
          <w:sz w:val="21"/>
          <w:szCs w:val="21"/>
        </w:rPr>
        <w:t xml:space="preserve">road </w:t>
      </w:r>
      <w:r w:rsidR="004F116D">
        <w:rPr>
          <w:rFonts w:ascii="Times New Roman" w:hAnsi="Times New Roman" w:cs="Times New Roman"/>
          <w:color w:val="000000"/>
          <w:sz w:val="21"/>
          <w:szCs w:val="21"/>
        </w:rPr>
        <w:t>M</w:t>
      </w:r>
      <w:r w:rsidR="00317CEA" w:rsidRPr="00EC356F">
        <w:rPr>
          <w:rFonts w:ascii="Times New Roman" w:hAnsi="Times New Roman" w:cs="Times New Roman"/>
          <w:color w:val="000000"/>
          <w:sz w:val="21"/>
          <w:szCs w:val="21"/>
        </w:rPr>
        <w:t>oney</w:t>
      </w:r>
      <w:r>
        <w:rPr>
          <w:rFonts w:ascii="Times New Roman" w:hAnsi="Times New Roman" w:cs="Times New Roman"/>
          <w:color w:val="000000"/>
          <w:sz w:val="21"/>
          <w:szCs w:val="21"/>
        </w:rPr>
        <w:t xml:space="preserve"> ratio</w:t>
      </w:r>
      <w:r w:rsidR="00317CEA" w:rsidRPr="00EC356F">
        <w:rPr>
          <w:rFonts w:ascii="Times New Roman" w:hAnsi="Times New Roman" w:cs="Times New Roman"/>
          <w:color w:val="000000"/>
          <w:sz w:val="21"/>
          <w:szCs w:val="21"/>
        </w:rPr>
        <w:t>)</w:t>
      </w:r>
      <w:r>
        <w:rPr>
          <w:rFonts w:ascii="Times New Roman" w:hAnsi="Times New Roman" w:cs="Times New Roman"/>
          <w:color w:val="000000"/>
          <w:sz w:val="21"/>
          <w:szCs w:val="21"/>
        </w:rPr>
        <w:t xml:space="preserve"> which </w:t>
      </w:r>
      <w:r w:rsidR="00317CEA">
        <w:rPr>
          <w:rFonts w:ascii="Times New Roman" w:hAnsi="Times New Roman" w:cs="Times New Roman"/>
          <w:color w:val="000000"/>
          <w:sz w:val="21"/>
          <w:szCs w:val="21"/>
        </w:rPr>
        <w:t>post</w:t>
      </w:r>
      <w:r>
        <w:rPr>
          <w:rFonts w:ascii="Times New Roman" w:hAnsi="Times New Roman" w:cs="Times New Roman"/>
          <w:color w:val="000000"/>
          <w:sz w:val="21"/>
          <w:szCs w:val="21"/>
        </w:rPr>
        <w:t>ed a</w:t>
      </w:r>
      <w:r w:rsidR="00317CEA">
        <w:rPr>
          <w:rFonts w:ascii="Times New Roman" w:hAnsi="Times New Roman" w:cs="Times New Roman"/>
          <w:color w:val="000000"/>
          <w:sz w:val="21"/>
          <w:szCs w:val="21"/>
        </w:rPr>
        <w:t xml:space="preserve"> </w:t>
      </w:r>
      <w:r>
        <w:rPr>
          <w:rFonts w:ascii="Times New Roman" w:hAnsi="Times New Roman" w:cs="Times New Roman"/>
          <w:color w:val="000000"/>
          <w:sz w:val="21"/>
          <w:szCs w:val="21"/>
        </w:rPr>
        <w:t>5</w:t>
      </w:r>
      <w:r w:rsidR="00317CEA">
        <w:rPr>
          <w:rFonts w:ascii="Times New Roman" w:hAnsi="Times New Roman" w:cs="Times New Roman"/>
          <w:color w:val="000000"/>
          <w:sz w:val="21"/>
          <w:szCs w:val="21"/>
        </w:rPr>
        <w:t>.</w:t>
      </w:r>
      <w:r>
        <w:rPr>
          <w:rFonts w:ascii="Times New Roman" w:hAnsi="Times New Roman" w:cs="Times New Roman"/>
          <w:color w:val="000000"/>
          <w:sz w:val="21"/>
          <w:szCs w:val="21"/>
        </w:rPr>
        <w:t>42</w:t>
      </w:r>
      <w:r w:rsidR="00317CEA">
        <w:rPr>
          <w:rFonts w:ascii="Times New Roman" w:hAnsi="Times New Roman" w:cs="Times New Roman"/>
          <w:color w:val="000000"/>
          <w:sz w:val="21"/>
          <w:szCs w:val="21"/>
        </w:rPr>
        <w:t xml:space="preserve"> pp </w:t>
      </w:r>
      <w:r>
        <w:rPr>
          <w:rFonts w:ascii="Times New Roman" w:hAnsi="Times New Roman" w:cs="Times New Roman"/>
          <w:color w:val="000000"/>
          <w:sz w:val="21"/>
          <w:szCs w:val="21"/>
        </w:rPr>
        <w:t xml:space="preserve">increase in relation to </w:t>
      </w:r>
      <w:r w:rsidR="00317CEA">
        <w:rPr>
          <w:rFonts w:ascii="Times New Roman" w:hAnsi="Times New Roman" w:cs="Times New Roman"/>
          <w:color w:val="000000"/>
          <w:sz w:val="21"/>
          <w:szCs w:val="21"/>
        </w:rPr>
        <w:t xml:space="preserve">the previous quarter. </w:t>
      </w:r>
    </w:p>
    <w:tbl>
      <w:tblPr>
        <w:tblW w:w="6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779"/>
        <w:gridCol w:w="780"/>
        <w:gridCol w:w="779"/>
        <w:gridCol w:w="638"/>
      </w:tblGrid>
      <w:tr w:rsidR="00640360" w:rsidRPr="00940BC4" w14:paraId="61B7D2D4" w14:textId="77777777" w:rsidTr="00640360">
        <w:trPr>
          <w:cantSplit/>
          <w:trHeight w:val="1276"/>
        </w:trPr>
        <w:tc>
          <w:tcPr>
            <w:tcW w:w="3261" w:type="dxa"/>
            <w:shd w:val="clear" w:color="auto" w:fill="auto"/>
            <w:vAlign w:val="center"/>
          </w:tcPr>
          <w:p w14:paraId="1CA37798" w14:textId="77777777" w:rsidR="00640360" w:rsidRPr="00940BC4" w:rsidRDefault="00640360" w:rsidP="00640360">
            <w:pPr>
              <w:rPr>
                <w:rFonts w:ascii="Times New Roman" w:eastAsia="Calibri" w:hAnsi="Times New Roman" w:cs="Times New Roman"/>
                <w:color w:val="000000"/>
                <w:sz w:val="18"/>
                <w:szCs w:val="18"/>
                <w:lang w:val="es-AR"/>
              </w:rPr>
            </w:pPr>
            <w:r w:rsidRPr="00940BC4">
              <w:rPr>
                <w:rFonts w:ascii="Times New Roman" w:eastAsia="Calibri" w:hAnsi="Times New Roman" w:cs="Times New Roman"/>
                <w:color w:val="000000"/>
                <w:sz w:val="18"/>
                <w:szCs w:val="18"/>
                <w:lang w:val="es-AR"/>
              </w:rPr>
              <w:t>Monetary indicators</w:t>
            </w:r>
          </w:p>
        </w:tc>
        <w:tc>
          <w:tcPr>
            <w:tcW w:w="779" w:type="dxa"/>
            <w:shd w:val="clear" w:color="auto" w:fill="auto"/>
            <w:textDirection w:val="btLr"/>
            <w:vAlign w:val="center"/>
          </w:tcPr>
          <w:p w14:paraId="462FD41E" w14:textId="77777777" w:rsidR="00640360" w:rsidRPr="00940BC4" w:rsidRDefault="00940BC4" w:rsidP="00640360">
            <w:pPr>
              <w:ind w:left="113" w:right="113"/>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March, 12-month growth</w:t>
            </w:r>
          </w:p>
        </w:tc>
        <w:tc>
          <w:tcPr>
            <w:tcW w:w="780" w:type="dxa"/>
            <w:shd w:val="clear" w:color="auto" w:fill="auto"/>
            <w:textDirection w:val="btLr"/>
            <w:vAlign w:val="center"/>
          </w:tcPr>
          <w:p w14:paraId="33E94AD5" w14:textId="77777777" w:rsidR="00640360" w:rsidRPr="00940BC4" w:rsidRDefault="00940BC4" w:rsidP="00640360">
            <w:pPr>
              <w:ind w:left="113" w:right="113"/>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June, 12-month growth</w:t>
            </w:r>
          </w:p>
        </w:tc>
        <w:tc>
          <w:tcPr>
            <w:tcW w:w="779" w:type="dxa"/>
            <w:shd w:val="clear" w:color="auto" w:fill="auto"/>
            <w:textDirection w:val="btLr"/>
            <w:vAlign w:val="center"/>
          </w:tcPr>
          <w:p w14:paraId="17E88F3E" w14:textId="77777777" w:rsidR="00640360" w:rsidRPr="00940BC4" w:rsidRDefault="00940BC4" w:rsidP="00640360">
            <w:pPr>
              <w:ind w:left="113" w:right="113"/>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September, 12-month growth</w:t>
            </w:r>
          </w:p>
        </w:tc>
        <w:tc>
          <w:tcPr>
            <w:tcW w:w="638" w:type="dxa"/>
            <w:shd w:val="clear" w:color="auto" w:fill="auto"/>
            <w:textDirection w:val="btLr"/>
            <w:vAlign w:val="center"/>
          </w:tcPr>
          <w:p w14:paraId="4FCC0A66" w14:textId="77777777" w:rsidR="00640360" w:rsidRPr="00940BC4" w:rsidRDefault="00940BC4" w:rsidP="00640360">
            <w:pPr>
              <w:ind w:left="113" w:right="113"/>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December, 12-month growth</w:t>
            </w:r>
          </w:p>
        </w:tc>
      </w:tr>
      <w:tr w:rsidR="00940BC4" w:rsidRPr="00940BC4" w14:paraId="3ACBEF57" w14:textId="77777777" w:rsidTr="00640360">
        <w:trPr>
          <w:trHeight w:val="20"/>
        </w:trPr>
        <w:tc>
          <w:tcPr>
            <w:tcW w:w="3261" w:type="dxa"/>
            <w:shd w:val="clear" w:color="auto" w:fill="auto"/>
          </w:tcPr>
          <w:p w14:paraId="641FFECF" w14:textId="77777777" w:rsidR="00940BC4" w:rsidRPr="00940BC4" w:rsidRDefault="00940BC4" w:rsidP="007160F7">
            <w:pPr>
              <w:spacing w:before="40" w:after="40"/>
              <w:rPr>
                <w:rFonts w:ascii="Times New Roman" w:eastAsia="Calibri" w:hAnsi="Times New Roman" w:cs="Times New Roman"/>
                <w:sz w:val="18"/>
                <w:szCs w:val="18"/>
              </w:rPr>
            </w:pPr>
            <w:r w:rsidRPr="00940BC4">
              <w:rPr>
                <w:rFonts w:ascii="Times New Roman" w:eastAsia="Calibri" w:hAnsi="Times New Roman" w:cs="Times New Roman"/>
                <w:sz w:val="18"/>
                <w:szCs w:val="18"/>
              </w:rPr>
              <w:t>Broad money (%)</w:t>
            </w:r>
          </w:p>
        </w:tc>
        <w:tc>
          <w:tcPr>
            <w:tcW w:w="779" w:type="dxa"/>
            <w:shd w:val="clear" w:color="auto" w:fill="auto"/>
          </w:tcPr>
          <w:p w14:paraId="3A7F2557"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12.84</w:t>
            </w:r>
          </w:p>
        </w:tc>
        <w:tc>
          <w:tcPr>
            <w:tcW w:w="780" w:type="dxa"/>
            <w:shd w:val="clear" w:color="auto" w:fill="auto"/>
          </w:tcPr>
          <w:p w14:paraId="3AC841CA"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14.78</w:t>
            </w:r>
          </w:p>
        </w:tc>
        <w:tc>
          <w:tcPr>
            <w:tcW w:w="779" w:type="dxa"/>
            <w:shd w:val="clear" w:color="auto" w:fill="auto"/>
          </w:tcPr>
          <w:p w14:paraId="2F90AB4A"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9.64</w:t>
            </w:r>
          </w:p>
        </w:tc>
        <w:tc>
          <w:tcPr>
            <w:tcW w:w="638" w:type="dxa"/>
            <w:shd w:val="clear" w:color="auto" w:fill="auto"/>
          </w:tcPr>
          <w:p w14:paraId="5C08059B"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8.34</w:t>
            </w:r>
          </w:p>
        </w:tc>
      </w:tr>
      <w:tr w:rsidR="00940BC4" w:rsidRPr="00940BC4" w14:paraId="4BAF5E1D" w14:textId="77777777" w:rsidTr="00640360">
        <w:trPr>
          <w:trHeight w:val="20"/>
        </w:trPr>
        <w:tc>
          <w:tcPr>
            <w:tcW w:w="3261" w:type="dxa"/>
            <w:shd w:val="clear" w:color="auto" w:fill="auto"/>
          </w:tcPr>
          <w:p w14:paraId="3CA9A2E4" w14:textId="77777777" w:rsidR="00940BC4" w:rsidRPr="00940BC4" w:rsidRDefault="00940BC4" w:rsidP="007160F7">
            <w:pPr>
              <w:spacing w:before="40" w:after="40"/>
              <w:rPr>
                <w:rFonts w:ascii="Times New Roman" w:eastAsia="Calibri" w:hAnsi="Times New Roman" w:cs="Times New Roman"/>
                <w:sz w:val="18"/>
                <w:szCs w:val="18"/>
              </w:rPr>
            </w:pPr>
            <w:r w:rsidRPr="00940BC4">
              <w:rPr>
                <w:rFonts w:ascii="Times New Roman" w:eastAsia="Calibri" w:hAnsi="Times New Roman" w:cs="Times New Roman"/>
                <w:sz w:val="18"/>
                <w:szCs w:val="18"/>
              </w:rPr>
              <w:t>Dram broad money (% )</w:t>
            </w:r>
          </w:p>
        </w:tc>
        <w:tc>
          <w:tcPr>
            <w:tcW w:w="779" w:type="dxa"/>
            <w:shd w:val="clear" w:color="auto" w:fill="auto"/>
          </w:tcPr>
          <w:p w14:paraId="52DAC6D7"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10.92</w:t>
            </w:r>
          </w:p>
        </w:tc>
        <w:tc>
          <w:tcPr>
            <w:tcW w:w="780" w:type="dxa"/>
            <w:shd w:val="clear" w:color="auto" w:fill="auto"/>
          </w:tcPr>
          <w:p w14:paraId="2E0B00EC"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14.26</w:t>
            </w:r>
          </w:p>
        </w:tc>
        <w:tc>
          <w:tcPr>
            <w:tcW w:w="779" w:type="dxa"/>
            <w:shd w:val="clear" w:color="auto" w:fill="auto"/>
          </w:tcPr>
          <w:p w14:paraId="772F16E7"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14.15</w:t>
            </w:r>
          </w:p>
        </w:tc>
        <w:tc>
          <w:tcPr>
            <w:tcW w:w="638" w:type="dxa"/>
            <w:shd w:val="clear" w:color="auto" w:fill="auto"/>
          </w:tcPr>
          <w:p w14:paraId="648E8C75"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-3.51</w:t>
            </w:r>
          </w:p>
        </w:tc>
      </w:tr>
      <w:tr w:rsidR="00940BC4" w:rsidRPr="00940BC4" w14:paraId="50ADE054" w14:textId="77777777" w:rsidTr="00640360">
        <w:trPr>
          <w:trHeight w:val="20"/>
        </w:trPr>
        <w:tc>
          <w:tcPr>
            <w:tcW w:w="3261" w:type="dxa"/>
            <w:shd w:val="clear" w:color="auto" w:fill="auto"/>
          </w:tcPr>
          <w:p w14:paraId="21BA50CF" w14:textId="77777777" w:rsidR="00940BC4" w:rsidRPr="00940BC4" w:rsidRDefault="00940BC4" w:rsidP="007160F7">
            <w:pPr>
              <w:spacing w:before="40" w:after="40"/>
              <w:rPr>
                <w:rFonts w:ascii="Times New Roman" w:eastAsia="Calibri" w:hAnsi="Times New Roman" w:cs="Times New Roman"/>
                <w:sz w:val="18"/>
                <w:szCs w:val="18"/>
              </w:rPr>
            </w:pPr>
            <w:r w:rsidRPr="00940BC4">
              <w:rPr>
                <w:rFonts w:ascii="Times New Roman" w:eastAsia="Calibri" w:hAnsi="Times New Roman" w:cs="Times New Roman"/>
                <w:sz w:val="18"/>
                <w:szCs w:val="18"/>
              </w:rPr>
              <w:t>Base money (%)</w:t>
            </w:r>
          </w:p>
        </w:tc>
        <w:tc>
          <w:tcPr>
            <w:tcW w:w="779" w:type="dxa"/>
            <w:shd w:val="clear" w:color="auto" w:fill="auto"/>
          </w:tcPr>
          <w:p w14:paraId="03BAD99D"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20.84</w:t>
            </w:r>
          </w:p>
        </w:tc>
        <w:tc>
          <w:tcPr>
            <w:tcW w:w="780" w:type="dxa"/>
            <w:shd w:val="clear" w:color="auto" w:fill="auto"/>
          </w:tcPr>
          <w:p w14:paraId="323B094B"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8.21</w:t>
            </w:r>
          </w:p>
        </w:tc>
        <w:tc>
          <w:tcPr>
            <w:tcW w:w="779" w:type="dxa"/>
            <w:shd w:val="clear" w:color="auto" w:fill="auto"/>
          </w:tcPr>
          <w:p w14:paraId="1DE05100"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-0.52</w:t>
            </w:r>
          </w:p>
        </w:tc>
        <w:tc>
          <w:tcPr>
            <w:tcW w:w="638" w:type="dxa"/>
            <w:shd w:val="clear" w:color="auto" w:fill="auto"/>
          </w:tcPr>
          <w:p w14:paraId="41901CCE"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-0.15</w:t>
            </w:r>
          </w:p>
        </w:tc>
      </w:tr>
      <w:tr w:rsidR="00940BC4" w:rsidRPr="00940BC4" w14:paraId="1DC8642F" w14:textId="77777777" w:rsidTr="00640360">
        <w:trPr>
          <w:trHeight w:val="20"/>
        </w:trPr>
        <w:tc>
          <w:tcPr>
            <w:tcW w:w="3261" w:type="dxa"/>
            <w:shd w:val="clear" w:color="auto" w:fill="auto"/>
          </w:tcPr>
          <w:p w14:paraId="3983DA05" w14:textId="77777777" w:rsidR="00940BC4" w:rsidRPr="00940BC4" w:rsidRDefault="00940BC4" w:rsidP="007160F7">
            <w:pPr>
              <w:spacing w:before="40" w:after="40"/>
              <w:rPr>
                <w:rFonts w:ascii="Times New Roman" w:eastAsia="Calibri" w:hAnsi="Times New Roman" w:cs="Times New Roman"/>
                <w:sz w:val="18"/>
                <w:szCs w:val="18"/>
              </w:rPr>
            </w:pPr>
            <w:r w:rsidRPr="00940BC4">
              <w:rPr>
                <w:rFonts w:ascii="Times New Roman" w:eastAsia="Calibri" w:hAnsi="Times New Roman" w:cs="Times New Roman"/>
                <w:sz w:val="18"/>
                <w:szCs w:val="18"/>
              </w:rPr>
              <w:t>Dram base money (%)</w:t>
            </w:r>
          </w:p>
        </w:tc>
        <w:tc>
          <w:tcPr>
            <w:tcW w:w="779" w:type="dxa"/>
            <w:shd w:val="clear" w:color="auto" w:fill="auto"/>
          </w:tcPr>
          <w:p w14:paraId="124FD40D"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1.67</w:t>
            </w:r>
          </w:p>
        </w:tc>
        <w:tc>
          <w:tcPr>
            <w:tcW w:w="780" w:type="dxa"/>
            <w:shd w:val="clear" w:color="auto" w:fill="auto"/>
          </w:tcPr>
          <w:p w14:paraId="1B86AF39"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4.49</w:t>
            </w:r>
          </w:p>
        </w:tc>
        <w:tc>
          <w:tcPr>
            <w:tcW w:w="779" w:type="dxa"/>
            <w:shd w:val="clear" w:color="auto" w:fill="auto"/>
          </w:tcPr>
          <w:p w14:paraId="18FCCF89"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0.63</w:t>
            </w:r>
          </w:p>
        </w:tc>
        <w:tc>
          <w:tcPr>
            <w:tcW w:w="638" w:type="dxa"/>
            <w:shd w:val="clear" w:color="auto" w:fill="auto"/>
          </w:tcPr>
          <w:p w14:paraId="35B28C98"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15.65</w:t>
            </w:r>
          </w:p>
        </w:tc>
      </w:tr>
      <w:tr w:rsidR="00940BC4" w:rsidRPr="00940BC4" w14:paraId="47E53B6E" w14:textId="77777777" w:rsidTr="00640360">
        <w:trPr>
          <w:trHeight w:val="20"/>
        </w:trPr>
        <w:tc>
          <w:tcPr>
            <w:tcW w:w="3261" w:type="dxa"/>
            <w:shd w:val="clear" w:color="auto" w:fill="auto"/>
          </w:tcPr>
          <w:p w14:paraId="2BB8250F" w14:textId="77777777" w:rsidR="00940BC4" w:rsidRPr="00940BC4" w:rsidRDefault="00940BC4" w:rsidP="007160F7">
            <w:pPr>
              <w:spacing w:before="40" w:after="40"/>
              <w:rPr>
                <w:rFonts w:ascii="Times New Roman" w:eastAsia="Calibri" w:hAnsi="Times New Roman" w:cs="Times New Roman"/>
                <w:sz w:val="18"/>
                <w:szCs w:val="18"/>
              </w:rPr>
            </w:pPr>
            <w:r w:rsidRPr="00940BC4">
              <w:rPr>
                <w:rFonts w:ascii="Times New Roman" w:eastAsia="Calibri" w:hAnsi="Times New Roman" w:cs="Times New Roman"/>
                <w:sz w:val="18"/>
                <w:szCs w:val="18"/>
              </w:rPr>
              <w:t>Currency (% )</w:t>
            </w:r>
          </w:p>
        </w:tc>
        <w:tc>
          <w:tcPr>
            <w:tcW w:w="779" w:type="dxa"/>
            <w:shd w:val="clear" w:color="auto" w:fill="auto"/>
          </w:tcPr>
          <w:p w14:paraId="52727CF3"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-4.49</w:t>
            </w:r>
          </w:p>
        </w:tc>
        <w:tc>
          <w:tcPr>
            <w:tcW w:w="780" w:type="dxa"/>
            <w:shd w:val="clear" w:color="auto" w:fill="auto"/>
          </w:tcPr>
          <w:p w14:paraId="0D306194"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-1.19</w:t>
            </w:r>
          </w:p>
        </w:tc>
        <w:tc>
          <w:tcPr>
            <w:tcW w:w="779" w:type="dxa"/>
            <w:shd w:val="clear" w:color="auto" w:fill="auto"/>
          </w:tcPr>
          <w:p w14:paraId="141C2271"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1.44</w:t>
            </w:r>
          </w:p>
        </w:tc>
        <w:tc>
          <w:tcPr>
            <w:tcW w:w="638" w:type="dxa"/>
            <w:shd w:val="clear" w:color="auto" w:fill="auto"/>
          </w:tcPr>
          <w:p w14:paraId="1661FAF5"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-9.39</w:t>
            </w:r>
          </w:p>
        </w:tc>
      </w:tr>
      <w:tr w:rsidR="00640360" w:rsidRPr="00940BC4" w14:paraId="271E5E19" w14:textId="77777777" w:rsidTr="00640360">
        <w:trPr>
          <w:trHeight w:val="20"/>
        </w:trPr>
        <w:tc>
          <w:tcPr>
            <w:tcW w:w="3261" w:type="dxa"/>
            <w:shd w:val="clear" w:color="auto" w:fill="auto"/>
          </w:tcPr>
          <w:p w14:paraId="4025CE2B" w14:textId="77777777" w:rsidR="00640360" w:rsidRPr="00940BC4" w:rsidRDefault="00940BC4" w:rsidP="00940BC4">
            <w:pPr>
              <w:spacing w:before="60" w:after="60"/>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 xml:space="preserve">Deposits in local currency </w:t>
            </w:r>
            <w:r w:rsidR="00640360" w:rsidRPr="00940BC4">
              <w:rPr>
                <w:rFonts w:ascii="Times New Roman" w:eastAsia="Calibri" w:hAnsi="Times New Roman" w:cs="Times New Roman"/>
                <w:color w:val="000000"/>
                <w:sz w:val="18"/>
                <w:szCs w:val="18"/>
              </w:rPr>
              <w:t>(% )</w:t>
            </w:r>
          </w:p>
        </w:tc>
        <w:tc>
          <w:tcPr>
            <w:tcW w:w="779" w:type="dxa"/>
            <w:shd w:val="clear" w:color="auto" w:fill="auto"/>
          </w:tcPr>
          <w:p w14:paraId="05630DFC" w14:textId="77777777" w:rsidR="00640360" w:rsidRPr="00940BC4" w:rsidRDefault="00640360"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25.27</w:t>
            </w:r>
          </w:p>
        </w:tc>
        <w:tc>
          <w:tcPr>
            <w:tcW w:w="780" w:type="dxa"/>
            <w:shd w:val="clear" w:color="auto" w:fill="auto"/>
          </w:tcPr>
          <w:p w14:paraId="441C1F2A" w14:textId="77777777" w:rsidR="00640360" w:rsidRPr="00940BC4" w:rsidRDefault="00640360"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28.59</w:t>
            </w:r>
          </w:p>
        </w:tc>
        <w:tc>
          <w:tcPr>
            <w:tcW w:w="779" w:type="dxa"/>
            <w:shd w:val="clear" w:color="auto" w:fill="auto"/>
          </w:tcPr>
          <w:p w14:paraId="05E464F4" w14:textId="77777777" w:rsidR="00640360" w:rsidRPr="00940BC4" w:rsidRDefault="00640360"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25.31</w:t>
            </w:r>
          </w:p>
        </w:tc>
        <w:tc>
          <w:tcPr>
            <w:tcW w:w="638" w:type="dxa"/>
            <w:shd w:val="clear" w:color="auto" w:fill="auto"/>
          </w:tcPr>
          <w:p w14:paraId="26019E30" w14:textId="77777777" w:rsidR="00640360" w:rsidRPr="00940BC4" w:rsidRDefault="00640360"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1.37</w:t>
            </w:r>
          </w:p>
        </w:tc>
      </w:tr>
      <w:tr w:rsidR="00640360" w:rsidRPr="00940BC4" w14:paraId="12F8A0A4" w14:textId="77777777" w:rsidTr="00640360">
        <w:trPr>
          <w:trHeight w:val="20"/>
        </w:trPr>
        <w:tc>
          <w:tcPr>
            <w:tcW w:w="3261" w:type="dxa"/>
            <w:shd w:val="clear" w:color="auto" w:fill="auto"/>
          </w:tcPr>
          <w:p w14:paraId="530CA392" w14:textId="77777777" w:rsidR="00640360" w:rsidRPr="00940BC4" w:rsidRDefault="00940BC4" w:rsidP="00940BC4">
            <w:pPr>
              <w:spacing w:before="60" w:after="60"/>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 xml:space="preserve">Deposits in foreign currency </w:t>
            </w:r>
            <w:r w:rsidR="00640360" w:rsidRPr="00940BC4">
              <w:rPr>
                <w:rFonts w:ascii="Times New Roman" w:eastAsia="Calibri" w:hAnsi="Times New Roman" w:cs="Times New Roman"/>
                <w:color w:val="000000"/>
                <w:sz w:val="18"/>
                <w:szCs w:val="18"/>
              </w:rPr>
              <w:t>(% )</w:t>
            </w:r>
          </w:p>
        </w:tc>
        <w:tc>
          <w:tcPr>
            <w:tcW w:w="779" w:type="dxa"/>
            <w:shd w:val="clear" w:color="auto" w:fill="auto"/>
          </w:tcPr>
          <w:p w14:paraId="26EC049D" w14:textId="77777777" w:rsidR="00640360" w:rsidRPr="00940BC4" w:rsidRDefault="00640360"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14.95</w:t>
            </w:r>
          </w:p>
        </w:tc>
        <w:tc>
          <w:tcPr>
            <w:tcW w:w="780" w:type="dxa"/>
            <w:shd w:val="clear" w:color="auto" w:fill="auto"/>
          </w:tcPr>
          <w:p w14:paraId="4779B614" w14:textId="77777777" w:rsidR="00640360" w:rsidRPr="00940BC4" w:rsidRDefault="00640360"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15.36</w:t>
            </w:r>
          </w:p>
        </w:tc>
        <w:tc>
          <w:tcPr>
            <w:tcW w:w="779" w:type="dxa"/>
            <w:shd w:val="clear" w:color="auto" w:fill="auto"/>
          </w:tcPr>
          <w:p w14:paraId="234AFC34" w14:textId="77777777" w:rsidR="00640360" w:rsidRPr="00940BC4" w:rsidRDefault="00640360"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4.71</w:t>
            </w:r>
          </w:p>
        </w:tc>
        <w:tc>
          <w:tcPr>
            <w:tcW w:w="638" w:type="dxa"/>
            <w:shd w:val="clear" w:color="auto" w:fill="auto"/>
          </w:tcPr>
          <w:p w14:paraId="0EBA0FB1" w14:textId="77777777" w:rsidR="00640360" w:rsidRPr="00940BC4" w:rsidRDefault="00640360"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22.74</w:t>
            </w:r>
          </w:p>
        </w:tc>
      </w:tr>
      <w:tr w:rsidR="00940BC4" w:rsidRPr="00940BC4" w14:paraId="06BEFEA9" w14:textId="77777777" w:rsidTr="00640360">
        <w:trPr>
          <w:trHeight w:val="20"/>
        </w:trPr>
        <w:tc>
          <w:tcPr>
            <w:tcW w:w="3261" w:type="dxa"/>
            <w:shd w:val="clear" w:color="auto" w:fill="auto"/>
          </w:tcPr>
          <w:p w14:paraId="673774EA" w14:textId="77777777" w:rsidR="00940BC4" w:rsidRPr="00940BC4" w:rsidRDefault="00940BC4" w:rsidP="007160F7">
            <w:pPr>
              <w:spacing w:before="40" w:after="40"/>
              <w:rPr>
                <w:rFonts w:ascii="Times New Roman" w:eastAsia="Calibri" w:hAnsi="Times New Roman" w:cs="Times New Roman"/>
                <w:sz w:val="18"/>
                <w:szCs w:val="18"/>
              </w:rPr>
            </w:pPr>
            <w:r w:rsidRPr="00940BC4">
              <w:rPr>
                <w:rFonts w:ascii="Times New Roman" w:eastAsia="Calibri" w:hAnsi="Times New Roman" w:cs="Times New Roman"/>
                <w:sz w:val="18"/>
                <w:szCs w:val="18"/>
              </w:rPr>
              <w:t>Dollarization (percentage point)</w:t>
            </w:r>
          </w:p>
        </w:tc>
        <w:tc>
          <w:tcPr>
            <w:tcW w:w="779" w:type="dxa"/>
            <w:shd w:val="clear" w:color="auto" w:fill="auto"/>
          </w:tcPr>
          <w:p w14:paraId="558D1DD5"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0.89</w:t>
            </w:r>
          </w:p>
        </w:tc>
        <w:tc>
          <w:tcPr>
            <w:tcW w:w="780" w:type="dxa"/>
            <w:shd w:val="clear" w:color="auto" w:fill="auto"/>
          </w:tcPr>
          <w:p w14:paraId="21BE52A4"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0.24</w:t>
            </w:r>
          </w:p>
        </w:tc>
        <w:tc>
          <w:tcPr>
            <w:tcW w:w="779" w:type="dxa"/>
            <w:shd w:val="clear" w:color="auto" w:fill="auto"/>
          </w:tcPr>
          <w:p w14:paraId="1D752463"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-2.15</w:t>
            </w:r>
          </w:p>
        </w:tc>
        <w:tc>
          <w:tcPr>
            <w:tcW w:w="638" w:type="dxa"/>
            <w:shd w:val="clear" w:color="auto" w:fill="auto"/>
          </w:tcPr>
          <w:p w14:paraId="3201B665"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6.0</w:t>
            </w:r>
          </w:p>
        </w:tc>
      </w:tr>
      <w:tr w:rsidR="00940BC4" w:rsidRPr="00940BC4" w14:paraId="688BE611" w14:textId="77777777" w:rsidTr="00640360">
        <w:trPr>
          <w:trHeight w:val="20"/>
        </w:trPr>
        <w:tc>
          <w:tcPr>
            <w:tcW w:w="3261" w:type="dxa"/>
            <w:shd w:val="clear" w:color="auto" w:fill="auto"/>
          </w:tcPr>
          <w:p w14:paraId="683C552F" w14:textId="77777777" w:rsidR="00940BC4" w:rsidRPr="00940BC4" w:rsidRDefault="00940BC4" w:rsidP="007160F7">
            <w:pPr>
              <w:spacing w:before="40" w:after="40"/>
              <w:rPr>
                <w:rFonts w:ascii="Times New Roman" w:eastAsia="Calibri" w:hAnsi="Times New Roman" w:cs="Times New Roman"/>
                <w:sz w:val="18"/>
                <w:szCs w:val="18"/>
              </w:rPr>
            </w:pPr>
            <w:r w:rsidRPr="00940BC4">
              <w:rPr>
                <w:rFonts w:ascii="Times New Roman" w:eastAsia="Calibri" w:hAnsi="Times New Roman" w:cs="Times New Roman"/>
                <w:sz w:val="18"/>
                <w:szCs w:val="18"/>
              </w:rPr>
              <w:t>Money multiplier (percentage point)</w:t>
            </w:r>
          </w:p>
        </w:tc>
        <w:tc>
          <w:tcPr>
            <w:tcW w:w="779" w:type="dxa"/>
            <w:shd w:val="clear" w:color="auto" w:fill="auto"/>
          </w:tcPr>
          <w:p w14:paraId="6D9CEA53"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-0.14</w:t>
            </w:r>
          </w:p>
        </w:tc>
        <w:tc>
          <w:tcPr>
            <w:tcW w:w="780" w:type="dxa"/>
            <w:shd w:val="clear" w:color="auto" w:fill="auto"/>
          </w:tcPr>
          <w:p w14:paraId="37D674D4"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0.13</w:t>
            </w:r>
          </w:p>
        </w:tc>
        <w:tc>
          <w:tcPr>
            <w:tcW w:w="779" w:type="dxa"/>
            <w:shd w:val="clear" w:color="auto" w:fill="auto"/>
          </w:tcPr>
          <w:p w14:paraId="394CBA77"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0.21</w:t>
            </w:r>
          </w:p>
        </w:tc>
        <w:tc>
          <w:tcPr>
            <w:tcW w:w="638" w:type="dxa"/>
            <w:shd w:val="clear" w:color="auto" w:fill="auto"/>
          </w:tcPr>
          <w:p w14:paraId="4F9A2BB7"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0.15</w:t>
            </w:r>
          </w:p>
        </w:tc>
      </w:tr>
      <w:tr w:rsidR="00940BC4" w:rsidRPr="00940BC4" w14:paraId="56388ECC" w14:textId="77777777" w:rsidTr="00640360">
        <w:trPr>
          <w:trHeight w:val="20"/>
        </w:trPr>
        <w:tc>
          <w:tcPr>
            <w:tcW w:w="3261" w:type="dxa"/>
            <w:shd w:val="clear" w:color="auto" w:fill="auto"/>
          </w:tcPr>
          <w:p w14:paraId="5A060B2B" w14:textId="77777777" w:rsidR="00940BC4" w:rsidRPr="00940BC4" w:rsidRDefault="00940BC4" w:rsidP="007160F7">
            <w:pPr>
              <w:spacing w:before="40" w:after="40"/>
              <w:rPr>
                <w:rFonts w:ascii="Times New Roman" w:eastAsia="Calibri" w:hAnsi="Times New Roman" w:cs="Times New Roman"/>
                <w:sz w:val="18"/>
                <w:szCs w:val="18"/>
              </w:rPr>
            </w:pPr>
            <w:r w:rsidRPr="00940BC4">
              <w:rPr>
                <w:rFonts w:ascii="Times New Roman" w:eastAsia="Calibri" w:hAnsi="Times New Roman" w:cs="Times New Roman"/>
                <w:sz w:val="18"/>
                <w:szCs w:val="18"/>
              </w:rPr>
              <w:t>Dram multiplier (percentage point)</w:t>
            </w:r>
          </w:p>
        </w:tc>
        <w:tc>
          <w:tcPr>
            <w:tcW w:w="779" w:type="dxa"/>
            <w:shd w:val="clear" w:color="auto" w:fill="auto"/>
          </w:tcPr>
          <w:p w14:paraId="34E7472A"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0.12</w:t>
            </w:r>
          </w:p>
        </w:tc>
        <w:tc>
          <w:tcPr>
            <w:tcW w:w="780" w:type="dxa"/>
            <w:shd w:val="clear" w:color="auto" w:fill="auto"/>
          </w:tcPr>
          <w:p w14:paraId="27A1E83B"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0.12</w:t>
            </w:r>
          </w:p>
        </w:tc>
        <w:tc>
          <w:tcPr>
            <w:tcW w:w="779" w:type="dxa"/>
            <w:shd w:val="clear" w:color="auto" w:fill="auto"/>
          </w:tcPr>
          <w:p w14:paraId="0956EE56"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0.17</w:t>
            </w:r>
          </w:p>
        </w:tc>
        <w:tc>
          <w:tcPr>
            <w:tcW w:w="638" w:type="dxa"/>
            <w:shd w:val="clear" w:color="auto" w:fill="auto"/>
          </w:tcPr>
          <w:p w14:paraId="670216FB" w14:textId="77777777" w:rsidR="00940BC4" w:rsidRPr="00940BC4" w:rsidRDefault="00940BC4" w:rsidP="00640360">
            <w:pPr>
              <w:spacing w:before="60" w:after="60"/>
              <w:jc w:val="center"/>
              <w:rPr>
                <w:rFonts w:ascii="Times New Roman" w:eastAsia="Calibri" w:hAnsi="Times New Roman" w:cs="Times New Roman"/>
                <w:color w:val="000000"/>
                <w:sz w:val="18"/>
                <w:szCs w:val="18"/>
              </w:rPr>
            </w:pPr>
            <w:r w:rsidRPr="00940BC4">
              <w:rPr>
                <w:rFonts w:ascii="Times New Roman" w:eastAsia="Calibri" w:hAnsi="Times New Roman" w:cs="Times New Roman"/>
                <w:color w:val="000000"/>
                <w:sz w:val="18"/>
                <w:szCs w:val="18"/>
              </w:rPr>
              <w:t>-0.22</w:t>
            </w:r>
          </w:p>
        </w:tc>
      </w:tr>
    </w:tbl>
    <w:p w14:paraId="52CB0C5D" w14:textId="77777777" w:rsidR="00640360" w:rsidRPr="00940BC4" w:rsidRDefault="00640360" w:rsidP="00640360">
      <w:pPr>
        <w:spacing w:after="120" w:line="260" w:lineRule="atLeast"/>
        <w:ind w:firstLine="284"/>
        <w:jc w:val="both"/>
        <w:rPr>
          <w:rFonts w:ascii="Times New Roman" w:eastAsia="Calibri" w:hAnsi="Times New Roman" w:cs="Times New Roman"/>
          <w:b/>
          <w:sz w:val="18"/>
          <w:szCs w:val="18"/>
        </w:rPr>
      </w:pPr>
    </w:p>
    <w:p w14:paraId="52A626F9"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 xml:space="preserve">3.3.2 Exchange rate </w:t>
      </w:r>
    </w:p>
    <w:p w14:paraId="4B31FA78" w14:textId="32532149" w:rsidR="00B74EB9" w:rsidRDefault="00B74EB9"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Pr>
          <w:rFonts w:ascii="Times New Roman" w:hAnsi="Times New Roman" w:cs="Times New Roman"/>
          <w:sz w:val="21"/>
          <w:szCs w:val="21"/>
        </w:rPr>
        <w:t xml:space="preserve">4th </w:t>
      </w:r>
      <w:r w:rsidRPr="00EC356F">
        <w:rPr>
          <w:rFonts w:ascii="Times New Roman" w:hAnsi="Times New Roman" w:cs="Times New Roman"/>
          <w:sz w:val="21"/>
          <w:szCs w:val="21"/>
        </w:rPr>
        <w:t>quarter of 2014</w:t>
      </w:r>
      <w:r>
        <w:rPr>
          <w:rFonts w:ascii="Times New Roman" w:hAnsi="Times New Roman" w:cs="Times New Roman"/>
          <w:sz w:val="21"/>
          <w:szCs w:val="21"/>
        </w:rPr>
        <w:t>, t</w:t>
      </w:r>
      <w:r w:rsidRPr="00B74EB9">
        <w:rPr>
          <w:rFonts w:ascii="Times New Roman" w:hAnsi="Times New Roman" w:cs="Times New Roman"/>
          <w:sz w:val="21"/>
          <w:szCs w:val="21"/>
        </w:rPr>
        <w:t>rad</w:t>
      </w:r>
      <w:r>
        <w:rPr>
          <w:rFonts w:ascii="Times New Roman" w:hAnsi="Times New Roman" w:cs="Times New Roman"/>
          <w:sz w:val="21"/>
          <w:szCs w:val="21"/>
        </w:rPr>
        <w:t>e</w:t>
      </w:r>
      <w:r w:rsidRPr="00B74EB9">
        <w:rPr>
          <w:rFonts w:ascii="Times New Roman" w:hAnsi="Times New Roman" w:cs="Times New Roman"/>
          <w:sz w:val="21"/>
          <w:szCs w:val="21"/>
        </w:rPr>
        <w:t xml:space="preserve"> partner countries</w:t>
      </w:r>
      <w:r w:rsidR="004F116D" w:rsidRPr="00863CD6">
        <w:rPr>
          <w:rFonts w:ascii="Times New Roman" w:hAnsi="Times New Roman" w:cs="Times New Roman"/>
          <w:sz w:val="21"/>
          <w:szCs w:val="21"/>
        </w:rPr>
        <w:t>'</w:t>
      </w:r>
      <w:r>
        <w:rPr>
          <w:rFonts w:ascii="Times New Roman" w:hAnsi="Times New Roman" w:cs="Times New Roman"/>
          <w:sz w:val="21"/>
          <w:szCs w:val="21"/>
        </w:rPr>
        <w:t xml:space="preserve"> </w:t>
      </w:r>
      <w:r w:rsidRPr="00EC356F">
        <w:rPr>
          <w:rFonts w:ascii="Times New Roman" w:hAnsi="Times New Roman" w:cs="Times New Roman"/>
          <w:sz w:val="21"/>
          <w:szCs w:val="21"/>
        </w:rPr>
        <w:t xml:space="preserve">average </w:t>
      </w:r>
      <w:r>
        <w:rPr>
          <w:rFonts w:ascii="Times New Roman" w:hAnsi="Times New Roman" w:cs="Times New Roman"/>
          <w:sz w:val="21"/>
          <w:szCs w:val="21"/>
        </w:rPr>
        <w:t xml:space="preserve">nominal </w:t>
      </w:r>
      <w:r w:rsidRPr="00EC356F">
        <w:rPr>
          <w:rFonts w:ascii="Times New Roman" w:hAnsi="Times New Roman" w:cs="Times New Roman"/>
          <w:sz w:val="21"/>
          <w:szCs w:val="21"/>
        </w:rPr>
        <w:t xml:space="preserve">weighted exchange rate </w:t>
      </w:r>
      <w:r>
        <w:rPr>
          <w:rFonts w:ascii="Times New Roman" w:hAnsi="Times New Roman" w:cs="Times New Roman"/>
          <w:sz w:val="21"/>
          <w:szCs w:val="21"/>
        </w:rPr>
        <w:t xml:space="preserve">depreciated even faster against the </w:t>
      </w:r>
      <w:r w:rsidRPr="00B74EB9">
        <w:rPr>
          <w:rFonts w:ascii="Times New Roman" w:hAnsi="Times New Roman" w:cs="Times New Roman"/>
          <w:sz w:val="21"/>
          <w:szCs w:val="21"/>
        </w:rPr>
        <w:t xml:space="preserve">US dollar. </w:t>
      </w:r>
      <w:r>
        <w:rPr>
          <w:rFonts w:ascii="Times New Roman" w:hAnsi="Times New Roman" w:cs="Times New Roman"/>
          <w:sz w:val="21"/>
          <w:szCs w:val="21"/>
        </w:rPr>
        <w:t xml:space="preserve">There was </w:t>
      </w:r>
      <w:r w:rsidRPr="00B74EB9">
        <w:rPr>
          <w:rFonts w:ascii="Times New Roman" w:hAnsi="Times New Roman" w:cs="Times New Roman"/>
          <w:sz w:val="21"/>
          <w:szCs w:val="21"/>
        </w:rPr>
        <w:t>9.9</w:t>
      </w:r>
      <w:r>
        <w:rPr>
          <w:rFonts w:ascii="Times New Roman" w:hAnsi="Times New Roman" w:cs="Times New Roman"/>
          <w:sz w:val="21"/>
          <w:szCs w:val="21"/>
        </w:rPr>
        <w:t xml:space="preserve">% depreciation q/q, of which </w:t>
      </w:r>
      <w:r w:rsidRPr="00B74EB9">
        <w:rPr>
          <w:rFonts w:ascii="Times New Roman" w:hAnsi="Times New Roman" w:cs="Times New Roman"/>
          <w:sz w:val="21"/>
          <w:szCs w:val="21"/>
        </w:rPr>
        <w:t xml:space="preserve">5.6 </w:t>
      </w:r>
      <w:r>
        <w:rPr>
          <w:rFonts w:ascii="Times New Roman" w:hAnsi="Times New Roman" w:cs="Times New Roman"/>
          <w:sz w:val="21"/>
          <w:szCs w:val="21"/>
        </w:rPr>
        <w:t xml:space="preserve">pp alone was fuelled by the </w:t>
      </w:r>
      <w:r w:rsidRPr="00B74EB9">
        <w:rPr>
          <w:rFonts w:ascii="Times New Roman" w:hAnsi="Times New Roman" w:cs="Times New Roman"/>
          <w:sz w:val="21"/>
          <w:szCs w:val="21"/>
        </w:rPr>
        <w:t xml:space="preserve">Russian ruble </w:t>
      </w:r>
      <w:r w:rsidR="00284423">
        <w:rPr>
          <w:rFonts w:ascii="Times New Roman" w:hAnsi="Times New Roman" w:cs="Times New Roman"/>
          <w:sz w:val="21"/>
          <w:szCs w:val="21"/>
        </w:rPr>
        <w:t xml:space="preserve">as its average nominal exchange rate had abruptly depreciated by 31.5% relative to the 3rd quarter. </w:t>
      </w:r>
      <w:r w:rsidR="00620D9E">
        <w:rPr>
          <w:rFonts w:ascii="Times New Roman" w:hAnsi="Times New Roman" w:cs="Times New Roman"/>
          <w:sz w:val="21"/>
          <w:szCs w:val="21"/>
        </w:rPr>
        <w:t>Under the c</w:t>
      </w:r>
      <w:r w:rsidR="00284423">
        <w:rPr>
          <w:rFonts w:ascii="Times New Roman" w:hAnsi="Times New Roman" w:cs="Times New Roman"/>
          <w:sz w:val="21"/>
          <w:szCs w:val="21"/>
        </w:rPr>
        <w:t xml:space="preserve">urrency depreciation pressures in </w:t>
      </w:r>
      <w:r w:rsidRPr="00B74EB9">
        <w:rPr>
          <w:rFonts w:ascii="Times New Roman" w:hAnsi="Times New Roman" w:cs="Times New Roman"/>
          <w:sz w:val="21"/>
          <w:szCs w:val="21"/>
        </w:rPr>
        <w:t>partner countries</w:t>
      </w:r>
      <w:r w:rsidR="00464458">
        <w:rPr>
          <w:rFonts w:ascii="Times New Roman" w:hAnsi="Times New Roman" w:cs="Times New Roman"/>
          <w:sz w:val="21"/>
          <w:szCs w:val="21"/>
        </w:rPr>
        <w:t xml:space="preserve"> </w:t>
      </w:r>
      <w:r w:rsidR="00284423">
        <w:rPr>
          <w:rFonts w:ascii="Times New Roman" w:hAnsi="Times New Roman" w:cs="Times New Roman"/>
          <w:sz w:val="21"/>
          <w:szCs w:val="21"/>
        </w:rPr>
        <w:t>t</w:t>
      </w:r>
      <w:r w:rsidR="00284423" w:rsidRPr="00B74EB9">
        <w:rPr>
          <w:rFonts w:ascii="Times New Roman" w:hAnsi="Times New Roman" w:cs="Times New Roman"/>
          <w:sz w:val="21"/>
          <w:szCs w:val="21"/>
        </w:rPr>
        <w:t xml:space="preserve">he nominal exchange rate </w:t>
      </w:r>
      <w:r w:rsidR="00284423">
        <w:rPr>
          <w:rFonts w:ascii="Times New Roman" w:hAnsi="Times New Roman" w:cs="Times New Roman"/>
          <w:sz w:val="21"/>
          <w:szCs w:val="21"/>
        </w:rPr>
        <w:t xml:space="preserve">of the </w:t>
      </w:r>
      <w:r w:rsidR="004F116D">
        <w:rPr>
          <w:rFonts w:ascii="Times New Roman" w:hAnsi="Times New Roman" w:cs="Times New Roman"/>
          <w:sz w:val="21"/>
          <w:szCs w:val="21"/>
        </w:rPr>
        <w:t xml:space="preserve">Armenian </w:t>
      </w:r>
      <w:r w:rsidR="00284423">
        <w:rPr>
          <w:rFonts w:ascii="Times New Roman" w:hAnsi="Times New Roman" w:cs="Times New Roman"/>
          <w:sz w:val="21"/>
          <w:szCs w:val="21"/>
        </w:rPr>
        <w:t xml:space="preserve">dram </w:t>
      </w:r>
      <w:r w:rsidR="00620D9E">
        <w:rPr>
          <w:rFonts w:ascii="Times New Roman" w:hAnsi="Times New Roman" w:cs="Times New Roman"/>
          <w:sz w:val="21"/>
          <w:szCs w:val="21"/>
        </w:rPr>
        <w:t>b</w:t>
      </w:r>
      <w:r w:rsidR="00843817">
        <w:rPr>
          <w:rFonts w:ascii="Times New Roman" w:hAnsi="Times New Roman" w:cs="Times New Roman"/>
          <w:sz w:val="21"/>
          <w:szCs w:val="21"/>
        </w:rPr>
        <w:t>ore</w:t>
      </w:r>
      <w:r w:rsidR="00620D9E">
        <w:rPr>
          <w:rFonts w:ascii="Times New Roman" w:hAnsi="Times New Roman" w:cs="Times New Roman"/>
          <w:sz w:val="21"/>
          <w:szCs w:val="21"/>
        </w:rPr>
        <w:t xml:space="preserve"> the impact of abovementioned developments </w:t>
      </w:r>
      <w:r w:rsidR="00464458">
        <w:rPr>
          <w:rFonts w:ascii="Times New Roman" w:hAnsi="Times New Roman" w:cs="Times New Roman"/>
          <w:sz w:val="21"/>
          <w:szCs w:val="21"/>
        </w:rPr>
        <w:t>in November</w:t>
      </w:r>
      <w:r w:rsidR="00500A55" w:rsidRPr="00500A55">
        <w:rPr>
          <w:rFonts w:ascii="Times New Roman" w:hAnsi="Times New Roman" w:cs="Times New Roman"/>
          <w:sz w:val="21"/>
          <w:szCs w:val="21"/>
        </w:rPr>
        <w:t xml:space="preserve"> </w:t>
      </w:r>
      <w:r w:rsidR="00500A55">
        <w:rPr>
          <w:rFonts w:ascii="Times New Roman" w:hAnsi="Times New Roman" w:cs="Times New Roman"/>
          <w:sz w:val="21"/>
          <w:szCs w:val="21"/>
        </w:rPr>
        <w:t>as a result of providing external balance</w:t>
      </w:r>
      <w:r w:rsidR="00464458">
        <w:rPr>
          <w:rFonts w:ascii="Times New Roman" w:hAnsi="Times New Roman" w:cs="Times New Roman"/>
          <w:sz w:val="21"/>
          <w:szCs w:val="21"/>
        </w:rPr>
        <w:t xml:space="preserve">, making it to </w:t>
      </w:r>
      <w:r w:rsidR="00572287">
        <w:rPr>
          <w:rFonts w:ascii="Times New Roman" w:hAnsi="Times New Roman" w:cs="Times New Roman"/>
          <w:sz w:val="21"/>
          <w:szCs w:val="21"/>
        </w:rPr>
        <w:t xml:space="preserve">soon </w:t>
      </w:r>
      <w:r w:rsidR="00464458">
        <w:rPr>
          <w:rFonts w:ascii="Times New Roman" w:hAnsi="Times New Roman" w:cs="Times New Roman"/>
          <w:sz w:val="21"/>
          <w:szCs w:val="21"/>
        </w:rPr>
        <w:t xml:space="preserve">post </w:t>
      </w:r>
      <w:r w:rsidRPr="00B74EB9">
        <w:rPr>
          <w:rFonts w:ascii="Times New Roman" w:hAnsi="Times New Roman" w:cs="Times New Roman"/>
          <w:sz w:val="21"/>
          <w:szCs w:val="21"/>
        </w:rPr>
        <w:t xml:space="preserve">high </w:t>
      </w:r>
      <w:r w:rsidR="00464458">
        <w:rPr>
          <w:rFonts w:ascii="Times New Roman" w:hAnsi="Times New Roman" w:cs="Times New Roman"/>
          <w:sz w:val="21"/>
          <w:szCs w:val="21"/>
        </w:rPr>
        <w:t xml:space="preserve">depreciation </w:t>
      </w:r>
      <w:r w:rsidRPr="00B74EB9">
        <w:rPr>
          <w:rFonts w:ascii="Times New Roman" w:hAnsi="Times New Roman" w:cs="Times New Roman"/>
          <w:sz w:val="21"/>
          <w:szCs w:val="21"/>
        </w:rPr>
        <w:t xml:space="preserve">rates in </w:t>
      </w:r>
      <w:r w:rsidRPr="00B74EB9">
        <w:rPr>
          <w:rFonts w:ascii="Times New Roman" w:hAnsi="Times New Roman" w:cs="Times New Roman"/>
          <w:sz w:val="21"/>
          <w:szCs w:val="21"/>
        </w:rPr>
        <w:lastRenderedPageBreak/>
        <w:t>December</w:t>
      </w:r>
      <w:r w:rsidR="00464458">
        <w:rPr>
          <w:rFonts w:ascii="Times New Roman" w:hAnsi="Times New Roman" w:cs="Times New Roman"/>
          <w:sz w:val="21"/>
          <w:szCs w:val="21"/>
        </w:rPr>
        <w:t xml:space="preserve"> </w:t>
      </w:r>
      <w:r w:rsidR="00572287">
        <w:rPr>
          <w:rFonts w:ascii="Times New Roman" w:hAnsi="Times New Roman" w:cs="Times New Roman"/>
          <w:sz w:val="21"/>
          <w:szCs w:val="21"/>
        </w:rPr>
        <w:t xml:space="preserve">when </w:t>
      </w:r>
      <w:r w:rsidR="00464458">
        <w:rPr>
          <w:rFonts w:ascii="Times New Roman" w:hAnsi="Times New Roman" w:cs="Times New Roman"/>
          <w:sz w:val="21"/>
          <w:szCs w:val="21"/>
        </w:rPr>
        <w:t>the exchange rate plunged by</w:t>
      </w:r>
      <w:r w:rsidRPr="00B74EB9">
        <w:rPr>
          <w:rFonts w:ascii="Times New Roman" w:hAnsi="Times New Roman" w:cs="Times New Roman"/>
          <w:sz w:val="21"/>
          <w:szCs w:val="21"/>
        </w:rPr>
        <w:t xml:space="preserve"> 11.8% </w:t>
      </w:r>
      <w:r w:rsidR="00464458">
        <w:rPr>
          <w:rFonts w:ascii="Times New Roman" w:hAnsi="Times New Roman" w:cs="Times New Roman"/>
          <w:sz w:val="21"/>
          <w:szCs w:val="21"/>
        </w:rPr>
        <w:t xml:space="preserve">against September. </w:t>
      </w:r>
      <w:r w:rsidR="00572287">
        <w:rPr>
          <w:rFonts w:ascii="Times New Roman" w:hAnsi="Times New Roman" w:cs="Times New Roman"/>
          <w:sz w:val="21"/>
          <w:szCs w:val="21"/>
        </w:rPr>
        <w:t xml:space="preserve">Meanwhile, </w:t>
      </w:r>
      <w:r w:rsidR="00572287" w:rsidRPr="00EC356F">
        <w:rPr>
          <w:rFonts w:ascii="Times New Roman" w:hAnsi="Times New Roman" w:cs="Times New Roman"/>
          <w:sz w:val="21"/>
          <w:szCs w:val="21"/>
        </w:rPr>
        <w:t>the Central Bank act</w:t>
      </w:r>
      <w:r w:rsidR="00572287">
        <w:rPr>
          <w:rFonts w:ascii="Times New Roman" w:hAnsi="Times New Roman" w:cs="Times New Roman"/>
          <w:sz w:val="21"/>
          <w:szCs w:val="21"/>
        </w:rPr>
        <w:t xml:space="preserve">ed </w:t>
      </w:r>
      <w:r w:rsidR="00572287" w:rsidRPr="00EC356F">
        <w:rPr>
          <w:rFonts w:ascii="Times New Roman" w:hAnsi="Times New Roman" w:cs="Times New Roman"/>
          <w:sz w:val="21"/>
          <w:szCs w:val="21"/>
        </w:rPr>
        <w:t xml:space="preserve">as a net </w:t>
      </w:r>
      <w:r w:rsidR="00572287">
        <w:rPr>
          <w:rFonts w:ascii="Times New Roman" w:hAnsi="Times New Roman" w:cs="Times New Roman"/>
          <w:sz w:val="21"/>
          <w:szCs w:val="21"/>
        </w:rPr>
        <w:t>seller</w:t>
      </w:r>
      <w:r w:rsidR="00572287" w:rsidRPr="00EC356F">
        <w:rPr>
          <w:rFonts w:ascii="Times New Roman" w:hAnsi="Times New Roman" w:cs="Times New Roman"/>
          <w:sz w:val="21"/>
          <w:szCs w:val="21"/>
        </w:rPr>
        <w:t xml:space="preserve"> of foreign currency in the </w:t>
      </w:r>
      <w:r w:rsidR="00572287" w:rsidRPr="006A4AE5">
        <w:rPr>
          <w:rFonts w:ascii="Times New Roman" w:hAnsi="Times New Roman" w:cs="Times New Roman"/>
          <w:sz w:val="21"/>
          <w:szCs w:val="21"/>
        </w:rPr>
        <w:t xml:space="preserve">foreign exchange market to </w:t>
      </w:r>
      <w:r w:rsidR="00572287">
        <w:rPr>
          <w:rFonts w:ascii="Times New Roman" w:hAnsi="Times New Roman" w:cs="Times New Roman"/>
          <w:sz w:val="21"/>
          <w:szCs w:val="21"/>
        </w:rPr>
        <w:t xml:space="preserve">finance </w:t>
      </w:r>
      <w:r w:rsidR="00572287" w:rsidRPr="00B74EB9">
        <w:rPr>
          <w:rFonts w:ascii="Times New Roman" w:hAnsi="Times New Roman" w:cs="Times New Roman"/>
          <w:sz w:val="21"/>
          <w:szCs w:val="21"/>
        </w:rPr>
        <w:t xml:space="preserve">the current account </w:t>
      </w:r>
      <w:r w:rsidR="00572287">
        <w:rPr>
          <w:rFonts w:ascii="Times New Roman" w:hAnsi="Times New Roman" w:cs="Times New Roman"/>
          <w:sz w:val="21"/>
          <w:szCs w:val="21"/>
        </w:rPr>
        <w:t xml:space="preserve">as well as </w:t>
      </w:r>
      <w:r w:rsidR="00572287" w:rsidRPr="00B74EB9">
        <w:rPr>
          <w:rFonts w:ascii="Times New Roman" w:hAnsi="Times New Roman" w:cs="Times New Roman"/>
          <w:sz w:val="21"/>
          <w:szCs w:val="21"/>
        </w:rPr>
        <w:t>mitigate</w:t>
      </w:r>
      <w:r w:rsidR="00572287" w:rsidRPr="006A4AE5">
        <w:rPr>
          <w:rFonts w:ascii="Times New Roman" w:hAnsi="Times New Roman" w:cs="Times New Roman"/>
          <w:sz w:val="21"/>
          <w:szCs w:val="21"/>
        </w:rPr>
        <w:t xml:space="preserve"> </w:t>
      </w:r>
      <w:r w:rsidR="00A261A9" w:rsidRPr="00B74EB9">
        <w:rPr>
          <w:rFonts w:ascii="Times New Roman" w:hAnsi="Times New Roman" w:cs="Times New Roman"/>
          <w:sz w:val="21"/>
          <w:szCs w:val="21"/>
        </w:rPr>
        <w:t>de</w:t>
      </w:r>
      <w:r w:rsidR="00A261A9">
        <w:rPr>
          <w:rFonts w:ascii="Times New Roman" w:hAnsi="Times New Roman" w:cs="Times New Roman"/>
          <w:sz w:val="21"/>
          <w:szCs w:val="21"/>
        </w:rPr>
        <w:t xml:space="preserve">preciation </w:t>
      </w:r>
      <w:r w:rsidR="00A261A9" w:rsidRPr="00B74EB9">
        <w:rPr>
          <w:rFonts w:ascii="Times New Roman" w:hAnsi="Times New Roman" w:cs="Times New Roman"/>
          <w:sz w:val="21"/>
          <w:szCs w:val="21"/>
        </w:rPr>
        <w:t>and inflation expectations</w:t>
      </w:r>
      <w:r w:rsidR="00A261A9">
        <w:rPr>
          <w:rFonts w:ascii="Times New Roman" w:hAnsi="Times New Roman" w:cs="Times New Roman"/>
          <w:sz w:val="21"/>
          <w:szCs w:val="21"/>
        </w:rPr>
        <w:t xml:space="preserve">. </w:t>
      </w:r>
      <w:r w:rsidRPr="00B74EB9">
        <w:rPr>
          <w:rFonts w:ascii="Times New Roman" w:hAnsi="Times New Roman" w:cs="Times New Roman"/>
          <w:sz w:val="21"/>
          <w:szCs w:val="21"/>
        </w:rPr>
        <w:t>Overall</w:t>
      </w:r>
      <w:r w:rsidR="00A261A9">
        <w:rPr>
          <w:rFonts w:ascii="Times New Roman" w:hAnsi="Times New Roman" w:cs="Times New Roman"/>
          <w:sz w:val="21"/>
          <w:szCs w:val="21"/>
        </w:rPr>
        <w:t>,</w:t>
      </w:r>
      <w:r w:rsidRPr="00B74EB9">
        <w:rPr>
          <w:rFonts w:ascii="Times New Roman" w:hAnsi="Times New Roman" w:cs="Times New Roman"/>
          <w:sz w:val="21"/>
          <w:szCs w:val="21"/>
        </w:rPr>
        <w:t xml:space="preserve"> </w:t>
      </w:r>
      <w:r w:rsidR="00A261A9">
        <w:rPr>
          <w:rFonts w:ascii="Times New Roman" w:hAnsi="Times New Roman" w:cs="Times New Roman"/>
          <w:sz w:val="21"/>
          <w:szCs w:val="21"/>
        </w:rPr>
        <w:t xml:space="preserve">the Central Bank </w:t>
      </w:r>
      <w:r w:rsidR="00A261A9" w:rsidRPr="00B74EB9">
        <w:rPr>
          <w:rFonts w:ascii="Times New Roman" w:hAnsi="Times New Roman" w:cs="Times New Roman"/>
          <w:sz w:val="21"/>
          <w:szCs w:val="21"/>
        </w:rPr>
        <w:t xml:space="preserve">injected around </w:t>
      </w:r>
      <w:r w:rsidR="00A261A9">
        <w:rPr>
          <w:rFonts w:ascii="Times New Roman" w:hAnsi="Times New Roman" w:cs="Times New Roman"/>
          <w:sz w:val="21"/>
          <w:szCs w:val="21"/>
        </w:rPr>
        <w:t xml:space="preserve">USD </w:t>
      </w:r>
      <w:r w:rsidR="00A261A9" w:rsidRPr="00B74EB9">
        <w:rPr>
          <w:rFonts w:ascii="Times New Roman" w:hAnsi="Times New Roman" w:cs="Times New Roman"/>
          <w:sz w:val="21"/>
          <w:szCs w:val="21"/>
        </w:rPr>
        <w:t xml:space="preserve">212.5 million </w:t>
      </w:r>
      <w:r w:rsidR="00A261A9">
        <w:rPr>
          <w:rFonts w:ascii="Times New Roman" w:hAnsi="Times New Roman" w:cs="Times New Roman"/>
          <w:sz w:val="21"/>
          <w:szCs w:val="21"/>
        </w:rPr>
        <w:t>in the</w:t>
      </w:r>
      <w:r w:rsidRPr="00B74EB9">
        <w:rPr>
          <w:rFonts w:ascii="Times New Roman" w:hAnsi="Times New Roman" w:cs="Times New Roman"/>
          <w:sz w:val="21"/>
          <w:szCs w:val="21"/>
        </w:rPr>
        <w:t xml:space="preserve"> market</w:t>
      </w:r>
      <w:r w:rsidR="00A261A9">
        <w:rPr>
          <w:rFonts w:ascii="Times New Roman" w:hAnsi="Times New Roman" w:cs="Times New Roman"/>
          <w:sz w:val="21"/>
          <w:szCs w:val="21"/>
        </w:rPr>
        <w:t xml:space="preserve"> during the quarter</w:t>
      </w:r>
      <w:r w:rsidRPr="00B74EB9">
        <w:rPr>
          <w:rFonts w:ascii="Times New Roman" w:hAnsi="Times New Roman" w:cs="Times New Roman"/>
          <w:sz w:val="21"/>
          <w:szCs w:val="21"/>
        </w:rPr>
        <w:t>.</w:t>
      </w:r>
      <w:r>
        <w:rPr>
          <w:rFonts w:ascii="Times New Roman" w:hAnsi="Times New Roman" w:cs="Times New Roman"/>
          <w:sz w:val="21"/>
          <w:szCs w:val="21"/>
        </w:rPr>
        <w:t xml:space="preserve"> </w:t>
      </w:r>
    </w:p>
    <w:p w14:paraId="5762A988" w14:textId="77777777" w:rsidR="00FD46D1" w:rsidRPr="003B459D" w:rsidRDefault="008D49BF" w:rsidP="00A9653E">
      <w:pPr>
        <w:spacing w:line="360" w:lineRule="auto"/>
        <w:jc w:val="both"/>
        <w:rPr>
          <w:rFonts w:ascii="Times New Roman" w:hAnsi="Times New Roman" w:cs="Times New Roman"/>
          <w:sz w:val="20"/>
          <w:szCs w:val="20"/>
        </w:rPr>
      </w:pPr>
      <w:r>
        <w:rPr>
          <w:rFonts w:ascii="Times New Roman" w:hAnsi="Times New Roman" w:cs="Times New Roman"/>
          <w:sz w:val="21"/>
          <w:szCs w:val="21"/>
        </w:rPr>
        <w:t xml:space="preserve">Influenced by dramatic currency depreciation in trade partner countries, </w:t>
      </w:r>
      <w:r w:rsidRPr="00EC356F">
        <w:rPr>
          <w:rFonts w:ascii="Times New Roman" w:hAnsi="Times New Roman" w:cs="Times New Roman"/>
          <w:sz w:val="21"/>
          <w:szCs w:val="21"/>
        </w:rPr>
        <w:t xml:space="preserve">the </w:t>
      </w:r>
      <w:r>
        <w:rPr>
          <w:rFonts w:ascii="Times New Roman" w:hAnsi="Times New Roman" w:cs="Times New Roman"/>
          <w:sz w:val="21"/>
          <w:szCs w:val="21"/>
        </w:rPr>
        <w:t xml:space="preserve">nominal effective </w:t>
      </w:r>
      <w:r w:rsidRPr="00EC356F">
        <w:rPr>
          <w:rFonts w:ascii="Times New Roman" w:hAnsi="Times New Roman" w:cs="Times New Roman"/>
          <w:sz w:val="21"/>
          <w:szCs w:val="21"/>
        </w:rPr>
        <w:t>exchange rate of the Armenian dram</w:t>
      </w:r>
      <w:r>
        <w:rPr>
          <w:rFonts w:ascii="Times New Roman" w:hAnsi="Times New Roman" w:cs="Times New Roman"/>
          <w:sz w:val="21"/>
          <w:szCs w:val="21"/>
        </w:rPr>
        <w:t xml:space="preserve"> has appreciated by 4.2% q/q and </w:t>
      </w:r>
      <w:r w:rsidRPr="00EC356F">
        <w:rPr>
          <w:rFonts w:ascii="Times New Roman" w:hAnsi="Times New Roman" w:cs="Times New Roman"/>
          <w:sz w:val="21"/>
          <w:szCs w:val="21"/>
        </w:rPr>
        <w:t>the real effective exchange rate</w:t>
      </w:r>
      <w:r w:rsidR="008F6289">
        <w:rPr>
          <w:rStyle w:val="FootnoteReference"/>
          <w:rFonts w:ascii="Times New Roman" w:hAnsi="Times New Roman" w:cs="Times New Roman"/>
          <w:sz w:val="21"/>
          <w:szCs w:val="21"/>
        </w:rPr>
        <w:footnoteReference w:customMarkFollows="1" w:id="26"/>
        <w:t>26</w:t>
      </w:r>
      <w:r>
        <w:rPr>
          <w:rFonts w:ascii="Times New Roman" w:hAnsi="Times New Roman" w:cs="Times New Roman"/>
          <w:sz w:val="21"/>
          <w:szCs w:val="21"/>
        </w:rPr>
        <w:t xml:space="preserve">, by 6.0% q/q during the quarter. </w:t>
      </w:r>
      <w:r w:rsidR="005533A3">
        <w:rPr>
          <w:rFonts w:ascii="Times New Roman" w:hAnsi="Times New Roman" w:cs="Times New Roman"/>
          <w:sz w:val="21"/>
          <w:szCs w:val="21"/>
        </w:rPr>
        <w:t>T</w:t>
      </w:r>
      <w:r>
        <w:rPr>
          <w:rFonts w:ascii="Times New Roman" w:hAnsi="Times New Roman" w:cs="Times New Roman"/>
          <w:sz w:val="21"/>
          <w:szCs w:val="21"/>
        </w:rPr>
        <w:t>he real exchange rate appreciation s</w:t>
      </w:r>
      <w:r w:rsidR="005533A3">
        <w:rPr>
          <w:rFonts w:ascii="Times New Roman" w:hAnsi="Times New Roman" w:cs="Times New Roman"/>
          <w:sz w:val="21"/>
          <w:szCs w:val="21"/>
        </w:rPr>
        <w:t>peeded up to 9.3%</w:t>
      </w:r>
      <w:r>
        <w:rPr>
          <w:rFonts w:ascii="Times New Roman" w:hAnsi="Times New Roman" w:cs="Times New Roman"/>
          <w:sz w:val="21"/>
          <w:szCs w:val="21"/>
        </w:rPr>
        <w:t xml:space="preserve">, which was largely attributable to </w:t>
      </w:r>
      <w:r w:rsidR="005533A3" w:rsidRPr="005533A3">
        <w:rPr>
          <w:rFonts w:ascii="Times New Roman" w:hAnsi="Times New Roman" w:cs="Times New Roman"/>
          <w:sz w:val="21"/>
          <w:szCs w:val="21"/>
        </w:rPr>
        <w:t xml:space="preserve">the </w:t>
      </w:r>
      <w:r w:rsidR="005533A3">
        <w:rPr>
          <w:rFonts w:ascii="Times New Roman" w:hAnsi="Times New Roman" w:cs="Times New Roman"/>
          <w:sz w:val="21"/>
          <w:szCs w:val="21"/>
        </w:rPr>
        <w:t xml:space="preserve">average </w:t>
      </w:r>
      <w:r w:rsidR="005533A3" w:rsidRPr="005533A3">
        <w:rPr>
          <w:rFonts w:ascii="Times New Roman" w:hAnsi="Times New Roman" w:cs="Times New Roman"/>
          <w:sz w:val="21"/>
          <w:szCs w:val="21"/>
        </w:rPr>
        <w:t xml:space="preserve">nominal weighted </w:t>
      </w:r>
      <w:r w:rsidR="005533A3">
        <w:rPr>
          <w:rFonts w:ascii="Times New Roman" w:hAnsi="Times New Roman" w:cs="Times New Roman"/>
          <w:sz w:val="21"/>
          <w:szCs w:val="21"/>
        </w:rPr>
        <w:t xml:space="preserve">exchange rate highly </w:t>
      </w:r>
      <w:r w:rsidR="005533A3" w:rsidRPr="005533A3">
        <w:rPr>
          <w:rFonts w:ascii="Times New Roman" w:hAnsi="Times New Roman" w:cs="Times New Roman"/>
          <w:sz w:val="21"/>
          <w:szCs w:val="21"/>
        </w:rPr>
        <w:t>depreciat</w:t>
      </w:r>
      <w:r w:rsidR="005533A3">
        <w:rPr>
          <w:rFonts w:ascii="Times New Roman" w:hAnsi="Times New Roman" w:cs="Times New Roman"/>
          <w:sz w:val="21"/>
          <w:szCs w:val="21"/>
        </w:rPr>
        <w:t>ed in trade partner countries</w:t>
      </w:r>
      <w:r w:rsidR="005533A3" w:rsidRPr="005533A3">
        <w:rPr>
          <w:rFonts w:ascii="Times New Roman" w:hAnsi="Times New Roman" w:cs="Times New Roman"/>
          <w:sz w:val="21"/>
          <w:szCs w:val="21"/>
        </w:rPr>
        <w:t xml:space="preserve"> (</w:t>
      </w:r>
      <w:r w:rsidR="005533A3">
        <w:rPr>
          <w:rFonts w:ascii="Times New Roman" w:hAnsi="Times New Roman" w:cs="Times New Roman"/>
          <w:sz w:val="21"/>
          <w:szCs w:val="21"/>
        </w:rPr>
        <w:t>the Russian ruble</w:t>
      </w:r>
      <w:r w:rsidR="004F116D" w:rsidRPr="00863CD6">
        <w:rPr>
          <w:rFonts w:ascii="Times New Roman" w:hAnsi="Times New Roman" w:cs="Times New Roman"/>
          <w:sz w:val="21"/>
          <w:szCs w:val="21"/>
        </w:rPr>
        <w:t>'</w:t>
      </w:r>
      <w:r w:rsidR="005533A3">
        <w:rPr>
          <w:rFonts w:ascii="Times New Roman" w:hAnsi="Times New Roman" w:cs="Times New Roman"/>
          <w:sz w:val="21"/>
          <w:szCs w:val="21"/>
        </w:rPr>
        <w:t xml:space="preserve">s </w:t>
      </w:r>
      <w:r w:rsidR="005533A3" w:rsidRPr="005533A3">
        <w:rPr>
          <w:rFonts w:ascii="Times New Roman" w:hAnsi="Times New Roman" w:cs="Times New Roman"/>
          <w:sz w:val="21"/>
          <w:szCs w:val="21"/>
        </w:rPr>
        <w:t xml:space="preserve">depreciation </w:t>
      </w:r>
      <w:r w:rsidR="005533A3">
        <w:rPr>
          <w:rFonts w:ascii="Times New Roman" w:hAnsi="Times New Roman" w:cs="Times New Roman"/>
          <w:sz w:val="21"/>
          <w:szCs w:val="21"/>
        </w:rPr>
        <w:t>is considerable</w:t>
      </w:r>
      <w:r w:rsidR="005533A3" w:rsidRPr="005533A3">
        <w:rPr>
          <w:rFonts w:ascii="Times New Roman" w:hAnsi="Times New Roman" w:cs="Times New Roman"/>
          <w:sz w:val="21"/>
          <w:szCs w:val="21"/>
        </w:rPr>
        <w:t>).</w:t>
      </w:r>
      <w:r w:rsidR="005533A3">
        <w:rPr>
          <w:rFonts w:ascii="Times New Roman" w:hAnsi="Times New Roman" w:cs="Times New Roman"/>
          <w:sz w:val="21"/>
          <w:szCs w:val="21"/>
        </w:rPr>
        <w:t xml:space="preserve"> </w:t>
      </w:r>
    </w:p>
    <w:tbl>
      <w:tblPr>
        <w:tblW w:w="6289" w:type="dxa"/>
        <w:tblInd w:w="71"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4A0" w:firstRow="1" w:lastRow="0" w:firstColumn="1" w:lastColumn="0" w:noHBand="0" w:noVBand="1"/>
      </w:tblPr>
      <w:tblGrid>
        <w:gridCol w:w="2562"/>
        <w:gridCol w:w="448"/>
        <w:gridCol w:w="449"/>
        <w:gridCol w:w="448"/>
        <w:gridCol w:w="449"/>
        <w:gridCol w:w="448"/>
        <w:gridCol w:w="449"/>
        <w:gridCol w:w="449"/>
        <w:gridCol w:w="587"/>
      </w:tblGrid>
      <w:tr w:rsidR="00EE0186" w:rsidRPr="003B459D" w14:paraId="2BB27D9D" w14:textId="77777777" w:rsidTr="003B459D">
        <w:trPr>
          <w:cantSplit/>
          <w:trHeight w:val="1096"/>
        </w:trPr>
        <w:tc>
          <w:tcPr>
            <w:tcW w:w="2562" w:type="dxa"/>
            <w:tcBorders>
              <w:top w:val="single" w:sz="4" w:space="0" w:color="auto"/>
              <w:bottom w:val="single" w:sz="4" w:space="0" w:color="auto"/>
            </w:tcBorders>
            <w:shd w:val="clear" w:color="auto" w:fill="auto"/>
            <w:noWrap/>
            <w:vAlign w:val="center"/>
          </w:tcPr>
          <w:p w14:paraId="7F0E9B5F" w14:textId="77777777" w:rsidR="00EE0186" w:rsidRPr="003B459D" w:rsidRDefault="00EE0186" w:rsidP="001B1AA6">
            <w:pPr>
              <w:spacing w:before="20" w:after="20"/>
              <w:rPr>
                <w:rFonts w:ascii="Times New Roman" w:hAnsi="Times New Roman" w:cs="Times New Roman"/>
                <w:b/>
                <w:iCs/>
                <w:sz w:val="20"/>
                <w:szCs w:val="20"/>
              </w:rPr>
            </w:pPr>
            <w:r w:rsidRPr="003B459D">
              <w:rPr>
                <w:rFonts w:ascii="Times New Roman" w:hAnsi="Times New Roman" w:cs="Times New Roman"/>
                <w:iCs/>
                <w:sz w:val="20"/>
                <w:szCs w:val="20"/>
              </w:rPr>
              <w:t>y/y growth, %</w:t>
            </w:r>
          </w:p>
        </w:tc>
        <w:tc>
          <w:tcPr>
            <w:tcW w:w="448" w:type="dxa"/>
            <w:tcBorders>
              <w:top w:val="single" w:sz="4" w:space="0" w:color="auto"/>
              <w:bottom w:val="single" w:sz="4" w:space="0" w:color="auto"/>
            </w:tcBorders>
            <w:textDirection w:val="btLr"/>
            <w:vAlign w:val="bottom"/>
          </w:tcPr>
          <w:p w14:paraId="6E6B8AF6" w14:textId="77777777" w:rsidR="00EE0186" w:rsidRPr="003B459D" w:rsidRDefault="00EE0186" w:rsidP="001B1AA6">
            <w:pPr>
              <w:spacing w:before="20" w:after="20"/>
              <w:ind w:left="113" w:right="113"/>
              <w:rPr>
                <w:rFonts w:ascii="Times New Roman" w:hAnsi="Times New Roman" w:cs="Times New Roman"/>
                <w:b/>
                <w:iCs/>
                <w:sz w:val="18"/>
                <w:szCs w:val="18"/>
              </w:rPr>
            </w:pPr>
            <w:r w:rsidRPr="003B459D">
              <w:rPr>
                <w:rFonts w:ascii="Times New Roman" w:hAnsi="Times New Roman" w:cs="Times New Roman"/>
                <w:b/>
                <w:iCs/>
                <w:sz w:val="18"/>
                <w:szCs w:val="18"/>
                <w:lang w:val="hy-AM"/>
              </w:rPr>
              <w:t xml:space="preserve">Q1, </w:t>
            </w:r>
            <w:r w:rsidRPr="003B459D">
              <w:rPr>
                <w:rFonts w:ascii="Times New Roman" w:hAnsi="Times New Roman" w:cs="Times New Roman"/>
                <w:b/>
                <w:iCs/>
                <w:sz w:val="18"/>
                <w:szCs w:val="18"/>
              </w:rPr>
              <w:t>2013</w:t>
            </w:r>
          </w:p>
        </w:tc>
        <w:tc>
          <w:tcPr>
            <w:tcW w:w="449" w:type="dxa"/>
            <w:tcBorders>
              <w:top w:val="single" w:sz="4" w:space="0" w:color="auto"/>
              <w:bottom w:val="single" w:sz="4" w:space="0" w:color="auto"/>
            </w:tcBorders>
            <w:textDirection w:val="btLr"/>
            <w:vAlign w:val="bottom"/>
          </w:tcPr>
          <w:p w14:paraId="2EBEFE86" w14:textId="77777777" w:rsidR="00EE0186" w:rsidRPr="003B459D" w:rsidRDefault="00EE0186" w:rsidP="001B1AA6">
            <w:pPr>
              <w:spacing w:before="20" w:after="20"/>
              <w:ind w:left="113" w:right="113"/>
              <w:rPr>
                <w:rFonts w:ascii="Times New Roman" w:hAnsi="Times New Roman" w:cs="Times New Roman"/>
                <w:b/>
                <w:iCs/>
                <w:sz w:val="18"/>
                <w:szCs w:val="18"/>
                <w:lang w:val="hy-AM"/>
              </w:rPr>
            </w:pPr>
            <w:r w:rsidRPr="003B459D">
              <w:rPr>
                <w:rFonts w:ascii="Times New Roman" w:hAnsi="Times New Roman" w:cs="Times New Roman"/>
                <w:b/>
                <w:iCs/>
                <w:sz w:val="18"/>
                <w:szCs w:val="18"/>
                <w:lang w:val="hy-AM"/>
              </w:rPr>
              <w:t>Q2</w:t>
            </w:r>
          </w:p>
        </w:tc>
        <w:tc>
          <w:tcPr>
            <w:tcW w:w="448" w:type="dxa"/>
            <w:tcBorders>
              <w:top w:val="single" w:sz="4" w:space="0" w:color="auto"/>
              <w:bottom w:val="single" w:sz="4" w:space="0" w:color="auto"/>
            </w:tcBorders>
            <w:textDirection w:val="btLr"/>
            <w:vAlign w:val="bottom"/>
          </w:tcPr>
          <w:p w14:paraId="70371798" w14:textId="77777777" w:rsidR="00EE0186" w:rsidRPr="003B459D" w:rsidRDefault="00EE0186" w:rsidP="001B1AA6">
            <w:pPr>
              <w:spacing w:before="20" w:after="20"/>
              <w:ind w:left="113" w:right="113"/>
              <w:rPr>
                <w:rFonts w:ascii="Times New Roman" w:hAnsi="Times New Roman" w:cs="Times New Roman"/>
                <w:b/>
                <w:iCs/>
                <w:sz w:val="18"/>
                <w:szCs w:val="18"/>
                <w:lang w:val="hy-AM"/>
              </w:rPr>
            </w:pPr>
            <w:r w:rsidRPr="003B459D">
              <w:rPr>
                <w:rFonts w:ascii="Times New Roman" w:hAnsi="Times New Roman" w:cs="Times New Roman"/>
                <w:b/>
                <w:iCs/>
                <w:sz w:val="18"/>
                <w:szCs w:val="18"/>
                <w:lang w:val="hy-AM"/>
              </w:rPr>
              <w:t>Q3</w:t>
            </w:r>
          </w:p>
        </w:tc>
        <w:tc>
          <w:tcPr>
            <w:tcW w:w="449" w:type="dxa"/>
            <w:tcBorders>
              <w:top w:val="single" w:sz="4" w:space="0" w:color="auto"/>
              <w:bottom w:val="single" w:sz="4" w:space="0" w:color="auto"/>
            </w:tcBorders>
            <w:textDirection w:val="btLr"/>
            <w:vAlign w:val="bottom"/>
          </w:tcPr>
          <w:p w14:paraId="0C9115E9" w14:textId="77777777" w:rsidR="00EE0186" w:rsidRPr="003B459D" w:rsidRDefault="00EE0186" w:rsidP="001B1AA6">
            <w:pPr>
              <w:spacing w:before="20" w:after="20"/>
              <w:ind w:left="113" w:right="113"/>
              <w:rPr>
                <w:rFonts w:ascii="Times New Roman" w:hAnsi="Times New Roman" w:cs="Times New Roman"/>
                <w:b/>
                <w:iCs/>
                <w:sz w:val="18"/>
                <w:szCs w:val="18"/>
                <w:lang w:val="hy-AM"/>
              </w:rPr>
            </w:pPr>
            <w:r w:rsidRPr="003B459D">
              <w:rPr>
                <w:rFonts w:ascii="Times New Roman" w:hAnsi="Times New Roman" w:cs="Times New Roman"/>
                <w:b/>
                <w:iCs/>
                <w:sz w:val="18"/>
                <w:szCs w:val="18"/>
                <w:lang w:val="hy-AM"/>
              </w:rPr>
              <w:t>Q4</w:t>
            </w:r>
          </w:p>
        </w:tc>
        <w:tc>
          <w:tcPr>
            <w:tcW w:w="448" w:type="dxa"/>
            <w:tcBorders>
              <w:top w:val="single" w:sz="4" w:space="0" w:color="auto"/>
              <w:bottom w:val="single" w:sz="4" w:space="0" w:color="auto"/>
            </w:tcBorders>
            <w:textDirection w:val="btLr"/>
            <w:vAlign w:val="bottom"/>
          </w:tcPr>
          <w:p w14:paraId="35025081" w14:textId="77777777" w:rsidR="00EE0186" w:rsidRPr="003B459D" w:rsidRDefault="00EE0186" w:rsidP="001B1AA6">
            <w:pPr>
              <w:spacing w:before="20" w:after="20"/>
              <w:ind w:left="113" w:right="113"/>
              <w:rPr>
                <w:rFonts w:ascii="Times New Roman" w:hAnsi="Times New Roman" w:cs="Times New Roman"/>
                <w:b/>
                <w:iCs/>
                <w:sz w:val="18"/>
                <w:szCs w:val="18"/>
              </w:rPr>
            </w:pPr>
            <w:r w:rsidRPr="003B459D">
              <w:rPr>
                <w:rFonts w:ascii="Times New Roman" w:hAnsi="Times New Roman" w:cs="Times New Roman"/>
                <w:b/>
                <w:iCs/>
                <w:sz w:val="18"/>
                <w:szCs w:val="18"/>
                <w:lang w:val="hy-AM"/>
              </w:rPr>
              <w:t xml:space="preserve">Q1, </w:t>
            </w:r>
            <w:r w:rsidRPr="003B459D">
              <w:rPr>
                <w:rFonts w:ascii="Times New Roman" w:hAnsi="Times New Roman" w:cs="Times New Roman"/>
                <w:b/>
                <w:iCs/>
                <w:sz w:val="18"/>
                <w:szCs w:val="18"/>
              </w:rPr>
              <w:t>2014</w:t>
            </w:r>
          </w:p>
        </w:tc>
        <w:tc>
          <w:tcPr>
            <w:tcW w:w="449" w:type="dxa"/>
            <w:tcBorders>
              <w:top w:val="single" w:sz="4" w:space="0" w:color="auto"/>
              <w:bottom w:val="single" w:sz="4" w:space="0" w:color="auto"/>
            </w:tcBorders>
            <w:textDirection w:val="btLr"/>
            <w:vAlign w:val="bottom"/>
          </w:tcPr>
          <w:p w14:paraId="34D73BEE" w14:textId="77777777" w:rsidR="00EE0186" w:rsidRPr="003B459D" w:rsidRDefault="00EE0186" w:rsidP="001B1AA6">
            <w:pPr>
              <w:spacing w:before="20" w:after="20"/>
              <w:ind w:left="113" w:right="113"/>
              <w:rPr>
                <w:rFonts w:ascii="Times New Roman" w:hAnsi="Times New Roman" w:cs="Times New Roman"/>
                <w:b/>
                <w:iCs/>
                <w:sz w:val="18"/>
                <w:szCs w:val="18"/>
                <w:lang w:val="hy-AM"/>
              </w:rPr>
            </w:pPr>
            <w:r w:rsidRPr="003B459D">
              <w:rPr>
                <w:rFonts w:ascii="Times New Roman" w:hAnsi="Times New Roman" w:cs="Times New Roman"/>
                <w:b/>
                <w:iCs/>
                <w:sz w:val="18"/>
                <w:szCs w:val="18"/>
                <w:lang w:val="hy-AM"/>
              </w:rPr>
              <w:t>Q2</w:t>
            </w:r>
          </w:p>
        </w:tc>
        <w:tc>
          <w:tcPr>
            <w:tcW w:w="449" w:type="dxa"/>
            <w:tcBorders>
              <w:top w:val="single" w:sz="4" w:space="0" w:color="auto"/>
              <w:bottom w:val="single" w:sz="4" w:space="0" w:color="auto"/>
            </w:tcBorders>
            <w:textDirection w:val="btLr"/>
            <w:vAlign w:val="bottom"/>
          </w:tcPr>
          <w:p w14:paraId="4022F5D9" w14:textId="77777777" w:rsidR="00EE0186" w:rsidRPr="003B459D" w:rsidRDefault="00EE0186" w:rsidP="001B1AA6">
            <w:pPr>
              <w:spacing w:before="20" w:after="20"/>
              <w:ind w:left="113" w:right="113"/>
              <w:rPr>
                <w:rFonts w:ascii="Times New Roman" w:hAnsi="Times New Roman" w:cs="Times New Roman"/>
                <w:b/>
                <w:iCs/>
                <w:sz w:val="18"/>
                <w:szCs w:val="18"/>
                <w:lang w:val="hy-AM"/>
              </w:rPr>
            </w:pPr>
            <w:r w:rsidRPr="003B459D">
              <w:rPr>
                <w:rFonts w:ascii="Times New Roman" w:hAnsi="Times New Roman" w:cs="Times New Roman"/>
                <w:b/>
                <w:iCs/>
                <w:sz w:val="18"/>
                <w:szCs w:val="18"/>
                <w:lang w:val="hy-AM"/>
              </w:rPr>
              <w:t>Q3</w:t>
            </w:r>
          </w:p>
        </w:tc>
        <w:tc>
          <w:tcPr>
            <w:tcW w:w="587" w:type="dxa"/>
            <w:tcBorders>
              <w:top w:val="single" w:sz="4" w:space="0" w:color="auto"/>
              <w:bottom w:val="single" w:sz="4" w:space="0" w:color="auto"/>
            </w:tcBorders>
            <w:textDirection w:val="btLr"/>
            <w:vAlign w:val="bottom"/>
          </w:tcPr>
          <w:p w14:paraId="183E5E40" w14:textId="77777777" w:rsidR="00EE0186" w:rsidRPr="003B459D" w:rsidRDefault="00EE0186" w:rsidP="001B1AA6">
            <w:pPr>
              <w:spacing w:before="20" w:after="20"/>
              <w:ind w:left="113" w:right="113"/>
              <w:rPr>
                <w:rFonts w:ascii="Times New Roman" w:hAnsi="Times New Roman" w:cs="Times New Roman"/>
                <w:b/>
                <w:iCs/>
                <w:sz w:val="18"/>
                <w:szCs w:val="18"/>
              </w:rPr>
            </w:pPr>
            <w:r w:rsidRPr="003B459D">
              <w:rPr>
                <w:rFonts w:ascii="Times New Roman" w:hAnsi="Times New Roman" w:cs="Times New Roman"/>
                <w:b/>
                <w:iCs/>
                <w:sz w:val="18"/>
                <w:szCs w:val="18"/>
              </w:rPr>
              <w:t>Q4</w:t>
            </w:r>
          </w:p>
        </w:tc>
      </w:tr>
      <w:tr w:rsidR="00EE0186" w:rsidRPr="003B459D" w14:paraId="3674667A" w14:textId="77777777" w:rsidTr="001B1AA6">
        <w:trPr>
          <w:trHeight w:val="20"/>
        </w:trPr>
        <w:tc>
          <w:tcPr>
            <w:tcW w:w="2562" w:type="dxa"/>
            <w:tcBorders>
              <w:top w:val="single" w:sz="4" w:space="0" w:color="auto"/>
              <w:bottom w:val="dashed" w:sz="4" w:space="0" w:color="auto"/>
            </w:tcBorders>
            <w:shd w:val="clear" w:color="auto" w:fill="auto"/>
            <w:vAlign w:val="bottom"/>
          </w:tcPr>
          <w:p w14:paraId="7989CAFF" w14:textId="77777777" w:rsidR="00EE0186" w:rsidRPr="003B459D" w:rsidRDefault="00EE0186" w:rsidP="001B1AA6">
            <w:pPr>
              <w:spacing w:before="60" w:after="40"/>
              <w:rPr>
                <w:rFonts w:ascii="Times New Roman" w:hAnsi="Times New Roman" w:cs="Times New Roman"/>
                <w:iCs/>
                <w:sz w:val="20"/>
                <w:szCs w:val="20"/>
              </w:rPr>
            </w:pPr>
            <w:r w:rsidRPr="003B459D">
              <w:rPr>
                <w:rFonts w:ascii="Times New Roman" w:hAnsi="Times New Roman" w:cs="Times New Roman"/>
                <w:sz w:val="20"/>
                <w:szCs w:val="20"/>
              </w:rPr>
              <w:t>Real effective exchange rate</w:t>
            </w:r>
            <w:r w:rsidRPr="003B459D">
              <w:rPr>
                <w:rFonts w:ascii="Times New Roman" w:hAnsi="Times New Roman" w:cs="Times New Roman"/>
                <w:iCs/>
                <w:sz w:val="20"/>
                <w:szCs w:val="20"/>
              </w:rPr>
              <w:t xml:space="preserve">                            (+ means appreciation)</w:t>
            </w:r>
          </w:p>
        </w:tc>
        <w:tc>
          <w:tcPr>
            <w:tcW w:w="448" w:type="dxa"/>
            <w:tcBorders>
              <w:top w:val="single" w:sz="4" w:space="0" w:color="auto"/>
              <w:bottom w:val="dashed" w:sz="4" w:space="0" w:color="auto"/>
            </w:tcBorders>
            <w:vAlign w:val="bottom"/>
          </w:tcPr>
          <w:p w14:paraId="363D861C"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-6.4</w:t>
            </w:r>
          </w:p>
        </w:tc>
        <w:tc>
          <w:tcPr>
            <w:tcW w:w="449" w:type="dxa"/>
            <w:tcBorders>
              <w:top w:val="single" w:sz="4" w:space="0" w:color="auto"/>
              <w:bottom w:val="dashed" w:sz="4" w:space="0" w:color="auto"/>
            </w:tcBorders>
            <w:vAlign w:val="bottom"/>
          </w:tcPr>
          <w:p w14:paraId="714EA22E"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-1.6</w:t>
            </w:r>
          </w:p>
        </w:tc>
        <w:tc>
          <w:tcPr>
            <w:tcW w:w="448" w:type="dxa"/>
            <w:tcBorders>
              <w:top w:val="single" w:sz="4" w:space="0" w:color="auto"/>
              <w:bottom w:val="dashed" w:sz="4" w:space="0" w:color="auto"/>
            </w:tcBorders>
            <w:vAlign w:val="bottom"/>
          </w:tcPr>
          <w:p w14:paraId="70B0BFE2"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7.9</w:t>
            </w:r>
          </w:p>
        </w:tc>
        <w:tc>
          <w:tcPr>
            <w:tcW w:w="449" w:type="dxa"/>
            <w:tcBorders>
              <w:top w:val="single" w:sz="4" w:space="0" w:color="auto"/>
              <w:bottom w:val="dashed" w:sz="4" w:space="0" w:color="auto"/>
            </w:tcBorders>
            <w:vAlign w:val="bottom"/>
          </w:tcPr>
          <w:p w14:paraId="47BE4700"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6.8</w:t>
            </w:r>
          </w:p>
        </w:tc>
        <w:tc>
          <w:tcPr>
            <w:tcW w:w="448" w:type="dxa"/>
            <w:tcBorders>
              <w:top w:val="single" w:sz="4" w:space="0" w:color="auto"/>
              <w:bottom w:val="dashed" w:sz="4" w:space="0" w:color="auto"/>
            </w:tcBorders>
            <w:vAlign w:val="bottom"/>
          </w:tcPr>
          <w:p w14:paraId="69B69540"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8.5</w:t>
            </w:r>
          </w:p>
        </w:tc>
        <w:tc>
          <w:tcPr>
            <w:tcW w:w="449" w:type="dxa"/>
            <w:tcBorders>
              <w:top w:val="single" w:sz="4" w:space="0" w:color="auto"/>
              <w:bottom w:val="dashed" w:sz="4" w:space="0" w:color="auto"/>
            </w:tcBorders>
            <w:vAlign w:val="bottom"/>
          </w:tcPr>
          <w:p w14:paraId="1C88B8AE"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7.9</w:t>
            </w:r>
          </w:p>
        </w:tc>
        <w:tc>
          <w:tcPr>
            <w:tcW w:w="449" w:type="dxa"/>
            <w:tcBorders>
              <w:top w:val="single" w:sz="4" w:space="0" w:color="auto"/>
              <w:bottom w:val="dashed" w:sz="4" w:space="0" w:color="auto"/>
            </w:tcBorders>
            <w:vAlign w:val="bottom"/>
          </w:tcPr>
          <w:p w14:paraId="4421AB6D"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3.1</w:t>
            </w:r>
          </w:p>
        </w:tc>
        <w:tc>
          <w:tcPr>
            <w:tcW w:w="587" w:type="dxa"/>
            <w:tcBorders>
              <w:top w:val="single" w:sz="4" w:space="0" w:color="auto"/>
              <w:bottom w:val="dashed" w:sz="4" w:space="0" w:color="auto"/>
            </w:tcBorders>
            <w:vAlign w:val="bottom"/>
          </w:tcPr>
          <w:p w14:paraId="5ABA419F"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9.3</w:t>
            </w:r>
          </w:p>
        </w:tc>
      </w:tr>
      <w:tr w:rsidR="00EE0186" w:rsidRPr="003B459D" w14:paraId="6D336848" w14:textId="77777777" w:rsidTr="001B1AA6">
        <w:trPr>
          <w:trHeight w:val="20"/>
        </w:trPr>
        <w:tc>
          <w:tcPr>
            <w:tcW w:w="2562" w:type="dxa"/>
            <w:tcBorders>
              <w:top w:val="dashed" w:sz="4" w:space="0" w:color="auto"/>
            </w:tcBorders>
            <w:shd w:val="clear" w:color="auto" w:fill="auto"/>
            <w:vAlign w:val="bottom"/>
          </w:tcPr>
          <w:p w14:paraId="2A8C1782" w14:textId="77777777" w:rsidR="00EE0186" w:rsidRPr="003B459D" w:rsidRDefault="00EE0186" w:rsidP="001B1AA6">
            <w:pPr>
              <w:spacing w:before="60" w:after="40"/>
              <w:rPr>
                <w:rFonts w:ascii="Times New Roman" w:hAnsi="Times New Roman" w:cs="Times New Roman"/>
                <w:iCs/>
                <w:sz w:val="20"/>
                <w:szCs w:val="20"/>
              </w:rPr>
            </w:pPr>
            <w:r w:rsidRPr="003B459D">
              <w:rPr>
                <w:rFonts w:ascii="Times New Roman" w:hAnsi="Times New Roman" w:cs="Times New Roman"/>
                <w:sz w:val="20"/>
                <w:szCs w:val="20"/>
              </w:rPr>
              <w:t>Average inflation in Armenia</w:t>
            </w:r>
          </w:p>
        </w:tc>
        <w:tc>
          <w:tcPr>
            <w:tcW w:w="448" w:type="dxa"/>
            <w:tcBorders>
              <w:top w:val="dashed" w:sz="4" w:space="0" w:color="auto"/>
            </w:tcBorders>
            <w:vAlign w:val="bottom"/>
          </w:tcPr>
          <w:p w14:paraId="5B6EB11D"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3.0</w:t>
            </w:r>
          </w:p>
        </w:tc>
        <w:tc>
          <w:tcPr>
            <w:tcW w:w="449" w:type="dxa"/>
            <w:tcBorders>
              <w:top w:val="dashed" w:sz="4" w:space="0" w:color="auto"/>
            </w:tcBorders>
            <w:vAlign w:val="bottom"/>
          </w:tcPr>
          <w:p w14:paraId="408D8C0A"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5.2</w:t>
            </w:r>
          </w:p>
        </w:tc>
        <w:tc>
          <w:tcPr>
            <w:tcW w:w="448" w:type="dxa"/>
            <w:tcBorders>
              <w:top w:val="dashed" w:sz="4" w:space="0" w:color="auto"/>
            </w:tcBorders>
            <w:vAlign w:val="bottom"/>
          </w:tcPr>
          <w:p w14:paraId="114221B2"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8.7</w:t>
            </w:r>
          </w:p>
        </w:tc>
        <w:tc>
          <w:tcPr>
            <w:tcW w:w="449" w:type="dxa"/>
            <w:tcBorders>
              <w:top w:val="dashed" w:sz="4" w:space="0" w:color="auto"/>
            </w:tcBorders>
            <w:vAlign w:val="bottom"/>
          </w:tcPr>
          <w:p w14:paraId="311356C6"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6.4</w:t>
            </w:r>
          </w:p>
        </w:tc>
        <w:tc>
          <w:tcPr>
            <w:tcW w:w="448" w:type="dxa"/>
            <w:tcBorders>
              <w:top w:val="dashed" w:sz="4" w:space="0" w:color="auto"/>
            </w:tcBorders>
            <w:vAlign w:val="bottom"/>
          </w:tcPr>
          <w:p w14:paraId="4DF4AABE"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4.6</w:t>
            </w:r>
          </w:p>
        </w:tc>
        <w:tc>
          <w:tcPr>
            <w:tcW w:w="449" w:type="dxa"/>
            <w:tcBorders>
              <w:top w:val="dashed" w:sz="4" w:space="0" w:color="auto"/>
            </w:tcBorders>
            <w:vAlign w:val="bottom"/>
          </w:tcPr>
          <w:p w14:paraId="3E47196F"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3.3</w:t>
            </w:r>
          </w:p>
        </w:tc>
        <w:tc>
          <w:tcPr>
            <w:tcW w:w="449" w:type="dxa"/>
            <w:tcBorders>
              <w:top w:val="dashed" w:sz="4" w:space="0" w:color="auto"/>
            </w:tcBorders>
            <w:vAlign w:val="bottom"/>
          </w:tcPr>
          <w:p w14:paraId="48A78C11"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1.0</w:t>
            </w:r>
          </w:p>
        </w:tc>
        <w:tc>
          <w:tcPr>
            <w:tcW w:w="587" w:type="dxa"/>
            <w:tcBorders>
              <w:top w:val="dashed" w:sz="4" w:space="0" w:color="auto"/>
            </w:tcBorders>
            <w:vAlign w:val="bottom"/>
          </w:tcPr>
          <w:p w14:paraId="5EB552B9"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3.2</w:t>
            </w:r>
          </w:p>
        </w:tc>
      </w:tr>
      <w:tr w:rsidR="00EE0186" w:rsidRPr="003B459D" w14:paraId="333CFFAE" w14:textId="77777777" w:rsidTr="001B1AA6">
        <w:trPr>
          <w:trHeight w:val="20"/>
        </w:trPr>
        <w:tc>
          <w:tcPr>
            <w:tcW w:w="2562" w:type="dxa"/>
            <w:shd w:val="clear" w:color="auto" w:fill="auto"/>
            <w:vAlign w:val="bottom"/>
          </w:tcPr>
          <w:p w14:paraId="683493A1" w14:textId="77777777" w:rsidR="00EE0186" w:rsidRPr="003B459D" w:rsidRDefault="00EE0186" w:rsidP="001B1AA6">
            <w:pPr>
              <w:spacing w:before="40" w:after="40"/>
              <w:rPr>
                <w:rFonts w:ascii="Times New Roman" w:hAnsi="Times New Roman" w:cs="Times New Roman"/>
                <w:i/>
                <w:iCs/>
                <w:sz w:val="20"/>
                <w:szCs w:val="20"/>
              </w:rPr>
            </w:pPr>
            <w:r w:rsidRPr="003B459D">
              <w:rPr>
                <w:rFonts w:ascii="Times New Roman" w:hAnsi="Times New Roman" w:cs="Times New Roman"/>
                <w:i/>
                <w:iCs/>
                <w:sz w:val="20"/>
                <w:szCs w:val="20"/>
              </w:rPr>
              <w:t>AMD/USD average nominal exchange rate (+ means appreciation)</w:t>
            </w:r>
          </w:p>
        </w:tc>
        <w:tc>
          <w:tcPr>
            <w:tcW w:w="448" w:type="dxa"/>
            <w:vAlign w:val="bottom"/>
          </w:tcPr>
          <w:p w14:paraId="441082E5"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-5.1</w:t>
            </w:r>
          </w:p>
        </w:tc>
        <w:tc>
          <w:tcPr>
            <w:tcW w:w="449" w:type="dxa"/>
            <w:vAlign w:val="bottom"/>
          </w:tcPr>
          <w:p w14:paraId="487A6B40"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-3.3</w:t>
            </w:r>
          </w:p>
        </w:tc>
        <w:tc>
          <w:tcPr>
            <w:tcW w:w="448" w:type="dxa"/>
            <w:vAlign w:val="bottom"/>
          </w:tcPr>
          <w:p w14:paraId="1B714AD9"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0.5</w:t>
            </w:r>
          </w:p>
        </w:tc>
        <w:tc>
          <w:tcPr>
            <w:tcW w:w="449" w:type="dxa"/>
            <w:vAlign w:val="bottom"/>
          </w:tcPr>
          <w:p w14:paraId="64511D14"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0.2</w:t>
            </w:r>
          </w:p>
        </w:tc>
        <w:tc>
          <w:tcPr>
            <w:tcW w:w="448" w:type="dxa"/>
            <w:vAlign w:val="bottom"/>
          </w:tcPr>
          <w:p w14:paraId="16D57597"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-0.4</w:t>
            </w:r>
          </w:p>
        </w:tc>
        <w:tc>
          <w:tcPr>
            <w:tcW w:w="449" w:type="dxa"/>
            <w:vAlign w:val="bottom"/>
          </w:tcPr>
          <w:p w14:paraId="160CD5DC"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0.5</w:t>
            </w:r>
          </w:p>
        </w:tc>
        <w:tc>
          <w:tcPr>
            <w:tcW w:w="449" w:type="dxa"/>
            <w:vAlign w:val="bottom"/>
          </w:tcPr>
          <w:p w14:paraId="05750EA6"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0.0</w:t>
            </w:r>
          </w:p>
        </w:tc>
        <w:tc>
          <w:tcPr>
            <w:tcW w:w="587" w:type="dxa"/>
            <w:vAlign w:val="bottom"/>
          </w:tcPr>
          <w:p w14:paraId="76BFB2D8"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-6.0</w:t>
            </w:r>
          </w:p>
        </w:tc>
      </w:tr>
      <w:tr w:rsidR="00EE0186" w:rsidRPr="003B459D" w14:paraId="10FEDC46" w14:textId="77777777" w:rsidTr="001B1AA6">
        <w:trPr>
          <w:trHeight w:val="20"/>
        </w:trPr>
        <w:tc>
          <w:tcPr>
            <w:tcW w:w="2562" w:type="dxa"/>
            <w:shd w:val="clear" w:color="auto" w:fill="auto"/>
            <w:vAlign w:val="bottom"/>
          </w:tcPr>
          <w:p w14:paraId="46298FC0" w14:textId="77777777" w:rsidR="00EE0186" w:rsidRPr="003B459D" w:rsidRDefault="00EE0186" w:rsidP="001B1AA6">
            <w:pPr>
              <w:spacing w:before="40" w:after="40"/>
              <w:rPr>
                <w:rFonts w:ascii="Times New Roman" w:hAnsi="Times New Roman" w:cs="Times New Roman"/>
                <w:i/>
                <w:iCs/>
                <w:sz w:val="20"/>
                <w:szCs w:val="20"/>
              </w:rPr>
            </w:pPr>
            <w:r w:rsidRPr="003B459D">
              <w:rPr>
                <w:rFonts w:ascii="Times New Roman" w:hAnsi="Times New Roman" w:cs="Times New Roman"/>
                <w:sz w:val="20"/>
                <w:szCs w:val="20"/>
              </w:rPr>
              <w:t>Average weighted inflation in trade partner countries</w:t>
            </w:r>
          </w:p>
        </w:tc>
        <w:tc>
          <w:tcPr>
            <w:tcW w:w="448" w:type="dxa"/>
            <w:vAlign w:val="bottom"/>
          </w:tcPr>
          <w:p w14:paraId="437C94E9"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4.5</w:t>
            </w:r>
          </w:p>
        </w:tc>
        <w:tc>
          <w:tcPr>
            <w:tcW w:w="449" w:type="dxa"/>
            <w:vAlign w:val="bottom"/>
          </w:tcPr>
          <w:p w14:paraId="1D699885"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4.4</w:t>
            </w:r>
          </w:p>
        </w:tc>
        <w:tc>
          <w:tcPr>
            <w:tcW w:w="448" w:type="dxa"/>
            <w:vAlign w:val="bottom"/>
          </w:tcPr>
          <w:p w14:paraId="770CF30A"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4.3</w:t>
            </w:r>
          </w:p>
        </w:tc>
        <w:tc>
          <w:tcPr>
            <w:tcW w:w="449" w:type="dxa"/>
            <w:vAlign w:val="bottom"/>
          </w:tcPr>
          <w:p w14:paraId="46D4C6D6"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4.0</w:t>
            </w:r>
          </w:p>
        </w:tc>
        <w:tc>
          <w:tcPr>
            <w:tcW w:w="448" w:type="dxa"/>
            <w:vAlign w:val="bottom"/>
          </w:tcPr>
          <w:p w14:paraId="6BDCD17D"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3.7</w:t>
            </w:r>
          </w:p>
        </w:tc>
        <w:tc>
          <w:tcPr>
            <w:tcW w:w="449" w:type="dxa"/>
            <w:vAlign w:val="bottom"/>
          </w:tcPr>
          <w:p w14:paraId="115D88C5"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4.4</w:t>
            </w:r>
          </w:p>
        </w:tc>
        <w:tc>
          <w:tcPr>
            <w:tcW w:w="449" w:type="dxa"/>
            <w:vAlign w:val="bottom"/>
          </w:tcPr>
          <w:p w14:paraId="4C54B7D2"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4.6</w:t>
            </w:r>
          </w:p>
        </w:tc>
        <w:tc>
          <w:tcPr>
            <w:tcW w:w="587" w:type="dxa"/>
            <w:vAlign w:val="bottom"/>
          </w:tcPr>
          <w:p w14:paraId="691CCD5A"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5.1</w:t>
            </w:r>
          </w:p>
        </w:tc>
      </w:tr>
      <w:tr w:rsidR="00EE0186" w:rsidRPr="003B459D" w14:paraId="64996FF1" w14:textId="77777777" w:rsidTr="001B1AA6">
        <w:trPr>
          <w:trHeight w:val="20"/>
        </w:trPr>
        <w:tc>
          <w:tcPr>
            <w:tcW w:w="2562" w:type="dxa"/>
            <w:shd w:val="clear" w:color="auto" w:fill="auto"/>
            <w:vAlign w:val="bottom"/>
          </w:tcPr>
          <w:p w14:paraId="1C553675" w14:textId="77777777" w:rsidR="00EE0186" w:rsidRPr="003B459D" w:rsidRDefault="00EE0186" w:rsidP="001B1AA6">
            <w:pPr>
              <w:spacing w:before="40" w:after="40"/>
              <w:rPr>
                <w:rFonts w:ascii="Times New Roman" w:hAnsi="Times New Roman" w:cs="Times New Roman"/>
                <w:i/>
                <w:iCs/>
                <w:sz w:val="20"/>
                <w:szCs w:val="20"/>
              </w:rPr>
            </w:pPr>
            <w:r w:rsidRPr="003B459D">
              <w:rPr>
                <w:rFonts w:ascii="Times New Roman" w:hAnsi="Times New Roman" w:cs="Times New Roman"/>
                <w:sz w:val="20"/>
                <w:szCs w:val="20"/>
              </w:rPr>
              <w:t xml:space="preserve">Trade partner countries’ average weighted nominal exchange rate </w:t>
            </w:r>
            <w:r w:rsidRPr="003B459D">
              <w:rPr>
                <w:rFonts w:ascii="Times New Roman" w:hAnsi="Times New Roman" w:cs="Times New Roman"/>
                <w:iCs/>
                <w:sz w:val="20"/>
                <w:szCs w:val="20"/>
              </w:rPr>
              <w:t>(+ means appreciation versus dollar)</w:t>
            </w:r>
          </w:p>
        </w:tc>
        <w:tc>
          <w:tcPr>
            <w:tcW w:w="448" w:type="dxa"/>
            <w:vAlign w:val="bottom"/>
          </w:tcPr>
          <w:p w14:paraId="0C16F5DB"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-0.4</w:t>
            </w:r>
          </w:p>
        </w:tc>
        <w:tc>
          <w:tcPr>
            <w:tcW w:w="449" w:type="dxa"/>
            <w:vAlign w:val="bottom"/>
          </w:tcPr>
          <w:p w14:paraId="67E293BE"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-1.1</w:t>
            </w:r>
          </w:p>
        </w:tc>
        <w:tc>
          <w:tcPr>
            <w:tcW w:w="448" w:type="dxa"/>
            <w:vAlign w:val="bottom"/>
          </w:tcPr>
          <w:p w14:paraId="7A4AE146"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-3.2</w:t>
            </w:r>
          </w:p>
        </w:tc>
        <w:tc>
          <w:tcPr>
            <w:tcW w:w="449" w:type="dxa"/>
            <w:vAlign w:val="bottom"/>
          </w:tcPr>
          <w:p w14:paraId="25B120EF"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-4.3</w:t>
            </w:r>
          </w:p>
        </w:tc>
        <w:tc>
          <w:tcPr>
            <w:tcW w:w="448" w:type="dxa"/>
            <w:vAlign w:val="bottom"/>
          </w:tcPr>
          <w:p w14:paraId="174936E3"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-8.0</w:t>
            </w:r>
          </w:p>
        </w:tc>
        <w:tc>
          <w:tcPr>
            <w:tcW w:w="449" w:type="dxa"/>
            <w:vAlign w:val="bottom"/>
          </w:tcPr>
          <w:p w14:paraId="6ECB4F92"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-8.7</w:t>
            </w:r>
          </w:p>
        </w:tc>
        <w:tc>
          <w:tcPr>
            <w:tcW w:w="449" w:type="dxa"/>
            <w:vAlign w:val="bottom"/>
          </w:tcPr>
          <w:p w14:paraId="08B87B38"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-7.0</w:t>
            </w:r>
          </w:p>
        </w:tc>
        <w:tc>
          <w:tcPr>
            <w:tcW w:w="587" w:type="dxa"/>
            <w:vAlign w:val="bottom"/>
          </w:tcPr>
          <w:p w14:paraId="285BCB78" w14:textId="77777777" w:rsidR="00EE0186" w:rsidRPr="003B459D" w:rsidRDefault="00EE0186" w:rsidP="001B1AA6">
            <w:pPr>
              <w:spacing w:before="60" w:after="60"/>
              <w:jc w:val="right"/>
              <w:rPr>
                <w:rFonts w:ascii="Times New Roman" w:hAnsi="Times New Roman" w:cs="Times New Roman"/>
                <w:iCs/>
                <w:sz w:val="20"/>
                <w:szCs w:val="20"/>
              </w:rPr>
            </w:pPr>
            <w:r w:rsidRPr="003B459D">
              <w:rPr>
                <w:rFonts w:ascii="Times New Roman" w:hAnsi="Times New Roman" w:cs="Times New Roman"/>
                <w:iCs/>
                <w:sz w:val="20"/>
                <w:szCs w:val="20"/>
              </w:rPr>
              <w:t>-18.7</w:t>
            </w:r>
          </w:p>
        </w:tc>
      </w:tr>
    </w:tbl>
    <w:p w14:paraId="6D6856FA" w14:textId="77777777" w:rsidR="003B459D" w:rsidRDefault="003B459D" w:rsidP="006A4AE5">
      <w:pPr>
        <w:spacing w:line="360" w:lineRule="auto"/>
        <w:jc w:val="both"/>
        <w:rPr>
          <w:rFonts w:ascii="Times New Roman" w:hAnsi="Times New Roman" w:cs="Times New Roman"/>
          <w:i/>
          <w:sz w:val="20"/>
          <w:szCs w:val="20"/>
        </w:rPr>
      </w:pPr>
    </w:p>
    <w:p w14:paraId="56DD9A46" w14:textId="77777777" w:rsidR="006A4AE5" w:rsidRPr="00EE0186" w:rsidRDefault="006A4AE5" w:rsidP="006A4AE5">
      <w:pPr>
        <w:spacing w:line="360" w:lineRule="auto"/>
        <w:jc w:val="both"/>
        <w:rPr>
          <w:rFonts w:ascii="Times New Roman" w:hAnsi="Times New Roman" w:cs="Times New Roman"/>
          <w:sz w:val="20"/>
          <w:szCs w:val="20"/>
        </w:rPr>
      </w:pPr>
      <w:r w:rsidRPr="00EE0186">
        <w:rPr>
          <w:rFonts w:ascii="Times New Roman" w:hAnsi="Times New Roman" w:cs="Times New Roman"/>
          <w:i/>
          <w:sz w:val="20"/>
          <w:szCs w:val="20"/>
        </w:rPr>
        <w:t>Real exchange rate appreciation = Inflation in Armenia + Nomina</w:t>
      </w:r>
      <w:r w:rsidR="00EE0186" w:rsidRPr="00EE0186">
        <w:rPr>
          <w:rFonts w:ascii="Times New Roman" w:hAnsi="Times New Roman" w:cs="Times New Roman"/>
          <w:i/>
          <w:sz w:val="20"/>
          <w:szCs w:val="20"/>
        </w:rPr>
        <w:t>l exchange rate appreciation – Trade p</w:t>
      </w:r>
      <w:r w:rsidRPr="00EE0186">
        <w:rPr>
          <w:rFonts w:ascii="Times New Roman" w:hAnsi="Times New Roman" w:cs="Times New Roman"/>
          <w:i/>
          <w:sz w:val="20"/>
          <w:szCs w:val="20"/>
        </w:rPr>
        <w:t>artner countries</w:t>
      </w:r>
      <w:r w:rsidR="00EE0186" w:rsidRPr="00EE0186">
        <w:rPr>
          <w:rFonts w:ascii="Times New Roman" w:hAnsi="Times New Roman" w:cs="Times New Roman"/>
          <w:i/>
          <w:sz w:val="20"/>
          <w:szCs w:val="20"/>
        </w:rPr>
        <w:t>’ average weighted inflation – Trade p</w:t>
      </w:r>
      <w:r w:rsidRPr="00EE0186">
        <w:rPr>
          <w:rFonts w:ascii="Times New Roman" w:hAnsi="Times New Roman" w:cs="Times New Roman"/>
          <w:i/>
          <w:sz w:val="20"/>
          <w:szCs w:val="20"/>
        </w:rPr>
        <w:t xml:space="preserve">artner countries’ average </w:t>
      </w:r>
      <w:r w:rsidR="00EE0186" w:rsidRPr="00EE0186">
        <w:rPr>
          <w:rFonts w:ascii="Times New Roman" w:hAnsi="Times New Roman" w:cs="Times New Roman"/>
          <w:i/>
          <w:sz w:val="20"/>
          <w:szCs w:val="20"/>
        </w:rPr>
        <w:t xml:space="preserve">nominal weighted </w:t>
      </w:r>
      <w:r w:rsidRPr="00EE0186">
        <w:rPr>
          <w:rFonts w:ascii="Times New Roman" w:hAnsi="Times New Roman" w:cs="Times New Roman"/>
          <w:i/>
          <w:sz w:val="20"/>
          <w:szCs w:val="20"/>
        </w:rPr>
        <w:t>exchange rate appreciation</w:t>
      </w:r>
    </w:p>
    <w:p w14:paraId="0E74472D" w14:textId="77777777" w:rsidR="000915C1" w:rsidRPr="001376D0" w:rsidRDefault="000915C1" w:rsidP="00A9653E">
      <w:pPr>
        <w:spacing w:line="360" w:lineRule="auto"/>
        <w:jc w:val="both"/>
        <w:rPr>
          <w:rFonts w:ascii="Times New Roman" w:hAnsi="Times New Roman" w:cs="Times New Roman"/>
          <w:b/>
          <w:sz w:val="21"/>
          <w:szCs w:val="21"/>
        </w:rPr>
      </w:pPr>
      <w:r w:rsidRPr="001376D0">
        <w:rPr>
          <w:rFonts w:ascii="Times New Roman" w:hAnsi="Times New Roman" w:cs="Times New Roman"/>
          <w:b/>
          <w:sz w:val="21"/>
          <w:szCs w:val="21"/>
        </w:rPr>
        <w:t xml:space="preserve">Box </w:t>
      </w:r>
      <w:r w:rsidR="00EB32F8">
        <w:rPr>
          <w:rFonts w:ascii="Times New Roman" w:hAnsi="Times New Roman" w:cs="Times New Roman"/>
          <w:b/>
          <w:sz w:val="21"/>
          <w:szCs w:val="21"/>
        </w:rPr>
        <w:t>4</w:t>
      </w:r>
    </w:p>
    <w:p w14:paraId="1DDB315D" w14:textId="77777777" w:rsidR="00A9653E" w:rsidRPr="001376D0" w:rsidRDefault="00A9653E" w:rsidP="00A9653E">
      <w:pPr>
        <w:spacing w:line="360" w:lineRule="auto"/>
        <w:jc w:val="both"/>
        <w:rPr>
          <w:rFonts w:ascii="Times New Roman" w:hAnsi="Times New Roman" w:cs="Times New Roman"/>
          <w:b/>
          <w:sz w:val="21"/>
          <w:szCs w:val="21"/>
        </w:rPr>
      </w:pPr>
      <w:r w:rsidRPr="001376D0">
        <w:rPr>
          <w:rFonts w:ascii="Times New Roman" w:hAnsi="Times New Roman" w:cs="Times New Roman"/>
          <w:b/>
          <w:sz w:val="21"/>
          <w:szCs w:val="21"/>
        </w:rPr>
        <w:t>Foreign exchange market</w:t>
      </w:r>
    </w:p>
    <w:p w14:paraId="7D01701C" w14:textId="77777777" w:rsidR="00A9653E" w:rsidRPr="00E021BB" w:rsidRDefault="00A9653E" w:rsidP="00A9653E">
      <w:pPr>
        <w:spacing w:line="360" w:lineRule="auto"/>
        <w:jc w:val="both"/>
        <w:rPr>
          <w:rFonts w:ascii="Times New Roman" w:hAnsi="Times New Roman" w:cs="Times New Roman"/>
          <w:i/>
          <w:sz w:val="21"/>
          <w:szCs w:val="21"/>
        </w:rPr>
      </w:pPr>
      <w:r w:rsidRPr="00E021BB">
        <w:rPr>
          <w:rFonts w:ascii="Times New Roman" w:hAnsi="Times New Roman" w:cs="Times New Roman"/>
          <w:i/>
          <w:sz w:val="21"/>
          <w:szCs w:val="21"/>
        </w:rPr>
        <w:t>A</w:t>
      </w:r>
      <w:r w:rsidR="002B31B1">
        <w:rPr>
          <w:rFonts w:ascii="Times New Roman" w:hAnsi="Times New Roman" w:cs="Times New Roman"/>
          <w:i/>
          <w:sz w:val="21"/>
          <w:szCs w:val="21"/>
        </w:rPr>
        <w:t xml:space="preserve">s of </w:t>
      </w:r>
      <w:r w:rsidRPr="00E021BB">
        <w:rPr>
          <w:rFonts w:ascii="Times New Roman" w:hAnsi="Times New Roman" w:cs="Times New Roman"/>
          <w:i/>
          <w:sz w:val="21"/>
          <w:szCs w:val="21"/>
        </w:rPr>
        <w:t xml:space="preserve">end </w:t>
      </w:r>
      <w:r w:rsidR="002B31B1">
        <w:rPr>
          <w:rFonts w:ascii="Times New Roman" w:hAnsi="Times New Roman" w:cs="Times New Roman"/>
          <w:i/>
          <w:sz w:val="21"/>
          <w:szCs w:val="21"/>
        </w:rPr>
        <w:t>Q4</w:t>
      </w:r>
      <w:r w:rsidR="001376D0" w:rsidRPr="00E021BB">
        <w:rPr>
          <w:rFonts w:ascii="Times New Roman" w:hAnsi="Times New Roman" w:cs="Times New Roman"/>
          <w:i/>
          <w:sz w:val="21"/>
          <w:szCs w:val="21"/>
        </w:rPr>
        <w:t xml:space="preserve"> 2014,</w:t>
      </w:r>
      <w:r w:rsidR="001376D0" w:rsidRPr="00E021BB">
        <w:rPr>
          <w:rFonts w:ascii="Times New Roman" w:hAnsi="Times New Roman" w:cs="Times New Roman"/>
          <w:i/>
          <w:sz w:val="21"/>
          <w:szCs w:val="21"/>
          <w:lang w:val="hy-AM"/>
        </w:rPr>
        <w:t xml:space="preserve"> the</w:t>
      </w:r>
      <w:r w:rsidRPr="00E021BB">
        <w:rPr>
          <w:rFonts w:ascii="Times New Roman" w:hAnsi="Times New Roman" w:cs="Times New Roman"/>
          <w:i/>
          <w:sz w:val="21"/>
          <w:szCs w:val="21"/>
        </w:rPr>
        <w:t xml:space="preserve"> average market </w:t>
      </w:r>
      <w:r w:rsidRPr="002B31B1">
        <w:rPr>
          <w:rFonts w:ascii="Times New Roman" w:hAnsi="Times New Roman" w:cs="Times New Roman"/>
          <w:i/>
          <w:sz w:val="21"/>
          <w:szCs w:val="21"/>
        </w:rPr>
        <w:t xml:space="preserve">exchange rate of </w:t>
      </w:r>
      <w:r w:rsidR="001376D0" w:rsidRPr="002B31B1">
        <w:rPr>
          <w:rFonts w:ascii="Times New Roman" w:hAnsi="Times New Roman" w:cs="Times New Roman"/>
          <w:i/>
          <w:sz w:val="21"/>
          <w:szCs w:val="21"/>
          <w:lang w:val="hy-AM"/>
        </w:rPr>
        <w:t xml:space="preserve">AMD/USD was </w:t>
      </w:r>
      <w:r w:rsidR="001376D0" w:rsidRPr="002B31B1">
        <w:rPr>
          <w:rFonts w:ascii="Times New Roman" w:hAnsi="Times New Roman" w:cs="Times New Roman"/>
          <w:i/>
          <w:sz w:val="21"/>
          <w:szCs w:val="21"/>
        </w:rPr>
        <w:t>4</w:t>
      </w:r>
      <w:r w:rsidR="00595DC7" w:rsidRPr="002B31B1">
        <w:rPr>
          <w:rFonts w:ascii="Times New Roman" w:hAnsi="Times New Roman" w:cs="Times New Roman"/>
          <w:i/>
          <w:sz w:val="21"/>
          <w:szCs w:val="21"/>
        </w:rPr>
        <w:t>74</w:t>
      </w:r>
      <w:r w:rsidR="001376D0" w:rsidRPr="002B31B1">
        <w:rPr>
          <w:rFonts w:ascii="Times New Roman" w:hAnsi="Times New Roman" w:cs="Times New Roman"/>
          <w:i/>
          <w:sz w:val="21"/>
          <w:szCs w:val="21"/>
        </w:rPr>
        <w:t>.</w:t>
      </w:r>
      <w:r w:rsidR="00595DC7" w:rsidRPr="002B31B1">
        <w:rPr>
          <w:rFonts w:ascii="Times New Roman" w:hAnsi="Times New Roman" w:cs="Times New Roman"/>
          <w:i/>
          <w:sz w:val="21"/>
          <w:szCs w:val="21"/>
        </w:rPr>
        <w:t>97</w:t>
      </w:r>
      <w:r w:rsidR="002B31B1">
        <w:rPr>
          <w:rFonts w:ascii="Times New Roman" w:hAnsi="Times New Roman" w:cs="Times New Roman"/>
          <w:i/>
          <w:sz w:val="21"/>
          <w:szCs w:val="21"/>
        </w:rPr>
        <w:t xml:space="preserve">, </w:t>
      </w:r>
      <w:r w:rsidR="00DB3371">
        <w:rPr>
          <w:rFonts w:ascii="Times New Roman" w:hAnsi="Times New Roman" w:cs="Times New Roman"/>
          <w:i/>
          <w:sz w:val="21"/>
          <w:szCs w:val="21"/>
        </w:rPr>
        <w:t xml:space="preserve">having depreciated by </w:t>
      </w:r>
      <w:r w:rsidR="002B31B1">
        <w:rPr>
          <w:rFonts w:ascii="Times New Roman" w:hAnsi="Times New Roman" w:cs="Times New Roman"/>
          <w:i/>
          <w:sz w:val="21"/>
          <w:szCs w:val="21"/>
        </w:rPr>
        <w:t>14.8%</w:t>
      </w:r>
      <w:r w:rsidR="00DB3371">
        <w:rPr>
          <w:rFonts w:ascii="Times New Roman" w:hAnsi="Times New Roman" w:cs="Times New Roman"/>
          <w:i/>
          <w:sz w:val="21"/>
          <w:szCs w:val="21"/>
        </w:rPr>
        <w:t xml:space="preserve"> </w:t>
      </w:r>
      <w:r w:rsidR="002B31B1">
        <w:rPr>
          <w:rFonts w:ascii="Times New Roman" w:hAnsi="Times New Roman" w:cs="Times New Roman"/>
          <w:i/>
          <w:sz w:val="21"/>
          <w:szCs w:val="21"/>
        </w:rPr>
        <w:t>against the previous quarter.</w:t>
      </w:r>
    </w:p>
    <w:p w14:paraId="3B36CC45" w14:textId="77777777" w:rsidR="00A9653E" w:rsidRPr="00973D94" w:rsidRDefault="00A9653E" w:rsidP="00A9653E">
      <w:pPr>
        <w:spacing w:line="360" w:lineRule="auto"/>
        <w:jc w:val="both"/>
        <w:rPr>
          <w:rFonts w:ascii="Times New Roman" w:hAnsi="Times New Roman" w:cs="Times New Roman"/>
          <w:b/>
          <w:sz w:val="21"/>
          <w:szCs w:val="21"/>
          <w:highlight w:val="cyan"/>
        </w:rPr>
      </w:pPr>
      <w:r w:rsidRPr="00973D94">
        <w:rPr>
          <w:rFonts w:ascii="Times New Roman" w:hAnsi="Times New Roman" w:cs="Times New Roman"/>
          <w:b/>
          <w:sz w:val="21"/>
          <w:szCs w:val="21"/>
        </w:rPr>
        <w:t>The table below shows the dr</w:t>
      </w:r>
      <w:r w:rsidRPr="004F116D">
        <w:rPr>
          <w:rFonts w:ascii="Times New Roman" w:hAnsi="Times New Roman" w:cs="Times New Roman"/>
          <w:b/>
          <w:sz w:val="21"/>
          <w:szCs w:val="21"/>
        </w:rPr>
        <w:t>am</w:t>
      </w:r>
      <w:r w:rsidR="004F116D" w:rsidRPr="004F116D">
        <w:rPr>
          <w:rFonts w:ascii="Times New Roman" w:hAnsi="Times New Roman" w:cs="Times New Roman"/>
          <w:b/>
          <w:sz w:val="21"/>
          <w:szCs w:val="21"/>
        </w:rPr>
        <w:t>'</w:t>
      </w:r>
      <w:r w:rsidRPr="00973D94">
        <w:rPr>
          <w:rFonts w:ascii="Times New Roman" w:hAnsi="Times New Roman" w:cs="Times New Roman"/>
          <w:b/>
          <w:sz w:val="21"/>
          <w:szCs w:val="21"/>
        </w:rPr>
        <w:t>s behavior versus the U.S. dollar, Euro and Russian ruble</w:t>
      </w:r>
      <w:r w:rsidR="002C6623" w:rsidRPr="00973D94">
        <w:rPr>
          <w:rFonts w:ascii="Times New Roman" w:hAnsi="Times New Roman" w:cs="Times New Roman"/>
          <w:b/>
          <w:sz w:val="21"/>
          <w:szCs w:val="21"/>
        </w:rPr>
        <w:t xml:space="preserve"> during the 4th quarter of 2014:</w:t>
      </w:r>
    </w:p>
    <w:tbl>
      <w:tblPr>
        <w:tblW w:w="5922" w:type="dxa"/>
        <w:tblInd w:w="315"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1211"/>
        <w:gridCol w:w="45"/>
        <w:gridCol w:w="1516"/>
        <w:gridCol w:w="43"/>
        <w:gridCol w:w="1560"/>
        <w:gridCol w:w="7"/>
        <w:gridCol w:w="1540"/>
      </w:tblGrid>
      <w:tr w:rsidR="002C6623" w:rsidRPr="0072489D" w14:paraId="0B892482" w14:textId="77777777" w:rsidTr="007160F7">
        <w:trPr>
          <w:trHeight w:val="20"/>
        </w:trPr>
        <w:tc>
          <w:tcPr>
            <w:tcW w:w="5922" w:type="dxa"/>
            <w:gridSpan w:val="7"/>
          </w:tcPr>
          <w:p w14:paraId="404754B3" w14:textId="77777777" w:rsidR="002C6623" w:rsidRPr="0072489D" w:rsidRDefault="002C6623" w:rsidP="002C6623">
            <w:pPr>
              <w:spacing w:before="20" w:after="20"/>
              <w:jc w:val="center"/>
              <w:rPr>
                <w:rFonts w:ascii="Times New Roman" w:hAnsi="Times New Roman" w:cs="Times New Roman"/>
                <w:b/>
                <w:bCs/>
                <w:iCs/>
                <w:sz w:val="18"/>
                <w:szCs w:val="18"/>
              </w:rPr>
            </w:pPr>
            <w:r w:rsidRPr="0072489D">
              <w:rPr>
                <w:rFonts w:ascii="Times New Roman" w:hAnsi="Times New Roman" w:cs="Times New Roman"/>
                <w:b/>
                <w:bCs/>
                <w:iCs/>
                <w:sz w:val="18"/>
                <w:szCs w:val="18"/>
              </w:rPr>
              <w:lastRenderedPageBreak/>
              <w:t>The dram exchange rate, q/q</w:t>
            </w:r>
          </w:p>
        </w:tc>
      </w:tr>
      <w:tr w:rsidR="002C6623" w:rsidRPr="0072489D" w14:paraId="363C1AF7" w14:textId="77777777" w:rsidTr="007160F7">
        <w:trPr>
          <w:trHeight w:val="20"/>
        </w:trPr>
        <w:tc>
          <w:tcPr>
            <w:tcW w:w="1256" w:type="dxa"/>
            <w:gridSpan w:val="2"/>
          </w:tcPr>
          <w:p w14:paraId="274A3BA9" w14:textId="77777777" w:rsidR="002C6623" w:rsidRPr="0072489D" w:rsidRDefault="002C6623" w:rsidP="007160F7">
            <w:pPr>
              <w:spacing w:before="20" w:after="20"/>
              <w:jc w:val="both"/>
              <w:rPr>
                <w:rFonts w:ascii="Times New Roman" w:hAnsi="Times New Roman" w:cs="Times New Roman"/>
                <w:bCs/>
                <w:iCs/>
                <w:sz w:val="18"/>
                <w:szCs w:val="18"/>
              </w:rPr>
            </w:pPr>
            <w:r w:rsidRPr="0072489D">
              <w:rPr>
                <w:rFonts w:ascii="Times New Roman" w:hAnsi="Times New Roman" w:cs="Times New Roman"/>
                <w:bCs/>
                <w:iCs/>
                <w:sz w:val="18"/>
                <w:szCs w:val="18"/>
              </w:rPr>
              <w:t>Currency pair</w:t>
            </w:r>
          </w:p>
        </w:tc>
        <w:tc>
          <w:tcPr>
            <w:tcW w:w="1516" w:type="dxa"/>
          </w:tcPr>
          <w:p w14:paraId="65DF9138" w14:textId="77777777" w:rsidR="002C6623" w:rsidRPr="0072489D" w:rsidRDefault="0072489D" w:rsidP="0072489D">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Exchange rate as of</w:t>
            </w:r>
            <w:r w:rsidR="002C6623" w:rsidRPr="0072489D">
              <w:rPr>
                <w:rFonts w:ascii="Times New Roman" w:hAnsi="Times New Roman" w:cs="Times New Roman"/>
                <w:bCs/>
                <w:iCs/>
                <w:sz w:val="18"/>
                <w:szCs w:val="18"/>
              </w:rPr>
              <w:t xml:space="preserve"> 30.09.2014                (</w:t>
            </w:r>
            <w:r w:rsidRPr="0072489D">
              <w:rPr>
                <w:rFonts w:ascii="Times New Roman" w:hAnsi="Times New Roman" w:cs="Times New Roman"/>
                <w:bCs/>
                <w:iCs/>
                <w:sz w:val="18"/>
                <w:szCs w:val="18"/>
              </w:rPr>
              <w:t>AMD</w:t>
            </w:r>
            <w:r w:rsidR="002C6623" w:rsidRPr="0072489D">
              <w:rPr>
                <w:rFonts w:ascii="Times New Roman" w:hAnsi="Times New Roman" w:cs="Times New Roman"/>
                <w:bCs/>
                <w:iCs/>
                <w:sz w:val="18"/>
                <w:szCs w:val="18"/>
              </w:rPr>
              <w:t>)</w:t>
            </w:r>
          </w:p>
        </w:tc>
        <w:tc>
          <w:tcPr>
            <w:tcW w:w="1603" w:type="dxa"/>
            <w:gridSpan w:val="2"/>
          </w:tcPr>
          <w:p w14:paraId="4CD2EE7B" w14:textId="77777777" w:rsidR="002C6623" w:rsidRPr="0072489D" w:rsidRDefault="0072489D" w:rsidP="0072489D">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Exchange rate as of</w:t>
            </w:r>
            <w:r w:rsidR="002C6623" w:rsidRPr="0072489D">
              <w:rPr>
                <w:rFonts w:ascii="Times New Roman" w:hAnsi="Times New Roman" w:cs="Times New Roman"/>
                <w:bCs/>
                <w:iCs/>
                <w:sz w:val="18"/>
                <w:szCs w:val="18"/>
              </w:rPr>
              <w:t xml:space="preserve"> 30.12.2014                  (</w:t>
            </w:r>
            <w:r w:rsidRPr="0072489D">
              <w:rPr>
                <w:rFonts w:ascii="Times New Roman" w:hAnsi="Times New Roman" w:cs="Times New Roman"/>
                <w:bCs/>
                <w:iCs/>
                <w:sz w:val="18"/>
                <w:szCs w:val="18"/>
              </w:rPr>
              <w:t>AMD</w:t>
            </w:r>
            <w:r w:rsidR="002C6623" w:rsidRPr="0072489D">
              <w:rPr>
                <w:rFonts w:ascii="Times New Roman" w:hAnsi="Times New Roman" w:cs="Times New Roman"/>
                <w:bCs/>
                <w:iCs/>
                <w:sz w:val="18"/>
                <w:szCs w:val="18"/>
              </w:rPr>
              <w:t>)</w:t>
            </w:r>
          </w:p>
        </w:tc>
        <w:tc>
          <w:tcPr>
            <w:tcW w:w="1547" w:type="dxa"/>
            <w:gridSpan w:val="2"/>
          </w:tcPr>
          <w:p w14:paraId="5313B60E" w14:textId="77777777" w:rsidR="002C6623" w:rsidRPr="0072489D" w:rsidRDefault="002C6623" w:rsidP="0072489D">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                  (</w:t>
            </w:r>
            <w:r w:rsidR="0072489D" w:rsidRPr="0072489D">
              <w:rPr>
                <w:rFonts w:ascii="Times New Roman" w:hAnsi="Times New Roman" w:cs="Times New Roman"/>
                <w:bCs/>
                <w:iCs/>
                <w:sz w:val="18"/>
                <w:szCs w:val="18"/>
              </w:rPr>
              <w:t>appreciation</w:t>
            </w:r>
            <w:r w:rsidRPr="0072489D">
              <w:rPr>
                <w:rFonts w:ascii="Times New Roman" w:hAnsi="Times New Roman" w:cs="Times New Roman"/>
                <w:bCs/>
                <w:iCs/>
                <w:sz w:val="18"/>
                <w:szCs w:val="18"/>
              </w:rPr>
              <w:t xml:space="preserve"> +, </w:t>
            </w:r>
            <w:r w:rsidR="0072489D" w:rsidRPr="0072489D">
              <w:rPr>
                <w:rFonts w:ascii="Times New Roman" w:hAnsi="Times New Roman" w:cs="Times New Roman"/>
                <w:bCs/>
                <w:iCs/>
                <w:sz w:val="18"/>
                <w:szCs w:val="18"/>
              </w:rPr>
              <w:t>depreciation</w:t>
            </w:r>
            <w:r w:rsidRPr="0072489D">
              <w:rPr>
                <w:rFonts w:ascii="Times New Roman" w:hAnsi="Times New Roman" w:cs="Times New Roman"/>
                <w:bCs/>
                <w:iCs/>
                <w:sz w:val="18"/>
                <w:szCs w:val="18"/>
              </w:rPr>
              <w:t xml:space="preserve"> -)</w:t>
            </w:r>
          </w:p>
        </w:tc>
      </w:tr>
      <w:tr w:rsidR="002C6623" w:rsidRPr="0072489D" w14:paraId="4302B1E1" w14:textId="77777777" w:rsidTr="007160F7">
        <w:trPr>
          <w:trHeight w:val="20"/>
        </w:trPr>
        <w:tc>
          <w:tcPr>
            <w:tcW w:w="1256" w:type="dxa"/>
            <w:gridSpan w:val="2"/>
          </w:tcPr>
          <w:p w14:paraId="3AE35471" w14:textId="77777777" w:rsidR="002C6623" w:rsidRPr="0072489D" w:rsidRDefault="002C6623" w:rsidP="007160F7">
            <w:pPr>
              <w:spacing w:before="20" w:after="20"/>
              <w:jc w:val="both"/>
              <w:rPr>
                <w:rFonts w:ascii="Times New Roman" w:hAnsi="Times New Roman" w:cs="Times New Roman"/>
                <w:bCs/>
                <w:iCs/>
                <w:sz w:val="18"/>
                <w:szCs w:val="18"/>
              </w:rPr>
            </w:pPr>
            <w:r w:rsidRPr="0072489D">
              <w:rPr>
                <w:rFonts w:ascii="Times New Roman" w:hAnsi="Times New Roman" w:cs="Times New Roman"/>
                <w:bCs/>
                <w:iCs/>
                <w:sz w:val="18"/>
                <w:szCs w:val="18"/>
              </w:rPr>
              <w:t>USD/AMD</w:t>
            </w:r>
          </w:p>
        </w:tc>
        <w:tc>
          <w:tcPr>
            <w:tcW w:w="1516" w:type="dxa"/>
          </w:tcPr>
          <w:p w14:paraId="3E2B3D4E"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407.6</w:t>
            </w:r>
          </w:p>
        </w:tc>
        <w:tc>
          <w:tcPr>
            <w:tcW w:w="1603" w:type="dxa"/>
            <w:gridSpan w:val="2"/>
          </w:tcPr>
          <w:p w14:paraId="1BDBB367"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474.97</w:t>
            </w:r>
          </w:p>
        </w:tc>
        <w:tc>
          <w:tcPr>
            <w:tcW w:w="1547" w:type="dxa"/>
            <w:gridSpan w:val="2"/>
          </w:tcPr>
          <w:p w14:paraId="567E36A1"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-14.18</w:t>
            </w:r>
          </w:p>
        </w:tc>
      </w:tr>
      <w:tr w:rsidR="002C6623" w:rsidRPr="0072489D" w14:paraId="1BEFC9DE" w14:textId="77777777" w:rsidTr="007160F7">
        <w:trPr>
          <w:trHeight w:val="20"/>
        </w:trPr>
        <w:tc>
          <w:tcPr>
            <w:tcW w:w="1256" w:type="dxa"/>
            <w:gridSpan w:val="2"/>
          </w:tcPr>
          <w:p w14:paraId="596ED416" w14:textId="77777777" w:rsidR="002C6623" w:rsidRPr="0072489D" w:rsidRDefault="002C6623" w:rsidP="007160F7">
            <w:pPr>
              <w:spacing w:before="20" w:after="20"/>
              <w:jc w:val="both"/>
              <w:rPr>
                <w:rFonts w:ascii="Times New Roman" w:hAnsi="Times New Roman" w:cs="Times New Roman"/>
                <w:bCs/>
                <w:iCs/>
                <w:sz w:val="18"/>
                <w:szCs w:val="18"/>
              </w:rPr>
            </w:pPr>
            <w:r w:rsidRPr="0072489D">
              <w:rPr>
                <w:rFonts w:ascii="Times New Roman" w:hAnsi="Times New Roman" w:cs="Times New Roman"/>
                <w:bCs/>
                <w:iCs/>
                <w:sz w:val="18"/>
                <w:szCs w:val="18"/>
              </w:rPr>
              <w:t>EUR/AMD</w:t>
            </w:r>
          </w:p>
        </w:tc>
        <w:tc>
          <w:tcPr>
            <w:tcW w:w="1516" w:type="dxa"/>
          </w:tcPr>
          <w:p w14:paraId="0BCB378C"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513.49</w:t>
            </w:r>
          </w:p>
        </w:tc>
        <w:tc>
          <w:tcPr>
            <w:tcW w:w="1603" w:type="dxa"/>
            <w:gridSpan w:val="2"/>
          </w:tcPr>
          <w:p w14:paraId="0E1EAA63"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577.47</w:t>
            </w:r>
          </w:p>
        </w:tc>
        <w:tc>
          <w:tcPr>
            <w:tcW w:w="1547" w:type="dxa"/>
            <w:gridSpan w:val="2"/>
          </w:tcPr>
          <w:p w14:paraId="497B581A"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-11.08</w:t>
            </w:r>
          </w:p>
        </w:tc>
      </w:tr>
      <w:tr w:rsidR="002C6623" w:rsidRPr="0072489D" w14:paraId="04911063" w14:textId="77777777" w:rsidTr="007160F7">
        <w:trPr>
          <w:trHeight w:val="20"/>
        </w:trPr>
        <w:tc>
          <w:tcPr>
            <w:tcW w:w="1256" w:type="dxa"/>
            <w:gridSpan w:val="2"/>
            <w:tcBorders>
              <w:bottom w:val="single" w:sz="4" w:space="0" w:color="auto"/>
            </w:tcBorders>
          </w:tcPr>
          <w:p w14:paraId="59201D1E" w14:textId="77777777" w:rsidR="002C6623" w:rsidRPr="0072489D" w:rsidRDefault="002C6623" w:rsidP="007160F7">
            <w:pPr>
              <w:spacing w:before="20" w:after="20"/>
              <w:jc w:val="both"/>
              <w:rPr>
                <w:rFonts w:ascii="Times New Roman" w:hAnsi="Times New Roman" w:cs="Times New Roman"/>
                <w:bCs/>
                <w:iCs/>
                <w:sz w:val="18"/>
                <w:szCs w:val="18"/>
              </w:rPr>
            </w:pPr>
            <w:r w:rsidRPr="0072489D">
              <w:rPr>
                <w:rFonts w:ascii="Times New Roman" w:hAnsi="Times New Roman" w:cs="Times New Roman"/>
                <w:bCs/>
                <w:iCs/>
                <w:sz w:val="18"/>
                <w:szCs w:val="18"/>
              </w:rPr>
              <w:t>RUB/AMD</w:t>
            </w:r>
          </w:p>
        </w:tc>
        <w:tc>
          <w:tcPr>
            <w:tcW w:w="1516" w:type="dxa"/>
            <w:tcBorders>
              <w:bottom w:val="single" w:sz="4" w:space="0" w:color="auto"/>
            </w:tcBorders>
          </w:tcPr>
          <w:p w14:paraId="4009EF13"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10.32</w:t>
            </w:r>
          </w:p>
        </w:tc>
        <w:tc>
          <w:tcPr>
            <w:tcW w:w="1603" w:type="dxa"/>
            <w:gridSpan w:val="2"/>
            <w:tcBorders>
              <w:bottom w:val="single" w:sz="4" w:space="0" w:color="auto"/>
            </w:tcBorders>
          </w:tcPr>
          <w:p w14:paraId="58258A50"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8.15</w:t>
            </w:r>
          </w:p>
        </w:tc>
        <w:tc>
          <w:tcPr>
            <w:tcW w:w="1547" w:type="dxa"/>
            <w:gridSpan w:val="2"/>
            <w:tcBorders>
              <w:bottom w:val="single" w:sz="4" w:space="0" w:color="auto"/>
            </w:tcBorders>
          </w:tcPr>
          <w:p w14:paraId="3337F3CF"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26.63</w:t>
            </w:r>
          </w:p>
        </w:tc>
      </w:tr>
      <w:tr w:rsidR="002C6623" w:rsidRPr="0072489D" w14:paraId="2AD94253" w14:textId="77777777" w:rsidTr="007160F7">
        <w:trPr>
          <w:trHeight w:val="20"/>
        </w:trPr>
        <w:tc>
          <w:tcPr>
            <w:tcW w:w="5922" w:type="dxa"/>
            <w:gridSpan w:val="7"/>
            <w:tcBorders>
              <w:top w:val="single" w:sz="4" w:space="0" w:color="auto"/>
              <w:bottom w:val="dashed" w:sz="4" w:space="0" w:color="auto"/>
            </w:tcBorders>
          </w:tcPr>
          <w:p w14:paraId="4C2E64AE" w14:textId="77777777" w:rsidR="002C6623" w:rsidRPr="0072489D" w:rsidRDefault="0072489D" w:rsidP="0072489D">
            <w:pPr>
              <w:spacing w:before="20" w:after="20"/>
              <w:jc w:val="center"/>
              <w:rPr>
                <w:rFonts w:ascii="Times New Roman" w:hAnsi="Times New Roman" w:cs="Times New Roman"/>
                <w:b/>
                <w:bCs/>
                <w:iCs/>
                <w:sz w:val="18"/>
                <w:szCs w:val="18"/>
              </w:rPr>
            </w:pPr>
            <w:r w:rsidRPr="0072489D">
              <w:rPr>
                <w:rFonts w:ascii="Times New Roman" w:hAnsi="Times New Roman" w:cs="Times New Roman"/>
                <w:b/>
                <w:bCs/>
                <w:iCs/>
                <w:sz w:val="18"/>
                <w:szCs w:val="18"/>
              </w:rPr>
              <w:t>The dram average exchange rate, y/y</w:t>
            </w:r>
          </w:p>
        </w:tc>
      </w:tr>
      <w:tr w:rsidR="002C6623" w:rsidRPr="0072489D" w14:paraId="10EE011C" w14:textId="77777777" w:rsidTr="0072489D">
        <w:trPr>
          <w:trHeight w:val="20"/>
        </w:trPr>
        <w:tc>
          <w:tcPr>
            <w:tcW w:w="1211" w:type="dxa"/>
            <w:tcBorders>
              <w:top w:val="dashed" w:sz="4" w:space="0" w:color="auto"/>
            </w:tcBorders>
          </w:tcPr>
          <w:p w14:paraId="6BD23F32" w14:textId="77777777" w:rsidR="002C6623" w:rsidRPr="0072489D" w:rsidRDefault="0072489D" w:rsidP="007160F7">
            <w:pPr>
              <w:spacing w:before="20" w:after="20"/>
              <w:jc w:val="both"/>
              <w:rPr>
                <w:rFonts w:ascii="Times New Roman" w:hAnsi="Times New Roman" w:cs="Times New Roman"/>
                <w:bCs/>
                <w:iCs/>
                <w:sz w:val="18"/>
                <w:szCs w:val="18"/>
              </w:rPr>
            </w:pPr>
            <w:r w:rsidRPr="0072489D">
              <w:rPr>
                <w:rFonts w:ascii="Times New Roman" w:hAnsi="Times New Roman" w:cs="Times New Roman"/>
                <w:bCs/>
                <w:iCs/>
                <w:sz w:val="18"/>
                <w:szCs w:val="18"/>
              </w:rPr>
              <w:t>Currency pair</w:t>
            </w:r>
          </w:p>
        </w:tc>
        <w:tc>
          <w:tcPr>
            <w:tcW w:w="1604" w:type="dxa"/>
            <w:gridSpan w:val="3"/>
            <w:tcBorders>
              <w:top w:val="dashed" w:sz="4" w:space="0" w:color="auto"/>
            </w:tcBorders>
          </w:tcPr>
          <w:p w14:paraId="7BCF4138" w14:textId="77777777" w:rsidR="0072489D" w:rsidRPr="0072489D" w:rsidRDefault="0072489D" w:rsidP="0072489D">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Average exchange rate, Q4, 20</w:t>
            </w:r>
            <w:r w:rsidR="002C6623" w:rsidRPr="0072489D">
              <w:rPr>
                <w:rFonts w:ascii="Times New Roman" w:hAnsi="Times New Roman" w:cs="Times New Roman"/>
                <w:bCs/>
                <w:iCs/>
                <w:sz w:val="18"/>
                <w:szCs w:val="18"/>
              </w:rPr>
              <w:t xml:space="preserve">13 </w:t>
            </w:r>
          </w:p>
          <w:p w14:paraId="5905FC73" w14:textId="77777777" w:rsidR="002C6623" w:rsidRPr="0072489D" w:rsidRDefault="002C6623" w:rsidP="007160F7">
            <w:pPr>
              <w:spacing w:before="20" w:after="20"/>
              <w:jc w:val="center"/>
              <w:rPr>
                <w:rFonts w:ascii="Times New Roman" w:hAnsi="Times New Roman" w:cs="Times New Roman"/>
                <w:bCs/>
                <w:iCs/>
                <w:sz w:val="18"/>
                <w:szCs w:val="18"/>
              </w:rPr>
            </w:pPr>
          </w:p>
        </w:tc>
        <w:tc>
          <w:tcPr>
            <w:tcW w:w="1567" w:type="dxa"/>
            <w:gridSpan w:val="2"/>
            <w:tcBorders>
              <w:top w:val="dashed" w:sz="4" w:space="0" w:color="auto"/>
            </w:tcBorders>
          </w:tcPr>
          <w:p w14:paraId="55B2B266" w14:textId="77777777" w:rsidR="0072489D" w:rsidRPr="0072489D" w:rsidRDefault="0072489D" w:rsidP="0072489D">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 xml:space="preserve">Average exchange rate, Q4, </w:t>
            </w:r>
            <w:r w:rsidR="002C6623" w:rsidRPr="0072489D">
              <w:rPr>
                <w:rFonts w:ascii="Times New Roman" w:hAnsi="Times New Roman" w:cs="Times New Roman"/>
                <w:bCs/>
                <w:iCs/>
                <w:sz w:val="18"/>
                <w:szCs w:val="18"/>
              </w:rPr>
              <w:t xml:space="preserve">2014 </w:t>
            </w:r>
          </w:p>
          <w:p w14:paraId="4372DF1A" w14:textId="77777777" w:rsidR="002C6623" w:rsidRPr="0072489D" w:rsidRDefault="002C6623" w:rsidP="007160F7">
            <w:pPr>
              <w:spacing w:before="20" w:after="20"/>
              <w:jc w:val="center"/>
              <w:rPr>
                <w:rFonts w:ascii="Times New Roman" w:hAnsi="Times New Roman" w:cs="Times New Roman"/>
                <w:bCs/>
                <w:iCs/>
                <w:sz w:val="18"/>
                <w:szCs w:val="18"/>
              </w:rPr>
            </w:pPr>
          </w:p>
        </w:tc>
        <w:tc>
          <w:tcPr>
            <w:tcW w:w="1540" w:type="dxa"/>
            <w:tcBorders>
              <w:top w:val="dashed" w:sz="4" w:space="0" w:color="auto"/>
            </w:tcBorders>
          </w:tcPr>
          <w:p w14:paraId="28E5BF70" w14:textId="77777777" w:rsidR="002C6623" w:rsidRPr="0072489D" w:rsidRDefault="0072489D" w:rsidP="0072489D">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                  (appreciation +, depreciation -)</w:t>
            </w:r>
          </w:p>
        </w:tc>
      </w:tr>
      <w:tr w:rsidR="002C6623" w:rsidRPr="0072489D" w14:paraId="2EF6CB82" w14:textId="77777777" w:rsidTr="0072489D">
        <w:trPr>
          <w:trHeight w:val="20"/>
        </w:trPr>
        <w:tc>
          <w:tcPr>
            <w:tcW w:w="1211" w:type="dxa"/>
          </w:tcPr>
          <w:p w14:paraId="15AD4559" w14:textId="77777777" w:rsidR="002C6623" w:rsidRPr="0072489D" w:rsidRDefault="002C6623" w:rsidP="007160F7">
            <w:pPr>
              <w:spacing w:before="20" w:after="20"/>
              <w:jc w:val="both"/>
              <w:rPr>
                <w:rFonts w:ascii="Times New Roman" w:hAnsi="Times New Roman" w:cs="Times New Roman"/>
                <w:bCs/>
                <w:iCs/>
                <w:sz w:val="18"/>
                <w:szCs w:val="18"/>
              </w:rPr>
            </w:pPr>
            <w:r w:rsidRPr="0072489D">
              <w:rPr>
                <w:rFonts w:ascii="Times New Roman" w:hAnsi="Times New Roman" w:cs="Times New Roman"/>
                <w:bCs/>
                <w:iCs/>
                <w:sz w:val="18"/>
                <w:szCs w:val="18"/>
              </w:rPr>
              <w:t>USD/AMD</w:t>
            </w:r>
          </w:p>
        </w:tc>
        <w:tc>
          <w:tcPr>
            <w:tcW w:w="1604" w:type="dxa"/>
            <w:gridSpan w:val="3"/>
            <w:vAlign w:val="bottom"/>
          </w:tcPr>
          <w:p w14:paraId="334A2752"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405.48</w:t>
            </w:r>
          </w:p>
        </w:tc>
        <w:tc>
          <w:tcPr>
            <w:tcW w:w="1567" w:type="dxa"/>
            <w:gridSpan w:val="2"/>
            <w:vAlign w:val="bottom"/>
          </w:tcPr>
          <w:p w14:paraId="3ED35346"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431.32</w:t>
            </w:r>
          </w:p>
        </w:tc>
        <w:tc>
          <w:tcPr>
            <w:tcW w:w="1540" w:type="dxa"/>
          </w:tcPr>
          <w:p w14:paraId="4C2E8024"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-5.99</w:t>
            </w:r>
          </w:p>
        </w:tc>
      </w:tr>
      <w:tr w:rsidR="002C6623" w:rsidRPr="0072489D" w14:paraId="7DD530D8" w14:textId="77777777" w:rsidTr="0072489D">
        <w:trPr>
          <w:trHeight w:val="20"/>
        </w:trPr>
        <w:tc>
          <w:tcPr>
            <w:tcW w:w="1211" w:type="dxa"/>
          </w:tcPr>
          <w:p w14:paraId="4CE9F951" w14:textId="77777777" w:rsidR="002C6623" w:rsidRPr="0072489D" w:rsidRDefault="002C6623" w:rsidP="007160F7">
            <w:pPr>
              <w:spacing w:before="20" w:after="20"/>
              <w:jc w:val="both"/>
              <w:rPr>
                <w:rFonts w:ascii="Times New Roman" w:hAnsi="Times New Roman" w:cs="Times New Roman"/>
                <w:bCs/>
                <w:iCs/>
                <w:sz w:val="18"/>
                <w:szCs w:val="18"/>
              </w:rPr>
            </w:pPr>
            <w:r w:rsidRPr="0072489D">
              <w:rPr>
                <w:rFonts w:ascii="Times New Roman" w:hAnsi="Times New Roman" w:cs="Times New Roman"/>
                <w:bCs/>
                <w:iCs/>
                <w:sz w:val="18"/>
                <w:szCs w:val="18"/>
              </w:rPr>
              <w:t>EUR/AMD</w:t>
            </w:r>
          </w:p>
        </w:tc>
        <w:tc>
          <w:tcPr>
            <w:tcW w:w="1604" w:type="dxa"/>
            <w:gridSpan w:val="3"/>
            <w:vAlign w:val="bottom"/>
          </w:tcPr>
          <w:p w14:paraId="470E7004"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552.11</w:t>
            </w:r>
          </w:p>
        </w:tc>
        <w:tc>
          <w:tcPr>
            <w:tcW w:w="1567" w:type="dxa"/>
            <w:gridSpan w:val="2"/>
            <w:vAlign w:val="bottom"/>
          </w:tcPr>
          <w:p w14:paraId="0FEC3042"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538.14</w:t>
            </w:r>
          </w:p>
        </w:tc>
        <w:tc>
          <w:tcPr>
            <w:tcW w:w="1540" w:type="dxa"/>
          </w:tcPr>
          <w:p w14:paraId="73040F8B"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2.60</w:t>
            </w:r>
          </w:p>
        </w:tc>
      </w:tr>
      <w:tr w:rsidR="002C6623" w:rsidRPr="0072489D" w14:paraId="681F7C16" w14:textId="77777777" w:rsidTr="0072489D">
        <w:trPr>
          <w:trHeight w:val="20"/>
        </w:trPr>
        <w:tc>
          <w:tcPr>
            <w:tcW w:w="1211" w:type="dxa"/>
          </w:tcPr>
          <w:p w14:paraId="76BFB74A" w14:textId="77777777" w:rsidR="002C6623" w:rsidRPr="0072489D" w:rsidRDefault="002C6623" w:rsidP="007160F7">
            <w:pPr>
              <w:spacing w:before="20" w:after="20"/>
              <w:jc w:val="both"/>
              <w:rPr>
                <w:rFonts w:ascii="Times New Roman" w:hAnsi="Times New Roman" w:cs="Times New Roman"/>
                <w:bCs/>
                <w:iCs/>
                <w:sz w:val="18"/>
                <w:szCs w:val="18"/>
              </w:rPr>
            </w:pPr>
            <w:r w:rsidRPr="0072489D">
              <w:rPr>
                <w:rFonts w:ascii="Times New Roman" w:hAnsi="Times New Roman" w:cs="Times New Roman"/>
                <w:bCs/>
                <w:iCs/>
                <w:sz w:val="18"/>
                <w:szCs w:val="18"/>
              </w:rPr>
              <w:t>RUB/AMD</w:t>
            </w:r>
          </w:p>
        </w:tc>
        <w:tc>
          <w:tcPr>
            <w:tcW w:w="1604" w:type="dxa"/>
            <w:gridSpan w:val="3"/>
            <w:vAlign w:val="bottom"/>
          </w:tcPr>
          <w:p w14:paraId="33E79695"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12.46</w:t>
            </w:r>
          </w:p>
        </w:tc>
        <w:tc>
          <w:tcPr>
            <w:tcW w:w="1567" w:type="dxa"/>
            <w:gridSpan w:val="2"/>
            <w:vAlign w:val="bottom"/>
          </w:tcPr>
          <w:p w14:paraId="56889FFA"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9.11</w:t>
            </w:r>
          </w:p>
        </w:tc>
        <w:tc>
          <w:tcPr>
            <w:tcW w:w="1540" w:type="dxa"/>
          </w:tcPr>
          <w:p w14:paraId="526E2F75" w14:textId="77777777" w:rsidR="002C6623" w:rsidRPr="0072489D" w:rsidRDefault="002C6623" w:rsidP="007160F7">
            <w:pPr>
              <w:spacing w:before="20" w:after="20"/>
              <w:jc w:val="center"/>
              <w:rPr>
                <w:rFonts w:ascii="Times New Roman" w:hAnsi="Times New Roman" w:cs="Times New Roman"/>
                <w:bCs/>
                <w:iCs/>
                <w:sz w:val="18"/>
                <w:szCs w:val="18"/>
              </w:rPr>
            </w:pPr>
            <w:r w:rsidRPr="0072489D">
              <w:rPr>
                <w:rFonts w:ascii="Times New Roman" w:hAnsi="Times New Roman" w:cs="Times New Roman"/>
                <w:bCs/>
                <w:iCs/>
                <w:sz w:val="18"/>
                <w:szCs w:val="18"/>
              </w:rPr>
              <w:t>36.72</w:t>
            </w:r>
          </w:p>
        </w:tc>
      </w:tr>
    </w:tbl>
    <w:p w14:paraId="1AE83701" w14:textId="77777777" w:rsidR="002C6623" w:rsidRPr="0072489D" w:rsidRDefault="002C6623" w:rsidP="002C6623">
      <w:pPr>
        <w:ind w:firstLine="284"/>
        <w:jc w:val="both"/>
        <w:rPr>
          <w:rFonts w:ascii="Times New Roman" w:hAnsi="Times New Roman" w:cs="Times New Roman"/>
          <w:color w:val="FF0000"/>
          <w:sz w:val="18"/>
          <w:szCs w:val="18"/>
        </w:rPr>
      </w:pPr>
    </w:p>
    <w:p w14:paraId="5992E120" w14:textId="77777777" w:rsidR="00A9653E" w:rsidRPr="0047160F" w:rsidRDefault="00A9653E" w:rsidP="00A9653E">
      <w:pPr>
        <w:spacing w:line="360" w:lineRule="auto"/>
        <w:jc w:val="both"/>
        <w:rPr>
          <w:rFonts w:ascii="Times New Roman" w:hAnsi="Times New Roman" w:cs="Times New Roman"/>
          <w:i/>
          <w:iCs/>
          <w:sz w:val="21"/>
          <w:szCs w:val="21"/>
        </w:rPr>
      </w:pPr>
      <w:r w:rsidRPr="0047160F">
        <w:rPr>
          <w:rFonts w:ascii="Times New Roman" w:hAnsi="Times New Roman" w:cs="Times New Roman"/>
          <w:i/>
          <w:iCs/>
          <w:sz w:val="21"/>
          <w:szCs w:val="21"/>
        </w:rPr>
        <w:t xml:space="preserve">The aggregate volume of U.S. dollar/Armenian dram transactions in the foreign exchange market during the </w:t>
      </w:r>
      <w:r w:rsidR="00DB3371">
        <w:rPr>
          <w:rFonts w:ascii="Times New Roman" w:hAnsi="Times New Roman" w:cs="Times New Roman"/>
          <w:i/>
          <w:iCs/>
          <w:sz w:val="21"/>
          <w:szCs w:val="21"/>
        </w:rPr>
        <w:t>4th</w:t>
      </w:r>
      <w:r w:rsidRPr="0047160F">
        <w:rPr>
          <w:rFonts w:ascii="Times New Roman" w:hAnsi="Times New Roman" w:cs="Times New Roman"/>
          <w:i/>
          <w:iCs/>
          <w:sz w:val="21"/>
          <w:szCs w:val="21"/>
        </w:rPr>
        <w:t xml:space="preserve"> quarter amounted to USD </w:t>
      </w:r>
      <w:r w:rsidR="00DB3371">
        <w:rPr>
          <w:rFonts w:ascii="Times New Roman" w:hAnsi="Times New Roman" w:cs="Times New Roman"/>
          <w:i/>
          <w:iCs/>
          <w:sz w:val="21"/>
          <w:szCs w:val="21"/>
        </w:rPr>
        <w:t>3</w:t>
      </w:r>
      <w:r w:rsidRPr="0047160F">
        <w:rPr>
          <w:rFonts w:ascii="Times New Roman" w:hAnsi="Times New Roman" w:cs="Times New Roman"/>
          <w:i/>
          <w:iCs/>
          <w:sz w:val="21"/>
          <w:szCs w:val="21"/>
        </w:rPr>
        <w:t>.</w:t>
      </w:r>
      <w:r w:rsidR="00DB3371">
        <w:rPr>
          <w:rFonts w:ascii="Times New Roman" w:hAnsi="Times New Roman" w:cs="Times New Roman"/>
          <w:i/>
          <w:iCs/>
          <w:sz w:val="21"/>
          <w:szCs w:val="21"/>
        </w:rPr>
        <w:t>43</w:t>
      </w:r>
      <w:r w:rsidRPr="0047160F">
        <w:rPr>
          <w:rFonts w:ascii="Times New Roman" w:hAnsi="Times New Roman" w:cs="Times New Roman"/>
          <w:i/>
          <w:iCs/>
          <w:sz w:val="21"/>
          <w:szCs w:val="21"/>
        </w:rPr>
        <w:t xml:space="preserve"> billion, which represents a </w:t>
      </w:r>
      <w:r w:rsidR="00DB3371">
        <w:rPr>
          <w:rFonts w:ascii="Times New Roman" w:hAnsi="Times New Roman" w:cs="Times New Roman"/>
          <w:i/>
          <w:iCs/>
          <w:sz w:val="21"/>
          <w:szCs w:val="21"/>
        </w:rPr>
        <w:t>16</w:t>
      </w:r>
      <w:r w:rsidRPr="0047160F">
        <w:rPr>
          <w:rFonts w:ascii="Times New Roman" w:hAnsi="Times New Roman" w:cs="Times New Roman"/>
          <w:i/>
          <w:iCs/>
          <w:sz w:val="21"/>
          <w:szCs w:val="21"/>
        </w:rPr>
        <w:t>.</w:t>
      </w:r>
      <w:r w:rsidR="00DB3371">
        <w:rPr>
          <w:rFonts w:ascii="Times New Roman" w:hAnsi="Times New Roman" w:cs="Times New Roman"/>
          <w:i/>
          <w:iCs/>
          <w:sz w:val="21"/>
          <w:szCs w:val="21"/>
        </w:rPr>
        <w:t>3</w:t>
      </w:r>
      <w:r w:rsidRPr="0047160F">
        <w:rPr>
          <w:rFonts w:ascii="Times New Roman" w:hAnsi="Times New Roman" w:cs="Times New Roman"/>
          <w:i/>
          <w:iCs/>
          <w:sz w:val="21"/>
          <w:szCs w:val="21"/>
        </w:rPr>
        <w:t xml:space="preserve">% increase </w:t>
      </w:r>
      <w:r w:rsidR="00030AE6">
        <w:rPr>
          <w:rFonts w:ascii="Times New Roman" w:hAnsi="Times New Roman" w:cs="Times New Roman"/>
          <w:i/>
          <w:iCs/>
          <w:sz w:val="21"/>
          <w:szCs w:val="21"/>
        </w:rPr>
        <w:t xml:space="preserve">in relation to USD 2.95 billion reported in </w:t>
      </w:r>
      <w:r w:rsidR="00DB3371">
        <w:rPr>
          <w:rFonts w:ascii="Times New Roman" w:hAnsi="Times New Roman" w:cs="Times New Roman"/>
          <w:i/>
          <w:iCs/>
          <w:sz w:val="21"/>
          <w:szCs w:val="21"/>
        </w:rPr>
        <w:t>the previous quarter</w:t>
      </w:r>
      <w:r w:rsidRPr="0047160F">
        <w:rPr>
          <w:rFonts w:ascii="Times New Roman" w:hAnsi="Times New Roman" w:cs="Times New Roman"/>
          <w:i/>
          <w:iCs/>
          <w:sz w:val="21"/>
          <w:szCs w:val="21"/>
        </w:rPr>
        <w:t xml:space="preserve">. </w:t>
      </w:r>
    </w:p>
    <w:p w14:paraId="72D37891" w14:textId="77777777" w:rsidR="00A9653E" w:rsidRPr="0047160F" w:rsidRDefault="00A9653E" w:rsidP="00A9653E">
      <w:pPr>
        <w:spacing w:line="360" w:lineRule="auto"/>
        <w:jc w:val="both"/>
        <w:rPr>
          <w:rFonts w:ascii="Times New Roman" w:hAnsi="Times New Roman" w:cs="Times New Roman"/>
          <w:i/>
          <w:iCs/>
          <w:sz w:val="21"/>
          <w:szCs w:val="21"/>
        </w:rPr>
      </w:pPr>
      <w:r w:rsidRPr="0047160F">
        <w:rPr>
          <w:rFonts w:ascii="Times New Roman" w:hAnsi="Times New Roman" w:cs="Times New Roman"/>
          <w:i/>
          <w:iCs/>
          <w:sz w:val="21"/>
          <w:szCs w:val="21"/>
        </w:rPr>
        <w:t xml:space="preserve">The aggregate volume of Euro/Armenian dram transactions reached EUR </w:t>
      </w:r>
      <w:r w:rsidR="00DB3371">
        <w:rPr>
          <w:rFonts w:ascii="Times New Roman" w:hAnsi="Times New Roman" w:cs="Times New Roman"/>
          <w:i/>
          <w:iCs/>
          <w:sz w:val="21"/>
          <w:szCs w:val="21"/>
        </w:rPr>
        <w:t>304</w:t>
      </w:r>
      <w:r w:rsidRPr="0047160F">
        <w:rPr>
          <w:rFonts w:ascii="Times New Roman" w:hAnsi="Times New Roman" w:cs="Times New Roman"/>
          <w:i/>
          <w:iCs/>
          <w:sz w:val="21"/>
          <w:szCs w:val="21"/>
        </w:rPr>
        <w:t>.</w:t>
      </w:r>
      <w:r w:rsidR="00DB3371">
        <w:rPr>
          <w:rFonts w:ascii="Times New Roman" w:hAnsi="Times New Roman" w:cs="Times New Roman"/>
          <w:i/>
          <w:iCs/>
          <w:sz w:val="21"/>
          <w:szCs w:val="21"/>
        </w:rPr>
        <w:t>9</w:t>
      </w:r>
      <w:r w:rsidRPr="0047160F">
        <w:rPr>
          <w:rFonts w:ascii="Times New Roman" w:hAnsi="Times New Roman" w:cs="Times New Roman"/>
          <w:i/>
          <w:iCs/>
          <w:sz w:val="21"/>
          <w:szCs w:val="21"/>
        </w:rPr>
        <w:t xml:space="preserve">8 million against EUR </w:t>
      </w:r>
      <w:r w:rsidR="0020288D" w:rsidRPr="0047160F">
        <w:rPr>
          <w:rFonts w:ascii="Times New Roman" w:hAnsi="Times New Roman" w:cs="Times New Roman"/>
          <w:i/>
          <w:iCs/>
          <w:sz w:val="21"/>
          <w:szCs w:val="21"/>
        </w:rPr>
        <w:t>2</w:t>
      </w:r>
      <w:r w:rsidR="00DB3371">
        <w:rPr>
          <w:rFonts w:ascii="Times New Roman" w:hAnsi="Times New Roman" w:cs="Times New Roman"/>
          <w:i/>
          <w:iCs/>
          <w:sz w:val="21"/>
          <w:szCs w:val="21"/>
        </w:rPr>
        <w:t>76</w:t>
      </w:r>
      <w:r w:rsidRPr="0047160F">
        <w:rPr>
          <w:rFonts w:ascii="Times New Roman" w:hAnsi="Times New Roman" w:cs="Times New Roman"/>
          <w:i/>
          <w:iCs/>
          <w:sz w:val="21"/>
          <w:szCs w:val="21"/>
        </w:rPr>
        <w:t>.</w:t>
      </w:r>
      <w:r w:rsidR="00DB3371">
        <w:rPr>
          <w:rFonts w:ascii="Times New Roman" w:hAnsi="Times New Roman" w:cs="Times New Roman"/>
          <w:i/>
          <w:iCs/>
          <w:sz w:val="21"/>
          <w:szCs w:val="21"/>
        </w:rPr>
        <w:t>2</w:t>
      </w:r>
      <w:r w:rsidR="0020288D" w:rsidRPr="0047160F">
        <w:rPr>
          <w:rFonts w:ascii="Times New Roman" w:hAnsi="Times New Roman" w:cs="Times New Roman"/>
          <w:i/>
          <w:iCs/>
          <w:sz w:val="21"/>
          <w:szCs w:val="21"/>
        </w:rPr>
        <w:t>8</w:t>
      </w:r>
      <w:r w:rsidRPr="0047160F">
        <w:rPr>
          <w:rFonts w:ascii="Times New Roman" w:hAnsi="Times New Roman" w:cs="Times New Roman"/>
          <w:i/>
          <w:iCs/>
          <w:sz w:val="21"/>
          <w:szCs w:val="21"/>
        </w:rPr>
        <w:t xml:space="preserve"> million recorded in the previous quarter. </w:t>
      </w:r>
    </w:p>
    <w:p w14:paraId="35C53AC1" w14:textId="77777777" w:rsidR="00A9653E" w:rsidRPr="0047160F" w:rsidRDefault="00F8680C" w:rsidP="00A9653E">
      <w:pPr>
        <w:spacing w:line="360" w:lineRule="auto"/>
        <w:jc w:val="both"/>
        <w:rPr>
          <w:rFonts w:ascii="Times New Roman" w:hAnsi="Times New Roman" w:cs="Times New Roman"/>
          <w:i/>
          <w:sz w:val="21"/>
          <w:szCs w:val="21"/>
        </w:rPr>
      </w:pPr>
      <w:r w:rsidRPr="0047160F">
        <w:rPr>
          <w:rFonts w:ascii="Times New Roman" w:hAnsi="Times New Roman" w:cs="Times New Roman"/>
          <w:i/>
          <w:sz w:val="21"/>
          <w:szCs w:val="21"/>
        </w:rPr>
        <w:t xml:space="preserve">During </w:t>
      </w:r>
      <w:r w:rsidR="00A9653E" w:rsidRPr="0047160F">
        <w:rPr>
          <w:rFonts w:ascii="Times New Roman" w:hAnsi="Times New Roman" w:cs="Times New Roman"/>
          <w:i/>
          <w:sz w:val="21"/>
          <w:szCs w:val="21"/>
        </w:rPr>
        <w:t xml:space="preserve">the </w:t>
      </w:r>
      <w:r w:rsidR="00DB3371">
        <w:rPr>
          <w:rFonts w:ascii="Times New Roman" w:hAnsi="Times New Roman" w:cs="Times New Roman"/>
          <w:i/>
          <w:sz w:val="21"/>
          <w:szCs w:val="21"/>
        </w:rPr>
        <w:t>4th</w:t>
      </w:r>
      <w:r w:rsidR="00A9653E" w:rsidRPr="0047160F">
        <w:rPr>
          <w:rFonts w:ascii="Times New Roman" w:hAnsi="Times New Roman" w:cs="Times New Roman"/>
          <w:i/>
          <w:sz w:val="21"/>
          <w:szCs w:val="21"/>
        </w:rPr>
        <w:t xml:space="preserve"> quarter, the Central Bank </w:t>
      </w:r>
      <w:r w:rsidR="00DB3371">
        <w:rPr>
          <w:rFonts w:ascii="Times New Roman" w:hAnsi="Times New Roman" w:cs="Times New Roman"/>
          <w:i/>
          <w:sz w:val="21"/>
          <w:szCs w:val="21"/>
        </w:rPr>
        <w:t>sold</w:t>
      </w:r>
      <w:r w:rsidR="00A9653E" w:rsidRPr="0047160F">
        <w:rPr>
          <w:rFonts w:ascii="Times New Roman" w:hAnsi="Times New Roman" w:cs="Times New Roman"/>
          <w:i/>
          <w:sz w:val="21"/>
          <w:szCs w:val="21"/>
        </w:rPr>
        <w:t xml:space="preserve"> </w:t>
      </w:r>
      <w:r w:rsidRPr="0047160F">
        <w:rPr>
          <w:rFonts w:ascii="Times New Roman" w:hAnsi="Times New Roman" w:cs="Times New Roman"/>
          <w:i/>
          <w:sz w:val="21"/>
          <w:szCs w:val="21"/>
        </w:rPr>
        <w:t xml:space="preserve">U.S. dollars in the currency market for a </w:t>
      </w:r>
      <w:r w:rsidR="00A9653E" w:rsidRPr="0047160F">
        <w:rPr>
          <w:rFonts w:ascii="Times New Roman" w:hAnsi="Times New Roman" w:cs="Times New Roman"/>
          <w:i/>
          <w:sz w:val="21"/>
          <w:szCs w:val="21"/>
        </w:rPr>
        <w:t xml:space="preserve">total </w:t>
      </w:r>
      <w:r w:rsidRPr="0047160F">
        <w:rPr>
          <w:rFonts w:ascii="Times New Roman" w:hAnsi="Times New Roman" w:cs="Times New Roman"/>
          <w:i/>
          <w:sz w:val="21"/>
          <w:szCs w:val="21"/>
        </w:rPr>
        <w:t xml:space="preserve">of </w:t>
      </w:r>
      <w:r w:rsidR="00A9653E" w:rsidRPr="0047160F">
        <w:rPr>
          <w:rFonts w:ascii="Times New Roman" w:hAnsi="Times New Roman" w:cs="Times New Roman"/>
          <w:i/>
          <w:sz w:val="21"/>
          <w:szCs w:val="21"/>
        </w:rPr>
        <w:t xml:space="preserve">USD </w:t>
      </w:r>
      <w:r w:rsidR="00DB3371">
        <w:rPr>
          <w:rFonts w:ascii="Times New Roman" w:hAnsi="Times New Roman" w:cs="Times New Roman"/>
          <w:i/>
          <w:sz w:val="21"/>
          <w:szCs w:val="21"/>
        </w:rPr>
        <w:t>212</w:t>
      </w:r>
      <w:r w:rsidR="00A9653E" w:rsidRPr="0047160F">
        <w:rPr>
          <w:rFonts w:ascii="Times New Roman" w:hAnsi="Times New Roman" w:cs="Times New Roman"/>
          <w:i/>
          <w:sz w:val="21"/>
          <w:szCs w:val="21"/>
        </w:rPr>
        <w:t>.</w:t>
      </w:r>
      <w:r w:rsidR="00DB3371">
        <w:rPr>
          <w:rFonts w:ascii="Times New Roman" w:hAnsi="Times New Roman" w:cs="Times New Roman"/>
          <w:i/>
          <w:sz w:val="21"/>
          <w:szCs w:val="21"/>
        </w:rPr>
        <w:t>54</w:t>
      </w:r>
      <w:r w:rsidR="00A9653E" w:rsidRPr="0047160F">
        <w:rPr>
          <w:rFonts w:ascii="Times New Roman" w:hAnsi="Times New Roman" w:cs="Times New Roman"/>
          <w:i/>
          <w:sz w:val="21"/>
          <w:szCs w:val="21"/>
        </w:rPr>
        <w:t xml:space="preserve"> million.  </w:t>
      </w:r>
    </w:p>
    <w:p w14:paraId="6A6BBD20"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3.4 Balance of payments</w:t>
      </w:r>
      <w:r w:rsidR="006D5E98">
        <w:rPr>
          <w:rStyle w:val="FootnoteReference"/>
          <w:rFonts w:ascii="Times New Roman" w:hAnsi="Times New Roman" w:cs="Times New Roman"/>
          <w:b/>
          <w:sz w:val="21"/>
          <w:szCs w:val="21"/>
        </w:rPr>
        <w:footnoteReference w:customMarkFollows="1" w:id="27"/>
        <w:t>27</w:t>
      </w:r>
    </w:p>
    <w:p w14:paraId="42436B9C" w14:textId="77777777" w:rsidR="00A9653E" w:rsidRPr="00F56EF2" w:rsidRDefault="00A9653E" w:rsidP="00A9653E">
      <w:pPr>
        <w:spacing w:line="360" w:lineRule="auto"/>
        <w:jc w:val="both"/>
        <w:rPr>
          <w:rFonts w:ascii="Times New Roman" w:hAnsi="Times New Roman" w:cs="Times New Roman"/>
          <w:i/>
          <w:sz w:val="21"/>
          <w:szCs w:val="21"/>
        </w:rPr>
      </w:pPr>
      <w:r w:rsidRPr="00F56EF2">
        <w:rPr>
          <w:rFonts w:ascii="Times New Roman" w:hAnsi="Times New Roman" w:cs="Times New Roman"/>
          <w:i/>
          <w:sz w:val="21"/>
          <w:szCs w:val="21"/>
        </w:rPr>
        <w:t xml:space="preserve">In the </w:t>
      </w:r>
      <w:r w:rsidR="00E16AB6" w:rsidRPr="00F56EF2">
        <w:rPr>
          <w:rFonts w:ascii="Times New Roman" w:hAnsi="Times New Roman" w:cs="Times New Roman"/>
          <w:i/>
          <w:sz w:val="21"/>
          <w:szCs w:val="21"/>
        </w:rPr>
        <w:t>4th</w:t>
      </w:r>
      <w:r w:rsidRPr="00F56EF2">
        <w:rPr>
          <w:rFonts w:ascii="Times New Roman" w:hAnsi="Times New Roman" w:cs="Times New Roman"/>
          <w:i/>
          <w:sz w:val="21"/>
          <w:szCs w:val="21"/>
        </w:rPr>
        <w:t xml:space="preserve"> quarter of 2014, </w:t>
      </w:r>
      <w:r w:rsidR="00E16AB6" w:rsidRPr="00F56EF2">
        <w:rPr>
          <w:rFonts w:ascii="Times New Roman" w:hAnsi="Times New Roman" w:cs="Times New Roman"/>
          <w:i/>
          <w:sz w:val="21"/>
          <w:szCs w:val="21"/>
        </w:rPr>
        <w:t xml:space="preserve">the dollar value of private transfers decreased significantly, which was determined by steep depreciation of the Russian ruble against the U.S. dollar. Consequently, the current account deficit widened despite a decreased trade balance deficit. The current account deficit was financed through net attraction of loans by the public sector, net foreign direct investment and net assets </w:t>
      </w:r>
      <w:r w:rsidR="00F3215D" w:rsidRPr="00F56EF2">
        <w:rPr>
          <w:rFonts w:ascii="Times New Roman" w:hAnsi="Times New Roman" w:cs="Times New Roman"/>
          <w:i/>
          <w:sz w:val="21"/>
          <w:szCs w:val="21"/>
        </w:rPr>
        <w:t xml:space="preserve">provided </w:t>
      </w:r>
      <w:r w:rsidR="00C471C0">
        <w:rPr>
          <w:rFonts w:ascii="Times New Roman" w:hAnsi="Times New Roman" w:cs="Times New Roman"/>
          <w:i/>
          <w:sz w:val="21"/>
          <w:szCs w:val="21"/>
        </w:rPr>
        <w:t xml:space="preserve">by </w:t>
      </w:r>
      <w:r w:rsidR="00E16AB6" w:rsidRPr="00F56EF2">
        <w:rPr>
          <w:rFonts w:ascii="Times New Roman" w:hAnsi="Times New Roman" w:cs="Times New Roman"/>
          <w:i/>
          <w:sz w:val="21"/>
          <w:szCs w:val="21"/>
        </w:rPr>
        <w:t>the banking system</w:t>
      </w:r>
      <w:r w:rsidR="00F3215D" w:rsidRPr="00F56EF2">
        <w:rPr>
          <w:rFonts w:ascii="Times New Roman" w:hAnsi="Times New Roman" w:cs="Times New Roman"/>
          <w:i/>
          <w:sz w:val="21"/>
          <w:szCs w:val="21"/>
        </w:rPr>
        <w:t>.</w:t>
      </w:r>
      <w:r w:rsidR="00E16AB6" w:rsidRPr="00F56EF2">
        <w:rPr>
          <w:rFonts w:ascii="Times New Roman" w:hAnsi="Times New Roman" w:cs="Times New Roman"/>
          <w:i/>
          <w:sz w:val="21"/>
          <w:szCs w:val="21"/>
        </w:rPr>
        <w:t xml:space="preserve"> </w:t>
      </w:r>
      <w:r w:rsidR="00F56EF2" w:rsidRPr="00F56EF2">
        <w:rPr>
          <w:rFonts w:ascii="Times New Roman" w:hAnsi="Times New Roman" w:cs="Times New Roman"/>
          <w:i/>
          <w:sz w:val="21"/>
          <w:szCs w:val="21"/>
        </w:rPr>
        <w:t>Given n</w:t>
      </w:r>
      <w:r w:rsidR="00F3215D" w:rsidRPr="00F56EF2">
        <w:rPr>
          <w:rFonts w:ascii="Times New Roman" w:hAnsi="Times New Roman" w:cs="Times New Roman"/>
          <w:i/>
          <w:sz w:val="21"/>
          <w:szCs w:val="21"/>
        </w:rPr>
        <w:t>et accumulation of foreign currency with the non-bank private sector</w:t>
      </w:r>
      <w:r w:rsidR="00B57E9B">
        <w:rPr>
          <w:rStyle w:val="FootnoteReference"/>
          <w:rFonts w:ascii="Times New Roman" w:hAnsi="Times New Roman" w:cs="Times New Roman"/>
          <w:i/>
          <w:sz w:val="21"/>
          <w:szCs w:val="21"/>
        </w:rPr>
        <w:footnoteReference w:customMarkFollows="1" w:id="28"/>
        <w:t>28</w:t>
      </w:r>
      <w:r w:rsidR="00F56EF2" w:rsidRPr="00F56EF2">
        <w:rPr>
          <w:rFonts w:ascii="Times New Roman" w:hAnsi="Times New Roman" w:cs="Times New Roman"/>
          <w:i/>
          <w:sz w:val="21"/>
          <w:szCs w:val="21"/>
        </w:rPr>
        <w:t>, the</w:t>
      </w:r>
      <w:r w:rsidR="00E16AB6" w:rsidRPr="00F56EF2">
        <w:rPr>
          <w:rFonts w:ascii="Times New Roman" w:hAnsi="Times New Roman" w:cs="Times New Roman"/>
          <w:i/>
          <w:sz w:val="21"/>
          <w:szCs w:val="21"/>
        </w:rPr>
        <w:t xml:space="preserve"> current account </w:t>
      </w:r>
      <w:r w:rsidR="00F56EF2" w:rsidRPr="00F56EF2">
        <w:rPr>
          <w:rFonts w:ascii="Times New Roman" w:hAnsi="Times New Roman" w:cs="Times New Roman"/>
          <w:i/>
          <w:sz w:val="21"/>
          <w:szCs w:val="21"/>
        </w:rPr>
        <w:t xml:space="preserve">financing </w:t>
      </w:r>
      <w:r w:rsidR="00E16AB6" w:rsidRPr="00F56EF2">
        <w:rPr>
          <w:rFonts w:ascii="Times New Roman" w:hAnsi="Times New Roman" w:cs="Times New Roman"/>
          <w:i/>
          <w:sz w:val="21"/>
          <w:szCs w:val="21"/>
        </w:rPr>
        <w:t xml:space="preserve">led to a decrease in </w:t>
      </w:r>
      <w:r w:rsidR="00F56EF2" w:rsidRPr="00F56EF2">
        <w:rPr>
          <w:rFonts w:ascii="Times New Roman" w:hAnsi="Times New Roman" w:cs="Times New Roman"/>
          <w:i/>
          <w:sz w:val="21"/>
          <w:szCs w:val="21"/>
        </w:rPr>
        <w:t xml:space="preserve">net foreign assets of the Central Bank in </w:t>
      </w:r>
      <w:r w:rsidR="00E16AB6" w:rsidRPr="00F56EF2">
        <w:rPr>
          <w:rFonts w:ascii="Times New Roman" w:hAnsi="Times New Roman" w:cs="Times New Roman"/>
          <w:i/>
          <w:sz w:val="21"/>
          <w:szCs w:val="21"/>
        </w:rPr>
        <w:t xml:space="preserve">the </w:t>
      </w:r>
      <w:r w:rsidR="00F56EF2" w:rsidRPr="00F56EF2">
        <w:rPr>
          <w:rFonts w:ascii="Times New Roman" w:hAnsi="Times New Roman" w:cs="Times New Roman"/>
          <w:i/>
          <w:sz w:val="21"/>
          <w:szCs w:val="21"/>
        </w:rPr>
        <w:t>4th</w:t>
      </w:r>
      <w:r w:rsidR="00E16AB6" w:rsidRPr="00F56EF2">
        <w:rPr>
          <w:rFonts w:ascii="Times New Roman" w:hAnsi="Times New Roman" w:cs="Times New Roman"/>
          <w:i/>
          <w:sz w:val="21"/>
          <w:szCs w:val="21"/>
        </w:rPr>
        <w:t xml:space="preserve"> quarter</w:t>
      </w:r>
      <w:r w:rsidR="00F56EF2" w:rsidRPr="00F56EF2">
        <w:rPr>
          <w:rFonts w:ascii="Times New Roman" w:hAnsi="Times New Roman" w:cs="Times New Roman"/>
          <w:i/>
          <w:sz w:val="21"/>
          <w:szCs w:val="21"/>
        </w:rPr>
        <w:t xml:space="preserve">. </w:t>
      </w:r>
    </w:p>
    <w:p w14:paraId="2F842A99"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3.4.1. Current account</w:t>
      </w:r>
      <w:r w:rsidR="000D3B75">
        <w:rPr>
          <w:rStyle w:val="FootnoteReference"/>
          <w:rFonts w:ascii="Times New Roman" w:hAnsi="Times New Roman" w:cs="Times New Roman"/>
          <w:b/>
          <w:sz w:val="21"/>
          <w:szCs w:val="21"/>
        </w:rPr>
        <w:footnoteReference w:customMarkFollows="1" w:id="29"/>
        <w:t>29</w:t>
      </w:r>
    </w:p>
    <w:p w14:paraId="7C62EAC6" w14:textId="7AA23A02" w:rsidR="00A9653E" w:rsidRDefault="00400A35" w:rsidP="00A9653E">
      <w:pPr>
        <w:spacing w:line="360" w:lineRule="auto"/>
        <w:jc w:val="both"/>
        <w:rPr>
          <w:rFonts w:ascii="Times New Roman" w:hAnsi="Times New Roman" w:cs="Times New Roman"/>
          <w:bCs/>
          <w:iCs/>
          <w:sz w:val="21"/>
          <w:szCs w:val="21"/>
        </w:rPr>
      </w:pPr>
      <w:r>
        <w:rPr>
          <w:rFonts w:ascii="Times New Roman" w:hAnsi="Times New Roman" w:cs="Times New Roman"/>
          <w:bCs/>
          <w:iCs/>
          <w:sz w:val="21"/>
          <w:szCs w:val="21"/>
        </w:rPr>
        <w:t xml:space="preserve">In the 4th quarter of 2014, relative to the same quarter last year, </w:t>
      </w:r>
      <w:r w:rsidR="00F56EF2">
        <w:rPr>
          <w:rFonts w:ascii="Times New Roman" w:hAnsi="Times New Roman" w:cs="Times New Roman"/>
          <w:bCs/>
          <w:iCs/>
          <w:sz w:val="21"/>
          <w:szCs w:val="21"/>
        </w:rPr>
        <w:t>t</w:t>
      </w:r>
      <w:r w:rsidR="00F56EF2" w:rsidRPr="00EC356F">
        <w:rPr>
          <w:rFonts w:ascii="Times New Roman" w:hAnsi="Times New Roman" w:cs="Times New Roman"/>
          <w:bCs/>
          <w:iCs/>
          <w:sz w:val="21"/>
          <w:szCs w:val="21"/>
        </w:rPr>
        <w:t xml:space="preserve">he </w:t>
      </w:r>
      <w:r w:rsidR="00F56EF2">
        <w:rPr>
          <w:rFonts w:ascii="Times New Roman" w:hAnsi="Times New Roman" w:cs="Times New Roman"/>
          <w:bCs/>
          <w:iCs/>
          <w:sz w:val="21"/>
          <w:szCs w:val="21"/>
        </w:rPr>
        <w:t>C</w:t>
      </w:r>
      <w:r w:rsidR="00F56EF2" w:rsidRPr="00EC356F">
        <w:rPr>
          <w:rFonts w:ascii="Times New Roman" w:hAnsi="Times New Roman" w:cs="Times New Roman"/>
          <w:bCs/>
          <w:iCs/>
          <w:sz w:val="21"/>
          <w:szCs w:val="21"/>
        </w:rPr>
        <w:t xml:space="preserve">urrent </w:t>
      </w:r>
      <w:r w:rsidR="00F56EF2">
        <w:rPr>
          <w:rFonts w:ascii="Times New Roman" w:hAnsi="Times New Roman" w:cs="Times New Roman"/>
          <w:bCs/>
          <w:iCs/>
          <w:sz w:val="21"/>
          <w:szCs w:val="21"/>
        </w:rPr>
        <w:t>A</w:t>
      </w:r>
      <w:r w:rsidR="00F56EF2" w:rsidRPr="00EC356F">
        <w:rPr>
          <w:rFonts w:ascii="Times New Roman" w:hAnsi="Times New Roman" w:cs="Times New Roman"/>
          <w:bCs/>
          <w:iCs/>
          <w:sz w:val="21"/>
          <w:szCs w:val="21"/>
        </w:rPr>
        <w:t xml:space="preserve">ccount </w:t>
      </w:r>
      <w:r w:rsidR="00F56EF2">
        <w:rPr>
          <w:rFonts w:ascii="Times New Roman" w:hAnsi="Times New Roman" w:cs="Times New Roman"/>
          <w:bCs/>
          <w:iCs/>
          <w:sz w:val="21"/>
          <w:szCs w:val="21"/>
        </w:rPr>
        <w:t>D</w:t>
      </w:r>
      <w:r w:rsidR="00F56EF2" w:rsidRPr="00EC356F">
        <w:rPr>
          <w:rFonts w:ascii="Times New Roman" w:hAnsi="Times New Roman" w:cs="Times New Roman"/>
          <w:bCs/>
          <w:iCs/>
          <w:sz w:val="21"/>
          <w:szCs w:val="21"/>
        </w:rPr>
        <w:t>eficit</w:t>
      </w:r>
      <w:r w:rsidR="00F56EF2">
        <w:rPr>
          <w:rFonts w:ascii="Times New Roman" w:hAnsi="Times New Roman" w:cs="Times New Roman"/>
          <w:bCs/>
          <w:iCs/>
          <w:sz w:val="21"/>
          <w:szCs w:val="21"/>
        </w:rPr>
        <w:t xml:space="preserve">-to-GDP ratio has increased </w:t>
      </w:r>
      <w:r>
        <w:rPr>
          <w:rFonts w:ascii="Times New Roman" w:hAnsi="Times New Roman" w:cs="Times New Roman"/>
          <w:bCs/>
          <w:iCs/>
          <w:sz w:val="21"/>
          <w:szCs w:val="21"/>
        </w:rPr>
        <w:t xml:space="preserve">by around 4.0 pp and, based on the 2014 estimations, reached 10.7%. </w:t>
      </w:r>
      <w:r w:rsidR="00D36825">
        <w:rPr>
          <w:rFonts w:ascii="Times New Roman" w:hAnsi="Times New Roman" w:cs="Times New Roman"/>
          <w:bCs/>
          <w:iCs/>
          <w:sz w:val="21"/>
          <w:szCs w:val="21"/>
        </w:rPr>
        <w:t>In the 4</w:t>
      </w:r>
      <w:r w:rsidR="00D36825" w:rsidRPr="008A0DDB">
        <w:rPr>
          <w:rFonts w:ascii="Times New Roman" w:hAnsi="Times New Roman" w:cs="Times New Roman"/>
          <w:bCs/>
          <w:iCs/>
          <w:sz w:val="21"/>
          <w:szCs w:val="21"/>
          <w:vertAlign w:val="superscript"/>
        </w:rPr>
        <w:t>th</w:t>
      </w:r>
      <w:r w:rsidR="00D36825">
        <w:rPr>
          <w:rFonts w:ascii="Times New Roman" w:hAnsi="Times New Roman" w:cs="Times New Roman"/>
          <w:bCs/>
          <w:iCs/>
          <w:sz w:val="21"/>
          <w:szCs w:val="21"/>
        </w:rPr>
        <w:t xml:space="preserve"> </w:t>
      </w:r>
      <w:r w:rsidR="00D36825">
        <w:rPr>
          <w:rFonts w:ascii="Times New Roman" w:hAnsi="Times New Roman" w:cs="Times New Roman"/>
          <w:bCs/>
          <w:iCs/>
          <w:sz w:val="21"/>
          <w:szCs w:val="21"/>
        </w:rPr>
        <w:lastRenderedPageBreak/>
        <w:t xml:space="preserve">quarter of 2014 relative </w:t>
      </w:r>
      <w:proofErr w:type="gramStart"/>
      <w:r w:rsidR="00D36825">
        <w:rPr>
          <w:rFonts w:ascii="Times New Roman" w:hAnsi="Times New Roman" w:cs="Times New Roman"/>
          <w:bCs/>
          <w:iCs/>
          <w:sz w:val="21"/>
          <w:szCs w:val="21"/>
        </w:rPr>
        <w:t xml:space="preserve">to </w:t>
      </w:r>
      <w:r>
        <w:rPr>
          <w:rFonts w:ascii="Times New Roman" w:hAnsi="Times New Roman" w:cs="Times New Roman"/>
          <w:bCs/>
          <w:iCs/>
          <w:sz w:val="21"/>
          <w:szCs w:val="21"/>
        </w:rPr>
        <w:t xml:space="preserve"> the</w:t>
      </w:r>
      <w:proofErr w:type="gramEnd"/>
      <w:r>
        <w:rPr>
          <w:rFonts w:ascii="Times New Roman" w:hAnsi="Times New Roman" w:cs="Times New Roman"/>
          <w:bCs/>
          <w:iCs/>
          <w:sz w:val="21"/>
          <w:szCs w:val="21"/>
        </w:rPr>
        <w:t xml:space="preserve"> same reference period the current account deficit has grown by </w:t>
      </w:r>
      <w:r w:rsidR="00A9653E" w:rsidRPr="00EC356F">
        <w:rPr>
          <w:rFonts w:ascii="Times New Roman" w:hAnsi="Times New Roman" w:cs="Times New Roman"/>
          <w:bCs/>
          <w:iCs/>
          <w:sz w:val="21"/>
          <w:szCs w:val="21"/>
        </w:rPr>
        <w:t xml:space="preserve">USD </w:t>
      </w:r>
      <w:r w:rsidR="00600F1C">
        <w:rPr>
          <w:rFonts w:ascii="Times New Roman" w:hAnsi="Times New Roman" w:cs="Times New Roman"/>
          <w:bCs/>
          <w:iCs/>
          <w:sz w:val="21"/>
          <w:szCs w:val="21"/>
        </w:rPr>
        <w:t>1</w:t>
      </w:r>
      <w:r>
        <w:rPr>
          <w:rFonts w:ascii="Times New Roman" w:hAnsi="Times New Roman" w:cs="Times New Roman"/>
          <w:bCs/>
          <w:iCs/>
          <w:sz w:val="21"/>
          <w:szCs w:val="21"/>
        </w:rPr>
        <w:t>38</w:t>
      </w:r>
      <w:r w:rsidR="00A9653E" w:rsidRPr="00EC356F">
        <w:rPr>
          <w:rFonts w:ascii="Times New Roman" w:hAnsi="Times New Roman" w:cs="Times New Roman"/>
          <w:bCs/>
          <w:iCs/>
          <w:sz w:val="21"/>
          <w:szCs w:val="21"/>
        </w:rPr>
        <w:t>.</w:t>
      </w:r>
      <w:r w:rsidR="00600F1C">
        <w:rPr>
          <w:rFonts w:ascii="Times New Roman" w:hAnsi="Times New Roman" w:cs="Times New Roman"/>
          <w:bCs/>
          <w:iCs/>
          <w:sz w:val="21"/>
          <w:szCs w:val="21"/>
        </w:rPr>
        <w:t>6</w:t>
      </w:r>
      <w:r w:rsidR="00A9653E" w:rsidRPr="00EC356F">
        <w:rPr>
          <w:rFonts w:ascii="Times New Roman" w:hAnsi="Times New Roman" w:cs="Times New Roman"/>
          <w:bCs/>
          <w:iCs/>
          <w:sz w:val="21"/>
          <w:szCs w:val="21"/>
        </w:rPr>
        <w:t xml:space="preserve"> million </w:t>
      </w:r>
      <w:r>
        <w:rPr>
          <w:rFonts w:ascii="Times New Roman" w:hAnsi="Times New Roman" w:cs="Times New Roman"/>
          <w:bCs/>
          <w:iCs/>
          <w:sz w:val="21"/>
          <w:szCs w:val="21"/>
        </w:rPr>
        <w:t xml:space="preserve">to </w:t>
      </w:r>
      <w:r w:rsidR="00A9653E" w:rsidRPr="00EC356F">
        <w:rPr>
          <w:rFonts w:ascii="Times New Roman" w:hAnsi="Times New Roman" w:cs="Times New Roman"/>
          <w:bCs/>
          <w:iCs/>
          <w:sz w:val="21"/>
          <w:szCs w:val="21"/>
        </w:rPr>
        <w:t xml:space="preserve">USD </w:t>
      </w:r>
      <w:r>
        <w:rPr>
          <w:rFonts w:ascii="Times New Roman" w:hAnsi="Times New Roman" w:cs="Times New Roman"/>
          <w:bCs/>
          <w:iCs/>
          <w:sz w:val="21"/>
          <w:szCs w:val="21"/>
        </w:rPr>
        <w:t>358</w:t>
      </w:r>
      <w:r w:rsidR="00A9653E" w:rsidRPr="00EC356F">
        <w:rPr>
          <w:rFonts w:ascii="Times New Roman" w:hAnsi="Times New Roman" w:cs="Times New Roman"/>
          <w:bCs/>
          <w:iCs/>
          <w:sz w:val="21"/>
          <w:szCs w:val="21"/>
        </w:rPr>
        <w:t>.</w:t>
      </w:r>
      <w:r>
        <w:rPr>
          <w:rFonts w:ascii="Times New Roman" w:hAnsi="Times New Roman" w:cs="Times New Roman"/>
          <w:bCs/>
          <w:iCs/>
          <w:sz w:val="21"/>
          <w:szCs w:val="21"/>
        </w:rPr>
        <w:t>2</w:t>
      </w:r>
      <w:r w:rsidR="00A9653E" w:rsidRPr="00EC356F">
        <w:rPr>
          <w:rFonts w:ascii="Times New Roman" w:hAnsi="Times New Roman" w:cs="Times New Roman"/>
          <w:bCs/>
          <w:iCs/>
          <w:sz w:val="21"/>
          <w:szCs w:val="21"/>
        </w:rPr>
        <w:t xml:space="preserve"> million.</w:t>
      </w:r>
    </w:p>
    <w:p w14:paraId="79D59ACC" w14:textId="77777777" w:rsidR="00C112B4" w:rsidRDefault="001F6A38" w:rsidP="00A9653E">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 xml:space="preserve">In the </w:t>
      </w:r>
      <w:r w:rsidR="00134E4E">
        <w:rPr>
          <w:rFonts w:ascii="Times New Roman" w:hAnsi="Times New Roman" w:cs="Times New Roman"/>
          <w:bCs/>
          <w:iCs/>
          <w:sz w:val="21"/>
          <w:szCs w:val="21"/>
        </w:rPr>
        <w:t>4th</w:t>
      </w:r>
      <w:r w:rsidRPr="00EC356F">
        <w:rPr>
          <w:rFonts w:ascii="Times New Roman" w:hAnsi="Times New Roman" w:cs="Times New Roman"/>
          <w:bCs/>
          <w:iCs/>
          <w:sz w:val="21"/>
          <w:szCs w:val="21"/>
        </w:rPr>
        <w:t xml:space="preserve"> quarter of 2014,</w:t>
      </w:r>
      <w:r>
        <w:rPr>
          <w:rFonts w:ascii="Times New Roman" w:hAnsi="Times New Roman" w:cs="Times New Roman"/>
          <w:bCs/>
          <w:iCs/>
          <w:sz w:val="21"/>
          <w:szCs w:val="21"/>
        </w:rPr>
        <w:t xml:space="preserve"> the dollar value of export of goods grew by </w:t>
      </w:r>
      <w:r w:rsidR="00134E4E">
        <w:rPr>
          <w:rFonts w:ascii="Times New Roman" w:hAnsi="Times New Roman" w:cs="Times New Roman"/>
          <w:bCs/>
          <w:iCs/>
          <w:sz w:val="21"/>
          <w:szCs w:val="21"/>
        </w:rPr>
        <w:t>5</w:t>
      </w:r>
      <w:r>
        <w:rPr>
          <w:rFonts w:ascii="Times New Roman" w:hAnsi="Times New Roman" w:cs="Times New Roman"/>
          <w:bCs/>
          <w:iCs/>
          <w:sz w:val="21"/>
          <w:szCs w:val="21"/>
        </w:rPr>
        <w:t>.</w:t>
      </w:r>
      <w:r w:rsidR="00134E4E">
        <w:rPr>
          <w:rFonts w:ascii="Times New Roman" w:hAnsi="Times New Roman" w:cs="Times New Roman"/>
          <w:bCs/>
          <w:iCs/>
          <w:sz w:val="21"/>
          <w:szCs w:val="21"/>
        </w:rPr>
        <w:t>7</w:t>
      </w:r>
      <w:r>
        <w:rPr>
          <w:rFonts w:ascii="Times New Roman" w:hAnsi="Times New Roman" w:cs="Times New Roman"/>
          <w:bCs/>
          <w:iCs/>
          <w:sz w:val="21"/>
          <w:szCs w:val="21"/>
        </w:rPr>
        <w:t>% y/y.</w:t>
      </w:r>
      <w:r w:rsidR="006E73E7">
        <w:rPr>
          <w:rFonts w:ascii="Times New Roman" w:hAnsi="Times New Roman" w:cs="Times New Roman"/>
          <w:bCs/>
          <w:iCs/>
          <w:sz w:val="21"/>
          <w:szCs w:val="21"/>
        </w:rPr>
        <w:t xml:space="preserve"> </w:t>
      </w:r>
      <w:r w:rsidR="00FF71D1">
        <w:rPr>
          <w:rFonts w:ascii="Times New Roman" w:hAnsi="Times New Roman" w:cs="Times New Roman"/>
          <w:bCs/>
          <w:iCs/>
          <w:sz w:val="21"/>
          <w:szCs w:val="21"/>
        </w:rPr>
        <w:t xml:space="preserve">Intermediate </w:t>
      </w:r>
      <w:r w:rsidR="003B0446">
        <w:rPr>
          <w:rFonts w:ascii="Times New Roman" w:hAnsi="Times New Roman" w:cs="Times New Roman"/>
          <w:bCs/>
          <w:iCs/>
          <w:sz w:val="21"/>
          <w:szCs w:val="21"/>
        </w:rPr>
        <w:t>goods</w:t>
      </w:r>
      <w:r>
        <w:rPr>
          <w:rFonts w:ascii="Times New Roman" w:hAnsi="Times New Roman" w:cs="Times New Roman"/>
          <w:bCs/>
          <w:iCs/>
          <w:sz w:val="21"/>
          <w:szCs w:val="21"/>
        </w:rPr>
        <w:t>, precious stones and metals</w:t>
      </w:r>
      <w:r w:rsidR="003B0446">
        <w:rPr>
          <w:rFonts w:ascii="Times New Roman" w:hAnsi="Times New Roman" w:cs="Times New Roman"/>
          <w:bCs/>
          <w:iCs/>
          <w:sz w:val="21"/>
          <w:szCs w:val="21"/>
        </w:rPr>
        <w:t xml:space="preserve">, which are largely reliant on price developments in international markets, </w:t>
      </w:r>
      <w:r>
        <w:rPr>
          <w:rFonts w:ascii="Times New Roman" w:hAnsi="Times New Roman" w:cs="Times New Roman"/>
          <w:bCs/>
          <w:iCs/>
          <w:sz w:val="21"/>
          <w:szCs w:val="21"/>
        </w:rPr>
        <w:t>made a positive contribution to the export growth in contrast to</w:t>
      </w:r>
      <w:r w:rsidR="000C0811">
        <w:rPr>
          <w:rFonts w:ascii="Times New Roman" w:hAnsi="Times New Roman" w:cs="Times New Roman"/>
          <w:bCs/>
          <w:iCs/>
          <w:sz w:val="21"/>
          <w:szCs w:val="21"/>
        </w:rPr>
        <w:t xml:space="preserve"> </w:t>
      </w:r>
      <w:r w:rsidR="003B0446">
        <w:rPr>
          <w:rFonts w:ascii="Times New Roman" w:hAnsi="Times New Roman" w:cs="Times New Roman"/>
          <w:bCs/>
          <w:iCs/>
          <w:sz w:val="21"/>
          <w:szCs w:val="21"/>
        </w:rPr>
        <w:t>consumer and investment goods which had co</w:t>
      </w:r>
      <w:r w:rsidR="00C112B4">
        <w:rPr>
          <w:rFonts w:ascii="Times New Roman" w:hAnsi="Times New Roman" w:cs="Times New Roman"/>
          <w:bCs/>
          <w:iCs/>
          <w:sz w:val="21"/>
          <w:szCs w:val="21"/>
        </w:rPr>
        <w:t>ntribut</w:t>
      </w:r>
      <w:r w:rsidR="003B0446">
        <w:rPr>
          <w:rFonts w:ascii="Times New Roman" w:hAnsi="Times New Roman" w:cs="Times New Roman"/>
          <w:bCs/>
          <w:iCs/>
          <w:sz w:val="21"/>
          <w:szCs w:val="21"/>
        </w:rPr>
        <w:t xml:space="preserve">ed negatively due to the slowing of economic activity in main trade partner countries. </w:t>
      </w:r>
      <w:r w:rsidR="00C112B4">
        <w:rPr>
          <w:rFonts w:ascii="Times New Roman" w:hAnsi="Times New Roman" w:cs="Times New Roman"/>
          <w:bCs/>
          <w:iCs/>
          <w:sz w:val="21"/>
          <w:szCs w:val="21"/>
        </w:rPr>
        <w:t xml:space="preserve"> </w:t>
      </w:r>
    </w:p>
    <w:p w14:paraId="12A08178" w14:textId="3C984CF2" w:rsidR="00C112B4" w:rsidRDefault="00C112B4" w:rsidP="00C112B4">
      <w:pPr>
        <w:spacing w:line="360" w:lineRule="auto"/>
        <w:jc w:val="both"/>
        <w:rPr>
          <w:rFonts w:ascii="Times New Roman" w:hAnsi="Times New Roman" w:cs="Times New Roman"/>
          <w:bCs/>
          <w:iCs/>
          <w:sz w:val="21"/>
          <w:szCs w:val="21"/>
        </w:rPr>
      </w:pPr>
      <w:r w:rsidRPr="00EC356F">
        <w:rPr>
          <w:rFonts w:ascii="Times New Roman" w:hAnsi="Times New Roman" w:cs="Times New Roman"/>
          <w:bCs/>
          <w:iCs/>
          <w:sz w:val="21"/>
          <w:szCs w:val="21"/>
        </w:rPr>
        <w:t xml:space="preserve">In the </w:t>
      </w:r>
      <w:r w:rsidR="00320DCA">
        <w:rPr>
          <w:rFonts w:ascii="Times New Roman" w:hAnsi="Times New Roman" w:cs="Times New Roman"/>
          <w:bCs/>
          <w:iCs/>
          <w:sz w:val="21"/>
          <w:szCs w:val="21"/>
        </w:rPr>
        <w:t>4th</w:t>
      </w:r>
      <w:r w:rsidRPr="00EC356F">
        <w:rPr>
          <w:rFonts w:ascii="Times New Roman" w:hAnsi="Times New Roman" w:cs="Times New Roman"/>
          <w:bCs/>
          <w:iCs/>
          <w:sz w:val="21"/>
          <w:szCs w:val="21"/>
        </w:rPr>
        <w:t xml:space="preserve"> quarter of 2014,</w:t>
      </w:r>
      <w:r>
        <w:rPr>
          <w:rFonts w:ascii="Times New Roman" w:hAnsi="Times New Roman" w:cs="Times New Roman"/>
          <w:bCs/>
          <w:iCs/>
          <w:sz w:val="21"/>
          <w:szCs w:val="21"/>
        </w:rPr>
        <w:t xml:space="preserve"> the dollar value of import of goods </w:t>
      </w:r>
      <w:r w:rsidR="00320DCA">
        <w:rPr>
          <w:rFonts w:ascii="Times New Roman" w:hAnsi="Times New Roman" w:cs="Times New Roman"/>
          <w:bCs/>
          <w:iCs/>
          <w:sz w:val="21"/>
          <w:szCs w:val="21"/>
        </w:rPr>
        <w:t>decreased</w:t>
      </w:r>
      <w:r>
        <w:rPr>
          <w:rFonts w:ascii="Times New Roman" w:hAnsi="Times New Roman" w:cs="Times New Roman"/>
          <w:bCs/>
          <w:iCs/>
          <w:sz w:val="21"/>
          <w:szCs w:val="21"/>
        </w:rPr>
        <w:t xml:space="preserve"> by </w:t>
      </w:r>
      <w:r w:rsidR="00320DCA">
        <w:rPr>
          <w:rFonts w:ascii="Times New Roman" w:hAnsi="Times New Roman" w:cs="Times New Roman"/>
          <w:bCs/>
          <w:iCs/>
          <w:sz w:val="21"/>
          <w:szCs w:val="21"/>
        </w:rPr>
        <w:t>9</w:t>
      </w:r>
      <w:r>
        <w:rPr>
          <w:rFonts w:ascii="Times New Roman" w:hAnsi="Times New Roman" w:cs="Times New Roman"/>
          <w:bCs/>
          <w:iCs/>
          <w:sz w:val="21"/>
          <w:szCs w:val="21"/>
        </w:rPr>
        <w:t>.</w:t>
      </w:r>
      <w:r w:rsidR="00320DCA">
        <w:rPr>
          <w:rFonts w:ascii="Times New Roman" w:hAnsi="Times New Roman" w:cs="Times New Roman"/>
          <w:bCs/>
          <w:iCs/>
          <w:sz w:val="21"/>
          <w:szCs w:val="21"/>
        </w:rPr>
        <w:t>0</w:t>
      </w:r>
      <w:r>
        <w:rPr>
          <w:rFonts w:ascii="Times New Roman" w:hAnsi="Times New Roman" w:cs="Times New Roman"/>
          <w:bCs/>
          <w:iCs/>
          <w:sz w:val="21"/>
          <w:szCs w:val="21"/>
        </w:rPr>
        <w:t>% y/y</w:t>
      </w:r>
      <w:r w:rsidR="00320DCA">
        <w:rPr>
          <w:rFonts w:ascii="Times New Roman" w:hAnsi="Times New Roman" w:cs="Times New Roman"/>
          <w:bCs/>
          <w:iCs/>
          <w:sz w:val="21"/>
          <w:szCs w:val="21"/>
        </w:rPr>
        <w:t xml:space="preserve"> primarily due to a declined </w:t>
      </w:r>
      <w:r w:rsidR="00D36825">
        <w:rPr>
          <w:rFonts w:ascii="Times New Roman" w:hAnsi="Times New Roman" w:cs="Times New Roman"/>
          <w:bCs/>
          <w:iCs/>
          <w:sz w:val="21"/>
          <w:szCs w:val="21"/>
        </w:rPr>
        <w:t xml:space="preserve">values </w:t>
      </w:r>
      <w:r w:rsidR="00320DCA">
        <w:rPr>
          <w:rFonts w:ascii="Times New Roman" w:hAnsi="Times New Roman" w:cs="Times New Roman"/>
          <w:bCs/>
          <w:iCs/>
          <w:sz w:val="21"/>
          <w:szCs w:val="21"/>
        </w:rPr>
        <w:t xml:space="preserve">of </w:t>
      </w:r>
      <w:r w:rsidR="00DC3A15">
        <w:rPr>
          <w:rFonts w:ascii="Times New Roman" w:hAnsi="Times New Roman" w:cs="Times New Roman"/>
          <w:bCs/>
          <w:iCs/>
          <w:sz w:val="21"/>
          <w:szCs w:val="21"/>
        </w:rPr>
        <w:t xml:space="preserve">import </w:t>
      </w:r>
      <w:r w:rsidR="00320DCA">
        <w:rPr>
          <w:rFonts w:ascii="Times New Roman" w:hAnsi="Times New Roman" w:cs="Times New Roman"/>
          <w:bCs/>
          <w:iCs/>
          <w:sz w:val="21"/>
          <w:szCs w:val="21"/>
        </w:rPr>
        <w:t xml:space="preserve">nearly all commodity groups (some small-share commodity groups made a positive contribution, though). </w:t>
      </w:r>
    </w:p>
    <w:p w14:paraId="329387BA" w14:textId="77777777" w:rsidR="00A9653E" w:rsidRPr="00EC356F" w:rsidRDefault="002B0FA9"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With improved terms of trade</w:t>
      </w:r>
      <w:r w:rsidR="004A0F89">
        <w:rPr>
          <w:rStyle w:val="FootnoteReference"/>
          <w:rFonts w:ascii="Times New Roman" w:hAnsi="Times New Roman" w:cs="Times New Roman"/>
          <w:sz w:val="21"/>
          <w:szCs w:val="21"/>
        </w:rPr>
        <w:footnoteReference w:customMarkFollows="1" w:id="30"/>
        <w:t>30</w:t>
      </w:r>
      <w:r>
        <w:rPr>
          <w:rFonts w:ascii="Times New Roman" w:hAnsi="Times New Roman" w:cs="Times New Roman"/>
          <w:sz w:val="21"/>
          <w:szCs w:val="21"/>
        </w:rPr>
        <w:t xml:space="preserve"> as well as the real export volumes having outgrown the real import volumes, the trade balance deficit reduced by USD</w:t>
      </w:r>
      <w:r w:rsidRPr="002B0FA9">
        <w:rPr>
          <w:rFonts w:ascii="Times New Roman" w:hAnsi="Times New Roman" w:cs="Times New Roman"/>
          <w:sz w:val="21"/>
          <w:szCs w:val="21"/>
        </w:rPr>
        <w:t xml:space="preserve"> 127.3 million and amounted to </w:t>
      </w:r>
      <w:r>
        <w:rPr>
          <w:rFonts w:ascii="Times New Roman" w:hAnsi="Times New Roman" w:cs="Times New Roman"/>
          <w:sz w:val="21"/>
          <w:szCs w:val="21"/>
        </w:rPr>
        <w:t xml:space="preserve">USD </w:t>
      </w:r>
      <w:r w:rsidRPr="002B0FA9">
        <w:rPr>
          <w:rFonts w:ascii="Times New Roman" w:hAnsi="Times New Roman" w:cs="Times New Roman"/>
          <w:sz w:val="21"/>
          <w:szCs w:val="21"/>
        </w:rPr>
        <w:t xml:space="preserve">573.3 million </w:t>
      </w:r>
      <w:r>
        <w:rPr>
          <w:rFonts w:ascii="Times New Roman" w:hAnsi="Times New Roman" w:cs="Times New Roman"/>
          <w:sz w:val="21"/>
          <w:szCs w:val="21"/>
        </w:rPr>
        <w:t>in the 4th</w:t>
      </w:r>
      <w:r w:rsidRPr="00EC356F">
        <w:rPr>
          <w:rFonts w:ascii="Times New Roman" w:hAnsi="Times New Roman" w:cs="Times New Roman"/>
          <w:sz w:val="21"/>
          <w:szCs w:val="21"/>
        </w:rPr>
        <w:t xml:space="preserve"> quarter</w:t>
      </w:r>
      <w:r>
        <w:rPr>
          <w:rFonts w:ascii="Times New Roman" w:hAnsi="Times New Roman" w:cs="Times New Roman"/>
          <w:sz w:val="21"/>
          <w:szCs w:val="21"/>
        </w:rPr>
        <w:t xml:space="preserve">. </w:t>
      </w:r>
    </w:p>
    <w:p w14:paraId="60CAA7B6" w14:textId="77777777" w:rsidR="00A9653E" w:rsidRPr="00EC356F" w:rsidRDefault="00C67CC4" w:rsidP="00A9653E">
      <w:pPr>
        <w:spacing w:line="360" w:lineRule="auto"/>
        <w:jc w:val="both"/>
        <w:rPr>
          <w:rFonts w:ascii="Times New Roman" w:hAnsi="Times New Roman" w:cs="Times New Roman"/>
          <w:sz w:val="21"/>
          <w:szCs w:val="21"/>
        </w:rPr>
      </w:pPr>
      <w:r w:rsidRPr="00C67CC4">
        <w:rPr>
          <w:rFonts w:ascii="Times New Roman" w:hAnsi="Times New Roman" w:cs="Times New Roman"/>
          <w:sz w:val="21"/>
          <w:szCs w:val="21"/>
        </w:rPr>
        <w:t xml:space="preserve">In the </w:t>
      </w:r>
      <w:r>
        <w:rPr>
          <w:rFonts w:ascii="Times New Roman" w:hAnsi="Times New Roman" w:cs="Times New Roman"/>
          <w:sz w:val="21"/>
          <w:szCs w:val="21"/>
        </w:rPr>
        <w:t>4th</w:t>
      </w:r>
      <w:r w:rsidRPr="00C67CC4">
        <w:rPr>
          <w:rFonts w:ascii="Times New Roman" w:hAnsi="Times New Roman" w:cs="Times New Roman"/>
          <w:sz w:val="21"/>
          <w:szCs w:val="21"/>
        </w:rPr>
        <w:t xml:space="preserve"> quarter</w:t>
      </w:r>
      <w:r>
        <w:rPr>
          <w:rFonts w:ascii="Times New Roman" w:hAnsi="Times New Roman" w:cs="Times New Roman"/>
          <w:sz w:val="21"/>
          <w:szCs w:val="21"/>
        </w:rPr>
        <w:t xml:space="preserve"> of 2014, relative to the same quarter last year, the</w:t>
      </w:r>
      <w:r w:rsidRPr="00C67CC4">
        <w:rPr>
          <w:rFonts w:ascii="Times New Roman" w:hAnsi="Times New Roman" w:cs="Times New Roman"/>
          <w:sz w:val="21"/>
          <w:szCs w:val="21"/>
        </w:rPr>
        <w:t xml:space="preserve"> negative balance of services </w:t>
      </w:r>
      <w:r>
        <w:rPr>
          <w:rFonts w:ascii="Times New Roman" w:hAnsi="Times New Roman" w:cs="Times New Roman"/>
          <w:sz w:val="21"/>
          <w:szCs w:val="21"/>
        </w:rPr>
        <w:t xml:space="preserve">has widened to USD </w:t>
      </w:r>
      <w:r w:rsidRPr="00C67CC4">
        <w:rPr>
          <w:rFonts w:ascii="Times New Roman" w:hAnsi="Times New Roman" w:cs="Times New Roman"/>
          <w:sz w:val="21"/>
          <w:szCs w:val="21"/>
        </w:rPr>
        <w:t>81.0 million</w:t>
      </w:r>
      <w:r>
        <w:rPr>
          <w:rFonts w:ascii="Times New Roman" w:hAnsi="Times New Roman" w:cs="Times New Roman"/>
          <w:sz w:val="21"/>
          <w:szCs w:val="21"/>
        </w:rPr>
        <w:t>. This wa</w:t>
      </w:r>
      <w:r w:rsidRPr="00C67CC4">
        <w:rPr>
          <w:rFonts w:ascii="Times New Roman" w:hAnsi="Times New Roman" w:cs="Times New Roman"/>
          <w:sz w:val="21"/>
          <w:szCs w:val="21"/>
        </w:rPr>
        <w:t xml:space="preserve">s </w:t>
      </w:r>
      <w:r>
        <w:rPr>
          <w:rFonts w:ascii="Times New Roman" w:hAnsi="Times New Roman" w:cs="Times New Roman"/>
          <w:sz w:val="21"/>
          <w:szCs w:val="21"/>
        </w:rPr>
        <w:t xml:space="preserve">determined mainly by an </w:t>
      </w:r>
      <w:r w:rsidRPr="00C67CC4">
        <w:rPr>
          <w:rFonts w:ascii="Times New Roman" w:hAnsi="Times New Roman" w:cs="Times New Roman"/>
          <w:sz w:val="21"/>
          <w:szCs w:val="21"/>
        </w:rPr>
        <w:t>increase</w:t>
      </w:r>
      <w:r>
        <w:rPr>
          <w:rFonts w:ascii="Times New Roman" w:hAnsi="Times New Roman" w:cs="Times New Roman"/>
          <w:sz w:val="21"/>
          <w:szCs w:val="21"/>
        </w:rPr>
        <w:t>d</w:t>
      </w:r>
      <w:r w:rsidRPr="00C67CC4">
        <w:rPr>
          <w:rFonts w:ascii="Times New Roman" w:hAnsi="Times New Roman" w:cs="Times New Roman"/>
          <w:sz w:val="21"/>
          <w:szCs w:val="21"/>
        </w:rPr>
        <w:t xml:space="preserve"> </w:t>
      </w:r>
      <w:r>
        <w:rPr>
          <w:rFonts w:ascii="Times New Roman" w:hAnsi="Times New Roman" w:cs="Times New Roman"/>
          <w:sz w:val="21"/>
          <w:szCs w:val="21"/>
        </w:rPr>
        <w:t>negative balance of</w:t>
      </w:r>
      <w:r w:rsidRPr="00C67CC4">
        <w:rPr>
          <w:rFonts w:ascii="Times New Roman" w:hAnsi="Times New Roman" w:cs="Times New Roman"/>
          <w:sz w:val="21"/>
          <w:szCs w:val="21"/>
        </w:rPr>
        <w:t xml:space="preserve"> travel and </w:t>
      </w:r>
      <w:r>
        <w:rPr>
          <w:rFonts w:ascii="Times New Roman" w:hAnsi="Times New Roman" w:cs="Times New Roman"/>
          <w:sz w:val="21"/>
          <w:szCs w:val="21"/>
        </w:rPr>
        <w:t xml:space="preserve">contracted positive balance of </w:t>
      </w:r>
      <w:r w:rsidRPr="00C67CC4">
        <w:rPr>
          <w:rFonts w:ascii="Times New Roman" w:hAnsi="Times New Roman" w:cs="Times New Roman"/>
          <w:sz w:val="21"/>
          <w:szCs w:val="21"/>
        </w:rPr>
        <w:t>construction services</w:t>
      </w:r>
      <w:r w:rsidR="00F5405C">
        <w:rPr>
          <w:rStyle w:val="FootnoteReference"/>
          <w:rFonts w:ascii="Times New Roman" w:hAnsi="Times New Roman" w:cs="Times New Roman"/>
          <w:sz w:val="21"/>
          <w:szCs w:val="21"/>
        </w:rPr>
        <w:footnoteReference w:customMarkFollows="1" w:id="31"/>
        <w:t>31</w:t>
      </w:r>
      <w:r>
        <w:rPr>
          <w:rFonts w:ascii="Times New Roman" w:hAnsi="Times New Roman" w:cs="Times New Roman"/>
          <w:sz w:val="21"/>
          <w:szCs w:val="21"/>
        </w:rPr>
        <w:t>.</w:t>
      </w:r>
      <w:r w:rsidRPr="00C67CC4">
        <w:rPr>
          <w:rFonts w:ascii="Times New Roman" w:hAnsi="Times New Roman" w:cs="Times New Roman"/>
          <w:sz w:val="21"/>
          <w:szCs w:val="21"/>
        </w:rPr>
        <w:t xml:space="preserve"> The latter reflects the impact of Russia's economic difficulties</w:t>
      </w:r>
      <w:r>
        <w:rPr>
          <w:rFonts w:ascii="Times New Roman" w:hAnsi="Times New Roman" w:cs="Times New Roman"/>
          <w:sz w:val="21"/>
          <w:szCs w:val="21"/>
        </w:rPr>
        <w:t>. As a</w:t>
      </w:r>
      <w:r w:rsidRPr="00C67CC4">
        <w:rPr>
          <w:rFonts w:ascii="Times New Roman" w:hAnsi="Times New Roman" w:cs="Times New Roman"/>
          <w:sz w:val="21"/>
          <w:szCs w:val="21"/>
        </w:rPr>
        <w:t xml:space="preserve"> result</w:t>
      </w:r>
      <w:r>
        <w:rPr>
          <w:rFonts w:ascii="Times New Roman" w:hAnsi="Times New Roman" w:cs="Times New Roman"/>
          <w:sz w:val="21"/>
          <w:szCs w:val="21"/>
        </w:rPr>
        <w:t>,</w:t>
      </w:r>
      <w:r w:rsidRPr="00C67CC4">
        <w:rPr>
          <w:rFonts w:ascii="Times New Roman" w:hAnsi="Times New Roman" w:cs="Times New Roman"/>
          <w:sz w:val="21"/>
          <w:szCs w:val="21"/>
        </w:rPr>
        <w:t xml:space="preserve"> </w:t>
      </w:r>
      <w:r w:rsidR="00B4186E">
        <w:rPr>
          <w:rFonts w:ascii="Times New Roman" w:hAnsi="Times New Roman" w:cs="Times New Roman"/>
          <w:sz w:val="21"/>
          <w:szCs w:val="21"/>
        </w:rPr>
        <w:t xml:space="preserve">there is an </w:t>
      </w:r>
      <w:r w:rsidRPr="00C67CC4">
        <w:rPr>
          <w:rFonts w:ascii="Times New Roman" w:hAnsi="Times New Roman" w:cs="Times New Roman"/>
          <w:sz w:val="21"/>
          <w:szCs w:val="21"/>
        </w:rPr>
        <w:t xml:space="preserve">estimated 2.5% </w:t>
      </w:r>
      <w:r w:rsidR="00B4186E">
        <w:rPr>
          <w:rFonts w:ascii="Times New Roman" w:hAnsi="Times New Roman" w:cs="Times New Roman"/>
          <w:sz w:val="21"/>
          <w:szCs w:val="21"/>
        </w:rPr>
        <w:t>y/y decrease in the ex</w:t>
      </w:r>
      <w:r w:rsidRPr="00C67CC4">
        <w:rPr>
          <w:rFonts w:ascii="Times New Roman" w:hAnsi="Times New Roman" w:cs="Times New Roman"/>
          <w:sz w:val="21"/>
          <w:szCs w:val="21"/>
        </w:rPr>
        <w:t xml:space="preserve">port of services </w:t>
      </w:r>
      <w:r w:rsidR="00B4186E">
        <w:rPr>
          <w:rFonts w:ascii="Times New Roman" w:hAnsi="Times New Roman" w:cs="Times New Roman"/>
          <w:sz w:val="21"/>
          <w:szCs w:val="21"/>
        </w:rPr>
        <w:t xml:space="preserve">and </w:t>
      </w:r>
      <w:r w:rsidRPr="00C67CC4">
        <w:rPr>
          <w:rFonts w:ascii="Times New Roman" w:hAnsi="Times New Roman" w:cs="Times New Roman"/>
          <w:sz w:val="21"/>
          <w:szCs w:val="21"/>
        </w:rPr>
        <w:t xml:space="preserve">2.2% </w:t>
      </w:r>
      <w:r w:rsidR="00B4186E">
        <w:rPr>
          <w:rFonts w:ascii="Times New Roman" w:hAnsi="Times New Roman" w:cs="Times New Roman"/>
          <w:sz w:val="21"/>
          <w:szCs w:val="21"/>
        </w:rPr>
        <w:t xml:space="preserve">y/y </w:t>
      </w:r>
      <w:r w:rsidRPr="00C67CC4">
        <w:rPr>
          <w:rFonts w:ascii="Times New Roman" w:hAnsi="Times New Roman" w:cs="Times New Roman"/>
          <w:sz w:val="21"/>
          <w:szCs w:val="21"/>
        </w:rPr>
        <w:t>increase</w:t>
      </w:r>
      <w:r w:rsidR="00B4186E">
        <w:rPr>
          <w:rFonts w:ascii="Times New Roman" w:hAnsi="Times New Roman" w:cs="Times New Roman"/>
          <w:sz w:val="21"/>
          <w:szCs w:val="21"/>
        </w:rPr>
        <w:t xml:space="preserve"> in the import of services for the quarter.       </w:t>
      </w:r>
    </w:p>
    <w:p w14:paraId="5990D359" w14:textId="7F1E65D9"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In the </w:t>
      </w:r>
      <w:r w:rsidR="00B4186E">
        <w:rPr>
          <w:rFonts w:ascii="Times New Roman" w:hAnsi="Times New Roman" w:cs="Times New Roman"/>
          <w:sz w:val="21"/>
          <w:szCs w:val="21"/>
        </w:rPr>
        <w:t>4th</w:t>
      </w:r>
      <w:r w:rsidRPr="00EC356F">
        <w:rPr>
          <w:rFonts w:ascii="Times New Roman" w:hAnsi="Times New Roman" w:cs="Times New Roman"/>
          <w:sz w:val="21"/>
          <w:szCs w:val="21"/>
        </w:rPr>
        <w:t xml:space="preserve"> quarter of 2014, </w:t>
      </w:r>
      <w:r w:rsidR="00E853B2">
        <w:rPr>
          <w:rFonts w:ascii="Times New Roman" w:hAnsi="Times New Roman" w:cs="Times New Roman"/>
          <w:sz w:val="21"/>
          <w:szCs w:val="21"/>
        </w:rPr>
        <w:t xml:space="preserve">net </w:t>
      </w:r>
      <w:r w:rsidRPr="00EC356F">
        <w:rPr>
          <w:rFonts w:ascii="Times New Roman" w:hAnsi="Times New Roman" w:cs="Times New Roman"/>
          <w:bCs/>
          <w:iCs/>
          <w:sz w:val="21"/>
          <w:szCs w:val="21"/>
        </w:rPr>
        <w:t>remittances of individuals</w:t>
      </w:r>
      <w:r w:rsidR="00F5405C">
        <w:rPr>
          <w:rStyle w:val="FootnoteReference"/>
          <w:rFonts w:ascii="Times New Roman" w:hAnsi="Times New Roman" w:cs="Times New Roman"/>
          <w:bCs/>
          <w:iCs/>
          <w:sz w:val="21"/>
          <w:szCs w:val="21"/>
        </w:rPr>
        <w:footnoteReference w:customMarkFollows="1" w:id="32"/>
        <w:t>32</w:t>
      </w:r>
      <w:r w:rsidRPr="00EC356F">
        <w:rPr>
          <w:rFonts w:ascii="Times New Roman" w:hAnsi="Times New Roman" w:cs="Times New Roman"/>
          <w:bCs/>
          <w:iCs/>
          <w:sz w:val="21"/>
          <w:szCs w:val="21"/>
        </w:rPr>
        <w:t xml:space="preserve"> </w:t>
      </w:r>
      <w:r w:rsidR="00E72561">
        <w:rPr>
          <w:rFonts w:ascii="Times New Roman" w:hAnsi="Times New Roman" w:cs="Times New Roman"/>
          <w:bCs/>
          <w:iCs/>
          <w:sz w:val="21"/>
          <w:szCs w:val="21"/>
        </w:rPr>
        <w:t>reduced</w:t>
      </w:r>
      <w:r w:rsidR="00CE2C5C">
        <w:rPr>
          <w:rFonts w:ascii="Times New Roman" w:hAnsi="Times New Roman" w:cs="Times New Roman"/>
          <w:bCs/>
          <w:iCs/>
          <w:sz w:val="21"/>
          <w:szCs w:val="21"/>
        </w:rPr>
        <w:t xml:space="preserve"> notably </w:t>
      </w:r>
      <w:r w:rsidRPr="00EC356F">
        <w:rPr>
          <w:rFonts w:ascii="Times New Roman" w:hAnsi="Times New Roman" w:cs="Times New Roman"/>
          <w:bCs/>
          <w:iCs/>
          <w:sz w:val="21"/>
          <w:szCs w:val="21"/>
        </w:rPr>
        <w:t xml:space="preserve">amidst </w:t>
      </w:r>
      <w:r w:rsidR="00FC63EB">
        <w:rPr>
          <w:rFonts w:ascii="Times New Roman" w:hAnsi="Times New Roman" w:cs="Times New Roman"/>
          <w:bCs/>
          <w:iCs/>
          <w:sz w:val="21"/>
          <w:szCs w:val="21"/>
        </w:rPr>
        <w:t xml:space="preserve">an abrupt depreciation of the Russian ruble against the U.S. dollar. </w:t>
      </w:r>
      <w:r w:rsidR="002A2203">
        <w:rPr>
          <w:rFonts w:ascii="Times New Roman" w:hAnsi="Times New Roman" w:cs="Times New Roman"/>
          <w:bCs/>
          <w:iCs/>
          <w:sz w:val="21"/>
          <w:szCs w:val="21"/>
        </w:rPr>
        <w:t xml:space="preserve">The </w:t>
      </w:r>
      <w:r w:rsidRPr="00EC356F">
        <w:rPr>
          <w:rFonts w:ascii="Times New Roman" w:hAnsi="Times New Roman" w:cs="Times New Roman"/>
          <w:sz w:val="21"/>
          <w:szCs w:val="21"/>
        </w:rPr>
        <w:t xml:space="preserve">net inflow </w:t>
      </w:r>
      <w:r w:rsidR="002A2203">
        <w:rPr>
          <w:rFonts w:ascii="Times New Roman" w:hAnsi="Times New Roman" w:cs="Times New Roman"/>
          <w:sz w:val="21"/>
          <w:szCs w:val="21"/>
        </w:rPr>
        <w:t xml:space="preserve">through </w:t>
      </w:r>
      <w:r w:rsidRPr="00EC356F">
        <w:rPr>
          <w:rFonts w:ascii="Times New Roman" w:hAnsi="Times New Roman" w:cs="Times New Roman"/>
          <w:sz w:val="21"/>
          <w:szCs w:val="21"/>
        </w:rPr>
        <w:t xml:space="preserve">item </w:t>
      </w:r>
      <w:r w:rsidR="004F116D" w:rsidRPr="00863CD6">
        <w:rPr>
          <w:rFonts w:ascii="Times New Roman" w:hAnsi="Times New Roman" w:cs="Times New Roman"/>
          <w:sz w:val="21"/>
          <w:szCs w:val="21"/>
        </w:rPr>
        <w:t>''</w:t>
      </w:r>
      <w:r w:rsidR="008E2DF9">
        <w:rPr>
          <w:rFonts w:ascii="Times New Roman" w:hAnsi="Times New Roman" w:cs="Times New Roman"/>
          <w:sz w:val="21"/>
          <w:szCs w:val="21"/>
        </w:rPr>
        <w:t>Compensation of employees</w:t>
      </w:r>
      <w:r w:rsidR="004F116D" w:rsidRPr="00863CD6">
        <w:rPr>
          <w:rFonts w:ascii="Times New Roman" w:hAnsi="Times New Roman" w:cs="Times New Roman"/>
          <w:sz w:val="21"/>
          <w:szCs w:val="21"/>
        </w:rPr>
        <w:t>''</w:t>
      </w:r>
      <w:r w:rsidRPr="00EC356F">
        <w:rPr>
          <w:rFonts w:ascii="Times New Roman" w:hAnsi="Times New Roman" w:cs="Times New Roman"/>
          <w:sz w:val="21"/>
          <w:szCs w:val="21"/>
        </w:rPr>
        <w:t xml:space="preserve"> posted a</w:t>
      </w:r>
      <w:r w:rsidR="002A2203">
        <w:rPr>
          <w:rFonts w:ascii="Times New Roman" w:hAnsi="Times New Roman" w:cs="Times New Roman"/>
          <w:sz w:val="21"/>
          <w:szCs w:val="21"/>
        </w:rPr>
        <w:t xml:space="preserve"> 29</w:t>
      </w:r>
      <w:r w:rsidRPr="00EC356F">
        <w:rPr>
          <w:rFonts w:ascii="Times New Roman" w:hAnsi="Times New Roman" w:cs="Times New Roman"/>
          <w:sz w:val="21"/>
          <w:szCs w:val="21"/>
        </w:rPr>
        <w:t>.</w:t>
      </w:r>
      <w:r w:rsidR="002A2203">
        <w:rPr>
          <w:rFonts w:ascii="Times New Roman" w:hAnsi="Times New Roman" w:cs="Times New Roman"/>
          <w:sz w:val="21"/>
          <w:szCs w:val="21"/>
        </w:rPr>
        <w:t>1</w:t>
      </w:r>
      <w:r w:rsidRPr="00EC356F">
        <w:rPr>
          <w:rFonts w:ascii="Times New Roman" w:hAnsi="Times New Roman" w:cs="Times New Roman"/>
          <w:sz w:val="21"/>
          <w:szCs w:val="21"/>
        </w:rPr>
        <w:t>% y/y</w:t>
      </w:r>
      <w:r w:rsidR="00360838">
        <w:rPr>
          <w:rFonts w:ascii="Times New Roman" w:hAnsi="Times New Roman" w:cs="Times New Roman"/>
          <w:sz w:val="21"/>
          <w:szCs w:val="21"/>
        </w:rPr>
        <w:t xml:space="preserve"> decrease</w:t>
      </w:r>
      <w:r w:rsidRPr="00EC356F">
        <w:rPr>
          <w:rFonts w:ascii="Times New Roman" w:hAnsi="Times New Roman" w:cs="Times New Roman"/>
          <w:sz w:val="21"/>
          <w:szCs w:val="21"/>
        </w:rPr>
        <w:t xml:space="preserve"> to USD </w:t>
      </w:r>
      <w:r w:rsidR="002A2203">
        <w:rPr>
          <w:rFonts w:ascii="Times New Roman" w:hAnsi="Times New Roman" w:cs="Times New Roman"/>
          <w:sz w:val="21"/>
          <w:szCs w:val="21"/>
        </w:rPr>
        <w:t>276</w:t>
      </w:r>
      <w:r w:rsidRPr="00EC356F">
        <w:rPr>
          <w:rFonts w:ascii="Times New Roman" w:hAnsi="Times New Roman" w:cs="Times New Roman"/>
          <w:sz w:val="21"/>
          <w:szCs w:val="21"/>
        </w:rPr>
        <w:t>.</w:t>
      </w:r>
      <w:r w:rsidR="002A2203">
        <w:rPr>
          <w:rFonts w:ascii="Times New Roman" w:hAnsi="Times New Roman" w:cs="Times New Roman"/>
          <w:sz w:val="21"/>
          <w:szCs w:val="21"/>
        </w:rPr>
        <w:t>3</w:t>
      </w:r>
      <w:r w:rsidRPr="00EC356F">
        <w:rPr>
          <w:rFonts w:ascii="Times New Roman" w:hAnsi="Times New Roman" w:cs="Times New Roman"/>
          <w:sz w:val="21"/>
          <w:szCs w:val="21"/>
        </w:rPr>
        <w:t xml:space="preserve"> million, which is</w:t>
      </w:r>
      <w:r w:rsidR="002A2203">
        <w:rPr>
          <w:rFonts w:ascii="Times New Roman" w:hAnsi="Times New Roman" w:cs="Times New Roman"/>
          <w:sz w:val="21"/>
          <w:szCs w:val="21"/>
        </w:rPr>
        <w:t>, however,</w:t>
      </w:r>
      <w:r w:rsidRPr="00EC356F">
        <w:rPr>
          <w:rFonts w:ascii="Times New Roman" w:hAnsi="Times New Roman" w:cs="Times New Roman"/>
          <w:sz w:val="21"/>
          <w:szCs w:val="21"/>
        </w:rPr>
        <w:t xml:space="preserve"> higher from the </w:t>
      </w:r>
      <w:r w:rsidR="00360838">
        <w:rPr>
          <w:rFonts w:ascii="Times New Roman" w:hAnsi="Times New Roman" w:cs="Times New Roman"/>
          <w:sz w:val="21"/>
          <w:szCs w:val="21"/>
        </w:rPr>
        <w:t xml:space="preserve">figure of </w:t>
      </w:r>
      <w:r w:rsidRPr="00EC356F">
        <w:rPr>
          <w:rFonts w:ascii="Times New Roman" w:hAnsi="Times New Roman" w:cs="Times New Roman"/>
          <w:sz w:val="21"/>
          <w:szCs w:val="21"/>
        </w:rPr>
        <w:t xml:space="preserve">net outflow </w:t>
      </w:r>
      <w:r w:rsidR="002A2203">
        <w:rPr>
          <w:rFonts w:ascii="Times New Roman" w:hAnsi="Times New Roman" w:cs="Times New Roman"/>
          <w:sz w:val="21"/>
          <w:szCs w:val="21"/>
        </w:rPr>
        <w:t>through</w:t>
      </w:r>
      <w:r w:rsidRPr="00EC356F">
        <w:rPr>
          <w:rFonts w:ascii="Times New Roman" w:hAnsi="Times New Roman" w:cs="Times New Roman"/>
          <w:sz w:val="21"/>
          <w:szCs w:val="21"/>
        </w:rPr>
        <w:t xml:space="preserve"> item </w:t>
      </w:r>
      <w:r w:rsidR="004F116D" w:rsidRPr="00863CD6">
        <w:rPr>
          <w:rFonts w:ascii="Times New Roman" w:hAnsi="Times New Roman" w:cs="Times New Roman"/>
          <w:sz w:val="21"/>
          <w:szCs w:val="21"/>
        </w:rPr>
        <w:t>''</w:t>
      </w:r>
      <w:r w:rsidR="002A2203">
        <w:rPr>
          <w:rFonts w:ascii="Times New Roman" w:hAnsi="Times New Roman" w:cs="Times New Roman"/>
          <w:sz w:val="21"/>
          <w:szCs w:val="21"/>
        </w:rPr>
        <w:t>I</w:t>
      </w:r>
      <w:r w:rsidRPr="00EC356F">
        <w:rPr>
          <w:rFonts w:ascii="Times New Roman" w:hAnsi="Times New Roman" w:cs="Times New Roman"/>
          <w:sz w:val="21"/>
          <w:szCs w:val="21"/>
        </w:rPr>
        <w:t>ncome on investment</w:t>
      </w:r>
      <w:r w:rsidR="004F116D" w:rsidRPr="00863CD6">
        <w:rPr>
          <w:rFonts w:ascii="Times New Roman" w:hAnsi="Times New Roman" w:cs="Times New Roman"/>
          <w:sz w:val="21"/>
          <w:szCs w:val="21"/>
        </w:rPr>
        <w:t>''</w:t>
      </w:r>
      <w:r w:rsidRPr="00EC356F">
        <w:rPr>
          <w:rFonts w:ascii="Times New Roman" w:hAnsi="Times New Roman" w:cs="Times New Roman"/>
          <w:sz w:val="21"/>
          <w:szCs w:val="21"/>
        </w:rPr>
        <w:t xml:space="preserve">. As a result, item </w:t>
      </w:r>
      <w:r w:rsidR="004F116D" w:rsidRPr="00863CD6">
        <w:rPr>
          <w:rFonts w:ascii="Times New Roman" w:hAnsi="Times New Roman" w:cs="Times New Roman"/>
          <w:sz w:val="21"/>
          <w:szCs w:val="21"/>
        </w:rPr>
        <w:t>''</w:t>
      </w:r>
      <w:r w:rsidR="002A2203">
        <w:rPr>
          <w:rFonts w:ascii="Times New Roman" w:hAnsi="Times New Roman" w:cs="Times New Roman"/>
          <w:sz w:val="21"/>
          <w:szCs w:val="21"/>
        </w:rPr>
        <w:t>Primary</w:t>
      </w:r>
      <w:r w:rsidRPr="00EC356F">
        <w:rPr>
          <w:rFonts w:ascii="Times New Roman" w:hAnsi="Times New Roman" w:cs="Times New Roman"/>
          <w:sz w:val="21"/>
          <w:szCs w:val="21"/>
        </w:rPr>
        <w:t xml:space="preserve"> income</w:t>
      </w:r>
      <w:r w:rsidR="004F116D" w:rsidRPr="00863CD6">
        <w:rPr>
          <w:rFonts w:ascii="Times New Roman" w:hAnsi="Times New Roman" w:cs="Times New Roman"/>
          <w:sz w:val="21"/>
          <w:szCs w:val="21"/>
        </w:rPr>
        <w:t>''</w:t>
      </w:r>
      <w:r w:rsidRPr="00EC356F">
        <w:rPr>
          <w:rFonts w:ascii="Times New Roman" w:hAnsi="Times New Roman" w:cs="Times New Roman"/>
          <w:sz w:val="21"/>
          <w:szCs w:val="21"/>
        </w:rPr>
        <w:t xml:space="preserve"> posted net inflow of USD 1</w:t>
      </w:r>
      <w:r w:rsidR="002A2203">
        <w:rPr>
          <w:rFonts w:ascii="Times New Roman" w:hAnsi="Times New Roman" w:cs="Times New Roman"/>
          <w:sz w:val="21"/>
          <w:szCs w:val="21"/>
        </w:rPr>
        <w:t>17</w:t>
      </w:r>
      <w:r w:rsidRPr="00EC356F">
        <w:rPr>
          <w:rFonts w:ascii="Times New Roman" w:hAnsi="Times New Roman" w:cs="Times New Roman"/>
          <w:sz w:val="21"/>
          <w:szCs w:val="21"/>
        </w:rPr>
        <w:t>.</w:t>
      </w:r>
      <w:r w:rsidR="002A2203">
        <w:rPr>
          <w:rFonts w:ascii="Times New Roman" w:hAnsi="Times New Roman" w:cs="Times New Roman"/>
          <w:sz w:val="21"/>
          <w:szCs w:val="21"/>
        </w:rPr>
        <w:t>6</w:t>
      </w:r>
      <w:r w:rsidRPr="00EC356F">
        <w:rPr>
          <w:rFonts w:ascii="Times New Roman" w:hAnsi="Times New Roman" w:cs="Times New Roman"/>
          <w:sz w:val="21"/>
          <w:szCs w:val="21"/>
        </w:rPr>
        <w:t xml:space="preserve"> million. The </w:t>
      </w:r>
      <w:r w:rsidR="00360838">
        <w:rPr>
          <w:rFonts w:ascii="Times New Roman" w:hAnsi="Times New Roman" w:cs="Times New Roman"/>
          <w:sz w:val="21"/>
          <w:szCs w:val="21"/>
        </w:rPr>
        <w:t>n</w:t>
      </w:r>
      <w:r w:rsidRPr="00EC356F">
        <w:rPr>
          <w:rFonts w:ascii="Times New Roman" w:hAnsi="Times New Roman" w:cs="Times New Roman"/>
          <w:sz w:val="21"/>
          <w:szCs w:val="21"/>
        </w:rPr>
        <w:t xml:space="preserve">et inflow of </w:t>
      </w:r>
      <w:r w:rsidR="00360838">
        <w:rPr>
          <w:rFonts w:ascii="Times New Roman" w:hAnsi="Times New Roman" w:cs="Times New Roman"/>
          <w:sz w:val="21"/>
          <w:szCs w:val="21"/>
        </w:rPr>
        <w:t xml:space="preserve">private transfers has reduced by </w:t>
      </w:r>
      <w:r w:rsidR="002A2203">
        <w:rPr>
          <w:rFonts w:ascii="Times New Roman" w:hAnsi="Times New Roman" w:cs="Times New Roman"/>
          <w:sz w:val="21"/>
          <w:szCs w:val="21"/>
        </w:rPr>
        <w:t>34</w:t>
      </w:r>
      <w:r w:rsidR="00360838">
        <w:rPr>
          <w:rFonts w:ascii="Times New Roman" w:hAnsi="Times New Roman" w:cs="Times New Roman"/>
          <w:sz w:val="21"/>
          <w:szCs w:val="21"/>
        </w:rPr>
        <w:t>.</w:t>
      </w:r>
      <w:r w:rsidR="002A2203">
        <w:rPr>
          <w:rFonts w:ascii="Times New Roman" w:hAnsi="Times New Roman" w:cs="Times New Roman"/>
          <w:sz w:val="21"/>
          <w:szCs w:val="21"/>
        </w:rPr>
        <w:t>6</w:t>
      </w:r>
      <w:r w:rsidR="00360838">
        <w:rPr>
          <w:rFonts w:ascii="Times New Roman" w:hAnsi="Times New Roman" w:cs="Times New Roman"/>
          <w:sz w:val="21"/>
          <w:szCs w:val="21"/>
        </w:rPr>
        <w:t>% y/y to USD 15</w:t>
      </w:r>
      <w:r w:rsidR="002A2203">
        <w:rPr>
          <w:rFonts w:ascii="Times New Roman" w:hAnsi="Times New Roman" w:cs="Times New Roman"/>
          <w:sz w:val="21"/>
          <w:szCs w:val="21"/>
        </w:rPr>
        <w:t>0</w:t>
      </w:r>
      <w:r w:rsidR="00360838">
        <w:rPr>
          <w:rFonts w:ascii="Times New Roman" w:hAnsi="Times New Roman" w:cs="Times New Roman"/>
          <w:sz w:val="21"/>
          <w:szCs w:val="21"/>
        </w:rPr>
        <w:t>.</w:t>
      </w:r>
      <w:r w:rsidR="002A2203">
        <w:rPr>
          <w:rFonts w:ascii="Times New Roman" w:hAnsi="Times New Roman" w:cs="Times New Roman"/>
          <w:sz w:val="21"/>
          <w:szCs w:val="21"/>
        </w:rPr>
        <w:t>9</w:t>
      </w:r>
      <w:r w:rsidR="00360838">
        <w:rPr>
          <w:rFonts w:ascii="Times New Roman" w:hAnsi="Times New Roman" w:cs="Times New Roman"/>
          <w:sz w:val="21"/>
          <w:szCs w:val="21"/>
        </w:rPr>
        <w:t xml:space="preserve"> million. </w:t>
      </w:r>
    </w:p>
    <w:p w14:paraId="2408DC31"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3.4.2. Capital and financial account</w:t>
      </w:r>
      <w:r w:rsidR="002522FF">
        <w:rPr>
          <w:rStyle w:val="FootnoteReference"/>
          <w:rFonts w:ascii="Times New Roman" w:hAnsi="Times New Roman" w:cs="Times New Roman"/>
          <w:b/>
          <w:sz w:val="21"/>
          <w:szCs w:val="21"/>
        </w:rPr>
        <w:footnoteReference w:customMarkFollows="1" w:id="33"/>
        <w:t>33</w:t>
      </w:r>
    </w:p>
    <w:p w14:paraId="02F41BFF" w14:textId="77777777" w:rsidR="00A9653E" w:rsidRPr="00EC356F" w:rsidRDefault="002347E3"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The </w:t>
      </w:r>
      <w:r w:rsidR="0044120A">
        <w:rPr>
          <w:rFonts w:ascii="Times New Roman" w:hAnsi="Times New Roman" w:cs="Times New Roman"/>
          <w:sz w:val="21"/>
          <w:szCs w:val="21"/>
        </w:rPr>
        <w:t>4th</w:t>
      </w:r>
      <w:r w:rsidRPr="00EC356F">
        <w:rPr>
          <w:rFonts w:ascii="Times New Roman" w:hAnsi="Times New Roman" w:cs="Times New Roman"/>
          <w:sz w:val="21"/>
          <w:szCs w:val="21"/>
        </w:rPr>
        <w:t xml:space="preserve"> quarter </w:t>
      </w:r>
      <w:r>
        <w:rPr>
          <w:rFonts w:ascii="Times New Roman" w:hAnsi="Times New Roman" w:cs="Times New Roman"/>
          <w:sz w:val="21"/>
          <w:szCs w:val="21"/>
        </w:rPr>
        <w:t xml:space="preserve">of 2014 </w:t>
      </w:r>
      <w:r w:rsidR="0044120A">
        <w:rPr>
          <w:rFonts w:ascii="Times New Roman" w:hAnsi="Times New Roman" w:cs="Times New Roman"/>
          <w:sz w:val="21"/>
          <w:szCs w:val="21"/>
        </w:rPr>
        <w:t xml:space="preserve">reported </w:t>
      </w:r>
      <w:r w:rsidR="00A9653E" w:rsidRPr="00EC356F">
        <w:rPr>
          <w:rFonts w:ascii="Times New Roman" w:hAnsi="Times New Roman" w:cs="Times New Roman"/>
          <w:sz w:val="21"/>
          <w:szCs w:val="21"/>
        </w:rPr>
        <w:t xml:space="preserve">net inflow </w:t>
      </w:r>
      <w:r>
        <w:rPr>
          <w:rFonts w:ascii="Times New Roman" w:hAnsi="Times New Roman" w:cs="Times New Roman"/>
          <w:sz w:val="21"/>
          <w:szCs w:val="21"/>
        </w:rPr>
        <w:t>of USD 2</w:t>
      </w:r>
      <w:r w:rsidR="0044120A">
        <w:rPr>
          <w:rFonts w:ascii="Times New Roman" w:hAnsi="Times New Roman" w:cs="Times New Roman"/>
          <w:sz w:val="21"/>
          <w:szCs w:val="21"/>
        </w:rPr>
        <w:t>08</w:t>
      </w:r>
      <w:r>
        <w:rPr>
          <w:rFonts w:ascii="Times New Roman" w:hAnsi="Times New Roman" w:cs="Times New Roman"/>
          <w:sz w:val="21"/>
          <w:szCs w:val="21"/>
        </w:rPr>
        <w:t>.</w:t>
      </w:r>
      <w:r w:rsidR="0044120A">
        <w:rPr>
          <w:rFonts w:ascii="Times New Roman" w:hAnsi="Times New Roman" w:cs="Times New Roman"/>
          <w:sz w:val="21"/>
          <w:szCs w:val="21"/>
        </w:rPr>
        <w:t>6</w:t>
      </w:r>
      <w:r>
        <w:rPr>
          <w:rFonts w:ascii="Times New Roman" w:hAnsi="Times New Roman" w:cs="Times New Roman"/>
          <w:sz w:val="21"/>
          <w:szCs w:val="21"/>
        </w:rPr>
        <w:t xml:space="preserve"> million</w:t>
      </w:r>
      <w:r w:rsidR="0044120A">
        <w:rPr>
          <w:rFonts w:ascii="Times New Roman" w:hAnsi="Times New Roman" w:cs="Times New Roman"/>
          <w:sz w:val="21"/>
          <w:szCs w:val="21"/>
        </w:rPr>
        <w:t xml:space="preserve"> worth of funds </w:t>
      </w:r>
      <w:r w:rsidR="00A9653E" w:rsidRPr="00EC356F">
        <w:rPr>
          <w:rFonts w:ascii="Times New Roman" w:hAnsi="Times New Roman" w:cs="Times New Roman"/>
          <w:sz w:val="21"/>
          <w:szCs w:val="21"/>
        </w:rPr>
        <w:t xml:space="preserve">through the capital and financial account </w:t>
      </w:r>
      <w:r>
        <w:rPr>
          <w:rFonts w:ascii="Times New Roman" w:hAnsi="Times New Roman" w:cs="Times New Roman"/>
          <w:sz w:val="21"/>
          <w:szCs w:val="21"/>
        </w:rPr>
        <w:t>in co</w:t>
      </w:r>
      <w:r w:rsidR="0044120A">
        <w:rPr>
          <w:rFonts w:ascii="Times New Roman" w:hAnsi="Times New Roman" w:cs="Times New Roman"/>
          <w:sz w:val="21"/>
          <w:szCs w:val="21"/>
        </w:rPr>
        <w:t xml:space="preserve">mparison with net inflow of USD 371.3 million in the same quarter last year. </w:t>
      </w:r>
      <w:r w:rsidR="00842E87" w:rsidRPr="00842E87">
        <w:rPr>
          <w:rFonts w:ascii="Times New Roman" w:hAnsi="Times New Roman" w:cs="Times New Roman"/>
          <w:sz w:val="21"/>
          <w:szCs w:val="21"/>
        </w:rPr>
        <w:t xml:space="preserve">The current account deficit was financed </w:t>
      </w:r>
      <w:r w:rsidR="00842E87">
        <w:rPr>
          <w:rFonts w:ascii="Times New Roman" w:hAnsi="Times New Roman" w:cs="Times New Roman"/>
          <w:sz w:val="21"/>
          <w:szCs w:val="21"/>
        </w:rPr>
        <w:t xml:space="preserve">by </w:t>
      </w:r>
      <w:r w:rsidR="00842E87" w:rsidRPr="00842E87">
        <w:rPr>
          <w:rFonts w:ascii="Times New Roman" w:hAnsi="Times New Roman" w:cs="Times New Roman"/>
          <w:sz w:val="21"/>
          <w:szCs w:val="21"/>
        </w:rPr>
        <w:t>the public sector</w:t>
      </w:r>
      <w:r w:rsidR="00842E87">
        <w:rPr>
          <w:rFonts w:ascii="Times New Roman" w:hAnsi="Times New Roman" w:cs="Times New Roman"/>
          <w:sz w:val="21"/>
          <w:szCs w:val="21"/>
        </w:rPr>
        <w:t xml:space="preserve"> loans</w:t>
      </w:r>
      <w:r w:rsidR="00842E87" w:rsidRPr="00842E87">
        <w:rPr>
          <w:rFonts w:ascii="Times New Roman" w:hAnsi="Times New Roman" w:cs="Times New Roman"/>
          <w:sz w:val="21"/>
          <w:szCs w:val="21"/>
        </w:rPr>
        <w:t xml:space="preserve">, foreign direct investment and assets provided </w:t>
      </w:r>
      <w:r w:rsidR="00C471C0">
        <w:rPr>
          <w:rFonts w:ascii="Times New Roman" w:hAnsi="Times New Roman" w:cs="Times New Roman"/>
          <w:sz w:val="21"/>
          <w:szCs w:val="21"/>
        </w:rPr>
        <w:t xml:space="preserve">by </w:t>
      </w:r>
      <w:r w:rsidR="00842E87" w:rsidRPr="00842E87">
        <w:rPr>
          <w:rFonts w:ascii="Times New Roman" w:hAnsi="Times New Roman" w:cs="Times New Roman"/>
          <w:sz w:val="21"/>
          <w:szCs w:val="21"/>
        </w:rPr>
        <w:t xml:space="preserve">the banking system. </w:t>
      </w:r>
      <w:r w:rsidR="00D1642A">
        <w:rPr>
          <w:rFonts w:ascii="Times New Roman" w:hAnsi="Times New Roman" w:cs="Times New Roman"/>
          <w:sz w:val="21"/>
          <w:szCs w:val="21"/>
        </w:rPr>
        <w:t>With</w:t>
      </w:r>
      <w:r w:rsidR="00842E87" w:rsidRPr="00842E87">
        <w:rPr>
          <w:rFonts w:ascii="Times New Roman" w:hAnsi="Times New Roman" w:cs="Times New Roman"/>
          <w:sz w:val="21"/>
          <w:szCs w:val="21"/>
        </w:rPr>
        <w:t xml:space="preserve"> net accumulation of foreign currency with the non-bank private sector, the current account financing </w:t>
      </w:r>
      <w:r w:rsidR="00D1642A">
        <w:rPr>
          <w:rFonts w:ascii="Times New Roman" w:hAnsi="Times New Roman" w:cs="Times New Roman"/>
          <w:sz w:val="21"/>
          <w:szCs w:val="21"/>
        </w:rPr>
        <w:t xml:space="preserve">diminished </w:t>
      </w:r>
      <w:r w:rsidR="00842E87" w:rsidRPr="00842E87">
        <w:rPr>
          <w:rFonts w:ascii="Times New Roman" w:hAnsi="Times New Roman" w:cs="Times New Roman"/>
          <w:sz w:val="21"/>
          <w:szCs w:val="21"/>
        </w:rPr>
        <w:t xml:space="preserve">net foreign assets of the Central Bank </w:t>
      </w:r>
      <w:r w:rsidR="00D1642A">
        <w:rPr>
          <w:rFonts w:ascii="Times New Roman" w:hAnsi="Times New Roman" w:cs="Times New Roman"/>
          <w:sz w:val="21"/>
          <w:szCs w:val="21"/>
        </w:rPr>
        <w:t>by USD 149.6 million.</w:t>
      </w:r>
      <w:r w:rsidR="00CC0627">
        <w:rPr>
          <w:rFonts w:ascii="Times New Roman" w:hAnsi="Times New Roman" w:cs="Times New Roman"/>
          <w:sz w:val="21"/>
          <w:szCs w:val="21"/>
        </w:rPr>
        <w:t xml:space="preserve">  </w:t>
      </w:r>
    </w:p>
    <w:p w14:paraId="69E2B118" w14:textId="77777777" w:rsidR="00315441" w:rsidRDefault="005A62F7"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lastRenderedPageBreak/>
        <w:t>In t</w:t>
      </w:r>
      <w:r w:rsidR="00315441">
        <w:rPr>
          <w:rFonts w:ascii="Times New Roman" w:hAnsi="Times New Roman" w:cs="Times New Roman"/>
          <w:sz w:val="21"/>
          <w:szCs w:val="21"/>
        </w:rPr>
        <w:t xml:space="preserve">he </w:t>
      </w:r>
      <w:r>
        <w:rPr>
          <w:rFonts w:ascii="Times New Roman" w:hAnsi="Times New Roman" w:cs="Times New Roman"/>
          <w:sz w:val="21"/>
          <w:szCs w:val="21"/>
        </w:rPr>
        <w:t>4th</w:t>
      </w:r>
      <w:r w:rsidR="00315441">
        <w:rPr>
          <w:rFonts w:ascii="Times New Roman" w:hAnsi="Times New Roman" w:cs="Times New Roman"/>
          <w:sz w:val="21"/>
          <w:szCs w:val="21"/>
        </w:rPr>
        <w:t xml:space="preserve"> quarter</w:t>
      </w:r>
      <w:r>
        <w:rPr>
          <w:rFonts w:ascii="Times New Roman" w:hAnsi="Times New Roman" w:cs="Times New Roman"/>
          <w:sz w:val="21"/>
          <w:szCs w:val="21"/>
        </w:rPr>
        <w:t>,</w:t>
      </w:r>
      <w:r w:rsidR="00315441">
        <w:rPr>
          <w:rFonts w:ascii="Times New Roman" w:hAnsi="Times New Roman" w:cs="Times New Roman"/>
          <w:sz w:val="21"/>
          <w:szCs w:val="21"/>
        </w:rPr>
        <w:t xml:space="preserve"> ca</w:t>
      </w:r>
      <w:r w:rsidR="00315441" w:rsidRPr="00EC356F">
        <w:rPr>
          <w:rFonts w:ascii="Times New Roman" w:hAnsi="Times New Roman" w:cs="Times New Roman"/>
          <w:sz w:val="21"/>
          <w:szCs w:val="21"/>
        </w:rPr>
        <w:t>pital transfers</w:t>
      </w:r>
      <w:r w:rsidR="00315441">
        <w:rPr>
          <w:rFonts w:ascii="Times New Roman" w:hAnsi="Times New Roman" w:cs="Times New Roman"/>
          <w:sz w:val="21"/>
          <w:szCs w:val="21"/>
        </w:rPr>
        <w:t xml:space="preserve"> </w:t>
      </w:r>
      <w:r>
        <w:rPr>
          <w:rFonts w:ascii="Times New Roman" w:hAnsi="Times New Roman" w:cs="Times New Roman"/>
          <w:sz w:val="21"/>
          <w:szCs w:val="21"/>
        </w:rPr>
        <w:t xml:space="preserve">reduced, </w:t>
      </w:r>
      <w:r w:rsidR="00315441">
        <w:rPr>
          <w:rFonts w:ascii="Times New Roman" w:hAnsi="Times New Roman" w:cs="Times New Roman"/>
          <w:sz w:val="21"/>
          <w:szCs w:val="21"/>
        </w:rPr>
        <w:t>amounting to USD 1</w:t>
      </w:r>
      <w:r>
        <w:rPr>
          <w:rFonts w:ascii="Times New Roman" w:hAnsi="Times New Roman" w:cs="Times New Roman"/>
          <w:sz w:val="21"/>
          <w:szCs w:val="21"/>
        </w:rPr>
        <w:t>7</w:t>
      </w:r>
      <w:r w:rsidR="00315441">
        <w:rPr>
          <w:rFonts w:ascii="Times New Roman" w:hAnsi="Times New Roman" w:cs="Times New Roman"/>
          <w:sz w:val="21"/>
          <w:szCs w:val="21"/>
        </w:rPr>
        <w:t>.8 million (</w:t>
      </w:r>
      <w:r>
        <w:rPr>
          <w:rFonts w:ascii="Times New Roman" w:hAnsi="Times New Roman" w:cs="Times New Roman"/>
          <w:sz w:val="21"/>
          <w:szCs w:val="21"/>
        </w:rPr>
        <w:t xml:space="preserve">compared to </w:t>
      </w:r>
      <w:r w:rsidR="00315441">
        <w:rPr>
          <w:rFonts w:ascii="Times New Roman" w:hAnsi="Times New Roman" w:cs="Times New Roman"/>
          <w:sz w:val="21"/>
          <w:szCs w:val="21"/>
        </w:rPr>
        <w:t xml:space="preserve">USD </w:t>
      </w:r>
      <w:r>
        <w:rPr>
          <w:rFonts w:ascii="Times New Roman" w:hAnsi="Times New Roman" w:cs="Times New Roman"/>
          <w:sz w:val="21"/>
          <w:szCs w:val="21"/>
        </w:rPr>
        <w:t>24</w:t>
      </w:r>
      <w:r w:rsidR="00315441">
        <w:rPr>
          <w:rFonts w:ascii="Times New Roman" w:hAnsi="Times New Roman" w:cs="Times New Roman"/>
          <w:sz w:val="21"/>
          <w:szCs w:val="21"/>
        </w:rPr>
        <w:t>.</w:t>
      </w:r>
      <w:r>
        <w:rPr>
          <w:rFonts w:ascii="Times New Roman" w:hAnsi="Times New Roman" w:cs="Times New Roman"/>
          <w:sz w:val="21"/>
          <w:szCs w:val="21"/>
        </w:rPr>
        <w:t>8</w:t>
      </w:r>
      <w:r w:rsidR="00315441">
        <w:rPr>
          <w:rFonts w:ascii="Times New Roman" w:hAnsi="Times New Roman" w:cs="Times New Roman"/>
          <w:sz w:val="21"/>
          <w:szCs w:val="21"/>
        </w:rPr>
        <w:t xml:space="preserve"> million recorded in the same reference period last year).</w:t>
      </w:r>
    </w:p>
    <w:p w14:paraId="38B0CD0C" w14:textId="77777777" w:rsidR="00315441" w:rsidRDefault="00F52B67"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During the quarter, </w:t>
      </w:r>
      <w:r w:rsidR="004209BA" w:rsidRPr="00EC356F">
        <w:rPr>
          <w:rFonts w:ascii="Times New Roman" w:hAnsi="Times New Roman" w:cs="Times New Roman"/>
          <w:sz w:val="21"/>
          <w:szCs w:val="21"/>
        </w:rPr>
        <w:t xml:space="preserve">net inflow of foreign direct investment </w:t>
      </w:r>
      <w:r>
        <w:rPr>
          <w:rFonts w:ascii="Times New Roman" w:hAnsi="Times New Roman" w:cs="Times New Roman"/>
          <w:sz w:val="21"/>
          <w:szCs w:val="21"/>
        </w:rPr>
        <w:t xml:space="preserve">amounted to </w:t>
      </w:r>
      <w:r w:rsidR="004209BA">
        <w:rPr>
          <w:rFonts w:ascii="Times New Roman" w:hAnsi="Times New Roman" w:cs="Times New Roman"/>
          <w:sz w:val="21"/>
          <w:szCs w:val="21"/>
        </w:rPr>
        <w:t xml:space="preserve">USD </w:t>
      </w:r>
      <w:r>
        <w:rPr>
          <w:rFonts w:ascii="Times New Roman" w:hAnsi="Times New Roman" w:cs="Times New Roman"/>
          <w:sz w:val="21"/>
          <w:szCs w:val="21"/>
        </w:rPr>
        <w:t>116</w:t>
      </w:r>
      <w:r w:rsidR="004209BA">
        <w:rPr>
          <w:rFonts w:ascii="Times New Roman" w:hAnsi="Times New Roman" w:cs="Times New Roman"/>
          <w:sz w:val="21"/>
          <w:szCs w:val="21"/>
        </w:rPr>
        <w:t>.</w:t>
      </w:r>
      <w:r>
        <w:rPr>
          <w:rFonts w:ascii="Times New Roman" w:hAnsi="Times New Roman" w:cs="Times New Roman"/>
          <w:sz w:val="21"/>
          <w:szCs w:val="21"/>
        </w:rPr>
        <w:t>4</w:t>
      </w:r>
      <w:r w:rsidR="004209BA">
        <w:rPr>
          <w:rFonts w:ascii="Times New Roman" w:hAnsi="Times New Roman" w:cs="Times New Roman"/>
          <w:sz w:val="21"/>
          <w:szCs w:val="21"/>
        </w:rPr>
        <w:t xml:space="preserve"> million. </w:t>
      </w:r>
      <w:r>
        <w:rPr>
          <w:rFonts w:ascii="Times New Roman" w:hAnsi="Times New Roman" w:cs="Times New Roman"/>
          <w:sz w:val="21"/>
          <w:szCs w:val="21"/>
        </w:rPr>
        <w:t>N</w:t>
      </w:r>
      <w:r w:rsidR="004209BA">
        <w:rPr>
          <w:rFonts w:ascii="Times New Roman" w:hAnsi="Times New Roman" w:cs="Times New Roman"/>
          <w:sz w:val="21"/>
          <w:szCs w:val="21"/>
        </w:rPr>
        <w:t xml:space="preserve">et inflow of public </w:t>
      </w:r>
      <w:r w:rsidR="0064758B">
        <w:rPr>
          <w:rFonts w:ascii="Times New Roman" w:hAnsi="Times New Roman" w:cs="Times New Roman"/>
          <w:sz w:val="21"/>
          <w:szCs w:val="21"/>
        </w:rPr>
        <w:t>loans</w:t>
      </w:r>
      <w:r w:rsidR="004209BA">
        <w:rPr>
          <w:rFonts w:ascii="Times New Roman" w:hAnsi="Times New Roman" w:cs="Times New Roman"/>
          <w:sz w:val="21"/>
          <w:szCs w:val="21"/>
        </w:rPr>
        <w:t xml:space="preserve"> </w:t>
      </w:r>
      <w:r>
        <w:rPr>
          <w:rFonts w:ascii="Times New Roman" w:hAnsi="Times New Roman" w:cs="Times New Roman"/>
          <w:sz w:val="21"/>
          <w:szCs w:val="21"/>
        </w:rPr>
        <w:t xml:space="preserve">reached </w:t>
      </w:r>
      <w:r w:rsidR="004209BA">
        <w:rPr>
          <w:rFonts w:ascii="Times New Roman" w:hAnsi="Times New Roman" w:cs="Times New Roman"/>
          <w:sz w:val="21"/>
          <w:szCs w:val="21"/>
        </w:rPr>
        <w:t xml:space="preserve">USD </w:t>
      </w:r>
      <w:r>
        <w:rPr>
          <w:rFonts w:ascii="Times New Roman" w:hAnsi="Times New Roman" w:cs="Times New Roman"/>
          <w:sz w:val="21"/>
          <w:szCs w:val="21"/>
        </w:rPr>
        <w:t>169</w:t>
      </w:r>
      <w:r w:rsidR="004209BA">
        <w:rPr>
          <w:rFonts w:ascii="Times New Roman" w:hAnsi="Times New Roman" w:cs="Times New Roman"/>
          <w:sz w:val="21"/>
          <w:szCs w:val="21"/>
        </w:rPr>
        <w:t xml:space="preserve">.0 million compared to </w:t>
      </w:r>
      <w:r>
        <w:rPr>
          <w:rFonts w:ascii="Times New Roman" w:hAnsi="Times New Roman" w:cs="Times New Roman"/>
          <w:sz w:val="21"/>
          <w:szCs w:val="21"/>
        </w:rPr>
        <w:t xml:space="preserve">net outflow of </w:t>
      </w:r>
      <w:r w:rsidR="004209BA">
        <w:rPr>
          <w:rFonts w:ascii="Times New Roman" w:hAnsi="Times New Roman" w:cs="Times New Roman"/>
          <w:sz w:val="21"/>
          <w:szCs w:val="21"/>
        </w:rPr>
        <w:t xml:space="preserve">USD </w:t>
      </w:r>
      <w:r>
        <w:rPr>
          <w:rFonts w:ascii="Times New Roman" w:hAnsi="Times New Roman" w:cs="Times New Roman"/>
          <w:sz w:val="21"/>
          <w:szCs w:val="21"/>
        </w:rPr>
        <w:t>392</w:t>
      </w:r>
      <w:r w:rsidR="004209BA">
        <w:rPr>
          <w:rFonts w:ascii="Times New Roman" w:hAnsi="Times New Roman" w:cs="Times New Roman"/>
          <w:sz w:val="21"/>
          <w:szCs w:val="21"/>
        </w:rPr>
        <w:t>.</w:t>
      </w:r>
      <w:r>
        <w:rPr>
          <w:rFonts w:ascii="Times New Roman" w:hAnsi="Times New Roman" w:cs="Times New Roman"/>
          <w:sz w:val="21"/>
          <w:szCs w:val="21"/>
        </w:rPr>
        <w:t>0</w:t>
      </w:r>
      <w:r w:rsidR="004209BA">
        <w:rPr>
          <w:rFonts w:ascii="Times New Roman" w:hAnsi="Times New Roman" w:cs="Times New Roman"/>
          <w:sz w:val="21"/>
          <w:szCs w:val="21"/>
        </w:rPr>
        <w:t xml:space="preserve"> million reported for the </w:t>
      </w:r>
      <w:r>
        <w:rPr>
          <w:rFonts w:ascii="Times New Roman" w:hAnsi="Times New Roman" w:cs="Times New Roman"/>
          <w:sz w:val="21"/>
          <w:szCs w:val="21"/>
        </w:rPr>
        <w:t>4th</w:t>
      </w:r>
      <w:r w:rsidR="004209BA">
        <w:rPr>
          <w:rFonts w:ascii="Times New Roman" w:hAnsi="Times New Roman" w:cs="Times New Roman"/>
          <w:sz w:val="21"/>
          <w:szCs w:val="21"/>
        </w:rPr>
        <w:t xml:space="preserve"> quarter</w:t>
      </w:r>
      <w:r>
        <w:rPr>
          <w:rFonts w:ascii="Times New Roman" w:hAnsi="Times New Roman" w:cs="Times New Roman"/>
          <w:sz w:val="21"/>
          <w:szCs w:val="21"/>
        </w:rPr>
        <w:t xml:space="preserve"> last year [due to </w:t>
      </w:r>
      <w:r w:rsidR="00B12EF4">
        <w:rPr>
          <w:rFonts w:ascii="Times New Roman" w:hAnsi="Times New Roman" w:cs="Times New Roman"/>
          <w:sz w:val="21"/>
          <w:szCs w:val="21"/>
        </w:rPr>
        <w:t>a</w:t>
      </w:r>
      <w:r>
        <w:rPr>
          <w:rFonts w:ascii="Times New Roman" w:hAnsi="Times New Roman" w:cs="Times New Roman"/>
          <w:sz w:val="21"/>
          <w:szCs w:val="21"/>
        </w:rPr>
        <w:t xml:space="preserve"> </w:t>
      </w:r>
      <w:r w:rsidR="00B12EF4">
        <w:rPr>
          <w:rFonts w:ascii="Times New Roman" w:hAnsi="Times New Roman" w:cs="Times New Roman"/>
          <w:sz w:val="21"/>
          <w:szCs w:val="21"/>
        </w:rPr>
        <w:t xml:space="preserve">repaid debt </w:t>
      </w:r>
      <w:r>
        <w:rPr>
          <w:rFonts w:ascii="Times New Roman" w:hAnsi="Times New Roman" w:cs="Times New Roman"/>
          <w:sz w:val="21"/>
          <w:szCs w:val="21"/>
        </w:rPr>
        <w:t>to Russia]</w:t>
      </w:r>
      <w:r w:rsidR="009F7E54">
        <w:rPr>
          <w:rFonts w:ascii="Times New Roman" w:hAnsi="Times New Roman" w:cs="Times New Roman"/>
          <w:sz w:val="21"/>
          <w:szCs w:val="21"/>
        </w:rPr>
        <w:t xml:space="preserve">. </w:t>
      </w:r>
    </w:p>
    <w:p w14:paraId="71B72258" w14:textId="77777777" w:rsidR="003D6BEE" w:rsidRDefault="006C252E" w:rsidP="003F5AE1">
      <w:pPr>
        <w:spacing w:line="360" w:lineRule="auto"/>
        <w:jc w:val="both"/>
        <w:rPr>
          <w:rFonts w:ascii="Times New Roman" w:hAnsi="Times New Roman" w:cs="Times New Roman"/>
          <w:sz w:val="21"/>
          <w:szCs w:val="21"/>
        </w:rPr>
      </w:pPr>
      <w:r w:rsidRPr="006C252E">
        <w:rPr>
          <w:rFonts w:ascii="Times New Roman" w:hAnsi="Times New Roman" w:cs="Times New Roman"/>
          <w:sz w:val="21"/>
          <w:szCs w:val="21"/>
        </w:rPr>
        <w:t xml:space="preserve">The private sector </w:t>
      </w:r>
      <w:r>
        <w:rPr>
          <w:rFonts w:ascii="Times New Roman" w:hAnsi="Times New Roman" w:cs="Times New Roman"/>
          <w:sz w:val="21"/>
          <w:szCs w:val="21"/>
        </w:rPr>
        <w:t xml:space="preserve">posted </w:t>
      </w:r>
      <w:r w:rsidRPr="006C252E">
        <w:rPr>
          <w:rFonts w:ascii="Times New Roman" w:hAnsi="Times New Roman" w:cs="Times New Roman"/>
          <w:sz w:val="21"/>
          <w:szCs w:val="21"/>
        </w:rPr>
        <w:t xml:space="preserve">a net outflow of </w:t>
      </w:r>
      <w:r>
        <w:rPr>
          <w:rFonts w:ascii="Times New Roman" w:hAnsi="Times New Roman" w:cs="Times New Roman"/>
          <w:sz w:val="21"/>
          <w:szCs w:val="21"/>
        </w:rPr>
        <w:t xml:space="preserve">funds </w:t>
      </w:r>
      <w:r w:rsidR="00C471C0">
        <w:rPr>
          <w:rFonts w:ascii="Times New Roman" w:hAnsi="Times New Roman" w:cs="Times New Roman"/>
          <w:sz w:val="21"/>
          <w:szCs w:val="21"/>
        </w:rPr>
        <w:t xml:space="preserve">or net accumulation of foreign </w:t>
      </w:r>
      <w:r w:rsidR="001D7CB0">
        <w:rPr>
          <w:rFonts w:ascii="Times New Roman" w:hAnsi="Times New Roman" w:cs="Times New Roman"/>
          <w:sz w:val="21"/>
          <w:szCs w:val="21"/>
        </w:rPr>
        <w:t>currency</w:t>
      </w:r>
      <w:r w:rsidR="00C471C0">
        <w:rPr>
          <w:rFonts w:ascii="Times New Roman" w:hAnsi="Times New Roman" w:cs="Times New Roman"/>
          <w:sz w:val="21"/>
          <w:szCs w:val="21"/>
        </w:rPr>
        <w:t xml:space="preserve"> funds </w:t>
      </w:r>
      <w:r>
        <w:rPr>
          <w:rFonts w:ascii="Times New Roman" w:hAnsi="Times New Roman" w:cs="Times New Roman"/>
          <w:sz w:val="21"/>
          <w:szCs w:val="21"/>
        </w:rPr>
        <w:t xml:space="preserve">amounting to USD </w:t>
      </w:r>
      <w:r w:rsidRPr="006C252E">
        <w:rPr>
          <w:rFonts w:ascii="Times New Roman" w:hAnsi="Times New Roman" w:cs="Times New Roman"/>
          <w:sz w:val="21"/>
          <w:szCs w:val="21"/>
        </w:rPr>
        <w:t>87.3 million</w:t>
      </w:r>
      <w:r>
        <w:rPr>
          <w:rFonts w:ascii="Times New Roman" w:hAnsi="Times New Roman" w:cs="Times New Roman"/>
          <w:sz w:val="21"/>
          <w:szCs w:val="21"/>
        </w:rPr>
        <w:t xml:space="preserve"> as opposed to the </w:t>
      </w:r>
      <w:r w:rsidRPr="006C252E">
        <w:rPr>
          <w:rFonts w:ascii="Times New Roman" w:hAnsi="Times New Roman" w:cs="Times New Roman"/>
          <w:sz w:val="21"/>
          <w:szCs w:val="21"/>
        </w:rPr>
        <w:t xml:space="preserve">net inflow of </w:t>
      </w:r>
      <w:r>
        <w:rPr>
          <w:rFonts w:ascii="Times New Roman" w:hAnsi="Times New Roman" w:cs="Times New Roman"/>
          <w:sz w:val="21"/>
          <w:szCs w:val="21"/>
        </w:rPr>
        <w:t xml:space="preserve">USD </w:t>
      </w:r>
      <w:r w:rsidRPr="006C252E">
        <w:rPr>
          <w:rFonts w:ascii="Times New Roman" w:hAnsi="Times New Roman" w:cs="Times New Roman"/>
          <w:sz w:val="21"/>
          <w:szCs w:val="21"/>
        </w:rPr>
        <w:t>660.0 million</w:t>
      </w:r>
      <w:r>
        <w:rPr>
          <w:rFonts w:ascii="Times New Roman" w:hAnsi="Times New Roman" w:cs="Times New Roman"/>
          <w:sz w:val="21"/>
          <w:szCs w:val="21"/>
        </w:rPr>
        <w:t xml:space="preserve"> recorded in the 4th</w:t>
      </w:r>
      <w:r w:rsidRPr="006C252E">
        <w:rPr>
          <w:rFonts w:ascii="Times New Roman" w:hAnsi="Times New Roman" w:cs="Times New Roman"/>
          <w:sz w:val="21"/>
          <w:szCs w:val="21"/>
        </w:rPr>
        <w:t xml:space="preserve"> </w:t>
      </w:r>
      <w:r>
        <w:rPr>
          <w:rFonts w:ascii="Times New Roman" w:hAnsi="Times New Roman" w:cs="Times New Roman"/>
          <w:sz w:val="21"/>
          <w:szCs w:val="21"/>
        </w:rPr>
        <w:t xml:space="preserve">quarter last year. This includes the </w:t>
      </w:r>
      <w:r w:rsidRPr="006C252E">
        <w:rPr>
          <w:rFonts w:ascii="Times New Roman" w:hAnsi="Times New Roman" w:cs="Times New Roman"/>
          <w:sz w:val="21"/>
          <w:szCs w:val="21"/>
        </w:rPr>
        <w:t>commercial banks</w:t>
      </w:r>
      <w:r w:rsidR="00CE7FCA" w:rsidRPr="00863CD6">
        <w:rPr>
          <w:rFonts w:ascii="Times New Roman" w:hAnsi="Times New Roman" w:cs="Times New Roman"/>
          <w:sz w:val="21"/>
          <w:szCs w:val="21"/>
        </w:rPr>
        <w:t>'</w:t>
      </w:r>
      <w:r w:rsidR="00CE7FCA">
        <w:rPr>
          <w:rFonts w:ascii="Times New Roman" w:hAnsi="Times New Roman" w:cs="Times New Roman"/>
          <w:sz w:val="21"/>
          <w:szCs w:val="21"/>
        </w:rPr>
        <w:t xml:space="preserve"> </w:t>
      </w:r>
      <w:r>
        <w:rPr>
          <w:rFonts w:ascii="Times New Roman" w:hAnsi="Times New Roman" w:cs="Times New Roman"/>
          <w:sz w:val="21"/>
          <w:szCs w:val="21"/>
        </w:rPr>
        <w:t xml:space="preserve">posting of </w:t>
      </w:r>
      <w:r w:rsidRPr="006C252E">
        <w:rPr>
          <w:rFonts w:ascii="Times New Roman" w:hAnsi="Times New Roman" w:cs="Times New Roman"/>
          <w:sz w:val="21"/>
          <w:szCs w:val="21"/>
        </w:rPr>
        <w:t xml:space="preserve">net inflow in the amount of </w:t>
      </w:r>
      <w:r>
        <w:rPr>
          <w:rFonts w:ascii="Times New Roman" w:hAnsi="Times New Roman" w:cs="Times New Roman"/>
          <w:sz w:val="21"/>
          <w:szCs w:val="21"/>
        </w:rPr>
        <w:t>USD 9</w:t>
      </w:r>
      <w:r w:rsidRPr="006C252E">
        <w:rPr>
          <w:rFonts w:ascii="Times New Roman" w:hAnsi="Times New Roman" w:cs="Times New Roman"/>
          <w:sz w:val="21"/>
          <w:szCs w:val="21"/>
        </w:rPr>
        <w:t>4.0 million in contrast to other private sector</w:t>
      </w:r>
      <w:r w:rsidR="00CE7FCA" w:rsidRPr="00863CD6">
        <w:rPr>
          <w:rFonts w:ascii="Times New Roman" w:hAnsi="Times New Roman" w:cs="Times New Roman"/>
          <w:sz w:val="21"/>
          <w:szCs w:val="21"/>
        </w:rPr>
        <w:t>'</w:t>
      </w:r>
      <w:r>
        <w:rPr>
          <w:rFonts w:ascii="Times New Roman" w:hAnsi="Times New Roman" w:cs="Times New Roman"/>
          <w:sz w:val="21"/>
          <w:szCs w:val="21"/>
        </w:rPr>
        <w:t>s</w:t>
      </w:r>
      <w:r w:rsidRPr="006C252E">
        <w:rPr>
          <w:rFonts w:ascii="Times New Roman" w:hAnsi="Times New Roman" w:cs="Times New Roman"/>
          <w:sz w:val="21"/>
          <w:szCs w:val="21"/>
        </w:rPr>
        <w:t xml:space="preserve"> net outflow of </w:t>
      </w:r>
      <w:r>
        <w:rPr>
          <w:rFonts w:ascii="Times New Roman" w:hAnsi="Times New Roman" w:cs="Times New Roman"/>
          <w:sz w:val="21"/>
          <w:szCs w:val="21"/>
        </w:rPr>
        <w:t xml:space="preserve">USD </w:t>
      </w:r>
      <w:r w:rsidRPr="006C252E">
        <w:rPr>
          <w:rFonts w:ascii="Times New Roman" w:hAnsi="Times New Roman" w:cs="Times New Roman"/>
          <w:sz w:val="21"/>
          <w:szCs w:val="21"/>
        </w:rPr>
        <w:t xml:space="preserve">181.3 million, which reflects the effect </w:t>
      </w:r>
      <w:r>
        <w:rPr>
          <w:rFonts w:ascii="Times New Roman" w:hAnsi="Times New Roman" w:cs="Times New Roman"/>
          <w:sz w:val="21"/>
          <w:szCs w:val="21"/>
        </w:rPr>
        <w:t xml:space="preserve">of </w:t>
      </w:r>
      <w:r w:rsidR="003D6BEE" w:rsidRPr="006C252E">
        <w:rPr>
          <w:rFonts w:ascii="Times New Roman" w:hAnsi="Times New Roman" w:cs="Times New Roman"/>
          <w:sz w:val="21"/>
          <w:szCs w:val="21"/>
        </w:rPr>
        <w:t xml:space="preserve">foreign currency assets </w:t>
      </w:r>
      <w:r w:rsidR="003D6BEE">
        <w:rPr>
          <w:rFonts w:ascii="Times New Roman" w:hAnsi="Times New Roman" w:cs="Times New Roman"/>
          <w:sz w:val="21"/>
          <w:szCs w:val="21"/>
        </w:rPr>
        <w:t xml:space="preserve">accumulated with the private sector late in the 4th quarter in anticipation of further dram depreciation driven by external factors. </w:t>
      </w:r>
    </w:p>
    <w:p w14:paraId="19AD73C5" w14:textId="77777777" w:rsidR="00A9653E" w:rsidRPr="00EC356F" w:rsidRDefault="00A9653E" w:rsidP="00A9653E">
      <w:pPr>
        <w:spacing w:line="360" w:lineRule="auto"/>
        <w:jc w:val="both"/>
        <w:rPr>
          <w:rFonts w:ascii="Times New Roman" w:hAnsi="Times New Roman" w:cs="Times New Roman"/>
          <w:b/>
          <w:sz w:val="21"/>
          <w:szCs w:val="21"/>
        </w:rPr>
      </w:pPr>
      <w:r w:rsidRPr="00EC356F">
        <w:rPr>
          <w:rFonts w:ascii="Times New Roman" w:hAnsi="Times New Roman" w:cs="Times New Roman"/>
          <w:b/>
          <w:sz w:val="21"/>
          <w:szCs w:val="21"/>
        </w:rPr>
        <w:t>3.5 External environment</w:t>
      </w:r>
    </w:p>
    <w:p w14:paraId="2E3F1253" w14:textId="77777777" w:rsidR="00133D2F" w:rsidRPr="00133D2F" w:rsidRDefault="00133D2F" w:rsidP="00A9653E">
      <w:pPr>
        <w:spacing w:line="360" w:lineRule="auto"/>
        <w:jc w:val="both"/>
        <w:rPr>
          <w:rStyle w:val="longtext"/>
          <w:rFonts w:ascii="Times New Roman" w:hAnsi="Times New Roman" w:cs="Times New Roman"/>
          <w:b/>
          <w:color w:val="0070C0"/>
          <w:sz w:val="18"/>
          <w:szCs w:val="18"/>
          <w:shd w:val="clear" w:color="auto" w:fill="FFFFFF"/>
        </w:rPr>
      </w:pPr>
      <w:r w:rsidRPr="00133D2F">
        <w:rPr>
          <w:rStyle w:val="longtext"/>
          <w:rFonts w:ascii="Times New Roman" w:hAnsi="Times New Roman" w:cs="Times New Roman"/>
          <w:b/>
          <w:color w:val="0070C0"/>
          <w:sz w:val="18"/>
          <w:szCs w:val="18"/>
          <w:shd w:val="clear" w:color="auto" w:fill="FFFFFF"/>
        </w:rPr>
        <w:t>In the 4th quarter of 2014, Armen</w:t>
      </w:r>
      <w:r w:rsidRPr="00E1037D">
        <w:rPr>
          <w:rStyle w:val="longtext"/>
          <w:rFonts w:ascii="Times New Roman" w:hAnsi="Times New Roman" w:cs="Times New Roman"/>
          <w:b/>
          <w:color w:val="0070C0"/>
          <w:sz w:val="18"/>
          <w:szCs w:val="18"/>
          <w:shd w:val="clear" w:color="auto" w:fill="FFFFFF"/>
        </w:rPr>
        <w:t>ia</w:t>
      </w:r>
      <w:r w:rsidR="00E1037D" w:rsidRPr="00E1037D">
        <w:rPr>
          <w:rFonts w:ascii="Times New Roman" w:hAnsi="Times New Roman" w:cs="Times New Roman"/>
          <w:sz w:val="18"/>
          <w:szCs w:val="18"/>
        </w:rPr>
        <w:t>'</w:t>
      </w:r>
      <w:r w:rsidRPr="00E1037D">
        <w:rPr>
          <w:rStyle w:val="longtext"/>
          <w:rFonts w:ascii="Times New Roman" w:hAnsi="Times New Roman" w:cs="Times New Roman"/>
          <w:b/>
          <w:color w:val="0070C0"/>
          <w:sz w:val="18"/>
          <w:szCs w:val="18"/>
          <w:shd w:val="clear" w:color="auto" w:fill="FFFFFF"/>
        </w:rPr>
        <w:t>s m</w:t>
      </w:r>
      <w:r w:rsidRPr="00133D2F">
        <w:rPr>
          <w:rStyle w:val="longtext"/>
          <w:rFonts w:ascii="Times New Roman" w:hAnsi="Times New Roman" w:cs="Times New Roman"/>
          <w:b/>
          <w:color w:val="0070C0"/>
          <w:sz w:val="18"/>
          <w:szCs w:val="18"/>
          <w:shd w:val="clear" w:color="auto" w:fill="FFFFFF"/>
        </w:rPr>
        <w:t xml:space="preserve">ain trade partner countries saw trends of slowing economic activity… </w:t>
      </w:r>
    </w:p>
    <w:p w14:paraId="44AED81D" w14:textId="77777777" w:rsidR="00A9653E" w:rsidRPr="00EC356F" w:rsidRDefault="00A9653E" w:rsidP="00A9653E">
      <w:pPr>
        <w:spacing w:line="360" w:lineRule="auto"/>
        <w:jc w:val="both"/>
        <w:rPr>
          <w:rStyle w:val="longtext"/>
          <w:rFonts w:ascii="Times New Roman" w:hAnsi="Times New Roman" w:cs="Times New Roman"/>
          <w:color w:val="000000"/>
          <w:sz w:val="21"/>
          <w:szCs w:val="21"/>
          <w:shd w:val="clear" w:color="auto" w:fill="FFFFFF"/>
        </w:rPr>
      </w:pPr>
      <w:r w:rsidRPr="00EC356F">
        <w:rPr>
          <w:rStyle w:val="longtext"/>
          <w:rFonts w:ascii="Times New Roman" w:hAnsi="Times New Roman" w:cs="Times New Roman"/>
          <w:b/>
          <w:sz w:val="21"/>
          <w:szCs w:val="21"/>
          <w:shd w:val="clear" w:color="auto" w:fill="FFFFFF"/>
        </w:rPr>
        <w:t xml:space="preserve">In the </w:t>
      </w:r>
      <w:r w:rsidR="003D6BEE">
        <w:rPr>
          <w:rStyle w:val="longtext"/>
          <w:rFonts w:ascii="Times New Roman" w:hAnsi="Times New Roman" w:cs="Times New Roman"/>
          <w:b/>
          <w:sz w:val="21"/>
          <w:szCs w:val="21"/>
          <w:shd w:val="clear" w:color="auto" w:fill="FFFFFF"/>
        </w:rPr>
        <w:t>4th</w:t>
      </w:r>
      <w:r w:rsidRPr="00EC356F">
        <w:rPr>
          <w:rStyle w:val="longtext"/>
          <w:rFonts w:ascii="Times New Roman" w:hAnsi="Times New Roman" w:cs="Times New Roman"/>
          <w:b/>
          <w:sz w:val="21"/>
          <w:szCs w:val="21"/>
          <w:shd w:val="clear" w:color="auto" w:fill="FFFFFF"/>
        </w:rPr>
        <w:t xml:space="preserve"> quarter of 2014, trends of slowing economic activity were observable in Arme</w:t>
      </w:r>
      <w:r w:rsidRPr="005E7DFC">
        <w:rPr>
          <w:rStyle w:val="longtext"/>
          <w:rFonts w:ascii="Times New Roman" w:hAnsi="Times New Roman" w:cs="Times New Roman"/>
          <w:b/>
          <w:sz w:val="21"/>
          <w:szCs w:val="21"/>
          <w:shd w:val="clear" w:color="auto" w:fill="FFFFFF"/>
        </w:rPr>
        <w:t>nia</w:t>
      </w:r>
      <w:r w:rsidR="005E7DFC" w:rsidRPr="005E7DFC">
        <w:rPr>
          <w:rFonts w:ascii="Times New Roman" w:hAnsi="Times New Roman" w:cs="Times New Roman"/>
          <w:b/>
          <w:sz w:val="21"/>
          <w:szCs w:val="21"/>
        </w:rPr>
        <w:t>'</w:t>
      </w:r>
      <w:r w:rsidRPr="005E7DFC">
        <w:rPr>
          <w:rStyle w:val="longtext"/>
          <w:rFonts w:ascii="Times New Roman" w:hAnsi="Times New Roman" w:cs="Times New Roman"/>
          <w:b/>
          <w:sz w:val="21"/>
          <w:szCs w:val="21"/>
          <w:shd w:val="clear" w:color="auto" w:fill="FFFFFF"/>
        </w:rPr>
        <w:t xml:space="preserve">s </w:t>
      </w:r>
      <w:r w:rsidRPr="00EC356F">
        <w:rPr>
          <w:rStyle w:val="longtext"/>
          <w:rFonts w:ascii="Times New Roman" w:hAnsi="Times New Roman" w:cs="Times New Roman"/>
          <w:b/>
          <w:sz w:val="21"/>
          <w:szCs w:val="21"/>
          <w:shd w:val="clear" w:color="auto" w:fill="FFFFFF"/>
        </w:rPr>
        <w:t>main trade partner</w:t>
      </w:r>
      <w:r w:rsidR="003D6BEE">
        <w:rPr>
          <w:rStyle w:val="longtext"/>
          <w:rFonts w:ascii="Times New Roman" w:hAnsi="Times New Roman" w:cs="Times New Roman"/>
          <w:b/>
          <w:sz w:val="21"/>
          <w:szCs w:val="21"/>
          <w:shd w:val="clear" w:color="auto" w:fill="FFFFFF"/>
        </w:rPr>
        <w:t xml:space="preserve"> countrie</w:t>
      </w:r>
      <w:r w:rsidRPr="00EC356F">
        <w:rPr>
          <w:rStyle w:val="longtext"/>
          <w:rFonts w:ascii="Times New Roman" w:hAnsi="Times New Roman" w:cs="Times New Roman"/>
          <w:b/>
          <w:sz w:val="21"/>
          <w:szCs w:val="21"/>
          <w:shd w:val="clear" w:color="auto" w:fill="FFFFFF"/>
        </w:rPr>
        <w:t>s.</w:t>
      </w:r>
    </w:p>
    <w:p w14:paraId="02A5A1D6" w14:textId="77777777" w:rsidR="00A9653E" w:rsidRPr="00EC356F" w:rsidRDefault="00A9653E" w:rsidP="00A9653E">
      <w:pPr>
        <w:spacing w:line="360" w:lineRule="auto"/>
        <w:jc w:val="both"/>
        <w:rPr>
          <w:rFonts w:ascii="Times New Roman" w:hAnsi="Times New Roman" w:cs="Times New Roman"/>
          <w:sz w:val="21"/>
          <w:szCs w:val="21"/>
        </w:rPr>
      </w:pPr>
      <w:r w:rsidRPr="00EC356F">
        <w:rPr>
          <w:rFonts w:ascii="Times New Roman" w:hAnsi="Times New Roman" w:cs="Times New Roman"/>
          <w:sz w:val="21"/>
          <w:szCs w:val="21"/>
        </w:rPr>
        <w:t xml:space="preserve">According to preliminary estimates of the U.S. Department of Commerce Bureau of Economic Analyses, </w:t>
      </w:r>
      <w:r w:rsidR="003D6BEE" w:rsidRPr="003D6BEE">
        <w:rPr>
          <w:rFonts w:ascii="Times New Roman" w:hAnsi="Times New Roman" w:cs="Times New Roman"/>
          <w:b/>
          <w:sz w:val="21"/>
          <w:szCs w:val="21"/>
        </w:rPr>
        <w:t xml:space="preserve">in the </w:t>
      </w:r>
      <w:r w:rsidR="003D6BEE" w:rsidRPr="003D6BEE">
        <w:rPr>
          <w:rFonts w:ascii="Times New Roman" w:hAnsi="Times New Roman" w:cs="Times New Roman"/>
          <w:b/>
          <w:bCs/>
          <w:sz w:val="21"/>
          <w:szCs w:val="21"/>
        </w:rPr>
        <w:t xml:space="preserve">United States of America </w:t>
      </w:r>
      <w:r w:rsidRPr="003D6BEE">
        <w:rPr>
          <w:rFonts w:ascii="Times New Roman" w:hAnsi="Times New Roman" w:cs="Times New Roman"/>
          <w:b/>
          <w:bCs/>
          <w:sz w:val="21"/>
          <w:szCs w:val="21"/>
        </w:rPr>
        <w:t xml:space="preserve">in </w:t>
      </w:r>
      <w:r w:rsidRPr="003D6BEE">
        <w:rPr>
          <w:rFonts w:ascii="Times New Roman" w:hAnsi="Times New Roman" w:cs="Times New Roman"/>
          <w:b/>
          <w:sz w:val="21"/>
          <w:szCs w:val="21"/>
        </w:rPr>
        <w:t xml:space="preserve">the </w:t>
      </w:r>
      <w:r w:rsidR="003D6BEE" w:rsidRPr="003D6BEE">
        <w:rPr>
          <w:rFonts w:ascii="Times New Roman" w:hAnsi="Times New Roman" w:cs="Times New Roman"/>
          <w:b/>
          <w:sz w:val="21"/>
          <w:szCs w:val="21"/>
        </w:rPr>
        <w:t>4th</w:t>
      </w:r>
      <w:r w:rsidRPr="003D6BEE">
        <w:rPr>
          <w:rFonts w:ascii="Times New Roman" w:hAnsi="Times New Roman" w:cs="Times New Roman"/>
          <w:b/>
          <w:sz w:val="21"/>
          <w:szCs w:val="21"/>
        </w:rPr>
        <w:t xml:space="preserve"> quarter of 2014</w:t>
      </w:r>
      <w:r w:rsidRPr="00EC356F">
        <w:rPr>
          <w:rFonts w:ascii="Times New Roman" w:hAnsi="Times New Roman" w:cs="Times New Roman"/>
          <w:sz w:val="21"/>
          <w:szCs w:val="21"/>
        </w:rPr>
        <w:t xml:space="preserve"> the annualized economic growth </w:t>
      </w:r>
      <w:r w:rsidRPr="00EC356F">
        <w:rPr>
          <w:rFonts w:ascii="Times New Roman" w:hAnsi="Times New Roman" w:cs="Times New Roman"/>
          <w:bCs/>
          <w:sz w:val="21"/>
          <w:szCs w:val="21"/>
        </w:rPr>
        <w:t>was</w:t>
      </w:r>
      <w:r w:rsidR="003D6BEE">
        <w:rPr>
          <w:rFonts w:ascii="Times New Roman" w:hAnsi="Times New Roman" w:cs="Times New Roman"/>
          <w:bCs/>
          <w:sz w:val="21"/>
          <w:szCs w:val="21"/>
        </w:rPr>
        <w:t xml:space="preserve"> </w:t>
      </w:r>
      <w:r w:rsidR="003D6BEE">
        <w:rPr>
          <w:rFonts w:ascii="Times New Roman" w:hAnsi="Times New Roman" w:cs="Times New Roman"/>
          <w:sz w:val="21"/>
          <w:szCs w:val="21"/>
        </w:rPr>
        <w:t>2</w:t>
      </w:r>
      <w:r w:rsidR="00E33A09">
        <w:rPr>
          <w:rFonts w:ascii="Times New Roman" w:hAnsi="Times New Roman" w:cs="Times New Roman"/>
          <w:sz w:val="21"/>
          <w:szCs w:val="21"/>
        </w:rPr>
        <w:t>.</w:t>
      </w:r>
      <w:r w:rsidR="003D6BEE">
        <w:rPr>
          <w:rFonts w:ascii="Times New Roman" w:hAnsi="Times New Roman" w:cs="Times New Roman"/>
          <w:sz w:val="21"/>
          <w:szCs w:val="21"/>
        </w:rPr>
        <w:t>6</w:t>
      </w:r>
      <w:r w:rsidRPr="00EC356F">
        <w:rPr>
          <w:rFonts w:ascii="Times New Roman" w:hAnsi="Times New Roman" w:cs="Times New Roman"/>
          <w:sz w:val="21"/>
          <w:szCs w:val="21"/>
        </w:rPr>
        <w:t>% q/q (2.</w:t>
      </w:r>
      <w:r w:rsidR="003D6BEE">
        <w:rPr>
          <w:rFonts w:ascii="Times New Roman" w:hAnsi="Times New Roman" w:cs="Times New Roman"/>
          <w:sz w:val="21"/>
          <w:szCs w:val="21"/>
        </w:rPr>
        <w:t>5</w:t>
      </w:r>
      <w:r w:rsidRPr="00EC356F">
        <w:rPr>
          <w:rFonts w:ascii="Times New Roman" w:hAnsi="Times New Roman" w:cs="Times New Roman"/>
          <w:sz w:val="21"/>
          <w:szCs w:val="21"/>
        </w:rPr>
        <w:t xml:space="preserve">% y/y economic growth in the </w:t>
      </w:r>
      <w:r w:rsidR="003D6BEE">
        <w:rPr>
          <w:rFonts w:ascii="Times New Roman" w:hAnsi="Times New Roman" w:cs="Times New Roman"/>
          <w:sz w:val="21"/>
          <w:szCs w:val="21"/>
        </w:rPr>
        <w:t>4th</w:t>
      </w:r>
      <w:r w:rsidRPr="00EC356F">
        <w:rPr>
          <w:rFonts w:ascii="Times New Roman" w:hAnsi="Times New Roman" w:cs="Times New Roman"/>
          <w:sz w:val="21"/>
          <w:szCs w:val="21"/>
        </w:rPr>
        <w:t xml:space="preserve"> quarter). </w:t>
      </w:r>
      <w:r w:rsidR="003D6BEE">
        <w:rPr>
          <w:rFonts w:ascii="Times New Roman" w:hAnsi="Times New Roman" w:cs="Times New Roman"/>
          <w:sz w:val="21"/>
          <w:szCs w:val="21"/>
        </w:rPr>
        <w:t>Note that the slowing of the growth against the previous quarter (5.0% q/q growth annualized) was driven mostly by grow</w:t>
      </w:r>
      <w:r w:rsidR="00732C5D">
        <w:rPr>
          <w:rFonts w:ascii="Times New Roman" w:hAnsi="Times New Roman" w:cs="Times New Roman"/>
          <w:sz w:val="21"/>
          <w:szCs w:val="21"/>
        </w:rPr>
        <w:t>n imports, reduced public expenditures and slowed down investment and exports, which was only partly offset by positive shifts in private spending and private investment in inventories.</w:t>
      </w:r>
      <w:r w:rsidRPr="00EC356F">
        <w:rPr>
          <w:rFonts w:ascii="Times New Roman" w:hAnsi="Times New Roman" w:cs="Times New Roman"/>
          <w:sz w:val="21"/>
          <w:szCs w:val="21"/>
        </w:rPr>
        <w:t xml:space="preserve"> </w:t>
      </w:r>
    </w:p>
    <w:p w14:paraId="273E454B" w14:textId="77777777" w:rsidR="00A9653E" w:rsidRPr="00EC356F" w:rsidRDefault="00A9653E" w:rsidP="00A9653E">
      <w:pPr>
        <w:spacing w:line="360" w:lineRule="auto"/>
        <w:jc w:val="both"/>
        <w:rPr>
          <w:rFonts w:ascii="Times New Roman" w:hAnsi="Times New Roman" w:cs="Times New Roman"/>
          <w:sz w:val="21"/>
          <w:szCs w:val="21"/>
        </w:rPr>
      </w:pPr>
      <w:r w:rsidRPr="00C814B5">
        <w:rPr>
          <w:rFonts w:ascii="Times New Roman" w:hAnsi="Times New Roman" w:cs="Times New Roman"/>
          <w:sz w:val="21"/>
          <w:szCs w:val="21"/>
        </w:rPr>
        <w:t xml:space="preserve">In the </w:t>
      </w:r>
      <w:r w:rsidR="00C814B5" w:rsidRPr="00C814B5">
        <w:rPr>
          <w:rFonts w:ascii="Times New Roman" w:hAnsi="Times New Roman" w:cs="Times New Roman"/>
          <w:sz w:val="21"/>
          <w:szCs w:val="21"/>
        </w:rPr>
        <w:t>4th</w:t>
      </w:r>
      <w:r w:rsidRPr="00C814B5">
        <w:rPr>
          <w:rFonts w:ascii="Times New Roman" w:hAnsi="Times New Roman" w:cs="Times New Roman"/>
          <w:sz w:val="21"/>
          <w:szCs w:val="21"/>
        </w:rPr>
        <w:t xml:space="preserve"> quarter of 2014, average</w:t>
      </w:r>
      <w:r w:rsidRPr="00EC356F">
        <w:rPr>
          <w:rFonts w:ascii="Times New Roman" w:hAnsi="Times New Roman" w:cs="Times New Roman"/>
          <w:sz w:val="21"/>
          <w:szCs w:val="21"/>
        </w:rPr>
        <w:t xml:space="preserve"> quarterly inflation in the U.S.A. was </w:t>
      </w:r>
      <w:r w:rsidR="000E5222">
        <w:rPr>
          <w:rFonts w:ascii="Times New Roman" w:hAnsi="Times New Roman" w:cs="Times New Roman"/>
          <w:sz w:val="21"/>
          <w:szCs w:val="21"/>
        </w:rPr>
        <w:t>1</w:t>
      </w:r>
      <w:r w:rsidRPr="00EC356F">
        <w:rPr>
          <w:rFonts w:ascii="Times New Roman" w:hAnsi="Times New Roman" w:cs="Times New Roman"/>
          <w:sz w:val="21"/>
          <w:szCs w:val="21"/>
        </w:rPr>
        <w:t>.</w:t>
      </w:r>
      <w:r w:rsidR="00C814B5">
        <w:rPr>
          <w:rFonts w:ascii="Times New Roman" w:hAnsi="Times New Roman" w:cs="Times New Roman"/>
          <w:sz w:val="21"/>
          <w:szCs w:val="21"/>
        </w:rPr>
        <w:t>3</w:t>
      </w:r>
      <w:r w:rsidRPr="00EC356F">
        <w:rPr>
          <w:rFonts w:ascii="Times New Roman" w:hAnsi="Times New Roman" w:cs="Times New Roman"/>
          <w:sz w:val="21"/>
          <w:szCs w:val="21"/>
        </w:rPr>
        <w:t xml:space="preserve">% y/y compared to </w:t>
      </w:r>
      <w:r w:rsidR="00C814B5">
        <w:rPr>
          <w:rFonts w:ascii="Times New Roman" w:hAnsi="Times New Roman" w:cs="Times New Roman"/>
          <w:sz w:val="21"/>
          <w:szCs w:val="21"/>
        </w:rPr>
        <w:t>1</w:t>
      </w:r>
      <w:r w:rsidRPr="00EC356F">
        <w:rPr>
          <w:rFonts w:ascii="Times New Roman" w:hAnsi="Times New Roman" w:cs="Times New Roman"/>
          <w:sz w:val="21"/>
          <w:szCs w:val="21"/>
        </w:rPr>
        <w:t>.</w:t>
      </w:r>
      <w:r w:rsidR="00C814B5">
        <w:rPr>
          <w:rFonts w:ascii="Times New Roman" w:hAnsi="Times New Roman" w:cs="Times New Roman"/>
          <w:sz w:val="21"/>
          <w:szCs w:val="21"/>
        </w:rPr>
        <w:t>8</w:t>
      </w:r>
      <w:r w:rsidRPr="00EC356F">
        <w:rPr>
          <w:rFonts w:ascii="Times New Roman" w:hAnsi="Times New Roman" w:cs="Times New Roman"/>
          <w:sz w:val="21"/>
          <w:szCs w:val="21"/>
        </w:rPr>
        <w:t xml:space="preserve">% reported in the previous quarter. </w:t>
      </w:r>
      <w:r w:rsidR="00C814B5">
        <w:rPr>
          <w:rFonts w:ascii="Times New Roman" w:hAnsi="Times New Roman" w:cs="Times New Roman"/>
          <w:sz w:val="21"/>
          <w:szCs w:val="21"/>
        </w:rPr>
        <w:t xml:space="preserve">Later the year, the inflation was 0.8%. </w:t>
      </w:r>
      <w:r w:rsidR="000E5222">
        <w:rPr>
          <w:rFonts w:ascii="Times New Roman" w:hAnsi="Times New Roman" w:cs="Times New Roman"/>
          <w:sz w:val="21"/>
          <w:szCs w:val="21"/>
        </w:rPr>
        <w:t xml:space="preserve">As it was scheduled, the quantitative easing program of </w:t>
      </w:r>
      <w:r w:rsidRPr="00EC356F">
        <w:rPr>
          <w:rFonts w:ascii="Times New Roman" w:hAnsi="Times New Roman" w:cs="Times New Roman"/>
          <w:sz w:val="21"/>
          <w:szCs w:val="21"/>
        </w:rPr>
        <w:t>the U.S. Fed</w:t>
      </w:r>
      <w:r w:rsidR="000E5222">
        <w:rPr>
          <w:rFonts w:ascii="Times New Roman" w:hAnsi="Times New Roman" w:cs="Times New Roman"/>
          <w:sz w:val="21"/>
          <w:szCs w:val="21"/>
        </w:rPr>
        <w:t xml:space="preserve"> ended in October, while the policy rates were </w:t>
      </w:r>
      <w:r w:rsidR="00C814B5">
        <w:rPr>
          <w:rFonts w:ascii="Times New Roman" w:hAnsi="Times New Roman" w:cs="Times New Roman"/>
          <w:sz w:val="21"/>
          <w:szCs w:val="21"/>
        </w:rPr>
        <w:t>still</w:t>
      </w:r>
      <w:r w:rsidR="000E5222">
        <w:rPr>
          <w:rFonts w:ascii="Times New Roman" w:hAnsi="Times New Roman" w:cs="Times New Roman"/>
          <w:sz w:val="21"/>
          <w:szCs w:val="21"/>
        </w:rPr>
        <w:t xml:space="preserve"> low, in the </w:t>
      </w:r>
      <w:r w:rsidR="00C814B5">
        <w:rPr>
          <w:rFonts w:ascii="Times New Roman" w:hAnsi="Times New Roman" w:cs="Times New Roman"/>
          <w:sz w:val="21"/>
          <w:szCs w:val="21"/>
        </w:rPr>
        <w:t xml:space="preserve">range </w:t>
      </w:r>
      <w:r w:rsidR="000E5222">
        <w:rPr>
          <w:rFonts w:ascii="Times New Roman" w:hAnsi="Times New Roman" w:cs="Times New Roman"/>
          <w:sz w:val="21"/>
          <w:szCs w:val="21"/>
        </w:rPr>
        <w:t xml:space="preserve">0-0.25%. </w:t>
      </w:r>
    </w:p>
    <w:p w14:paraId="1AF50AB8" w14:textId="77777777" w:rsidR="00A9653E" w:rsidRPr="00EC356F" w:rsidRDefault="00A9653E" w:rsidP="00A9653E">
      <w:pPr>
        <w:spacing w:line="360" w:lineRule="auto"/>
        <w:jc w:val="both"/>
        <w:rPr>
          <w:rFonts w:ascii="Times New Roman" w:hAnsi="Times New Roman" w:cs="Times New Roman"/>
          <w:sz w:val="21"/>
          <w:szCs w:val="21"/>
        </w:rPr>
      </w:pPr>
      <w:r w:rsidRPr="00C5527A">
        <w:rPr>
          <w:rFonts w:ascii="Times New Roman" w:hAnsi="Times New Roman" w:cs="Times New Roman"/>
          <w:b/>
          <w:sz w:val="21"/>
          <w:szCs w:val="21"/>
        </w:rPr>
        <w:t xml:space="preserve">In Euro-area in the </w:t>
      </w:r>
      <w:r w:rsidR="00C5527A" w:rsidRPr="00C5527A">
        <w:rPr>
          <w:rFonts w:ascii="Times New Roman" w:hAnsi="Times New Roman" w:cs="Times New Roman"/>
          <w:b/>
          <w:sz w:val="21"/>
          <w:szCs w:val="21"/>
        </w:rPr>
        <w:t>4th</w:t>
      </w:r>
      <w:r w:rsidRPr="00C5527A">
        <w:rPr>
          <w:rFonts w:ascii="Times New Roman" w:hAnsi="Times New Roman" w:cs="Times New Roman"/>
          <w:b/>
          <w:sz w:val="21"/>
          <w:szCs w:val="21"/>
        </w:rPr>
        <w:t xml:space="preserve"> quarter of 2014</w:t>
      </w:r>
      <w:r w:rsidRPr="00EC356F">
        <w:rPr>
          <w:rFonts w:ascii="Times New Roman" w:hAnsi="Times New Roman" w:cs="Times New Roman"/>
          <w:sz w:val="21"/>
          <w:szCs w:val="21"/>
        </w:rPr>
        <w:t>, there was 0.</w:t>
      </w:r>
      <w:r w:rsidR="00C5527A">
        <w:rPr>
          <w:rFonts w:ascii="Times New Roman" w:hAnsi="Times New Roman" w:cs="Times New Roman"/>
          <w:sz w:val="21"/>
          <w:szCs w:val="21"/>
        </w:rPr>
        <w:t>9</w:t>
      </w:r>
      <w:r w:rsidRPr="00EC356F">
        <w:rPr>
          <w:rFonts w:ascii="Times New Roman" w:hAnsi="Times New Roman" w:cs="Times New Roman"/>
          <w:sz w:val="21"/>
          <w:szCs w:val="21"/>
        </w:rPr>
        <w:t xml:space="preserve">% economic growth against the same period </w:t>
      </w:r>
      <w:r w:rsidR="00C5527A">
        <w:rPr>
          <w:rFonts w:ascii="Times New Roman" w:hAnsi="Times New Roman" w:cs="Times New Roman"/>
          <w:sz w:val="21"/>
          <w:szCs w:val="21"/>
        </w:rPr>
        <w:t>last year</w:t>
      </w:r>
      <w:r w:rsidRPr="00EC356F">
        <w:rPr>
          <w:rFonts w:ascii="Times New Roman" w:hAnsi="Times New Roman" w:cs="Times New Roman"/>
          <w:sz w:val="21"/>
          <w:szCs w:val="21"/>
        </w:rPr>
        <w:t xml:space="preserve">, according to preliminary estimates provided by the Eurostat. During the quarter, </w:t>
      </w:r>
      <w:r w:rsidR="001A772F">
        <w:rPr>
          <w:rFonts w:ascii="Times New Roman" w:hAnsi="Times New Roman" w:cs="Times New Roman"/>
          <w:sz w:val="21"/>
          <w:szCs w:val="21"/>
        </w:rPr>
        <w:t xml:space="preserve">the </w:t>
      </w:r>
      <w:r w:rsidRPr="00EC356F">
        <w:rPr>
          <w:rFonts w:ascii="Times New Roman" w:hAnsi="Times New Roman" w:cs="Times New Roman"/>
          <w:sz w:val="21"/>
          <w:szCs w:val="21"/>
        </w:rPr>
        <w:t>consumer price index posted an average 0.</w:t>
      </w:r>
      <w:r w:rsidR="00A44CF2">
        <w:rPr>
          <w:rFonts w:ascii="Times New Roman" w:hAnsi="Times New Roman" w:cs="Times New Roman"/>
          <w:sz w:val="21"/>
          <w:szCs w:val="21"/>
        </w:rPr>
        <w:t>2</w:t>
      </w:r>
      <w:r w:rsidRPr="00EC356F">
        <w:rPr>
          <w:rFonts w:ascii="Times New Roman" w:hAnsi="Times New Roman" w:cs="Times New Roman"/>
          <w:sz w:val="21"/>
          <w:szCs w:val="21"/>
        </w:rPr>
        <w:t xml:space="preserve">% </w:t>
      </w:r>
      <w:r w:rsidR="00A44CF2">
        <w:rPr>
          <w:rFonts w:ascii="Times New Roman" w:hAnsi="Times New Roman" w:cs="Times New Roman"/>
          <w:sz w:val="21"/>
          <w:szCs w:val="21"/>
        </w:rPr>
        <w:t xml:space="preserve">y/y rise </w:t>
      </w:r>
      <w:r w:rsidRPr="00EC356F">
        <w:rPr>
          <w:rFonts w:ascii="Times New Roman" w:hAnsi="Times New Roman" w:cs="Times New Roman"/>
          <w:sz w:val="21"/>
          <w:szCs w:val="21"/>
        </w:rPr>
        <w:t>against the previous quarter</w:t>
      </w:r>
      <w:r w:rsidR="005E7DFC" w:rsidRPr="00863CD6">
        <w:rPr>
          <w:rFonts w:ascii="Times New Roman" w:hAnsi="Times New Roman" w:cs="Times New Roman"/>
          <w:sz w:val="21"/>
          <w:szCs w:val="21"/>
        </w:rPr>
        <w:t>'</w:t>
      </w:r>
      <w:r w:rsidRPr="00EC356F">
        <w:rPr>
          <w:rFonts w:ascii="Times New Roman" w:hAnsi="Times New Roman" w:cs="Times New Roman"/>
          <w:sz w:val="21"/>
          <w:szCs w:val="21"/>
        </w:rPr>
        <w:t>s 0.</w:t>
      </w:r>
      <w:r w:rsidR="00A44CF2">
        <w:rPr>
          <w:rFonts w:ascii="Times New Roman" w:hAnsi="Times New Roman" w:cs="Times New Roman"/>
          <w:sz w:val="21"/>
          <w:szCs w:val="21"/>
        </w:rPr>
        <w:t>4</w:t>
      </w:r>
      <w:r w:rsidRPr="00EC356F">
        <w:rPr>
          <w:rFonts w:ascii="Times New Roman" w:hAnsi="Times New Roman" w:cs="Times New Roman"/>
          <w:sz w:val="21"/>
          <w:szCs w:val="21"/>
        </w:rPr>
        <w:t>%.</w:t>
      </w:r>
      <w:r w:rsidR="00A44CF2" w:rsidRPr="00A44CF2">
        <w:t xml:space="preserve"> </w:t>
      </w:r>
      <w:r w:rsidR="00A44CF2" w:rsidRPr="00A44CF2">
        <w:rPr>
          <w:rFonts w:ascii="Times New Roman" w:hAnsi="Times New Roman" w:cs="Times New Roman"/>
          <w:sz w:val="21"/>
          <w:szCs w:val="21"/>
        </w:rPr>
        <w:t xml:space="preserve">It is noteworthy that </w:t>
      </w:r>
      <w:r w:rsidR="00A44CF2">
        <w:rPr>
          <w:rFonts w:ascii="Times New Roman" w:hAnsi="Times New Roman" w:cs="Times New Roman"/>
          <w:sz w:val="21"/>
          <w:szCs w:val="21"/>
        </w:rPr>
        <w:t xml:space="preserve">by </w:t>
      </w:r>
      <w:r w:rsidR="00A44CF2" w:rsidRPr="00A44CF2">
        <w:rPr>
          <w:rFonts w:ascii="Times New Roman" w:hAnsi="Times New Roman" w:cs="Times New Roman"/>
          <w:sz w:val="21"/>
          <w:szCs w:val="21"/>
        </w:rPr>
        <w:t xml:space="preserve">the end of the year </w:t>
      </w:r>
      <w:r w:rsidR="00D905E0">
        <w:rPr>
          <w:rFonts w:ascii="Times New Roman" w:hAnsi="Times New Roman" w:cs="Times New Roman"/>
          <w:sz w:val="21"/>
          <w:szCs w:val="21"/>
        </w:rPr>
        <w:t xml:space="preserve">the Euro-area saw </w:t>
      </w:r>
      <w:r w:rsidR="00A44CF2" w:rsidRPr="00A44CF2">
        <w:rPr>
          <w:rFonts w:ascii="Times New Roman" w:hAnsi="Times New Roman" w:cs="Times New Roman"/>
          <w:sz w:val="21"/>
          <w:szCs w:val="21"/>
        </w:rPr>
        <w:t xml:space="preserve">a 0.2% </w:t>
      </w:r>
      <w:r w:rsidR="00D905E0">
        <w:rPr>
          <w:rFonts w:ascii="Times New Roman" w:hAnsi="Times New Roman" w:cs="Times New Roman"/>
          <w:sz w:val="21"/>
          <w:szCs w:val="21"/>
        </w:rPr>
        <w:t>deflation</w:t>
      </w:r>
      <w:r w:rsidR="00A44CF2" w:rsidRPr="00A44CF2">
        <w:rPr>
          <w:rFonts w:ascii="Times New Roman" w:hAnsi="Times New Roman" w:cs="Times New Roman"/>
          <w:sz w:val="21"/>
          <w:szCs w:val="21"/>
        </w:rPr>
        <w:t>.</w:t>
      </w:r>
      <w:r w:rsidR="00A44CF2">
        <w:rPr>
          <w:rFonts w:ascii="Times New Roman" w:hAnsi="Times New Roman" w:cs="Times New Roman"/>
          <w:sz w:val="21"/>
          <w:szCs w:val="21"/>
        </w:rPr>
        <w:t xml:space="preserve"> </w:t>
      </w:r>
      <w:r w:rsidRPr="00EC356F">
        <w:rPr>
          <w:rFonts w:ascii="Times New Roman" w:hAnsi="Times New Roman" w:cs="Times New Roman"/>
          <w:sz w:val="21"/>
          <w:szCs w:val="21"/>
        </w:rPr>
        <w:t xml:space="preserve"> </w:t>
      </w:r>
    </w:p>
    <w:p w14:paraId="45A8EF5D" w14:textId="77777777" w:rsidR="00A9653E" w:rsidRPr="00EC356F" w:rsidRDefault="00A9653E" w:rsidP="00A9653E">
      <w:pPr>
        <w:spacing w:line="360" w:lineRule="auto"/>
        <w:jc w:val="both"/>
        <w:rPr>
          <w:rStyle w:val="longtext"/>
          <w:rFonts w:ascii="Times New Roman" w:hAnsi="Times New Roman" w:cs="Times New Roman"/>
          <w:sz w:val="21"/>
          <w:szCs w:val="21"/>
        </w:rPr>
      </w:pPr>
      <w:r w:rsidRPr="00EC356F">
        <w:rPr>
          <w:rFonts w:ascii="Times New Roman" w:hAnsi="Times New Roman" w:cs="Times New Roman"/>
          <w:sz w:val="21"/>
          <w:szCs w:val="21"/>
        </w:rPr>
        <w:t xml:space="preserve">In the </w:t>
      </w:r>
      <w:r w:rsidR="00D905E0">
        <w:rPr>
          <w:rFonts w:ascii="Times New Roman" w:hAnsi="Times New Roman" w:cs="Times New Roman"/>
          <w:sz w:val="21"/>
          <w:szCs w:val="21"/>
        </w:rPr>
        <w:t>4th</w:t>
      </w:r>
      <w:r w:rsidRPr="00EC356F">
        <w:rPr>
          <w:rFonts w:ascii="Times New Roman" w:hAnsi="Times New Roman" w:cs="Times New Roman"/>
          <w:sz w:val="21"/>
          <w:szCs w:val="21"/>
        </w:rPr>
        <w:t xml:space="preserve"> quarter of 2014</w:t>
      </w:r>
      <w:r w:rsidRPr="00EC356F">
        <w:rPr>
          <w:rStyle w:val="longtext"/>
          <w:rFonts w:ascii="Times New Roman" w:hAnsi="Times New Roman" w:cs="Times New Roman"/>
          <w:sz w:val="21"/>
          <w:szCs w:val="21"/>
        </w:rPr>
        <w:t>, the European Central Bank</w:t>
      </w:r>
      <w:r w:rsidR="00D905E0" w:rsidRPr="00D905E0">
        <w:t xml:space="preserve"> </w:t>
      </w:r>
      <w:r w:rsidR="00D905E0" w:rsidRPr="00D905E0">
        <w:rPr>
          <w:rStyle w:val="longtext"/>
          <w:rFonts w:ascii="Times New Roman" w:hAnsi="Times New Roman" w:cs="Times New Roman"/>
          <w:sz w:val="21"/>
          <w:szCs w:val="21"/>
        </w:rPr>
        <w:t>kep</w:t>
      </w:r>
      <w:r w:rsidR="00D905E0">
        <w:rPr>
          <w:rStyle w:val="longtext"/>
          <w:rFonts w:ascii="Times New Roman" w:hAnsi="Times New Roman" w:cs="Times New Roman"/>
          <w:sz w:val="21"/>
          <w:szCs w:val="21"/>
        </w:rPr>
        <w:t>t</w:t>
      </w:r>
      <w:r w:rsidR="00D905E0" w:rsidRPr="00D905E0">
        <w:rPr>
          <w:rStyle w:val="longtext"/>
          <w:rFonts w:ascii="Times New Roman" w:hAnsi="Times New Roman" w:cs="Times New Roman"/>
          <w:sz w:val="21"/>
          <w:szCs w:val="21"/>
        </w:rPr>
        <w:t xml:space="preserve"> the policy rate at 0.05% and </w:t>
      </w:r>
      <w:r w:rsidR="00D905E0" w:rsidRPr="00EC356F">
        <w:rPr>
          <w:rFonts w:ascii="Times New Roman" w:hAnsi="Times New Roman" w:cs="Times New Roman"/>
          <w:color w:val="000000"/>
          <w:sz w:val="21"/>
          <w:szCs w:val="21"/>
          <w:shd w:val="clear" w:color="auto" w:fill="FFFFFF"/>
        </w:rPr>
        <w:t>the deposit facility</w:t>
      </w:r>
      <w:r w:rsidR="00D905E0">
        <w:rPr>
          <w:rFonts w:ascii="Times New Roman" w:hAnsi="Times New Roman" w:cs="Times New Roman"/>
          <w:color w:val="000000"/>
          <w:sz w:val="21"/>
          <w:szCs w:val="21"/>
          <w:shd w:val="clear" w:color="auto" w:fill="FFFFFF"/>
        </w:rPr>
        <w:t xml:space="preserve"> rate at </w:t>
      </w:r>
      <w:r w:rsidR="00D905E0" w:rsidRPr="00D905E0">
        <w:rPr>
          <w:rStyle w:val="longtext"/>
          <w:rFonts w:ascii="Times New Roman" w:hAnsi="Times New Roman" w:cs="Times New Roman"/>
          <w:sz w:val="21"/>
          <w:szCs w:val="21"/>
        </w:rPr>
        <w:t>-0.2%</w:t>
      </w:r>
      <w:r w:rsidR="00D905E0">
        <w:rPr>
          <w:rStyle w:val="longtext"/>
          <w:rFonts w:ascii="Times New Roman" w:hAnsi="Times New Roman" w:cs="Times New Roman"/>
          <w:sz w:val="21"/>
          <w:szCs w:val="21"/>
        </w:rPr>
        <w:t xml:space="preserve"> levels.</w:t>
      </w:r>
      <w:r w:rsidR="00D905E0">
        <w:rPr>
          <w:rFonts w:ascii="Times New Roman" w:hAnsi="Times New Roman" w:cs="Times New Roman"/>
          <w:color w:val="000000"/>
          <w:sz w:val="21"/>
          <w:szCs w:val="21"/>
          <w:shd w:val="clear" w:color="auto" w:fill="FFFFFF"/>
        </w:rPr>
        <w:t xml:space="preserve"> </w:t>
      </w:r>
      <w:r w:rsidR="00D905E0" w:rsidRPr="00D905E0">
        <w:rPr>
          <w:rStyle w:val="longtext"/>
          <w:rFonts w:ascii="Times New Roman" w:hAnsi="Times New Roman" w:cs="Times New Roman"/>
          <w:sz w:val="21"/>
          <w:szCs w:val="21"/>
        </w:rPr>
        <w:t xml:space="preserve">At the same time, the </w:t>
      </w:r>
      <w:r w:rsidR="00D905E0">
        <w:rPr>
          <w:rStyle w:val="longtext"/>
          <w:rFonts w:ascii="Times New Roman" w:hAnsi="Times New Roman" w:cs="Times New Roman"/>
          <w:sz w:val="21"/>
          <w:szCs w:val="21"/>
        </w:rPr>
        <w:t xml:space="preserve">ECB launched the purchases of </w:t>
      </w:r>
      <w:r w:rsidR="00D905E0" w:rsidRPr="00D905E0">
        <w:rPr>
          <w:rStyle w:val="longtext"/>
          <w:rFonts w:ascii="Times New Roman" w:hAnsi="Times New Roman" w:cs="Times New Roman"/>
          <w:sz w:val="21"/>
          <w:szCs w:val="21"/>
        </w:rPr>
        <w:t xml:space="preserve">asset-backed securities </w:t>
      </w:r>
      <w:r w:rsidR="00D905E0">
        <w:rPr>
          <w:rStyle w:val="longtext"/>
          <w:rFonts w:ascii="Times New Roman" w:hAnsi="Times New Roman" w:cs="Times New Roman"/>
          <w:sz w:val="21"/>
          <w:szCs w:val="21"/>
        </w:rPr>
        <w:t xml:space="preserve">and </w:t>
      </w:r>
      <w:r w:rsidR="005E7DFC">
        <w:rPr>
          <w:rStyle w:val="longtext"/>
          <w:rFonts w:ascii="Times New Roman" w:hAnsi="Times New Roman" w:cs="Times New Roman"/>
          <w:sz w:val="21"/>
          <w:szCs w:val="21"/>
        </w:rPr>
        <w:t>covered</w:t>
      </w:r>
      <w:r w:rsidR="00D905E0">
        <w:rPr>
          <w:rStyle w:val="longtext"/>
          <w:rFonts w:ascii="Times New Roman" w:hAnsi="Times New Roman" w:cs="Times New Roman"/>
          <w:sz w:val="21"/>
          <w:szCs w:val="21"/>
        </w:rPr>
        <w:t xml:space="preserve"> bonds in the context of a quantitative easing program. </w:t>
      </w:r>
    </w:p>
    <w:p w14:paraId="7CF3974D" w14:textId="77777777" w:rsidR="00A9653E" w:rsidRPr="00EC356F" w:rsidRDefault="00A9653E" w:rsidP="00A9653E">
      <w:pPr>
        <w:spacing w:line="360" w:lineRule="auto"/>
        <w:jc w:val="both"/>
        <w:rPr>
          <w:rFonts w:ascii="Times New Roman" w:hAnsi="Times New Roman" w:cs="Times New Roman"/>
          <w:sz w:val="21"/>
          <w:szCs w:val="21"/>
        </w:rPr>
      </w:pPr>
      <w:r w:rsidRPr="00EC356F">
        <w:rPr>
          <w:rStyle w:val="longtext"/>
          <w:rFonts w:ascii="Times New Roman" w:hAnsi="Times New Roman" w:cs="Times New Roman"/>
          <w:sz w:val="21"/>
          <w:szCs w:val="21"/>
        </w:rPr>
        <w:lastRenderedPageBreak/>
        <w:t xml:space="preserve">In the </w:t>
      </w:r>
      <w:r w:rsidR="00425C25">
        <w:rPr>
          <w:rStyle w:val="longtext"/>
          <w:rFonts w:ascii="Times New Roman" w:hAnsi="Times New Roman" w:cs="Times New Roman"/>
          <w:sz w:val="21"/>
          <w:szCs w:val="21"/>
        </w:rPr>
        <w:t>4th</w:t>
      </w:r>
      <w:r w:rsidRPr="00EC356F">
        <w:rPr>
          <w:rStyle w:val="longtext"/>
          <w:rFonts w:ascii="Times New Roman" w:hAnsi="Times New Roman" w:cs="Times New Roman"/>
          <w:sz w:val="21"/>
          <w:szCs w:val="21"/>
        </w:rPr>
        <w:t xml:space="preserve"> quarter of 2014, Euro depreciated versus the U.S. dollar by </w:t>
      </w:r>
      <w:r w:rsidR="00425C25">
        <w:rPr>
          <w:rStyle w:val="longtext"/>
          <w:rFonts w:ascii="Times New Roman" w:hAnsi="Times New Roman" w:cs="Times New Roman"/>
          <w:sz w:val="21"/>
          <w:szCs w:val="21"/>
        </w:rPr>
        <w:t>5</w:t>
      </w:r>
      <w:r w:rsidRPr="00EC356F">
        <w:rPr>
          <w:rStyle w:val="longtext"/>
          <w:rFonts w:ascii="Times New Roman" w:hAnsi="Times New Roman" w:cs="Times New Roman"/>
          <w:sz w:val="21"/>
          <w:szCs w:val="21"/>
        </w:rPr>
        <w:t>.</w:t>
      </w:r>
      <w:r w:rsidR="00425C25">
        <w:rPr>
          <w:rStyle w:val="longtext"/>
          <w:rFonts w:ascii="Times New Roman" w:hAnsi="Times New Roman" w:cs="Times New Roman"/>
          <w:sz w:val="21"/>
          <w:szCs w:val="21"/>
        </w:rPr>
        <w:t>7</w:t>
      </w:r>
      <w:r w:rsidRPr="00EC356F">
        <w:rPr>
          <w:rStyle w:val="longtext"/>
          <w:rFonts w:ascii="Times New Roman" w:hAnsi="Times New Roman" w:cs="Times New Roman"/>
          <w:sz w:val="21"/>
          <w:szCs w:val="21"/>
        </w:rPr>
        <w:t xml:space="preserve">% (y/y </w:t>
      </w:r>
      <w:r w:rsidR="00425C25">
        <w:rPr>
          <w:rStyle w:val="longtext"/>
          <w:rFonts w:ascii="Times New Roman" w:hAnsi="Times New Roman" w:cs="Times New Roman"/>
          <w:sz w:val="21"/>
          <w:szCs w:val="21"/>
        </w:rPr>
        <w:t>de</w:t>
      </w:r>
      <w:r w:rsidRPr="00EC356F">
        <w:rPr>
          <w:rStyle w:val="longtext"/>
          <w:rFonts w:ascii="Times New Roman" w:hAnsi="Times New Roman" w:cs="Times New Roman"/>
          <w:sz w:val="21"/>
          <w:szCs w:val="21"/>
        </w:rPr>
        <w:t xml:space="preserve">preciation was </w:t>
      </w:r>
      <w:r w:rsidR="00425C25">
        <w:rPr>
          <w:rStyle w:val="longtext"/>
          <w:rFonts w:ascii="Times New Roman" w:hAnsi="Times New Roman" w:cs="Times New Roman"/>
          <w:sz w:val="21"/>
          <w:szCs w:val="21"/>
        </w:rPr>
        <w:t>8</w:t>
      </w:r>
      <w:r w:rsidRPr="00EC356F">
        <w:rPr>
          <w:rStyle w:val="longtext"/>
          <w:rFonts w:ascii="Times New Roman" w:hAnsi="Times New Roman" w:cs="Times New Roman"/>
          <w:sz w:val="21"/>
          <w:szCs w:val="21"/>
        </w:rPr>
        <w:t>.</w:t>
      </w:r>
      <w:r w:rsidR="00425C25">
        <w:rPr>
          <w:rStyle w:val="longtext"/>
          <w:rFonts w:ascii="Times New Roman" w:hAnsi="Times New Roman" w:cs="Times New Roman"/>
          <w:sz w:val="21"/>
          <w:szCs w:val="21"/>
        </w:rPr>
        <w:t>23</w:t>
      </w:r>
      <w:r w:rsidRPr="00EC356F">
        <w:rPr>
          <w:rStyle w:val="longtext"/>
          <w:rFonts w:ascii="Times New Roman" w:hAnsi="Times New Roman" w:cs="Times New Roman"/>
          <w:sz w:val="21"/>
          <w:szCs w:val="21"/>
        </w:rPr>
        <w:t>%), with the average dollar exchange rate reaching 1.</w:t>
      </w:r>
      <w:r w:rsidR="00425C25">
        <w:rPr>
          <w:rStyle w:val="longtext"/>
          <w:rFonts w:ascii="Times New Roman" w:hAnsi="Times New Roman" w:cs="Times New Roman"/>
          <w:sz w:val="21"/>
          <w:szCs w:val="21"/>
        </w:rPr>
        <w:t>249</w:t>
      </w:r>
      <w:r w:rsidRPr="00EC356F">
        <w:rPr>
          <w:rStyle w:val="longtext"/>
          <w:rFonts w:ascii="Times New Roman" w:hAnsi="Times New Roman" w:cs="Times New Roman"/>
          <w:sz w:val="21"/>
          <w:szCs w:val="21"/>
        </w:rPr>
        <w:t xml:space="preserve"> for one Euro.</w:t>
      </w:r>
    </w:p>
    <w:p w14:paraId="280060FB" w14:textId="77777777" w:rsidR="00A9653E" w:rsidRPr="00EC356F" w:rsidRDefault="00A9653E" w:rsidP="00A9653E">
      <w:pPr>
        <w:spacing w:line="360" w:lineRule="auto"/>
        <w:jc w:val="both"/>
        <w:rPr>
          <w:rFonts w:ascii="Times New Roman" w:hAnsi="Times New Roman" w:cs="Times New Roman"/>
          <w:sz w:val="21"/>
          <w:szCs w:val="21"/>
        </w:rPr>
      </w:pPr>
      <w:r w:rsidRPr="001B1AA6">
        <w:rPr>
          <w:rFonts w:ascii="Times New Roman" w:hAnsi="Times New Roman" w:cs="Times New Roman"/>
          <w:b/>
          <w:sz w:val="21"/>
          <w:szCs w:val="21"/>
        </w:rPr>
        <w:t xml:space="preserve">In </w:t>
      </w:r>
      <w:r w:rsidR="001B1AA6" w:rsidRPr="001B1AA6">
        <w:rPr>
          <w:rFonts w:ascii="Times New Roman" w:hAnsi="Times New Roman" w:cs="Times New Roman"/>
          <w:b/>
          <w:sz w:val="21"/>
          <w:szCs w:val="21"/>
        </w:rPr>
        <w:t xml:space="preserve">Russia in </w:t>
      </w:r>
      <w:r w:rsidRPr="001B1AA6">
        <w:rPr>
          <w:rFonts w:ascii="Times New Roman" w:hAnsi="Times New Roman" w:cs="Times New Roman"/>
          <w:b/>
          <w:sz w:val="21"/>
          <w:szCs w:val="21"/>
        </w:rPr>
        <w:t xml:space="preserve">the </w:t>
      </w:r>
      <w:r w:rsidR="001B1AA6" w:rsidRPr="001B1AA6">
        <w:rPr>
          <w:rFonts w:ascii="Times New Roman" w:hAnsi="Times New Roman" w:cs="Times New Roman"/>
          <w:b/>
          <w:sz w:val="21"/>
          <w:szCs w:val="21"/>
        </w:rPr>
        <w:t>4th</w:t>
      </w:r>
      <w:r w:rsidRPr="001B1AA6">
        <w:rPr>
          <w:rFonts w:ascii="Times New Roman" w:hAnsi="Times New Roman" w:cs="Times New Roman"/>
          <w:b/>
          <w:sz w:val="21"/>
          <w:szCs w:val="21"/>
        </w:rPr>
        <w:t xml:space="preserve"> quarter of 2014</w:t>
      </w:r>
      <w:r w:rsidRPr="00EC356F">
        <w:rPr>
          <w:rFonts w:ascii="Times New Roman" w:hAnsi="Times New Roman" w:cs="Times New Roman"/>
          <w:sz w:val="21"/>
          <w:szCs w:val="21"/>
        </w:rPr>
        <w:t>, economic growth was 0.</w:t>
      </w:r>
      <w:r w:rsidR="001B1AA6">
        <w:rPr>
          <w:rFonts w:ascii="Times New Roman" w:hAnsi="Times New Roman" w:cs="Times New Roman"/>
          <w:sz w:val="21"/>
          <w:szCs w:val="21"/>
        </w:rPr>
        <w:t>6</w:t>
      </w:r>
      <w:r w:rsidRPr="00EC356F">
        <w:rPr>
          <w:rFonts w:ascii="Times New Roman" w:hAnsi="Times New Roman" w:cs="Times New Roman"/>
          <w:sz w:val="21"/>
          <w:szCs w:val="21"/>
        </w:rPr>
        <w:t>% y/y</w:t>
      </w:r>
      <w:r w:rsidR="00C67EF2">
        <w:rPr>
          <w:rStyle w:val="FootnoteReference"/>
          <w:rFonts w:ascii="Times New Roman" w:hAnsi="Times New Roman" w:cs="Times New Roman"/>
          <w:sz w:val="21"/>
          <w:szCs w:val="21"/>
        </w:rPr>
        <w:footnoteReference w:customMarkFollows="1" w:id="34"/>
        <w:t>34</w:t>
      </w:r>
      <w:r w:rsidRPr="00EC356F">
        <w:rPr>
          <w:rFonts w:ascii="Times New Roman" w:hAnsi="Times New Roman" w:cs="Times New Roman"/>
          <w:sz w:val="21"/>
          <w:szCs w:val="21"/>
        </w:rPr>
        <w:t xml:space="preserve">, according to the preliminary estimates of the Russia State Statistics Service. </w:t>
      </w:r>
      <w:r w:rsidR="001B1AA6">
        <w:rPr>
          <w:rFonts w:ascii="Times New Roman" w:hAnsi="Times New Roman" w:cs="Times New Roman"/>
          <w:sz w:val="21"/>
          <w:szCs w:val="21"/>
        </w:rPr>
        <w:t xml:space="preserve">Based on annual results, positive developments were reported in </w:t>
      </w:r>
      <w:r w:rsidR="00E95501">
        <w:rPr>
          <w:rFonts w:ascii="Times New Roman" w:hAnsi="Times New Roman" w:cs="Times New Roman"/>
          <w:sz w:val="21"/>
          <w:szCs w:val="21"/>
        </w:rPr>
        <w:t xml:space="preserve">processing </w:t>
      </w:r>
      <w:r w:rsidRPr="00EC356F">
        <w:rPr>
          <w:rFonts w:ascii="Times New Roman" w:hAnsi="Times New Roman" w:cs="Times New Roman"/>
          <w:sz w:val="21"/>
          <w:szCs w:val="21"/>
        </w:rPr>
        <w:t xml:space="preserve">industry </w:t>
      </w:r>
      <w:r w:rsidR="001B1AA6">
        <w:rPr>
          <w:rFonts w:ascii="Times New Roman" w:hAnsi="Times New Roman" w:cs="Times New Roman"/>
          <w:sz w:val="21"/>
          <w:szCs w:val="21"/>
        </w:rPr>
        <w:t>(2</w:t>
      </w:r>
      <w:r w:rsidRPr="00EC356F">
        <w:rPr>
          <w:rFonts w:ascii="Times New Roman" w:hAnsi="Times New Roman" w:cs="Times New Roman"/>
          <w:sz w:val="21"/>
          <w:szCs w:val="21"/>
        </w:rPr>
        <w:t>.</w:t>
      </w:r>
      <w:r w:rsidR="00E94C35">
        <w:rPr>
          <w:rFonts w:ascii="Times New Roman" w:hAnsi="Times New Roman" w:cs="Times New Roman"/>
          <w:sz w:val="21"/>
          <w:szCs w:val="21"/>
        </w:rPr>
        <w:t>5</w:t>
      </w:r>
      <w:r w:rsidRPr="00EC356F">
        <w:rPr>
          <w:rFonts w:ascii="Times New Roman" w:hAnsi="Times New Roman" w:cs="Times New Roman"/>
          <w:sz w:val="21"/>
          <w:szCs w:val="21"/>
        </w:rPr>
        <w:t>% growth</w:t>
      </w:r>
      <w:r w:rsidR="001B1AA6">
        <w:rPr>
          <w:rFonts w:ascii="Times New Roman" w:hAnsi="Times New Roman" w:cs="Times New Roman"/>
          <w:sz w:val="21"/>
          <w:szCs w:val="21"/>
        </w:rPr>
        <w:t>)</w:t>
      </w:r>
      <w:r w:rsidR="00E95501">
        <w:rPr>
          <w:rFonts w:ascii="Times New Roman" w:hAnsi="Times New Roman" w:cs="Times New Roman"/>
          <w:sz w:val="21"/>
          <w:szCs w:val="21"/>
        </w:rPr>
        <w:t xml:space="preserve"> and</w:t>
      </w:r>
      <w:r w:rsidR="001B1AA6">
        <w:rPr>
          <w:rFonts w:ascii="Times New Roman" w:hAnsi="Times New Roman" w:cs="Times New Roman"/>
          <w:sz w:val="21"/>
          <w:szCs w:val="21"/>
        </w:rPr>
        <w:t xml:space="preserve"> </w:t>
      </w:r>
      <w:r w:rsidR="00E95501">
        <w:rPr>
          <w:rFonts w:ascii="Times New Roman" w:hAnsi="Times New Roman" w:cs="Times New Roman"/>
          <w:sz w:val="21"/>
          <w:szCs w:val="21"/>
        </w:rPr>
        <w:t xml:space="preserve">agriculture (1.4% growth), whereas </w:t>
      </w:r>
      <w:r w:rsidR="00E95501" w:rsidRPr="00EC356F">
        <w:rPr>
          <w:rFonts w:ascii="Times New Roman" w:hAnsi="Times New Roman" w:cs="Times New Roman"/>
          <w:sz w:val="21"/>
          <w:szCs w:val="21"/>
        </w:rPr>
        <w:t xml:space="preserve">construction reported a </w:t>
      </w:r>
      <w:r w:rsidR="00E95501">
        <w:rPr>
          <w:rFonts w:ascii="Times New Roman" w:hAnsi="Times New Roman" w:cs="Times New Roman"/>
          <w:sz w:val="21"/>
          <w:szCs w:val="21"/>
        </w:rPr>
        <w:t>5.2</w:t>
      </w:r>
      <w:r w:rsidR="00E95501" w:rsidRPr="00EC356F">
        <w:rPr>
          <w:rFonts w:ascii="Times New Roman" w:hAnsi="Times New Roman" w:cs="Times New Roman"/>
          <w:sz w:val="21"/>
          <w:szCs w:val="21"/>
        </w:rPr>
        <w:t>% decline.</w:t>
      </w:r>
      <w:r w:rsidR="00E95501">
        <w:rPr>
          <w:rFonts w:ascii="Times New Roman" w:hAnsi="Times New Roman" w:cs="Times New Roman"/>
          <w:sz w:val="21"/>
          <w:szCs w:val="21"/>
        </w:rPr>
        <w:t xml:space="preserve"> </w:t>
      </w:r>
      <w:r w:rsidR="00E95501" w:rsidRPr="00EC356F">
        <w:rPr>
          <w:rFonts w:ascii="Times New Roman" w:hAnsi="Times New Roman" w:cs="Times New Roman"/>
          <w:sz w:val="21"/>
          <w:szCs w:val="21"/>
        </w:rPr>
        <w:t>In the meanwhile</w:t>
      </w:r>
      <w:r w:rsidR="00E95501">
        <w:rPr>
          <w:rFonts w:ascii="Times New Roman" w:hAnsi="Times New Roman" w:cs="Times New Roman"/>
          <w:sz w:val="21"/>
          <w:szCs w:val="21"/>
        </w:rPr>
        <w:t>,</w:t>
      </w:r>
      <w:r w:rsidR="00E95501" w:rsidRPr="00EC356F">
        <w:rPr>
          <w:rFonts w:ascii="Times New Roman" w:hAnsi="Times New Roman" w:cs="Times New Roman"/>
          <w:sz w:val="21"/>
          <w:szCs w:val="21"/>
        </w:rPr>
        <w:t xml:space="preserve"> </w:t>
      </w:r>
      <w:r w:rsidR="00E95501">
        <w:rPr>
          <w:rFonts w:ascii="Times New Roman" w:hAnsi="Times New Roman" w:cs="Times New Roman"/>
          <w:sz w:val="21"/>
          <w:szCs w:val="21"/>
        </w:rPr>
        <w:t xml:space="preserve">private consumption slowed down to 1.5% </w:t>
      </w:r>
      <w:r w:rsidRPr="00EC356F">
        <w:rPr>
          <w:rFonts w:ascii="Times New Roman" w:hAnsi="Times New Roman" w:cs="Times New Roman"/>
          <w:sz w:val="21"/>
          <w:szCs w:val="21"/>
        </w:rPr>
        <w:t xml:space="preserve">compared to the previous </w:t>
      </w:r>
      <w:r w:rsidR="00E95501">
        <w:rPr>
          <w:rFonts w:ascii="Times New Roman" w:hAnsi="Times New Roman" w:cs="Times New Roman"/>
          <w:sz w:val="21"/>
          <w:szCs w:val="21"/>
        </w:rPr>
        <w:t>year</w:t>
      </w:r>
      <w:r w:rsidRPr="00EC356F">
        <w:rPr>
          <w:rFonts w:ascii="Times New Roman" w:hAnsi="Times New Roman" w:cs="Times New Roman"/>
          <w:sz w:val="21"/>
          <w:szCs w:val="21"/>
        </w:rPr>
        <w:t xml:space="preserve">’s </w:t>
      </w:r>
      <w:r w:rsidR="00E95501">
        <w:rPr>
          <w:rFonts w:ascii="Times New Roman" w:hAnsi="Times New Roman" w:cs="Times New Roman"/>
          <w:sz w:val="21"/>
          <w:szCs w:val="21"/>
        </w:rPr>
        <w:t>3</w:t>
      </w:r>
      <w:r w:rsidRPr="00EC356F">
        <w:rPr>
          <w:rFonts w:ascii="Times New Roman" w:hAnsi="Times New Roman" w:cs="Times New Roman"/>
          <w:sz w:val="21"/>
          <w:szCs w:val="21"/>
        </w:rPr>
        <w:t>.</w:t>
      </w:r>
      <w:r w:rsidR="00E95501">
        <w:rPr>
          <w:rFonts w:ascii="Times New Roman" w:hAnsi="Times New Roman" w:cs="Times New Roman"/>
          <w:sz w:val="21"/>
          <w:szCs w:val="21"/>
        </w:rPr>
        <w:t>5</w:t>
      </w:r>
      <w:r w:rsidRPr="00EC356F">
        <w:rPr>
          <w:rFonts w:ascii="Times New Roman" w:hAnsi="Times New Roman" w:cs="Times New Roman"/>
          <w:sz w:val="21"/>
          <w:szCs w:val="21"/>
        </w:rPr>
        <w:t>% growth</w:t>
      </w:r>
      <w:r w:rsidR="00E95501">
        <w:rPr>
          <w:rFonts w:ascii="Times New Roman" w:hAnsi="Times New Roman" w:cs="Times New Roman"/>
          <w:sz w:val="21"/>
          <w:szCs w:val="21"/>
        </w:rPr>
        <w:t xml:space="preserve"> </w:t>
      </w:r>
      <w:r w:rsidR="00A67D69">
        <w:rPr>
          <w:rFonts w:ascii="Times New Roman" w:hAnsi="Times New Roman" w:cs="Times New Roman"/>
          <w:sz w:val="21"/>
          <w:szCs w:val="21"/>
        </w:rPr>
        <w:t>and aggregate investment kept on reducing to 5.7% against the previous year’s decline of 6.6%</w:t>
      </w:r>
      <w:r w:rsidRPr="00EC356F">
        <w:rPr>
          <w:rFonts w:ascii="Times New Roman" w:hAnsi="Times New Roman" w:cs="Times New Roman"/>
          <w:sz w:val="21"/>
          <w:szCs w:val="21"/>
        </w:rPr>
        <w:t xml:space="preserve">. </w:t>
      </w:r>
      <w:r w:rsidR="00A67D69" w:rsidRPr="00EC356F">
        <w:rPr>
          <w:rFonts w:ascii="Times New Roman" w:hAnsi="Times New Roman" w:cs="Times New Roman"/>
          <w:sz w:val="21"/>
          <w:szCs w:val="21"/>
        </w:rPr>
        <w:t xml:space="preserve">Consumer Price Index posted an average </w:t>
      </w:r>
      <w:r w:rsidR="00A67D69">
        <w:rPr>
          <w:rFonts w:ascii="Times New Roman" w:hAnsi="Times New Roman" w:cs="Times New Roman"/>
          <w:sz w:val="21"/>
          <w:szCs w:val="21"/>
        </w:rPr>
        <w:t>9</w:t>
      </w:r>
      <w:r w:rsidR="00A67D69" w:rsidRPr="00EC356F">
        <w:rPr>
          <w:rFonts w:ascii="Times New Roman" w:hAnsi="Times New Roman" w:cs="Times New Roman"/>
          <w:sz w:val="21"/>
          <w:szCs w:val="21"/>
        </w:rPr>
        <w:t>.</w:t>
      </w:r>
      <w:r w:rsidR="00A67D69">
        <w:rPr>
          <w:rFonts w:ascii="Times New Roman" w:hAnsi="Times New Roman" w:cs="Times New Roman"/>
          <w:sz w:val="21"/>
          <w:szCs w:val="21"/>
        </w:rPr>
        <w:t>6</w:t>
      </w:r>
      <w:r w:rsidR="00A67D69" w:rsidRPr="00EC356F">
        <w:rPr>
          <w:rFonts w:ascii="Times New Roman" w:hAnsi="Times New Roman" w:cs="Times New Roman"/>
          <w:sz w:val="21"/>
          <w:szCs w:val="21"/>
        </w:rPr>
        <w:t xml:space="preserve">% y/y growth </w:t>
      </w:r>
      <w:r w:rsidR="00A67D69">
        <w:rPr>
          <w:rFonts w:ascii="Times New Roman" w:hAnsi="Times New Roman" w:cs="Times New Roman"/>
          <w:sz w:val="21"/>
          <w:szCs w:val="21"/>
        </w:rPr>
        <w:t>(compared to</w:t>
      </w:r>
      <w:r w:rsidR="00A67D69" w:rsidRPr="00EC356F">
        <w:rPr>
          <w:rFonts w:ascii="Times New Roman" w:hAnsi="Times New Roman" w:cs="Times New Roman"/>
          <w:sz w:val="21"/>
          <w:szCs w:val="21"/>
        </w:rPr>
        <w:t xml:space="preserve"> </w:t>
      </w:r>
      <w:r w:rsidR="00A67D69">
        <w:rPr>
          <w:rFonts w:ascii="Times New Roman" w:hAnsi="Times New Roman" w:cs="Times New Roman"/>
          <w:sz w:val="21"/>
          <w:szCs w:val="21"/>
        </w:rPr>
        <w:t>a 7</w:t>
      </w:r>
      <w:r w:rsidR="00A67D69" w:rsidRPr="00EC356F">
        <w:rPr>
          <w:rFonts w:ascii="Times New Roman" w:hAnsi="Times New Roman" w:cs="Times New Roman"/>
          <w:sz w:val="21"/>
          <w:szCs w:val="21"/>
        </w:rPr>
        <w:t>.</w:t>
      </w:r>
      <w:r w:rsidR="00A67D69">
        <w:rPr>
          <w:rFonts w:ascii="Times New Roman" w:hAnsi="Times New Roman" w:cs="Times New Roman"/>
          <w:sz w:val="21"/>
          <w:szCs w:val="21"/>
        </w:rPr>
        <w:t>7</w:t>
      </w:r>
      <w:r w:rsidR="00A67D69" w:rsidRPr="00EC356F">
        <w:rPr>
          <w:rFonts w:ascii="Times New Roman" w:hAnsi="Times New Roman" w:cs="Times New Roman"/>
          <w:sz w:val="21"/>
          <w:szCs w:val="21"/>
        </w:rPr>
        <w:t>%</w:t>
      </w:r>
      <w:r w:rsidR="00A67D69">
        <w:rPr>
          <w:rFonts w:ascii="Times New Roman" w:hAnsi="Times New Roman" w:cs="Times New Roman"/>
          <w:sz w:val="21"/>
          <w:szCs w:val="21"/>
        </w:rPr>
        <w:t xml:space="preserve"> growth last quarter) on the back of as much as 31.7% y/y depreciation of the ruble in the 4th</w:t>
      </w:r>
      <w:r w:rsidR="00A67D69" w:rsidRPr="00EC356F">
        <w:rPr>
          <w:rFonts w:ascii="Times New Roman" w:hAnsi="Times New Roman" w:cs="Times New Roman"/>
          <w:sz w:val="21"/>
          <w:szCs w:val="21"/>
        </w:rPr>
        <w:t xml:space="preserve"> </w:t>
      </w:r>
      <w:r w:rsidR="00A67D69">
        <w:rPr>
          <w:rFonts w:ascii="Times New Roman" w:hAnsi="Times New Roman" w:cs="Times New Roman"/>
          <w:sz w:val="21"/>
          <w:szCs w:val="21"/>
        </w:rPr>
        <w:t xml:space="preserve">quarter of 2014. Later the year, the inflation in Russia was 11.4% which expanded in January of 2015, reaching some 15%. </w:t>
      </w:r>
    </w:p>
    <w:p w14:paraId="31954856" w14:textId="77777777" w:rsidR="005936ED" w:rsidRDefault="00A9653E" w:rsidP="00A9653E">
      <w:pPr>
        <w:spacing w:line="360" w:lineRule="auto"/>
        <w:jc w:val="both"/>
        <w:rPr>
          <w:rFonts w:ascii="Times New Roman" w:hAnsi="Times New Roman" w:cs="Times New Roman"/>
          <w:sz w:val="21"/>
          <w:szCs w:val="21"/>
        </w:rPr>
      </w:pPr>
      <w:r w:rsidRPr="00E774C6">
        <w:rPr>
          <w:rFonts w:ascii="Times New Roman" w:hAnsi="Times New Roman" w:cs="Times New Roman"/>
          <w:sz w:val="21"/>
          <w:szCs w:val="21"/>
        </w:rPr>
        <w:t xml:space="preserve">In the </w:t>
      </w:r>
      <w:r w:rsidR="00500F13">
        <w:rPr>
          <w:rFonts w:ascii="Times New Roman" w:hAnsi="Times New Roman" w:cs="Times New Roman"/>
          <w:sz w:val="21"/>
          <w:szCs w:val="21"/>
        </w:rPr>
        <w:t>4th</w:t>
      </w:r>
      <w:r w:rsidRPr="00E774C6">
        <w:rPr>
          <w:rFonts w:ascii="Times New Roman" w:hAnsi="Times New Roman" w:cs="Times New Roman"/>
          <w:sz w:val="21"/>
          <w:szCs w:val="21"/>
        </w:rPr>
        <w:t xml:space="preserve"> quarter of 2014, the </w:t>
      </w:r>
      <w:r w:rsidRPr="00E774C6">
        <w:rPr>
          <w:rFonts w:ascii="Times New Roman" w:hAnsi="Times New Roman" w:cs="Times New Roman"/>
          <w:b/>
          <w:i/>
          <w:sz w:val="21"/>
          <w:szCs w:val="21"/>
        </w:rPr>
        <w:t>price of Brent crude</w:t>
      </w:r>
      <w:r w:rsidRPr="00E774C6">
        <w:rPr>
          <w:rFonts w:ascii="Times New Roman" w:hAnsi="Times New Roman" w:cs="Times New Roman"/>
          <w:sz w:val="21"/>
          <w:szCs w:val="21"/>
        </w:rPr>
        <w:t xml:space="preserve"> at </w:t>
      </w:r>
      <w:r w:rsidRPr="00E774C6">
        <w:rPr>
          <w:rFonts w:ascii="Times New Roman" w:hAnsi="Times New Roman" w:cs="Times New Roman"/>
          <w:iCs/>
          <w:sz w:val="21"/>
          <w:szCs w:val="21"/>
        </w:rPr>
        <w:t>Intercontinental Exchange</w:t>
      </w:r>
      <w:r w:rsidR="00500F13">
        <w:rPr>
          <w:rFonts w:ascii="Times New Roman" w:hAnsi="Times New Roman" w:cs="Times New Roman"/>
          <w:iCs/>
          <w:sz w:val="21"/>
          <w:szCs w:val="21"/>
        </w:rPr>
        <w:t xml:space="preserve"> plunged </w:t>
      </w:r>
      <w:r w:rsidRPr="00E774C6">
        <w:rPr>
          <w:rFonts w:ascii="Times New Roman" w:hAnsi="Times New Roman" w:cs="Times New Roman"/>
          <w:sz w:val="21"/>
          <w:szCs w:val="21"/>
        </w:rPr>
        <w:t xml:space="preserve">by </w:t>
      </w:r>
      <w:r w:rsidR="005936ED">
        <w:rPr>
          <w:rFonts w:ascii="Times New Roman" w:hAnsi="Times New Roman" w:cs="Times New Roman"/>
          <w:sz w:val="21"/>
          <w:szCs w:val="21"/>
        </w:rPr>
        <w:t>as much as</w:t>
      </w:r>
      <w:r w:rsidR="00500F13">
        <w:rPr>
          <w:rFonts w:ascii="Times New Roman" w:hAnsi="Times New Roman" w:cs="Times New Roman"/>
          <w:sz w:val="21"/>
          <w:szCs w:val="21"/>
        </w:rPr>
        <w:t xml:space="preserve"> 25</w:t>
      </w:r>
      <w:r w:rsidRPr="00E774C6">
        <w:rPr>
          <w:rFonts w:ascii="Times New Roman" w:hAnsi="Times New Roman" w:cs="Times New Roman"/>
          <w:sz w:val="21"/>
          <w:szCs w:val="21"/>
        </w:rPr>
        <w:t>.</w:t>
      </w:r>
      <w:r w:rsidR="00500F13">
        <w:rPr>
          <w:rFonts w:ascii="Times New Roman" w:hAnsi="Times New Roman" w:cs="Times New Roman"/>
          <w:sz w:val="21"/>
          <w:szCs w:val="21"/>
        </w:rPr>
        <w:t>6</w:t>
      </w:r>
      <w:r w:rsidRPr="00E774C6">
        <w:rPr>
          <w:rFonts w:ascii="Times New Roman" w:hAnsi="Times New Roman" w:cs="Times New Roman"/>
          <w:sz w:val="21"/>
          <w:szCs w:val="21"/>
        </w:rPr>
        <w:t xml:space="preserve">% against the previous quarter, </w:t>
      </w:r>
      <w:r w:rsidR="005936ED">
        <w:rPr>
          <w:rFonts w:ascii="Times New Roman" w:hAnsi="Times New Roman" w:cs="Times New Roman"/>
          <w:sz w:val="21"/>
          <w:szCs w:val="21"/>
        </w:rPr>
        <w:t>to</w:t>
      </w:r>
      <w:r w:rsidRPr="00E774C6">
        <w:rPr>
          <w:rFonts w:ascii="Times New Roman" w:hAnsi="Times New Roman" w:cs="Times New Roman"/>
          <w:sz w:val="21"/>
          <w:szCs w:val="21"/>
        </w:rPr>
        <w:t xml:space="preserve"> USD </w:t>
      </w:r>
      <w:r w:rsidR="00500F13">
        <w:rPr>
          <w:rFonts w:ascii="Times New Roman" w:hAnsi="Times New Roman" w:cs="Times New Roman"/>
          <w:sz w:val="21"/>
          <w:szCs w:val="21"/>
        </w:rPr>
        <w:t>76</w:t>
      </w:r>
      <w:r w:rsidR="00D2186D" w:rsidRPr="00E774C6">
        <w:rPr>
          <w:rFonts w:ascii="Times New Roman" w:hAnsi="Times New Roman" w:cs="Times New Roman"/>
          <w:sz w:val="21"/>
          <w:szCs w:val="21"/>
        </w:rPr>
        <w:t>.</w:t>
      </w:r>
      <w:r w:rsidR="00500F13">
        <w:rPr>
          <w:rFonts w:ascii="Times New Roman" w:hAnsi="Times New Roman" w:cs="Times New Roman"/>
          <w:sz w:val="21"/>
          <w:szCs w:val="21"/>
        </w:rPr>
        <w:t>0</w:t>
      </w:r>
      <w:r w:rsidRPr="00E774C6">
        <w:rPr>
          <w:rFonts w:ascii="Times New Roman" w:hAnsi="Times New Roman" w:cs="Times New Roman"/>
          <w:sz w:val="21"/>
          <w:szCs w:val="21"/>
        </w:rPr>
        <w:t xml:space="preserve"> a barrel (with </w:t>
      </w:r>
      <w:r w:rsidR="00500F13">
        <w:rPr>
          <w:rFonts w:ascii="Times New Roman" w:hAnsi="Times New Roman" w:cs="Times New Roman"/>
          <w:sz w:val="21"/>
          <w:szCs w:val="21"/>
        </w:rPr>
        <w:t>30</w:t>
      </w:r>
      <w:r w:rsidRPr="00E774C6">
        <w:rPr>
          <w:rFonts w:ascii="Times New Roman" w:hAnsi="Times New Roman" w:cs="Times New Roman"/>
          <w:sz w:val="21"/>
          <w:szCs w:val="21"/>
        </w:rPr>
        <w:t>.</w:t>
      </w:r>
      <w:r w:rsidR="00500F13">
        <w:rPr>
          <w:rFonts w:ascii="Times New Roman" w:hAnsi="Times New Roman" w:cs="Times New Roman"/>
          <w:sz w:val="21"/>
          <w:szCs w:val="21"/>
        </w:rPr>
        <w:t>5</w:t>
      </w:r>
      <w:r w:rsidRPr="00E774C6">
        <w:rPr>
          <w:rFonts w:ascii="Times New Roman" w:hAnsi="Times New Roman" w:cs="Times New Roman"/>
          <w:sz w:val="21"/>
          <w:szCs w:val="21"/>
        </w:rPr>
        <w:t xml:space="preserve">% </w:t>
      </w:r>
      <w:r w:rsidR="00D2186D" w:rsidRPr="00E774C6">
        <w:rPr>
          <w:rFonts w:ascii="Times New Roman" w:hAnsi="Times New Roman" w:cs="Times New Roman"/>
          <w:sz w:val="21"/>
          <w:szCs w:val="21"/>
        </w:rPr>
        <w:t>y/y decrease</w:t>
      </w:r>
      <w:r w:rsidRPr="00E774C6">
        <w:rPr>
          <w:rFonts w:ascii="Times New Roman" w:hAnsi="Times New Roman" w:cs="Times New Roman"/>
          <w:sz w:val="21"/>
          <w:szCs w:val="21"/>
        </w:rPr>
        <w:t>)</w:t>
      </w:r>
      <w:r w:rsidR="00500F13">
        <w:rPr>
          <w:rFonts w:ascii="Times New Roman" w:hAnsi="Times New Roman" w:cs="Times New Roman"/>
          <w:sz w:val="21"/>
          <w:szCs w:val="21"/>
        </w:rPr>
        <w:t xml:space="preserve">, </w:t>
      </w:r>
      <w:r w:rsidR="005936ED">
        <w:rPr>
          <w:rFonts w:ascii="Times New Roman" w:hAnsi="Times New Roman" w:cs="Times New Roman"/>
          <w:sz w:val="21"/>
          <w:szCs w:val="21"/>
        </w:rPr>
        <w:t>amidst increased U.S. extraction volumes and relevant anticipations in the financial markets. Later the year, the international oil price sank to USD 55.3 a barrel.</w:t>
      </w:r>
      <w:r w:rsidRPr="00E774C6">
        <w:rPr>
          <w:rFonts w:ascii="Times New Roman" w:hAnsi="Times New Roman" w:cs="Times New Roman"/>
          <w:sz w:val="21"/>
          <w:szCs w:val="21"/>
        </w:rPr>
        <w:t xml:space="preserve"> </w:t>
      </w:r>
    </w:p>
    <w:p w14:paraId="4704EC33" w14:textId="77777777" w:rsidR="00A9653E" w:rsidRPr="00E774C6" w:rsidRDefault="005936ED" w:rsidP="00A9653E">
      <w:pPr>
        <w:spacing w:line="360" w:lineRule="auto"/>
        <w:jc w:val="both"/>
        <w:rPr>
          <w:rFonts w:ascii="Times New Roman" w:hAnsi="Times New Roman" w:cs="Times New Roman"/>
          <w:sz w:val="21"/>
          <w:szCs w:val="21"/>
        </w:rPr>
      </w:pPr>
      <w:r w:rsidRPr="00E774C6">
        <w:rPr>
          <w:rFonts w:ascii="Times New Roman" w:hAnsi="Times New Roman" w:cs="Times New Roman"/>
          <w:sz w:val="21"/>
          <w:szCs w:val="21"/>
        </w:rPr>
        <w:t xml:space="preserve">In the </w:t>
      </w:r>
      <w:r>
        <w:rPr>
          <w:rFonts w:ascii="Times New Roman" w:hAnsi="Times New Roman" w:cs="Times New Roman"/>
          <w:sz w:val="21"/>
          <w:szCs w:val="21"/>
        </w:rPr>
        <w:t>4th</w:t>
      </w:r>
      <w:r w:rsidRPr="00E774C6">
        <w:rPr>
          <w:rFonts w:ascii="Times New Roman" w:hAnsi="Times New Roman" w:cs="Times New Roman"/>
          <w:sz w:val="21"/>
          <w:szCs w:val="21"/>
        </w:rPr>
        <w:t xml:space="preserve"> quarter of 2014</w:t>
      </w:r>
      <w:r w:rsidR="00A9653E" w:rsidRPr="00E774C6">
        <w:rPr>
          <w:rFonts w:ascii="Times New Roman" w:hAnsi="Times New Roman" w:cs="Times New Roman"/>
          <w:sz w:val="21"/>
          <w:szCs w:val="21"/>
        </w:rPr>
        <w:t xml:space="preserve">, the </w:t>
      </w:r>
      <w:r w:rsidR="00A9653E" w:rsidRPr="00E774C6">
        <w:rPr>
          <w:rFonts w:ascii="Times New Roman" w:hAnsi="Times New Roman" w:cs="Times New Roman"/>
          <w:b/>
          <w:i/>
          <w:sz w:val="21"/>
          <w:szCs w:val="21"/>
        </w:rPr>
        <w:t>price of copper</w:t>
      </w:r>
      <w:r w:rsidR="00A9653E" w:rsidRPr="00E774C6">
        <w:rPr>
          <w:rFonts w:ascii="Times New Roman" w:hAnsi="Times New Roman" w:cs="Times New Roman"/>
          <w:sz w:val="21"/>
          <w:szCs w:val="21"/>
        </w:rPr>
        <w:t xml:space="preserve"> at the London Metal Exchange </w:t>
      </w:r>
      <w:r>
        <w:rPr>
          <w:rFonts w:ascii="Times New Roman" w:hAnsi="Times New Roman" w:cs="Times New Roman"/>
          <w:sz w:val="21"/>
          <w:szCs w:val="21"/>
        </w:rPr>
        <w:t>fell</w:t>
      </w:r>
      <w:r w:rsidR="00A9653E" w:rsidRPr="00E774C6">
        <w:rPr>
          <w:rFonts w:ascii="Times New Roman" w:hAnsi="Times New Roman" w:cs="Times New Roman"/>
          <w:sz w:val="21"/>
          <w:szCs w:val="21"/>
        </w:rPr>
        <w:t xml:space="preserve"> by </w:t>
      </w:r>
      <w:r>
        <w:rPr>
          <w:rFonts w:ascii="Times New Roman" w:hAnsi="Times New Roman" w:cs="Times New Roman"/>
          <w:sz w:val="21"/>
          <w:szCs w:val="21"/>
        </w:rPr>
        <w:t>5</w:t>
      </w:r>
      <w:r w:rsidR="00A9653E" w:rsidRPr="00E774C6">
        <w:rPr>
          <w:rFonts w:ascii="Times New Roman" w:hAnsi="Times New Roman" w:cs="Times New Roman"/>
          <w:sz w:val="21"/>
          <w:szCs w:val="21"/>
        </w:rPr>
        <w:t>.</w:t>
      </w:r>
      <w:r>
        <w:rPr>
          <w:rFonts w:ascii="Times New Roman" w:hAnsi="Times New Roman" w:cs="Times New Roman"/>
          <w:sz w:val="21"/>
          <w:szCs w:val="21"/>
        </w:rPr>
        <w:t>8</w:t>
      </w:r>
      <w:r w:rsidR="00A9653E" w:rsidRPr="00E774C6">
        <w:rPr>
          <w:rFonts w:ascii="Times New Roman" w:hAnsi="Times New Roman" w:cs="Times New Roman"/>
          <w:sz w:val="21"/>
          <w:szCs w:val="21"/>
        </w:rPr>
        <w:t xml:space="preserve">% </w:t>
      </w:r>
      <w:r w:rsidRPr="00E774C6">
        <w:rPr>
          <w:rFonts w:ascii="Times New Roman" w:hAnsi="Times New Roman" w:cs="Times New Roman"/>
          <w:sz w:val="21"/>
          <w:szCs w:val="21"/>
        </w:rPr>
        <w:t xml:space="preserve">(with </w:t>
      </w:r>
      <w:r>
        <w:rPr>
          <w:rFonts w:ascii="Times New Roman" w:hAnsi="Times New Roman" w:cs="Times New Roman"/>
          <w:sz w:val="21"/>
          <w:szCs w:val="21"/>
        </w:rPr>
        <w:t>8</w:t>
      </w:r>
      <w:r w:rsidRPr="00E774C6">
        <w:rPr>
          <w:rFonts w:ascii="Times New Roman" w:hAnsi="Times New Roman" w:cs="Times New Roman"/>
          <w:sz w:val="21"/>
          <w:szCs w:val="21"/>
          <w:lang w:val="hy-AM"/>
        </w:rPr>
        <w:t>.</w:t>
      </w:r>
      <w:r>
        <w:rPr>
          <w:rFonts w:ascii="Times New Roman" w:hAnsi="Times New Roman" w:cs="Times New Roman"/>
          <w:sz w:val="21"/>
          <w:szCs w:val="21"/>
        </w:rPr>
        <w:t>3</w:t>
      </w:r>
      <w:r w:rsidRPr="00E774C6">
        <w:rPr>
          <w:rFonts w:ascii="Times New Roman" w:hAnsi="Times New Roman" w:cs="Times New Roman"/>
          <w:sz w:val="21"/>
          <w:szCs w:val="21"/>
        </w:rPr>
        <w:t>% decline y/y)</w:t>
      </w:r>
      <w:r>
        <w:rPr>
          <w:rFonts w:ascii="Times New Roman" w:hAnsi="Times New Roman" w:cs="Times New Roman"/>
          <w:sz w:val="21"/>
          <w:szCs w:val="21"/>
        </w:rPr>
        <w:t xml:space="preserve"> </w:t>
      </w:r>
      <w:r w:rsidR="00A9653E" w:rsidRPr="00E774C6">
        <w:rPr>
          <w:rFonts w:ascii="Times New Roman" w:hAnsi="Times New Roman" w:cs="Times New Roman"/>
          <w:sz w:val="21"/>
          <w:szCs w:val="21"/>
        </w:rPr>
        <w:t>to USD 6</w:t>
      </w:r>
      <w:r>
        <w:rPr>
          <w:rFonts w:ascii="Times New Roman" w:hAnsi="Times New Roman" w:cs="Times New Roman"/>
          <w:sz w:val="21"/>
          <w:szCs w:val="21"/>
        </w:rPr>
        <w:t>5</w:t>
      </w:r>
      <w:r w:rsidR="00CE023C" w:rsidRPr="00E774C6">
        <w:rPr>
          <w:rFonts w:ascii="Times New Roman" w:hAnsi="Times New Roman" w:cs="Times New Roman"/>
          <w:sz w:val="21"/>
          <w:szCs w:val="21"/>
          <w:lang w:val="hy-AM"/>
        </w:rPr>
        <w:t>7</w:t>
      </w:r>
      <w:r>
        <w:rPr>
          <w:rFonts w:ascii="Times New Roman" w:hAnsi="Times New Roman" w:cs="Times New Roman"/>
          <w:sz w:val="21"/>
          <w:szCs w:val="21"/>
        </w:rPr>
        <w:t>2</w:t>
      </w:r>
      <w:r w:rsidR="00A9653E" w:rsidRPr="00E774C6">
        <w:rPr>
          <w:rFonts w:ascii="Times New Roman" w:hAnsi="Times New Roman" w:cs="Times New Roman"/>
          <w:sz w:val="21"/>
          <w:szCs w:val="21"/>
        </w:rPr>
        <w:t xml:space="preserve"> per ton</w:t>
      </w:r>
      <w:r>
        <w:rPr>
          <w:rFonts w:ascii="Times New Roman" w:hAnsi="Times New Roman" w:cs="Times New Roman"/>
          <w:sz w:val="21"/>
          <w:szCs w:val="21"/>
        </w:rPr>
        <w:t xml:space="preserve"> on average</w:t>
      </w:r>
      <w:r w:rsidR="00A9653E" w:rsidRPr="00E774C6">
        <w:rPr>
          <w:rFonts w:ascii="Times New Roman" w:hAnsi="Times New Roman" w:cs="Times New Roman"/>
          <w:sz w:val="21"/>
          <w:szCs w:val="21"/>
        </w:rPr>
        <w:t xml:space="preserve">. </w:t>
      </w:r>
      <w:r w:rsidR="001E5442">
        <w:rPr>
          <w:rFonts w:ascii="Times New Roman" w:hAnsi="Times New Roman" w:cs="Times New Roman"/>
          <w:sz w:val="21"/>
          <w:szCs w:val="21"/>
        </w:rPr>
        <w:t xml:space="preserve">The drop in the price was explained by the slowing of demand in China </w:t>
      </w:r>
      <w:r w:rsidR="007203E0">
        <w:rPr>
          <w:rFonts w:ascii="Times New Roman" w:hAnsi="Times New Roman" w:cs="Times New Roman"/>
          <w:sz w:val="21"/>
          <w:szCs w:val="21"/>
        </w:rPr>
        <w:t>on the one hand and the e</w:t>
      </w:r>
      <w:r w:rsidR="001E5442">
        <w:rPr>
          <w:rFonts w:ascii="Times New Roman" w:hAnsi="Times New Roman" w:cs="Times New Roman"/>
          <w:sz w:val="21"/>
          <w:szCs w:val="21"/>
        </w:rPr>
        <w:t>ffect</w:t>
      </w:r>
      <w:r w:rsidR="007203E0">
        <w:rPr>
          <w:rFonts w:ascii="Times New Roman" w:hAnsi="Times New Roman" w:cs="Times New Roman"/>
          <w:sz w:val="21"/>
          <w:szCs w:val="21"/>
        </w:rPr>
        <w:t>s</w:t>
      </w:r>
      <w:r w:rsidR="001E5442">
        <w:rPr>
          <w:rFonts w:ascii="Times New Roman" w:hAnsi="Times New Roman" w:cs="Times New Roman"/>
          <w:sz w:val="21"/>
          <w:szCs w:val="21"/>
        </w:rPr>
        <w:t xml:space="preserve"> of appreciating U.S. dollar</w:t>
      </w:r>
      <w:r w:rsidR="007203E0">
        <w:rPr>
          <w:rFonts w:ascii="Times New Roman" w:hAnsi="Times New Roman" w:cs="Times New Roman"/>
          <w:sz w:val="21"/>
          <w:szCs w:val="21"/>
        </w:rPr>
        <w:t xml:space="preserve"> on the other</w:t>
      </w:r>
      <w:r w:rsidR="001E5442">
        <w:rPr>
          <w:rFonts w:ascii="Times New Roman" w:hAnsi="Times New Roman" w:cs="Times New Roman"/>
          <w:sz w:val="21"/>
          <w:szCs w:val="21"/>
        </w:rPr>
        <w:t>.</w:t>
      </w:r>
    </w:p>
    <w:p w14:paraId="22E63C04" w14:textId="77777777" w:rsidR="00E26F69" w:rsidRDefault="00A9653E" w:rsidP="00A9653E">
      <w:pPr>
        <w:spacing w:line="360" w:lineRule="auto"/>
        <w:jc w:val="both"/>
        <w:rPr>
          <w:rStyle w:val="longtext"/>
          <w:rFonts w:ascii="Times New Roman" w:hAnsi="Times New Roman" w:cs="Times New Roman"/>
          <w:sz w:val="21"/>
          <w:szCs w:val="21"/>
        </w:rPr>
      </w:pPr>
      <w:r w:rsidRPr="00E774C6">
        <w:rPr>
          <w:rFonts w:ascii="Times New Roman" w:hAnsi="Times New Roman" w:cs="Times New Roman"/>
          <w:sz w:val="21"/>
          <w:szCs w:val="21"/>
        </w:rPr>
        <w:t xml:space="preserve">In the </w:t>
      </w:r>
      <w:r w:rsidR="00EB5F55">
        <w:rPr>
          <w:rFonts w:ascii="Times New Roman" w:hAnsi="Times New Roman" w:cs="Times New Roman"/>
          <w:sz w:val="21"/>
          <w:szCs w:val="21"/>
        </w:rPr>
        <w:t>4th</w:t>
      </w:r>
      <w:r w:rsidRPr="00E774C6">
        <w:rPr>
          <w:rFonts w:ascii="Times New Roman" w:hAnsi="Times New Roman" w:cs="Times New Roman"/>
          <w:sz w:val="21"/>
          <w:szCs w:val="21"/>
        </w:rPr>
        <w:t xml:space="preserve"> quarter of 2014, e</w:t>
      </w:r>
      <w:r w:rsidRPr="00E774C6">
        <w:rPr>
          <w:rStyle w:val="longtext"/>
          <w:rFonts w:ascii="Times New Roman" w:hAnsi="Times New Roman" w:cs="Times New Roman"/>
          <w:sz w:val="21"/>
          <w:szCs w:val="21"/>
          <w:shd w:val="clear" w:color="auto" w:fill="FFFFFF"/>
        </w:rPr>
        <w:t xml:space="preserve">xport price of </w:t>
      </w:r>
      <w:r w:rsidRPr="00E774C6">
        <w:rPr>
          <w:rStyle w:val="longtext"/>
          <w:rFonts w:ascii="Times New Roman" w:hAnsi="Times New Roman" w:cs="Times New Roman"/>
          <w:b/>
          <w:i/>
          <w:sz w:val="21"/>
          <w:szCs w:val="21"/>
          <w:shd w:val="clear" w:color="auto" w:fill="FFFFFF"/>
        </w:rPr>
        <w:t>hard red</w:t>
      </w:r>
      <w:r w:rsidR="00EB5F55">
        <w:rPr>
          <w:rStyle w:val="longtext"/>
          <w:rFonts w:ascii="Times New Roman" w:hAnsi="Times New Roman" w:cs="Times New Roman"/>
          <w:b/>
          <w:i/>
          <w:sz w:val="21"/>
          <w:szCs w:val="21"/>
          <w:shd w:val="clear" w:color="auto" w:fill="FFFFFF"/>
        </w:rPr>
        <w:t xml:space="preserve"> </w:t>
      </w:r>
      <w:r w:rsidRPr="00E774C6">
        <w:rPr>
          <w:rStyle w:val="longtext"/>
          <w:rFonts w:ascii="Times New Roman" w:hAnsi="Times New Roman" w:cs="Times New Roman"/>
          <w:b/>
          <w:i/>
          <w:sz w:val="21"/>
          <w:szCs w:val="21"/>
          <w:shd w:val="clear" w:color="auto" w:fill="FFFFFF"/>
        </w:rPr>
        <w:t>wheat</w:t>
      </w:r>
      <w:r w:rsidR="00EB5F55">
        <w:rPr>
          <w:rStyle w:val="longtext"/>
          <w:rFonts w:ascii="Times New Roman" w:hAnsi="Times New Roman" w:cs="Times New Roman"/>
          <w:b/>
          <w:i/>
          <w:sz w:val="21"/>
          <w:szCs w:val="21"/>
          <w:shd w:val="clear" w:color="auto" w:fill="FFFFFF"/>
        </w:rPr>
        <w:t xml:space="preserve"> </w:t>
      </w:r>
      <w:r w:rsidR="00EB5F55" w:rsidRPr="00EB5F55">
        <w:rPr>
          <w:rStyle w:val="longtext"/>
          <w:rFonts w:ascii="Times New Roman" w:hAnsi="Times New Roman" w:cs="Times New Roman"/>
          <w:sz w:val="21"/>
          <w:szCs w:val="21"/>
          <w:shd w:val="clear" w:color="auto" w:fill="FFFFFF"/>
        </w:rPr>
        <w:t>dropped</w:t>
      </w:r>
      <w:r w:rsidR="00E774C6" w:rsidRPr="00E774C6">
        <w:rPr>
          <w:rStyle w:val="longtext"/>
          <w:rFonts w:ascii="Times New Roman" w:hAnsi="Times New Roman" w:cs="Times New Roman"/>
          <w:sz w:val="21"/>
          <w:szCs w:val="21"/>
          <w:shd w:val="clear" w:color="auto" w:fill="FFFFFF"/>
          <w:lang w:val="hy-AM"/>
        </w:rPr>
        <w:t xml:space="preserve"> </w:t>
      </w:r>
      <w:r w:rsidRPr="00E774C6">
        <w:rPr>
          <w:rStyle w:val="longtext"/>
          <w:rFonts w:ascii="Times New Roman" w:hAnsi="Times New Roman" w:cs="Times New Roman"/>
          <w:sz w:val="21"/>
          <w:szCs w:val="21"/>
          <w:shd w:val="clear" w:color="auto" w:fill="FFFFFF"/>
        </w:rPr>
        <w:t xml:space="preserve">by </w:t>
      </w:r>
      <w:r w:rsidR="00E774C6" w:rsidRPr="00E774C6">
        <w:rPr>
          <w:rStyle w:val="longtext"/>
          <w:rFonts w:ascii="Times New Roman" w:hAnsi="Times New Roman" w:cs="Times New Roman"/>
          <w:sz w:val="21"/>
          <w:szCs w:val="21"/>
          <w:shd w:val="clear" w:color="auto" w:fill="FFFFFF"/>
          <w:lang w:val="hy-AM"/>
        </w:rPr>
        <w:t>1</w:t>
      </w:r>
      <w:r w:rsidR="00EB5F55">
        <w:rPr>
          <w:rStyle w:val="longtext"/>
          <w:rFonts w:ascii="Times New Roman" w:hAnsi="Times New Roman" w:cs="Times New Roman"/>
          <w:sz w:val="21"/>
          <w:szCs w:val="21"/>
          <w:shd w:val="clear" w:color="auto" w:fill="FFFFFF"/>
        </w:rPr>
        <w:t>.8</w:t>
      </w:r>
      <w:r w:rsidRPr="00E774C6">
        <w:rPr>
          <w:rStyle w:val="longtext"/>
          <w:rFonts w:ascii="Times New Roman" w:hAnsi="Times New Roman" w:cs="Times New Roman"/>
          <w:sz w:val="21"/>
          <w:szCs w:val="21"/>
          <w:shd w:val="clear" w:color="auto" w:fill="FFFFFF"/>
        </w:rPr>
        <w:t xml:space="preserve">% q/q to USD </w:t>
      </w:r>
      <w:r w:rsidR="00E774C6" w:rsidRPr="00E774C6">
        <w:rPr>
          <w:rStyle w:val="longtext"/>
          <w:rFonts w:ascii="Times New Roman" w:hAnsi="Times New Roman" w:cs="Times New Roman"/>
          <w:sz w:val="21"/>
          <w:szCs w:val="21"/>
          <w:shd w:val="clear" w:color="auto" w:fill="FFFFFF"/>
          <w:lang w:val="hy-AM"/>
        </w:rPr>
        <w:t>7</w:t>
      </w:r>
      <w:r w:rsidRPr="00E774C6">
        <w:rPr>
          <w:rStyle w:val="longtext"/>
          <w:rFonts w:ascii="Times New Roman" w:hAnsi="Times New Roman" w:cs="Times New Roman"/>
          <w:sz w:val="21"/>
          <w:szCs w:val="21"/>
          <w:shd w:val="clear" w:color="auto" w:fill="FFFFFF"/>
        </w:rPr>
        <w:t>.</w:t>
      </w:r>
      <w:r w:rsidR="00EB5F55">
        <w:rPr>
          <w:rStyle w:val="longtext"/>
          <w:rFonts w:ascii="Times New Roman" w:hAnsi="Times New Roman" w:cs="Times New Roman"/>
          <w:sz w:val="21"/>
          <w:szCs w:val="21"/>
          <w:shd w:val="clear" w:color="auto" w:fill="FFFFFF"/>
        </w:rPr>
        <w:t>0</w:t>
      </w:r>
      <w:r w:rsidRPr="00E774C6">
        <w:rPr>
          <w:rStyle w:val="longtext"/>
          <w:rFonts w:ascii="Times New Roman" w:hAnsi="Times New Roman" w:cs="Times New Roman"/>
          <w:sz w:val="21"/>
          <w:szCs w:val="21"/>
          <w:shd w:val="clear" w:color="auto" w:fill="FFFFFF"/>
        </w:rPr>
        <w:t xml:space="preserve"> a bushel (</w:t>
      </w:r>
      <w:r w:rsidRPr="00E774C6">
        <w:rPr>
          <w:rFonts w:ascii="Times New Roman" w:hAnsi="Times New Roman" w:cs="Times New Roman"/>
          <w:sz w:val="21"/>
          <w:szCs w:val="21"/>
        </w:rPr>
        <w:t xml:space="preserve">with </w:t>
      </w:r>
      <w:r w:rsidR="00E774C6" w:rsidRPr="00E774C6">
        <w:rPr>
          <w:rFonts w:ascii="Times New Roman" w:hAnsi="Times New Roman" w:cs="Times New Roman"/>
          <w:sz w:val="21"/>
          <w:szCs w:val="21"/>
          <w:lang w:val="hy-AM"/>
        </w:rPr>
        <w:t>1</w:t>
      </w:r>
      <w:r w:rsidR="00EB5F55">
        <w:rPr>
          <w:rFonts w:ascii="Times New Roman" w:hAnsi="Times New Roman" w:cs="Times New Roman"/>
          <w:sz w:val="21"/>
          <w:szCs w:val="21"/>
        </w:rPr>
        <w:t>6</w:t>
      </w:r>
      <w:r w:rsidRPr="00E774C6">
        <w:rPr>
          <w:rFonts w:ascii="Times New Roman" w:hAnsi="Times New Roman" w:cs="Times New Roman"/>
          <w:sz w:val="21"/>
          <w:szCs w:val="21"/>
        </w:rPr>
        <w:t>.</w:t>
      </w:r>
      <w:r w:rsidR="00EB5F55">
        <w:rPr>
          <w:rFonts w:ascii="Times New Roman" w:hAnsi="Times New Roman" w:cs="Times New Roman"/>
          <w:sz w:val="21"/>
          <w:szCs w:val="21"/>
        </w:rPr>
        <w:t>2</w:t>
      </w:r>
      <w:r w:rsidRPr="00E774C6">
        <w:rPr>
          <w:rFonts w:ascii="Times New Roman" w:hAnsi="Times New Roman" w:cs="Times New Roman"/>
          <w:sz w:val="21"/>
          <w:szCs w:val="21"/>
        </w:rPr>
        <w:t xml:space="preserve">% </w:t>
      </w:r>
      <w:r w:rsidR="00E774C6" w:rsidRPr="00E774C6">
        <w:rPr>
          <w:rFonts w:ascii="Times New Roman" w:hAnsi="Times New Roman" w:cs="Times New Roman"/>
          <w:sz w:val="21"/>
          <w:szCs w:val="21"/>
          <w:lang w:val="hy-AM"/>
        </w:rPr>
        <w:t>decrease</w:t>
      </w:r>
      <w:r w:rsidRPr="00E774C6">
        <w:rPr>
          <w:rFonts w:ascii="Times New Roman" w:hAnsi="Times New Roman" w:cs="Times New Roman"/>
          <w:sz w:val="21"/>
          <w:szCs w:val="21"/>
        </w:rPr>
        <w:t xml:space="preserve"> y/y</w:t>
      </w:r>
      <w:r w:rsidRPr="00E774C6">
        <w:rPr>
          <w:rStyle w:val="longtext"/>
          <w:rFonts w:ascii="Times New Roman" w:hAnsi="Times New Roman" w:cs="Times New Roman"/>
          <w:sz w:val="21"/>
          <w:szCs w:val="21"/>
          <w:shd w:val="clear" w:color="auto" w:fill="FFFFFF"/>
        </w:rPr>
        <w:t>), according to the U.S. Department of Agriculture data.</w:t>
      </w:r>
      <w:r w:rsidR="003F2698">
        <w:rPr>
          <w:rStyle w:val="longtext"/>
          <w:rFonts w:ascii="Times New Roman" w:hAnsi="Times New Roman" w:cs="Times New Roman"/>
          <w:sz w:val="21"/>
          <w:szCs w:val="21"/>
          <w:shd w:val="clear" w:color="auto" w:fill="FFFFFF"/>
        </w:rPr>
        <w:t xml:space="preserve"> This slight decrease in</w:t>
      </w:r>
      <w:r w:rsidRPr="00E774C6">
        <w:rPr>
          <w:rStyle w:val="longtext"/>
          <w:rFonts w:ascii="Times New Roman" w:hAnsi="Times New Roman" w:cs="Times New Roman"/>
          <w:sz w:val="21"/>
          <w:szCs w:val="21"/>
        </w:rPr>
        <w:t xml:space="preserve"> wheat prices </w:t>
      </w:r>
      <w:r w:rsidR="00E774C6" w:rsidRPr="00E774C6">
        <w:rPr>
          <w:rStyle w:val="longtext"/>
          <w:rFonts w:ascii="Times New Roman" w:hAnsi="Times New Roman" w:cs="Times New Roman"/>
          <w:sz w:val="21"/>
          <w:szCs w:val="21"/>
          <w:lang w:val="hy-AM"/>
        </w:rPr>
        <w:t xml:space="preserve">during the </w:t>
      </w:r>
      <w:r w:rsidRPr="00E774C6">
        <w:rPr>
          <w:rStyle w:val="longtext"/>
          <w:rFonts w:ascii="Times New Roman" w:hAnsi="Times New Roman" w:cs="Times New Roman"/>
          <w:sz w:val="21"/>
          <w:szCs w:val="21"/>
        </w:rPr>
        <w:t xml:space="preserve">quarter </w:t>
      </w:r>
      <w:r w:rsidR="003F2698">
        <w:rPr>
          <w:rStyle w:val="longtext"/>
          <w:rFonts w:ascii="Times New Roman" w:hAnsi="Times New Roman" w:cs="Times New Roman"/>
          <w:sz w:val="21"/>
          <w:szCs w:val="21"/>
        </w:rPr>
        <w:t xml:space="preserve">in anticipation of abundant crops was primarily attributable to the market which is wary of possible limitations to the exporting of wheat in the light of geopolitical developments in Russia at the end of the year. </w:t>
      </w:r>
    </w:p>
    <w:p w14:paraId="759936F9" w14:textId="582DF8B8" w:rsidR="004918BD" w:rsidRPr="004918BD" w:rsidRDefault="004918BD" w:rsidP="00572889">
      <w:pPr>
        <w:spacing w:line="360" w:lineRule="auto"/>
        <w:jc w:val="both"/>
        <w:rPr>
          <w:rStyle w:val="longtext"/>
          <w:rFonts w:ascii="Times New Roman" w:hAnsi="Times New Roman"/>
          <w:color w:val="0070C0"/>
          <w:sz w:val="18"/>
          <w:szCs w:val="18"/>
        </w:rPr>
      </w:pPr>
      <w:r>
        <w:rPr>
          <w:rStyle w:val="longtext"/>
          <w:rFonts w:ascii="Times New Roman" w:hAnsi="Times New Roman"/>
          <w:b/>
          <w:color w:val="0070C0"/>
          <w:sz w:val="18"/>
          <w:szCs w:val="18"/>
        </w:rPr>
        <w:t>More-than-</w:t>
      </w:r>
      <w:proofErr w:type="gramStart"/>
      <w:r>
        <w:rPr>
          <w:rStyle w:val="longtext"/>
          <w:rFonts w:ascii="Times New Roman" w:hAnsi="Times New Roman"/>
          <w:b/>
          <w:color w:val="0070C0"/>
          <w:sz w:val="18"/>
          <w:szCs w:val="18"/>
        </w:rPr>
        <w:t>expected</w:t>
      </w:r>
      <w:r w:rsidRPr="004918BD">
        <w:rPr>
          <w:rStyle w:val="longtext"/>
          <w:rFonts w:ascii="Times New Roman" w:hAnsi="Times New Roman"/>
          <w:b/>
          <w:color w:val="0070C0"/>
          <w:sz w:val="18"/>
          <w:szCs w:val="18"/>
        </w:rPr>
        <w:t xml:space="preserve"> </w:t>
      </w:r>
      <w:r w:rsidR="00564777">
        <w:rPr>
          <w:rStyle w:val="longtext"/>
          <w:rFonts w:ascii="Sylfaen" w:hAnsi="Sylfaen"/>
          <w:b/>
          <w:color w:val="0070C0"/>
          <w:sz w:val="18"/>
          <w:szCs w:val="18"/>
        </w:rPr>
        <w:t xml:space="preserve"> </w:t>
      </w:r>
      <w:r w:rsidR="00564777" w:rsidRPr="00801673">
        <w:rPr>
          <w:rStyle w:val="longtext"/>
          <w:rFonts w:ascii="Sylfaen" w:hAnsi="Sylfaen"/>
          <w:b/>
          <w:color w:val="0070C0"/>
          <w:sz w:val="18"/>
          <w:szCs w:val="18"/>
        </w:rPr>
        <w:t>deflationary</w:t>
      </w:r>
      <w:r w:rsidRPr="004918BD">
        <w:rPr>
          <w:rStyle w:val="longtext"/>
          <w:rFonts w:ascii="Times New Roman" w:hAnsi="Times New Roman"/>
          <w:b/>
          <w:color w:val="0070C0"/>
          <w:sz w:val="18"/>
          <w:szCs w:val="18"/>
        </w:rPr>
        <w:t>trends</w:t>
      </w:r>
      <w:proofErr w:type="gramEnd"/>
      <w:r w:rsidRPr="004918BD">
        <w:rPr>
          <w:rStyle w:val="longtext"/>
          <w:rFonts w:ascii="Times New Roman" w:hAnsi="Times New Roman"/>
          <w:b/>
          <w:color w:val="0070C0"/>
          <w:sz w:val="18"/>
          <w:szCs w:val="18"/>
        </w:rPr>
        <w:t xml:space="preserve"> </w:t>
      </w:r>
      <w:r>
        <w:rPr>
          <w:rStyle w:val="longtext"/>
          <w:rFonts w:ascii="Times New Roman" w:hAnsi="Times New Roman"/>
          <w:b/>
          <w:color w:val="0070C0"/>
          <w:sz w:val="18"/>
          <w:szCs w:val="18"/>
        </w:rPr>
        <w:t xml:space="preserve">were </w:t>
      </w:r>
      <w:r w:rsidRPr="004918BD">
        <w:rPr>
          <w:rStyle w:val="longtext"/>
          <w:rFonts w:ascii="Times New Roman" w:hAnsi="Times New Roman"/>
          <w:b/>
          <w:color w:val="0070C0"/>
          <w:sz w:val="18"/>
          <w:szCs w:val="18"/>
        </w:rPr>
        <w:t xml:space="preserve">observable in world commodities markets during the 4th quarter, which was determined by the developments typical to individual commodity markets as well as </w:t>
      </w:r>
      <w:r w:rsidRPr="00964017">
        <w:rPr>
          <w:rStyle w:val="longtext"/>
          <w:rFonts w:ascii="Times New Roman" w:hAnsi="Times New Roman"/>
          <w:b/>
          <w:color w:val="0070C0"/>
          <w:sz w:val="18"/>
          <w:szCs w:val="18"/>
        </w:rPr>
        <w:t>over-reacting to market expectations…</w:t>
      </w:r>
    </w:p>
    <w:p w14:paraId="11DEE047" w14:textId="77777777" w:rsidR="00572889" w:rsidRDefault="00572889" w:rsidP="00572889">
      <w:pPr>
        <w:spacing w:line="360" w:lineRule="auto"/>
        <w:jc w:val="both"/>
        <w:rPr>
          <w:rStyle w:val="longtext"/>
          <w:rFonts w:ascii="Times New Roman" w:hAnsi="Times New Roman" w:cs="Times New Roman"/>
          <w:sz w:val="21"/>
          <w:szCs w:val="21"/>
        </w:rPr>
      </w:pPr>
      <w:r>
        <w:rPr>
          <w:rStyle w:val="longtext"/>
          <w:rFonts w:ascii="Times New Roman" w:hAnsi="Times New Roman"/>
          <w:sz w:val="21"/>
          <w:szCs w:val="21"/>
        </w:rPr>
        <w:t xml:space="preserve">In the 4th quarter of 2014, the price index of </w:t>
      </w:r>
      <w:r>
        <w:rPr>
          <w:rStyle w:val="longtext"/>
          <w:rFonts w:ascii="Times New Roman" w:hAnsi="Times New Roman"/>
          <w:b/>
          <w:i/>
          <w:sz w:val="21"/>
          <w:szCs w:val="21"/>
        </w:rPr>
        <w:t>unprocessed sugar</w:t>
      </w:r>
      <w:r>
        <w:rPr>
          <w:rStyle w:val="longtext"/>
          <w:rFonts w:ascii="Times New Roman" w:hAnsi="Times New Roman"/>
          <w:sz w:val="21"/>
          <w:szCs w:val="21"/>
        </w:rPr>
        <w:t xml:space="preserve"> at the </w:t>
      </w:r>
      <w:r>
        <w:rPr>
          <w:rFonts w:ascii="Times New Roman" w:eastAsia="MS Mincho" w:hAnsi="Times New Roman" w:cs="Times New Roman"/>
          <w:iCs/>
          <w:sz w:val="21"/>
          <w:szCs w:val="21"/>
        </w:rPr>
        <w:t>New York Board-Intercontinental Exchange</w:t>
      </w:r>
      <w:r>
        <w:rPr>
          <w:rStyle w:val="longtext"/>
          <w:rFonts w:ascii="Times New Roman" w:hAnsi="Times New Roman"/>
          <w:sz w:val="21"/>
          <w:szCs w:val="21"/>
        </w:rPr>
        <w:t xml:space="preserve"> reported a 0.7% decrease </w:t>
      </w:r>
      <w:r>
        <w:rPr>
          <w:rStyle w:val="longtext"/>
          <w:rFonts w:ascii="Times New Roman" w:hAnsi="Times New Roman"/>
          <w:sz w:val="21"/>
          <w:szCs w:val="21"/>
          <w:shd w:val="clear" w:color="auto" w:fill="FFFFFF"/>
        </w:rPr>
        <w:t>(</w:t>
      </w:r>
      <w:r>
        <w:rPr>
          <w:rFonts w:ascii="Times New Roman" w:hAnsi="Times New Roman" w:cs="Times New Roman"/>
          <w:sz w:val="21"/>
          <w:szCs w:val="21"/>
        </w:rPr>
        <w:t>with 10.6% decline y/y</w:t>
      </w:r>
      <w:r>
        <w:rPr>
          <w:rStyle w:val="longtext"/>
          <w:rFonts w:ascii="Times New Roman" w:hAnsi="Times New Roman"/>
          <w:sz w:val="21"/>
          <w:szCs w:val="21"/>
          <w:shd w:val="clear" w:color="auto" w:fill="FFFFFF"/>
        </w:rPr>
        <w:t>), mostly driven by various expectations in the market for weather conditions and production capacities in Brazils during the quarter. Similarly, t</w:t>
      </w:r>
      <w:r>
        <w:rPr>
          <w:rStyle w:val="longtext"/>
          <w:rFonts w:ascii="Times New Roman" w:hAnsi="Times New Roman"/>
          <w:sz w:val="21"/>
          <w:szCs w:val="21"/>
        </w:rPr>
        <w:t>he price of</w:t>
      </w:r>
      <w:r>
        <w:rPr>
          <w:rStyle w:val="longtext"/>
          <w:rFonts w:ascii="Times New Roman" w:hAnsi="Times New Roman"/>
          <w:b/>
          <w:i/>
          <w:sz w:val="21"/>
          <w:szCs w:val="21"/>
        </w:rPr>
        <w:t xml:space="preserve"> rice</w:t>
      </w:r>
      <w:r>
        <w:rPr>
          <w:rStyle w:val="longtext"/>
          <w:rFonts w:ascii="Times New Roman" w:hAnsi="Times New Roman"/>
          <w:sz w:val="21"/>
          <w:szCs w:val="21"/>
        </w:rPr>
        <w:t xml:space="preserve"> at the Chicago Board of Trade fell by 3.9% to </w:t>
      </w:r>
      <w:r>
        <w:rPr>
          <w:rStyle w:val="longtext"/>
          <w:rFonts w:ascii="Times New Roman" w:hAnsi="Times New Roman"/>
          <w:sz w:val="21"/>
          <w:szCs w:val="21"/>
          <w:shd w:val="clear" w:color="auto" w:fill="FFFFFF"/>
        </w:rPr>
        <w:t xml:space="preserve">USD </w:t>
      </w:r>
      <w:r>
        <w:rPr>
          <w:rStyle w:val="longtext"/>
          <w:rFonts w:ascii="Times New Roman" w:hAnsi="Times New Roman"/>
          <w:sz w:val="21"/>
          <w:szCs w:val="21"/>
        </w:rPr>
        <w:t>12.4 per U.S. hundredweight (45.4 kg) (with 20.1% decline y/y).</w:t>
      </w:r>
    </w:p>
    <w:p w14:paraId="2E4EB3F9" w14:textId="76AB9D08" w:rsidR="00572889" w:rsidRDefault="00572889" w:rsidP="00572889">
      <w:pPr>
        <w:spacing w:line="360" w:lineRule="auto"/>
        <w:jc w:val="both"/>
        <w:rPr>
          <w:rStyle w:val="longtext"/>
          <w:rFonts w:ascii="Times New Roman" w:hAnsi="Times New Roman"/>
          <w:b/>
          <w:color w:val="000000"/>
          <w:sz w:val="21"/>
          <w:szCs w:val="21"/>
        </w:rPr>
      </w:pPr>
      <w:r>
        <w:rPr>
          <w:rStyle w:val="longtext"/>
          <w:rFonts w:ascii="Times New Roman" w:hAnsi="Times New Roman"/>
          <w:b/>
          <w:color w:val="000000"/>
          <w:sz w:val="21"/>
          <w:szCs w:val="21"/>
        </w:rPr>
        <w:lastRenderedPageBreak/>
        <w:t xml:space="preserve">There were even deeper </w:t>
      </w:r>
      <w:r w:rsidR="00564777">
        <w:rPr>
          <w:rStyle w:val="longtext"/>
          <w:rFonts w:ascii="Sylfaen" w:hAnsi="Sylfaen"/>
          <w:b/>
          <w:color w:val="000000"/>
          <w:sz w:val="21"/>
          <w:szCs w:val="21"/>
        </w:rPr>
        <w:t>deflationary</w:t>
      </w:r>
      <w:r w:rsidR="00564777">
        <w:rPr>
          <w:rStyle w:val="longtext"/>
          <w:rFonts w:ascii="Times New Roman" w:hAnsi="Times New Roman"/>
          <w:b/>
          <w:color w:val="000000"/>
          <w:sz w:val="21"/>
          <w:szCs w:val="21"/>
        </w:rPr>
        <w:t xml:space="preserve"> </w:t>
      </w:r>
      <w:r>
        <w:rPr>
          <w:rStyle w:val="longtext"/>
          <w:rFonts w:ascii="Times New Roman" w:hAnsi="Times New Roman"/>
          <w:b/>
          <w:color w:val="000000"/>
          <w:sz w:val="21"/>
          <w:szCs w:val="21"/>
        </w:rPr>
        <w:t xml:space="preserve">trends observable in world commodities markets during the 4th quarter, which was determined mainly by the developments typical to individual commodity markets as well as </w:t>
      </w:r>
      <w:r w:rsidRPr="00964017">
        <w:rPr>
          <w:rStyle w:val="longtext"/>
          <w:rFonts w:ascii="Times New Roman" w:hAnsi="Times New Roman"/>
          <w:b/>
          <w:color w:val="000000"/>
          <w:sz w:val="21"/>
          <w:szCs w:val="21"/>
        </w:rPr>
        <w:t>over-reacting to market expectations</w:t>
      </w:r>
      <w:r>
        <w:rPr>
          <w:rStyle w:val="longtext"/>
          <w:rFonts w:ascii="Times New Roman" w:hAnsi="Times New Roman"/>
          <w:b/>
          <w:color w:val="000000"/>
          <w:sz w:val="21"/>
          <w:szCs w:val="21"/>
        </w:rPr>
        <w:t xml:space="preserve">. </w:t>
      </w:r>
    </w:p>
    <w:p w14:paraId="1C5B296E" w14:textId="77777777" w:rsidR="00A56A9F" w:rsidRDefault="00A56A9F" w:rsidP="00572889">
      <w:pPr>
        <w:spacing w:line="360" w:lineRule="auto"/>
        <w:jc w:val="both"/>
        <w:rPr>
          <w:rStyle w:val="longtext"/>
          <w:rFonts w:ascii="Times New Roman" w:hAnsi="Times New Roman"/>
          <w:b/>
          <w:color w:val="000000"/>
          <w:sz w:val="21"/>
          <w:szCs w:val="21"/>
        </w:rPr>
      </w:pPr>
    </w:p>
    <w:p w14:paraId="70512FDC" w14:textId="77777777" w:rsidR="00572889" w:rsidRDefault="00572889" w:rsidP="00572889">
      <w:pPr>
        <w:spacing w:line="360" w:lineRule="auto"/>
        <w:jc w:val="both"/>
        <w:rPr>
          <w:rStyle w:val="longtext"/>
          <w:rFonts w:ascii="Times New Roman" w:hAnsi="Times New Roman"/>
          <w:b/>
          <w:color w:val="000000"/>
          <w:sz w:val="21"/>
          <w:szCs w:val="21"/>
        </w:rPr>
      </w:pPr>
      <w:r>
        <w:rPr>
          <w:rStyle w:val="longtext"/>
          <w:rFonts w:ascii="Times New Roman" w:hAnsi="Times New Roman"/>
          <w:b/>
          <w:color w:val="000000"/>
          <w:sz w:val="21"/>
          <w:szCs w:val="21"/>
        </w:rPr>
        <w:t>4. CONCLUSION</w:t>
      </w:r>
    </w:p>
    <w:p w14:paraId="75A5EF06" w14:textId="77777777" w:rsidR="00572889" w:rsidRDefault="00572889" w:rsidP="00572889">
      <w:pPr>
        <w:spacing w:line="360" w:lineRule="auto"/>
        <w:jc w:val="both"/>
        <w:rPr>
          <w:rStyle w:val="longtext"/>
          <w:rFonts w:ascii="Times New Roman" w:hAnsi="Times New Roman"/>
          <w:sz w:val="21"/>
          <w:szCs w:val="21"/>
          <w:shd w:val="clear" w:color="auto" w:fill="FFFFFF"/>
        </w:rPr>
      </w:pPr>
      <w:r>
        <w:rPr>
          <w:rStyle w:val="longtext"/>
          <w:rFonts w:ascii="Times New Roman" w:hAnsi="Times New Roman"/>
          <w:color w:val="000000"/>
          <w:sz w:val="21"/>
          <w:szCs w:val="21"/>
          <w:shd w:val="clear" w:color="auto" w:fill="FFFFFF"/>
        </w:rPr>
        <w:t>In the</w:t>
      </w:r>
      <w:r>
        <w:rPr>
          <w:rStyle w:val="longtext"/>
          <w:rFonts w:ascii="Sylfaen" w:hAnsi="Sylfaen"/>
          <w:color w:val="000000"/>
          <w:sz w:val="21"/>
          <w:szCs w:val="21"/>
          <w:shd w:val="clear" w:color="auto" w:fill="FFFFFF"/>
          <w:lang w:val="hy-AM"/>
        </w:rPr>
        <w:t xml:space="preserve"> </w:t>
      </w:r>
      <w:r>
        <w:rPr>
          <w:rStyle w:val="longtext"/>
          <w:rFonts w:ascii="Times New Roman" w:hAnsi="Times New Roman"/>
          <w:b/>
          <w:color w:val="000000"/>
          <w:sz w:val="21"/>
          <w:szCs w:val="21"/>
          <w:shd w:val="clear" w:color="auto" w:fill="FFFFFF"/>
        </w:rPr>
        <w:t>external sector</w:t>
      </w:r>
      <w:r>
        <w:rPr>
          <w:rStyle w:val="longtext"/>
          <w:rFonts w:ascii="Sylfaen" w:hAnsi="Sylfaen"/>
          <w:b/>
          <w:color w:val="000000"/>
          <w:sz w:val="21"/>
          <w:szCs w:val="21"/>
          <w:shd w:val="clear" w:color="auto" w:fill="FFFFFF"/>
          <w:lang w:val="hy-AM"/>
        </w:rPr>
        <w:t xml:space="preserve"> </w:t>
      </w:r>
      <w:r>
        <w:rPr>
          <w:rStyle w:val="longtext"/>
          <w:rFonts w:ascii="Times New Roman" w:hAnsi="Times New Roman"/>
          <w:color w:val="000000"/>
          <w:sz w:val="21"/>
          <w:szCs w:val="21"/>
          <w:shd w:val="clear" w:color="auto" w:fill="FFFFFF"/>
        </w:rPr>
        <w:t xml:space="preserve">in the 4th quarter of 2014, the </w:t>
      </w:r>
      <w:r>
        <w:rPr>
          <w:rStyle w:val="longtext"/>
          <w:rFonts w:ascii="Times New Roman" w:hAnsi="Times New Roman"/>
          <w:b/>
          <w:color w:val="000000"/>
          <w:sz w:val="21"/>
          <w:szCs w:val="21"/>
          <w:shd w:val="clear" w:color="auto" w:fill="FFFFFF"/>
        </w:rPr>
        <w:t>external demand</w:t>
      </w:r>
      <w:r>
        <w:rPr>
          <w:rStyle w:val="longtext"/>
          <w:rFonts w:ascii="Times New Roman" w:hAnsi="Times New Roman"/>
          <w:color w:val="000000"/>
          <w:sz w:val="21"/>
          <w:szCs w:val="21"/>
          <w:shd w:val="clear" w:color="auto" w:fill="FFFFFF"/>
        </w:rPr>
        <w:t xml:space="preserve"> remained sluggish and </w:t>
      </w:r>
      <w:r>
        <w:rPr>
          <w:rStyle w:val="longtext"/>
          <w:rFonts w:ascii="Times New Roman" w:hAnsi="Times New Roman"/>
          <w:color w:val="000000"/>
          <w:sz w:val="21"/>
          <w:szCs w:val="21"/>
        </w:rPr>
        <w:t xml:space="preserve">more-than-expected deflationary patterns were observable in </w:t>
      </w:r>
      <w:r>
        <w:rPr>
          <w:rStyle w:val="longtext"/>
          <w:rFonts w:ascii="Times New Roman" w:hAnsi="Times New Roman"/>
          <w:b/>
          <w:color w:val="000000"/>
          <w:sz w:val="21"/>
          <w:szCs w:val="21"/>
        </w:rPr>
        <w:t>basic commodity and food markets of the world</w:t>
      </w:r>
      <w:r>
        <w:rPr>
          <w:rStyle w:val="longtext"/>
          <w:rFonts w:ascii="Times New Roman" w:hAnsi="Times New Roman"/>
          <w:color w:val="000000"/>
          <w:sz w:val="21"/>
          <w:szCs w:val="21"/>
        </w:rPr>
        <w:t xml:space="preserve">. </w:t>
      </w:r>
      <w:r>
        <w:rPr>
          <w:rStyle w:val="longtext"/>
          <w:rFonts w:ascii="Times New Roman" w:hAnsi="Times New Roman"/>
          <w:color w:val="000000"/>
          <w:sz w:val="21"/>
          <w:szCs w:val="21"/>
          <w:shd w:val="clear" w:color="auto" w:fill="FFFFFF"/>
        </w:rPr>
        <w:t xml:space="preserve">In the </w:t>
      </w:r>
      <w:r>
        <w:rPr>
          <w:rStyle w:val="longtext"/>
          <w:rFonts w:ascii="Times New Roman" w:hAnsi="Times New Roman"/>
          <w:b/>
          <w:color w:val="000000"/>
          <w:sz w:val="21"/>
          <w:szCs w:val="21"/>
          <w:shd w:val="clear" w:color="auto" w:fill="FFFFFF"/>
        </w:rPr>
        <w:t>forecast horizon</w:t>
      </w:r>
      <w:r>
        <w:rPr>
          <w:rStyle w:val="longtext"/>
          <w:rFonts w:ascii="Times New Roman" w:hAnsi="Times New Roman"/>
          <w:color w:val="000000"/>
          <w:sz w:val="21"/>
          <w:szCs w:val="21"/>
          <w:shd w:val="clear" w:color="auto" w:fill="FFFFFF"/>
        </w:rPr>
        <w:t>,</w:t>
      </w:r>
      <w:r>
        <w:rPr>
          <w:rStyle w:val="longtext"/>
          <w:rFonts w:ascii="Sylfaen" w:hAnsi="Sylfaen"/>
          <w:color w:val="000000"/>
          <w:sz w:val="21"/>
          <w:szCs w:val="21"/>
          <w:shd w:val="clear" w:color="auto" w:fill="FFFFFF"/>
          <w:lang w:val="hy-AM"/>
        </w:rPr>
        <w:t xml:space="preserve"> </w:t>
      </w:r>
      <w:r>
        <w:rPr>
          <w:rStyle w:val="longtext"/>
          <w:rFonts w:ascii="Times New Roman" w:hAnsi="Times New Roman"/>
          <w:b/>
          <w:color w:val="000000"/>
          <w:sz w:val="21"/>
          <w:szCs w:val="21"/>
          <w:shd w:val="clear" w:color="auto" w:fill="FFFFFF"/>
        </w:rPr>
        <w:t>no considerable</w:t>
      </w:r>
      <w:r>
        <w:rPr>
          <w:rStyle w:val="longtext"/>
          <w:rFonts w:ascii="Sylfaen" w:hAnsi="Sylfaen"/>
          <w:b/>
          <w:color w:val="000000"/>
          <w:sz w:val="21"/>
          <w:szCs w:val="21"/>
          <w:shd w:val="clear" w:color="auto" w:fill="FFFFFF"/>
          <w:lang w:val="hy-AM"/>
        </w:rPr>
        <w:t xml:space="preserve"> </w:t>
      </w:r>
      <w:r>
        <w:rPr>
          <w:rStyle w:val="longtext"/>
          <w:rFonts w:ascii="Times New Roman" w:hAnsi="Times New Roman"/>
          <w:b/>
          <w:sz w:val="21"/>
          <w:szCs w:val="21"/>
          <w:shd w:val="clear" w:color="auto" w:fill="FFFFFF"/>
        </w:rPr>
        <w:t xml:space="preserve">inflationary pressures </w:t>
      </w:r>
      <w:r>
        <w:rPr>
          <w:rStyle w:val="longtext"/>
          <w:rFonts w:ascii="Times New Roman" w:hAnsi="Times New Roman"/>
          <w:color w:val="000000"/>
          <w:sz w:val="21"/>
          <w:szCs w:val="21"/>
        </w:rPr>
        <w:t>in basic commodity and food markets</w:t>
      </w:r>
      <w:r>
        <w:rPr>
          <w:rStyle w:val="longtext"/>
          <w:rFonts w:ascii="Times New Roman" w:hAnsi="Times New Roman"/>
          <w:sz w:val="21"/>
          <w:szCs w:val="21"/>
          <w:shd w:val="clear" w:color="auto" w:fill="FFFFFF"/>
        </w:rPr>
        <w:t xml:space="preserve"> of the world </w:t>
      </w:r>
      <w:r>
        <w:rPr>
          <w:rStyle w:val="longtext"/>
          <w:rFonts w:ascii="Times New Roman" w:hAnsi="Times New Roman"/>
          <w:b/>
          <w:sz w:val="21"/>
          <w:szCs w:val="21"/>
          <w:shd w:val="clear" w:color="auto" w:fill="FFFFFF"/>
        </w:rPr>
        <w:t>are anticipated</w:t>
      </w:r>
      <w:r>
        <w:rPr>
          <w:rStyle w:val="longtext"/>
          <w:rFonts w:ascii="Times New Roman" w:hAnsi="Times New Roman"/>
          <w:sz w:val="21"/>
          <w:szCs w:val="21"/>
          <w:shd w:val="clear" w:color="auto" w:fill="FFFFFF"/>
        </w:rPr>
        <w:t xml:space="preserve">. </w:t>
      </w:r>
    </w:p>
    <w:p w14:paraId="79CFACCA" w14:textId="77777777" w:rsidR="00572889" w:rsidRDefault="00572889" w:rsidP="00572889">
      <w:pPr>
        <w:spacing w:line="360" w:lineRule="auto"/>
        <w:jc w:val="both"/>
        <w:rPr>
          <w:rStyle w:val="longtext"/>
          <w:rFonts w:ascii="Times New Roman" w:hAnsi="Times New Roman"/>
          <w:sz w:val="21"/>
          <w:szCs w:val="21"/>
          <w:shd w:val="clear" w:color="auto" w:fill="FFFFFF"/>
        </w:rPr>
      </w:pPr>
      <w:r>
        <w:rPr>
          <w:rStyle w:val="longtext"/>
          <w:rFonts w:ascii="Times New Roman" w:hAnsi="Times New Roman"/>
          <w:sz w:val="21"/>
          <w:szCs w:val="21"/>
          <w:shd w:val="clear" w:color="auto" w:fill="FFFFFF"/>
        </w:rPr>
        <w:t xml:space="preserve">In the 4th quarter of 2014, the </w:t>
      </w:r>
      <w:r>
        <w:rPr>
          <w:rStyle w:val="longtext"/>
          <w:rFonts w:ascii="Times New Roman" w:hAnsi="Times New Roman"/>
          <w:b/>
          <w:sz w:val="21"/>
          <w:szCs w:val="21"/>
          <w:shd w:val="clear" w:color="auto" w:fill="FFFFFF"/>
        </w:rPr>
        <w:t>economic activity</w:t>
      </w:r>
      <w:r>
        <w:rPr>
          <w:rStyle w:val="longtext"/>
          <w:rFonts w:ascii="Sylfaen" w:hAnsi="Sylfaen"/>
          <w:b/>
          <w:sz w:val="21"/>
          <w:szCs w:val="21"/>
          <w:shd w:val="clear" w:color="auto" w:fill="FFFFFF"/>
          <w:lang w:val="hy-AM"/>
        </w:rPr>
        <w:t xml:space="preserve"> </w:t>
      </w:r>
      <w:r>
        <w:rPr>
          <w:rStyle w:val="longtext"/>
          <w:rFonts w:ascii="Times New Roman" w:hAnsi="Times New Roman"/>
          <w:sz w:val="21"/>
          <w:szCs w:val="21"/>
          <w:shd w:val="clear" w:color="auto" w:fill="FFFFFF"/>
        </w:rPr>
        <w:t>slowed down as trade volumes shrank, under which circumstance the</w:t>
      </w:r>
      <w:r>
        <w:rPr>
          <w:rStyle w:val="longtext"/>
          <w:rFonts w:ascii="Sylfaen" w:hAnsi="Sylfaen"/>
          <w:sz w:val="21"/>
          <w:szCs w:val="21"/>
          <w:shd w:val="clear" w:color="auto" w:fill="FFFFFF"/>
          <w:lang w:val="hy-AM"/>
        </w:rPr>
        <w:t xml:space="preserve"> </w:t>
      </w:r>
      <w:r>
        <w:rPr>
          <w:rStyle w:val="longtext"/>
          <w:rFonts w:ascii="Times New Roman" w:hAnsi="Times New Roman"/>
          <w:b/>
          <w:sz w:val="21"/>
          <w:szCs w:val="21"/>
          <w:shd w:val="clear" w:color="auto" w:fill="FFFFFF"/>
        </w:rPr>
        <w:t>economic growth</w:t>
      </w:r>
      <w:r>
        <w:rPr>
          <w:rStyle w:val="longtext"/>
          <w:rFonts w:ascii="Times New Roman" w:hAnsi="Times New Roman"/>
          <w:sz w:val="21"/>
          <w:szCs w:val="21"/>
          <w:shd w:val="clear" w:color="auto" w:fill="FFFFFF"/>
        </w:rPr>
        <w:t xml:space="preserve"> in 2014 is estimated in the range</w:t>
      </w:r>
      <w:r w:rsidR="005E7DFC">
        <w:rPr>
          <w:rStyle w:val="longtext"/>
          <w:rFonts w:ascii="Times New Roman" w:hAnsi="Times New Roman"/>
          <w:sz w:val="21"/>
          <w:szCs w:val="21"/>
          <w:shd w:val="clear" w:color="auto" w:fill="FFFFFF"/>
        </w:rPr>
        <w:t xml:space="preserve"> of </w:t>
      </w:r>
      <w:r>
        <w:rPr>
          <w:rStyle w:val="longtext"/>
          <w:rFonts w:ascii="Times New Roman" w:hAnsi="Times New Roman"/>
          <w:b/>
          <w:sz w:val="21"/>
          <w:szCs w:val="21"/>
          <w:shd w:val="clear" w:color="auto" w:fill="FFFFFF"/>
        </w:rPr>
        <w:t>3.2</w:t>
      </w:r>
      <w:r w:rsidR="005E7DFC">
        <w:rPr>
          <w:rStyle w:val="longtext"/>
          <w:rFonts w:ascii="Times New Roman" w:hAnsi="Times New Roman"/>
          <w:b/>
          <w:sz w:val="21"/>
          <w:szCs w:val="21"/>
          <w:shd w:val="clear" w:color="auto" w:fill="FFFFFF"/>
        </w:rPr>
        <w:t>%</w:t>
      </w:r>
      <w:r>
        <w:rPr>
          <w:rStyle w:val="longtext"/>
          <w:rFonts w:ascii="Times New Roman" w:hAnsi="Times New Roman"/>
          <w:b/>
          <w:sz w:val="21"/>
          <w:szCs w:val="21"/>
          <w:shd w:val="clear" w:color="auto" w:fill="FFFFFF"/>
        </w:rPr>
        <w:t>-3.5%.</w:t>
      </w:r>
    </w:p>
    <w:p w14:paraId="2F24CC14" w14:textId="77777777" w:rsidR="00572889" w:rsidRDefault="00572889" w:rsidP="00572889">
      <w:pPr>
        <w:spacing w:line="360" w:lineRule="auto"/>
        <w:jc w:val="both"/>
        <w:rPr>
          <w:rStyle w:val="longtext"/>
          <w:rFonts w:ascii="Times New Roman" w:hAnsi="Times New Roman"/>
          <w:sz w:val="21"/>
          <w:szCs w:val="21"/>
          <w:shd w:val="clear" w:color="auto" w:fill="FFFFFF"/>
        </w:rPr>
      </w:pPr>
      <w:r>
        <w:rPr>
          <w:rFonts w:ascii="Times New Roman" w:hAnsi="Times New Roman" w:cs="Times New Roman"/>
          <w:b/>
          <w:sz w:val="21"/>
          <w:szCs w:val="21"/>
        </w:rPr>
        <w:t>In the forecast horizon</w:t>
      </w:r>
      <w:r>
        <w:rPr>
          <w:rFonts w:ascii="Times New Roman" w:hAnsi="Times New Roman" w:cs="Times New Roman"/>
          <w:sz w:val="21"/>
          <w:szCs w:val="21"/>
        </w:rPr>
        <w:t xml:space="preserve">, the </w:t>
      </w:r>
      <w:r>
        <w:rPr>
          <w:rStyle w:val="longtext"/>
          <w:rFonts w:ascii="Times New Roman" w:hAnsi="Times New Roman"/>
          <w:sz w:val="21"/>
          <w:szCs w:val="21"/>
          <w:shd w:val="clear" w:color="auto" w:fill="FFFFFF"/>
        </w:rPr>
        <w:t>economic growth will gradually approach its long-term equilibrium as r</w:t>
      </w:r>
      <w:r>
        <w:rPr>
          <w:rFonts w:ascii="Times New Roman" w:hAnsi="Times New Roman" w:cs="Times New Roman"/>
          <w:sz w:val="21"/>
          <w:szCs w:val="21"/>
        </w:rPr>
        <w:t xml:space="preserve">eal private consumption growth rates are expected to speed up </w:t>
      </w:r>
      <w:r>
        <w:rPr>
          <w:rStyle w:val="longtext"/>
          <w:rFonts w:ascii="Times New Roman" w:hAnsi="Times New Roman"/>
          <w:sz w:val="21"/>
          <w:szCs w:val="21"/>
          <w:shd w:val="clear" w:color="auto" w:fill="FFFFFF"/>
        </w:rPr>
        <w:t xml:space="preserve">and private investment to rebound slowly. </w:t>
      </w:r>
      <w:r>
        <w:rPr>
          <w:rFonts w:ascii="Times New Roman" w:hAnsi="Times New Roman" w:cs="Times New Roman"/>
          <w:b/>
          <w:sz w:val="21"/>
          <w:szCs w:val="21"/>
        </w:rPr>
        <w:t>In the forecast horizon</w:t>
      </w:r>
      <w:r>
        <w:rPr>
          <w:rFonts w:ascii="Times New Roman" w:hAnsi="Times New Roman" w:cs="Times New Roman"/>
          <w:sz w:val="21"/>
          <w:szCs w:val="21"/>
        </w:rPr>
        <w:t>,</w:t>
      </w:r>
      <w:r>
        <w:rPr>
          <w:rFonts w:ascii="Sylfaen" w:hAnsi="Sylfaen" w:cs="Times New Roman"/>
          <w:sz w:val="21"/>
          <w:szCs w:val="21"/>
          <w:lang w:val="hy-AM"/>
        </w:rPr>
        <w:t xml:space="preserve"> </w:t>
      </w:r>
      <w:r>
        <w:rPr>
          <w:rStyle w:val="longtext"/>
          <w:rFonts w:ascii="Times New Roman" w:hAnsi="Times New Roman"/>
          <w:sz w:val="21"/>
          <w:szCs w:val="21"/>
          <w:shd w:val="clear" w:color="auto" w:fill="FFFFFF"/>
        </w:rPr>
        <w:t xml:space="preserve">the </w:t>
      </w:r>
      <w:r>
        <w:rPr>
          <w:rFonts w:ascii="Times New Roman" w:hAnsi="Times New Roman" w:cs="Times New Roman"/>
          <w:b/>
          <w:sz w:val="21"/>
          <w:szCs w:val="21"/>
        </w:rPr>
        <w:t>impact of the domestic economy on aggregate demand will be non-inflationary</w:t>
      </w:r>
      <w:r>
        <w:rPr>
          <w:rStyle w:val="longtext"/>
          <w:rFonts w:ascii="Times New Roman" w:hAnsi="Times New Roman"/>
          <w:sz w:val="21"/>
          <w:szCs w:val="21"/>
          <w:shd w:val="clear" w:color="auto" w:fill="FFFFFF"/>
        </w:rPr>
        <w:t xml:space="preserve"> as a result of </w:t>
      </w:r>
      <w:r>
        <w:rPr>
          <w:rFonts w:ascii="Times New Roman" w:hAnsi="Times New Roman" w:cs="Times New Roman"/>
          <w:sz w:val="21"/>
          <w:szCs w:val="21"/>
        </w:rPr>
        <w:t>stabilizing private demand as well as mostly a neutral impact of the fiscal policy.</w:t>
      </w:r>
    </w:p>
    <w:p w14:paraId="31B5D722" w14:textId="77777777" w:rsidR="00572889" w:rsidRDefault="00572889" w:rsidP="00572889">
      <w:pPr>
        <w:spacing w:line="360" w:lineRule="auto"/>
        <w:jc w:val="both"/>
        <w:rPr>
          <w:rStyle w:val="longtext"/>
          <w:rFonts w:ascii="Times New Roman" w:hAnsi="Times New Roman"/>
          <w:sz w:val="21"/>
          <w:szCs w:val="21"/>
          <w:shd w:val="clear" w:color="auto" w:fill="FFFFFF"/>
        </w:rPr>
      </w:pPr>
      <w:r>
        <w:rPr>
          <w:rStyle w:val="longtext"/>
          <w:rFonts w:ascii="Times New Roman" w:hAnsi="Times New Roman"/>
          <w:sz w:val="21"/>
          <w:szCs w:val="21"/>
          <w:shd w:val="clear" w:color="auto" w:fill="FFFFFF"/>
        </w:rPr>
        <w:t xml:space="preserve">The Armenian dram exchange rate depreciated and the inflation environment expanded at yearend under influence of an abrupt reduction in foreign currency flows and devaluated Russian ruble drove the </w:t>
      </w:r>
      <w:r>
        <w:rPr>
          <w:rStyle w:val="longtext"/>
          <w:rFonts w:ascii="Times New Roman" w:hAnsi="Times New Roman"/>
          <w:b/>
          <w:sz w:val="21"/>
          <w:szCs w:val="21"/>
          <w:shd w:val="clear" w:color="auto" w:fill="FFFFFF"/>
        </w:rPr>
        <w:t>12-month inflation rate</w:t>
      </w:r>
      <w:r>
        <w:rPr>
          <w:rStyle w:val="longtext"/>
          <w:rFonts w:ascii="Sylfaen" w:hAnsi="Sylfaen"/>
          <w:b/>
          <w:sz w:val="21"/>
          <w:szCs w:val="21"/>
          <w:shd w:val="clear" w:color="auto" w:fill="FFFFFF"/>
          <w:lang w:val="hy-AM"/>
        </w:rPr>
        <w:t xml:space="preserve"> </w:t>
      </w:r>
      <w:r>
        <w:rPr>
          <w:rStyle w:val="longtext"/>
          <w:rFonts w:ascii="Times New Roman" w:hAnsi="Times New Roman"/>
          <w:b/>
          <w:sz w:val="21"/>
          <w:szCs w:val="21"/>
          <w:shd w:val="clear" w:color="auto" w:fill="FFFFFF"/>
        </w:rPr>
        <w:t>up to 4.6% in late December, staying within the confidence band</w:t>
      </w:r>
      <w:r>
        <w:rPr>
          <w:rStyle w:val="longtext"/>
          <w:rFonts w:ascii="Times New Roman" w:hAnsi="Times New Roman"/>
          <w:sz w:val="21"/>
          <w:szCs w:val="21"/>
          <w:shd w:val="clear" w:color="auto" w:fill="FFFFFF"/>
        </w:rPr>
        <w:t xml:space="preserve">. </w:t>
      </w:r>
    </w:p>
    <w:p w14:paraId="280B1236" w14:textId="77777777" w:rsidR="00A9653E" w:rsidRPr="00EC356F" w:rsidRDefault="00572889" w:rsidP="00572889">
      <w:pPr>
        <w:spacing w:line="360" w:lineRule="auto"/>
        <w:jc w:val="both"/>
        <w:rPr>
          <w:rStyle w:val="longtext"/>
          <w:rFonts w:ascii="Times New Roman" w:hAnsi="Times New Roman" w:cs="Times New Roman"/>
          <w:sz w:val="21"/>
          <w:szCs w:val="21"/>
          <w:shd w:val="clear" w:color="auto" w:fill="FFFFFF"/>
        </w:rPr>
      </w:pPr>
      <w:r>
        <w:rPr>
          <w:rStyle w:val="longtext"/>
          <w:rFonts w:ascii="Times New Roman" w:hAnsi="Times New Roman"/>
          <w:b/>
          <w:sz w:val="21"/>
          <w:szCs w:val="21"/>
          <w:shd w:val="clear" w:color="auto" w:fill="FFFFFF"/>
        </w:rPr>
        <w:t>In the forecast horizon</w:t>
      </w:r>
      <w:r>
        <w:rPr>
          <w:rStyle w:val="longtext"/>
          <w:rFonts w:ascii="Times New Roman" w:hAnsi="Times New Roman"/>
          <w:sz w:val="21"/>
          <w:szCs w:val="21"/>
          <w:shd w:val="clear" w:color="auto" w:fill="FFFFFF"/>
        </w:rPr>
        <w:t xml:space="preserve">, the inflation will stabilize around the 4% target. </w:t>
      </w:r>
      <w:r>
        <w:rPr>
          <w:rFonts w:ascii="Times New Roman" w:hAnsi="Times New Roman" w:cs="Times New Roman"/>
          <w:b/>
          <w:sz w:val="21"/>
          <w:szCs w:val="21"/>
        </w:rPr>
        <w:t>According to the Central Bank forecasts</w:t>
      </w:r>
      <w:r>
        <w:rPr>
          <w:rFonts w:ascii="Times New Roman" w:hAnsi="Times New Roman" w:cs="Times New Roman"/>
          <w:sz w:val="21"/>
          <w:szCs w:val="21"/>
        </w:rPr>
        <w:t xml:space="preserve">, determined by low base of the same period of the previous year as well as Armenia’s membership to the Eurasia Economic Community since January 2015, the </w:t>
      </w:r>
      <w:r>
        <w:rPr>
          <w:rFonts w:ascii="Times New Roman" w:hAnsi="Times New Roman" w:cs="Times New Roman"/>
          <w:b/>
          <w:sz w:val="21"/>
          <w:szCs w:val="21"/>
        </w:rPr>
        <w:t>12-month inflation rate will accelerate to a certain extent over the first quarter of the year</w:t>
      </w:r>
      <w:r>
        <w:rPr>
          <w:rFonts w:ascii="Times New Roman" w:hAnsi="Times New Roman" w:cs="Times New Roman"/>
          <w:sz w:val="21"/>
          <w:szCs w:val="21"/>
        </w:rPr>
        <w:t xml:space="preserve"> but is expected to decline gradually amid a weak demand under developments in external and domestic economies to approach its target at the end of the year.</w:t>
      </w:r>
    </w:p>
    <w:p w14:paraId="4BC679CF" w14:textId="3295DF62" w:rsidR="00635672" w:rsidRDefault="009D7F2A" w:rsidP="00A9653E">
      <w:pPr>
        <w:spacing w:line="360" w:lineRule="auto"/>
        <w:jc w:val="both"/>
        <w:rPr>
          <w:rFonts w:ascii="Times New Roman" w:hAnsi="Times New Roman" w:cs="Times New Roman"/>
          <w:sz w:val="21"/>
          <w:szCs w:val="21"/>
        </w:rPr>
      </w:pPr>
      <w:r>
        <w:rPr>
          <w:rFonts w:ascii="Times New Roman" w:hAnsi="Times New Roman" w:cs="Times New Roman"/>
          <w:sz w:val="21"/>
          <w:szCs w:val="21"/>
        </w:rPr>
        <w:t xml:space="preserve">As the developments in domestic financial and commodity markets, so influenced by end-year events and geopolitical situation in the region, phase out, the </w:t>
      </w:r>
      <w:r w:rsidRPr="00A31529">
        <w:rPr>
          <w:rFonts w:ascii="Times New Roman" w:hAnsi="Times New Roman" w:cs="Times New Roman"/>
          <w:b/>
          <w:sz w:val="21"/>
          <w:szCs w:val="21"/>
        </w:rPr>
        <w:t>Central Bank will continue to reduce</w:t>
      </w:r>
      <w:r w:rsidRPr="009D7F2A">
        <w:rPr>
          <w:rFonts w:ascii="Times New Roman" w:hAnsi="Times New Roman" w:cs="Times New Roman"/>
          <w:sz w:val="21"/>
          <w:szCs w:val="21"/>
        </w:rPr>
        <w:t xml:space="preserve"> </w:t>
      </w:r>
      <w:r w:rsidR="00A31529" w:rsidRPr="0012172D">
        <w:rPr>
          <w:rFonts w:ascii="Times New Roman" w:hAnsi="Times New Roman" w:cs="Times New Roman"/>
          <w:b/>
          <w:sz w:val="21"/>
          <w:szCs w:val="21"/>
        </w:rPr>
        <w:t>the Lombard Repo Facility Rate during the 1st quarter of 2015</w:t>
      </w:r>
      <w:r w:rsidR="00A31529">
        <w:rPr>
          <w:rFonts w:ascii="Times New Roman" w:hAnsi="Times New Roman" w:cs="Times New Roman"/>
          <w:b/>
          <w:sz w:val="21"/>
          <w:szCs w:val="21"/>
        </w:rPr>
        <w:t xml:space="preserve"> while attempting to steer </w:t>
      </w:r>
      <w:r w:rsidRPr="00A31529">
        <w:rPr>
          <w:rFonts w:ascii="Times New Roman" w:hAnsi="Times New Roman" w:cs="Times New Roman"/>
          <w:b/>
          <w:sz w:val="21"/>
          <w:szCs w:val="21"/>
        </w:rPr>
        <w:t>short-term money market rates</w:t>
      </w:r>
      <w:r w:rsidRPr="009D7F2A">
        <w:rPr>
          <w:rFonts w:ascii="Times New Roman" w:hAnsi="Times New Roman" w:cs="Times New Roman"/>
          <w:sz w:val="21"/>
          <w:szCs w:val="21"/>
        </w:rPr>
        <w:t xml:space="preserve">. </w:t>
      </w:r>
      <w:r w:rsidR="00E8009A">
        <w:rPr>
          <w:rFonts w:ascii="Times New Roman" w:hAnsi="Times New Roman" w:cs="Times New Roman"/>
          <w:sz w:val="21"/>
          <w:szCs w:val="21"/>
        </w:rPr>
        <w:t xml:space="preserve">In consideration of holding the </w:t>
      </w:r>
      <w:r w:rsidR="00E8009A" w:rsidRPr="009D7F2A">
        <w:rPr>
          <w:rFonts w:ascii="Times New Roman" w:hAnsi="Times New Roman" w:cs="Times New Roman"/>
          <w:sz w:val="21"/>
          <w:szCs w:val="21"/>
        </w:rPr>
        <w:t>monetary policy</w:t>
      </w:r>
      <w:r w:rsidR="00E8009A">
        <w:rPr>
          <w:rFonts w:ascii="Times New Roman" w:hAnsi="Times New Roman" w:cs="Times New Roman"/>
          <w:sz w:val="21"/>
          <w:szCs w:val="21"/>
        </w:rPr>
        <w:t xml:space="preserve"> position sustainable, </w:t>
      </w:r>
      <w:r w:rsidRPr="009D7F2A">
        <w:rPr>
          <w:rFonts w:ascii="Times New Roman" w:hAnsi="Times New Roman" w:cs="Times New Roman"/>
          <w:sz w:val="21"/>
          <w:szCs w:val="21"/>
        </w:rPr>
        <w:t xml:space="preserve">the Central Bank raised </w:t>
      </w:r>
      <w:r w:rsidR="00E8009A">
        <w:rPr>
          <w:rFonts w:ascii="Times New Roman" w:hAnsi="Times New Roman" w:cs="Times New Roman"/>
          <w:sz w:val="21"/>
          <w:szCs w:val="21"/>
        </w:rPr>
        <w:t>the</w:t>
      </w:r>
      <w:r w:rsidRPr="009D7F2A">
        <w:rPr>
          <w:rFonts w:ascii="Times New Roman" w:hAnsi="Times New Roman" w:cs="Times New Roman"/>
          <w:sz w:val="21"/>
          <w:szCs w:val="21"/>
        </w:rPr>
        <w:t xml:space="preserve"> </w:t>
      </w:r>
      <w:r w:rsidR="00E8009A">
        <w:rPr>
          <w:rFonts w:ascii="Times New Roman" w:hAnsi="Times New Roman" w:cs="Times New Roman"/>
          <w:sz w:val="21"/>
          <w:szCs w:val="21"/>
        </w:rPr>
        <w:t>R</w:t>
      </w:r>
      <w:r w:rsidRPr="009D7F2A">
        <w:rPr>
          <w:rFonts w:ascii="Times New Roman" w:hAnsi="Times New Roman" w:cs="Times New Roman"/>
          <w:sz w:val="21"/>
          <w:szCs w:val="21"/>
        </w:rPr>
        <w:t xml:space="preserve">efinancing </w:t>
      </w:r>
      <w:r w:rsidR="00E8009A">
        <w:rPr>
          <w:rFonts w:ascii="Times New Roman" w:hAnsi="Times New Roman" w:cs="Times New Roman"/>
          <w:sz w:val="21"/>
          <w:szCs w:val="21"/>
        </w:rPr>
        <w:t>R</w:t>
      </w:r>
      <w:r w:rsidRPr="009D7F2A">
        <w:rPr>
          <w:rFonts w:ascii="Times New Roman" w:hAnsi="Times New Roman" w:cs="Times New Roman"/>
          <w:sz w:val="21"/>
          <w:szCs w:val="21"/>
        </w:rPr>
        <w:t xml:space="preserve">ate </w:t>
      </w:r>
      <w:r w:rsidR="00E8009A">
        <w:rPr>
          <w:rFonts w:ascii="Times New Roman" w:hAnsi="Times New Roman" w:cs="Times New Roman"/>
          <w:sz w:val="21"/>
          <w:szCs w:val="21"/>
        </w:rPr>
        <w:t xml:space="preserve">earlier the year. These actions are intended to reduce the spread between the policy rate and </w:t>
      </w:r>
      <w:r w:rsidRPr="009D7F2A">
        <w:rPr>
          <w:rFonts w:ascii="Times New Roman" w:hAnsi="Times New Roman" w:cs="Times New Roman"/>
          <w:sz w:val="21"/>
          <w:szCs w:val="21"/>
        </w:rPr>
        <w:t xml:space="preserve">short-term market </w:t>
      </w:r>
      <w:proofErr w:type="gramStart"/>
      <w:r w:rsidRPr="009D7F2A">
        <w:rPr>
          <w:rFonts w:ascii="Times New Roman" w:hAnsi="Times New Roman" w:cs="Times New Roman"/>
          <w:sz w:val="21"/>
          <w:szCs w:val="21"/>
        </w:rPr>
        <w:t xml:space="preserve">rates, </w:t>
      </w:r>
      <w:r w:rsidR="00A2524E">
        <w:rPr>
          <w:rFonts w:ascii="Times New Roman" w:hAnsi="Times New Roman" w:cs="Times New Roman"/>
          <w:sz w:val="21"/>
          <w:szCs w:val="21"/>
        </w:rPr>
        <w:t xml:space="preserve"> reviving</w:t>
      </w:r>
      <w:proofErr w:type="gramEnd"/>
      <w:r w:rsidR="00A2524E">
        <w:rPr>
          <w:rFonts w:ascii="Times New Roman" w:hAnsi="Times New Roman" w:cs="Times New Roman"/>
          <w:sz w:val="21"/>
          <w:szCs w:val="21"/>
        </w:rPr>
        <w:t xml:space="preserve"> the leading role of the</w:t>
      </w:r>
      <w:r w:rsidR="00E8009A">
        <w:rPr>
          <w:rFonts w:ascii="Times New Roman" w:hAnsi="Times New Roman" w:cs="Times New Roman"/>
          <w:sz w:val="21"/>
          <w:szCs w:val="21"/>
        </w:rPr>
        <w:t xml:space="preserve"> R</w:t>
      </w:r>
      <w:r w:rsidRPr="009D7F2A">
        <w:rPr>
          <w:rFonts w:ascii="Times New Roman" w:hAnsi="Times New Roman" w:cs="Times New Roman"/>
          <w:sz w:val="21"/>
          <w:szCs w:val="21"/>
        </w:rPr>
        <w:t xml:space="preserve">efinancing </w:t>
      </w:r>
      <w:r w:rsidR="00E8009A">
        <w:rPr>
          <w:rFonts w:ascii="Times New Roman" w:hAnsi="Times New Roman" w:cs="Times New Roman"/>
          <w:sz w:val="21"/>
          <w:szCs w:val="21"/>
        </w:rPr>
        <w:t>R</w:t>
      </w:r>
      <w:r w:rsidRPr="009D7F2A">
        <w:rPr>
          <w:rFonts w:ascii="Times New Roman" w:hAnsi="Times New Roman" w:cs="Times New Roman"/>
          <w:sz w:val="21"/>
          <w:szCs w:val="21"/>
        </w:rPr>
        <w:t xml:space="preserve">ate </w:t>
      </w:r>
      <w:r w:rsidR="00E8009A">
        <w:rPr>
          <w:rFonts w:ascii="Times New Roman" w:hAnsi="Times New Roman" w:cs="Times New Roman"/>
          <w:sz w:val="21"/>
          <w:szCs w:val="21"/>
        </w:rPr>
        <w:t xml:space="preserve"> in the </w:t>
      </w:r>
      <w:r w:rsidR="000112CF">
        <w:rPr>
          <w:rFonts w:ascii="Times New Roman" w:hAnsi="Times New Roman" w:cs="Times New Roman"/>
          <w:sz w:val="21"/>
          <w:szCs w:val="21"/>
        </w:rPr>
        <w:t xml:space="preserve">market thus </w:t>
      </w:r>
      <w:r w:rsidRPr="009D7F2A">
        <w:rPr>
          <w:rFonts w:ascii="Times New Roman" w:hAnsi="Times New Roman" w:cs="Times New Roman"/>
          <w:sz w:val="21"/>
          <w:szCs w:val="21"/>
        </w:rPr>
        <w:t xml:space="preserve">contributing to the stabilization of financial market and </w:t>
      </w:r>
      <w:r w:rsidR="000112CF">
        <w:rPr>
          <w:rFonts w:ascii="Times New Roman" w:hAnsi="Times New Roman" w:cs="Times New Roman"/>
          <w:sz w:val="21"/>
          <w:szCs w:val="21"/>
        </w:rPr>
        <w:t xml:space="preserve">fulfillment of the inflation target in the medium run. </w:t>
      </w:r>
    </w:p>
    <w:p w14:paraId="183BCC06" w14:textId="3AA78FD0" w:rsidR="00635672" w:rsidRDefault="00635672" w:rsidP="00A9653E">
      <w:pPr>
        <w:spacing w:line="360" w:lineRule="auto"/>
        <w:jc w:val="both"/>
        <w:rPr>
          <w:rFonts w:ascii="Times New Roman" w:hAnsi="Times New Roman" w:cs="Times New Roman"/>
          <w:sz w:val="21"/>
          <w:szCs w:val="21"/>
        </w:rPr>
      </w:pPr>
      <w:r w:rsidRPr="00635672">
        <w:rPr>
          <w:rFonts w:ascii="Times New Roman" w:hAnsi="Times New Roman" w:cs="Times New Roman"/>
          <w:b/>
          <w:sz w:val="21"/>
          <w:szCs w:val="21"/>
        </w:rPr>
        <w:lastRenderedPageBreak/>
        <w:t>Risks to inflation deviating from the</w:t>
      </w:r>
      <w:r w:rsidR="00572889">
        <w:rPr>
          <w:rFonts w:ascii="Sylfaen" w:hAnsi="Sylfaen" w:cs="Times New Roman"/>
          <w:b/>
          <w:sz w:val="21"/>
          <w:szCs w:val="21"/>
          <w:lang w:val="hy-AM"/>
        </w:rPr>
        <w:t xml:space="preserve"> </w:t>
      </w:r>
      <w:r w:rsidRPr="00EC356F">
        <w:rPr>
          <w:rFonts w:ascii="Times New Roman" w:hAnsi="Times New Roman" w:cs="Times New Roman"/>
          <w:b/>
          <w:sz w:val="21"/>
          <w:szCs w:val="21"/>
        </w:rPr>
        <w:t>projected value</w:t>
      </w:r>
      <w:r w:rsidRPr="00EC356F">
        <w:rPr>
          <w:rFonts w:ascii="Times New Roman" w:hAnsi="Times New Roman" w:cs="Times New Roman"/>
          <w:sz w:val="21"/>
          <w:szCs w:val="21"/>
        </w:rPr>
        <w:t xml:space="preserve"> are estimated as </w:t>
      </w:r>
      <w:r w:rsidRPr="00EC356F">
        <w:rPr>
          <w:rFonts w:ascii="Times New Roman" w:hAnsi="Times New Roman" w:cs="Times New Roman"/>
          <w:b/>
          <w:sz w:val="21"/>
          <w:szCs w:val="21"/>
        </w:rPr>
        <w:t>balanced</w:t>
      </w:r>
      <w:r w:rsidRPr="00EC356F">
        <w:rPr>
          <w:rFonts w:ascii="Times New Roman" w:hAnsi="Times New Roman" w:cs="Times New Roman"/>
          <w:sz w:val="21"/>
          <w:szCs w:val="21"/>
        </w:rPr>
        <w:t xml:space="preserve"> in both short and medium-term perspectives. </w:t>
      </w:r>
      <w:r w:rsidRPr="00EC356F">
        <w:rPr>
          <w:rFonts w:ascii="Times New Roman" w:hAnsi="Times New Roman" w:cs="Times New Roman"/>
          <w:b/>
          <w:sz w:val="21"/>
          <w:szCs w:val="21"/>
        </w:rPr>
        <w:t>External sector risks</w:t>
      </w:r>
      <w:r w:rsidRPr="00EC356F">
        <w:rPr>
          <w:rFonts w:ascii="Times New Roman" w:hAnsi="Times New Roman" w:cs="Times New Roman"/>
          <w:sz w:val="21"/>
          <w:szCs w:val="21"/>
        </w:rPr>
        <w:t xml:space="preserve"> are primarily associated with </w:t>
      </w:r>
      <w:r w:rsidR="0056364F">
        <w:rPr>
          <w:rFonts w:ascii="Times New Roman" w:hAnsi="Times New Roman" w:cs="Times New Roman"/>
          <w:sz w:val="21"/>
          <w:szCs w:val="21"/>
        </w:rPr>
        <w:t xml:space="preserve">global economic growth rates </w:t>
      </w:r>
      <w:r>
        <w:rPr>
          <w:rFonts w:ascii="Times New Roman" w:hAnsi="Times New Roman" w:cs="Times New Roman"/>
          <w:sz w:val="21"/>
          <w:szCs w:val="21"/>
        </w:rPr>
        <w:t xml:space="preserve">bouncing back as well as </w:t>
      </w:r>
      <w:r w:rsidR="00C14B69">
        <w:rPr>
          <w:rFonts w:ascii="Times New Roman" w:hAnsi="Times New Roman" w:cs="Times New Roman"/>
          <w:sz w:val="21"/>
          <w:szCs w:val="21"/>
        </w:rPr>
        <w:t xml:space="preserve">economic and geopolitical </w:t>
      </w:r>
      <w:r w:rsidRPr="00EC356F">
        <w:rPr>
          <w:rFonts w:ascii="Times New Roman" w:hAnsi="Times New Roman" w:cs="Times New Roman"/>
          <w:sz w:val="21"/>
          <w:szCs w:val="21"/>
        </w:rPr>
        <w:t>development</w:t>
      </w:r>
      <w:r w:rsidR="00C14B69">
        <w:rPr>
          <w:rFonts w:ascii="Times New Roman" w:hAnsi="Times New Roman" w:cs="Times New Roman"/>
          <w:sz w:val="21"/>
          <w:szCs w:val="21"/>
        </w:rPr>
        <w:t>s</w:t>
      </w:r>
      <w:r w:rsidRPr="00EC356F">
        <w:rPr>
          <w:rFonts w:ascii="Times New Roman" w:hAnsi="Times New Roman" w:cs="Times New Roman"/>
          <w:sz w:val="21"/>
          <w:szCs w:val="21"/>
        </w:rPr>
        <w:t xml:space="preserve"> in emerging economies, and Russia in particular, and how their potential impact would be spilled over to basic commodities and food product markets. </w:t>
      </w:r>
      <w:r w:rsidRPr="00EC356F">
        <w:rPr>
          <w:rFonts w:ascii="Times New Roman" w:hAnsi="Times New Roman" w:cs="Times New Roman"/>
          <w:b/>
          <w:sz w:val="21"/>
          <w:szCs w:val="21"/>
        </w:rPr>
        <w:t xml:space="preserve">Risks </w:t>
      </w:r>
      <w:r w:rsidR="00D16686">
        <w:rPr>
          <w:rFonts w:ascii="Times New Roman" w:hAnsi="Times New Roman" w:cs="Times New Roman"/>
          <w:b/>
          <w:sz w:val="21"/>
          <w:szCs w:val="21"/>
        </w:rPr>
        <w:t>coming</w:t>
      </w:r>
      <w:r w:rsidR="00D16686" w:rsidRPr="00EC356F">
        <w:rPr>
          <w:rFonts w:ascii="Times New Roman" w:hAnsi="Times New Roman" w:cs="Times New Roman"/>
          <w:b/>
          <w:sz w:val="21"/>
          <w:szCs w:val="21"/>
        </w:rPr>
        <w:t xml:space="preserve"> </w:t>
      </w:r>
      <w:r w:rsidRPr="00EC356F">
        <w:rPr>
          <w:rFonts w:ascii="Times New Roman" w:hAnsi="Times New Roman" w:cs="Times New Roman"/>
          <w:b/>
          <w:sz w:val="21"/>
          <w:szCs w:val="21"/>
        </w:rPr>
        <w:t xml:space="preserve">from the domestic environment </w:t>
      </w:r>
      <w:r w:rsidRPr="00EC356F">
        <w:rPr>
          <w:rFonts w:ascii="Times New Roman" w:hAnsi="Times New Roman" w:cs="Times New Roman"/>
          <w:sz w:val="21"/>
          <w:szCs w:val="21"/>
        </w:rPr>
        <w:t xml:space="preserve">are </w:t>
      </w:r>
      <w:r w:rsidR="00011F86">
        <w:rPr>
          <w:rFonts w:ascii="Times New Roman" w:hAnsi="Times New Roman" w:cs="Times New Roman"/>
          <w:sz w:val="21"/>
          <w:szCs w:val="21"/>
        </w:rPr>
        <w:t xml:space="preserve">mostly </w:t>
      </w:r>
      <w:r w:rsidRPr="00EC356F">
        <w:rPr>
          <w:rFonts w:ascii="Times New Roman" w:hAnsi="Times New Roman" w:cs="Times New Roman"/>
          <w:sz w:val="21"/>
          <w:szCs w:val="21"/>
        </w:rPr>
        <w:t xml:space="preserve">attributable to domestic demand developments, particularly </w:t>
      </w:r>
      <w:r w:rsidR="00011F86">
        <w:rPr>
          <w:rFonts w:ascii="Times New Roman" w:hAnsi="Times New Roman" w:cs="Times New Roman"/>
          <w:sz w:val="21"/>
          <w:szCs w:val="21"/>
        </w:rPr>
        <w:t xml:space="preserve">recovering of </w:t>
      </w:r>
      <w:r>
        <w:rPr>
          <w:rFonts w:ascii="Times New Roman" w:hAnsi="Times New Roman" w:cs="Times New Roman"/>
          <w:sz w:val="21"/>
          <w:szCs w:val="21"/>
        </w:rPr>
        <w:t xml:space="preserve">private consumption </w:t>
      </w:r>
      <w:r w:rsidR="00011F86">
        <w:rPr>
          <w:rFonts w:ascii="Times New Roman" w:hAnsi="Times New Roman" w:cs="Times New Roman"/>
          <w:sz w:val="21"/>
          <w:szCs w:val="21"/>
        </w:rPr>
        <w:t>and</w:t>
      </w:r>
      <w:r>
        <w:rPr>
          <w:rFonts w:ascii="Times New Roman" w:hAnsi="Times New Roman" w:cs="Times New Roman"/>
          <w:sz w:val="21"/>
          <w:szCs w:val="21"/>
        </w:rPr>
        <w:t xml:space="preserve"> </w:t>
      </w:r>
      <w:r w:rsidRPr="00EC356F">
        <w:rPr>
          <w:rFonts w:ascii="Times New Roman" w:hAnsi="Times New Roman" w:cs="Times New Roman"/>
          <w:sz w:val="21"/>
          <w:szCs w:val="21"/>
        </w:rPr>
        <w:t>capital investment</w:t>
      </w:r>
      <w:r>
        <w:rPr>
          <w:rFonts w:ascii="Times New Roman" w:hAnsi="Times New Roman" w:cs="Times New Roman"/>
          <w:sz w:val="21"/>
          <w:szCs w:val="21"/>
        </w:rPr>
        <w:t xml:space="preserve">, </w:t>
      </w:r>
      <w:r w:rsidR="00011F86">
        <w:rPr>
          <w:rFonts w:ascii="Times New Roman" w:hAnsi="Times New Roman" w:cs="Times New Roman"/>
          <w:sz w:val="21"/>
          <w:szCs w:val="21"/>
        </w:rPr>
        <w:t xml:space="preserve">the Armenian Government-led programs, </w:t>
      </w:r>
      <w:r>
        <w:rPr>
          <w:rFonts w:ascii="Times New Roman" w:hAnsi="Times New Roman" w:cs="Times New Roman"/>
          <w:sz w:val="21"/>
          <w:szCs w:val="21"/>
        </w:rPr>
        <w:t>the economic effects from Armenia’s membership to the Eurasia Economic Community, and</w:t>
      </w:r>
      <w:r w:rsidRPr="00EC356F">
        <w:rPr>
          <w:rFonts w:ascii="Times New Roman" w:hAnsi="Times New Roman" w:cs="Times New Roman"/>
          <w:sz w:val="21"/>
          <w:szCs w:val="21"/>
        </w:rPr>
        <w:t xml:space="preserve"> the developments in agriculture sector which is largely reliant on climatic conditions.</w:t>
      </w:r>
      <w:r w:rsidR="00572889">
        <w:rPr>
          <w:rFonts w:ascii="Sylfaen" w:hAnsi="Sylfaen" w:cs="Times New Roman"/>
          <w:sz w:val="21"/>
          <w:szCs w:val="21"/>
          <w:lang w:val="hy-AM"/>
        </w:rPr>
        <w:t xml:space="preserve"> </w:t>
      </w:r>
      <w:r w:rsidR="004234D1" w:rsidRPr="00EC356F">
        <w:rPr>
          <w:rFonts w:ascii="Times New Roman" w:hAnsi="Times New Roman" w:cs="Times New Roman"/>
          <w:sz w:val="21"/>
          <w:szCs w:val="21"/>
        </w:rPr>
        <w:t>If such risks materialize, the Central Bank will react accordingly by maintaining the inflation target in the</w:t>
      </w:r>
      <w:r w:rsidR="004234D1" w:rsidRPr="004234D1">
        <w:rPr>
          <w:rFonts w:ascii="Times New Roman" w:hAnsi="Times New Roman" w:cs="Times New Roman"/>
          <w:b/>
          <w:sz w:val="21"/>
          <w:szCs w:val="21"/>
        </w:rPr>
        <w:t xml:space="preserve"> medium run</w:t>
      </w:r>
      <w:r w:rsidR="004234D1">
        <w:rPr>
          <w:rFonts w:ascii="Times New Roman" w:hAnsi="Times New Roman" w:cs="Times New Roman"/>
          <w:sz w:val="21"/>
          <w:szCs w:val="21"/>
        </w:rPr>
        <w:t>.</w:t>
      </w:r>
    </w:p>
    <w:p w14:paraId="490EC324" w14:textId="77777777" w:rsidR="00AA5822" w:rsidRPr="00EC356F" w:rsidRDefault="00AA5822">
      <w:pPr>
        <w:rPr>
          <w:rFonts w:ascii="Times New Roman" w:hAnsi="Times New Roman" w:cs="Times New Roman"/>
          <w:sz w:val="21"/>
          <w:szCs w:val="21"/>
        </w:rPr>
      </w:pPr>
    </w:p>
    <w:sectPr w:rsidR="00AA5822" w:rsidRPr="00EC356F" w:rsidSect="008A0DDB">
      <w:pgSz w:w="12240" w:h="15840"/>
      <w:pgMar w:top="1440" w:right="1800" w:bottom="42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88CB2" w14:textId="77777777" w:rsidR="00884AE1" w:rsidRDefault="00884AE1" w:rsidP="00A9653E">
      <w:pPr>
        <w:spacing w:after="0" w:line="240" w:lineRule="auto"/>
      </w:pPr>
      <w:r>
        <w:separator/>
      </w:r>
    </w:p>
  </w:endnote>
  <w:endnote w:type="continuationSeparator" w:id="0">
    <w:p w14:paraId="65398258" w14:textId="77777777" w:rsidR="00884AE1" w:rsidRDefault="00884AE1" w:rsidP="00A9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Armenian Normal">
    <w:altName w:val="Courier New"/>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Armenian">
    <w:panose1 w:val="02020603050405020304"/>
    <w:charset w:val="00"/>
    <w:family w:val="roman"/>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LatArm">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286C" w14:textId="77777777" w:rsidR="00884AE1" w:rsidRDefault="00884AE1" w:rsidP="00A9653E">
      <w:pPr>
        <w:spacing w:after="0" w:line="240" w:lineRule="auto"/>
      </w:pPr>
      <w:r>
        <w:separator/>
      </w:r>
    </w:p>
  </w:footnote>
  <w:footnote w:type="continuationSeparator" w:id="0">
    <w:p w14:paraId="2C826C61" w14:textId="77777777" w:rsidR="00884AE1" w:rsidRDefault="00884AE1" w:rsidP="00A9653E">
      <w:pPr>
        <w:spacing w:after="0" w:line="240" w:lineRule="auto"/>
      </w:pPr>
      <w:r>
        <w:continuationSeparator/>
      </w:r>
    </w:p>
  </w:footnote>
  <w:footnote w:id="1">
    <w:p w14:paraId="4DF4D9D9" w14:textId="77777777" w:rsidR="00884AE1" w:rsidRDefault="00884AE1" w:rsidP="00143676">
      <w:pPr>
        <w:pStyle w:val="FootnoteText"/>
        <w:jc w:val="both"/>
      </w:pPr>
      <w:r>
        <w:rPr>
          <w:rStyle w:val="FootnoteReference"/>
        </w:rPr>
        <w:t>1</w:t>
      </w:r>
      <w:r>
        <w:t xml:space="preserve"> A larger bulk of private remittances of individuals is in Russian ruble. In 2014, the private remittances in Russian ruble grew by 10.3%. </w:t>
      </w:r>
    </w:p>
  </w:footnote>
  <w:footnote w:id="2">
    <w:p w14:paraId="455639BE" w14:textId="77777777" w:rsidR="00884AE1" w:rsidRPr="00C151D2" w:rsidRDefault="00884AE1" w:rsidP="00C151D2">
      <w:pPr>
        <w:pStyle w:val="FootnoteText"/>
        <w:jc w:val="both"/>
      </w:pPr>
      <w:r w:rsidRPr="00C151D2">
        <w:rPr>
          <w:rStyle w:val="FootnoteReference"/>
        </w:rPr>
        <w:t>2</w:t>
      </w:r>
      <w:r w:rsidRPr="00C151D2">
        <w:t xml:space="preserve"> </w:t>
      </w:r>
      <w:r>
        <w:t>D</w:t>
      </w:r>
      <w:r w:rsidRPr="00C151D2">
        <w:t xml:space="preserve">etailed information on the impact of Armenia membership to the Eurasia Economic Community on the inflation in 2015-2017 is available in Q4 2014 Inflation Report (section 2.3 </w:t>
      </w:r>
      <w:r w:rsidRPr="00245C86">
        <w:t>''</w:t>
      </w:r>
      <w:r w:rsidRPr="00245C86">
        <w:rPr>
          <w:bCs/>
          <w:iCs/>
          <w:color w:val="000000"/>
        </w:rPr>
        <w:t>I</w:t>
      </w:r>
      <w:r w:rsidRPr="00C151D2">
        <w:rPr>
          <w:bCs/>
          <w:iCs/>
          <w:color w:val="000000"/>
        </w:rPr>
        <w:t>nflation forecasts and monetary policy directions in 3-year forecast horizon</w:t>
      </w:r>
      <w:r w:rsidRPr="00245C86">
        <w:t>''</w:t>
      </w:r>
      <w:r w:rsidRPr="00C151D2">
        <w:t>).</w:t>
      </w:r>
    </w:p>
  </w:footnote>
  <w:footnote w:id="3">
    <w:p w14:paraId="17F1F4AF" w14:textId="77777777" w:rsidR="00884AE1" w:rsidRPr="00F42F6B" w:rsidRDefault="00884AE1" w:rsidP="00F42F6B">
      <w:pPr>
        <w:pStyle w:val="FootnoteText"/>
        <w:jc w:val="both"/>
      </w:pPr>
      <w:r>
        <w:rPr>
          <w:rStyle w:val="FootnoteReference"/>
        </w:rPr>
        <w:t>3</w:t>
      </w:r>
      <w:r w:rsidRPr="00F42F6B">
        <w:t xml:space="preserve"> The forecasts of external sector </w:t>
      </w:r>
      <w:r>
        <w:t>were</w:t>
      </w:r>
      <w:r w:rsidRPr="00F42F6B">
        <w:t xml:space="preserve"> based on the information provided from international reputable analytical, research, ratings organizations and financial institutions as well as various news agencies worldwide (including the</w:t>
      </w:r>
      <w:r w:rsidRPr="00F42F6B">
        <w:rPr>
          <w:lang w:val="hy-AM"/>
        </w:rPr>
        <w:t xml:space="preserve"> IMF, World Bank, The Economist, Economist </w:t>
      </w:r>
      <w:r w:rsidRPr="00F42F6B">
        <w:t xml:space="preserve">Intelligence Unit, </w:t>
      </w:r>
      <w:r w:rsidRPr="00F42F6B">
        <w:rPr>
          <w:lang w:val="hy-AM"/>
        </w:rPr>
        <w:t xml:space="preserve">Global Insight, Financial Times, </w:t>
      </w:r>
      <w:r w:rsidRPr="00F42F6B">
        <w:t>and so on).</w:t>
      </w:r>
    </w:p>
  </w:footnote>
  <w:footnote w:id="4">
    <w:p w14:paraId="38449C11" w14:textId="77777777" w:rsidR="00884AE1" w:rsidRDefault="00884AE1" w:rsidP="00A9653E">
      <w:pPr>
        <w:pStyle w:val="FootnoteText"/>
        <w:jc w:val="both"/>
      </w:pPr>
      <w:r>
        <w:rPr>
          <w:rStyle w:val="FootnoteReference"/>
        </w:rPr>
        <w:t>4</w:t>
      </w:r>
      <w:r>
        <w:t xml:space="preserve"> </w:t>
      </w:r>
      <w:r w:rsidRPr="00784835">
        <w:t>The la</w:t>
      </w:r>
      <w:r>
        <w:t>bor market data for 2014 are</w:t>
      </w:r>
      <w:r w:rsidRPr="00784835">
        <w:t xml:space="preserve"> the C</w:t>
      </w:r>
      <w:r>
        <w:t xml:space="preserve">entral Bank </w:t>
      </w:r>
      <w:r w:rsidRPr="00784835">
        <w:t>estimates which are based on</w:t>
      </w:r>
      <w:r>
        <w:t xml:space="preserve"> the 3rd quarter of 2014 data and actual September-November 2014 figures. The growth indicators presented in this sub-section are relative to the same quarter of the previous year, unless otherwise specified.</w:t>
      </w:r>
    </w:p>
  </w:footnote>
  <w:footnote w:id="5">
    <w:p w14:paraId="3B23FE62" w14:textId="77777777" w:rsidR="00884AE1" w:rsidRDefault="00884AE1" w:rsidP="00A9653E">
      <w:pPr>
        <w:pStyle w:val="FootnoteText"/>
        <w:jc w:val="both"/>
      </w:pPr>
      <w:r>
        <w:rPr>
          <w:rStyle w:val="FootnoteReference"/>
        </w:rPr>
        <w:t>5</w:t>
      </w:r>
      <w:r>
        <w:t xml:space="preserve"> </w:t>
      </w:r>
      <w:r w:rsidRPr="001A69A6">
        <w:t xml:space="preserve">The </w:t>
      </w:r>
      <w:r>
        <w:t xml:space="preserve">data of real growth of private consumption </w:t>
      </w:r>
      <w:r w:rsidRPr="001A69A6">
        <w:t xml:space="preserve">and investments </w:t>
      </w:r>
      <w:r>
        <w:t xml:space="preserve">for 2015-2017 are the Central Bank </w:t>
      </w:r>
      <w:r w:rsidRPr="00BB2A89">
        <w:t>estimates</w:t>
      </w:r>
      <w:r>
        <w:t xml:space="preserve">. Actual figures of these data are as of the 3rd quarter </w:t>
      </w:r>
      <w:r w:rsidRPr="00BB2A89">
        <w:t>20</w:t>
      </w:r>
      <w:r>
        <w:t xml:space="preserve">14 and published by the Republic of Armenia National Statistics Service. </w:t>
      </w:r>
      <w:r w:rsidRPr="00BB2A89">
        <w:t>The real growth indicators represented in this sub-section are relative to the same quarter of the previous year, unless otherwise specified.</w:t>
      </w:r>
    </w:p>
  </w:footnote>
  <w:footnote w:id="6">
    <w:p w14:paraId="6EE2D701" w14:textId="77777777" w:rsidR="00884AE1" w:rsidRDefault="00884AE1" w:rsidP="000C5BB7">
      <w:pPr>
        <w:pStyle w:val="FootnoteText"/>
        <w:jc w:val="both"/>
      </w:pPr>
      <w:r>
        <w:rPr>
          <w:rStyle w:val="FootnoteReference"/>
        </w:rPr>
        <w:t>6</w:t>
      </w:r>
      <w:r>
        <w:t xml:space="preserve"> A larger bulk of private remittances of individuals is in Russian ruble. In 2014, the private remittances in Russian ruble grew by 10.3%.</w:t>
      </w:r>
    </w:p>
  </w:footnote>
  <w:footnote w:id="7">
    <w:p w14:paraId="0F5F46AA" w14:textId="77777777" w:rsidR="00884AE1" w:rsidRDefault="00884AE1" w:rsidP="00414526">
      <w:pPr>
        <w:pStyle w:val="FootnoteText"/>
        <w:jc w:val="both"/>
      </w:pPr>
      <w:r>
        <w:rPr>
          <w:rStyle w:val="FootnoteReference"/>
        </w:rPr>
        <w:t>7</w:t>
      </w:r>
      <w:r>
        <w:t xml:space="preserve"> The GDP 2015 is the estimation of the Central Bank.</w:t>
      </w:r>
    </w:p>
  </w:footnote>
  <w:footnote w:id="8">
    <w:p w14:paraId="5526A0A1" w14:textId="77777777" w:rsidR="00884AE1" w:rsidRDefault="00884AE1" w:rsidP="00414526">
      <w:pPr>
        <w:pStyle w:val="FootnoteText"/>
        <w:jc w:val="both"/>
      </w:pPr>
      <w:r>
        <w:rPr>
          <w:rStyle w:val="FootnoteReference"/>
        </w:rPr>
        <w:t>8</w:t>
      </w:r>
      <w:r>
        <w:t xml:space="preserve"> </w:t>
      </w:r>
      <w:r w:rsidRPr="00D41D72">
        <w:t xml:space="preserve">It is possible </w:t>
      </w:r>
      <w:r>
        <w:t xml:space="preserve">for the </w:t>
      </w:r>
      <w:r w:rsidRPr="00D41D72">
        <w:t xml:space="preserve">fiscal policy </w:t>
      </w:r>
      <w:r>
        <w:t xml:space="preserve">to have even more </w:t>
      </w:r>
      <w:r w:rsidRPr="00D41D72">
        <w:t xml:space="preserve">expansionary </w:t>
      </w:r>
      <w:r>
        <w:t xml:space="preserve">impact as </w:t>
      </w:r>
      <w:r w:rsidRPr="00D41D72">
        <w:t>the budget deficit</w:t>
      </w:r>
      <w:r>
        <w:t xml:space="preserve"> is likely to grow</w:t>
      </w:r>
      <w:r w:rsidRPr="00D41D72">
        <w:t>.</w:t>
      </w:r>
    </w:p>
  </w:footnote>
  <w:footnote w:id="9">
    <w:p w14:paraId="45ED1528" w14:textId="77777777" w:rsidR="00884AE1" w:rsidRPr="00D41D72" w:rsidRDefault="00884AE1" w:rsidP="00414526">
      <w:pPr>
        <w:pStyle w:val="FootnoteText"/>
        <w:jc w:val="both"/>
        <w:rPr>
          <w:rFonts w:ascii="Arial LatArm" w:hAnsi="Arial LatArm"/>
          <w:i/>
          <w:color w:val="000000"/>
          <w:sz w:val="16"/>
          <w:szCs w:val="16"/>
          <w:lang w:val="hy-AM"/>
        </w:rPr>
      </w:pPr>
      <w:r w:rsidRPr="00F95DEB">
        <w:rPr>
          <w:rStyle w:val="FootnoteReference"/>
        </w:rPr>
        <w:t>9</w:t>
      </w:r>
      <w:r w:rsidRPr="00F95DEB">
        <w:rPr>
          <w:i/>
          <w:color w:val="000000"/>
          <w:lang w:val="hy-AM"/>
        </w:rPr>
        <w:t xml:space="preserve"> </w:t>
      </w:r>
      <w:r w:rsidRPr="00F95DEB">
        <w:rPr>
          <w:color w:val="000000"/>
        </w:rPr>
        <w:t>The state budget indicators are preliminary</w:t>
      </w:r>
      <w:r>
        <w:rPr>
          <w:color w:val="000000"/>
        </w:rPr>
        <w:t xml:space="preserve"> and the records of off-budgetary funds are excluded.</w:t>
      </w:r>
    </w:p>
  </w:footnote>
  <w:footnote w:id="10">
    <w:p w14:paraId="3351831D" w14:textId="15669849" w:rsidR="00884AE1" w:rsidRPr="00D41D72" w:rsidRDefault="00884AE1" w:rsidP="00414526">
      <w:pPr>
        <w:pStyle w:val="FootnoteText"/>
        <w:jc w:val="both"/>
        <w:rPr>
          <w:rFonts w:ascii="Arial LatArm" w:hAnsi="Arial LatArm"/>
          <w:i/>
          <w:sz w:val="16"/>
          <w:szCs w:val="16"/>
          <w:lang w:val="hy-AM"/>
        </w:rPr>
      </w:pPr>
      <w:r w:rsidRPr="00414526">
        <w:rPr>
          <w:rStyle w:val="FootnoteReference"/>
          <w:lang w:val="hy-AM"/>
        </w:rPr>
        <w:t>10</w:t>
      </w:r>
      <w:r w:rsidRPr="00D41D72">
        <w:rPr>
          <w:rFonts w:ascii="Arial LatArm" w:hAnsi="Arial LatArm"/>
          <w:i/>
          <w:sz w:val="16"/>
          <w:szCs w:val="16"/>
          <w:lang w:val="hy-AM"/>
        </w:rPr>
        <w:t xml:space="preserve"> </w:t>
      </w:r>
      <w:r w:rsidRPr="00414526">
        <w:rPr>
          <w:lang w:val="hy-AM"/>
        </w:rPr>
        <w:t xml:space="preserve">The </w:t>
      </w:r>
      <w:r w:rsidRPr="00CD64EF">
        <w:rPr>
          <w:highlight w:val="cyan"/>
          <w:lang w:val="hy-AM"/>
        </w:rPr>
        <w:t>2013</w:t>
      </w:r>
      <w:r w:rsidRPr="00CD64EF">
        <w:rPr>
          <w:highlight w:val="cyan"/>
        </w:rPr>
        <w:t xml:space="preserve"> </w:t>
      </w:r>
      <w:r w:rsidRPr="00414526">
        <w:rPr>
          <w:lang w:val="hy-AM"/>
        </w:rPr>
        <w:t xml:space="preserve"> state budget indicators are represented without off-budgetary funds,</w:t>
      </w:r>
      <w:r w:rsidRPr="00284140">
        <w:rPr>
          <w:lang w:val="hy-AM"/>
        </w:rPr>
        <w:t xml:space="preserve"> </w:t>
      </w:r>
      <w:r w:rsidRPr="00414526">
        <w:rPr>
          <w:lang w:val="hy-AM"/>
        </w:rPr>
        <w:t>and public expenditures are shown as cash flows.</w:t>
      </w:r>
      <w:r>
        <w:t xml:space="preserve"> </w:t>
      </w:r>
    </w:p>
  </w:footnote>
  <w:footnote w:id="11">
    <w:p w14:paraId="591FB25F" w14:textId="77777777" w:rsidR="00884AE1" w:rsidRDefault="00884AE1" w:rsidP="00F42FBC">
      <w:pPr>
        <w:pStyle w:val="FootnoteText"/>
        <w:jc w:val="both"/>
      </w:pPr>
      <w:r>
        <w:rPr>
          <w:rStyle w:val="FootnoteReference"/>
        </w:rPr>
        <w:t>11</w:t>
      </w:r>
      <w:r>
        <w:t xml:space="preserve"> D</w:t>
      </w:r>
      <w:r w:rsidRPr="00C151D2">
        <w:t xml:space="preserve">etailed information on the impact of Armenia membership to the Eurasia Economic Community on the inflation in 2015-2017 is available in Q4 2014 Inflation Report (section 2.3 </w:t>
      </w:r>
      <w:r>
        <w:t>“</w:t>
      </w:r>
      <w:r w:rsidRPr="00C151D2">
        <w:rPr>
          <w:bCs/>
          <w:iCs/>
          <w:color w:val="000000"/>
        </w:rPr>
        <w:t>Inflation forecasts and monetary policy directions in 3-year forecast horizon</w:t>
      </w:r>
      <w:r>
        <w:rPr>
          <w:bCs/>
          <w:iCs/>
          <w:color w:val="000000"/>
        </w:rPr>
        <w:t>”</w:t>
      </w:r>
      <w:r w:rsidRPr="00C151D2">
        <w:t>).</w:t>
      </w:r>
    </w:p>
  </w:footnote>
  <w:footnote w:id="12">
    <w:p w14:paraId="300AC140" w14:textId="77777777" w:rsidR="00884AE1" w:rsidRPr="000533BD" w:rsidRDefault="00884AE1" w:rsidP="00A9653E">
      <w:pPr>
        <w:pStyle w:val="FootnoteText"/>
        <w:jc w:val="both"/>
      </w:pPr>
      <w:r>
        <w:rPr>
          <w:rStyle w:val="FootnoteReference"/>
        </w:rPr>
        <w:t>12</w:t>
      </w:r>
      <w:r w:rsidRPr="000533BD">
        <w:t>The price</w:t>
      </w:r>
      <w:r>
        <w:t xml:space="preserve"> index change as of January-December 2014 </w:t>
      </w:r>
      <w:r w:rsidRPr="000533BD">
        <w:t>is relative to the same period of the previous year</w:t>
      </w:r>
      <w:r>
        <w:t>,</w:t>
      </w:r>
      <w:r w:rsidRPr="000533BD">
        <w:t xml:space="preserve"> unless otherwise specified. </w:t>
      </w:r>
    </w:p>
  </w:footnote>
  <w:footnote w:id="13">
    <w:p w14:paraId="27A48CD1" w14:textId="77777777" w:rsidR="00884AE1" w:rsidRDefault="00884AE1" w:rsidP="00A9653E">
      <w:pPr>
        <w:pStyle w:val="FootnoteText"/>
        <w:jc w:val="both"/>
      </w:pPr>
      <w:r>
        <w:rPr>
          <w:rStyle w:val="FootnoteReference"/>
        </w:rPr>
        <w:t>13</w:t>
      </w:r>
      <w:r>
        <w:t xml:space="preserve"> Sales prices of producers of agricultural product are presented.</w:t>
      </w:r>
    </w:p>
  </w:footnote>
  <w:footnote w:id="14">
    <w:p w14:paraId="6EBAFC39" w14:textId="77777777" w:rsidR="00884AE1" w:rsidRDefault="00884AE1" w:rsidP="00A9653E">
      <w:pPr>
        <w:pStyle w:val="FootnoteText"/>
        <w:jc w:val="both"/>
      </w:pPr>
      <w:r>
        <w:rPr>
          <w:rStyle w:val="FootnoteReference"/>
        </w:rPr>
        <w:t>14</w:t>
      </w:r>
      <w:r>
        <w:t xml:space="preserve"> The indicators of real growth of value added in sectors of the economy for January-September 2014 y/y are the Central Bank estimates whereas the indicators of sub-sectors represent y/y growth rates in output volumes for January-September 2014, unless otherwise specified.</w:t>
      </w:r>
    </w:p>
  </w:footnote>
  <w:footnote w:id="15">
    <w:p w14:paraId="166B0FCB" w14:textId="77777777" w:rsidR="00884AE1" w:rsidRPr="007B5CC5" w:rsidRDefault="00884AE1" w:rsidP="00A9653E">
      <w:pPr>
        <w:pStyle w:val="FootnoteText"/>
        <w:jc w:val="both"/>
      </w:pPr>
      <w:r>
        <w:rPr>
          <w:rStyle w:val="FootnoteReference"/>
        </w:rPr>
        <w:t>15</w:t>
      </w:r>
      <w:r w:rsidRPr="007B5CC5">
        <w:t xml:space="preserve"> See </w:t>
      </w:r>
      <w:r>
        <w:t xml:space="preserve">the 30% probability of </w:t>
      </w:r>
      <w:r w:rsidRPr="007B5CC5">
        <w:t xml:space="preserve">Real GDP Growth </w:t>
      </w:r>
      <w:r>
        <w:t>(</w:t>
      </w:r>
      <w:r w:rsidRPr="007B5CC5">
        <w:t>Cumulative</w:t>
      </w:r>
      <w:r>
        <w:t>)</w:t>
      </w:r>
      <w:r w:rsidRPr="007B5CC5">
        <w:t xml:space="preserve"> Projection Probability Distribution</w:t>
      </w:r>
      <w:r>
        <w:t xml:space="preserve"> Chart</w:t>
      </w:r>
      <w:r w:rsidRPr="007B5CC5">
        <w:t>.</w:t>
      </w:r>
    </w:p>
  </w:footnote>
  <w:footnote w:id="16">
    <w:p w14:paraId="2449A69B" w14:textId="77777777" w:rsidR="00884AE1" w:rsidRPr="001943CA" w:rsidRDefault="00884AE1" w:rsidP="001943CA">
      <w:pPr>
        <w:pStyle w:val="FootnoteText"/>
        <w:jc w:val="both"/>
      </w:pPr>
      <w:r>
        <w:rPr>
          <w:rStyle w:val="FootnoteReference"/>
        </w:rPr>
        <w:t>16</w:t>
      </w:r>
      <w:r>
        <w:t xml:space="preserve"> Increased output </w:t>
      </w:r>
      <w:r w:rsidRPr="0018217E">
        <w:t xml:space="preserve">was mainly </w:t>
      </w:r>
      <w:r>
        <w:t>due to</w:t>
      </w:r>
      <w:r w:rsidRPr="0018217E">
        <w:t xml:space="preserve"> capacity growth</w:t>
      </w:r>
      <w:r>
        <w:t xml:space="preserve"> in </w:t>
      </w:r>
      <w:r w:rsidRPr="0018217E">
        <w:t>produc</w:t>
      </w:r>
      <w:r>
        <w:t xml:space="preserve">ing meat </w:t>
      </w:r>
      <w:r w:rsidRPr="0018217E">
        <w:t>(</w:t>
      </w:r>
      <w:r>
        <w:t>13.7</w:t>
      </w:r>
      <w:r w:rsidRPr="0018217E">
        <w:t xml:space="preserve">%), meat </w:t>
      </w:r>
      <w:r>
        <w:t xml:space="preserve">products </w:t>
      </w:r>
      <w:r w:rsidRPr="0018217E">
        <w:t>(1</w:t>
      </w:r>
      <w:r>
        <w:t>5</w:t>
      </w:r>
      <w:r w:rsidRPr="0018217E">
        <w:t>.</w:t>
      </w:r>
      <w:r>
        <w:t>7</w:t>
      </w:r>
      <w:r w:rsidRPr="0018217E">
        <w:t>%),</w:t>
      </w:r>
      <w:r>
        <w:t xml:space="preserve"> </w:t>
      </w:r>
      <w:r w:rsidRPr="0018217E">
        <w:t>milk</w:t>
      </w:r>
      <w:r>
        <w:t xml:space="preserve"> </w:t>
      </w:r>
      <w:r w:rsidRPr="0018217E">
        <w:t>(</w:t>
      </w:r>
      <w:r>
        <w:t>6</w:t>
      </w:r>
      <w:r w:rsidRPr="0018217E">
        <w:t>.</w:t>
      </w:r>
      <w:r>
        <w:t>6</w:t>
      </w:r>
      <w:r w:rsidRPr="0018217E">
        <w:t xml:space="preserve">%), </w:t>
      </w:r>
      <w:r>
        <w:t xml:space="preserve">matsoun (33%), sour cream (14.7%), </w:t>
      </w:r>
      <w:r w:rsidRPr="0018217E">
        <w:t>cheese (</w:t>
      </w:r>
      <w:r>
        <w:t>5</w:t>
      </w:r>
      <w:r w:rsidRPr="0018217E">
        <w:t>.</w:t>
      </w:r>
      <w:r>
        <w:t>4</w:t>
      </w:r>
      <w:r w:rsidRPr="0018217E">
        <w:t>%), animal fat (2.</w:t>
      </w:r>
      <w:r>
        <w:t>1-fold</w:t>
      </w:r>
      <w:r w:rsidRPr="0018217E">
        <w:t xml:space="preserve">), macaroni </w:t>
      </w:r>
      <w:r w:rsidRPr="001943CA">
        <w:t>(</w:t>
      </w:r>
      <w:r>
        <w:t>9</w:t>
      </w:r>
      <w:r w:rsidRPr="001943CA">
        <w:t>.</w:t>
      </w:r>
      <w:r>
        <w:t>1</w:t>
      </w:r>
      <w:r w:rsidRPr="001943CA">
        <w:t>%), sugar (2</w:t>
      </w:r>
      <w:r>
        <w:t>8</w:t>
      </w:r>
      <w:r w:rsidRPr="001943CA">
        <w:t>.</w:t>
      </w:r>
      <w:r>
        <w:t>1</w:t>
      </w:r>
      <w:r w:rsidRPr="001943CA">
        <w:t>%), flour (</w:t>
      </w:r>
      <w:r>
        <w:t>29</w:t>
      </w:r>
      <w:r w:rsidRPr="001943CA">
        <w:t>.</w:t>
      </w:r>
      <w:r>
        <w:t>6</w:t>
      </w:r>
      <w:r w:rsidRPr="001943CA">
        <w:t>%), grains (</w:t>
      </w:r>
      <w:r>
        <w:t>29</w:t>
      </w:r>
      <w:r w:rsidRPr="001943CA">
        <w:t>.</w:t>
      </w:r>
      <w:r>
        <w:t>7</w:t>
      </w:r>
      <w:r w:rsidRPr="001943CA">
        <w:t>%), confectionery (9.</w:t>
      </w:r>
      <w:r>
        <w:t>4</w:t>
      </w:r>
      <w:r w:rsidRPr="001943CA">
        <w:t>%), canned food (</w:t>
      </w:r>
      <w:r>
        <w:t>17</w:t>
      </w:r>
      <w:r w:rsidRPr="001943CA">
        <w:t>.</w:t>
      </w:r>
      <w:r>
        <w:t>3</w:t>
      </w:r>
      <w:r w:rsidRPr="001943CA">
        <w:t>%) and ice cream (48.8%).</w:t>
      </w:r>
    </w:p>
  </w:footnote>
  <w:footnote w:id="17">
    <w:p w14:paraId="38894334" w14:textId="77777777" w:rsidR="00884AE1" w:rsidRDefault="00884AE1">
      <w:pPr>
        <w:pStyle w:val="FootnoteText"/>
      </w:pPr>
      <w:r>
        <w:rPr>
          <w:rStyle w:val="FootnoteReference"/>
        </w:rPr>
        <w:t>17</w:t>
      </w:r>
      <w:r>
        <w:t xml:space="preserve"> See section 3.4 Balance of payment of this report. </w:t>
      </w:r>
    </w:p>
  </w:footnote>
  <w:footnote w:id="18">
    <w:p w14:paraId="04E3F2E4" w14:textId="77777777" w:rsidR="00884AE1" w:rsidRPr="001943CA" w:rsidRDefault="00884AE1" w:rsidP="001943CA">
      <w:pPr>
        <w:pStyle w:val="FootnoteText"/>
        <w:jc w:val="both"/>
      </w:pPr>
      <w:r w:rsidRPr="001943CA">
        <w:rPr>
          <w:rStyle w:val="FootnoteReference"/>
        </w:rPr>
        <w:t>18</w:t>
      </w:r>
      <w:r w:rsidRPr="001943CA">
        <w:t xml:space="preserve"> The private spending, private consumption and private investment data for the </w:t>
      </w:r>
      <w:r>
        <w:t xml:space="preserve">4th </w:t>
      </w:r>
      <w:r w:rsidRPr="001943CA">
        <w:t xml:space="preserve">quarter 2014 are the Central Bank estimates based on actual </w:t>
      </w:r>
      <w:r>
        <w:t>3r</w:t>
      </w:r>
      <w:r w:rsidRPr="001943CA">
        <w:t xml:space="preserve">d quarter 2014 data. Growth estimates in this sub-section are relative to the same quarter of the previous year, unless otherwise specified.  </w:t>
      </w:r>
    </w:p>
  </w:footnote>
  <w:footnote w:id="19">
    <w:p w14:paraId="37E9D5DE" w14:textId="77777777" w:rsidR="00884AE1" w:rsidRPr="00D22F97" w:rsidRDefault="00884AE1" w:rsidP="00D22F97">
      <w:pPr>
        <w:pStyle w:val="FootnoteText"/>
        <w:jc w:val="both"/>
      </w:pPr>
      <w:r w:rsidRPr="00D22F97">
        <w:rPr>
          <w:rStyle w:val="FootnoteReference"/>
        </w:rPr>
        <w:t>19</w:t>
      </w:r>
      <w:r w:rsidRPr="00D22F97">
        <w:t xml:space="preserve"> See </w:t>
      </w:r>
      <w:r w:rsidRPr="00D22F97">
        <w:rPr>
          <w:lang w:val="hy-AM"/>
        </w:rPr>
        <w:t>https://www.cba.am/am/SitePages/statsscci.aspx</w:t>
      </w:r>
      <w:r w:rsidRPr="00D22F97">
        <w:t>.</w:t>
      </w:r>
    </w:p>
  </w:footnote>
  <w:footnote w:id="20">
    <w:p w14:paraId="20BE729A" w14:textId="77777777" w:rsidR="00884AE1" w:rsidRPr="00D22F97" w:rsidRDefault="00884AE1">
      <w:pPr>
        <w:pStyle w:val="FootnoteText"/>
      </w:pPr>
      <w:r w:rsidRPr="00D22F97">
        <w:rPr>
          <w:rStyle w:val="FootnoteReference"/>
        </w:rPr>
        <w:t>20</w:t>
      </w:r>
      <w:r w:rsidRPr="00D22F97">
        <w:rPr>
          <w:lang w:val="hy-AM"/>
        </w:rPr>
        <w:t>https://www.cba.am/am/SitePages/statsseabci.aspx</w:t>
      </w:r>
      <w:r w:rsidRPr="00D22F97">
        <w:t>.</w:t>
      </w:r>
    </w:p>
  </w:footnote>
  <w:footnote w:id="21">
    <w:p w14:paraId="453F4653" w14:textId="77777777" w:rsidR="00884AE1" w:rsidRPr="00D22F97" w:rsidRDefault="00884AE1" w:rsidP="00AE76FC">
      <w:pPr>
        <w:pStyle w:val="FootnoteText"/>
        <w:jc w:val="both"/>
      </w:pPr>
      <w:r w:rsidRPr="00D22F97">
        <w:rPr>
          <w:rStyle w:val="FootnoteReference"/>
        </w:rPr>
        <w:t>21</w:t>
      </w:r>
      <w:r w:rsidRPr="00D22F97">
        <w:t xml:space="preserve"> The real export and import growth indicators are the Central Bank estimates.</w:t>
      </w:r>
    </w:p>
  </w:footnote>
  <w:footnote w:id="22">
    <w:p w14:paraId="2779C9D3" w14:textId="77777777" w:rsidR="00884AE1" w:rsidRPr="00176BB8" w:rsidRDefault="00884AE1" w:rsidP="00A9653E">
      <w:pPr>
        <w:pStyle w:val="FootnoteText"/>
        <w:jc w:val="both"/>
        <w:rPr>
          <w:i/>
        </w:rPr>
      </w:pPr>
      <w:r>
        <w:rPr>
          <w:rStyle w:val="FootnoteReference"/>
        </w:rPr>
        <w:t>22</w:t>
      </w:r>
      <w:r>
        <w:t xml:space="preserve"> </w:t>
      </w:r>
      <w:r w:rsidRPr="00176BB8">
        <w:t xml:space="preserve">The labor market data for </w:t>
      </w:r>
      <w:r>
        <w:t xml:space="preserve">Q4 </w:t>
      </w:r>
      <w:r w:rsidRPr="00176BB8">
        <w:t>201</w:t>
      </w:r>
      <w:r>
        <w:t>4</w:t>
      </w:r>
      <w:r w:rsidRPr="00176BB8">
        <w:t xml:space="preserve"> are the </w:t>
      </w:r>
      <w:r>
        <w:t xml:space="preserve">Central </w:t>
      </w:r>
      <w:r w:rsidRPr="00176BB8">
        <w:t xml:space="preserve">Bank estimates which are based on the </w:t>
      </w:r>
      <w:r>
        <w:t>3rd</w:t>
      </w:r>
      <w:r w:rsidRPr="00176BB8">
        <w:t xml:space="preserve"> quarter </w:t>
      </w:r>
      <w:r>
        <w:t xml:space="preserve">of 2014 </w:t>
      </w:r>
      <w:r w:rsidRPr="00176BB8">
        <w:t xml:space="preserve">data and actual </w:t>
      </w:r>
      <w:r>
        <w:t>September</w:t>
      </w:r>
      <w:r w:rsidRPr="00176BB8">
        <w:t>-</w:t>
      </w:r>
      <w:r>
        <w:t>November 2014</w:t>
      </w:r>
      <w:r w:rsidRPr="00176BB8">
        <w:t xml:space="preserve"> figures. The growth indicators represented in this sub-section are relative to the same quarter of the previous year, unless otherwise specified.</w:t>
      </w:r>
    </w:p>
  </w:footnote>
  <w:footnote w:id="23">
    <w:p w14:paraId="06407E2B" w14:textId="77777777" w:rsidR="00884AE1" w:rsidRPr="004062FA" w:rsidRDefault="00884AE1" w:rsidP="00A9653E">
      <w:pPr>
        <w:pStyle w:val="FootnoteText"/>
        <w:jc w:val="both"/>
      </w:pPr>
      <w:r>
        <w:rPr>
          <w:rStyle w:val="FootnoteReference"/>
        </w:rPr>
        <w:t>23</w:t>
      </w:r>
      <w:r>
        <w:t xml:space="preserve"> </w:t>
      </w:r>
      <w:r>
        <w:rPr>
          <w:iCs/>
        </w:rPr>
        <w:t>The r</w:t>
      </w:r>
      <w:r w:rsidRPr="004062FA">
        <w:rPr>
          <w:iCs/>
        </w:rPr>
        <w:t>eview of the fiscal sector</w:t>
      </w:r>
      <w:r>
        <w:rPr>
          <w:iCs/>
        </w:rPr>
        <w:t xml:space="preserve"> was done using the</w:t>
      </w:r>
      <w:r w:rsidRPr="004062FA">
        <w:rPr>
          <w:iCs/>
        </w:rPr>
        <w:t xml:space="preserve"> preliminary</w:t>
      </w:r>
      <w:r>
        <w:rPr>
          <w:iCs/>
        </w:rPr>
        <w:t xml:space="preserve"> actual c</w:t>
      </w:r>
      <w:r w:rsidRPr="004062FA">
        <w:rPr>
          <w:iCs/>
        </w:rPr>
        <w:t xml:space="preserve">onsolidated budget indicators </w:t>
      </w:r>
      <w:r>
        <w:rPr>
          <w:iCs/>
        </w:rPr>
        <w:t>prepared on the basis of the</w:t>
      </w:r>
      <w:r w:rsidRPr="004062FA">
        <w:rPr>
          <w:iCs/>
        </w:rPr>
        <w:t xml:space="preserve"> preliminary</w:t>
      </w:r>
      <w:r>
        <w:rPr>
          <w:iCs/>
        </w:rPr>
        <w:t xml:space="preserve"> actual indicators of </w:t>
      </w:r>
      <w:r w:rsidRPr="004062FA">
        <w:rPr>
          <w:iCs/>
        </w:rPr>
        <w:t xml:space="preserve">the </w:t>
      </w:r>
      <w:r>
        <w:rPr>
          <w:iCs/>
        </w:rPr>
        <w:t xml:space="preserve">4th </w:t>
      </w:r>
      <w:r w:rsidRPr="004062FA">
        <w:rPr>
          <w:iCs/>
        </w:rPr>
        <w:t>quarter of 201</w:t>
      </w:r>
      <w:r>
        <w:rPr>
          <w:iCs/>
        </w:rPr>
        <w:t>4</w:t>
      </w:r>
      <w:r w:rsidRPr="004062FA">
        <w:rPr>
          <w:iCs/>
        </w:rPr>
        <w:t xml:space="preserve"> (PIU funds included)</w:t>
      </w:r>
      <w:r>
        <w:rPr>
          <w:iCs/>
        </w:rPr>
        <w:t xml:space="preserve">, excluding off-budgetary funds. </w:t>
      </w:r>
      <w:r w:rsidRPr="004062FA">
        <w:rPr>
          <w:iCs/>
        </w:rPr>
        <w:t xml:space="preserve">The impact of revenues was calculated in respect of the nominal GDP indicator while the impact of expenditures in respect of the estimated potential GDP indicator. </w:t>
      </w:r>
    </w:p>
  </w:footnote>
  <w:footnote w:id="24">
    <w:p w14:paraId="7334FB47" w14:textId="77777777" w:rsidR="00884AE1" w:rsidRDefault="00884AE1">
      <w:pPr>
        <w:pStyle w:val="FootnoteText"/>
      </w:pPr>
      <w:r>
        <w:rPr>
          <w:rStyle w:val="FootnoteReference"/>
        </w:rPr>
        <w:t>24</w:t>
      </w:r>
      <w:r>
        <w:t xml:space="preserve"> Records of off-budgetary funds are excluded.</w:t>
      </w:r>
    </w:p>
  </w:footnote>
  <w:footnote w:id="25">
    <w:p w14:paraId="5298D3D2" w14:textId="77777777" w:rsidR="00884AE1" w:rsidRDefault="00884AE1">
      <w:pPr>
        <w:pStyle w:val="FootnoteText"/>
      </w:pPr>
      <w:r>
        <w:rPr>
          <w:rStyle w:val="FootnoteReference"/>
        </w:rPr>
        <w:t>25</w:t>
      </w:r>
      <w:r>
        <w:t xml:space="preserve"> I.e., the quarterly adjusted plans of the Government of Armenia.</w:t>
      </w:r>
    </w:p>
  </w:footnote>
  <w:footnote w:id="26">
    <w:p w14:paraId="4C02F109" w14:textId="77777777" w:rsidR="00884AE1" w:rsidRDefault="00884AE1" w:rsidP="008D49BF">
      <w:pPr>
        <w:pStyle w:val="FootnoteText"/>
        <w:jc w:val="both"/>
      </w:pPr>
      <w:r>
        <w:rPr>
          <w:rStyle w:val="FootnoteReference"/>
        </w:rPr>
        <w:t>26</w:t>
      </w:r>
      <w:r>
        <w:t xml:space="preserve"> The 4th quarter 2014 indicator of the real exchange rate is the Central Bank estimate. </w:t>
      </w:r>
    </w:p>
  </w:footnote>
  <w:footnote w:id="27">
    <w:p w14:paraId="27E5C6A1" w14:textId="77777777" w:rsidR="00884AE1" w:rsidRDefault="00884AE1" w:rsidP="002556A0">
      <w:pPr>
        <w:pStyle w:val="FootnoteText"/>
        <w:jc w:val="both"/>
      </w:pPr>
      <w:r>
        <w:rPr>
          <w:rStyle w:val="FootnoteReference"/>
        </w:rPr>
        <w:t>27</w:t>
      </w:r>
      <w:r>
        <w:t xml:space="preserve"> The 4th quarter </w:t>
      </w:r>
      <w:r w:rsidRPr="00597B3D">
        <w:t>2014</w:t>
      </w:r>
      <w:r>
        <w:t xml:space="preserve"> figures are the Central Bank forecasts and estimates.</w:t>
      </w:r>
    </w:p>
  </w:footnote>
  <w:footnote w:id="28">
    <w:p w14:paraId="3501D898" w14:textId="77777777" w:rsidR="00884AE1" w:rsidRDefault="00884AE1" w:rsidP="002556A0">
      <w:pPr>
        <w:pStyle w:val="FootnoteText"/>
        <w:jc w:val="both"/>
      </w:pPr>
      <w:r>
        <w:rPr>
          <w:rStyle w:val="FootnoteReference"/>
        </w:rPr>
        <w:t>28</w:t>
      </w:r>
      <w:r>
        <w:t xml:space="preserve"> Huge amounts of foreign currency purchased by the private sector but undersold in expectations for the dram exchange rate depreciation during the 4th quarter resulted in net accumulation of foreign currency with the sector. </w:t>
      </w:r>
    </w:p>
  </w:footnote>
  <w:footnote w:id="29">
    <w:p w14:paraId="22DF0B59" w14:textId="1BECD734" w:rsidR="00884AE1" w:rsidRDefault="00884AE1" w:rsidP="00F5405C">
      <w:pPr>
        <w:pStyle w:val="FootnoteText"/>
        <w:jc w:val="both"/>
      </w:pPr>
      <w:r>
        <w:rPr>
          <w:rStyle w:val="FootnoteReference"/>
        </w:rPr>
        <w:t>29</w:t>
      </w:r>
      <w:r>
        <w:t xml:space="preserve"> The e</w:t>
      </w:r>
      <w:r w:rsidRPr="009956BE">
        <w:t>xport and import</w:t>
      </w:r>
      <w:r>
        <w:t xml:space="preserve"> indicators</w:t>
      </w:r>
      <w:r w:rsidRPr="009956BE">
        <w:t xml:space="preserve"> by commodity and by country</w:t>
      </w:r>
      <w:r>
        <w:t xml:space="preserve"> </w:t>
      </w:r>
      <w:r w:rsidRPr="009956BE">
        <w:t>are</w:t>
      </w:r>
      <w:r>
        <w:t xml:space="preserve"> in</w:t>
      </w:r>
      <w:r w:rsidRPr="009956BE">
        <w:t xml:space="preserve"> FOB and CIF prices, </w:t>
      </w:r>
      <w:r>
        <w:t xml:space="preserve">and </w:t>
      </w:r>
      <w:r w:rsidRPr="009956BE">
        <w:t xml:space="preserve">export and import </w:t>
      </w:r>
      <w:r>
        <w:t xml:space="preserve">of </w:t>
      </w:r>
      <w:r w:rsidRPr="009956BE">
        <w:t>the current account</w:t>
      </w:r>
      <w:r>
        <w:t>, by</w:t>
      </w:r>
      <w:r w:rsidRPr="009956BE">
        <w:t xml:space="preserve"> credit</w:t>
      </w:r>
      <w:r>
        <w:t xml:space="preserve"> </w:t>
      </w:r>
      <w:proofErr w:type="gramStart"/>
      <w:r>
        <w:t xml:space="preserve">and </w:t>
      </w:r>
      <w:r w:rsidRPr="00D36825">
        <w:t xml:space="preserve"> </w:t>
      </w:r>
      <w:r w:rsidRPr="009956BE">
        <w:t>debit</w:t>
      </w:r>
      <w:proofErr w:type="gramEnd"/>
      <w:r w:rsidRPr="009956BE">
        <w:t>, respectively.</w:t>
      </w:r>
    </w:p>
  </w:footnote>
  <w:footnote w:id="30">
    <w:p w14:paraId="61C31DC9" w14:textId="77777777" w:rsidR="00884AE1" w:rsidRDefault="00884AE1" w:rsidP="00F5405C">
      <w:pPr>
        <w:pStyle w:val="FootnoteText"/>
        <w:jc w:val="both"/>
      </w:pPr>
      <w:r>
        <w:rPr>
          <w:rStyle w:val="FootnoteReference"/>
        </w:rPr>
        <w:t xml:space="preserve">30 </w:t>
      </w:r>
      <w:r>
        <w:t xml:space="preserve">The y/y decrease in dollar prices of import has outpaced the y/y decrease in dollar prices of export.  </w:t>
      </w:r>
    </w:p>
  </w:footnote>
  <w:footnote w:id="31">
    <w:p w14:paraId="155A9AAA" w14:textId="77777777" w:rsidR="00884AE1" w:rsidRDefault="00884AE1" w:rsidP="00F5405C">
      <w:pPr>
        <w:pStyle w:val="FootnoteText"/>
        <w:jc w:val="both"/>
      </w:pPr>
      <w:r>
        <w:rPr>
          <w:rStyle w:val="FootnoteReference"/>
        </w:rPr>
        <w:t>31</w:t>
      </w:r>
      <w:r>
        <w:t xml:space="preserve"> This includes the dollar value of construction services provided by seasonal workers.</w:t>
      </w:r>
    </w:p>
  </w:footnote>
  <w:footnote w:id="32">
    <w:p w14:paraId="4FEC1BC9" w14:textId="77777777" w:rsidR="00884AE1" w:rsidRDefault="00884AE1" w:rsidP="00F5405C">
      <w:pPr>
        <w:pStyle w:val="FootnoteText"/>
        <w:jc w:val="both"/>
      </w:pPr>
      <w:r>
        <w:rPr>
          <w:rStyle w:val="FootnoteReference"/>
        </w:rPr>
        <w:t>32</w:t>
      </w:r>
      <w:r>
        <w:t xml:space="preserve"> The 4th quarter of 2014 saw as much as 30.5% y/y reduction in net inflow of non-commercial transfers of individuals via the banking system.   </w:t>
      </w:r>
    </w:p>
  </w:footnote>
  <w:footnote w:id="33">
    <w:p w14:paraId="2FF2D86B" w14:textId="77777777" w:rsidR="00884AE1" w:rsidRPr="002B3317" w:rsidRDefault="00884AE1" w:rsidP="00F5405C">
      <w:pPr>
        <w:pStyle w:val="FootnoteText"/>
        <w:jc w:val="both"/>
      </w:pPr>
      <w:r>
        <w:rPr>
          <w:rStyle w:val="FootnoteReference"/>
        </w:rPr>
        <w:t xml:space="preserve">33 </w:t>
      </w:r>
      <w:r w:rsidRPr="002B3317">
        <w:t xml:space="preserve">The </w:t>
      </w:r>
      <w:r>
        <w:t xml:space="preserve">4th quarter </w:t>
      </w:r>
      <w:r w:rsidRPr="002B3317">
        <w:t>201</w:t>
      </w:r>
      <w:r>
        <w:t>4</w:t>
      </w:r>
      <w:r w:rsidRPr="002B3317">
        <w:t xml:space="preserve"> capital and financial account figures are the </w:t>
      </w:r>
      <w:r>
        <w:t xml:space="preserve">Central </w:t>
      </w:r>
      <w:r w:rsidRPr="002B3317">
        <w:t>Bank forecasts and estimates.</w:t>
      </w:r>
    </w:p>
  </w:footnote>
  <w:footnote w:id="34">
    <w:p w14:paraId="12655804" w14:textId="77777777" w:rsidR="00884AE1" w:rsidRDefault="00884AE1">
      <w:pPr>
        <w:pStyle w:val="FootnoteText"/>
      </w:pPr>
      <w:r>
        <w:rPr>
          <w:rStyle w:val="FootnoteReference"/>
        </w:rPr>
        <w:t>34</w:t>
      </w:r>
      <w:r>
        <w:t xml:space="preserve"> The 4th quarter 2014 data have not been released yet.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7633"/>
    <w:multiLevelType w:val="hybridMultilevel"/>
    <w:tmpl w:val="C5445C72"/>
    <w:lvl w:ilvl="0" w:tplc="19EE122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A6CC8"/>
    <w:multiLevelType w:val="hybridMultilevel"/>
    <w:tmpl w:val="E102A44C"/>
    <w:lvl w:ilvl="0" w:tplc="04090001">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54854410"/>
    <w:multiLevelType w:val="hybridMultilevel"/>
    <w:tmpl w:val="C90A0DC4"/>
    <w:lvl w:ilvl="0" w:tplc="04090001">
      <w:start w:val="1"/>
      <w:numFmt w:val="bullet"/>
      <w:lvlText w:val=""/>
      <w:lvlJc w:val="left"/>
      <w:pPr>
        <w:tabs>
          <w:tab w:val="num" w:pos="1420"/>
        </w:tabs>
        <w:ind w:left="1420" w:hanging="360"/>
      </w:pPr>
      <w:rPr>
        <w:rFonts w:ascii="Symbol" w:hAnsi="Symbol" w:hint="default"/>
      </w:rPr>
    </w:lvl>
    <w:lvl w:ilvl="1" w:tplc="04090003" w:tentative="1">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 w15:restartNumberingAfterBreak="0">
    <w:nsid w:val="75226296"/>
    <w:multiLevelType w:val="hybridMultilevel"/>
    <w:tmpl w:val="E046961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787C1239"/>
    <w:multiLevelType w:val="hybridMultilevel"/>
    <w:tmpl w:val="ED30FB5A"/>
    <w:lvl w:ilvl="0" w:tplc="7DA82C5A">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C730830"/>
    <w:multiLevelType w:val="hybridMultilevel"/>
    <w:tmpl w:val="F6E2E3B6"/>
    <w:lvl w:ilvl="0" w:tplc="04090001">
      <w:start w:val="1"/>
      <w:numFmt w:val="bullet"/>
      <w:lvlText w:val=""/>
      <w:lvlJc w:val="left"/>
      <w:pPr>
        <w:tabs>
          <w:tab w:val="num" w:pos="1420"/>
        </w:tabs>
        <w:ind w:left="1420" w:hanging="360"/>
      </w:pPr>
      <w:rPr>
        <w:rFonts w:ascii="Symbol" w:hAnsi="Symbol" w:hint="default"/>
      </w:rPr>
    </w:lvl>
    <w:lvl w:ilvl="1" w:tplc="20F014A2">
      <w:start w:val="1"/>
      <w:numFmt w:val="lowerLetter"/>
      <w:lvlText w:val="%2."/>
      <w:lvlJc w:val="left"/>
      <w:pPr>
        <w:tabs>
          <w:tab w:val="num" w:pos="2140"/>
        </w:tabs>
        <w:ind w:left="2140" w:hanging="360"/>
      </w:pPr>
    </w:lvl>
    <w:lvl w:ilvl="2" w:tplc="FDC8A428" w:tentative="1">
      <w:start w:val="1"/>
      <w:numFmt w:val="lowerRoman"/>
      <w:lvlText w:val="%3."/>
      <w:lvlJc w:val="right"/>
      <w:pPr>
        <w:tabs>
          <w:tab w:val="num" w:pos="2860"/>
        </w:tabs>
        <w:ind w:left="2860" w:hanging="180"/>
      </w:pPr>
    </w:lvl>
    <w:lvl w:ilvl="3" w:tplc="3094FD28" w:tentative="1">
      <w:start w:val="1"/>
      <w:numFmt w:val="decimal"/>
      <w:lvlText w:val="%4."/>
      <w:lvlJc w:val="left"/>
      <w:pPr>
        <w:tabs>
          <w:tab w:val="num" w:pos="3580"/>
        </w:tabs>
        <w:ind w:left="3580" w:hanging="360"/>
      </w:pPr>
    </w:lvl>
    <w:lvl w:ilvl="4" w:tplc="829C23B4" w:tentative="1">
      <w:start w:val="1"/>
      <w:numFmt w:val="lowerLetter"/>
      <w:lvlText w:val="%5."/>
      <w:lvlJc w:val="left"/>
      <w:pPr>
        <w:tabs>
          <w:tab w:val="num" w:pos="4300"/>
        </w:tabs>
        <w:ind w:left="4300" w:hanging="360"/>
      </w:pPr>
    </w:lvl>
    <w:lvl w:ilvl="5" w:tplc="33D4B67E" w:tentative="1">
      <w:start w:val="1"/>
      <w:numFmt w:val="lowerRoman"/>
      <w:lvlText w:val="%6."/>
      <w:lvlJc w:val="right"/>
      <w:pPr>
        <w:tabs>
          <w:tab w:val="num" w:pos="5020"/>
        </w:tabs>
        <w:ind w:left="5020" w:hanging="180"/>
      </w:pPr>
    </w:lvl>
    <w:lvl w:ilvl="6" w:tplc="B6E6494C" w:tentative="1">
      <w:start w:val="1"/>
      <w:numFmt w:val="decimal"/>
      <w:lvlText w:val="%7."/>
      <w:lvlJc w:val="left"/>
      <w:pPr>
        <w:tabs>
          <w:tab w:val="num" w:pos="5740"/>
        </w:tabs>
        <w:ind w:left="5740" w:hanging="360"/>
      </w:pPr>
    </w:lvl>
    <w:lvl w:ilvl="7" w:tplc="4CA6F55A" w:tentative="1">
      <w:start w:val="1"/>
      <w:numFmt w:val="lowerLetter"/>
      <w:lvlText w:val="%8."/>
      <w:lvlJc w:val="left"/>
      <w:pPr>
        <w:tabs>
          <w:tab w:val="num" w:pos="6460"/>
        </w:tabs>
        <w:ind w:left="6460" w:hanging="360"/>
      </w:pPr>
    </w:lvl>
    <w:lvl w:ilvl="8" w:tplc="30CC4B2A" w:tentative="1">
      <w:start w:val="1"/>
      <w:numFmt w:val="lowerRoman"/>
      <w:lvlText w:val="%9."/>
      <w:lvlJc w:val="right"/>
      <w:pPr>
        <w:tabs>
          <w:tab w:val="num" w:pos="7180"/>
        </w:tabs>
        <w:ind w:left="71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53E"/>
    <w:rsid w:val="0000004E"/>
    <w:rsid w:val="000001CD"/>
    <w:rsid w:val="000009C7"/>
    <w:rsid w:val="00000C7A"/>
    <w:rsid w:val="00002432"/>
    <w:rsid w:val="0000486E"/>
    <w:rsid w:val="00004B40"/>
    <w:rsid w:val="000050FC"/>
    <w:rsid w:val="00005F1E"/>
    <w:rsid w:val="00007015"/>
    <w:rsid w:val="000112CF"/>
    <w:rsid w:val="00011F86"/>
    <w:rsid w:val="000127F2"/>
    <w:rsid w:val="00012A98"/>
    <w:rsid w:val="00012EF3"/>
    <w:rsid w:val="00014582"/>
    <w:rsid w:val="0001513B"/>
    <w:rsid w:val="0002076D"/>
    <w:rsid w:val="00020962"/>
    <w:rsid w:val="00025A01"/>
    <w:rsid w:val="00026087"/>
    <w:rsid w:val="00027CEC"/>
    <w:rsid w:val="00030AE6"/>
    <w:rsid w:val="00035EC8"/>
    <w:rsid w:val="00036774"/>
    <w:rsid w:val="00040895"/>
    <w:rsid w:val="00041381"/>
    <w:rsid w:val="0004161E"/>
    <w:rsid w:val="000420B3"/>
    <w:rsid w:val="000434BD"/>
    <w:rsid w:val="00043848"/>
    <w:rsid w:val="00044A6F"/>
    <w:rsid w:val="00045916"/>
    <w:rsid w:val="0004605B"/>
    <w:rsid w:val="00051D14"/>
    <w:rsid w:val="00052637"/>
    <w:rsid w:val="00053401"/>
    <w:rsid w:val="000545E7"/>
    <w:rsid w:val="000553AD"/>
    <w:rsid w:val="00057C44"/>
    <w:rsid w:val="00061489"/>
    <w:rsid w:val="00063196"/>
    <w:rsid w:val="00063664"/>
    <w:rsid w:val="00064F37"/>
    <w:rsid w:val="000678A6"/>
    <w:rsid w:val="00073B43"/>
    <w:rsid w:val="00075E34"/>
    <w:rsid w:val="000768E1"/>
    <w:rsid w:val="00077F93"/>
    <w:rsid w:val="0008074C"/>
    <w:rsid w:val="00081F80"/>
    <w:rsid w:val="00085EC8"/>
    <w:rsid w:val="00087BCA"/>
    <w:rsid w:val="00090254"/>
    <w:rsid w:val="000915C1"/>
    <w:rsid w:val="00096BDA"/>
    <w:rsid w:val="000978AB"/>
    <w:rsid w:val="000A0A8A"/>
    <w:rsid w:val="000A16EF"/>
    <w:rsid w:val="000A1A01"/>
    <w:rsid w:val="000A4A87"/>
    <w:rsid w:val="000A4D7E"/>
    <w:rsid w:val="000A5E83"/>
    <w:rsid w:val="000A6B89"/>
    <w:rsid w:val="000A751E"/>
    <w:rsid w:val="000B06F7"/>
    <w:rsid w:val="000B19BE"/>
    <w:rsid w:val="000C01DB"/>
    <w:rsid w:val="000C0811"/>
    <w:rsid w:val="000C0874"/>
    <w:rsid w:val="000C1F47"/>
    <w:rsid w:val="000C5BB7"/>
    <w:rsid w:val="000C6696"/>
    <w:rsid w:val="000C6E3E"/>
    <w:rsid w:val="000D1BD8"/>
    <w:rsid w:val="000D3275"/>
    <w:rsid w:val="000D3B75"/>
    <w:rsid w:val="000D7658"/>
    <w:rsid w:val="000E04B9"/>
    <w:rsid w:val="000E1259"/>
    <w:rsid w:val="000E1FF4"/>
    <w:rsid w:val="000E5222"/>
    <w:rsid w:val="000E55CD"/>
    <w:rsid w:val="000E7B79"/>
    <w:rsid w:val="000F107F"/>
    <w:rsid w:val="000F11F3"/>
    <w:rsid w:val="000F3319"/>
    <w:rsid w:val="000F560F"/>
    <w:rsid w:val="000F564E"/>
    <w:rsid w:val="000F76D4"/>
    <w:rsid w:val="000F7DC0"/>
    <w:rsid w:val="00100F38"/>
    <w:rsid w:val="00101A45"/>
    <w:rsid w:val="00106258"/>
    <w:rsid w:val="001119D4"/>
    <w:rsid w:val="0011359C"/>
    <w:rsid w:val="0011522F"/>
    <w:rsid w:val="0011797A"/>
    <w:rsid w:val="00120B7A"/>
    <w:rsid w:val="00121511"/>
    <w:rsid w:val="0012172D"/>
    <w:rsid w:val="00121ACB"/>
    <w:rsid w:val="0012281D"/>
    <w:rsid w:val="00123BF5"/>
    <w:rsid w:val="0012560E"/>
    <w:rsid w:val="00125D1B"/>
    <w:rsid w:val="00131467"/>
    <w:rsid w:val="001318EB"/>
    <w:rsid w:val="00131A86"/>
    <w:rsid w:val="00133C08"/>
    <w:rsid w:val="00133D2F"/>
    <w:rsid w:val="00134E4E"/>
    <w:rsid w:val="001376D0"/>
    <w:rsid w:val="0014260C"/>
    <w:rsid w:val="00143676"/>
    <w:rsid w:val="0014422C"/>
    <w:rsid w:val="00146934"/>
    <w:rsid w:val="00150450"/>
    <w:rsid w:val="00150D2D"/>
    <w:rsid w:val="001529D1"/>
    <w:rsid w:val="00154D71"/>
    <w:rsid w:val="00155B35"/>
    <w:rsid w:val="001571A7"/>
    <w:rsid w:val="0015750B"/>
    <w:rsid w:val="0015779B"/>
    <w:rsid w:val="001602FC"/>
    <w:rsid w:val="00166238"/>
    <w:rsid w:val="001722E2"/>
    <w:rsid w:val="00173515"/>
    <w:rsid w:val="00176023"/>
    <w:rsid w:val="00177180"/>
    <w:rsid w:val="00180B7F"/>
    <w:rsid w:val="00180CCE"/>
    <w:rsid w:val="00180FC3"/>
    <w:rsid w:val="00182A56"/>
    <w:rsid w:val="001833AA"/>
    <w:rsid w:val="001843F3"/>
    <w:rsid w:val="001848B3"/>
    <w:rsid w:val="001849E8"/>
    <w:rsid w:val="00184F55"/>
    <w:rsid w:val="0018556C"/>
    <w:rsid w:val="00186196"/>
    <w:rsid w:val="00186AF6"/>
    <w:rsid w:val="00187D83"/>
    <w:rsid w:val="00191112"/>
    <w:rsid w:val="001931C1"/>
    <w:rsid w:val="001943CA"/>
    <w:rsid w:val="00197A9E"/>
    <w:rsid w:val="001A046A"/>
    <w:rsid w:val="001A1850"/>
    <w:rsid w:val="001A1DAF"/>
    <w:rsid w:val="001A2C3B"/>
    <w:rsid w:val="001A3436"/>
    <w:rsid w:val="001A38D7"/>
    <w:rsid w:val="001A56BF"/>
    <w:rsid w:val="001A6378"/>
    <w:rsid w:val="001A65F0"/>
    <w:rsid w:val="001A772F"/>
    <w:rsid w:val="001B1AA6"/>
    <w:rsid w:val="001B24BB"/>
    <w:rsid w:val="001C2E2D"/>
    <w:rsid w:val="001C683B"/>
    <w:rsid w:val="001C7F7D"/>
    <w:rsid w:val="001D4195"/>
    <w:rsid w:val="001D4390"/>
    <w:rsid w:val="001D45A9"/>
    <w:rsid w:val="001D67A4"/>
    <w:rsid w:val="001D73A7"/>
    <w:rsid w:val="001D7CB0"/>
    <w:rsid w:val="001E0A05"/>
    <w:rsid w:val="001E1926"/>
    <w:rsid w:val="001E5442"/>
    <w:rsid w:val="001F5BDC"/>
    <w:rsid w:val="001F5C4E"/>
    <w:rsid w:val="001F6A38"/>
    <w:rsid w:val="001F78EA"/>
    <w:rsid w:val="001F7A00"/>
    <w:rsid w:val="00200E71"/>
    <w:rsid w:val="0020288D"/>
    <w:rsid w:val="002041E9"/>
    <w:rsid w:val="00204822"/>
    <w:rsid w:val="002076CA"/>
    <w:rsid w:val="00207D1F"/>
    <w:rsid w:val="002120A0"/>
    <w:rsid w:val="00213CCB"/>
    <w:rsid w:val="002172D8"/>
    <w:rsid w:val="00221163"/>
    <w:rsid w:val="002255DB"/>
    <w:rsid w:val="00225ADD"/>
    <w:rsid w:val="002320C0"/>
    <w:rsid w:val="002347E3"/>
    <w:rsid w:val="00235D63"/>
    <w:rsid w:val="00236EF8"/>
    <w:rsid w:val="00241742"/>
    <w:rsid w:val="00244862"/>
    <w:rsid w:val="00245C86"/>
    <w:rsid w:val="002506E8"/>
    <w:rsid w:val="00250AB4"/>
    <w:rsid w:val="00250FE9"/>
    <w:rsid w:val="00251606"/>
    <w:rsid w:val="002522FF"/>
    <w:rsid w:val="00252621"/>
    <w:rsid w:val="00252EB2"/>
    <w:rsid w:val="00252F87"/>
    <w:rsid w:val="00253048"/>
    <w:rsid w:val="002556A0"/>
    <w:rsid w:val="00260B3F"/>
    <w:rsid w:val="00262368"/>
    <w:rsid w:val="00265E19"/>
    <w:rsid w:val="00272048"/>
    <w:rsid w:val="00273952"/>
    <w:rsid w:val="00277109"/>
    <w:rsid w:val="00277D34"/>
    <w:rsid w:val="00282112"/>
    <w:rsid w:val="00283094"/>
    <w:rsid w:val="00284140"/>
    <w:rsid w:val="00284423"/>
    <w:rsid w:val="00293390"/>
    <w:rsid w:val="00293C67"/>
    <w:rsid w:val="00293F9F"/>
    <w:rsid w:val="0029403D"/>
    <w:rsid w:val="00294591"/>
    <w:rsid w:val="002A1AB0"/>
    <w:rsid w:val="002A1DEB"/>
    <w:rsid w:val="002A2203"/>
    <w:rsid w:val="002A2990"/>
    <w:rsid w:val="002A3F68"/>
    <w:rsid w:val="002B0FA9"/>
    <w:rsid w:val="002B19C7"/>
    <w:rsid w:val="002B31B1"/>
    <w:rsid w:val="002B3AF9"/>
    <w:rsid w:val="002B4072"/>
    <w:rsid w:val="002B65D5"/>
    <w:rsid w:val="002C07D3"/>
    <w:rsid w:val="002C2BCA"/>
    <w:rsid w:val="002C30C7"/>
    <w:rsid w:val="002C4067"/>
    <w:rsid w:val="002C4DDD"/>
    <w:rsid w:val="002C6493"/>
    <w:rsid w:val="002C6623"/>
    <w:rsid w:val="002C7BCF"/>
    <w:rsid w:val="002D4FFB"/>
    <w:rsid w:val="002D6C9F"/>
    <w:rsid w:val="002D7089"/>
    <w:rsid w:val="002E308F"/>
    <w:rsid w:val="002E75C9"/>
    <w:rsid w:val="002F051B"/>
    <w:rsid w:val="002F08B9"/>
    <w:rsid w:val="002F0B0B"/>
    <w:rsid w:val="002F1EBB"/>
    <w:rsid w:val="002F2B8F"/>
    <w:rsid w:val="002F7190"/>
    <w:rsid w:val="002F74A7"/>
    <w:rsid w:val="002F7B1A"/>
    <w:rsid w:val="00301684"/>
    <w:rsid w:val="0030213D"/>
    <w:rsid w:val="00302F5B"/>
    <w:rsid w:val="00303EB7"/>
    <w:rsid w:val="00304B53"/>
    <w:rsid w:val="00312E16"/>
    <w:rsid w:val="00315441"/>
    <w:rsid w:val="003159D0"/>
    <w:rsid w:val="0031610B"/>
    <w:rsid w:val="003174C9"/>
    <w:rsid w:val="00317AFB"/>
    <w:rsid w:val="00317CEA"/>
    <w:rsid w:val="00320DCA"/>
    <w:rsid w:val="00321EAB"/>
    <w:rsid w:val="00322F68"/>
    <w:rsid w:val="00323532"/>
    <w:rsid w:val="00323B54"/>
    <w:rsid w:val="00323ED3"/>
    <w:rsid w:val="0032723F"/>
    <w:rsid w:val="00327B27"/>
    <w:rsid w:val="003314DB"/>
    <w:rsid w:val="00333EE5"/>
    <w:rsid w:val="00333FEC"/>
    <w:rsid w:val="00334A50"/>
    <w:rsid w:val="0033786C"/>
    <w:rsid w:val="00337DC7"/>
    <w:rsid w:val="003537E0"/>
    <w:rsid w:val="003540F1"/>
    <w:rsid w:val="00354F55"/>
    <w:rsid w:val="00356424"/>
    <w:rsid w:val="0035713F"/>
    <w:rsid w:val="00360838"/>
    <w:rsid w:val="003612A2"/>
    <w:rsid w:val="00363FCF"/>
    <w:rsid w:val="0036572C"/>
    <w:rsid w:val="00370461"/>
    <w:rsid w:val="00371DEE"/>
    <w:rsid w:val="0037292C"/>
    <w:rsid w:val="00373136"/>
    <w:rsid w:val="00373B2A"/>
    <w:rsid w:val="00373BA3"/>
    <w:rsid w:val="00374714"/>
    <w:rsid w:val="003772D1"/>
    <w:rsid w:val="00380AC6"/>
    <w:rsid w:val="003836F9"/>
    <w:rsid w:val="00383E7A"/>
    <w:rsid w:val="003915B3"/>
    <w:rsid w:val="003916F1"/>
    <w:rsid w:val="00393DA2"/>
    <w:rsid w:val="003955B3"/>
    <w:rsid w:val="00395C96"/>
    <w:rsid w:val="00396294"/>
    <w:rsid w:val="003963D9"/>
    <w:rsid w:val="003A59CE"/>
    <w:rsid w:val="003A5CF6"/>
    <w:rsid w:val="003A7A43"/>
    <w:rsid w:val="003B0446"/>
    <w:rsid w:val="003B459D"/>
    <w:rsid w:val="003B4B66"/>
    <w:rsid w:val="003B4BDE"/>
    <w:rsid w:val="003B7530"/>
    <w:rsid w:val="003B7F41"/>
    <w:rsid w:val="003C087A"/>
    <w:rsid w:val="003C0E89"/>
    <w:rsid w:val="003C1C5A"/>
    <w:rsid w:val="003C1EBD"/>
    <w:rsid w:val="003C2566"/>
    <w:rsid w:val="003C2744"/>
    <w:rsid w:val="003C35F6"/>
    <w:rsid w:val="003C3FBC"/>
    <w:rsid w:val="003C5C11"/>
    <w:rsid w:val="003C7912"/>
    <w:rsid w:val="003D2AB9"/>
    <w:rsid w:val="003D2B75"/>
    <w:rsid w:val="003D4059"/>
    <w:rsid w:val="003D6BEE"/>
    <w:rsid w:val="003E118D"/>
    <w:rsid w:val="003E1471"/>
    <w:rsid w:val="003E26B1"/>
    <w:rsid w:val="003E46AB"/>
    <w:rsid w:val="003E489F"/>
    <w:rsid w:val="003F09B0"/>
    <w:rsid w:val="003F2698"/>
    <w:rsid w:val="003F450F"/>
    <w:rsid w:val="003F5AE1"/>
    <w:rsid w:val="00400A35"/>
    <w:rsid w:val="00402E04"/>
    <w:rsid w:val="00407A12"/>
    <w:rsid w:val="00413496"/>
    <w:rsid w:val="004142A3"/>
    <w:rsid w:val="00414321"/>
    <w:rsid w:val="00414526"/>
    <w:rsid w:val="004149F6"/>
    <w:rsid w:val="00416E3D"/>
    <w:rsid w:val="00417309"/>
    <w:rsid w:val="004209BA"/>
    <w:rsid w:val="00421828"/>
    <w:rsid w:val="004233A1"/>
    <w:rsid w:val="004234D1"/>
    <w:rsid w:val="00423EAE"/>
    <w:rsid w:val="00424E2E"/>
    <w:rsid w:val="00424EE9"/>
    <w:rsid w:val="00425C25"/>
    <w:rsid w:val="00426520"/>
    <w:rsid w:val="00432FBB"/>
    <w:rsid w:val="0043381E"/>
    <w:rsid w:val="0043496E"/>
    <w:rsid w:val="004366A8"/>
    <w:rsid w:val="004400EB"/>
    <w:rsid w:val="0044120A"/>
    <w:rsid w:val="00441646"/>
    <w:rsid w:val="00442717"/>
    <w:rsid w:val="00444FF1"/>
    <w:rsid w:val="00445FCA"/>
    <w:rsid w:val="00446680"/>
    <w:rsid w:val="004475FC"/>
    <w:rsid w:val="00450547"/>
    <w:rsid w:val="004514E6"/>
    <w:rsid w:val="0045325C"/>
    <w:rsid w:val="00454125"/>
    <w:rsid w:val="00461A1D"/>
    <w:rsid w:val="00461DFA"/>
    <w:rsid w:val="00463A23"/>
    <w:rsid w:val="00464458"/>
    <w:rsid w:val="0046445E"/>
    <w:rsid w:val="004648E6"/>
    <w:rsid w:val="0046579F"/>
    <w:rsid w:val="00466409"/>
    <w:rsid w:val="004676F0"/>
    <w:rsid w:val="00470C9E"/>
    <w:rsid w:val="00471408"/>
    <w:rsid w:val="0047160F"/>
    <w:rsid w:val="00473E52"/>
    <w:rsid w:val="00477A30"/>
    <w:rsid w:val="004835AF"/>
    <w:rsid w:val="00484066"/>
    <w:rsid w:val="00486356"/>
    <w:rsid w:val="004907CB"/>
    <w:rsid w:val="004918BD"/>
    <w:rsid w:val="0049338D"/>
    <w:rsid w:val="00494330"/>
    <w:rsid w:val="0049575D"/>
    <w:rsid w:val="004A0F89"/>
    <w:rsid w:val="004A3E9A"/>
    <w:rsid w:val="004A57A9"/>
    <w:rsid w:val="004A5816"/>
    <w:rsid w:val="004A581A"/>
    <w:rsid w:val="004A6D50"/>
    <w:rsid w:val="004B138E"/>
    <w:rsid w:val="004B2227"/>
    <w:rsid w:val="004B2319"/>
    <w:rsid w:val="004B35EC"/>
    <w:rsid w:val="004B78E9"/>
    <w:rsid w:val="004C03F3"/>
    <w:rsid w:val="004C066A"/>
    <w:rsid w:val="004C115C"/>
    <w:rsid w:val="004C3492"/>
    <w:rsid w:val="004C4296"/>
    <w:rsid w:val="004C5805"/>
    <w:rsid w:val="004D0AA8"/>
    <w:rsid w:val="004D3E2A"/>
    <w:rsid w:val="004E31BD"/>
    <w:rsid w:val="004E498D"/>
    <w:rsid w:val="004E4C71"/>
    <w:rsid w:val="004E61DC"/>
    <w:rsid w:val="004E75D6"/>
    <w:rsid w:val="004F116D"/>
    <w:rsid w:val="004F1952"/>
    <w:rsid w:val="004F21A5"/>
    <w:rsid w:val="004F21B6"/>
    <w:rsid w:val="004F5351"/>
    <w:rsid w:val="004F56A9"/>
    <w:rsid w:val="004F6D63"/>
    <w:rsid w:val="004F6F44"/>
    <w:rsid w:val="004F7067"/>
    <w:rsid w:val="004F76CD"/>
    <w:rsid w:val="005000AE"/>
    <w:rsid w:val="00500A55"/>
    <w:rsid w:val="00500F13"/>
    <w:rsid w:val="005073FB"/>
    <w:rsid w:val="005115A3"/>
    <w:rsid w:val="00511C55"/>
    <w:rsid w:val="00511F17"/>
    <w:rsid w:val="0051206F"/>
    <w:rsid w:val="00512265"/>
    <w:rsid w:val="00512D41"/>
    <w:rsid w:val="00513CCA"/>
    <w:rsid w:val="00514684"/>
    <w:rsid w:val="005149CE"/>
    <w:rsid w:val="0052389F"/>
    <w:rsid w:val="00532517"/>
    <w:rsid w:val="0053451C"/>
    <w:rsid w:val="0053540E"/>
    <w:rsid w:val="0054220E"/>
    <w:rsid w:val="00544B64"/>
    <w:rsid w:val="005511FF"/>
    <w:rsid w:val="005533A3"/>
    <w:rsid w:val="00553B74"/>
    <w:rsid w:val="005563E5"/>
    <w:rsid w:val="00556859"/>
    <w:rsid w:val="00557D04"/>
    <w:rsid w:val="00561357"/>
    <w:rsid w:val="005622EC"/>
    <w:rsid w:val="0056364F"/>
    <w:rsid w:val="00563AB2"/>
    <w:rsid w:val="00564627"/>
    <w:rsid w:val="00564777"/>
    <w:rsid w:val="005649E4"/>
    <w:rsid w:val="00567275"/>
    <w:rsid w:val="00571435"/>
    <w:rsid w:val="00572287"/>
    <w:rsid w:val="00572889"/>
    <w:rsid w:val="005728D3"/>
    <w:rsid w:val="00573D45"/>
    <w:rsid w:val="00576D53"/>
    <w:rsid w:val="00582955"/>
    <w:rsid w:val="00585D7E"/>
    <w:rsid w:val="00586A6A"/>
    <w:rsid w:val="00591023"/>
    <w:rsid w:val="005918CE"/>
    <w:rsid w:val="005919E8"/>
    <w:rsid w:val="005936ED"/>
    <w:rsid w:val="00594AC0"/>
    <w:rsid w:val="00595B06"/>
    <w:rsid w:val="00595DC7"/>
    <w:rsid w:val="005A0AED"/>
    <w:rsid w:val="005A1C7A"/>
    <w:rsid w:val="005A265C"/>
    <w:rsid w:val="005A4C65"/>
    <w:rsid w:val="005A62F7"/>
    <w:rsid w:val="005A6743"/>
    <w:rsid w:val="005A7714"/>
    <w:rsid w:val="005A77BE"/>
    <w:rsid w:val="005A7D69"/>
    <w:rsid w:val="005B0238"/>
    <w:rsid w:val="005B4A18"/>
    <w:rsid w:val="005B5DC3"/>
    <w:rsid w:val="005B61F5"/>
    <w:rsid w:val="005C1597"/>
    <w:rsid w:val="005C174F"/>
    <w:rsid w:val="005C1EC8"/>
    <w:rsid w:val="005C262D"/>
    <w:rsid w:val="005C4B6A"/>
    <w:rsid w:val="005C5D68"/>
    <w:rsid w:val="005D13A6"/>
    <w:rsid w:val="005D3272"/>
    <w:rsid w:val="005D5D42"/>
    <w:rsid w:val="005E07E8"/>
    <w:rsid w:val="005E2372"/>
    <w:rsid w:val="005E24DC"/>
    <w:rsid w:val="005E57F4"/>
    <w:rsid w:val="005E682E"/>
    <w:rsid w:val="005E7950"/>
    <w:rsid w:val="005E7DFC"/>
    <w:rsid w:val="005F5299"/>
    <w:rsid w:val="005F6F0B"/>
    <w:rsid w:val="00600F1C"/>
    <w:rsid w:val="0060194A"/>
    <w:rsid w:val="006026A6"/>
    <w:rsid w:val="00602C1E"/>
    <w:rsid w:val="006060F9"/>
    <w:rsid w:val="006062F5"/>
    <w:rsid w:val="00610B22"/>
    <w:rsid w:val="00611725"/>
    <w:rsid w:val="0061526A"/>
    <w:rsid w:val="00616BCD"/>
    <w:rsid w:val="006176C1"/>
    <w:rsid w:val="00620D9E"/>
    <w:rsid w:val="00622628"/>
    <w:rsid w:val="006239C2"/>
    <w:rsid w:val="006246D1"/>
    <w:rsid w:val="006252B4"/>
    <w:rsid w:val="0063391E"/>
    <w:rsid w:val="00633980"/>
    <w:rsid w:val="00634E66"/>
    <w:rsid w:val="00635672"/>
    <w:rsid w:val="00640360"/>
    <w:rsid w:val="00640EBD"/>
    <w:rsid w:val="006432D2"/>
    <w:rsid w:val="0064758B"/>
    <w:rsid w:val="006511FA"/>
    <w:rsid w:val="006521E9"/>
    <w:rsid w:val="00653013"/>
    <w:rsid w:val="0065338F"/>
    <w:rsid w:val="00655418"/>
    <w:rsid w:val="00655EF4"/>
    <w:rsid w:val="006565CE"/>
    <w:rsid w:val="00657375"/>
    <w:rsid w:val="00660112"/>
    <w:rsid w:val="00661AA5"/>
    <w:rsid w:val="0066260D"/>
    <w:rsid w:val="00662B73"/>
    <w:rsid w:val="0066543C"/>
    <w:rsid w:val="006656DF"/>
    <w:rsid w:val="00666A55"/>
    <w:rsid w:val="00671FB9"/>
    <w:rsid w:val="006720E6"/>
    <w:rsid w:val="006745E6"/>
    <w:rsid w:val="0068130C"/>
    <w:rsid w:val="0068354A"/>
    <w:rsid w:val="0068429B"/>
    <w:rsid w:val="006872B3"/>
    <w:rsid w:val="00687C88"/>
    <w:rsid w:val="0069475F"/>
    <w:rsid w:val="006A0573"/>
    <w:rsid w:val="006A08C5"/>
    <w:rsid w:val="006A0A3F"/>
    <w:rsid w:val="006A114E"/>
    <w:rsid w:val="006A239A"/>
    <w:rsid w:val="006A427F"/>
    <w:rsid w:val="006A4AE5"/>
    <w:rsid w:val="006A4E1E"/>
    <w:rsid w:val="006A6D1D"/>
    <w:rsid w:val="006A7946"/>
    <w:rsid w:val="006B120F"/>
    <w:rsid w:val="006B7091"/>
    <w:rsid w:val="006C16CF"/>
    <w:rsid w:val="006C252E"/>
    <w:rsid w:val="006C3C1E"/>
    <w:rsid w:val="006C4223"/>
    <w:rsid w:val="006C5637"/>
    <w:rsid w:val="006C577C"/>
    <w:rsid w:val="006C5B6A"/>
    <w:rsid w:val="006C5E46"/>
    <w:rsid w:val="006D0AAE"/>
    <w:rsid w:val="006D0B66"/>
    <w:rsid w:val="006D11B2"/>
    <w:rsid w:val="006D14B0"/>
    <w:rsid w:val="006D2C16"/>
    <w:rsid w:val="006D3AFF"/>
    <w:rsid w:val="006D45B3"/>
    <w:rsid w:val="006D4658"/>
    <w:rsid w:val="006D4EF7"/>
    <w:rsid w:val="006D5E98"/>
    <w:rsid w:val="006D6597"/>
    <w:rsid w:val="006D6B9D"/>
    <w:rsid w:val="006D710D"/>
    <w:rsid w:val="006D7C7A"/>
    <w:rsid w:val="006E031E"/>
    <w:rsid w:val="006E0D4F"/>
    <w:rsid w:val="006E1A9A"/>
    <w:rsid w:val="006E5FCA"/>
    <w:rsid w:val="006E73E7"/>
    <w:rsid w:val="006E7BDA"/>
    <w:rsid w:val="006F3967"/>
    <w:rsid w:val="006F3D08"/>
    <w:rsid w:val="006F415E"/>
    <w:rsid w:val="006F5797"/>
    <w:rsid w:val="006F5B11"/>
    <w:rsid w:val="00700136"/>
    <w:rsid w:val="00701AA0"/>
    <w:rsid w:val="007054D8"/>
    <w:rsid w:val="00705F65"/>
    <w:rsid w:val="00712961"/>
    <w:rsid w:val="00712E69"/>
    <w:rsid w:val="007160F7"/>
    <w:rsid w:val="00716934"/>
    <w:rsid w:val="007203E0"/>
    <w:rsid w:val="00721FB1"/>
    <w:rsid w:val="00723483"/>
    <w:rsid w:val="00724628"/>
    <w:rsid w:val="0072489D"/>
    <w:rsid w:val="00727217"/>
    <w:rsid w:val="00732153"/>
    <w:rsid w:val="00732183"/>
    <w:rsid w:val="00732C5D"/>
    <w:rsid w:val="007331B9"/>
    <w:rsid w:val="007335DB"/>
    <w:rsid w:val="00735665"/>
    <w:rsid w:val="007378A0"/>
    <w:rsid w:val="007409A3"/>
    <w:rsid w:val="00754F95"/>
    <w:rsid w:val="00755238"/>
    <w:rsid w:val="00755F6B"/>
    <w:rsid w:val="007571B1"/>
    <w:rsid w:val="007610C9"/>
    <w:rsid w:val="00762491"/>
    <w:rsid w:val="0076293E"/>
    <w:rsid w:val="0076331C"/>
    <w:rsid w:val="00766712"/>
    <w:rsid w:val="00767C22"/>
    <w:rsid w:val="00774630"/>
    <w:rsid w:val="007803C9"/>
    <w:rsid w:val="007832F0"/>
    <w:rsid w:val="00783A61"/>
    <w:rsid w:val="00786296"/>
    <w:rsid w:val="00786F0A"/>
    <w:rsid w:val="00787371"/>
    <w:rsid w:val="00787520"/>
    <w:rsid w:val="00791FF8"/>
    <w:rsid w:val="00792C51"/>
    <w:rsid w:val="007934C0"/>
    <w:rsid w:val="007A0CEE"/>
    <w:rsid w:val="007A1FFE"/>
    <w:rsid w:val="007A2495"/>
    <w:rsid w:val="007A2E3D"/>
    <w:rsid w:val="007A7683"/>
    <w:rsid w:val="007B16B1"/>
    <w:rsid w:val="007B26E1"/>
    <w:rsid w:val="007B2DDE"/>
    <w:rsid w:val="007B3644"/>
    <w:rsid w:val="007B45BB"/>
    <w:rsid w:val="007B548A"/>
    <w:rsid w:val="007B75F2"/>
    <w:rsid w:val="007C05D3"/>
    <w:rsid w:val="007C69C8"/>
    <w:rsid w:val="007D015E"/>
    <w:rsid w:val="007D2E6F"/>
    <w:rsid w:val="007D6EB9"/>
    <w:rsid w:val="007E116F"/>
    <w:rsid w:val="007E1D2C"/>
    <w:rsid w:val="007E2A45"/>
    <w:rsid w:val="007E50C6"/>
    <w:rsid w:val="007E59CF"/>
    <w:rsid w:val="007E66DC"/>
    <w:rsid w:val="007E7237"/>
    <w:rsid w:val="007E7EC8"/>
    <w:rsid w:val="007F1B8D"/>
    <w:rsid w:val="007F4B51"/>
    <w:rsid w:val="007F71D0"/>
    <w:rsid w:val="0080113C"/>
    <w:rsid w:val="00801673"/>
    <w:rsid w:val="00802EBB"/>
    <w:rsid w:val="00803D8F"/>
    <w:rsid w:val="00804625"/>
    <w:rsid w:val="00806A13"/>
    <w:rsid w:val="008107BB"/>
    <w:rsid w:val="00810C95"/>
    <w:rsid w:val="008110CE"/>
    <w:rsid w:val="008132AD"/>
    <w:rsid w:val="008139C3"/>
    <w:rsid w:val="00814092"/>
    <w:rsid w:val="00816B4C"/>
    <w:rsid w:val="00820C54"/>
    <w:rsid w:val="0083141D"/>
    <w:rsid w:val="00831CDE"/>
    <w:rsid w:val="00831D26"/>
    <w:rsid w:val="008359D6"/>
    <w:rsid w:val="00842E87"/>
    <w:rsid w:val="0084372B"/>
    <w:rsid w:val="00843817"/>
    <w:rsid w:val="00847497"/>
    <w:rsid w:val="00847D59"/>
    <w:rsid w:val="00853539"/>
    <w:rsid w:val="00854C42"/>
    <w:rsid w:val="00855201"/>
    <w:rsid w:val="00860132"/>
    <w:rsid w:val="008611FE"/>
    <w:rsid w:val="008634F0"/>
    <w:rsid w:val="00863BE4"/>
    <w:rsid w:val="00863C70"/>
    <w:rsid w:val="00863CD6"/>
    <w:rsid w:val="00876D80"/>
    <w:rsid w:val="00877002"/>
    <w:rsid w:val="00880178"/>
    <w:rsid w:val="00884AE1"/>
    <w:rsid w:val="00885053"/>
    <w:rsid w:val="008864D9"/>
    <w:rsid w:val="008902F4"/>
    <w:rsid w:val="00891164"/>
    <w:rsid w:val="00891450"/>
    <w:rsid w:val="0089279C"/>
    <w:rsid w:val="00895F58"/>
    <w:rsid w:val="008A0DDB"/>
    <w:rsid w:val="008A1460"/>
    <w:rsid w:val="008A4DCA"/>
    <w:rsid w:val="008A5F31"/>
    <w:rsid w:val="008A602A"/>
    <w:rsid w:val="008B294D"/>
    <w:rsid w:val="008B30C1"/>
    <w:rsid w:val="008B47E2"/>
    <w:rsid w:val="008B6CAC"/>
    <w:rsid w:val="008C5A3D"/>
    <w:rsid w:val="008C7970"/>
    <w:rsid w:val="008D004F"/>
    <w:rsid w:val="008D0B35"/>
    <w:rsid w:val="008D49BF"/>
    <w:rsid w:val="008D5F4B"/>
    <w:rsid w:val="008E08D4"/>
    <w:rsid w:val="008E2DF9"/>
    <w:rsid w:val="008E504B"/>
    <w:rsid w:val="008E54B9"/>
    <w:rsid w:val="008E5EDD"/>
    <w:rsid w:val="008E6173"/>
    <w:rsid w:val="008E7170"/>
    <w:rsid w:val="008F0DB9"/>
    <w:rsid w:val="008F0F4E"/>
    <w:rsid w:val="008F6289"/>
    <w:rsid w:val="00904FF1"/>
    <w:rsid w:val="009068AE"/>
    <w:rsid w:val="00912A65"/>
    <w:rsid w:val="00913153"/>
    <w:rsid w:val="00914CEA"/>
    <w:rsid w:val="009158C0"/>
    <w:rsid w:val="00915D1A"/>
    <w:rsid w:val="0091655B"/>
    <w:rsid w:val="0092320B"/>
    <w:rsid w:val="0092403F"/>
    <w:rsid w:val="00924D41"/>
    <w:rsid w:val="009268F7"/>
    <w:rsid w:val="00931F64"/>
    <w:rsid w:val="0093518C"/>
    <w:rsid w:val="00936195"/>
    <w:rsid w:val="00940BC4"/>
    <w:rsid w:val="00940E1E"/>
    <w:rsid w:val="0094112D"/>
    <w:rsid w:val="00942312"/>
    <w:rsid w:val="00945E09"/>
    <w:rsid w:val="00946355"/>
    <w:rsid w:val="00946A6C"/>
    <w:rsid w:val="00950F5F"/>
    <w:rsid w:val="00951344"/>
    <w:rsid w:val="009530B6"/>
    <w:rsid w:val="00956E2D"/>
    <w:rsid w:val="009619F4"/>
    <w:rsid w:val="009623E2"/>
    <w:rsid w:val="00963AAC"/>
    <w:rsid w:val="00963CB0"/>
    <w:rsid w:val="00964017"/>
    <w:rsid w:val="009642D3"/>
    <w:rsid w:val="00967F70"/>
    <w:rsid w:val="009704B3"/>
    <w:rsid w:val="00972009"/>
    <w:rsid w:val="00972ECE"/>
    <w:rsid w:val="00973D94"/>
    <w:rsid w:val="00975307"/>
    <w:rsid w:val="009759D7"/>
    <w:rsid w:val="009760C1"/>
    <w:rsid w:val="00977AB3"/>
    <w:rsid w:val="00981DDB"/>
    <w:rsid w:val="00981FAB"/>
    <w:rsid w:val="009826D7"/>
    <w:rsid w:val="00986675"/>
    <w:rsid w:val="00987274"/>
    <w:rsid w:val="00987EDC"/>
    <w:rsid w:val="00991537"/>
    <w:rsid w:val="00991DF8"/>
    <w:rsid w:val="00992946"/>
    <w:rsid w:val="00993482"/>
    <w:rsid w:val="009935AF"/>
    <w:rsid w:val="009952F2"/>
    <w:rsid w:val="00995406"/>
    <w:rsid w:val="00997CE8"/>
    <w:rsid w:val="009A0518"/>
    <w:rsid w:val="009A0CDA"/>
    <w:rsid w:val="009A20AB"/>
    <w:rsid w:val="009A2758"/>
    <w:rsid w:val="009A55F5"/>
    <w:rsid w:val="009B0B48"/>
    <w:rsid w:val="009B0D89"/>
    <w:rsid w:val="009B417A"/>
    <w:rsid w:val="009B4FD6"/>
    <w:rsid w:val="009B7AE9"/>
    <w:rsid w:val="009C2127"/>
    <w:rsid w:val="009C397A"/>
    <w:rsid w:val="009C63A2"/>
    <w:rsid w:val="009C6649"/>
    <w:rsid w:val="009C76A4"/>
    <w:rsid w:val="009C7942"/>
    <w:rsid w:val="009C7C32"/>
    <w:rsid w:val="009D0C9B"/>
    <w:rsid w:val="009D0FD5"/>
    <w:rsid w:val="009D1B25"/>
    <w:rsid w:val="009D200F"/>
    <w:rsid w:val="009D457E"/>
    <w:rsid w:val="009D7F2A"/>
    <w:rsid w:val="009E1168"/>
    <w:rsid w:val="009E1A56"/>
    <w:rsid w:val="009E659F"/>
    <w:rsid w:val="009E710A"/>
    <w:rsid w:val="009F4E8E"/>
    <w:rsid w:val="009F5350"/>
    <w:rsid w:val="009F5DE3"/>
    <w:rsid w:val="009F7802"/>
    <w:rsid w:val="009F7E54"/>
    <w:rsid w:val="00A015FF"/>
    <w:rsid w:val="00A01636"/>
    <w:rsid w:val="00A0370E"/>
    <w:rsid w:val="00A046DE"/>
    <w:rsid w:val="00A04988"/>
    <w:rsid w:val="00A0590B"/>
    <w:rsid w:val="00A07B17"/>
    <w:rsid w:val="00A07F37"/>
    <w:rsid w:val="00A07F99"/>
    <w:rsid w:val="00A10AF1"/>
    <w:rsid w:val="00A11EE4"/>
    <w:rsid w:val="00A12A53"/>
    <w:rsid w:val="00A133A7"/>
    <w:rsid w:val="00A16288"/>
    <w:rsid w:val="00A173E6"/>
    <w:rsid w:val="00A20F95"/>
    <w:rsid w:val="00A2524E"/>
    <w:rsid w:val="00A261A9"/>
    <w:rsid w:val="00A265D4"/>
    <w:rsid w:val="00A269DF"/>
    <w:rsid w:val="00A27447"/>
    <w:rsid w:val="00A31529"/>
    <w:rsid w:val="00A32C75"/>
    <w:rsid w:val="00A32EC4"/>
    <w:rsid w:val="00A379BC"/>
    <w:rsid w:val="00A410CC"/>
    <w:rsid w:val="00A43865"/>
    <w:rsid w:val="00A4420A"/>
    <w:rsid w:val="00A44CF2"/>
    <w:rsid w:val="00A46034"/>
    <w:rsid w:val="00A467FC"/>
    <w:rsid w:val="00A47234"/>
    <w:rsid w:val="00A51B24"/>
    <w:rsid w:val="00A54071"/>
    <w:rsid w:val="00A5506A"/>
    <w:rsid w:val="00A56A9F"/>
    <w:rsid w:val="00A60001"/>
    <w:rsid w:val="00A633E3"/>
    <w:rsid w:val="00A63DD8"/>
    <w:rsid w:val="00A6536D"/>
    <w:rsid w:val="00A65451"/>
    <w:rsid w:val="00A65E6B"/>
    <w:rsid w:val="00A65F20"/>
    <w:rsid w:val="00A67D69"/>
    <w:rsid w:val="00A700F1"/>
    <w:rsid w:val="00A72422"/>
    <w:rsid w:val="00A724D7"/>
    <w:rsid w:val="00A742FB"/>
    <w:rsid w:val="00A74CE9"/>
    <w:rsid w:val="00A74EEB"/>
    <w:rsid w:val="00A75DE6"/>
    <w:rsid w:val="00A777A0"/>
    <w:rsid w:val="00A805EE"/>
    <w:rsid w:val="00A8228A"/>
    <w:rsid w:val="00A82D54"/>
    <w:rsid w:val="00A9011E"/>
    <w:rsid w:val="00A9080B"/>
    <w:rsid w:val="00A96288"/>
    <w:rsid w:val="00A9653E"/>
    <w:rsid w:val="00AA10B7"/>
    <w:rsid w:val="00AA2F4F"/>
    <w:rsid w:val="00AA491E"/>
    <w:rsid w:val="00AA51B2"/>
    <w:rsid w:val="00AA5822"/>
    <w:rsid w:val="00AA67C4"/>
    <w:rsid w:val="00AA6C77"/>
    <w:rsid w:val="00AB377C"/>
    <w:rsid w:val="00AB68AE"/>
    <w:rsid w:val="00AC0945"/>
    <w:rsid w:val="00AC0AE1"/>
    <w:rsid w:val="00AC2891"/>
    <w:rsid w:val="00AC6678"/>
    <w:rsid w:val="00AD0839"/>
    <w:rsid w:val="00AD417F"/>
    <w:rsid w:val="00AD449E"/>
    <w:rsid w:val="00AD6187"/>
    <w:rsid w:val="00AD641E"/>
    <w:rsid w:val="00AD64E7"/>
    <w:rsid w:val="00AD7B78"/>
    <w:rsid w:val="00AE1063"/>
    <w:rsid w:val="00AE1CD0"/>
    <w:rsid w:val="00AE2E1D"/>
    <w:rsid w:val="00AE5282"/>
    <w:rsid w:val="00AE6F14"/>
    <w:rsid w:val="00AE76FC"/>
    <w:rsid w:val="00AF161B"/>
    <w:rsid w:val="00AF38CF"/>
    <w:rsid w:val="00AF3DEA"/>
    <w:rsid w:val="00AF49AF"/>
    <w:rsid w:val="00AF4CD8"/>
    <w:rsid w:val="00AF72AC"/>
    <w:rsid w:val="00B00031"/>
    <w:rsid w:val="00B001F5"/>
    <w:rsid w:val="00B026D3"/>
    <w:rsid w:val="00B031B7"/>
    <w:rsid w:val="00B05972"/>
    <w:rsid w:val="00B06468"/>
    <w:rsid w:val="00B0759A"/>
    <w:rsid w:val="00B12EF4"/>
    <w:rsid w:val="00B13C39"/>
    <w:rsid w:val="00B1494D"/>
    <w:rsid w:val="00B14E13"/>
    <w:rsid w:val="00B22FBF"/>
    <w:rsid w:val="00B2624B"/>
    <w:rsid w:val="00B27696"/>
    <w:rsid w:val="00B279EB"/>
    <w:rsid w:val="00B31760"/>
    <w:rsid w:val="00B34781"/>
    <w:rsid w:val="00B37F8B"/>
    <w:rsid w:val="00B4186E"/>
    <w:rsid w:val="00B43FB1"/>
    <w:rsid w:val="00B474BB"/>
    <w:rsid w:val="00B57E9B"/>
    <w:rsid w:val="00B61146"/>
    <w:rsid w:val="00B6232E"/>
    <w:rsid w:val="00B63D78"/>
    <w:rsid w:val="00B67378"/>
    <w:rsid w:val="00B67DB1"/>
    <w:rsid w:val="00B74EB9"/>
    <w:rsid w:val="00B76651"/>
    <w:rsid w:val="00B76C58"/>
    <w:rsid w:val="00B76D93"/>
    <w:rsid w:val="00B80AFB"/>
    <w:rsid w:val="00B81BF8"/>
    <w:rsid w:val="00B835A8"/>
    <w:rsid w:val="00B83D28"/>
    <w:rsid w:val="00B84E22"/>
    <w:rsid w:val="00B85CA0"/>
    <w:rsid w:val="00B90152"/>
    <w:rsid w:val="00B92225"/>
    <w:rsid w:val="00B93C23"/>
    <w:rsid w:val="00B95B52"/>
    <w:rsid w:val="00B96C24"/>
    <w:rsid w:val="00BA033A"/>
    <w:rsid w:val="00BA20FB"/>
    <w:rsid w:val="00BB0C68"/>
    <w:rsid w:val="00BB1AFE"/>
    <w:rsid w:val="00BB1E42"/>
    <w:rsid w:val="00BB2DE9"/>
    <w:rsid w:val="00BB3292"/>
    <w:rsid w:val="00BB4182"/>
    <w:rsid w:val="00BB54ED"/>
    <w:rsid w:val="00BB5FF2"/>
    <w:rsid w:val="00BB65CA"/>
    <w:rsid w:val="00BB71C6"/>
    <w:rsid w:val="00BB7280"/>
    <w:rsid w:val="00BB7372"/>
    <w:rsid w:val="00BC3AA7"/>
    <w:rsid w:val="00BC3FA7"/>
    <w:rsid w:val="00BC4C73"/>
    <w:rsid w:val="00BC6A9A"/>
    <w:rsid w:val="00BD0E61"/>
    <w:rsid w:val="00BD29F5"/>
    <w:rsid w:val="00BD3902"/>
    <w:rsid w:val="00BD6372"/>
    <w:rsid w:val="00BE20C3"/>
    <w:rsid w:val="00BE2355"/>
    <w:rsid w:val="00BE2EED"/>
    <w:rsid w:val="00BE4746"/>
    <w:rsid w:val="00BE5C5D"/>
    <w:rsid w:val="00BF0068"/>
    <w:rsid w:val="00BF3507"/>
    <w:rsid w:val="00BF35CB"/>
    <w:rsid w:val="00BF7A61"/>
    <w:rsid w:val="00C02BCB"/>
    <w:rsid w:val="00C02C12"/>
    <w:rsid w:val="00C0521B"/>
    <w:rsid w:val="00C061E1"/>
    <w:rsid w:val="00C07275"/>
    <w:rsid w:val="00C077D7"/>
    <w:rsid w:val="00C112B4"/>
    <w:rsid w:val="00C13745"/>
    <w:rsid w:val="00C144A5"/>
    <w:rsid w:val="00C14B69"/>
    <w:rsid w:val="00C151D2"/>
    <w:rsid w:val="00C158EC"/>
    <w:rsid w:val="00C22893"/>
    <w:rsid w:val="00C23FAD"/>
    <w:rsid w:val="00C26E92"/>
    <w:rsid w:val="00C3092C"/>
    <w:rsid w:val="00C326D4"/>
    <w:rsid w:val="00C375FD"/>
    <w:rsid w:val="00C41000"/>
    <w:rsid w:val="00C43028"/>
    <w:rsid w:val="00C444B9"/>
    <w:rsid w:val="00C446FB"/>
    <w:rsid w:val="00C44708"/>
    <w:rsid w:val="00C47110"/>
    <w:rsid w:val="00C471C0"/>
    <w:rsid w:val="00C521A9"/>
    <w:rsid w:val="00C54959"/>
    <w:rsid w:val="00C54EF6"/>
    <w:rsid w:val="00C5527A"/>
    <w:rsid w:val="00C571CE"/>
    <w:rsid w:val="00C5755C"/>
    <w:rsid w:val="00C57C3E"/>
    <w:rsid w:val="00C57DB6"/>
    <w:rsid w:val="00C603FF"/>
    <w:rsid w:val="00C63CCF"/>
    <w:rsid w:val="00C65D75"/>
    <w:rsid w:val="00C67CC4"/>
    <w:rsid w:val="00C67EF2"/>
    <w:rsid w:val="00C67F8F"/>
    <w:rsid w:val="00C7028F"/>
    <w:rsid w:val="00C70768"/>
    <w:rsid w:val="00C70AA4"/>
    <w:rsid w:val="00C74A87"/>
    <w:rsid w:val="00C814B5"/>
    <w:rsid w:val="00C826EB"/>
    <w:rsid w:val="00C83007"/>
    <w:rsid w:val="00C8360A"/>
    <w:rsid w:val="00C84BF8"/>
    <w:rsid w:val="00C86AD3"/>
    <w:rsid w:val="00C903EA"/>
    <w:rsid w:val="00C905A2"/>
    <w:rsid w:val="00C9166D"/>
    <w:rsid w:val="00C9194B"/>
    <w:rsid w:val="00C93474"/>
    <w:rsid w:val="00C94860"/>
    <w:rsid w:val="00C95CEB"/>
    <w:rsid w:val="00CA0F97"/>
    <w:rsid w:val="00CA112C"/>
    <w:rsid w:val="00CA2684"/>
    <w:rsid w:val="00CA441D"/>
    <w:rsid w:val="00CA5D69"/>
    <w:rsid w:val="00CA702F"/>
    <w:rsid w:val="00CA7A79"/>
    <w:rsid w:val="00CB2FFD"/>
    <w:rsid w:val="00CB4B81"/>
    <w:rsid w:val="00CC0627"/>
    <w:rsid w:val="00CC10B1"/>
    <w:rsid w:val="00CC3CA8"/>
    <w:rsid w:val="00CC63AA"/>
    <w:rsid w:val="00CC6B1E"/>
    <w:rsid w:val="00CC71BF"/>
    <w:rsid w:val="00CD3C39"/>
    <w:rsid w:val="00CD3C6F"/>
    <w:rsid w:val="00CD3CA7"/>
    <w:rsid w:val="00CD4C11"/>
    <w:rsid w:val="00CD64EF"/>
    <w:rsid w:val="00CE00BF"/>
    <w:rsid w:val="00CE023C"/>
    <w:rsid w:val="00CE08A6"/>
    <w:rsid w:val="00CE1A0E"/>
    <w:rsid w:val="00CE2789"/>
    <w:rsid w:val="00CE2C5C"/>
    <w:rsid w:val="00CE3E43"/>
    <w:rsid w:val="00CE3E9A"/>
    <w:rsid w:val="00CE5E30"/>
    <w:rsid w:val="00CE7FCA"/>
    <w:rsid w:val="00CF02C0"/>
    <w:rsid w:val="00CF0B9A"/>
    <w:rsid w:val="00D00FF9"/>
    <w:rsid w:val="00D02419"/>
    <w:rsid w:val="00D0294B"/>
    <w:rsid w:val="00D069BA"/>
    <w:rsid w:val="00D12D4C"/>
    <w:rsid w:val="00D133A1"/>
    <w:rsid w:val="00D139AA"/>
    <w:rsid w:val="00D14F6F"/>
    <w:rsid w:val="00D1642A"/>
    <w:rsid w:val="00D16686"/>
    <w:rsid w:val="00D17143"/>
    <w:rsid w:val="00D1744A"/>
    <w:rsid w:val="00D2186D"/>
    <w:rsid w:val="00D22F97"/>
    <w:rsid w:val="00D25CDA"/>
    <w:rsid w:val="00D30878"/>
    <w:rsid w:val="00D36825"/>
    <w:rsid w:val="00D37234"/>
    <w:rsid w:val="00D40444"/>
    <w:rsid w:val="00D40F0A"/>
    <w:rsid w:val="00D41D72"/>
    <w:rsid w:val="00D42374"/>
    <w:rsid w:val="00D423D0"/>
    <w:rsid w:val="00D4255C"/>
    <w:rsid w:val="00D43B35"/>
    <w:rsid w:val="00D44442"/>
    <w:rsid w:val="00D44664"/>
    <w:rsid w:val="00D46BF0"/>
    <w:rsid w:val="00D47E46"/>
    <w:rsid w:val="00D5077E"/>
    <w:rsid w:val="00D51D5A"/>
    <w:rsid w:val="00D525ED"/>
    <w:rsid w:val="00D56E14"/>
    <w:rsid w:val="00D57A5E"/>
    <w:rsid w:val="00D60711"/>
    <w:rsid w:val="00D61031"/>
    <w:rsid w:val="00D63695"/>
    <w:rsid w:val="00D653AD"/>
    <w:rsid w:val="00D653EA"/>
    <w:rsid w:val="00D66171"/>
    <w:rsid w:val="00D66327"/>
    <w:rsid w:val="00D67F35"/>
    <w:rsid w:val="00D729BE"/>
    <w:rsid w:val="00D72F17"/>
    <w:rsid w:val="00D776E5"/>
    <w:rsid w:val="00D847E4"/>
    <w:rsid w:val="00D8505D"/>
    <w:rsid w:val="00D9020E"/>
    <w:rsid w:val="00D905E0"/>
    <w:rsid w:val="00D90C86"/>
    <w:rsid w:val="00D91AF9"/>
    <w:rsid w:val="00D92CFC"/>
    <w:rsid w:val="00D93E6E"/>
    <w:rsid w:val="00D95604"/>
    <w:rsid w:val="00D96ABA"/>
    <w:rsid w:val="00DA0716"/>
    <w:rsid w:val="00DA22FF"/>
    <w:rsid w:val="00DA230B"/>
    <w:rsid w:val="00DA2527"/>
    <w:rsid w:val="00DA29A5"/>
    <w:rsid w:val="00DA5EA7"/>
    <w:rsid w:val="00DA7111"/>
    <w:rsid w:val="00DB3371"/>
    <w:rsid w:val="00DB3BB5"/>
    <w:rsid w:val="00DB4E78"/>
    <w:rsid w:val="00DC0134"/>
    <w:rsid w:val="00DC3A15"/>
    <w:rsid w:val="00DC3F6B"/>
    <w:rsid w:val="00DC3FBF"/>
    <w:rsid w:val="00DC4C50"/>
    <w:rsid w:val="00DC5439"/>
    <w:rsid w:val="00DD07EC"/>
    <w:rsid w:val="00DD15C0"/>
    <w:rsid w:val="00DD5047"/>
    <w:rsid w:val="00DD5A8B"/>
    <w:rsid w:val="00DD6216"/>
    <w:rsid w:val="00DD6D35"/>
    <w:rsid w:val="00DE02B0"/>
    <w:rsid w:val="00DE1F94"/>
    <w:rsid w:val="00DE7064"/>
    <w:rsid w:val="00DE75ED"/>
    <w:rsid w:val="00DF1552"/>
    <w:rsid w:val="00DF1838"/>
    <w:rsid w:val="00DF2762"/>
    <w:rsid w:val="00DF43C5"/>
    <w:rsid w:val="00DF5078"/>
    <w:rsid w:val="00DF591C"/>
    <w:rsid w:val="00DF7011"/>
    <w:rsid w:val="00E021BB"/>
    <w:rsid w:val="00E0359D"/>
    <w:rsid w:val="00E05149"/>
    <w:rsid w:val="00E1037D"/>
    <w:rsid w:val="00E10481"/>
    <w:rsid w:val="00E104E1"/>
    <w:rsid w:val="00E1361E"/>
    <w:rsid w:val="00E156BA"/>
    <w:rsid w:val="00E1581E"/>
    <w:rsid w:val="00E16AB6"/>
    <w:rsid w:val="00E2308A"/>
    <w:rsid w:val="00E2420A"/>
    <w:rsid w:val="00E26684"/>
    <w:rsid w:val="00E26F69"/>
    <w:rsid w:val="00E33716"/>
    <w:rsid w:val="00E33A09"/>
    <w:rsid w:val="00E3403B"/>
    <w:rsid w:val="00E35050"/>
    <w:rsid w:val="00E3793A"/>
    <w:rsid w:val="00E43576"/>
    <w:rsid w:val="00E530A0"/>
    <w:rsid w:val="00E56B56"/>
    <w:rsid w:val="00E6230D"/>
    <w:rsid w:val="00E62EC4"/>
    <w:rsid w:val="00E655F7"/>
    <w:rsid w:val="00E66A03"/>
    <w:rsid w:val="00E66F80"/>
    <w:rsid w:val="00E7015E"/>
    <w:rsid w:val="00E7102B"/>
    <w:rsid w:val="00E711CA"/>
    <w:rsid w:val="00E7130F"/>
    <w:rsid w:val="00E72561"/>
    <w:rsid w:val="00E7282D"/>
    <w:rsid w:val="00E74EA8"/>
    <w:rsid w:val="00E7644D"/>
    <w:rsid w:val="00E76C5A"/>
    <w:rsid w:val="00E774C6"/>
    <w:rsid w:val="00E8009A"/>
    <w:rsid w:val="00E805E4"/>
    <w:rsid w:val="00E83843"/>
    <w:rsid w:val="00E85278"/>
    <w:rsid w:val="00E853B2"/>
    <w:rsid w:val="00E9340B"/>
    <w:rsid w:val="00E94C35"/>
    <w:rsid w:val="00E95501"/>
    <w:rsid w:val="00E95AE5"/>
    <w:rsid w:val="00E96434"/>
    <w:rsid w:val="00E96F5D"/>
    <w:rsid w:val="00E9739A"/>
    <w:rsid w:val="00EA0237"/>
    <w:rsid w:val="00EA5287"/>
    <w:rsid w:val="00EA5EC7"/>
    <w:rsid w:val="00EA7D7E"/>
    <w:rsid w:val="00EB2C36"/>
    <w:rsid w:val="00EB32F8"/>
    <w:rsid w:val="00EB4149"/>
    <w:rsid w:val="00EB5F55"/>
    <w:rsid w:val="00EC356F"/>
    <w:rsid w:val="00EC4324"/>
    <w:rsid w:val="00EC47E7"/>
    <w:rsid w:val="00EC6D6E"/>
    <w:rsid w:val="00EC7501"/>
    <w:rsid w:val="00ED31D3"/>
    <w:rsid w:val="00ED55C3"/>
    <w:rsid w:val="00ED5613"/>
    <w:rsid w:val="00ED681F"/>
    <w:rsid w:val="00EE0186"/>
    <w:rsid w:val="00EE32D2"/>
    <w:rsid w:val="00EE4084"/>
    <w:rsid w:val="00EE4491"/>
    <w:rsid w:val="00EE4C39"/>
    <w:rsid w:val="00EE50DC"/>
    <w:rsid w:val="00EE71F0"/>
    <w:rsid w:val="00EF1ACE"/>
    <w:rsid w:val="00EF2769"/>
    <w:rsid w:val="00EF2C71"/>
    <w:rsid w:val="00EF6F8E"/>
    <w:rsid w:val="00F045F1"/>
    <w:rsid w:val="00F05FE4"/>
    <w:rsid w:val="00F06BC6"/>
    <w:rsid w:val="00F07FA1"/>
    <w:rsid w:val="00F15101"/>
    <w:rsid w:val="00F177D5"/>
    <w:rsid w:val="00F17EC0"/>
    <w:rsid w:val="00F21669"/>
    <w:rsid w:val="00F24EC8"/>
    <w:rsid w:val="00F25AB4"/>
    <w:rsid w:val="00F30D6E"/>
    <w:rsid w:val="00F3141C"/>
    <w:rsid w:val="00F3215D"/>
    <w:rsid w:val="00F326B9"/>
    <w:rsid w:val="00F329D9"/>
    <w:rsid w:val="00F3338C"/>
    <w:rsid w:val="00F34105"/>
    <w:rsid w:val="00F40B2A"/>
    <w:rsid w:val="00F42718"/>
    <w:rsid w:val="00F42F6B"/>
    <w:rsid w:val="00F42FBC"/>
    <w:rsid w:val="00F472CB"/>
    <w:rsid w:val="00F47A57"/>
    <w:rsid w:val="00F47A5B"/>
    <w:rsid w:val="00F51525"/>
    <w:rsid w:val="00F51A59"/>
    <w:rsid w:val="00F52B67"/>
    <w:rsid w:val="00F52CE9"/>
    <w:rsid w:val="00F538B8"/>
    <w:rsid w:val="00F5405C"/>
    <w:rsid w:val="00F54B87"/>
    <w:rsid w:val="00F56EF2"/>
    <w:rsid w:val="00F57CEA"/>
    <w:rsid w:val="00F60CE5"/>
    <w:rsid w:val="00F65025"/>
    <w:rsid w:val="00F668FC"/>
    <w:rsid w:val="00F67B30"/>
    <w:rsid w:val="00F70579"/>
    <w:rsid w:val="00F73A13"/>
    <w:rsid w:val="00F77F45"/>
    <w:rsid w:val="00F80045"/>
    <w:rsid w:val="00F80062"/>
    <w:rsid w:val="00F859A7"/>
    <w:rsid w:val="00F8680C"/>
    <w:rsid w:val="00F86B6B"/>
    <w:rsid w:val="00F94771"/>
    <w:rsid w:val="00F949DD"/>
    <w:rsid w:val="00F95DEB"/>
    <w:rsid w:val="00FA4974"/>
    <w:rsid w:val="00FA49B1"/>
    <w:rsid w:val="00FA4F93"/>
    <w:rsid w:val="00FA502E"/>
    <w:rsid w:val="00FA54A4"/>
    <w:rsid w:val="00FA6BEE"/>
    <w:rsid w:val="00FA790E"/>
    <w:rsid w:val="00FB083F"/>
    <w:rsid w:val="00FB3E5E"/>
    <w:rsid w:val="00FB5E8E"/>
    <w:rsid w:val="00FB7D26"/>
    <w:rsid w:val="00FB7E77"/>
    <w:rsid w:val="00FC2E4A"/>
    <w:rsid w:val="00FC3245"/>
    <w:rsid w:val="00FC63EB"/>
    <w:rsid w:val="00FC76AB"/>
    <w:rsid w:val="00FD014E"/>
    <w:rsid w:val="00FD1B2D"/>
    <w:rsid w:val="00FD2B4E"/>
    <w:rsid w:val="00FD4314"/>
    <w:rsid w:val="00FD46D1"/>
    <w:rsid w:val="00FD571E"/>
    <w:rsid w:val="00FD7857"/>
    <w:rsid w:val="00FD7F48"/>
    <w:rsid w:val="00FE0DBD"/>
    <w:rsid w:val="00FE17D3"/>
    <w:rsid w:val="00FE2B00"/>
    <w:rsid w:val="00FE5C36"/>
    <w:rsid w:val="00FE7157"/>
    <w:rsid w:val="00FF2595"/>
    <w:rsid w:val="00FF4844"/>
    <w:rsid w:val="00FF4963"/>
    <w:rsid w:val="00FF5A09"/>
    <w:rsid w:val="00FF71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E9DB"/>
  <w15:docId w15:val="{A742D88E-F25B-4251-8A8D-127F1111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A9653E"/>
    <w:pPr>
      <w:keepNext/>
      <w:tabs>
        <w:tab w:val="left" w:pos="4500"/>
      </w:tabs>
      <w:spacing w:after="0" w:line="240" w:lineRule="atLeast"/>
      <w:jc w:val="center"/>
      <w:outlineLvl w:val="4"/>
    </w:pPr>
    <w:rPr>
      <w:rFonts w:ascii="Arial Armenian" w:eastAsia="Times New Roman" w:hAnsi="Arial Armenian"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9653E"/>
    <w:rPr>
      <w:rFonts w:ascii="Arial Armenian" w:eastAsia="Times New Roman" w:hAnsi="Arial Armenian" w:cs="Times New Roman"/>
      <w:b/>
      <w:bCs/>
      <w:sz w:val="20"/>
      <w:szCs w:val="24"/>
    </w:rPr>
  </w:style>
  <w:style w:type="character" w:customStyle="1" w:styleId="longtext">
    <w:name w:val="long_text"/>
    <w:basedOn w:val="DefaultParagraphFont"/>
    <w:rsid w:val="00A9653E"/>
  </w:style>
  <w:style w:type="paragraph" w:styleId="FootnoteText">
    <w:name w:val="footnote text"/>
    <w:basedOn w:val="Normal"/>
    <w:link w:val="FootnoteTextChar"/>
    <w:rsid w:val="00A9653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9653E"/>
    <w:rPr>
      <w:rFonts w:ascii="Times New Roman" w:eastAsia="Times New Roman" w:hAnsi="Times New Roman" w:cs="Times New Roman"/>
      <w:sz w:val="20"/>
      <w:szCs w:val="20"/>
    </w:rPr>
  </w:style>
  <w:style w:type="character" w:styleId="FootnoteReference">
    <w:name w:val="footnote reference"/>
    <w:uiPriority w:val="99"/>
    <w:rsid w:val="00A9653E"/>
    <w:rPr>
      <w:vertAlign w:val="superscript"/>
    </w:rPr>
  </w:style>
  <w:style w:type="paragraph" w:styleId="BodyText">
    <w:name w:val="Body Text"/>
    <w:basedOn w:val="Normal"/>
    <w:link w:val="BodyTextChar"/>
    <w:rsid w:val="00A9653E"/>
    <w:pPr>
      <w:spacing w:after="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9653E"/>
    <w:rPr>
      <w:rFonts w:ascii="Times New Roman" w:eastAsia="Times New Roman" w:hAnsi="Times New Roman" w:cs="Times New Roman"/>
      <w:szCs w:val="24"/>
    </w:rPr>
  </w:style>
  <w:style w:type="paragraph" w:customStyle="1" w:styleId="CharChar1">
    <w:name w:val="Char Char1"/>
    <w:basedOn w:val="Normal"/>
    <w:next w:val="Normal"/>
    <w:semiHidden/>
    <w:rsid w:val="00A9653E"/>
    <w:pPr>
      <w:spacing w:after="160" w:line="240" w:lineRule="exact"/>
    </w:pPr>
    <w:rPr>
      <w:rFonts w:ascii="Arial" w:eastAsia="Times New Roman" w:hAnsi="Arial" w:cs="Arial"/>
      <w:sz w:val="20"/>
      <w:szCs w:val="20"/>
      <w:lang w:val="en-GB"/>
    </w:rPr>
  </w:style>
  <w:style w:type="paragraph" w:styleId="Header">
    <w:name w:val="header"/>
    <w:aliases w:val="hd"/>
    <w:basedOn w:val="Normal"/>
    <w:link w:val="HeaderChar"/>
    <w:rsid w:val="00A9653E"/>
    <w:pPr>
      <w:tabs>
        <w:tab w:val="center" w:pos="4844"/>
        <w:tab w:val="right" w:pos="9689"/>
      </w:tabs>
      <w:spacing w:after="0" w:line="240" w:lineRule="auto"/>
    </w:pPr>
    <w:rPr>
      <w:rFonts w:ascii="Times LatArm" w:eastAsia="Times New Roman" w:hAnsi="Times LatArm" w:cs="Times New Roman"/>
      <w:sz w:val="24"/>
      <w:szCs w:val="24"/>
    </w:rPr>
  </w:style>
  <w:style w:type="character" w:customStyle="1" w:styleId="HeaderChar">
    <w:name w:val="Header Char"/>
    <w:aliases w:val="hd Char"/>
    <w:basedOn w:val="DefaultParagraphFont"/>
    <w:link w:val="Header"/>
    <w:rsid w:val="00A9653E"/>
    <w:rPr>
      <w:rFonts w:ascii="Times LatArm" w:eastAsia="Times New Roman" w:hAnsi="Times LatArm" w:cs="Times New Roman"/>
      <w:sz w:val="24"/>
      <w:szCs w:val="24"/>
    </w:rPr>
  </w:style>
  <w:style w:type="paragraph" w:styleId="BlockText">
    <w:name w:val="Block Text"/>
    <w:basedOn w:val="Normal"/>
    <w:rsid w:val="00A9653E"/>
    <w:pPr>
      <w:autoSpaceDE w:val="0"/>
      <w:autoSpaceDN w:val="0"/>
      <w:adjustRightInd w:val="0"/>
      <w:spacing w:after="0" w:line="240" w:lineRule="atLeast"/>
      <w:ind w:left="567" w:right="424" w:firstLine="709"/>
      <w:jc w:val="both"/>
    </w:pPr>
    <w:rPr>
      <w:rFonts w:ascii="Armenian Normal" w:eastAsia="Times New Roman" w:hAnsi="Armenian Normal" w:cs="Times New Roman"/>
      <w:color w:val="000000"/>
      <w:sz w:val="34"/>
      <w:szCs w:val="24"/>
      <w:lang w:val="es-AR"/>
    </w:rPr>
  </w:style>
  <w:style w:type="table" w:styleId="TableGrid">
    <w:name w:val="Table Grid"/>
    <w:basedOn w:val="TableNormal"/>
    <w:rsid w:val="00A9653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нак Знак"/>
    <w:basedOn w:val="Normal"/>
    <w:next w:val="Normal"/>
    <w:semiHidden/>
    <w:rsid w:val="00A9653E"/>
    <w:pPr>
      <w:spacing w:after="160" w:line="240" w:lineRule="exact"/>
    </w:pPr>
    <w:rPr>
      <w:rFonts w:ascii="Arial" w:eastAsia="Times New Roman" w:hAnsi="Arial" w:cs="Arial"/>
      <w:sz w:val="20"/>
      <w:szCs w:val="20"/>
      <w:lang w:val="en-GB"/>
    </w:rPr>
  </w:style>
  <w:style w:type="paragraph" w:customStyle="1" w:styleId="a0">
    <w:name w:val="Знак"/>
    <w:basedOn w:val="Normal"/>
    <w:next w:val="Normal"/>
    <w:semiHidden/>
    <w:rsid w:val="00A9653E"/>
    <w:pPr>
      <w:spacing w:after="160" w:line="240" w:lineRule="exact"/>
    </w:pPr>
    <w:rPr>
      <w:rFonts w:ascii="Arial" w:eastAsia="Times New Roman" w:hAnsi="Arial" w:cs="Arial"/>
      <w:sz w:val="20"/>
      <w:szCs w:val="20"/>
      <w:lang w:val="en-GB"/>
    </w:rPr>
  </w:style>
  <w:style w:type="paragraph" w:customStyle="1" w:styleId="a1">
    <w:name w:val="Знак"/>
    <w:basedOn w:val="Normal"/>
    <w:next w:val="Normal"/>
    <w:semiHidden/>
    <w:rsid w:val="00A9653E"/>
    <w:pPr>
      <w:spacing w:after="160" w:line="240" w:lineRule="exact"/>
    </w:pPr>
    <w:rPr>
      <w:rFonts w:ascii="Arial" w:eastAsia="Times New Roman" w:hAnsi="Arial" w:cs="Arial"/>
      <w:sz w:val="20"/>
      <w:szCs w:val="20"/>
      <w:lang w:val="en-GB"/>
    </w:rPr>
  </w:style>
  <w:style w:type="paragraph" w:styleId="BodyTextIndent2">
    <w:name w:val="Body Text Indent 2"/>
    <w:basedOn w:val="Normal"/>
    <w:link w:val="BodyTextIndent2Char"/>
    <w:rsid w:val="00A9653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A9653E"/>
    <w:rPr>
      <w:rFonts w:ascii="Times New Roman" w:eastAsia="Times New Roman" w:hAnsi="Times New Roman" w:cs="Times New Roman"/>
      <w:sz w:val="24"/>
      <w:szCs w:val="24"/>
    </w:rPr>
  </w:style>
  <w:style w:type="paragraph" w:styleId="BalloonText">
    <w:name w:val="Balloon Text"/>
    <w:basedOn w:val="Normal"/>
    <w:link w:val="BalloonTextChar"/>
    <w:rsid w:val="00A9653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A9653E"/>
    <w:rPr>
      <w:rFonts w:ascii="Tahoma" w:eastAsia="Times New Roman" w:hAnsi="Tahoma" w:cs="Tahoma"/>
      <w:sz w:val="16"/>
      <w:szCs w:val="16"/>
    </w:rPr>
  </w:style>
  <w:style w:type="character" w:styleId="Hyperlink">
    <w:name w:val="Hyperlink"/>
    <w:rsid w:val="00A9653E"/>
    <w:rPr>
      <w:color w:val="0000FF"/>
      <w:u w:val="single"/>
    </w:rPr>
  </w:style>
  <w:style w:type="paragraph" w:styleId="EndnoteText">
    <w:name w:val="endnote text"/>
    <w:basedOn w:val="Normal"/>
    <w:link w:val="EndnoteTextChar"/>
    <w:rsid w:val="00A9653E"/>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A9653E"/>
    <w:rPr>
      <w:rFonts w:ascii="Times New Roman" w:eastAsia="Times New Roman" w:hAnsi="Times New Roman" w:cs="Times New Roman"/>
      <w:sz w:val="20"/>
      <w:szCs w:val="20"/>
    </w:rPr>
  </w:style>
  <w:style w:type="character" w:styleId="EndnoteReference">
    <w:name w:val="endnote reference"/>
    <w:rsid w:val="00A9653E"/>
    <w:rPr>
      <w:vertAlign w:val="superscript"/>
    </w:rPr>
  </w:style>
  <w:style w:type="paragraph" w:styleId="BodyTextIndent">
    <w:name w:val="Body Text Indent"/>
    <w:basedOn w:val="Normal"/>
    <w:link w:val="BodyTextIndentChar"/>
    <w:rsid w:val="00A9653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9653E"/>
    <w:rPr>
      <w:rFonts w:ascii="Times New Roman" w:eastAsia="Times New Roman" w:hAnsi="Times New Roman" w:cs="Times New Roman"/>
      <w:sz w:val="24"/>
      <w:szCs w:val="24"/>
    </w:rPr>
  </w:style>
  <w:style w:type="character" w:customStyle="1" w:styleId="FootnoteTextChar2">
    <w:name w:val="Footnote Text Char2"/>
    <w:semiHidden/>
    <w:rsid w:val="00A9653E"/>
    <w:rPr>
      <w:rFonts w:ascii="Times Armenian" w:hAnsi="Times Armenian"/>
      <w:lang w:val="en-US" w:eastAsia="en-US" w:bidi="ar-SA"/>
    </w:rPr>
  </w:style>
  <w:style w:type="character" w:styleId="CommentReference">
    <w:name w:val="annotation reference"/>
    <w:rsid w:val="00A9653E"/>
    <w:rPr>
      <w:sz w:val="16"/>
      <w:szCs w:val="16"/>
    </w:rPr>
  </w:style>
  <w:style w:type="paragraph" w:styleId="CommentText">
    <w:name w:val="annotation text"/>
    <w:basedOn w:val="Normal"/>
    <w:link w:val="CommentTextChar"/>
    <w:rsid w:val="00A9653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965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9653E"/>
    <w:rPr>
      <w:b/>
      <w:bCs/>
    </w:rPr>
  </w:style>
  <w:style w:type="character" w:customStyle="1" w:styleId="CommentSubjectChar">
    <w:name w:val="Comment Subject Char"/>
    <w:basedOn w:val="CommentTextChar"/>
    <w:link w:val="CommentSubject"/>
    <w:rsid w:val="00A9653E"/>
    <w:rPr>
      <w:rFonts w:ascii="Times New Roman" w:eastAsia="Times New Roman" w:hAnsi="Times New Roman" w:cs="Times New Roman"/>
      <w:b/>
      <w:bCs/>
      <w:sz w:val="20"/>
      <w:szCs w:val="20"/>
    </w:rPr>
  </w:style>
  <w:style w:type="paragraph" w:styleId="Title">
    <w:name w:val="Title"/>
    <w:basedOn w:val="Normal"/>
    <w:link w:val="TitleChar"/>
    <w:qFormat/>
    <w:rsid w:val="00A9653E"/>
    <w:pPr>
      <w:spacing w:after="0" w:line="312" w:lineRule="auto"/>
      <w:jc w:val="center"/>
    </w:pPr>
    <w:rPr>
      <w:rFonts w:ascii="Times LatArm" w:eastAsia="Times New Roman" w:hAnsi="Times LatArm" w:cs="Times New Roman"/>
      <w:b/>
      <w:sz w:val="24"/>
      <w:szCs w:val="20"/>
    </w:rPr>
  </w:style>
  <w:style w:type="character" w:customStyle="1" w:styleId="TitleChar">
    <w:name w:val="Title Char"/>
    <w:basedOn w:val="DefaultParagraphFont"/>
    <w:link w:val="Title"/>
    <w:rsid w:val="00A9653E"/>
    <w:rPr>
      <w:rFonts w:ascii="Times LatArm" w:eastAsia="Times New Roman" w:hAnsi="Times LatArm" w:cs="Times New Roman"/>
      <w:b/>
      <w:sz w:val="24"/>
      <w:szCs w:val="20"/>
    </w:rPr>
  </w:style>
  <w:style w:type="character" w:customStyle="1" w:styleId="apple-converted-space">
    <w:name w:val="apple-converted-space"/>
    <w:rsid w:val="00A9653E"/>
  </w:style>
  <w:style w:type="paragraph" w:styleId="ListParagraph">
    <w:name w:val="List Paragraph"/>
    <w:basedOn w:val="Normal"/>
    <w:uiPriority w:val="34"/>
    <w:qFormat/>
    <w:rsid w:val="00C43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9D504-A65F-4EED-A9BD-24ACD021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38</Pages>
  <Words>15030</Words>
  <Characters>85671</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Tigran Hakobyan</dc:creator>
  <cp:lastModifiedBy>Սուսաննա Քարտաշյան</cp:lastModifiedBy>
  <cp:revision>50</cp:revision>
  <cp:lastPrinted>2015-04-08T08:22:00Z</cp:lastPrinted>
  <dcterms:created xsi:type="dcterms:W3CDTF">2015-03-17T07:13:00Z</dcterms:created>
  <dcterms:modified xsi:type="dcterms:W3CDTF">2024-02-02T12:44:00Z</dcterms:modified>
</cp:coreProperties>
</file>