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BB99" w14:textId="77777777" w:rsidR="00A9653E" w:rsidRPr="004E7A10" w:rsidRDefault="00075E34" w:rsidP="00A9653E">
      <w:pPr>
        <w:tabs>
          <w:tab w:val="left" w:pos="1100"/>
          <w:tab w:val="num" w:pos="1428"/>
        </w:tabs>
        <w:spacing w:after="240" w:line="300" w:lineRule="atLeast"/>
        <w:jc w:val="center"/>
        <w:rPr>
          <w:rFonts w:ascii="Garamond" w:hAnsi="Garamond" w:cs="Times New Roman"/>
          <w:i/>
          <w:sz w:val="21"/>
          <w:szCs w:val="21"/>
        </w:rPr>
      </w:pPr>
      <w:r w:rsidRPr="004E7A10">
        <w:rPr>
          <w:rFonts w:ascii="Garamond" w:hAnsi="Garamond" w:cs="Times New Roman"/>
          <w:i/>
          <w:sz w:val="21"/>
          <w:szCs w:val="21"/>
        </w:rPr>
        <w:t>Q</w:t>
      </w:r>
      <w:r w:rsidR="00670789" w:rsidRPr="004E7A10">
        <w:rPr>
          <w:rFonts w:ascii="Garamond" w:hAnsi="Garamond" w:cs="Times New Roman"/>
          <w:i/>
          <w:sz w:val="21"/>
          <w:szCs w:val="21"/>
        </w:rPr>
        <w:t>2</w:t>
      </w:r>
      <w:r w:rsidR="00A9653E" w:rsidRPr="004E7A10">
        <w:rPr>
          <w:rFonts w:ascii="Garamond" w:hAnsi="Garamond" w:cs="Times New Roman"/>
          <w:i/>
          <w:sz w:val="21"/>
          <w:szCs w:val="21"/>
        </w:rPr>
        <w:t>, 201</w:t>
      </w:r>
      <w:r w:rsidR="00073B43" w:rsidRPr="004E7A10">
        <w:rPr>
          <w:rFonts w:ascii="Garamond" w:hAnsi="Garamond" w:cs="Times New Roman"/>
          <w:i/>
          <w:sz w:val="21"/>
          <w:szCs w:val="21"/>
        </w:rPr>
        <w:t>5</w:t>
      </w:r>
    </w:p>
    <w:p w14:paraId="58C084E4" w14:textId="77777777" w:rsidR="00A9653E" w:rsidRPr="004E7A10" w:rsidRDefault="00A11EE4" w:rsidP="00A9653E">
      <w:pPr>
        <w:tabs>
          <w:tab w:val="left" w:pos="1100"/>
          <w:tab w:val="num" w:pos="1428"/>
        </w:tabs>
        <w:spacing w:after="240" w:line="300" w:lineRule="atLeast"/>
        <w:jc w:val="center"/>
        <w:rPr>
          <w:rStyle w:val="longtext"/>
          <w:rFonts w:ascii="Garamond" w:hAnsi="Garamond" w:cs="Times New Roman"/>
          <w:i/>
          <w:sz w:val="21"/>
          <w:szCs w:val="21"/>
        </w:rPr>
      </w:pPr>
      <w:r w:rsidRPr="004E7A10">
        <w:rPr>
          <w:rFonts w:ascii="Garamond" w:hAnsi="Garamond" w:cs="Times New Roman"/>
          <w:i/>
          <w:sz w:val="21"/>
          <w:szCs w:val="21"/>
        </w:rPr>
        <w:t>S</w:t>
      </w:r>
      <w:r w:rsidR="00A9653E" w:rsidRPr="004E7A10">
        <w:rPr>
          <w:rFonts w:ascii="Garamond" w:hAnsi="Garamond" w:cs="Times New Roman"/>
          <w:i/>
          <w:sz w:val="21"/>
          <w:szCs w:val="21"/>
        </w:rPr>
        <w:t xml:space="preserve">ince January 2006, the Central Bank of Armenia has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00A9653E" w:rsidRPr="004E7A10">
        <w:rPr>
          <w:rStyle w:val="longtext"/>
          <w:rFonts w:ascii="Garamond" w:hAnsi="Garamond" w:cs="Times New Roman"/>
          <w:i/>
          <w:color w:val="000000"/>
          <w:sz w:val="21"/>
          <w:szCs w:val="21"/>
          <w:shd w:val="clear" w:color="auto" w:fill="FFFFFF"/>
        </w:rPr>
        <w:t>status report on implementation of the monetary policy</w:t>
      </w:r>
      <w:r w:rsidR="00A9653E" w:rsidRPr="004E7A10">
        <w:rPr>
          <w:rFonts w:ascii="Garamond" w:hAnsi="Garamond" w:cs="Times New Roman"/>
          <w:i/>
          <w:sz w:val="21"/>
          <w:szCs w:val="21"/>
        </w:rPr>
        <w:t xml:space="preserve"> program</w:t>
      </w:r>
      <w:r w:rsidR="00A9653E" w:rsidRPr="004E7A10">
        <w:rPr>
          <w:rStyle w:val="longtext"/>
          <w:rFonts w:ascii="Garamond" w:hAnsi="Garamond" w:cs="Times New Roman"/>
          <w:i/>
          <w:color w:val="000000"/>
          <w:sz w:val="21"/>
          <w:szCs w:val="21"/>
          <w:shd w:val="clear" w:color="auto" w:fill="FFFFFF"/>
        </w:rPr>
        <w:t xml:space="preserve"> of the previous quarter, which covers actual economic and monetary developments.</w:t>
      </w:r>
    </w:p>
    <w:p w14:paraId="6CB71464"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r w:rsidRPr="004E7A10">
        <w:rPr>
          <w:rFonts w:ascii="Garamond" w:hAnsi="Garamond" w:cs="Times New Roman"/>
          <w:i/>
          <w:sz w:val="21"/>
          <w:szCs w:val="21"/>
        </w:rPr>
        <w:t xml:space="preserve">       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46962568"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r w:rsidRPr="004E7A10">
        <w:rPr>
          <w:rFonts w:ascii="Garamond" w:hAnsi="Garamond" w:cs="Times New Roman"/>
          <w:i/>
          <w:sz w:val="21"/>
          <w:szCs w:val="21"/>
        </w:rPr>
        <w:t xml:space="preserve">Starting from the second quarter of 2012, the Bank has been publishing forecasts of non-conditional inflation in a 3-year time horizon, in implementation of the inflation targeting strategy, whereby the monetary policy is steered to minimize any deviations of potential inflation from a 4 % target. Projections in this report are based on the factual information available by </w:t>
      </w:r>
      <w:r w:rsidR="00670789" w:rsidRPr="004E7A10">
        <w:rPr>
          <w:rFonts w:ascii="Garamond" w:hAnsi="Garamond" w:cs="Times New Roman"/>
          <w:i/>
          <w:sz w:val="21"/>
          <w:szCs w:val="21"/>
        </w:rPr>
        <w:t>May</w:t>
      </w:r>
      <w:r w:rsidRPr="004E7A10">
        <w:rPr>
          <w:rFonts w:ascii="Garamond" w:hAnsi="Garamond" w:cs="Times New Roman"/>
          <w:i/>
          <w:sz w:val="21"/>
          <w:szCs w:val="21"/>
        </w:rPr>
        <w:t xml:space="preserve"> 1</w:t>
      </w:r>
      <w:r w:rsidR="00670789" w:rsidRPr="004E7A10">
        <w:rPr>
          <w:rFonts w:ascii="Garamond" w:hAnsi="Garamond" w:cs="Times New Roman"/>
          <w:i/>
          <w:sz w:val="21"/>
          <w:szCs w:val="21"/>
        </w:rPr>
        <w:t>2</w:t>
      </w:r>
      <w:r w:rsidRPr="004E7A10">
        <w:rPr>
          <w:rFonts w:ascii="Garamond" w:hAnsi="Garamond" w:cs="Times New Roman"/>
          <w:i/>
          <w:sz w:val="21"/>
          <w:szCs w:val="21"/>
        </w:rPr>
        <w:t>, 201</w:t>
      </w:r>
      <w:r w:rsidR="00073B43" w:rsidRPr="004E7A10">
        <w:rPr>
          <w:rFonts w:ascii="Garamond" w:hAnsi="Garamond" w:cs="Times New Roman"/>
          <w:i/>
          <w:sz w:val="21"/>
          <w:szCs w:val="21"/>
        </w:rPr>
        <w:t>5</w:t>
      </w:r>
      <w:r w:rsidRPr="004E7A10">
        <w:rPr>
          <w:rFonts w:ascii="Garamond" w:hAnsi="Garamond" w:cs="Times New Roman"/>
          <w:i/>
          <w:sz w:val="21"/>
          <w:szCs w:val="21"/>
        </w:rPr>
        <w:t xml:space="preserve">, </w:t>
      </w:r>
      <w:proofErr w:type="gramStart"/>
      <w:r w:rsidRPr="004E7A10">
        <w:rPr>
          <w:rFonts w:ascii="Garamond" w:hAnsi="Garamond" w:cs="Times New Roman"/>
          <w:i/>
          <w:sz w:val="21"/>
          <w:szCs w:val="21"/>
        </w:rPr>
        <w:t>i.e.</w:t>
      </w:r>
      <w:proofErr w:type="gramEnd"/>
      <w:r w:rsidRPr="004E7A10">
        <w:rPr>
          <w:rFonts w:ascii="Garamond" w:hAnsi="Garamond" w:cs="Times New Roman"/>
          <w:i/>
          <w:sz w:val="21"/>
          <w:szCs w:val="21"/>
        </w:rPr>
        <w:t xml:space="preserve"> the </w:t>
      </w:r>
      <w:r w:rsidR="00670789" w:rsidRPr="004E7A10">
        <w:rPr>
          <w:rFonts w:ascii="Garamond" w:hAnsi="Garamond" w:cs="Times New Roman"/>
          <w:i/>
          <w:sz w:val="21"/>
          <w:szCs w:val="21"/>
        </w:rPr>
        <w:t>day of setting o</w:t>
      </w:r>
      <w:r w:rsidRPr="004E7A10">
        <w:rPr>
          <w:rFonts w:ascii="Garamond" w:hAnsi="Garamond" w:cs="Times New Roman"/>
          <w:i/>
          <w:sz w:val="21"/>
          <w:szCs w:val="21"/>
        </w:rPr>
        <w:t>f the refinancing rate, the results of a survey conducted by the Bank and the judgment made pursuant to the information on future macroeconomic developments</w:t>
      </w:r>
      <w:r w:rsidRPr="004E7A10">
        <w:rPr>
          <w:rFonts w:ascii="Times New Roman" w:hAnsi="Times New Roman" w:cs="Times New Roman"/>
          <w:i/>
          <w:sz w:val="21"/>
          <w:szCs w:val="21"/>
        </w:rPr>
        <w:t>​​</w:t>
      </w:r>
      <w:r w:rsidRPr="004E7A10">
        <w:rPr>
          <w:rFonts w:ascii="Garamond" w:hAnsi="Garamond" w:cs="Times New Roman"/>
          <w:i/>
          <w:sz w:val="21"/>
          <w:szCs w:val="21"/>
        </w:rPr>
        <w:t>.</w:t>
      </w:r>
    </w:p>
    <w:p w14:paraId="0925E1F9"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r w:rsidRPr="004E7A10">
        <w:rPr>
          <w:rFonts w:ascii="Garamond" w:hAnsi="Garamond" w:cs="Times New Roman"/>
          <w:i/>
          <w:sz w:val="21"/>
          <w:szCs w:val="21"/>
        </w:rPr>
        <w:t>All inflation reports which have been published to date are available on the Bank’s website which also contains monetary policy-related publications.</w:t>
      </w:r>
    </w:p>
    <w:p w14:paraId="0D5AC31C"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p>
    <w:p w14:paraId="6DFBBEBE"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p>
    <w:p w14:paraId="6DD17A5A" w14:textId="77777777" w:rsidR="00A9653E" w:rsidRPr="004E7A10" w:rsidRDefault="00A9653E" w:rsidP="00A9653E">
      <w:pPr>
        <w:spacing w:line="360" w:lineRule="auto"/>
        <w:jc w:val="center"/>
        <w:rPr>
          <w:rFonts w:ascii="Garamond" w:hAnsi="Garamond" w:cs="Times New Roman"/>
          <w:i/>
          <w:sz w:val="21"/>
          <w:szCs w:val="21"/>
        </w:rPr>
      </w:pPr>
    </w:p>
    <w:p w14:paraId="184FCE4D" w14:textId="77777777" w:rsidR="00A9653E" w:rsidRPr="004E7A10" w:rsidRDefault="00A9653E" w:rsidP="00A9653E">
      <w:pPr>
        <w:spacing w:line="360" w:lineRule="auto"/>
        <w:jc w:val="center"/>
        <w:rPr>
          <w:rFonts w:ascii="Garamond" w:hAnsi="Garamond" w:cs="Times New Roman"/>
          <w:i/>
          <w:sz w:val="21"/>
          <w:szCs w:val="21"/>
        </w:rPr>
      </w:pPr>
    </w:p>
    <w:p w14:paraId="48AA2056" w14:textId="77777777" w:rsidR="00A9653E" w:rsidRPr="004E7A10" w:rsidRDefault="00A9653E" w:rsidP="00A9653E">
      <w:pPr>
        <w:spacing w:line="360" w:lineRule="auto"/>
        <w:jc w:val="center"/>
        <w:rPr>
          <w:rFonts w:ascii="Garamond" w:hAnsi="Garamond" w:cs="Times New Roman"/>
          <w:i/>
          <w:sz w:val="21"/>
          <w:szCs w:val="21"/>
        </w:rPr>
      </w:pPr>
    </w:p>
    <w:p w14:paraId="41A75E35" w14:textId="77777777" w:rsidR="00A9653E" w:rsidRPr="004E7A10" w:rsidRDefault="00A9653E" w:rsidP="00A9653E">
      <w:pPr>
        <w:spacing w:line="360" w:lineRule="auto"/>
        <w:jc w:val="center"/>
        <w:rPr>
          <w:rFonts w:ascii="Garamond" w:hAnsi="Garamond" w:cs="Times New Roman"/>
          <w:i/>
          <w:sz w:val="21"/>
          <w:szCs w:val="21"/>
        </w:rPr>
      </w:pPr>
    </w:p>
    <w:p w14:paraId="4CD5DE5C" w14:textId="77777777" w:rsidR="00A9653E" w:rsidRPr="004E7A10" w:rsidRDefault="00A9653E" w:rsidP="00A9653E">
      <w:pPr>
        <w:spacing w:line="360" w:lineRule="auto"/>
        <w:jc w:val="center"/>
        <w:rPr>
          <w:rFonts w:ascii="Garamond" w:hAnsi="Garamond" w:cs="Times New Roman"/>
          <w:i/>
          <w:sz w:val="21"/>
          <w:szCs w:val="21"/>
        </w:rPr>
      </w:pPr>
    </w:p>
    <w:p w14:paraId="43C057B9" w14:textId="77777777" w:rsidR="00A9653E" w:rsidRPr="004E7A10" w:rsidRDefault="00A9653E" w:rsidP="00A9653E">
      <w:pPr>
        <w:spacing w:line="360" w:lineRule="auto"/>
        <w:jc w:val="center"/>
        <w:rPr>
          <w:rFonts w:ascii="Garamond" w:hAnsi="Garamond" w:cs="Times New Roman"/>
          <w:i/>
          <w:sz w:val="21"/>
          <w:szCs w:val="21"/>
        </w:rPr>
      </w:pPr>
    </w:p>
    <w:p w14:paraId="44F2280D" w14:textId="77777777" w:rsidR="00A9653E" w:rsidRPr="004E7A10" w:rsidRDefault="00A9653E" w:rsidP="00A9653E">
      <w:pPr>
        <w:spacing w:line="360" w:lineRule="auto"/>
        <w:jc w:val="center"/>
        <w:rPr>
          <w:rFonts w:ascii="Garamond" w:hAnsi="Garamond" w:cs="Times New Roman"/>
          <w:i/>
          <w:sz w:val="21"/>
          <w:szCs w:val="21"/>
        </w:rPr>
      </w:pPr>
    </w:p>
    <w:p w14:paraId="18F75E61" w14:textId="77777777" w:rsidR="00A9653E" w:rsidRPr="004E7A10" w:rsidRDefault="00A9653E" w:rsidP="00A9653E">
      <w:pPr>
        <w:tabs>
          <w:tab w:val="left" w:pos="1100"/>
          <w:tab w:val="num" w:pos="1428"/>
        </w:tabs>
        <w:spacing w:after="240" w:line="300" w:lineRule="atLeast"/>
        <w:jc w:val="center"/>
        <w:rPr>
          <w:rFonts w:ascii="Garamond" w:hAnsi="Garamond" w:cs="Times New Roman"/>
          <w:i/>
          <w:sz w:val="21"/>
          <w:szCs w:val="21"/>
        </w:rPr>
      </w:pPr>
    </w:p>
    <w:p w14:paraId="64EC790A" w14:textId="77777777" w:rsidR="007E502B" w:rsidRDefault="007E502B" w:rsidP="00A9653E">
      <w:pPr>
        <w:spacing w:line="360" w:lineRule="auto"/>
        <w:jc w:val="both"/>
        <w:rPr>
          <w:rStyle w:val="longtext"/>
          <w:rFonts w:ascii="Sylfaen" w:hAnsi="Sylfaen" w:cs="Times New Roman"/>
          <w:b/>
          <w:color w:val="000000"/>
          <w:sz w:val="21"/>
          <w:szCs w:val="21"/>
          <w:shd w:val="clear" w:color="auto" w:fill="FFFFFF"/>
          <w:lang w:val="hy-AM"/>
        </w:rPr>
      </w:pPr>
    </w:p>
    <w:p w14:paraId="5EEC719D" w14:textId="77777777" w:rsidR="007E502B" w:rsidRDefault="007E502B" w:rsidP="00A9653E">
      <w:pPr>
        <w:spacing w:line="360" w:lineRule="auto"/>
        <w:jc w:val="both"/>
        <w:rPr>
          <w:rStyle w:val="longtext"/>
          <w:rFonts w:ascii="Sylfaen" w:hAnsi="Sylfaen" w:cs="Times New Roman"/>
          <w:b/>
          <w:color w:val="000000"/>
          <w:sz w:val="21"/>
          <w:szCs w:val="21"/>
          <w:shd w:val="clear" w:color="auto" w:fill="FFFFFF"/>
          <w:lang w:val="hy-AM"/>
        </w:rPr>
      </w:pPr>
    </w:p>
    <w:p w14:paraId="2FCF6CFA" w14:textId="77777777" w:rsidR="00A9653E" w:rsidRPr="004E7A10" w:rsidRDefault="00A9653E" w:rsidP="00A9653E">
      <w:pPr>
        <w:spacing w:line="360" w:lineRule="auto"/>
        <w:jc w:val="both"/>
        <w:rPr>
          <w:rFonts w:ascii="Garamond" w:hAnsi="Garamond" w:cs="Times New Roman"/>
          <w:b/>
          <w:color w:val="000000"/>
          <w:sz w:val="21"/>
          <w:szCs w:val="21"/>
          <w:shd w:val="clear" w:color="auto" w:fill="FFFFFF"/>
        </w:rPr>
      </w:pPr>
      <w:r w:rsidRPr="004E7A10">
        <w:rPr>
          <w:rStyle w:val="longtext"/>
          <w:rFonts w:ascii="Garamond" w:hAnsi="Garamond" w:cs="Times New Roman"/>
          <w:b/>
          <w:color w:val="000000"/>
          <w:sz w:val="21"/>
          <w:szCs w:val="21"/>
          <w:shd w:val="clear" w:color="auto" w:fill="FFFFFF"/>
        </w:rPr>
        <w:t>1. EXECUTIVE SUMMARY</w:t>
      </w:r>
    </w:p>
    <w:p w14:paraId="43947D99" w14:textId="77777777" w:rsidR="00CB2FFD" w:rsidRPr="004E7A10" w:rsidRDefault="007610C9" w:rsidP="00A9653E">
      <w:pPr>
        <w:spacing w:line="360" w:lineRule="auto"/>
        <w:jc w:val="both"/>
        <w:rPr>
          <w:rFonts w:ascii="Garamond" w:hAnsi="Garamond" w:cs="Times New Roman"/>
          <w:color w:val="0070C0"/>
          <w:sz w:val="18"/>
          <w:szCs w:val="18"/>
        </w:rPr>
      </w:pPr>
      <w:r w:rsidRPr="004E7A10">
        <w:rPr>
          <w:rFonts w:ascii="Garamond" w:hAnsi="Garamond" w:cs="Times New Roman"/>
          <w:b/>
          <w:color w:val="0070C0"/>
          <w:sz w:val="18"/>
          <w:szCs w:val="18"/>
        </w:rPr>
        <w:t>The Central Bank predicts that i</w:t>
      </w:r>
      <w:r w:rsidR="00B85CA0" w:rsidRPr="004E7A10">
        <w:rPr>
          <w:rFonts w:ascii="Garamond" w:hAnsi="Garamond" w:cs="Times New Roman"/>
          <w:b/>
          <w:color w:val="0070C0"/>
          <w:sz w:val="18"/>
          <w:szCs w:val="18"/>
        </w:rPr>
        <w:t xml:space="preserve">n the course of 2015 the 12-month inflation rate will </w:t>
      </w:r>
      <w:r w:rsidR="007E502B">
        <w:rPr>
          <w:rFonts w:ascii="Garamond" w:hAnsi="Garamond" w:cs="Times New Roman"/>
          <w:b/>
          <w:color w:val="0070C0"/>
          <w:sz w:val="18"/>
          <w:szCs w:val="18"/>
        </w:rPr>
        <w:t>be</w:t>
      </w:r>
      <w:r w:rsidR="00B85CA0" w:rsidRPr="004E7A10">
        <w:rPr>
          <w:rFonts w:ascii="Garamond" w:hAnsi="Garamond" w:cs="Times New Roman"/>
          <w:b/>
          <w:color w:val="0070C0"/>
          <w:sz w:val="18"/>
          <w:szCs w:val="18"/>
        </w:rPr>
        <w:t xml:space="preserve"> in the upper bound of the confidence band of </w:t>
      </w:r>
      <w:r w:rsidR="00B85CA0" w:rsidRPr="004E7A10">
        <w:rPr>
          <w:rFonts w:ascii="Garamond" w:hAnsi="Garamond" w:cs="Times New Roman"/>
          <w:b/>
          <w:iCs/>
          <w:color w:val="0070C0"/>
          <w:sz w:val="18"/>
          <w:szCs w:val="18"/>
        </w:rPr>
        <w:t>4%</w:t>
      </w:r>
      <w:r w:rsidR="00B85CA0" w:rsidRPr="004E7A10">
        <w:rPr>
          <w:rFonts w:ascii="Garamond" w:hAnsi="Garamond" w:cs="Times New Roman"/>
          <w:b/>
          <w:iCs/>
          <w:color w:val="0070C0"/>
          <w:sz w:val="18"/>
          <w:szCs w:val="18"/>
          <w:u w:val="single"/>
        </w:rPr>
        <w:t>+</w:t>
      </w:r>
      <w:r w:rsidR="00B85CA0" w:rsidRPr="004E7A10">
        <w:rPr>
          <w:rFonts w:ascii="Garamond" w:hAnsi="Garamond" w:cs="Times New Roman"/>
          <w:b/>
          <w:iCs/>
          <w:color w:val="0070C0"/>
          <w:sz w:val="18"/>
          <w:szCs w:val="18"/>
        </w:rPr>
        <w:t>1.5 pp</w:t>
      </w:r>
      <w:r w:rsidR="007E502B">
        <w:rPr>
          <w:rFonts w:ascii="Garamond" w:hAnsi="Garamond" w:cs="Times New Roman"/>
          <w:b/>
          <w:iCs/>
          <w:color w:val="0070C0"/>
          <w:sz w:val="18"/>
          <w:szCs w:val="18"/>
        </w:rPr>
        <w:t>; starting 2016, it will be going to sta</w:t>
      </w:r>
      <w:r w:rsidR="00B85CA0" w:rsidRPr="004E7A10">
        <w:rPr>
          <w:rFonts w:ascii="Garamond" w:hAnsi="Garamond" w:cs="Times New Roman"/>
          <w:b/>
          <w:iCs/>
          <w:color w:val="0070C0"/>
          <w:sz w:val="18"/>
          <w:szCs w:val="18"/>
        </w:rPr>
        <w:t xml:space="preserve">bilize around the </w:t>
      </w:r>
      <w:r w:rsidR="007E502B">
        <w:rPr>
          <w:rFonts w:ascii="Garamond" w:hAnsi="Garamond" w:cs="Times New Roman"/>
          <w:b/>
          <w:iCs/>
          <w:color w:val="0070C0"/>
          <w:sz w:val="18"/>
          <w:szCs w:val="18"/>
        </w:rPr>
        <w:t>target</w:t>
      </w:r>
      <w:r w:rsidRPr="004E7A10">
        <w:rPr>
          <w:rFonts w:ascii="Garamond" w:hAnsi="Garamond" w:cs="Times New Roman"/>
          <w:b/>
          <w:iCs/>
          <w:color w:val="0070C0"/>
          <w:sz w:val="18"/>
          <w:szCs w:val="18"/>
        </w:rPr>
        <w:t>…</w:t>
      </w:r>
    </w:p>
    <w:p w14:paraId="32A33B10" w14:textId="77777777" w:rsidR="00A9653E" w:rsidRPr="007E502B" w:rsidRDefault="007E502B" w:rsidP="00A9653E">
      <w:pPr>
        <w:spacing w:line="360" w:lineRule="auto"/>
        <w:jc w:val="both"/>
        <w:rPr>
          <w:rFonts w:ascii="Garamond" w:hAnsi="Garamond" w:cs="Times New Roman"/>
          <w:color w:val="0070C0"/>
          <w:sz w:val="18"/>
          <w:szCs w:val="18"/>
        </w:rPr>
      </w:pPr>
      <w:r w:rsidRPr="007E502B">
        <w:rPr>
          <w:rFonts w:ascii="Garamond" w:hAnsi="Garamond" w:cs="Times New Roman"/>
          <w:b/>
          <w:iCs/>
          <w:color w:val="0070C0"/>
          <w:sz w:val="18"/>
          <w:szCs w:val="18"/>
        </w:rPr>
        <w:t>Economic growth for 2015 is forecast to be higher in comparison with the previous projection, which is determined by positive developments in economic activity in the first quarter. In 2016, e</w:t>
      </w:r>
      <w:r w:rsidRPr="007E502B">
        <w:rPr>
          <w:rFonts w:ascii="Garamond" w:hAnsi="Garamond" w:cs="Times New Roman"/>
          <w:b/>
          <w:color w:val="0070C0"/>
          <w:sz w:val="18"/>
          <w:szCs w:val="18"/>
        </w:rPr>
        <w:t>conomic growth rates will persist at the same level but then will speed up, gradually approaching the long-term equilibrium</w:t>
      </w:r>
      <w:r w:rsidR="007610C9" w:rsidRPr="007E502B">
        <w:rPr>
          <w:rFonts w:ascii="Garamond" w:hAnsi="Garamond" w:cs="Times New Roman"/>
          <w:b/>
          <w:color w:val="0070C0"/>
          <w:sz w:val="18"/>
          <w:szCs w:val="18"/>
        </w:rPr>
        <w:t>…</w:t>
      </w:r>
    </w:p>
    <w:p w14:paraId="3B1D9E8B"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According to the Central Bank forecasts, </w:t>
      </w:r>
      <w:r w:rsidR="005C1EC8" w:rsidRPr="004E7A10">
        <w:rPr>
          <w:rFonts w:ascii="Garamond" w:hAnsi="Garamond" w:cs="Times New Roman"/>
          <w:b/>
          <w:sz w:val="21"/>
          <w:szCs w:val="21"/>
        </w:rPr>
        <w:t xml:space="preserve">in the course of 2015 </w:t>
      </w:r>
      <w:r w:rsidR="00A467FC" w:rsidRPr="004E7A10">
        <w:rPr>
          <w:rFonts w:ascii="Garamond" w:hAnsi="Garamond" w:cs="Times New Roman"/>
          <w:b/>
          <w:sz w:val="21"/>
          <w:szCs w:val="21"/>
        </w:rPr>
        <w:t xml:space="preserve">the 12-month inflation rate will </w:t>
      </w:r>
      <w:r w:rsidR="00281B60" w:rsidRPr="004E7A10">
        <w:rPr>
          <w:rFonts w:ascii="Garamond" w:hAnsi="Garamond" w:cs="Times New Roman"/>
          <w:b/>
          <w:sz w:val="21"/>
          <w:szCs w:val="21"/>
        </w:rPr>
        <w:t xml:space="preserve">be </w:t>
      </w:r>
      <w:r w:rsidR="005C1EC8" w:rsidRPr="004E7A10">
        <w:rPr>
          <w:rFonts w:ascii="Garamond" w:hAnsi="Garamond" w:cs="Times New Roman"/>
          <w:b/>
          <w:sz w:val="21"/>
          <w:szCs w:val="21"/>
        </w:rPr>
        <w:t>in the upper bound of t</w:t>
      </w:r>
      <w:r w:rsidR="00A467FC" w:rsidRPr="004E7A10">
        <w:rPr>
          <w:rFonts w:ascii="Garamond" w:hAnsi="Garamond" w:cs="Times New Roman"/>
          <w:b/>
          <w:sz w:val="21"/>
          <w:szCs w:val="21"/>
        </w:rPr>
        <w:t xml:space="preserve">he confidence band of </w:t>
      </w:r>
      <w:r w:rsidR="00A467FC" w:rsidRPr="004E7A10">
        <w:rPr>
          <w:rFonts w:ascii="Garamond" w:hAnsi="Garamond" w:cs="Times New Roman"/>
          <w:b/>
          <w:iCs/>
          <w:sz w:val="21"/>
          <w:szCs w:val="21"/>
        </w:rPr>
        <w:t>4%</w:t>
      </w:r>
      <w:r w:rsidR="00A467FC" w:rsidRPr="004E7A10">
        <w:rPr>
          <w:rFonts w:ascii="Garamond" w:hAnsi="Garamond" w:cs="Times New Roman"/>
          <w:b/>
          <w:iCs/>
          <w:sz w:val="21"/>
          <w:szCs w:val="21"/>
          <w:u w:val="single"/>
        </w:rPr>
        <w:t>+</w:t>
      </w:r>
      <w:r w:rsidR="00A467FC" w:rsidRPr="004E7A10">
        <w:rPr>
          <w:rFonts w:ascii="Garamond" w:hAnsi="Garamond" w:cs="Times New Roman"/>
          <w:b/>
          <w:iCs/>
          <w:sz w:val="21"/>
          <w:szCs w:val="21"/>
        </w:rPr>
        <w:t>1.5 pp</w:t>
      </w:r>
      <w:r w:rsidR="00281B60" w:rsidRPr="004E7A10">
        <w:rPr>
          <w:rFonts w:ascii="Garamond" w:hAnsi="Garamond" w:cs="Times New Roman"/>
          <w:b/>
          <w:iCs/>
          <w:sz w:val="21"/>
          <w:szCs w:val="21"/>
        </w:rPr>
        <w:t xml:space="preserve">; starting from 2016, it will </w:t>
      </w:r>
      <w:r w:rsidR="005C1EC8" w:rsidRPr="004E7A10">
        <w:rPr>
          <w:rFonts w:ascii="Garamond" w:hAnsi="Garamond" w:cs="Times New Roman"/>
          <w:b/>
          <w:iCs/>
          <w:sz w:val="21"/>
          <w:szCs w:val="21"/>
        </w:rPr>
        <w:t xml:space="preserve">stabilize around </w:t>
      </w:r>
      <w:r w:rsidR="00281B60" w:rsidRPr="004E7A10">
        <w:rPr>
          <w:rFonts w:ascii="Garamond" w:hAnsi="Garamond" w:cs="Times New Roman"/>
          <w:b/>
          <w:iCs/>
          <w:sz w:val="21"/>
          <w:szCs w:val="21"/>
        </w:rPr>
        <w:t xml:space="preserve">the target. Economic growth for 2015 is forecast to be higher relative to the previous projection, which is determined by </w:t>
      </w:r>
      <w:r w:rsidR="00A71319" w:rsidRPr="004E7A10">
        <w:rPr>
          <w:rFonts w:ascii="Garamond" w:hAnsi="Garamond" w:cs="Times New Roman"/>
          <w:b/>
          <w:iCs/>
          <w:sz w:val="21"/>
          <w:szCs w:val="21"/>
        </w:rPr>
        <w:t>positive developments in economic activity in the first quarter. In 2016, e</w:t>
      </w:r>
      <w:r w:rsidR="0068429B" w:rsidRPr="004E7A10">
        <w:rPr>
          <w:rFonts w:ascii="Garamond" w:hAnsi="Garamond" w:cs="Times New Roman"/>
          <w:b/>
          <w:sz w:val="21"/>
          <w:szCs w:val="21"/>
        </w:rPr>
        <w:t xml:space="preserve">conomic growth </w:t>
      </w:r>
      <w:r w:rsidR="005C1EC8" w:rsidRPr="004E7A10">
        <w:rPr>
          <w:rFonts w:ascii="Garamond" w:hAnsi="Garamond" w:cs="Times New Roman"/>
          <w:b/>
          <w:sz w:val="21"/>
          <w:szCs w:val="21"/>
        </w:rPr>
        <w:t xml:space="preserve">rates will </w:t>
      </w:r>
      <w:r w:rsidR="00A71319" w:rsidRPr="004E7A10">
        <w:rPr>
          <w:rFonts w:ascii="Garamond" w:hAnsi="Garamond" w:cs="Times New Roman"/>
          <w:b/>
          <w:sz w:val="21"/>
          <w:szCs w:val="21"/>
        </w:rPr>
        <w:t xml:space="preserve">remain the same but </w:t>
      </w:r>
      <w:r w:rsidR="005C1EC8" w:rsidRPr="004E7A10">
        <w:rPr>
          <w:rFonts w:ascii="Garamond" w:hAnsi="Garamond" w:cs="Times New Roman"/>
          <w:b/>
          <w:sz w:val="21"/>
          <w:szCs w:val="21"/>
        </w:rPr>
        <w:t xml:space="preserve">will speed up </w:t>
      </w:r>
      <w:r w:rsidR="00A71319" w:rsidRPr="004E7A10">
        <w:rPr>
          <w:rFonts w:ascii="Garamond" w:hAnsi="Garamond" w:cs="Times New Roman"/>
          <w:b/>
          <w:sz w:val="21"/>
          <w:szCs w:val="21"/>
        </w:rPr>
        <w:t>later</w:t>
      </w:r>
      <w:r w:rsidR="005C1EC8" w:rsidRPr="004E7A10">
        <w:rPr>
          <w:rFonts w:ascii="Garamond" w:hAnsi="Garamond" w:cs="Times New Roman"/>
          <w:b/>
          <w:sz w:val="21"/>
          <w:szCs w:val="21"/>
        </w:rPr>
        <w:t>,</w:t>
      </w:r>
      <w:r w:rsidR="0068429B" w:rsidRPr="004E7A10">
        <w:rPr>
          <w:rFonts w:ascii="Garamond" w:hAnsi="Garamond" w:cs="Times New Roman"/>
          <w:b/>
          <w:sz w:val="21"/>
          <w:szCs w:val="21"/>
        </w:rPr>
        <w:t xml:space="preserve"> gradually approach</w:t>
      </w:r>
      <w:r w:rsidR="005C1EC8" w:rsidRPr="004E7A10">
        <w:rPr>
          <w:rFonts w:ascii="Garamond" w:hAnsi="Garamond" w:cs="Times New Roman"/>
          <w:b/>
          <w:sz w:val="21"/>
          <w:szCs w:val="21"/>
        </w:rPr>
        <w:t>ing</w:t>
      </w:r>
      <w:r w:rsidR="0068429B" w:rsidRPr="004E7A10">
        <w:rPr>
          <w:rFonts w:ascii="Garamond" w:hAnsi="Garamond" w:cs="Times New Roman"/>
          <w:b/>
          <w:sz w:val="21"/>
          <w:szCs w:val="21"/>
        </w:rPr>
        <w:t xml:space="preserve"> </w:t>
      </w:r>
      <w:r w:rsidR="00660112" w:rsidRPr="004E7A10">
        <w:rPr>
          <w:rFonts w:ascii="Garamond" w:hAnsi="Garamond" w:cs="Times New Roman"/>
          <w:b/>
          <w:sz w:val="21"/>
          <w:szCs w:val="21"/>
        </w:rPr>
        <w:t xml:space="preserve">the </w:t>
      </w:r>
      <w:r w:rsidR="0068429B" w:rsidRPr="004E7A10">
        <w:rPr>
          <w:rFonts w:ascii="Garamond" w:hAnsi="Garamond" w:cs="Times New Roman"/>
          <w:b/>
          <w:sz w:val="21"/>
          <w:szCs w:val="21"/>
        </w:rPr>
        <w:t>long-term equilibrium</w:t>
      </w:r>
      <w:r w:rsidR="00660112" w:rsidRPr="004E7A10">
        <w:rPr>
          <w:rFonts w:ascii="Garamond" w:hAnsi="Garamond" w:cs="Times New Roman"/>
          <w:b/>
          <w:sz w:val="21"/>
          <w:szCs w:val="21"/>
        </w:rPr>
        <w:t>.</w:t>
      </w:r>
    </w:p>
    <w:p w14:paraId="7A580A24"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00CD6527" w:rsidRPr="004E7A10">
        <w:rPr>
          <w:rFonts w:ascii="Garamond" w:hAnsi="Garamond" w:cs="Times New Roman"/>
          <w:sz w:val="21"/>
          <w:szCs w:val="21"/>
        </w:rPr>
        <w:t>1st</w:t>
      </w:r>
      <w:r w:rsidR="003C0E89" w:rsidRPr="004E7A10">
        <w:rPr>
          <w:rFonts w:ascii="Garamond" w:hAnsi="Garamond" w:cs="Times New Roman"/>
          <w:sz w:val="21"/>
          <w:szCs w:val="21"/>
        </w:rPr>
        <w:t xml:space="preserve"> </w:t>
      </w:r>
      <w:r w:rsidRPr="004E7A10">
        <w:rPr>
          <w:rFonts w:ascii="Garamond" w:hAnsi="Garamond" w:cs="Times New Roman"/>
          <w:sz w:val="21"/>
          <w:szCs w:val="21"/>
        </w:rPr>
        <w:t>quarter of 201</w:t>
      </w:r>
      <w:r w:rsidR="00CD6527" w:rsidRPr="004E7A10">
        <w:rPr>
          <w:rFonts w:ascii="Garamond" w:hAnsi="Garamond" w:cs="Times New Roman"/>
          <w:sz w:val="21"/>
          <w:szCs w:val="21"/>
        </w:rPr>
        <w:t>5</w:t>
      </w:r>
      <w:r w:rsidRPr="004E7A10">
        <w:rPr>
          <w:rFonts w:ascii="Garamond" w:hAnsi="Garamond" w:cs="Times New Roman"/>
          <w:sz w:val="21"/>
          <w:szCs w:val="21"/>
        </w:rPr>
        <w:t>,</w:t>
      </w:r>
      <w:r w:rsidR="001B24BB" w:rsidRPr="004E7A10">
        <w:rPr>
          <w:rFonts w:ascii="Garamond" w:hAnsi="Garamond" w:cs="Times New Roman"/>
          <w:sz w:val="21"/>
          <w:szCs w:val="21"/>
        </w:rPr>
        <w:t xml:space="preserve"> the domestic demand </w:t>
      </w:r>
      <w:r w:rsidR="00CD6527" w:rsidRPr="004E7A10">
        <w:rPr>
          <w:rFonts w:ascii="Garamond" w:hAnsi="Garamond" w:cs="Times New Roman"/>
          <w:sz w:val="21"/>
          <w:szCs w:val="21"/>
        </w:rPr>
        <w:t>grew somewhat relative to the projection</w:t>
      </w:r>
      <w:r w:rsidR="001B24BB" w:rsidRPr="004E7A10">
        <w:rPr>
          <w:rFonts w:ascii="Garamond" w:hAnsi="Garamond" w:cs="Times New Roman"/>
          <w:sz w:val="21"/>
          <w:szCs w:val="21"/>
        </w:rPr>
        <w:t xml:space="preserve"> attributable to </w:t>
      </w:r>
      <w:r w:rsidR="00CD6527" w:rsidRPr="004E7A10">
        <w:rPr>
          <w:rFonts w:ascii="Garamond" w:hAnsi="Garamond" w:cs="Times New Roman"/>
          <w:sz w:val="21"/>
          <w:szCs w:val="21"/>
        </w:rPr>
        <w:t xml:space="preserve">lesser </w:t>
      </w:r>
      <w:r w:rsidR="001B24BB" w:rsidRPr="004E7A10">
        <w:rPr>
          <w:rFonts w:ascii="Garamond" w:hAnsi="Garamond" w:cs="Times New Roman"/>
          <w:sz w:val="21"/>
          <w:szCs w:val="21"/>
        </w:rPr>
        <w:t>d</w:t>
      </w:r>
      <w:r w:rsidR="001931C1" w:rsidRPr="004E7A10">
        <w:rPr>
          <w:rFonts w:ascii="Garamond" w:hAnsi="Garamond" w:cs="Times New Roman"/>
          <w:sz w:val="21"/>
          <w:szCs w:val="21"/>
        </w:rPr>
        <w:t xml:space="preserve">eclined </w:t>
      </w:r>
      <w:r w:rsidR="001931C1" w:rsidRPr="004E7A10">
        <w:rPr>
          <w:rFonts w:ascii="Garamond" w:hAnsi="Garamond" w:cs="Times New Roman"/>
          <w:b/>
          <w:sz w:val="21"/>
          <w:szCs w:val="21"/>
        </w:rPr>
        <w:t>private consumption</w:t>
      </w:r>
      <w:r w:rsidR="00CD6527" w:rsidRPr="004E7A10">
        <w:rPr>
          <w:rFonts w:ascii="Garamond" w:hAnsi="Garamond" w:cs="Times New Roman"/>
          <w:sz w:val="21"/>
          <w:szCs w:val="21"/>
        </w:rPr>
        <w:t xml:space="preserve">. However, </w:t>
      </w:r>
      <w:r w:rsidR="001931C1" w:rsidRPr="004E7A10">
        <w:rPr>
          <w:rFonts w:ascii="Garamond" w:hAnsi="Garamond" w:cs="Times New Roman"/>
          <w:b/>
          <w:sz w:val="21"/>
          <w:szCs w:val="21"/>
        </w:rPr>
        <w:t>investment activity</w:t>
      </w:r>
      <w:r w:rsidR="001B24BB" w:rsidRPr="004E7A10">
        <w:rPr>
          <w:rFonts w:ascii="Garamond" w:hAnsi="Garamond" w:cs="Times New Roman"/>
          <w:b/>
          <w:sz w:val="21"/>
          <w:szCs w:val="21"/>
        </w:rPr>
        <w:t xml:space="preserve"> </w:t>
      </w:r>
      <w:r w:rsidR="00CD6527" w:rsidRPr="004E7A10">
        <w:rPr>
          <w:rFonts w:ascii="Garamond" w:hAnsi="Garamond" w:cs="Times New Roman"/>
          <w:sz w:val="21"/>
          <w:szCs w:val="21"/>
        </w:rPr>
        <w:t xml:space="preserve">has been consistent with </w:t>
      </w:r>
      <w:r w:rsidR="0042176A" w:rsidRPr="004E7A10">
        <w:rPr>
          <w:rFonts w:ascii="Garamond" w:hAnsi="Garamond" w:cs="Times New Roman"/>
          <w:sz w:val="21"/>
          <w:szCs w:val="21"/>
        </w:rPr>
        <w:t xml:space="preserve">an expected low level </w:t>
      </w:r>
      <w:r w:rsidR="001B24BB" w:rsidRPr="004E7A10">
        <w:rPr>
          <w:rFonts w:ascii="Garamond" w:hAnsi="Garamond" w:cs="Times New Roman"/>
          <w:sz w:val="21"/>
          <w:szCs w:val="21"/>
        </w:rPr>
        <w:t>mainly due to</w:t>
      </w:r>
      <w:r w:rsidR="0042176A" w:rsidRPr="004E7A10">
        <w:rPr>
          <w:rFonts w:ascii="Garamond" w:hAnsi="Garamond"/>
        </w:rPr>
        <w:t xml:space="preserve"> </w:t>
      </w:r>
      <w:r w:rsidR="0042176A" w:rsidRPr="004E7A10">
        <w:rPr>
          <w:rFonts w:ascii="Garamond" w:hAnsi="Garamond" w:cs="Times New Roman"/>
          <w:sz w:val="21"/>
          <w:szCs w:val="21"/>
        </w:rPr>
        <w:t>weaker construction sector activity and slower growth rate in credit to enterprises.</w:t>
      </w:r>
      <w:r w:rsidR="001B24BB" w:rsidRPr="004E7A10">
        <w:rPr>
          <w:rFonts w:ascii="Garamond" w:hAnsi="Garamond" w:cs="Times New Roman"/>
          <w:sz w:val="21"/>
          <w:szCs w:val="21"/>
        </w:rPr>
        <w:t xml:space="preserve"> </w:t>
      </w:r>
      <w:r w:rsidR="00C86AD3" w:rsidRPr="004E7A10">
        <w:rPr>
          <w:rFonts w:ascii="Garamond" w:hAnsi="Garamond" w:cs="Times New Roman"/>
          <w:sz w:val="21"/>
          <w:szCs w:val="21"/>
        </w:rPr>
        <w:t xml:space="preserve">It is estimated that in </w:t>
      </w:r>
      <w:r w:rsidR="0042176A" w:rsidRPr="004E7A10">
        <w:rPr>
          <w:rFonts w:ascii="Garamond" w:hAnsi="Garamond" w:cs="Times New Roman"/>
          <w:sz w:val="21"/>
          <w:szCs w:val="21"/>
        </w:rPr>
        <w:t xml:space="preserve">the 1st quarter of </w:t>
      </w:r>
      <w:r w:rsidR="00C86AD3" w:rsidRPr="004E7A10">
        <w:rPr>
          <w:rFonts w:ascii="Garamond" w:hAnsi="Garamond" w:cs="Times New Roman"/>
          <w:sz w:val="21"/>
          <w:szCs w:val="21"/>
        </w:rPr>
        <w:t>201</w:t>
      </w:r>
      <w:r w:rsidR="0042176A" w:rsidRPr="004E7A10">
        <w:rPr>
          <w:rFonts w:ascii="Garamond" w:hAnsi="Garamond" w:cs="Times New Roman"/>
          <w:sz w:val="21"/>
          <w:szCs w:val="21"/>
        </w:rPr>
        <w:t>5</w:t>
      </w:r>
      <w:r w:rsidR="00C86AD3" w:rsidRPr="004E7A10">
        <w:rPr>
          <w:rFonts w:ascii="Garamond" w:hAnsi="Garamond" w:cs="Times New Roman"/>
          <w:sz w:val="21"/>
          <w:szCs w:val="21"/>
        </w:rPr>
        <w:t xml:space="preserve">, compared to the </w:t>
      </w:r>
      <w:r w:rsidR="0042176A" w:rsidRPr="004E7A10">
        <w:rPr>
          <w:rFonts w:ascii="Garamond" w:hAnsi="Garamond" w:cs="Times New Roman"/>
          <w:sz w:val="21"/>
          <w:szCs w:val="21"/>
        </w:rPr>
        <w:t xml:space="preserve">same reference period last </w:t>
      </w:r>
      <w:r w:rsidR="00C86AD3" w:rsidRPr="004E7A10">
        <w:rPr>
          <w:rFonts w:ascii="Garamond" w:hAnsi="Garamond" w:cs="Times New Roman"/>
          <w:sz w:val="21"/>
          <w:szCs w:val="21"/>
        </w:rPr>
        <w:t xml:space="preserve">year, private consumption spending will </w:t>
      </w:r>
      <w:r w:rsidR="0042176A" w:rsidRPr="004E7A10">
        <w:rPr>
          <w:rFonts w:ascii="Garamond" w:hAnsi="Garamond" w:cs="Times New Roman"/>
          <w:sz w:val="21"/>
          <w:szCs w:val="21"/>
        </w:rPr>
        <w:t xml:space="preserve">decrease by 1.3% and </w:t>
      </w:r>
      <w:r w:rsidR="00C86AD3" w:rsidRPr="004E7A10">
        <w:rPr>
          <w:rFonts w:ascii="Garamond" w:hAnsi="Garamond" w:cs="Times New Roman"/>
          <w:sz w:val="21"/>
          <w:szCs w:val="21"/>
        </w:rPr>
        <w:t>private investment</w:t>
      </w:r>
      <w:r w:rsidR="0042176A" w:rsidRPr="004E7A10">
        <w:rPr>
          <w:rFonts w:ascii="Garamond" w:hAnsi="Garamond" w:cs="Times New Roman"/>
          <w:sz w:val="21"/>
          <w:szCs w:val="21"/>
        </w:rPr>
        <w:t>, by 7.4%.</w:t>
      </w:r>
      <w:r w:rsidR="00C86AD3" w:rsidRPr="004E7A10">
        <w:rPr>
          <w:rFonts w:ascii="Garamond" w:hAnsi="Garamond" w:cs="Times New Roman"/>
          <w:sz w:val="21"/>
          <w:szCs w:val="21"/>
        </w:rPr>
        <w:t xml:space="preserve"> </w:t>
      </w:r>
      <w:r w:rsidR="006C7B46" w:rsidRPr="004E7A10">
        <w:rPr>
          <w:rFonts w:ascii="Garamond" w:hAnsi="Garamond" w:cs="Times New Roman"/>
          <w:sz w:val="21"/>
          <w:szCs w:val="21"/>
        </w:rPr>
        <w:t xml:space="preserve">Lagged effect from implemented expansionary fiscal and monetary policies and expansionary impact of the fiscal policy implemented in 1st quarter of 2015 somehow offset the </w:t>
      </w:r>
      <w:r w:rsidR="00C86AD3" w:rsidRPr="004E7A10">
        <w:rPr>
          <w:rFonts w:ascii="Garamond" w:hAnsi="Garamond" w:cs="Times New Roman"/>
          <w:sz w:val="21"/>
          <w:szCs w:val="21"/>
        </w:rPr>
        <w:t>negative impact of these factors on the aggregate demand</w:t>
      </w:r>
      <w:r w:rsidR="006C7B46" w:rsidRPr="004E7A10">
        <w:rPr>
          <w:rFonts w:ascii="Garamond" w:hAnsi="Garamond" w:cs="Times New Roman"/>
          <w:sz w:val="21"/>
          <w:szCs w:val="21"/>
        </w:rPr>
        <w:t>.</w:t>
      </w:r>
      <w:r w:rsidR="00C86AD3" w:rsidRPr="004E7A10">
        <w:rPr>
          <w:rFonts w:ascii="Garamond" w:hAnsi="Garamond" w:cs="Times New Roman"/>
          <w:sz w:val="21"/>
          <w:szCs w:val="21"/>
        </w:rPr>
        <w:t xml:space="preserve"> </w:t>
      </w:r>
      <w:r w:rsidR="00C67F8F" w:rsidRPr="004E7A10">
        <w:rPr>
          <w:rFonts w:ascii="Garamond" w:hAnsi="Garamond" w:cs="Times New Roman"/>
          <w:sz w:val="21"/>
          <w:szCs w:val="21"/>
        </w:rPr>
        <w:t>S</w:t>
      </w:r>
      <w:r w:rsidR="006C7B46" w:rsidRPr="004E7A10">
        <w:rPr>
          <w:rFonts w:ascii="Garamond" w:hAnsi="Garamond" w:cs="Times New Roman"/>
          <w:sz w:val="21"/>
          <w:szCs w:val="21"/>
        </w:rPr>
        <w:t>ome growth in</w:t>
      </w:r>
      <w:r w:rsidR="00C67F8F" w:rsidRPr="004E7A10">
        <w:rPr>
          <w:rFonts w:ascii="Garamond" w:hAnsi="Garamond" w:cs="Times New Roman"/>
          <w:sz w:val="21"/>
          <w:szCs w:val="21"/>
        </w:rPr>
        <w:t xml:space="preserve"> economic </w:t>
      </w:r>
      <w:r w:rsidR="006C7B46" w:rsidRPr="004E7A10">
        <w:rPr>
          <w:rFonts w:ascii="Garamond" w:hAnsi="Garamond" w:cs="Times New Roman"/>
          <w:sz w:val="21"/>
          <w:szCs w:val="21"/>
        </w:rPr>
        <w:t>activity</w:t>
      </w:r>
      <w:r w:rsidR="00C67F8F" w:rsidRPr="004E7A10">
        <w:rPr>
          <w:rFonts w:ascii="Garamond" w:hAnsi="Garamond" w:cs="Times New Roman"/>
          <w:sz w:val="21"/>
          <w:szCs w:val="21"/>
        </w:rPr>
        <w:t xml:space="preserve"> in terms of supply this quarter was due to </w:t>
      </w:r>
      <w:r w:rsidR="006C7B46" w:rsidRPr="004E7A10">
        <w:rPr>
          <w:rFonts w:ascii="Garamond" w:hAnsi="Garamond" w:cs="Times New Roman"/>
          <w:sz w:val="21"/>
          <w:szCs w:val="21"/>
        </w:rPr>
        <w:t>higher-than-expected growth in agricultural output and lesser decline in construction</w:t>
      </w:r>
      <w:r w:rsidR="003537E0" w:rsidRPr="004E7A10">
        <w:rPr>
          <w:rFonts w:ascii="Garamond" w:hAnsi="Garamond" w:cs="Times New Roman"/>
          <w:sz w:val="21"/>
          <w:szCs w:val="21"/>
        </w:rPr>
        <w:t>.</w:t>
      </w:r>
      <w:r w:rsidR="00A700F1" w:rsidRPr="004E7A10">
        <w:rPr>
          <w:rFonts w:ascii="Garamond" w:hAnsi="Garamond" w:cs="Times New Roman"/>
          <w:sz w:val="21"/>
          <w:szCs w:val="21"/>
        </w:rPr>
        <w:t xml:space="preserve"> </w:t>
      </w:r>
      <w:r w:rsidRPr="004E7A10">
        <w:rPr>
          <w:rFonts w:ascii="Garamond" w:hAnsi="Garamond" w:cs="Times New Roman"/>
          <w:sz w:val="21"/>
          <w:szCs w:val="21"/>
        </w:rPr>
        <w:t xml:space="preserve">As a result, </w:t>
      </w:r>
      <w:r w:rsidR="006C7B46" w:rsidRPr="004E7A10">
        <w:rPr>
          <w:rFonts w:ascii="Garamond" w:hAnsi="Garamond" w:cs="Times New Roman"/>
          <w:b/>
          <w:sz w:val="21"/>
          <w:szCs w:val="21"/>
        </w:rPr>
        <w:t>the 1st quarter</w:t>
      </w:r>
      <w:r w:rsidR="006C7B46" w:rsidRPr="004E7A10">
        <w:rPr>
          <w:rFonts w:ascii="Garamond" w:hAnsi="Garamond" w:cs="Times New Roman"/>
          <w:sz w:val="21"/>
          <w:szCs w:val="21"/>
        </w:rPr>
        <w:t xml:space="preserve"> </w:t>
      </w:r>
      <w:r w:rsidRPr="004E7A10">
        <w:rPr>
          <w:rFonts w:ascii="Garamond" w:hAnsi="Garamond" w:cs="Times New Roman"/>
          <w:b/>
          <w:sz w:val="21"/>
          <w:szCs w:val="21"/>
        </w:rPr>
        <w:t xml:space="preserve">economic growth </w:t>
      </w:r>
      <w:r w:rsidR="006C7B46" w:rsidRPr="004E7A10">
        <w:rPr>
          <w:rFonts w:ascii="Garamond" w:hAnsi="Garamond" w:cs="Times New Roman"/>
          <w:b/>
          <w:sz w:val="21"/>
          <w:szCs w:val="21"/>
        </w:rPr>
        <w:t>is estimated in</w:t>
      </w:r>
      <w:r w:rsidRPr="004E7A10">
        <w:rPr>
          <w:rFonts w:ascii="Garamond" w:hAnsi="Garamond" w:cs="Times New Roman"/>
          <w:b/>
          <w:sz w:val="21"/>
          <w:szCs w:val="21"/>
        </w:rPr>
        <w:t xml:space="preserve"> the range</w:t>
      </w:r>
      <w:r w:rsidR="00DF7011" w:rsidRPr="004E7A10">
        <w:rPr>
          <w:rFonts w:ascii="Garamond" w:hAnsi="Garamond" w:cs="Times New Roman"/>
          <w:b/>
          <w:sz w:val="21"/>
          <w:szCs w:val="21"/>
        </w:rPr>
        <w:t xml:space="preserve"> of </w:t>
      </w:r>
      <w:r w:rsidR="006C7B46" w:rsidRPr="004E7A10">
        <w:rPr>
          <w:rFonts w:ascii="Garamond" w:hAnsi="Garamond" w:cs="Times New Roman"/>
          <w:b/>
          <w:sz w:val="21"/>
          <w:szCs w:val="21"/>
        </w:rPr>
        <w:t>2</w:t>
      </w:r>
      <w:r w:rsidRPr="004E7A10">
        <w:rPr>
          <w:rFonts w:ascii="Garamond" w:hAnsi="Garamond" w:cs="Times New Roman"/>
          <w:b/>
          <w:sz w:val="21"/>
          <w:szCs w:val="21"/>
        </w:rPr>
        <w:t>.</w:t>
      </w:r>
      <w:r w:rsidR="006C7B46" w:rsidRPr="004E7A10">
        <w:rPr>
          <w:rFonts w:ascii="Garamond" w:hAnsi="Garamond" w:cs="Times New Roman"/>
          <w:b/>
          <w:sz w:val="21"/>
          <w:szCs w:val="21"/>
        </w:rPr>
        <w:t>1</w:t>
      </w:r>
      <w:r w:rsidR="00DB3BB5" w:rsidRPr="004E7A10">
        <w:rPr>
          <w:rFonts w:ascii="Garamond" w:hAnsi="Garamond" w:cs="Times New Roman"/>
          <w:b/>
          <w:sz w:val="21"/>
          <w:szCs w:val="21"/>
        </w:rPr>
        <w:t>%</w:t>
      </w:r>
      <w:r w:rsidRPr="004E7A10">
        <w:rPr>
          <w:rFonts w:ascii="Garamond" w:hAnsi="Garamond" w:cs="Times New Roman"/>
          <w:b/>
          <w:sz w:val="21"/>
          <w:szCs w:val="21"/>
        </w:rPr>
        <w:t>-</w:t>
      </w:r>
      <w:r w:rsidR="006C7B46" w:rsidRPr="004E7A10">
        <w:rPr>
          <w:rFonts w:ascii="Garamond" w:hAnsi="Garamond" w:cs="Times New Roman"/>
          <w:b/>
          <w:sz w:val="21"/>
          <w:szCs w:val="21"/>
        </w:rPr>
        <w:t>2</w:t>
      </w:r>
      <w:r w:rsidRPr="004E7A10">
        <w:rPr>
          <w:rFonts w:ascii="Garamond" w:hAnsi="Garamond" w:cs="Times New Roman"/>
          <w:b/>
          <w:sz w:val="21"/>
          <w:szCs w:val="21"/>
        </w:rPr>
        <w:t>.</w:t>
      </w:r>
      <w:r w:rsidR="003537E0" w:rsidRPr="004E7A10">
        <w:rPr>
          <w:rFonts w:ascii="Garamond" w:hAnsi="Garamond" w:cs="Times New Roman"/>
          <w:b/>
          <w:sz w:val="21"/>
          <w:szCs w:val="21"/>
        </w:rPr>
        <w:t>5</w:t>
      </w:r>
      <w:r w:rsidRPr="004E7A10">
        <w:rPr>
          <w:rFonts w:ascii="Garamond" w:hAnsi="Garamond" w:cs="Times New Roman"/>
          <w:b/>
          <w:sz w:val="21"/>
          <w:szCs w:val="21"/>
        </w:rPr>
        <w:t>%</w:t>
      </w:r>
      <w:r w:rsidRPr="004E7A10">
        <w:rPr>
          <w:rFonts w:ascii="Garamond" w:hAnsi="Garamond" w:cs="Times New Roman"/>
          <w:sz w:val="21"/>
          <w:szCs w:val="21"/>
        </w:rPr>
        <w:t xml:space="preserve">. </w:t>
      </w:r>
    </w:p>
    <w:p w14:paraId="1E8A0A81" w14:textId="77777777" w:rsidR="0093518C" w:rsidRPr="004E7A10" w:rsidRDefault="0093518C" w:rsidP="00A9653E">
      <w:pPr>
        <w:spacing w:line="360" w:lineRule="auto"/>
        <w:jc w:val="both"/>
        <w:rPr>
          <w:rFonts w:ascii="Garamond" w:hAnsi="Garamond" w:cs="Times New Roman"/>
          <w:b/>
          <w:color w:val="0070C0"/>
          <w:sz w:val="18"/>
          <w:szCs w:val="18"/>
        </w:rPr>
      </w:pPr>
      <w:r w:rsidRPr="004E7A10">
        <w:rPr>
          <w:rFonts w:ascii="Garamond" w:hAnsi="Garamond" w:cs="Times New Roman"/>
          <w:b/>
          <w:color w:val="0070C0"/>
          <w:sz w:val="18"/>
          <w:szCs w:val="18"/>
        </w:rPr>
        <w:t xml:space="preserve">In </w:t>
      </w:r>
      <w:r w:rsidR="000C71B0">
        <w:rPr>
          <w:rFonts w:ascii="Garamond" w:hAnsi="Garamond" w:cs="Times New Roman"/>
          <w:b/>
          <w:color w:val="0070C0"/>
          <w:sz w:val="18"/>
          <w:szCs w:val="18"/>
        </w:rPr>
        <w:t>the 1st</w:t>
      </w:r>
      <w:r w:rsidRPr="004E7A10">
        <w:rPr>
          <w:rFonts w:ascii="Garamond" w:hAnsi="Garamond" w:cs="Times New Roman"/>
          <w:b/>
          <w:color w:val="0070C0"/>
          <w:sz w:val="18"/>
          <w:szCs w:val="18"/>
        </w:rPr>
        <w:t xml:space="preserve"> </w:t>
      </w:r>
      <w:r w:rsidR="000C71B0">
        <w:rPr>
          <w:rFonts w:ascii="Garamond" w:hAnsi="Garamond" w:cs="Times New Roman"/>
          <w:b/>
          <w:color w:val="0070C0"/>
          <w:sz w:val="18"/>
          <w:szCs w:val="18"/>
        </w:rPr>
        <w:t xml:space="preserve">quarter of 2015, </w:t>
      </w:r>
      <w:r w:rsidRPr="004E7A10">
        <w:rPr>
          <w:rFonts w:ascii="Garamond" w:hAnsi="Garamond" w:cs="Times New Roman"/>
          <w:b/>
          <w:color w:val="0070C0"/>
          <w:sz w:val="18"/>
          <w:szCs w:val="18"/>
        </w:rPr>
        <w:t>economic growth will be in the range</w:t>
      </w:r>
      <w:r w:rsidR="00DB3BB5" w:rsidRPr="004E7A10">
        <w:rPr>
          <w:rFonts w:ascii="Garamond" w:hAnsi="Garamond" w:cs="Times New Roman"/>
          <w:b/>
          <w:color w:val="0070C0"/>
          <w:sz w:val="18"/>
          <w:szCs w:val="18"/>
        </w:rPr>
        <w:t xml:space="preserve"> of</w:t>
      </w:r>
      <w:r w:rsidRPr="004E7A10">
        <w:rPr>
          <w:rFonts w:ascii="Garamond" w:hAnsi="Garamond" w:cs="Times New Roman"/>
          <w:b/>
          <w:color w:val="0070C0"/>
          <w:sz w:val="18"/>
          <w:szCs w:val="18"/>
        </w:rPr>
        <w:t xml:space="preserve"> </w:t>
      </w:r>
      <w:r w:rsidR="000C71B0">
        <w:rPr>
          <w:rFonts w:ascii="Garamond" w:hAnsi="Garamond" w:cs="Times New Roman"/>
          <w:b/>
          <w:color w:val="0070C0"/>
          <w:sz w:val="18"/>
          <w:szCs w:val="18"/>
        </w:rPr>
        <w:t>2</w:t>
      </w:r>
      <w:r w:rsidRPr="004E7A10">
        <w:rPr>
          <w:rFonts w:ascii="Garamond" w:hAnsi="Garamond" w:cs="Times New Roman"/>
          <w:b/>
          <w:color w:val="0070C0"/>
          <w:sz w:val="18"/>
          <w:szCs w:val="18"/>
        </w:rPr>
        <w:t>.</w:t>
      </w:r>
      <w:r w:rsidR="000C71B0">
        <w:rPr>
          <w:rFonts w:ascii="Garamond" w:hAnsi="Garamond" w:cs="Times New Roman"/>
          <w:b/>
          <w:color w:val="0070C0"/>
          <w:sz w:val="18"/>
          <w:szCs w:val="18"/>
        </w:rPr>
        <w:t>1</w:t>
      </w:r>
      <w:r w:rsidR="00DB3BB5" w:rsidRPr="004E7A10">
        <w:rPr>
          <w:rFonts w:ascii="Garamond" w:hAnsi="Garamond" w:cs="Times New Roman"/>
          <w:b/>
          <w:color w:val="0070C0"/>
          <w:sz w:val="18"/>
          <w:szCs w:val="18"/>
        </w:rPr>
        <w:t>%</w:t>
      </w:r>
      <w:r w:rsidRPr="004E7A10">
        <w:rPr>
          <w:rFonts w:ascii="Garamond" w:hAnsi="Garamond" w:cs="Times New Roman"/>
          <w:b/>
          <w:color w:val="0070C0"/>
          <w:sz w:val="18"/>
          <w:szCs w:val="18"/>
        </w:rPr>
        <w:t>-</w:t>
      </w:r>
      <w:r w:rsidR="000C71B0">
        <w:rPr>
          <w:rFonts w:ascii="Garamond" w:hAnsi="Garamond" w:cs="Times New Roman"/>
          <w:b/>
          <w:color w:val="0070C0"/>
          <w:sz w:val="18"/>
          <w:szCs w:val="18"/>
        </w:rPr>
        <w:t>2</w:t>
      </w:r>
      <w:r w:rsidRPr="004E7A10">
        <w:rPr>
          <w:rFonts w:ascii="Garamond" w:hAnsi="Garamond" w:cs="Times New Roman"/>
          <w:b/>
          <w:color w:val="0070C0"/>
          <w:sz w:val="18"/>
          <w:szCs w:val="18"/>
        </w:rPr>
        <w:t>.5%</w:t>
      </w:r>
      <w:r w:rsidR="009952F2" w:rsidRPr="004E7A10">
        <w:rPr>
          <w:rFonts w:ascii="Garamond" w:hAnsi="Garamond" w:cs="Times New Roman"/>
          <w:b/>
          <w:color w:val="0070C0"/>
          <w:sz w:val="18"/>
          <w:szCs w:val="18"/>
        </w:rPr>
        <w:t>...</w:t>
      </w:r>
    </w:p>
    <w:p w14:paraId="30C1C16B" w14:textId="77777777" w:rsidR="00F604ED" w:rsidRPr="004E7A10" w:rsidRDefault="00D666B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2015, both private consumption and private investment will reduce by 2.5% and 8.0%, respectively, </w:t>
      </w:r>
      <w:r w:rsidRPr="004E7A10">
        <w:rPr>
          <w:rFonts w:ascii="Garamond" w:hAnsi="Garamond" w:cs="Times New Roman"/>
          <w:b/>
          <w:sz w:val="21"/>
          <w:szCs w:val="21"/>
        </w:rPr>
        <w:t>a</w:t>
      </w:r>
      <w:r w:rsidR="00A9653E" w:rsidRPr="004E7A10">
        <w:rPr>
          <w:rFonts w:ascii="Garamond" w:hAnsi="Garamond" w:cs="Times New Roman"/>
          <w:b/>
          <w:sz w:val="21"/>
          <w:szCs w:val="21"/>
        </w:rPr>
        <w:t xml:space="preserve">ccording to </w:t>
      </w:r>
      <w:r w:rsidRPr="004E7A10">
        <w:rPr>
          <w:rFonts w:ascii="Garamond" w:hAnsi="Garamond" w:cs="Times New Roman"/>
          <w:b/>
          <w:sz w:val="21"/>
          <w:szCs w:val="21"/>
        </w:rPr>
        <w:t xml:space="preserve">the Central Bank </w:t>
      </w:r>
      <w:r w:rsidR="00A9653E" w:rsidRPr="004E7A10">
        <w:rPr>
          <w:rFonts w:ascii="Garamond" w:hAnsi="Garamond" w:cs="Times New Roman"/>
          <w:b/>
          <w:sz w:val="21"/>
          <w:szCs w:val="21"/>
        </w:rPr>
        <w:t>forecasts</w:t>
      </w:r>
      <w:r w:rsidR="00975307" w:rsidRPr="004E7A10">
        <w:rPr>
          <w:rFonts w:ascii="Garamond" w:hAnsi="Garamond" w:cs="Times New Roman"/>
          <w:sz w:val="21"/>
          <w:szCs w:val="21"/>
        </w:rPr>
        <w:t>. The fiscal impulse [</w:t>
      </w:r>
      <w:r w:rsidR="00362B67" w:rsidRPr="004E7A10">
        <w:rPr>
          <w:rFonts w:ascii="Garamond" w:hAnsi="Garamond" w:cs="Times New Roman"/>
          <w:sz w:val="21"/>
          <w:szCs w:val="21"/>
        </w:rPr>
        <w:t xml:space="preserve">calculated </w:t>
      </w:r>
      <w:r w:rsidR="00975307" w:rsidRPr="004E7A10">
        <w:rPr>
          <w:rFonts w:ascii="Garamond" w:hAnsi="Garamond" w:cs="Times New Roman"/>
          <w:sz w:val="21"/>
          <w:szCs w:val="21"/>
        </w:rPr>
        <w:t xml:space="preserve">in relation to the previous year] is estimated to be </w:t>
      </w:r>
      <w:r w:rsidR="00362B67" w:rsidRPr="004E7A10">
        <w:rPr>
          <w:rFonts w:ascii="Garamond" w:hAnsi="Garamond" w:cs="Times New Roman"/>
          <w:sz w:val="21"/>
          <w:szCs w:val="21"/>
        </w:rPr>
        <w:t>2.0-2.5</w:t>
      </w:r>
      <w:r w:rsidR="00975307" w:rsidRPr="004E7A10">
        <w:rPr>
          <w:rFonts w:ascii="Garamond" w:hAnsi="Garamond" w:cs="Times New Roman"/>
          <w:sz w:val="21"/>
          <w:szCs w:val="21"/>
        </w:rPr>
        <w:t xml:space="preserve"> expansionary during the year. </w:t>
      </w:r>
      <w:r w:rsidR="00362B67" w:rsidRPr="004E7A10">
        <w:rPr>
          <w:rFonts w:ascii="Garamond" w:hAnsi="Garamond" w:cs="Times New Roman"/>
          <w:sz w:val="21"/>
          <w:szCs w:val="21"/>
        </w:rPr>
        <w:t>Given that the information on the 1st quarter 2015 foreign trade indicators is not complete</w:t>
      </w:r>
      <w:r w:rsidR="002A15BA" w:rsidRPr="004E7A10">
        <w:rPr>
          <w:rFonts w:ascii="Garamond" w:hAnsi="Garamond" w:cs="Times New Roman"/>
          <w:sz w:val="21"/>
          <w:szCs w:val="21"/>
        </w:rPr>
        <w:t>,</w:t>
      </w:r>
      <w:r w:rsidR="00362B67" w:rsidRPr="004E7A10">
        <w:rPr>
          <w:rFonts w:ascii="Garamond" w:hAnsi="Garamond" w:cs="Times New Roman"/>
          <w:sz w:val="21"/>
          <w:szCs w:val="21"/>
        </w:rPr>
        <w:t xml:space="preserve"> </w:t>
      </w:r>
      <w:r w:rsidR="00AD1FDD" w:rsidRPr="004E7A10">
        <w:rPr>
          <w:rFonts w:ascii="Garamond" w:hAnsi="Garamond" w:cs="Times New Roman"/>
          <w:sz w:val="21"/>
          <w:szCs w:val="21"/>
        </w:rPr>
        <w:t xml:space="preserve">forecasts of </w:t>
      </w:r>
      <w:r w:rsidR="00975307" w:rsidRPr="004E7A10">
        <w:rPr>
          <w:rFonts w:ascii="Garamond" w:hAnsi="Garamond" w:cs="Times New Roman"/>
          <w:sz w:val="21"/>
          <w:szCs w:val="21"/>
        </w:rPr>
        <w:t xml:space="preserve">real </w:t>
      </w:r>
      <w:r w:rsidR="00D51D5A" w:rsidRPr="004E7A10">
        <w:rPr>
          <w:rFonts w:ascii="Garamond" w:hAnsi="Garamond" w:cs="Times New Roman"/>
          <w:sz w:val="21"/>
          <w:szCs w:val="21"/>
        </w:rPr>
        <w:t xml:space="preserve">growth of </w:t>
      </w:r>
      <w:r w:rsidR="00975307" w:rsidRPr="004E7A10">
        <w:rPr>
          <w:rFonts w:ascii="Garamond" w:hAnsi="Garamond" w:cs="Times New Roman"/>
          <w:sz w:val="21"/>
          <w:szCs w:val="21"/>
        </w:rPr>
        <w:t xml:space="preserve">export </w:t>
      </w:r>
      <w:r w:rsidR="00AD1FDD" w:rsidRPr="004E7A10">
        <w:rPr>
          <w:rFonts w:ascii="Garamond" w:hAnsi="Garamond" w:cs="Times New Roman"/>
          <w:sz w:val="21"/>
          <w:szCs w:val="21"/>
        </w:rPr>
        <w:t xml:space="preserve">and import </w:t>
      </w:r>
      <w:r w:rsidR="00975307" w:rsidRPr="004E7A10">
        <w:rPr>
          <w:rFonts w:ascii="Garamond" w:hAnsi="Garamond" w:cs="Times New Roman"/>
          <w:sz w:val="21"/>
          <w:szCs w:val="21"/>
        </w:rPr>
        <w:t>of goods and services</w:t>
      </w:r>
      <w:r w:rsidR="00AD1FDD" w:rsidRPr="004E7A10">
        <w:rPr>
          <w:rFonts w:ascii="Garamond" w:hAnsi="Garamond" w:cs="Times New Roman"/>
          <w:sz w:val="21"/>
          <w:szCs w:val="21"/>
        </w:rPr>
        <w:t xml:space="preserve"> for 2015</w:t>
      </w:r>
      <w:r w:rsidR="00975307" w:rsidRPr="004E7A10">
        <w:rPr>
          <w:rFonts w:ascii="Garamond" w:hAnsi="Garamond" w:cs="Times New Roman"/>
          <w:sz w:val="21"/>
          <w:szCs w:val="21"/>
        </w:rPr>
        <w:t xml:space="preserve"> </w:t>
      </w:r>
      <w:r w:rsidR="00AD1FDD" w:rsidRPr="004E7A10">
        <w:rPr>
          <w:rFonts w:ascii="Garamond" w:hAnsi="Garamond" w:cs="Times New Roman"/>
          <w:sz w:val="21"/>
          <w:szCs w:val="21"/>
        </w:rPr>
        <w:t xml:space="preserve">remained unrevised. This means that the real growth of export of goods and services </w:t>
      </w:r>
      <w:r w:rsidR="00D51D5A" w:rsidRPr="004E7A10">
        <w:rPr>
          <w:rFonts w:ascii="Garamond" w:hAnsi="Garamond" w:cs="Times New Roman"/>
          <w:sz w:val="21"/>
          <w:szCs w:val="21"/>
        </w:rPr>
        <w:t>is expected within 7.0</w:t>
      </w:r>
      <w:r w:rsidR="00C158EC" w:rsidRPr="004E7A10">
        <w:rPr>
          <w:rFonts w:ascii="Garamond" w:hAnsi="Garamond" w:cs="Times New Roman"/>
          <w:sz w:val="21"/>
          <w:szCs w:val="21"/>
        </w:rPr>
        <w:t>%</w:t>
      </w:r>
      <w:r w:rsidR="00D51D5A" w:rsidRPr="004E7A10">
        <w:rPr>
          <w:rFonts w:ascii="Garamond" w:hAnsi="Garamond" w:cs="Times New Roman"/>
          <w:sz w:val="21"/>
          <w:szCs w:val="21"/>
        </w:rPr>
        <w:t xml:space="preserve">-9.0% while the </w:t>
      </w:r>
      <w:r w:rsidR="007F1B8D" w:rsidRPr="004E7A10">
        <w:rPr>
          <w:rFonts w:ascii="Garamond" w:hAnsi="Garamond" w:cs="Times New Roman"/>
          <w:sz w:val="21"/>
          <w:szCs w:val="21"/>
        </w:rPr>
        <w:t xml:space="preserve">decline in </w:t>
      </w:r>
      <w:r w:rsidR="00D51D5A" w:rsidRPr="004E7A10">
        <w:rPr>
          <w:rFonts w:ascii="Garamond" w:hAnsi="Garamond" w:cs="Times New Roman"/>
          <w:sz w:val="21"/>
          <w:szCs w:val="21"/>
        </w:rPr>
        <w:t xml:space="preserve">import of goods and services </w:t>
      </w:r>
      <w:r w:rsidR="007F1B8D" w:rsidRPr="004E7A10">
        <w:rPr>
          <w:rFonts w:ascii="Garamond" w:hAnsi="Garamond" w:cs="Times New Roman"/>
          <w:sz w:val="21"/>
          <w:szCs w:val="21"/>
        </w:rPr>
        <w:t xml:space="preserve">in real terms </w:t>
      </w:r>
      <w:r w:rsidR="00D51D5A" w:rsidRPr="004E7A10">
        <w:rPr>
          <w:rFonts w:ascii="Garamond" w:hAnsi="Garamond" w:cs="Times New Roman"/>
          <w:sz w:val="21"/>
          <w:szCs w:val="21"/>
        </w:rPr>
        <w:t>in the range</w:t>
      </w:r>
      <w:r w:rsidR="00DB3BB5" w:rsidRPr="004E7A10">
        <w:rPr>
          <w:rFonts w:ascii="Garamond" w:hAnsi="Garamond" w:cs="Times New Roman"/>
          <w:sz w:val="21"/>
          <w:szCs w:val="21"/>
        </w:rPr>
        <w:t xml:space="preserve"> of</w:t>
      </w:r>
      <w:r w:rsidR="00D51D5A" w:rsidRPr="004E7A10">
        <w:rPr>
          <w:rFonts w:ascii="Garamond" w:hAnsi="Garamond" w:cs="Times New Roman"/>
          <w:sz w:val="21"/>
          <w:szCs w:val="21"/>
        </w:rPr>
        <w:t xml:space="preserve"> 4.0</w:t>
      </w:r>
      <w:r w:rsidR="00C158EC" w:rsidRPr="004E7A10">
        <w:rPr>
          <w:rFonts w:ascii="Garamond" w:hAnsi="Garamond" w:cs="Times New Roman"/>
          <w:sz w:val="21"/>
          <w:szCs w:val="21"/>
        </w:rPr>
        <w:t>%</w:t>
      </w:r>
      <w:r w:rsidR="00D51D5A" w:rsidRPr="004E7A10">
        <w:rPr>
          <w:rFonts w:ascii="Garamond" w:hAnsi="Garamond" w:cs="Times New Roman"/>
          <w:sz w:val="21"/>
          <w:szCs w:val="21"/>
        </w:rPr>
        <w:t xml:space="preserve">-6.0%. </w:t>
      </w:r>
      <w:r w:rsidR="00CC71BF" w:rsidRPr="004E7A10">
        <w:rPr>
          <w:rFonts w:ascii="Garamond" w:hAnsi="Garamond" w:cs="Times New Roman"/>
          <w:sz w:val="21"/>
          <w:szCs w:val="21"/>
        </w:rPr>
        <w:t xml:space="preserve">Moreover, </w:t>
      </w:r>
      <w:r w:rsidR="00975307" w:rsidRPr="004E7A10">
        <w:rPr>
          <w:rFonts w:ascii="Garamond" w:hAnsi="Garamond" w:cs="Times New Roman"/>
          <w:sz w:val="21"/>
          <w:szCs w:val="21"/>
        </w:rPr>
        <w:t>a</w:t>
      </w:r>
      <w:r w:rsidR="00F604ED" w:rsidRPr="004E7A10">
        <w:rPr>
          <w:rFonts w:ascii="Garamond" w:hAnsi="Garamond" w:cs="Times New Roman"/>
          <w:sz w:val="21"/>
          <w:szCs w:val="21"/>
        </w:rPr>
        <w:t>bout 25</w:t>
      </w:r>
      <w:r w:rsidR="00975307" w:rsidRPr="004E7A10">
        <w:rPr>
          <w:rFonts w:ascii="Garamond" w:hAnsi="Garamond" w:cs="Times New Roman"/>
          <w:sz w:val="21"/>
          <w:szCs w:val="21"/>
        </w:rPr>
        <w:t>%</w:t>
      </w:r>
      <w:r w:rsidR="00CC71BF" w:rsidRPr="004E7A10">
        <w:rPr>
          <w:rFonts w:ascii="Garamond" w:hAnsi="Garamond" w:cs="Times New Roman"/>
          <w:sz w:val="21"/>
          <w:szCs w:val="21"/>
        </w:rPr>
        <w:t xml:space="preserve"> net reduction </w:t>
      </w:r>
      <w:r w:rsidR="00975307" w:rsidRPr="004E7A10">
        <w:rPr>
          <w:rFonts w:ascii="Garamond" w:hAnsi="Garamond" w:cs="Times New Roman"/>
          <w:sz w:val="21"/>
          <w:szCs w:val="21"/>
        </w:rPr>
        <w:t xml:space="preserve">in remittances of individuals </w:t>
      </w:r>
      <w:r w:rsidR="00CC71BF" w:rsidRPr="004E7A10">
        <w:rPr>
          <w:rFonts w:ascii="Garamond" w:hAnsi="Garamond" w:cs="Times New Roman"/>
          <w:sz w:val="21"/>
          <w:szCs w:val="21"/>
        </w:rPr>
        <w:t xml:space="preserve">in dollar terms </w:t>
      </w:r>
      <w:r w:rsidR="00975307" w:rsidRPr="004E7A10">
        <w:rPr>
          <w:rFonts w:ascii="Garamond" w:hAnsi="Garamond" w:cs="Times New Roman"/>
          <w:sz w:val="21"/>
          <w:szCs w:val="21"/>
        </w:rPr>
        <w:t xml:space="preserve">is anticipated. </w:t>
      </w:r>
      <w:r w:rsidR="00F604ED" w:rsidRPr="004E7A10">
        <w:rPr>
          <w:rFonts w:ascii="Garamond" w:hAnsi="Garamond" w:cs="Times New Roman"/>
          <w:sz w:val="21"/>
          <w:szCs w:val="21"/>
        </w:rPr>
        <w:t xml:space="preserve">This is, however, some improvement in relation to the former forecast, as the Russian ruble started appreciating at higher rates than expected. </w:t>
      </w:r>
    </w:p>
    <w:p w14:paraId="1425F573" w14:textId="77777777" w:rsidR="00A9653E" w:rsidRPr="004E7A10" w:rsidRDefault="00975307" w:rsidP="00A9653E">
      <w:pPr>
        <w:spacing w:line="360" w:lineRule="auto"/>
        <w:jc w:val="both"/>
        <w:rPr>
          <w:rFonts w:ascii="Garamond" w:hAnsi="Garamond" w:cs="Times New Roman"/>
          <w:sz w:val="21"/>
          <w:szCs w:val="21"/>
        </w:rPr>
      </w:pPr>
      <w:r w:rsidRPr="004E7A10">
        <w:rPr>
          <w:rFonts w:ascii="Garamond" w:hAnsi="Garamond" w:cs="Times New Roman"/>
          <w:sz w:val="21"/>
          <w:szCs w:val="21"/>
        </w:rPr>
        <w:lastRenderedPageBreak/>
        <w:t xml:space="preserve">As a result, </w:t>
      </w:r>
      <w:r w:rsidRPr="004E7A10">
        <w:rPr>
          <w:rFonts w:ascii="Garamond" w:hAnsi="Garamond" w:cs="Times New Roman"/>
          <w:b/>
          <w:sz w:val="21"/>
          <w:szCs w:val="21"/>
        </w:rPr>
        <w:t xml:space="preserve">the </w:t>
      </w:r>
      <w:r w:rsidR="00F604ED" w:rsidRPr="004E7A10">
        <w:rPr>
          <w:rFonts w:ascii="Garamond" w:hAnsi="Garamond" w:cs="Times New Roman"/>
          <w:b/>
          <w:sz w:val="21"/>
          <w:szCs w:val="21"/>
        </w:rPr>
        <w:t xml:space="preserve">2015 </w:t>
      </w:r>
      <w:r w:rsidRPr="004E7A10">
        <w:rPr>
          <w:rFonts w:ascii="Garamond" w:hAnsi="Garamond" w:cs="Times New Roman"/>
          <w:b/>
          <w:sz w:val="21"/>
          <w:szCs w:val="21"/>
        </w:rPr>
        <w:t xml:space="preserve">economic growth </w:t>
      </w:r>
      <w:r w:rsidR="00F220D8" w:rsidRPr="004E7A10">
        <w:rPr>
          <w:rFonts w:ascii="Garamond" w:hAnsi="Garamond" w:cs="Times New Roman"/>
          <w:b/>
          <w:sz w:val="21"/>
          <w:szCs w:val="21"/>
        </w:rPr>
        <w:t>has been re</w:t>
      </w:r>
      <w:r w:rsidR="00F604ED" w:rsidRPr="004E7A10">
        <w:rPr>
          <w:rFonts w:ascii="Garamond" w:hAnsi="Garamond" w:cs="Times New Roman"/>
          <w:b/>
          <w:sz w:val="21"/>
          <w:szCs w:val="21"/>
        </w:rPr>
        <w:t xml:space="preserve">vised upside relative to the former forecast </w:t>
      </w:r>
      <w:r w:rsidR="00F220D8" w:rsidRPr="004E7A10">
        <w:rPr>
          <w:rFonts w:ascii="Garamond" w:hAnsi="Garamond" w:cs="Times New Roman"/>
          <w:b/>
          <w:sz w:val="21"/>
          <w:szCs w:val="21"/>
        </w:rPr>
        <w:t>to be in the r</w:t>
      </w:r>
      <w:r w:rsidRPr="004E7A10">
        <w:rPr>
          <w:rFonts w:ascii="Garamond" w:hAnsi="Garamond" w:cs="Times New Roman"/>
          <w:b/>
          <w:sz w:val="21"/>
          <w:szCs w:val="21"/>
        </w:rPr>
        <w:t>ange</w:t>
      </w:r>
      <w:r w:rsidR="00F220D8" w:rsidRPr="004E7A10">
        <w:rPr>
          <w:rFonts w:ascii="Garamond" w:hAnsi="Garamond" w:cs="Times New Roman"/>
          <w:b/>
          <w:sz w:val="21"/>
          <w:szCs w:val="21"/>
        </w:rPr>
        <w:t xml:space="preserve"> of </w:t>
      </w:r>
      <w:r w:rsidR="00F604ED" w:rsidRPr="004E7A10">
        <w:rPr>
          <w:rFonts w:ascii="Garamond" w:hAnsi="Garamond" w:cs="Times New Roman"/>
          <w:b/>
          <w:sz w:val="21"/>
          <w:szCs w:val="21"/>
        </w:rPr>
        <w:t>1</w:t>
      </w:r>
      <w:r w:rsidRPr="004E7A10">
        <w:rPr>
          <w:rFonts w:ascii="Garamond" w:hAnsi="Garamond" w:cs="Times New Roman"/>
          <w:b/>
          <w:sz w:val="21"/>
          <w:szCs w:val="21"/>
        </w:rPr>
        <w:t>.</w:t>
      </w:r>
      <w:r w:rsidR="00F604ED" w:rsidRPr="004E7A10">
        <w:rPr>
          <w:rFonts w:ascii="Garamond" w:hAnsi="Garamond" w:cs="Times New Roman"/>
          <w:b/>
          <w:sz w:val="21"/>
          <w:szCs w:val="21"/>
        </w:rPr>
        <w:t>6</w:t>
      </w:r>
      <w:r w:rsidR="007160F7" w:rsidRPr="004E7A10">
        <w:rPr>
          <w:rFonts w:ascii="Garamond" w:hAnsi="Garamond" w:cs="Times New Roman"/>
          <w:b/>
          <w:sz w:val="21"/>
          <w:szCs w:val="21"/>
        </w:rPr>
        <w:t>%</w:t>
      </w:r>
      <w:r w:rsidRPr="004E7A10">
        <w:rPr>
          <w:rFonts w:ascii="Garamond" w:hAnsi="Garamond" w:cs="Times New Roman"/>
          <w:b/>
          <w:sz w:val="21"/>
          <w:szCs w:val="21"/>
        </w:rPr>
        <w:t>-</w:t>
      </w:r>
      <w:r w:rsidR="00CC71BF" w:rsidRPr="004E7A10">
        <w:rPr>
          <w:rFonts w:ascii="Garamond" w:hAnsi="Garamond" w:cs="Times New Roman"/>
          <w:b/>
          <w:sz w:val="21"/>
          <w:szCs w:val="21"/>
        </w:rPr>
        <w:t>2</w:t>
      </w:r>
      <w:r w:rsidRPr="004E7A10">
        <w:rPr>
          <w:rFonts w:ascii="Garamond" w:hAnsi="Garamond" w:cs="Times New Roman"/>
          <w:b/>
          <w:sz w:val="21"/>
          <w:szCs w:val="21"/>
        </w:rPr>
        <w:t>.</w:t>
      </w:r>
      <w:r w:rsidR="00F604ED" w:rsidRPr="004E7A10">
        <w:rPr>
          <w:rFonts w:ascii="Garamond" w:hAnsi="Garamond" w:cs="Times New Roman"/>
          <w:b/>
          <w:sz w:val="21"/>
          <w:szCs w:val="21"/>
        </w:rPr>
        <w:t>6</w:t>
      </w:r>
      <w:r w:rsidR="00F220D8" w:rsidRPr="004E7A10">
        <w:rPr>
          <w:rFonts w:ascii="Garamond" w:hAnsi="Garamond" w:cs="Times New Roman"/>
          <w:b/>
          <w:sz w:val="21"/>
          <w:szCs w:val="21"/>
        </w:rPr>
        <w:t>%</w:t>
      </w:r>
      <w:r w:rsidR="00F220D8" w:rsidRPr="004E7A10">
        <w:rPr>
          <w:rFonts w:ascii="Garamond" w:hAnsi="Garamond" w:cs="Times New Roman"/>
          <w:sz w:val="21"/>
          <w:szCs w:val="21"/>
        </w:rPr>
        <w:t xml:space="preserve">, which will be driven by further maintaining financial stability, loosening monetary conditions in the 1st quarter, more stimulating fiscal policy implementation and positive developments in agriculture. </w:t>
      </w:r>
      <w:r w:rsidR="00A9653E" w:rsidRPr="004E7A10">
        <w:rPr>
          <w:rFonts w:ascii="Garamond" w:hAnsi="Garamond" w:cs="Times New Roman"/>
          <w:sz w:val="21"/>
          <w:szCs w:val="21"/>
        </w:rPr>
        <w:t xml:space="preserve"> </w:t>
      </w:r>
    </w:p>
    <w:p w14:paraId="0F45EC83" w14:textId="77777777" w:rsidR="008902F4" w:rsidRPr="000C71B0" w:rsidRDefault="008902F4" w:rsidP="00A9653E">
      <w:pPr>
        <w:spacing w:line="360" w:lineRule="auto"/>
        <w:jc w:val="both"/>
        <w:rPr>
          <w:rFonts w:ascii="Garamond" w:hAnsi="Garamond" w:cs="Times New Roman"/>
          <w:b/>
          <w:color w:val="0070C0"/>
          <w:sz w:val="18"/>
          <w:szCs w:val="18"/>
        </w:rPr>
      </w:pPr>
      <w:r w:rsidRPr="004E7A10">
        <w:rPr>
          <w:rFonts w:ascii="Garamond" w:hAnsi="Garamond" w:cs="Times New Roman"/>
          <w:b/>
          <w:color w:val="0070C0"/>
          <w:sz w:val="18"/>
          <w:szCs w:val="18"/>
        </w:rPr>
        <w:t xml:space="preserve">The economic growth </w:t>
      </w:r>
      <w:r w:rsidR="000C71B0">
        <w:rPr>
          <w:rFonts w:ascii="Garamond" w:hAnsi="Garamond" w:cs="Times New Roman"/>
          <w:b/>
          <w:color w:val="0070C0"/>
          <w:sz w:val="18"/>
          <w:szCs w:val="18"/>
        </w:rPr>
        <w:t xml:space="preserve">for </w:t>
      </w:r>
      <w:r w:rsidRPr="004E7A10">
        <w:rPr>
          <w:rFonts w:ascii="Garamond" w:hAnsi="Garamond" w:cs="Times New Roman"/>
          <w:b/>
          <w:color w:val="0070C0"/>
          <w:sz w:val="18"/>
          <w:szCs w:val="18"/>
        </w:rPr>
        <w:t xml:space="preserve">2015 </w:t>
      </w:r>
      <w:r w:rsidR="000C71B0" w:rsidRPr="000C71B0">
        <w:rPr>
          <w:rFonts w:ascii="Garamond" w:hAnsi="Garamond" w:cs="Times New Roman"/>
          <w:b/>
          <w:color w:val="0070C0"/>
          <w:sz w:val="18"/>
          <w:szCs w:val="18"/>
        </w:rPr>
        <w:t>has been revised upside relative to the former forecast to be in the range of 1.6%-2.6%</w:t>
      </w:r>
      <w:r w:rsidRPr="000C71B0">
        <w:rPr>
          <w:rFonts w:ascii="Garamond" w:hAnsi="Garamond" w:cs="Times New Roman"/>
          <w:b/>
          <w:color w:val="0070C0"/>
          <w:sz w:val="18"/>
          <w:szCs w:val="18"/>
        </w:rPr>
        <w:t>…</w:t>
      </w:r>
    </w:p>
    <w:p w14:paraId="088F05C1" w14:textId="77777777" w:rsidR="00874EC1" w:rsidRPr="004E7A10" w:rsidRDefault="00A9653E" w:rsidP="00CB2FFD">
      <w:pPr>
        <w:spacing w:line="360" w:lineRule="auto"/>
        <w:jc w:val="both"/>
        <w:rPr>
          <w:rFonts w:ascii="Garamond" w:hAnsi="Garamond" w:cs="Times New Roman"/>
          <w:sz w:val="21"/>
          <w:szCs w:val="21"/>
        </w:rPr>
      </w:pPr>
      <w:r w:rsidRPr="004E7A10">
        <w:rPr>
          <w:rFonts w:ascii="Garamond" w:hAnsi="Garamond" w:cs="Times New Roman"/>
          <w:b/>
          <w:sz w:val="21"/>
          <w:szCs w:val="21"/>
        </w:rPr>
        <w:t>In the forecast horizon</w:t>
      </w:r>
      <w:r w:rsidR="00CD3C6F" w:rsidRPr="004E7A10">
        <w:rPr>
          <w:rFonts w:ascii="Garamond" w:hAnsi="Garamond" w:cs="Times New Roman"/>
          <w:b/>
          <w:sz w:val="21"/>
          <w:szCs w:val="21"/>
        </w:rPr>
        <w:t>,</w:t>
      </w:r>
      <w:r w:rsidRPr="004E7A10">
        <w:rPr>
          <w:rFonts w:ascii="Garamond" w:hAnsi="Garamond" w:cs="Times New Roman"/>
          <w:sz w:val="21"/>
          <w:szCs w:val="21"/>
        </w:rPr>
        <w:t xml:space="preserve"> </w:t>
      </w:r>
      <w:r w:rsidRPr="004E7A10">
        <w:rPr>
          <w:rFonts w:ascii="Garamond" w:hAnsi="Garamond" w:cs="Times New Roman"/>
          <w:b/>
          <w:sz w:val="21"/>
          <w:szCs w:val="21"/>
        </w:rPr>
        <w:t xml:space="preserve">the </w:t>
      </w:r>
      <w:r w:rsidR="00407BB9" w:rsidRPr="004E7A10">
        <w:rPr>
          <w:rFonts w:ascii="Garamond" w:hAnsi="Garamond" w:cs="Times New Roman"/>
          <w:b/>
          <w:sz w:val="21"/>
          <w:szCs w:val="21"/>
        </w:rPr>
        <w:t xml:space="preserve">2016 </w:t>
      </w:r>
      <w:r w:rsidRPr="004E7A10">
        <w:rPr>
          <w:rFonts w:ascii="Garamond" w:hAnsi="Garamond" w:cs="Times New Roman"/>
          <w:b/>
          <w:sz w:val="21"/>
          <w:szCs w:val="21"/>
        </w:rPr>
        <w:t xml:space="preserve">economic growth </w:t>
      </w:r>
      <w:r w:rsidR="00407BB9" w:rsidRPr="004E7A10">
        <w:rPr>
          <w:rFonts w:ascii="Garamond" w:hAnsi="Garamond" w:cs="Times New Roman"/>
          <w:b/>
          <w:sz w:val="21"/>
          <w:szCs w:val="21"/>
        </w:rPr>
        <w:t xml:space="preserve">rates will </w:t>
      </w:r>
      <w:r w:rsidR="00FF369F" w:rsidRPr="004E7A10">
        <w:rPr>
          <w:rFonts w:ascii="Garamond" w:hAnsi="Garamond" w:cs="Times New Roman"/>
          <w:b/>
          <w:sz w:val="21"/>
          <w:szCs w:val="21"/>
        </w:rPr>
        <w:t>persist at</w:t>
      </w:r>
      <w:r w:rsidR="00407BB9" w:rsidRPr="004E7A10">
        <w:rPr>
          <w:rFonts w:ascii="Garamond" w:hAnsi="Garamond" w:cs="Times New Roman"/>
          <w:b/>
          <w:sz w:val="21"/>
          <w:szCs w:val="21"/>
        </w:rPr>
        <w:t xml:space="preserve"> the same </w:t>
      </w:r>
      <w:r w:rsidR="00FF369F" w:rsidRPr="004E7A10">
        <w:rPr>
          <w:rFonts w:ascii="Garamond" w:hAnsi="Garamond" w:cs="Times New Roman"/>
          <w:b/>
          <w:sz w:val="21"/>
          <w:szCs w:val="21"/>
        </w:rPr>
        <w:t>level</w:t>
      </w:r>
      <w:r w:rsidR="00827564" w:rsidRPr="004E7A10">
        <w:rPr>
          <w:rFonts w:ascii="Garamond" w:hAnsi="Garamond" w:cs="Times New Roman"/>
          <w:b/>
          <w:sz w:val="21"/>
          <w:szCs w:val="21"/>
        </w:rPr>
        <w:t>.</w:t>
      </w:r>
      <w:r w:rsidR="00FF369F" w:rsidRPr="004E7A10">
        <w:rPr>
          <w:rFonts w:ascii="Garamond" w:hAnsi="Garamond" w:cs="Times New Roman"/>
          <w:b/>
          <w:sz w:val="21"/>
          <w:szCs w:val="21"/>
        </w:rPr>
        <w:t xml:space="preserve"> </w:t>
      </w:r>
      <w:r w:rsidR="00827564" w:rsidRPr="004E7A10">
        <w:rPr>
          <w:rFonts w:ascii="Garamond" w:hAnsi="Garamond" w:cs="Times New Roman"/>
          <w:sz w:val="21"/>
          <w:szCs w:val="21"/>
        </w:rPr>
        <w:t xml:space="preserve">Then </w:t>
      </w:r>
      <w:r w:rsidR="00FF369F" w:rsidRPr="004E7A10">
        <w:rPr>
          <w:rFonts w:ascii="Garamond" w:hAnsi="Garamond" w:cs="Times New Roman"/>
          <w:sz w:val="21"/>
          <w:szCs w:val="21"/>
        </w:rPr>
        <w:t xml:space="preserve">the </w:t>
      </w:r>
      <w:r w:rsidR="00407BB9" w:rsidRPr="004E7A10">
        <w:rPr>
          <w:rFonts w:ascii="Garamond" w:hAnsi="Garamond" w:cs="Times New Roman"/>
          <w:sz w:val="21"/>
          <w:szCs w:val="21"/>
        </w:rPr>
        <w:t xml:space="preserve">economic growth </w:t>
      </w:r>
      <w:r w:rsidR="00BB5FF2" w:rsidRPr="004E7A10">
        <w:rPr>
          <w:rFonts w:ascii="Garamond" w:hAnsi="Garamond" w:cs="Times New Roman"/>
          <w:sz w:val="21"/>
          <w:szCs w:val="21"/>
        </w:rPr>
        <w:t xml:space="preserve">will </w:t>
      </w:r>
      <w:r w:rsidR="00407BB9" w:rsidRPr="004E7A10">
        <w:rPr>
          <w:rFonts w:ascii="Garamond" w:hAnsi="Garamond" w:cs="Times New Roman"/>
          <w:sz w:val="21"/>
          <w:szCs w:val="21"/>
        </w:rPr>
        <w:t>speed up</w:t>
      </w:r>
      <w:r w:rsidR="00FF369F" w:rsidRPr="004E7A10">
        <w:rPr>
          <w:rFonts w:ascii="Garamond" w:hAnsi="Garamond" w:cs="Times New Roman"/>
          <w:sz w:val="21"/>
          <w:szCs w:val="21"/>
        </w:rPr>
        <w:t xml:space="preserve">, owing to a bunch of programs the Government </w:t>
      </w:r>
      <w:r w:rsidR="00093659" w:rsidRPr="004E7A10">
        <w:rPr>
          <w:rFonts w:ascii="Garamond" w:hAnsi="Garamond" w:cs="Times New Roman"/>
          <w:sz w:val="21"/>
          <w:szCs w:val="21"/>
        </w:rPr>
        <w:t xml:space="preserve">plans </w:t>
      </w:r>
      <w:r w:rsidR="00FF369F" w:rsidRPr="004E7A10">
        <w:rPr>
          <w:rFonts w:ascii="Garamond" w:hAnsi="Garamond" w:cs="Times New Roman"/>
          <w:sz w:val="21"/>
          <w:szCs w:val="21"/>
        </w:rPr>
        <w:t xml:space="preserve">to carry out in the tradable sector and </w:t>
      </w:r>
      <w:r w:rsidRPr="004E7A10">
        <w:rPr>
          <w:rFonts w:ascii="Garamond" w:hAnsi="Garamond" w:cs="Times New Roman"/>
          <w:sz w:val="21"/>
          <w:szCs w:val="21"/>
        </w:rPr>
        <w:t xml:space="preserve">reflecting </w:t>
      </w:r>
      <w:r w:rsidR="00FF369F" w:rsidRPr="004E7A10">
        <w:rPr>
          <w:rFonts w:ascii="Garamond" w:hAnsi="Garamond" w:cs="Times New Roman"/>
          <w:sz w:val="21"/>
          <w:szCs w:val="21"/>
        </w:rPr>
        <w:t xml:space="preserve">continued improvement in external economic environment, and approach its long-term equilibrium. </w:t>
      </w:r>
      <w:r w:rsidR="0004685F" w:rsidRPr="004E7A10">
        <w:rPr>
          <w:rFonts w:ascii="Garamond" w:hAnsi="Garamond" w:cs="Times New Roman"/>
          <w:sz w:val="21"/>
          <w:szCs w:val="21"/>
        </w:rPr>
        <w:t>In view of long-term economic growth equilibriums declining</w:t>
      </w:r>
      <w:r w:rsidR="00D45D74" w:rsidRPr="004E7A10">
        <w:rPr>
          <w:rStyle w:val="FootnoteReference"/>
          <w:rFonts w:ascii="Garamond" w:hAnsi="Garamond" w:cs="Times New Roman"/>
          <w:sz w:val="21"/>
          <w:szCs w:val="21"/>
        </w:rPr>
        <w:footnoteReference w:customMarkFollows="1" w:id="1"/>
        <w:t>1</w:t>
      </w:r>
      <w:r w:rsidR="0004685F" w:rsidRPr="004E7A10">
        <w:rPr>
          <w:rFonts w:ascii="Garamond" w:hAnsi="Garamond" w:cs="Times New Roman"/>
          <w:sz w:val="21"/>
          <w:szCs w:val="21"/>
        </w:rPr>
        <w:t xml:space="preserve"> amid growing uncertainties about further economic development in Armenia’s main trade partner</w:t>
      </w:r>
      <w:r w:rsidR="00874EC1" w:rsidRPr="004E7A10">
        <w:rPr>
          <w:rFonts w:ascii="Garamond" w:hAnsi="Garamond" w:cs="Times New Roman"/>
          <w:sz w:val="21"/>
          <w:szCs w:val="21"/>
        </w:rPr>
        <w:t>s</w:t>
      </w:r>
      <w:r w:rsidR="0004685F" w:rsidRPr="004E7A10">
        <w:rPr>
          <w:rFonts w:ascii="Garamond" w:hAnsi="Garamond" w:cs="Times New Roman"/>
          <w:sz w:val="21"/>
          <w:szCs w:val="21"/>
        </w:rPr>
        <w:t xml:space="preserve"> </w:t>
      </w:r>
      <w:r w:rsidR="00D45D74" w:rsidRPr="004E7A10">
        <w:rPr>
          <w:rFonts w:ascii="Garamond" w:hAnsi="Garamond" w:cs="Times New Roman"/>
          <w:sz w:val="21"/>
          <w:szCs w:val="21"/>
        </w:rPr>
        <w:t xml:space="preserve">and slowing foreign capital investment as well as still sluggish domestic economic activity, the </w:t>
      </w:r>
      <w:r w:rsidR="00D45D74" w:rsidRPr="004E7A10">
        <w:rPr>
          <w:rFonts w:ascii="Garamond" w:hAnsi="Garamond" w:cs="Times New Roman"/>
          <w:b/>
          <w:sz w:val="21"/>
          <w:szCs w:val="21"/>
        </w:rPr>
        <w:t>Armenian long-term economic growth equilibrium has been revised downside, ranging 4%-5%</w:t>
      </w:r>
      <w:r w:rsidR="00D45D74" w:rsidRPr="004E7A10">
        <w:rPr>
          <w:rFonts w:ascii="Garamond" w:hAnsi="Garamond" w:cs="Times New Roman"/>
          <w:sz w:val="21"/>
          <w:szCs w:val="21"/>
        </w:rPr>
        <w:t xml:space="preserve">. </w:t>
      </w:r>
    </w:p>
    <w:p w14:paraId="71DC7E60" w14:textId="77777777" w:rsidR="00CB2FFD" w:rsidRPr="004E7A10" w:rsidRDefault="00874EC1" w:rsidP="00CB2FFD">
      <w:pPr>
        <w:spacing w:line="360" w:lineRule="auto"/>
        <w:jc w:val="both"/>
        <w:rPr>
          <w:rFonts w:ascii="Garamond" w:hAnsi="Garamond" w:cs="Times New Roman"/>
          <w:sz w:val="21"/>
          <w:szCs w:val="21"/>
        </w:rPr>
      </w:pPr>
      <w:r w:rsidRPr="004E7A10">
        <w:rPr>
          <w:rFonts w:ascii="Garamond" w:hAnsi="Garamond" w:cs="Times New Roman"/>
          <w:sz w:val="21"/>
          <w:szCs w:val="21"/>
        </w:rPr>
        <w:t xml:space="preserve">Thus, </w:t>
      </w:r>
      <w:r w:rsidRPr="004E7A10">
        <w:rPr>
          <w:rFonts w:ascii="Garamond" w:hAnsi="Garamond" w:cs="Times New Roman"/>
          <w:b/>
          <w:sz w:val="21"/>
          <w:szCs w:val="21"/>
        </w:rPr>
        <w:t>in the forecast horizon</w:t>
      </w:r>
      <w:r w:rsidRPr="004E7A10">
        <w:rPr>
          <w:rFonts w:ascii="Garamond" w:hAnsi="Garamond" w:cs="Times New Roman"/>
          <w:sz w:val="21"/>
          <w:szCs w:val="21"/>
        </w:rPr>
        <w:t xml:space="preserve">, with stabilizing private demand and mostly a neutral impact of the fiscal policy, the </w:t>
      </w:r>
      <w:r w:rsidRPr="004E7A10">
        <w:rPr>
          <w:rFonts w:ascii="Garamond" w:hAnsi="Garamond" w:cs="Times New Roman"/>
          <w:b/>
          <w:sz w:val="21"/>
          <w:szCs w:val="21"/>
        </w:rPr>
        <w:t>impact of the aggregate demand on domestic prices will be neutral</w:t>
      </w:r>
      <w:r w:rsidRPr="004E7A10">
        <w:rPr>
          <w:rFonts w:ascii="Garamond" w:hAnsi="Garamond" w:cs="Times New Roman"/>
          <w:sz w:val="21"/>
          <w:szCs w:val="21"/>
        </w:rPr>
        <w:t xml:space="preserve">. </w:t>
      </w:r>
    </w:p>
    <w:p w14:paraId="32E90ABC" w14:textId="77777777" w:rsidR="00A9653E" w:rsidRPr="004E7A10" w:rsidRDefault="00B11EF5" w:rsidP="00A9653E">
      <w:pPr>
        <w:spacing w:line="360" w:lineRule="auto"/>
        <w:jc w:val="both"/>
        <w:rPr>
          <w:rFonts w:ascii="Garamond" w:hAnsi="Garamond" w:cs="Times New Roman"/>
          <w:sz w:val="21"/>
          <w:szCs w:val="21"/>
        </w:rPr>
      </w:pPr>
      <w:r w:rsidRPr="004E7A10">
        <w:rPr>
          <w:rFonts w:ascii="Garamond" w:hAnsi="Garamond" w:cs="Times New Roman"/>
          <w:sz w:val="21"/>
          <w:szCs w:val="21"/>
        </w:rPr>
        <w:t>E</w:t>
      </w:r>
      <w:r w:rsidR="00180B7F" w:rsidRPr="004E7A10">
        <w:rPr>
          <w:rFonts w:ascii="Garamond" w:hAnsi="Garamond" w:cs="Times New Roman"/>
          <w:sz w:val="21"/>
          <w:szCs w:val="21"/>
        </w:rPr>
        <w:t xml:space="preserve">conomic activity </w:t>
      </w:r>
      <w:r w:rsidR="00C444B9" w:rsidRPr="004E7A10">
        <w:rPr>
          <w:rFonts w:ascii="Garamond" w:hAnsi="Garamond" w:cs="Times New Roman"/>
          <w:sz w:val="21"/>
          <w:szCs w:val="21"/>
        </w:rPr>
        <w:t xml:space="preserve">in </w:t>
      </w:r>
      <w:r w:rsidR="00C444B9" w:rsidRPr="004E7A10">
        <w:rPr>
          <w:rFonts w:ascii="Garamond" w:hAnsi="Garamond" w:cs="Times New Roman"/>
          <w:b/>
          <w:sz w:val="21"/>
          <w:szCs w:val="21"/>
        </w:rPr>
        <w:t>Armenia</w:t>
      </w:r>
      <w:r w:rsidR="0062022E" w:rsidRPr="004E7A10">
        <w:rPr>
          <w:rFonts w:ascii="Garamond" w:hAnsi="Garamond" w:cs="Times New Roman"/>
          <w:b/>
          <w:sz w:val="21"/>
          <w:szCs w:val="21"/>
        </w:rPr>
        <w:t>’</w:t>
      </w:r>
      <w:r w:rsidR="00C444B9" w:rsidRPr="004E7A10">
        <w:rPr>
          <w:rFonts w:ascii="Garamond" w:hAnsi="Garamond" w:cs="Times New Roman"/>
          <w:b/>
          <w:sz w:val="21"/>
          <w:szCs w:val="21"/>
        </w:rPr>
        <w:t>s main trade partner</w:t>
      </w:r>
      <w:r w:rsidR="0062022E" w:rsidRPr="004E7A10">
        <w:rPr>
          <w:rFonts w:ascii="Garamond" w:hAnsi="Garamond" w:cs="Times New Roman"/>
          <w:b/>
          <w:sz w:val="21"/>
          <w:szCs w:val="21"/>
        </w:rPr>
        <w:t>s</w:t>
      </w:r>
      <w:r w:rsidR="00C444B9" w:rsidRPr="004E7A10">
        <w:rPr>
          <w:rFonts w:ascii="Garamond" w:hAnsi="Garamond" w:cs="Times New Roman"/>
          <w:sz w:val="21"/>
          <w:szCs w:val="21"/>
        </w:rPr>
        <w:t xml:space="preserve"> </w:t>
      </w:r>
      <w:r w:rsidRPr="004E7A10">
        <w:rPr>
          <w:rFonts w:ascii="Garamond" w:hAnsi="Garamond" w:cs="Times New Roman"/>
          <w:sz w:val="21"/>
          <w:szCs w:val="21"/>
        </w:rPr>
        <w:t>further demonstrated slow-growth patterns over</w:t>
      </w:r>
      <w:r w:rsidR="00180B7F" w:rsidRPr="004E7A10">
        <w:rPr>
          <w:rFonts w:ascii="Garamond" w:hAnsi="Garamond" w:cs="Times New Roman"/>
          <w:sz w:val="21"/>
          <w:szCs w:val="21"/>
        </w:rPr>
        <w:t xml:space="preserve"> </w:t>
      </w:r>
      <w:r w:rsidR="0011797A" w:rsidRPr="004E7A10">
        <w:rPr>
          <w:rFonts w:ascii="Garamond" w:hAnsi="Garamond" w:cs="Times New Roman"/>
          <w:sz w:val="21"/>
          <w:szCs w:val="21"/>
        </w:rPr>
        <w:t xml:space="preserve">the </w:t>
      </w:r>
      <w:r w:rsidRPr="004E7A10">
        <w:rPr>
          <w:rFonts w:ascii="Garamond" w:hAnsi="Garamond" w:cs="Times New Roman"/>
          <w:sz w:val="21"/>
          <w:szCs w:val="21"/>
        </w:rPr>
        <w:t>1st</w:t>
      </w:r>
      <w:r w:rsidR="0011797A" w:rsidRPr="004E7A10">
        <w:rPr>
          <w:rFonts w:ascii="Garamond" w:hAnsi="Garamond" w:cs="Times New Roman"/>
          <w:sz w:val="21"/>
          <w:szCs w:val="21"/>
        </w:rPr>
        <w:t xml:space="preserve"> quarter of 201</w:t>
      </w:r>
      <w:r w:rsidRPr="004E7A10">
        <w:rPr>
          <w:rFonts w:ascii="Garamond" w:hAnsi="Garamond" w:cs="Times New Roman"/>
          <w:sz w:val="21"/>
          <w:szCs w:val="21"/>
        </w:rPr>
        <w:t>5</w:t>
      </w:r>
      <w:r w:rsidR="00180B7F" w:rsidRPr="004E7A10">
        <w:rPr>
          <w:rFonts w:ascii="Garamond" w:hAnsi="Garamond" w:cs="Times New Roman"/>
          <w:sz w:val="21"/>
          <w:szCs w:val="21"/>
        </w:rPr>
        <w:t xml:space="preserve">, in which case the </w:t>
      </w:r>
      <w:r w:rsidR="00180B7F" w:rsidRPr="004E7A10">
        <w:rPr>
          <w:rFonts w:ascii="Garamond" w:hAnsi="Garamond" w:cs="Times New Roman"/>
          <w:b/>
          <w:sz w:val="21"/>
          <w:szCs w:val="21"/>
        </w:rPr>
        <w:t>external demand</w:t>
      </w:r>
      <w:r w:rsidR="00180B7F" w:rsidRPr="004E7A10">
        <w:rPr>
          <w:rFonts w:ascii="Garamond" w:hAnsi="Garamond" w:cs="Times New Roman"/>
          <w:sz w:val="21"/>
          <w:szCs w:val="21"/>
        </w:rPr>
        <w:t xml:space="preserve"> remain</w:t>
      </w:r>
      <w:r w:rsidRPr="004E7A10">
        <w:rPr>
          <w:rFonts w:ascii="Garamond" w:hAnsi="Garamond" w:cs="Times New Roman"/>
          <w:sz w:val="21"/>
          <w:szCs w:val="21"/>
        </w:rPr>
        <w:t>s</w:t>
      </w:r>
      <w:r w:rsidR="00180B7F" w:rsidRPr="004E7A10">
        <w:rPr>
          <w:rFonts w:ascii="Garamond" w:hAnsi="Garamond" w:cs="Times New Roman"/>
          <w:sz w:val="21"/>
          <w:szCs w:val="21"/>
        </w:rPr>
        <w:t xml:space="preserve"> at a low level</w:t>
      </w:r>
      <w:r w:rsidRPr="004E7A10">
        <w:rPr>
          <w:rFonts w:ascii="Garamond" w:hAnsi="Garamond" w:cs="Times New Roman"/>
          <w:sz w:val="21"/>
          <w:szCs w:val="21"/>
        </w:rPr>
        <w:t xml:space="preserve">. </w:t>
      </w:r>
      <w:r w:rsidRPr="004E7A10">
        <w:rPr>
          <w:rFonts w:ascii="Garamond" w:hAnsi="Garamond" w:cs="Times New Roman"/>
          <w:b/>
          <w:sz w:val="21"/>
          <w:szCs w:val="21"/>
        </w:rPr>
        <w:t>International commodities and food product markets</w:t>
      </w:r>
      <w:r w:rsidRPr="004E7A10">
        <w:rPr>
          <w:rFonts w:ascii="Garamond" w:hAnsi="Garamond" w:cs="Times New Roman"/>
          <w:sz w:val="21"/>
          <w:szCs w:val="21"/>
        </w:rPr>
        <w:t xml:space="preserve"> continue observing d</w:t>
      </w:r>
      <w:r w:rsidR="00C444B9" w:rsidRPr="004E7A10">
        <w:rPr>
          <w:rFonts w:ascii="Garamond" w:hAnsi="Garamond" w:cs="Times New Roman"/>
          <w:sz w:val="21"/>
          <w:szCs w:val="21"/>
        </w:rPr>
        <w:t xml:space="preserve">eflationary </w:t>
      </w:r>
      <w:r w:rsidRPr="004E7A10">
        <w:rPr>
          <w:rFonts w:ascii="Garamond" w:hAnsi="Garamond" w:cs="Times New Roman"/>
          <w:sz w:val="21"/>
          <w:szCs w:val="21"/>
        </w:rPr>
        <w:t>developments, mainly driven by appreciating U.S. dollar a</w:t>
      </w:r>
      <w:r w:rsidR="0099740D" w:rsidRPr="004E7A10">
        <w:rPr>
          <w:rFonts w:ascii="Garamond" w:hAnsi="Garamond" w:cs="Times New Roman"/>
          <w:sz w:val="21"/>
          <w:szCs w:val="21"/>
        </w:rPr>
        <w:t xml:space="preserve">s well as </w:t>
      </w:r>
      <w:r w:rsidRPr="004E7A10">
        <w:rPr>
          <w:rFonts w:ascii="Garamond" w:hAnsi="Garamond" w:cs="Times New Roman"/>
          <w:sz w:val="21"/>
          <w:szCs w:val="21"/>
        </w:rPr>
        <w:t xml:space="preserve">expectations of </w:t>
      </w:r>
      <w:r w:rsidR="0099740D" w:rsidRPr="004E7A10">
        <w:rPr>
          <w:rFonts w:ascii="Garamond" w:hAnsi="Garamond" w:cs="Times New Roman"/>
          <w:sz w:val="21"/>
          <w:szCs w:val="21"/>
        </w:rPr>
        <w:t xml:space="preserve">high crops. </w:t>
      </w:r>
      <w:r w:rsidR="00C444B9" w:rsidRPr="004E7A10">
        <w:rPr>
          <w:rFonts w:ascii="Garamond" w:hAnsi="Garamond" w:cs="Times New Roman"/>
          <w:sz w:val="21"/>
          <w:szCs w:val="21"/>
        </w:rPr>
        <w:t xml:space="preserve"> </w:t>
      </w:r>
    </w:p>
    <w:p w14:paraId="314D8A77" w14:textId="77777777" w:rsidR="00D0294B" w:rsidRPr="00BA0AD5" w:rsidRDefault="00BA0AD5" w:rsidP="00A9653E">
      <w:pPr>
        <w:spacing w:line="360" w:lineRule="auto"/>
        <w:jc w:val="both"/>
        <w:rPr>
          <w:rFonts w:ascii="Garamond" w:hAnsi="Garamond" w:cs="Times New Roman"/>
          <w:b/>
          <w:color w:val="0070C0"/>
          <w:sz w:val="18"/>
          <w:szCs w:val="18"/>
        </w:rPr>
      </w:pPr>
      <w:r w:rsidRPr="00BA0AD5">
        <w:rPr>
          <w:rFonts w:ascii="Garamond" w:hAnsi="Garamond" w:cs="Times New Roman"/>
          <w:b/>
          <w:color w:val="0070C0"/>
          <w:sz w:val="18"/>
          <w:szCs w:val="18"/>
        </w:rPr>
        <w:t xml:space="preserve">At the end of March, the 12-month inflation rate was 5.8% </w:t>
      </w:r>
      <w:r w:rsidR="00D0294B" w:rsidRPr="00BA0AD5">
        <w:rPr>
          <w:rFonts w:ascii="Garamond" w:hAnsi="Garamond" w:cs="Times New Roman"/>
          <w:b/>
          <w:color w:val="0070C0"/>
          <w:sz w:val="18"/>
          <w:szCs w:val="18"/>
        </w:rPr>
        <w:t>…</w:t>
      </w:r>
    </w:p>
    <w:p w14:paraId="06C5CB9B" w14:textId="77777777" w:rsidR="00A9653E" w:rsidRPr="004E7A10" w:rsidRDefault="00A9653E" w:rsidP="00D0294B">
      <w:pPr>
        <w:spacing w:line="360" w:lineRule="auto"/>
        <w:jc w:val="both"/>
        <w:rPr>
          <w:rFonts w:ascii="Garamond" w:hAnsi="Garamond" w:cs="Times New Roman"/>
          <w:sz w:val="21"/>
          <w:szCs w:val="21"/>
        </w:rPr>
      </w:pPr>
      <w:r w:rsidRPr="004E7A10">
        <w:rPr>
          <w:rFonts w:ascii="Garamond" w:hAnsi="Garamond" w:cs="Times New Roman"/>
          <w:b/>
          <w:sz w:val="21"/>
          <w:szCs w:val="21"/>
        </w:rPr>
        <w:t>In the forecast horizon</w:t>
      </w:r>
      <w:r w:rsidRPr="004E7A10">
        <w:rPr>
          <w:rFonts w:ascii="Garamond" w:hAnsi="Garamond" w:cs="Times New Roman"/>
          <w:sz w:val="21"/>
          <w:szCs w:val="21"/>
        </w:rPr>
        <w:t xml:space="preserve">, </w:t>
      </w:r>
      <w:r w:rsidR="0099740D" w:rsidRPr="004E7A10">
        <w:rPr>
          <w:rFonts w:ascii="Garamond" w:hAnsi="Garamond" w:cs="Times New Roman"/>
          <w:sz w:val="21"/>
          <w:szCs w:val="21"/>
        </w:rPr>
        <w:t xml:space="preserve">amid gradually accelerating </w:t>
      </w:r>
      <w:r w:rsidR="00F80062" w:rsidRPr="004E7A10">
        <w:rPr>
          <w:rFonts w:ascii="Garamond" w:hAnsi="Garamond" w:cs="Times New Roman"/>
          <w:sz w:val="21"/>
          <w:szCs w:val="21"/>
        </w:rPr>
        <w:t xml:space="preserve">global economy and </w:t>
      </w:r>
      <w:r w:rsidR="0099740D" w:rsidRPr="004E7A10">
        <w:rPr>
          <w:rFonts w:ascii="Garamond" w:hAnsi="Garamond" w:cs="Times New Roman"/>
          <w:sz w:val="21"/>
          <w:szCs w:val="21"/>
        </w:rPr>
        <w:t xml:space="preserve">rebounding growth in </w:t>
      </w:r>
      <w:r w:rsidR="00F80062" w:rsidRPr="004E7A10">
        <w:rPr>
          <w:rFonts w:ascii="Garamond" w:hAnsi="Garamond" w:cs="Times New Roman"/>
          <w:sz w:val="21"/>
          <w:szCs w:val="21"/>
        </w:rPr>
        <w:t>Armenia</w:t>
      </w:r>
      <w:r w:rsidR="0099740D" w:rsidRPr="004E7A10">
        <w:rPr>
          <w:rFonts w:ascii="Garamond" w:hAnsi="Garamond" w:cs="Times New Roman"/>
          <w:sz w:val="21"/>
          <w:szCs w:val="21"/>
        </w:rPr>
        <w:t>’</w:t>
      </w:r>
      <w:r w:rsidR="00F80062" w:rsidRPr="004E7A10">
        <w:rPr>
          <w:rFonts w:ascii="Garamond" w:hAnsi="Garamond" w:cs="Times New Roman"/>
          <w:sz w:val="21"/>
          <w:szCs w:val="21"/>
        </w:rPr>
        <w:t>s main trade partner</w:t>
      </w:r>
      <w:r w:rsidR="0099740D" w:rsidRPr="004E7A10">
        <w:rPr>
          <w:rFonts w:ascii="Garamond" w:hAnsi="Garamond" w:cs="Times New Roman"/>
          <w:sz w:val="21"/>
          <w:szCs w:val="21"/>
        </w:rPr>
        <w:t>s</w:t>
      </w:r>
      <w:r w:rsidR="00F80062" w:rsidRPr="004E7A10">
        <w:rPr>
          <w:rFonts w:ascii="Garamond" w:hAnsi="Garamond" w:cs="Times New Roman"/>
          <w:sz w:val="21"/>
          <w:szCs w:val="21"/>
        </w:rPr>
        <w:t xml:space="preserve">, a steady price rise in international commodities and food products markets as well as relative stabilization of exchange rates and expectations of further appreciation will transmit positive effects </w:t>
      </w:r>
      <w:r w:rsidR="007160F7" w:rsidRPr="004E7A10">
        <w:rPr>
          <w:rFonts w:ascii="Garamond" w:hAnsi="Garamond" w:cs="Times New Roman"/>
          <w:sz w:val="21"/>
          <w:szCs w:val="21"/>
        </w:rPr>
        <w:t>on</w:t>
      </w:r>
      <w:r w:rsidR="00F80062" w:rsidRPr="004E7A10">
        <w:rPr>
          <w:rFonts w:ascii="Garamond" w:hAnsi="Garamond" w:cs="Times New Roman"/>
          <w:sz w:val="21"/>
          <w:szCs w:val="21"/>
        </w:rPr>
        <w:t xml:space="preserve">to the Armenian economy. </w:t>
      </w:r>
      <w:r w:rsidR="000545E7" w:rsidRPr="004E7A10">
        <w:rPr>
          <w:rFonts w:ascii="Garamond" w:hAnsi="Garamond" w:cs="Times New Roman"/>
          <w:sz w:val="21"/>
          <w:szCs w:val="21"/>
        </w:rPr>
        <w:t xml:space="preserve">Under these conditions, however, </w:t>
      </w:r>
      <w:r w:rsidR="00A43558" w:rsidRPr="004E7A10">
        <w:rPr>
          <w:rFonts w:ascii="Garamond" w:hAnsi="Garamond" w:cs="Times New Roman"/>
          <w:b/>
          <w:sz w:val="21"/>
          <w:szCs w:val="21"/>
        </w:rPr>
        <w:t xml:space="preserve">significant </w:t>
      </w:r>
      <w:r w:rsidR="000545E7" w:rsidRPr="004E7A10">
        <w:rPr>
          <w:rFonts w:ascii="Garamond" w:hAnsi="Garamond" w:cs="Times New Roman"/>
          <w:b/>
          <w:sz w:val="21"/>
          <w:szCs w:val="21"/>
        </w:rPr>
        <w:t xml:space="preserve">inflationary pressures from the external </w:t>
      </w:r>
      <w:r w:rsidR="0099740D" w:rsidRPr="004E7A10">
        <w:rPr>
          <w:rFonts w:ascii="Garamond" w:hAnsi="Garamond" w:cs="Times New Roman"/>
          <w:b/>
          <w:sz w:val="21"/>
          <w:szCs w:val="21"/>
        </w:rPr>
        <w:t xml:space="preserve">sector </w:t>
      </w:r>
      <w:r w:rsidR="000545E7" w:rsidRPr="004E7A10">
        <w:rPr>
          <w:rFonts w:ascii="Garamond" w:hAnsi="Garamond" w:cs="Times New Roman"/>
          <w:b/>
          <w:sz w:val="21"/>
          <w:szCs w:val="21"/>
        </w:rPr>
        <w:t>are not likely</w:t>
      </w:r>
      <w:r w:rsidR="000545E7" w:rsidRPr="004E7A10">
        <w:rPr>
          <w:rFonts w:ascii="Garamond" w:hAnsi="Garamond" w:cs="Times New Roman"/>
          <w:sz w:val="21"/>
          <w:szCs w:val="21"/>
        </w:rPr>
        <w:t xml:space="preserve">. </w:t>
      </w:r>
    </w:p>
    <w:p w14:paraId="6D209AA6" w14:textId="77777777" w:rsidR="00D52ADD" w:rsidRDefault="00D52ADD" w:rsidP="00D0294B">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1st quarter of 2015, </w:t>
      </w:r>
      <w:r w:rsidRPr="004E7A10">
        <w:rPr>
          <w:rFonts w:ascii="Garamond" w:hAnsi="Garamond" w:cs="Times New Roman"/>
          <w:b/>
          <w:sz w:val="21"/>
          <w:szCs w:val="21"/>
        </w:rPr>
        <w:t>the 12-month inflation rate</w:t>
      </w:r>
      <w:r w:rsidRPr="004E7A10">
        <w:rPr>
          <w:rFonts w:ascii="Garamond" w:hAnsi="Garamond" w:cs="Times New Roman"/>
          <w:sz w:val="21"/>
          <w:szCs w:val="21"/>
        </w:rPr>
        <w:t xml:space="preserve"> behaved cumulatively, as </w:t>
      </w:r>
      <w:r w:rsidR="00275325" w:rsidRPr="004E7A10">
        <w:rPr>
          <w:rFonts w:ascii="Garamond" w:hAnsi="Garamond" w:cs="Times New Roman"/>
          <w:sz w:val="21"/>
          <w:szCs w:val="21"/>
        </w:rPr>
        <w:t xml:space="preserve">was </w:t>
      </w:r>
      <w:r w:rsidRPr="004E7A10">
        <w:rPr>
          <w:rFonts w:ascii="Garamond" w:hAnsi="Garamond" w:cs="Times New Roman"/>
          <w:sz w:val="21"/>
          <w:szCs w:val="21"/>
        </w:rPr>
        <w:t>expected</w:t>
      </w:r>
      <w:r w:rsidR="00275325" w:rsidRPr="004E7A10">
        <w:rPr>
          <w:rFonts w:ascii="Garamond" w:hAnsi="Garamond" w:cs="Times New Roman"/>
          <w:sz w:val="21"/>
          <w:szCs w:val="21"/>
        </w:rPr>
        <w:t>. As a result, at the end of March</w:t>
      </w:r>
      <w:r w:rsidR="00275325" w:rsidRPr="004E7A10">
        <w:rPr>
          <w:rFonts w:ascii="Garamond" w:hAnsi="Garamond" w:cs="Times New Roman"/>
          <w:b/>
          <w:sz w:val="21"/>
          <w:szCs w:val="21"/>
        </w:rPr>
        <w:t xml:space="preserve"> the 12-month inflation rate was </w:t>
      </w:r>
      <w:r w:rsidRPr="004E7A10">
        <w:rPr>
          <w:rFonts w:ascii="Garamond" w:hAnsi="Garamond" w:cs="Times New Roman"/>
          <w:b/>
          <w:sz w:val="21"/>
          <w:szCs w:val="21"/>
        </w:rPr>
        <w:t>5.8%</w:t>
      </w:r>
      <w:r w:rsidRPr="004E7A10">
        <w:rPr>
          <w:rFonts w:ascii="Garamond" w:hAnsi="Garamond" w:cs="Times New Roman"/>
          <w:sz w:val="21"/>
          <w:szCs w:val="21"/>
        </w:rPr>
        <w:t xml:space="preserve">, </w:t>
      </w:r>
      <w:r w:rsidR="00275325" w:rsidRPr="004E7A10">
        <w:rPr>
          <w:rFonts w:ascii="Garamond" w:hAnsi="Garamond" w:cs="Times New Roman"/>
          <w:sz w:val="21"/>
          <w:szCs w:val="21"/>
        </w:rPr>
        <w:t xml:space="preserve">staying </w:t>
      </w:r>
      <w:r w:rsidRPr="004E7A10">
        <w:rPr>
          <w:rFonts w:ascii="Garamond" w:hAnsi="Garamond" w:cs="Times New Roman"/>
          <w:sz w:val="21"/>
          <w:szCs w:val="21"/>
        </w:rPr>
        <w:t>close</w:t>
      </w:r>
      <w:r w:rsidR="00275325" w:rsidRPr="004E7A10">
        <w:rPr>
          <w:rFonts w:ascii="Garamond" w:hAnsi="Garamond" w:cs="Times New Roman"/>
          <w:sz w:val="21"/>
          <w:szCs w:val="21"/>
        </w:rPr>
        <w:t>r</w:t>
      </w:r>
      <w:r w:rsidRPr="004E7A10">
        <w:rPr>
          <w:rFonts w:ascii="Garamond" w:hAnsi="Garamond" w:cs="Times New Roman"/>
          <w:sz w:val="21"/>
          <w:szCs w:val="21"/>
        </w:rPr>
        <w:t xml:space="preserve"> to the upper </w:t>
      </w:r>
      <w:r w:rsidR="00275325" w:rsidRPr="004E7A10">
        <w:rPr>
          <w:rFonts w:ascii="Garamond" w:hAnsi="Garamond" w:cs="Times New Roman"/>
          <w:sz w:val="21"/>
          <w:szCs w:val="21"/>
        </w:rPr>
        <w:t>bound of the confidence band</w:t>
      </w:r>
      <w:r w:rsidRPr="004E7A10">
        <w:rPr>
          <w:rFonts w:ascii="Garamond" w:hAnsi="Garamond" w:cs="Times New Roman"/>
          <w:sz w:val="21"/>
          <w:szCs w:val="21"/>
        </w:rPr>
        <w:t>.</w:t>
      </w:r>
    </w:p>
    <w:p w14:paraId="16D9CBFE" w14:textId="77777777" w:rsidR="00BA0AD5" w:rsidRPr="00BA0AD5" w:rsidRDefault="00BA0AD5" w:rsidP="00D0294B">
      <w:pPr>
        <w:spacing w:line="360" w:lineRule="auto"/>
        <w:jc w:val="both"/>
        <w:rPr>
          <w:rFonts w:ascii="Garamond" w:hAnsi="Garamond" w:cs="Times New Roman"/>
          <w:b/>
          <w:color w:val="0070C0"/>
          <w:sz w:val="18"/>
          <w:szCs w:val="18"/>
        </w:rPr>
      </w:pPr>
      <w:r w:rsidRPr="00BA0AD5">
        <w:rPr>
          <w:rFonts w:ascii="Garamond" w:hAnsi="Garamond" w:cs="Times New Roman"/>
          <w:b/>
          <w:color w:val="0070C0"/>
          <w:sz w:val="18"/>
          <w:szCs w:val="18"/>
        </w:rPr>
        <w:t>In the 1st quarter of 2015, the Central Bank loosened monetary conditions notably by gradually lowering the Lombard Repo Facility Rate from 20% to 12%...</w:t>
      </w:r>
    </w:p>
    <w:p w14:paraId="3C738226" w14:textId="77777777" w:rsidR="00FF6F41" w:rsidRPr="004E7A10" w:rsidRDefault="00820D4E" w:rsidP="00A9653E">
      <w:pPr>
        <w:spacing w:line="360" w:lineRule="auto"/>
        <w:jc w:val="both"/>
        <w:rPr>
          <w:rFonts w:ascii="Garamond" w:hAnsi="Garamond" w:cs="Times New Roman"/>
          <w:sz w:val="21"/>
          <w:szCs w:val="21"/>
        </w:rPr>
      </w:pPr>
      <w:r w:rsidRPr="004E7A10">
        <w:rPr>
          <w:rFonts w:ascii="Garamond" w:hAnsi="Garamond" w:cs="Times New Roman"/>
          <w:sz w:val="21"/>
          <w:szCs w:val="21"/>
        </w:rPr>
        <w:lastRenderedPageBreak/>
        <w:t xml:space="preserve">Despite high 12-month inflation rate, decisive actions of the Central Bank taken on in late 2014 helped to get inflationary expectations anchored </w:t>
      </w:r>
      <w:r w:rsidR="004B5F63" w:rsidRPr="004E7A10">
        <w:rPr>
          <w:rFonts w:ascii="Garamond" w:hAnsi="Garamond" w:cs="Times New Roman"/>
          <w:sz w:val="21"/>
          <w:szCs w:val="21"/>
        </w:rPr>
        <w:t xml:space="preserve">as soon as </w:t>
      </w:r>
      <w:r w:rsidRPr="004E7A10">
        <w:rPr>
          <w:rFonts w:ascii="Garamond" w:hAnsi="Garamond" w:cs="Times New Roman"/>
          <w:sz w:val="21"/>
          <w:szCs w:val="21"/>
        </w:rPr>
        <w:t>the 1st quarter of 2015</w:t>
      </w:r>
      <w:r w:rsidR="00E67A02" w:rsidRPr="004E7A10">
        <w:rPr>
          <w:rFonts w:ascii="Garamond" w:hAnsi="Garamond" w:cs="Times New Roman"/>
          <w:sz w:val="21"/>
          <w:szCs w:val="21"/>
        </w:rPr>
        <w:t xml:space="preserve">, which </w:t>
      </w:r>
      <w:r w:rsidR="004B5F63" w:rsidRPr="004E7A10">
        <w:rPr>
          <w:rFonts w:ascii="Garamond" w:hAnsi="Garamond" w:cs="Times New Roman"/>
          <w:sz w:val="21"/>
          <w:szCs w:val="21"/>
        </w:rPr>
        <w:t xml:space="preserve">in turn contributed to the elimination of tension </w:t>
      </w:r>
      <w:r w:rsidR="00E67A02" w:rsidRPr="004E7A10">
        <w:rPr>
          <w:rFonts w:ascii="Garamond" w:hAnsi="Garamond" w:cs="Times New Roman"/>
          <w:sz w:val="21"/>
          <w:szCs w:val="21"/>
        </w:rPr>
        <w:t>in the domestic financial and commodity markets.</w:t>
      </w:r>
      <w:r w:rsidR="0059746D" w:rsidRPr="004E7A10">
        <w:rPr>
          <w:rFonts w:ascii="Garamond" w:hAnsi="Garamond" w:cs="Times New Roman"/>
          <w:sz w:val="21"/>
          <w:szCs w:val="21"/>
        </w:rPr>
        <w:t xml:space="preserve"> This prompted the Central Bank to </w:t>
      </w:r>
      <w:r w:rsidR="0059746D" w:rsidRPr="004E7A10">
        <w:rPr>
          <w:rFonts w:ascii="Garamond" w:hAnsi="Garamond" w:cs="Times New Roman"/>
          <w:b/>
          <w:sz w:val="21"/>
          <w:szCs w:val="21"/>
        </w:rPr>
        <w:t>ease monetary conditions notably during the 1st quarter of 2015</w:t>
      </w:r>
      <w:r w:rsidR="0059746D" w:rsidRPr="004E7A10">
        <w:rPr>
          <w:rFonts w:ascii="Garamond" w:hAnsi="Garamond" w:cs="Times New Roman"/>
          <w:sz w:val="21"/>
          <w:szCs w:val="21"/>
        </w:rPr>
        <w:t xml:space="preserve"> by </w:t>
      </w:r>
      <w:r w:rsidR="005938BD" w:rsidRPr="004E7A10">
        <w:rPr>
          <w:rFonts w:ascii="Garamond" w:hAnsi="Garamond" w:cs="Times New Roman"/>
          <w:sz w:val="21"/>
          <w:szCs w:val="21"/>
        </w:rPr>
        <w:t xml:space="preserve">gradually lowering the </w:t>
      </w:r>
      <w:r w:rsidR="005938BD" w:rsidRPr="004E7A10">
        <w:rPr>
          <w:rFonts w:ascii="Garamond" w:hAnsi="Garamond" w:cs="Times New Roman"/>
          <w:b/>
          <w:sz w:val="21"/>
          <w:szCs w:val="21"/>
        </w:rPr>
        <w:t>Lombard Repo Facility Rate from 20% to 12%</w:t>
      </w:r>
      <w:r w:rsidR="005938BD" w:rsidRPr="004E7A10">
        <w:rPr>
          <w:rFonts w:ascii="Garamond" w:hAnsi="Garamond" w:cs="Times New Roman"/>
          <w:sz w:val="21"/>
          <w:szCs w:val="21"/>
        </w:rPr>
        <w:t xml:space="preserve">. However, in order to maintain Armenia’s monetary position in a long-term perspective amid investment risks and growing interest rate trends in developing countries, the Central Bank raised </w:t>
      </w:r>
      <w:r w:rsidR="00D71113" w:rsidRPr="004E7A10">
        <w:rPr>
          <w:rFonts w:ascii="Garamond" w:hAnsi="Garamond" w:cs="Times New Roman"/>
          <w:sz w:val="21"/>
          <w:szCs w:val="21"/>
        </w:rPr>
        <w:t>the</w:t>
      </w:r>
      <w:r w:rsidR="005938BD" w:rsidRPr="004E7A10">
        <w:rPr>
          <w:rFonts w:ascii="Garamond" w:hAnsi="Garamond" w:cs="Times New Roman"/>
          <w:sz w:val="21"/>
          <w:szCs w:val="21"/>
        </w:rPr>
        <w:t xml:space="preserve"> </w:t>
      </w:r>
      <w:r w:rsidR="00D71113" w:rsidRPr="004E7A10">
        <w:rPr>
          <w:rFonts w:ascii="Garamond" w:hAnsi="Garamond" w:cs="Times New Roman"/>
          <w:sz w:val="21"/>
          <w:szCs w:val="21"/>
        </w:rPr>
        <w:t>R</w:t>
      </w:r>
      <w:r w:rsidR="005938BD" w:rsidRPr="004E7A10">
        <w:rPr>
          <w:rFonts w:ascii="Garamond" w:hAnsi="Garamond" w:cs="Times New Roman"/>
          <w:sz w:val="21"/>
          <w:szCs w:val="21"/>
        </w:rPr>
        <w:t xml:space="preserve">efinancing </w:t>
      </w:r>
      <w:r w:rsidR="00D71113" w:rsidRPr="004E7A10">
        <w:rPr>
          <w:rFonts w:ascii="Garamond" w:hAnsi="Garamond" w:cs="Times New Roman"/>
          <w:sz w:val="21"/>
          <w:szCs w:val="21"/>
        </w:rPr>
        <w:t>R</w:t>
      </w:r>
      <w:r w:rsidR="005938BD" w:rsidRPr="004E7A10">
        <w:rPr>
          <w:rFonts w:ascii="Garamond" w:hAnsi="Garamond" w:cs="Times New Roman"/>
          <w:sz w:val="21"/>
          <w:szCs w:val="21"/>
        </w:rPr>
        <w:t xml:space="preserve">ate </w:t>
      </w:r>
      <w:r w:rsidR="00D71113" w:rsidRPr="004E7A10">
        <w:rPr>
          <w:rFonts w:ascii="Garamond" w:hAnsi="Garamond" w:cs="Times New Roman"/>
          <w:sz w:val="21"/>
          <w:szCs w:val="21"/>
        </w:rPr>
        <w:t>to 1</w:t>
      </w:r>
      <w:r w:rsidR="005938BD" w:rsidRPr="004E7A10">
        <w:rPr>
          <w:rFonts w:ascii="Garamond" w:hAnsi="Garamond" w:cs="Times New Roman"/>
          <w:sz w:val="21"/>
          <w:szCs w:val="21"/>
        </w:rPr>
        <w:t>0.5%</w:t>
      </w:r>
      <w:r w:rsidR="00D71113" w:rsidRPr="004E7A10">
        <w:rPr>
          <w:rFonts w:ascii="Garamond" w:hAnsi="Garamond" w:cs="Times New Roman"/>
          <w:sz w:val="21"/>
          <w:szCs w:val="21"/>
        </w:rPr>
        <w:t xml:space="preserve"> in the 1st quarter of 2015</w:t>
      </w:r>
      <w:r w:rsidR="005938BD" w:rsidRPr="004E7A10">
        <w:rPr>
          <w:rFonts w:ascii="Garamond" w:hAnsi="Garamond" w:cs="Times New Roman"/>
          <w:sz w:val="21"/>
          <w:szCs w:val="21"/>
        </w:rPr>
        <w:t>.</w:t>
      </w:r>
      <w:r w:rsidR="00D71113" w:rsidRPr="004E7A10">
        <w:rPr>
          <w:rFonts w:ascii="Garamond" w:hAnsi="Garamond" w:cs="Times New Roman"/>
          <w:sz w:val="21"/>
          <w:szCs w:val="21"/>
        </w:rPr>
        <w:t xml:space="preserve"> These actions helped </w:t>
      </w:r>
      <w:r w:rsidR="00A20EFD" w:rsidRPr="004E7A10">
        <w:rPr>
          <w:rFonts w:ascii="Garamond" w:hAnsi="Garamond" w:cs="Times New Roman"/>
          <w:color w:val="000000"/>
          <w:sz w:val="21"/>
          <w:szCs w:val="21"/>
        </w:rPr>
        <w:t xml:space="preserve">the Lombard Repo Facility Rate to </w:t>
      </w:r>
      <w:r w:rsidR="00F82C9B" w:rsidRPr="004E7A10">
        <w:rPr>
          <w:rFonts w:ascii="Garamond" w:hAnsi="Garamond" w:cs="Times New Roman"/>
          <w:color w:val="000000"/>
          <w:sz w:val="21"/>
          <w:szCs w:val="21"/>
        </w:rPr>
        <w:t xml:space="preserve">again </w:t>
      </w:r>
      <w:r w:rsidR="00A20EFD" w:rsidRPr="004E7A10">
        <w:rPr>
          <w:rFonts w:ascii="Garamond" w:hAnsi="Garamond" w:cs="Times New Roman"/>
          <w:color w:val="000000"/>
          <w:sz w:val="21"/>
          <w:szCs w:val="21"/>
        </w:rPr>
        <w:t>uphold an accepted 1.5 percentage point spread from the Refinancing Rate</w:t>
      </w:r>
      <w:r w:rsidR="00F82C9B" w:rsidRPr="004E7A10">
        <w:rPr>
          <w:rFonts w:ascii="Garamond" w:hAnsi="Garamond" w:cs="Times New Roman"/>
          <w:color w:val="000000"/>
          <w:sz w:val="21"/>
          <w:szCs w:val="21"/>
        </w:rPr>
        <w:t xml:space="preserve"> and pushed </w:t>
      </w:r>
      <w:r w:rsidR="00F82C9B" w:rsidRPr="004E7A10">
        <w:rPr>
          <w:rFonts w:ascii="Garamond" w:hAnsi="Garamond" w:cs="Times New Roman"/>
          <w:sz w:val="21"/>
          <w:szCs w:val="21"/>
        </w:rPr>
        <w:t xml:space="preserve">short-term market rates down. </w:t>
      </w:r>
      <w:r w:rsidR="00F82C9B" w:rsidRPr="004E7A10">
        <w:rPr>
          <w:rFonts w:ascii="Garamond" w:hAnsi="Garamond" w:cs="Times New Roman"/>
          <w:b/>
          <w:color w:val="000000"/>
          <w:sz w:val="21"/>
          <w:szCs w:val="21"/>
        </w:rPr>
        <w:t>A zero or weak mechanism of reserve requirement</w:t>
      </w:r>
      <w:r w:rsidR="00F82C9B" w:rsidRPr="004E7A10">
        <w:rPr>
          <w:rFonts w:ascii="Garamond" w:hAnsi="Garamond" w:cs="Times New Roman"/>
          <w:color w:val="000000"/>
          <w:sz w:val="21"/>
          <w:szCs w:val="21"/>
        </w:rPr>
        <w:t xml:space="preserve"> for long-term funds attracted by banks became effective</w:t>
      </w:r>
      <w:r w:rsidR="00FF6F41" w:rsidRPr="004E7A10">
        <w:rPr>
          <w:rFonts w:ascii="Garamond" w:hAnsi="Garamond" w:cs="Times New Roman"/>
          <w:color w:val="000000"/>
          <w:sz w:val="21"/>
          <w:szCs w:val="21"/>
        </w:rPr>
        <w:t xml:space="preserve"> and </w:t>
      </w:r>
      <w:r w:rsidR="00F82C9B" w:rsidRPr="004E7A10">
        <w:rPr>
          <w:rFonts w:ascii="Garamond" w:hAnsi="Garamond" w:cs="Times New Roman"/>
          <w:b/>
          <w:color w:val="000000"/>
          <w:sz w:val="21"/>
          <w:szCs w:val="21"/>
        </w:rPr>
        <w:t>some other macro-prudential measures</w:t>
      </w:r>
      <w:r w:rsidR="00F82C9B" w:rsidRPr="004E7A10">
        <w:rPr>
          <w:rFonts w:ascii="Garamond" w:hAnsi="Garamond" w:cs="Times New Roman"/>
          <w:color w:val="000000"/>
          <w:sz w:val="21"/>
          <w:szCs w:val="21"/>
        </w:rPr>
        <w:t xml:space="preserve"> were taken on </w:t>
      </w:r>
      <w:r w:rsidR="00FF6F41" w:rsidRPr="004E7A10">
        <w:rPr>
          <w:rFonts w:ascii="Garamond" w:hAnsi="Garamond" w:cs="Times New Roman"/>
          <w:color w:val="000000"/>
          <w:sz w:val="21"/>
          <w:szCs w:val="21"/>
        </w:rPr>
        <w:t>in the 1st quarter</w:t>
      </w:r>
      <w:r w:rsidR="00FF6F41" w:rsidRPr="004E7A10">
        <w:rPr>
          <w:rFonts w:ascii="Garamond" w:hAnsi="Garamond" w:cs="Times New Roman"/>
          <w:sz w:val="21"/>
          <w:szCs w:val="21"/>
        </w:rPr>
        <w:t xml:space="preserve"> </w:t>
      </w:r>
      <w:r w:rsidR="00F82C9B" w:rsidRPr="004E7A10">
        <w:rPr>
          <w:rFonts w:ascii="Garamond" w:hAnsi="Garamond" w:cs="Times New Roman"/>
          <w:sz w:val="21"/>
          <w:szCs w:val="21"/>
        </w:rPr>
        <w:t xml:space="preserve">(see details in section </w:t>
      </w:r>
      <w:r w:rsidR="002B27BE">
        <w:rPr>
          <w:rFonts w:ascii="Garamond" w:hAnsi="Garamond" w:cs="Times New Roman"/>
          <w:sz w:val="21"/>
          <w:szCs w:val="21"/>
        </w:rPr>
        <w:t>“</w:t>
      </w:r>
      <w:r w:rsidR="00F82C9B" w:rsidRPr="004E7A10">
        <w:rPr>
          <w:rFonts w:ascii="Garamond" w:hAnsi="Garamond" w:cs="Times New Roman"/>
          <w:sz w:val="21"/>
          <w:szCs w:val="21"/>
        </w:rPr>
        <w:t>3.1.1 Actual inflation and fulfillment of the inflation target</w:t>
      </w:r>
      <w:r w:rsidR="002B27BE">
        <w:rPr>
          <w:rFonts w:ascii="Garamond" w:hAnsi="Garamond" w:cs="Times New Roman"/>
          <w:sz w:val="21"/>
          <w:szCs w:val="21"/>
        </w:rPr>
        <w:t>”</w:t>
      </w:r>
      <w:r w:rsidR="00F82C9B" w:rsidRPr="004E7A10">
        <w:rPr>
          <w:rFonts w:ascii="Garamond" w:hAnsi="Garamond" w:cs="Times New Roman"/>
          <w:sz w:val="21"/>
          <w:szCs w:val="21"/>
        </w:rPr>
        <w:t>).</w:t>
      </w:r>
      <w:r w:rsidR="00FF6F41" w:rsidRPr="004E7A10">
        <w:rPr>
          <w:rFonts w:ascii="Garamond" w:hAnsi="Garamond" w:cs="Times New Roman"/>
          <w:sz w:val="21"/>
          <w:szCs w:val="21"/>
        </w:rPr>
        <w:t xml:space="preserve"> </w:t>
      </w:r>
    </w:p>
    <w:p w14:paraId="3654D275" w14:textId="77777777" w:rsidR="00FF6F41" w:rsidRPr="004E7A10" w:rsidRDefault="00FF6F41" w:rsidP="00A9653E">
      <w:pPr>
        <w:spacing w:line="360" w:lineRule="auto"/>
        <w:jc w:val="both"/>
        <w:rPr>
          <w:rFonts w:ascii="Garamond" w:hAnsi="Garamond" w:cs="Times New Roman"/>
          <w:b/>
          <w:color w:val="000000"/>
          <w:sz w:val="21"/>
          <w:szCs w:val="21"/>
        </w:rPr>
      </w:pPr>
      <w:r w:rsidRPr="004E7A10">
        <w:rPr>
          <w:rFonts w:ascii="Garamond" w:hAnsi="Garamond" w:cs="Times New Roman"/>
          <w:b/>
          <w:color w:val="000000"/>
          <w:sz w:val="21"/>
          <w:szCs w:val="21"/>
        </w:rPr>
        <w:t xml:space="preserve">In conclusion, the 1st quarter of 2015 saw generally an easing of monetary conditions. </w:t>
      </w:r>
    </w:p>
    <w:p w14:paraId="6F1AA67F" w14:textId="77777777" w:rsidR="00AC46EB" w:rsidRPr="00AC46EB" w:rsidRDefault="00AC46EB" w:rsidP="00A9653E">
      <w:pPr>
        <w:spacing w:line="360" w:lineRule="auto"/>
        <w:jc w:val="both"/>
        <w:rPr>
          <w:rFonts w:ascii="Garamond" w:hAnsi="Garamond" w:cs="Times New Roman"/>
          <w:b/>
          <w:color w:val="0070C0"/>
          <w:sz w:val="18"/>
          <w:szCs w:val="18"/>
        </w:rPr>
      </w:pPr>
      <w:r w:rsidRPr="00AC46EB">
        <w:rPr>
          <w:rFonts w:ascii="Garamond" w:hAnsi="Garamond" w:cs="Times New Roman"/>
          <w:b/>
          <w:color w:val="0070C0"/>
          <w:sz w:val="18"/>
          <w:szCs w:val="18"/>
        </w:rPr>
        <w:t xml:space="preserve">In </w:t>
      </w:r>
      <w:r w:rsidR="009A42EA">
        <w:rPr>
          <w:rFonts w:ascii="Garamond" w:hAnsi="Garamond" w:cs="Times New Roman"/>
          <w:b/>
          <w:color w:val="0070C0"/>
          <w:sz w:val="18"/>
          <w:szCs w:val="18"/>
        </w:rPr>
        <w:t xml:space="preserve">view of </w:t>
      </w:r>
      <w:r w:rsidRPr="00AC46EB">
        <w:rPr>
          <w:rFonts w:ascii="Garamond" w:hAnsi="Garamond" w:cs="Times New Roman"/>
          <w:b/>
          <w:color w:val="0070C0"/>
          <w:sz w:val="18"/>
          <w:szCs w:val="18"/>
        </w:rPr>
        <w:t>possible rise in electricity price in the upcoming period, the prediction is that the 12-month inflation rate would remain in the upper bound of the confidence band</w:t>
      </w:r>
      <w:r>
        <w:rPr>
          <w:rFonts w:ascii="Garamond" w:hAnsi="Garamond" w:cs="Times New Roman"/>
          <w:b/>
          <w:color w:val="0070C0"/>
          <w:sz w:val="18"/>
          <w:szCs w:val="18"/>
        </w:rPr>
        <w:t>…</w:t>
      </w:r>
    </w:p>
    <w:p w14:paraId="6C7247BA" w14:textId="77777777" w:rsidR="00857E6D" w:rsidRPr="004E7A10" w:rsidRDefault="006F25A0" w:rsidP="00A9653E">
      <w:pPr>
        <w:spacing w:line="360" w:lineRule="auto"/>
        <w:jc w:val="both"/>
        <w:rPr>
          <w:rFonts w:ascii="Garamond" w:hAnsi="Garamond" w:cs="Times New Roman"/>
          <w:color w:val="000000"/>
          <w:sz w:val="21"/>
          <w:szCs w:val="21"/>
        </w:rPr>
      </w:pPr>
      <w:r w:rsidRPr="004E7A10">
        <w:rPr>
          <w:rFonts w:ascii="Garamond" w:hAnsi="Garamond" w:cs="Times New Roman"/>
          <w:color w:val="000000"/>
          <w:sz w:val="21"/>
          <w:szCs w:val="21"/>
        </w:rPr>
        <w:t xml:space="preserve">In consideration of possible rise in </w:t>
      </w:r>
      <w:r w:rsidR="00857E6D" w:rsidRPr="004E7A10">
        <w:rPr>
          <w:rFonts w:ascii="Garamond" w:hAnsi="Garamond" w:cs="Times New Roman"/>
          <w:color w:val="000000"/>
          <w:sz w:val="21"/>
          <w:szCs w:val="21"/>
        </w:rPr>
        <w:t xml:space="preserve">electricity price </w:t>
      </w:r>
      <w:r w:rsidRPr="004E7A10">
        <w:rPr>
          <w:rFonts w:ascii="Garamond" w:hAnsi="Garamond" w:cs="Times New Roman"/>
          <w:color w:val="000000"/>
          <w:sz w:val="21"/>
          <w:szCs w:val="21"/>
        </w:rPr>
        <w:t xml:space="preserve">in the upcoming period, the prediction is that </w:t>
      </w:r>
      <w:r w:rsidR="00857E6D" w:rsidRPr="004E7A10">
        <w:rPr>
          <w:rFonts w:ascii="Garamond" w:hAnsi="Garamond" w:cs="Times New Roman"/>
          <w:color w:val="000000"/>
          <w:sz w:val="21"/>
          <w:szCs w:val="21"/>
        </w:rPr>
        <w:t>the 12-month inflation rate</w:t>
      </w:r>
      <w:r w:rsidRPr="004E7A10">
        <w:rPr>
          <w:rFonts w:ascii="Garamond" w:hAnsi="Garamond" w:cs="Times New Roman"/>
          <w:color w:val="000000"/>
          <w:sz w:val="21"/>
          <w:szCs w:val="21"/>
        </w:rPr>
        <w:t xml:space="preserve"> </w:t>
      </w:r>
      <w:r w:rsidR="00857E6D" w:rsidRPr="004E7A10">
        <w:rPr>
          <w:rFonts w:ascii="Garamond" w:hAnsi="Garamond" w:cs="Times New Roman"/>
          <w:color w:val="000000"/>
          <w:sz w:val="21"/>
          <w:szCs w:val="21"/>
        </w:rPr>
        <w:t>w</w:t>
      </w:r>
      <w:r w:rsidRPr="004E7A10">
        <w:rPr>
          <w:rFonts w:ascii="Garamond" w:hAnsi="Garamond" w:cs="Times New Roman"/>
          <w:color w:val="000000"/>
          <w:sz w:val="21"/>
          <w:szCs w:val="21"/>
        </w:rPr>
        <w:t xml:space="preserve">ould </w:t>
      </w:r>
      <w:r w:rsidR="00857E6D" w:rsidRPr="004E7A10">
        <w:rPr>
          <w:rFonts w:ascii="Garamond" w:hAnsi="Garamond" w:cs="Times New Roman"/>
          <w:color w:val="000000"/>
          <w:sz w:val="21"/>
          <w:szCs w:val="21"/>
        </w:rPr>
        <w:t xml:space="preserve">remain </w:t>
      </w:r>
      <w:r w:rsidRPr="004E7A10">
        <w:rPr>
          <w:rFonts w:ascii="Garamond" w:hAnsi="Garamond" w:cs="Times New Roman"/>
          <w:color w:val="000000"/>
          <w:sz w:val="21"/>
          <w:szCs w:val="21"/>
        </w:rPr>
        <w:t xml:space="preserve">in the upper bound of the confidence band but would </w:t>
      </w:r>
      <w:r w:rsidR="00AC46EB">
        <w:rPr>
          <w:rFonts w:ascii="Garamond" w:hAnsi="Garamond" w:cs="Times New Roman"/>
          <w:color w:val="000000"/>
          <w:sz w:val="21"/>
          <w:szCs w:val="21"/>
        </w:rPr>
        <w:t xml:space="preserve">then </w:t>
      </w:r>
      <w:r w:rsidRPr="004E7A10">
        <w:rPr>
          <w:rFonts w:ascii="Garamond" w:hAnsi="Garamond" w:cs="Times New Roman"/>
          <w:color w:val="000000"/>
          <w:sz w:val="21"/>
          <w:szCs w:val="21"/>
        </w:rPr>
        <w:t xml:space="preserve">reduce gradually fuelled by a greater seasonal drop in food prices owing to </w:t>
      </w:r>
      <w:r w:rsidR="00857E6D" w:rsidRPr="004E7A10">
        <w:rPr>
          <w:rFonts w:ascii="Garamond" w:hAnsi="Garamond" w:cs="Times New Roman"/>
          <w:color w:val="000000"/>
          <w:sz w:val="21"/>
          <w:szCs w:val="21"/>
        </w:rPr>
        <w:t>positive development</w:t>
      </w:r>
      <w:r w:rsidRPr="004E7A10">
        <w:rPr>
          <w:rFonts w:ascii="Garamond" w:hAnsi="Garamond" w:cs="Times New Roman"/>
          <w:color w:val="000000"/>
          <w:sz w:val="21"/>
          <w:szCs w:val="21"/>
        </w:rPr>
        <w:t>s</w:t>
      </w:r>
      <w:r w:rsidR="00857E6D" w:rsidRPr="004E7A10">
        <w:rPr>
          <w:rFonts w:ascii="Garamond" w:hAnsi="Garamond" w:cs="Times New Roman"/>
          <w:color w:val="000000"/>
          <w:sz w:val="21"/>
          <w:szCs w:val="21"/>
        </w:rPr>
        <w:t xml:space="preserve"> </w:t>
      </w:r>
      <w:r w:rsidRPr="004E7A10">
        <w:rPr>
          <w:rFonts w:ascii="Garamond" w:hAnsi="Garamond" w:cs="Times New Roman"/>
          <w:color w:val="000000"/>
          <w:sz w:val="21"/>
          <w:szCs w:val="21"/>
        </w:rPr>
        <w:t xml:space="preserve">in </w:t>
      </w:r>
      <w:r w:rsidR="00857E6D" w:rsidRPr="004E7A10">
        <w:rPr>
          <w:rFonts w:ascii="Garamond" w:hAnsi="Garamond" w:cs="Times New Roman"/>
          <w:color w:val="000000"/>
          <w:sz w:val="21"/>
          <w:szCs w:val="21"/>
        </w:rPr>
        <w:t>agriculture a</w:t>
      </w:r>
      <w:r w:rsidRPr="004E7A10">
        <w:rPr>
          <w:rFonts w:ascii="Garamond" w:hAnsi="Garamond" w:cs="Times New Roman"/>
          <w:color w:val="000000"/>
          <w:sz w:val="21"/>
          <w:szCs w:val="21"/>
        </w:rPr>
        <w:t>s</w:t>
      </w:r>
      <w:r w:rsidR="005B249E">
        <w:rPr>
          <w:rFonts w:ascii="Garamond" w:hAnsi="Garamond" w:cs="Times New Roman"/>
          <w:color w:val="000000"/>
          <w:sz w:val="21"/>
          <w:szCs w:val="21"/>
        </w:rPr>
        <w:t xml:space="preserve"> </w:t>
      </w:r>
      <w:r w:rsidRPr="004E7A10">
        <w:rPr>
          <w:rFonts w:ascii="Garamond" w:hAnsi="Garamond" w:cs="Times New Roman"/>
          <w:color w:val="000000"/>
          <w:sz w:val="21"/>
          <w:szCs w:val="21"/>
        </w:rPr>
        <w:t xml:space="preserve">well as </w:t>
      </w:r>
      <w:r w:rsidR="00857E6D" w:rsidRPr="004E7A10">
        <w:rPr>
          <w:rFonts w:ascii="Garamond" w:hAnsi="Garamond" w:cs="Times New Roman"/>
          <w:color w:val="000000"/>
          <w:sz w:val="21"/>
          <w:szCs w:val="21"/>
        </w:rPr>
        <w:t xml:space="preserve">expected weak </w:t>
      </w:r>
      <w:r w:rsidRPr="004E7A10">
        <w:rPr>
          <w:rFonts w:ascii="Garamond" w:hAnsi="Garamond" w:cs="Times New Roman"/>
          <w:color w:val="000000"/>
          <w:sz w:val="21"/>
          <w:szCs w:val="21"/>
        </w:rPr>
        <w:t xml:space="preserve">demand in both </w:t>
      </w:r>
      <w:r w:rsidR="00857E6D" w:rsidRPr="004E7A10">
        <w:rPr>
          <w:rFonts w:ascii="Garamond" w:hAnsi="Garamond" w:cs="Times New Roman"/>
          <w:color w:val="000000"/>
          <w:sz w:val="21"/>
          <w:szCs w:val="21"/>
        </w:rPr>
        <w:t xml:space="preserve">external </w:t>
      </w:r>
      <w:r w:rsidRPr="004E7A10">
        <w:rPr>
          <w:rFonts w:ascii="Garamond" w:hAnsi="Garamond" w:cs="Times New Roman"/>
          <w:color w:val="000000"/>
          <w:sz w:val="21"/>
          <w:szCs w:val="21"/>
        </w:rPr>
        <w:t>and domestic sectors</w:t>
      </w:r>
      <w:r w:rsidR="00857E6D" w:rsidRPr="004E7A10">
        <w:rPr>
          <w:rFonts w:ascii="Garamond" w:hAnsi="Garamond" w:cs="Times New Roman"/>
          <w:color w:val="000000"/>
          <w:sz w:val="21"/>
          <w:szCs w:val="21"/>
        </w:rPr>
        <w:t>.</w:t>
      </w:r>
    </w:p>
    <w:p w14:paraId="7736927E" w14:textId="77777777" w:rsidR="009D7633" w:rsidRPr="004E7A10" w:rsidRDefault="00E32F4D" w:rsidP="00A9653E">
      <w:pPr>
        <w:spacing w:line="360" w:lineRule="auto"/>
        <w:jc w:val="both"/>
        <w:rPr>
          <w:rFonts w:ascii="Garamond" w:hAnsi="Garamond" w:cs="Times New Roman"/>
          <w:color w:val="000000"/>
          <w:sz w:val="21"/>
          <w:szCs w:val="21"/>
        </w:rPr>
      </w:pPr>
      <w:r w:rsidRPr="00481724">
        <w:rPr>
          <w:rFonts w:ascii="Garamond" w:hAnsi="Garamond" w:cs="Times New Roman"/>
          <w:b/>
          <w:color w:val="000000"/>
          <w:sz w:val="21"/>
          <w:szCs w:val="21"/>
        </w:rPr>
        <w:t>T</w:t>
      </w:r>
      <w:r w:rsidR="009D7633" w:rsidRPr="00481724">
        <w:rPr>
          <w:rFonts w:ascii="Garamond" w:hAnsi="Garamond" w:cs="Times New Roman"/>
          <w:b/>
          <w:color w:val="000000"/>
          <w:sz w:val="21"/>
          <w:szCs w:val="21"/>
        </w:rPr>
        <w:t>he Central Bank estimates</w:t>
      </w:r>
      <w:r w:rsidRPr="00481724">
        <w:rPr>
          <w:rFonts w:ascii="Garamond" w:hAnsi="Garamond" w:cs="Times New Roman"/>
          <w:b/>
          <w:color w:val="000000"/>
          <w:sz w:val="21"/>
          <w:szCs w:val="21"/>
        </w:rPr>
        <w:t xml:space="preserve"> that keeping </w:t>
      </w:r>
      <w:r w:rsidR="009D7633" w:rsidRPr="00481724">
        <w:rPr>
          <w:rFonts w:ascii="Garamond" w:hAnsi="Garamond" w:cs="Times New Roman"/>
          <w:b/>
          <w:color w:val="000000"/>
          <w:sz w:val="21"/>
          <w:szCs w:val="21"/>
        </w:rPr>
        <w:t>the Refinancing Rate</w:t>
      </w:r>
      <w:r w:rsidRPr="00481724">
        <w:rPr>
          <w:rFonts w:ascii="Garamond" w:hAnsi="Garamond" w:cs="Times New Roman"/>
          <w:b/>
          <w:color w:val="000000"/>
          <w:sz w:val="21"/>
          <w:szCs w:val="21"/>
        </w:rPr>
        <w:t xml:space="preserve">’s current level </w:t>
      </w:r>
      <w:r w:rsidR="009D7633" w:rsidRPr="00481724">
        <w:rPr>
          <w:rFonts w:ascii="Garamond" w:hAnsi="Garamond" w:cs="Times New Roman"/>
          <w:b/>
          <w:color w:val="000000"/>
          <w:sz w:val="21"/>
          <w:szCs w:val="21"/>
        </w:rPr>
        <w:t>in the 2nd quarter</w:t>
      </w:r>
      <w:r w:rsidR="009D7633" w:rsidRPr="004E7A10">
        <w:rPr>
          <w:rFonts w:ascii="Garamond" w:hAnsi="Garamond" w:cs="Times New Roman"/>
          <w:b/>
          <w:color w:val="000000"/>
          <w:sz w:val="21"/>
          <w:szCs w:val="21"/>
        </w:rPr>
        <w:t xml:space="preserve"> of 2015</w:t>
      </w:r>
      <w:r w:rsidR="009D7633" w:rsidRPr="004E7A10">
        <w:rPr>
          <w:rFonts w:ascii="Garamond" w:hAnsi="Garamond" w:cs="Times New Roman"/>
          <w:color w:val="000000"/>
          <w:sz w:val="21"/>
          <w:szCs w:val="21"/>
        </w:rPr>
        <w:t xml:space="preserve"> would facilitate the 12-month inflation to stabilize, since 2016, around the target. Later, as economic developments unfold, the Central Bank will adjust its monetary policy directions, while fulfilling the inflation target in the medium-term perspective. </w:t>
      </w:r>
    </w:p>
    <w:p w14:paraId="039EE995" w14:textId="4202EE02" w:rsidR="00A9653E" w:rsidRPr="004E7A10" w:rsidRDefault="00A9653E" w:rsidP="00A9653E">
      <w:pPr>
        <w:spacing w:line="360" w:lineRule="auto"/>
        <w:jc w:val="both"/>
        <w:rPr>
          <w:rFonts w:ascii="Garamond" w:hAnsi="Garamond" w:cs="Times New Roman"/>
          <w:sz w:val="21"/>
          <w:szCs w:val="21"/>
        </w:rPr>
      </w:pPr>
      <w:r w:rsidRPr="00F27DA0">
        <w:rPr>
          <w:rFonts w:ascii="Garamond" w:hAnsi="Garamond" w:cs="Times New Roman"/>
          <w:b/>
          <w:sz w:val="21"/>
          <w:szCs w:val="21"/>
        </w:rPr>
        <w:t>Risks to inflation deviating from the</w:t>
      </w:r>
      <w:r w:rsidRPr="00F27DA0">
        <w:rPr>
          <w:rFonts w:ascii="Garamond" w:hAnsi="Garamond" w:cs="Times New Roman"/>
          <w:sz w:val="21"/>
          <w:szCs w:val="21"/>
        </w:rPr>
        <w:t xml:space="preserve"> </w:t>
      </w:r>
      <w:r w:rsidRPr="00F27DA0">
        <w:rPr>
          <w:rFonts w:ascii="Garamond" w:hAnsi="Garamond" w:cs="Times New Roman"/>
          <w:b/>
          <w:sz w:val="21"/>
          <w:szCs w:val="21"/>
        </w:rPr>
        <w:t>projected value</w:t>
      </w:r>
      <w:r w:rsidRPr="00F27DA0">
        <w:rPr>
          <w:rFonts w:ascii="Garamond" w:hAnsi="Garamond" w:cs="Times New Roman"/>
          <w:sz w:val="21"/>
          <w:szCs w:val="21"/>
        </w:rPr>
        <w:t xml:space="preserve"> are estimated as </w:t>
      </w:r>
      <w:r w:rsidRPr="00F27DA0">
        <w:rPr>
          <w:rFonts w:ascii="Garamond" w:hAnsi="Garamond" w:cs="Times New Roman"/>
          <w:b/>
          <w:sz w:val="21"/>
          <w:szCs w:val="21"/>
        </w:rPr>
        <w:t>balanced</w:t>
      </w:r>
      <w:r w:rsidRPr="00F27DA0">
        <w:rPr>
          <w:rFonts w:ascii="Garamond" w:hAnsi="Garamond" w:cs="Times New Roman"/>
          <w:sz w:val="21"/>
          <w:szCs w:val="21"/>
        </w:rPr>
        <w:t xml:space="preserve"> in both short and</w:t>
      </w:r>
      <w:r w:rsidRPr="004E7A10">
        <w:rPr>
          <w:rFonts w:ascii="Garamond" w:hAnsi="Garamond" w:cs="Times New Roman"/>
          <w:sz w:val="21"/>
          <w:szCs w:val="21"/>
        </w:rPr>
        <w:t xml:space="preserve"> medium-term perspectives. </w:t>
      </w:r>
      <w:r w:rsidRPr="004E7A10">
        <w:rPr>
          <w:rFonts w:ascii="Garamond" w:hAnsi="Garamond" w:cs="Times New Roman"/>
          <w:b/>
          <w:sz w:val="21"/>
          <w:szCs w:val="21"/>
        </w:rPr>
        <w:t>External sector risks</w:t>
      </w:r>
      <w:r w:rsidRPr="004E7A10">
        <w:rPr>
          <w:rFonts w:ascii="Garamond" w:hAnsi="Garamond" w:cs="Times New Roman"/>
          <w:sz w:val="21"/>
          <w:szCs w:val="21"/>
        </w:rPr>
        <w:t xml:space="preserve"> are primarily associated with </w:t>
      </w:r>
      <w:r w:rsidR="00657375" w:rsidRPr="004E7A10">
        <w:rPr>
          <w:rFonts w:ascii="Garamond" w:hAnsi="Garamond" w:cs="Times New Roman"/>
          <w:sz w:val="21"/>
          <w:szCs w:val="21"/>
        </w:rPr>
        <w:t xml:space="preserve">global economic growth rates bouncing back as well as </w:t>
      </w:r>
      <w:r w:rsidR="00E32F4D" w:rsidRPr="004E7A10">
        <w:rPr>
          <w:rFonts w:ascii="Garamond" w:hAnsi="Garamond" w:cs="Times New Roman"/>
          <w:sz w:val="21"/>
          <w:szCs w:val="21"/>
        </w:rPr>
        <w:t>price developments in world commodity and food product markets</w:t>
      </w:r>
      <w:r w:rsidRPr="004E7A10">
        <w:rPr>
          <w:rFonts w:ascii="Garamond" w:hAnsi="Garamond" w:cs="Times New Roman"/>
          <w:sz w:val="21"/>
          <w:szCs w:val="21"/>
        </w:rPr>
        <w:t xml:space="preserve">. </w:t>
      </w:r>
      <w:r w:rsidRPr="004E7A10">
        <w:rPr>
          <w:rFonts w:ascii="Garamond" w:hAnsi="Garamond" w:cs="Times New Roman"/>
          <w:b/>
          <w:sz w:val="21"/>
          <w:szCs w:val="21"/>
        </w:rPr>
        <w:t xml:space="preserve">Risks deriving from the domestic environment </w:t>
      </w:r>
      <w:r w:rsidRPr="004E7A10">
        <w:rPr>
          <w:rFonts w:ascii="Garamond" w:hAnsi="Garamond" w:cs="Times New Roman"/>
          <w:sz w:val="21"/>
          <w:szCs w:val="21"/>
        </w:rPr>
        <w:t xml:space="preserve">are attributable to </w:t>
      </w:r>
      <w:r w:rsidR="00346693" w:rsidRPr="004E7A10">
        <w:rPr>
          <w:rFonts w:ascii="Garamond" w:hAnsi="Garamond" w:cs="Times New Roman"/>
          <w:sz w:val="21"/>
          <w:szCs w:val="21"/>
        </w:rPr>
        <w:t xml:space="preserve">the pace at which the </w:t>
      </w:r>
      <w:r w:rsidRPr="004E7A10">
        <w:rPr>
          <w:rFonts w:ascii="Garamond" w:hAnsi="Garamond" w:cs="Times New Roman"/>
          <w:sz w:val="21"/>
          <w:szCs w:val="21"/>
        </w:rPr>
        <w:t xml:space="preserve">domestic demand </w:t>
      </w:r>
      <w:r w:rsidR="00346693" w:rsidRPr="004E7A10">
        <w:rPr>
          <w:rFonts w:ascii="Garamond" w:hAnsi="Garamond" w:cs="Times New Roman"/>
          <w:sz w:val="21"/>
          <w:szCs w:val="21"/>
        </w:rPr>
        <w:t xml:space="preserve">would recover, the Government-led projects, economic effects from </w:t>
      </w:r>
      <w:r w:rsidR="00743C38" w:rsidRPr="004E7A10">
        <w:rPr>
          <w:rFonts w:ascii="Garamond" w:hAnsi="Garamond" w:cs="Times New Roman"/>
          <w:sz w:val="21"/>
          <w:szCs w:val="21"/>
        </w:rPr>
        <w:t xml:space="preserve">regional integration processes </w:t>
      </w:r>
      <w:r w:rsidR="00D4255C" w:rsidRPr="004E7A10">
        <w:rPr>
          <w:rFonts w:ascii="Garamond" w:hAnsi="Garamond" w:cs="Times New Roman"/>
          <w:sz w:val="21"/>
          <w:szCs w:val="21"/>
        </w:rPr>
        <w:t>a</w:t>
      </w:r>
      <w:r w:rsidR="00743C38" w:rsidRPr="004E7A10">
        <w:rPr>
          <w:rFonts w:ascii="Garamond" w:hAnsi="Garamond" w:cs="Times New Roman"/>
          <w:sz w:val="21"/>
          <w:szCs w:val="21"/>
        </w:rPr>
        <w:t xml:space="preserve">s well as </w:t>
      </w:r>
      <w:r w:rsidRPr="004E7A10">
        <w:rPr>
          <w:rFonts w:ascii="Garamond" w:hAnsi="Garamond" w:cs="Times New Roman"/>
          <w:sz w:val="21"/>
          <w:szCs w:val="21"/>
        </w:rPr>
        <w:t xml:space="preserve">the developments in agriculture sector which is largely reliant on </w:t>
      </w:r>
      <w:r w:rsidR="00123722">
        <w:rPr>
          <w:rFonts w:ascii="Garamond" w:hAnsi="Garamond" w:cs="Times New Roman"/>
          <w:sz w:val="21"/>
          <w:szCs w:val="21"/>
        </w:rPr>
        <w:t xml:space="preserve">weather </w:t>
      </w:r>
      <w:r w:rsidRPr="004E7A10">
        <w:rPr>
          <w:rFonts w:ascii="Garamond" w:hAnsi="Garamond" w:cs="Times New Roman"/>
          <w:sz w:val="21"/>
          <w:szCs w:val="21"/>
        </w:rPr>
        <w:t>conditions.</w:t>
      </w:r>
      <w:r w:rsidR="00E711CA" w:rsidRPr="004E7A10">
        <w:rPr>
          <w:rFonts w:ascii="Garamond" w:hAnsi="Garamond" w:cs="Times New Roman"/>
          <w:sz w:val="21"/>
          <w:szCs w:val="21"/>
        </w:rPr>
        <w:t xml:space="preserve"> </w:t>
      </w:r>
      <w:r w:rsidR="00743C38" w:rsidRPr="004E7A10">
        <w:rPr>
          <w:rFonts w:ascii="Garamond" w:hAnsi="Garamond" w:cs="Times New Roman"/>
          <w:sz w:val="21"/>
          <w:szCs w:val="21"/>
        </w:rPr>
        <w:t xml:space="preserve">At the same time, the lack of information about the size and timing of possible increase in electricity tariffs adds to the uncertainties over inflation developments. </w:t>
      </w:r>
      <w:r w:rsidRPr="004E7A10">
        <w:rPr>
          <w:rFonts w:ascii="Garamond" w:hAnsi="Garamond" w:cs="Times New Roman"/>
          <w:sz w:val="21"/>
          <w:szCs w:val="21"/>
        </w:rPr>
        <w:t xml:space="preserve">If such risks materialize, the Central Bank will react accordingly by maintaining the inflation target in the medium </w:t>
      </w:r>
      <w:r w:rsidR="00743C38" w:rsidRPr="004E7A10">
        <w:rPr>
          <w:rFonts w:ascii="Garamond" w:hAnsi="Garamond" w:cs="Times New Roman"/>
          <w:sz w:val="21"/>
          <w:szCs w:val="21"/>
        </w:rPr>
        <w:t>run</w:t>
      </w:r>
      <w:r w:rsidRPr="004E7A10">
        <w:rPr>
          <w:rFonts w:ascii="Garamond" w:hAnsi="Garamond" w:cs="Times New Roman"/>
          <w:sz w:val="21"/>
          <w:szCs w:val="21"/>
        </w:rPr>
        <w:t>.</w:t>
      </w:r>
    </w:p>
    <w:p w14:paraId="0273ABB6" w14:textId="77777777" w:rsidR="006A0A3F" w:rsidRPr="004E7A10" w:rsidRDefault="006A0A3F" w:rsidP="00A9653E">
      <w:pPr>
        <w:spacing w:line="360" w:lineRule="auto"/>
        <w:jc w:val="both"/>
        <w:rPr>
          <w:rStyle w:val="longtext"/>
          <w:rFonts w:ascii="Garamond" w:hAnsi="Garamond" w:cs="Times New Roman"/>
          <w:b/>
          <w:color w:val="000000"/>
          <w:sz w:val="21"/>
          <w:szCs w:val="21"/>
          <w:shd w:val="clear" w:color="auto" w:fill="FFFFFF"/>
        </w:rPr>
      </w:pPr>
    </w:p>
    <w:p w14:paraId="2A8F0989" w14:textId="77777777" w:rsidR="00A9653E" w:rsidRPr="004E7A10" w:rsidRDefault="00A9653E" w:rsidP="00A9653E">
      <w:pPr>
        <w:spacing w:line="360" w:lineRule="auto"/>
        <w:jc w:val="both"/>
        <w:rPr>
          <w:rStyle w:val="longtext"/>
          <w:rFonts w:ascii="Garamond" w:hAnsi="Garamond" w:cs="Times New Roman"/>
          <w:b/>
          <w:color w:val="000000"/>
          <w:sz w:val="21"/>
          <w:szCs w:val="21"/>
          <w:shd w:val="clear" w:color="auto" w:fill="FFFFFF"/>
        </w:rPr>
      </w:pPr>
      <w:r w:rsidRPr="004E7A10">
        <w:rPr>
          <w:rStyle w:val="longtext"/>
          <w:rFonts w:ascii="Garamond" w:hAnsi="Garamond" w:cs="Times New Roman"/>
          <w:b/>
          <w:color w:val="000000"/>
          <w:sz w:val="21"/>
          <w:szCs w:val="21"/>
          <w:shd w:val="clear" w:color="auto" w:fill="FFFFFF"/>
        </w:rPr>
        <w:lastRenderedPageBreak/>
        <w:t>2. FORECAST, FORECAST CHANGES, RISKS</w:t>
      </w:r>
    </w:p>
    <w:p w14:paraId="4C6D8AE3" w14:textId="77777777" w:rsidR="00A9653E" w:rsidRPr="004E7A10" w:rsidRDefault="00A9653E" w:rsidP="00A9653E">
      <w:pPr>
        <w:spacing w:line="360" w:lineRule="auto"/>
        <w:jc w:val="both"/>
        <w:rPr>
          <w:rStyle w:val="longtext"/>
          <w:rFonts w:ascii="Garamond" w:hAnsi="Garamond" w:cs="Times New Roman"/>
          <w:b/>
          <w:color w:val="000000"/>
          <w:sz w:val="21"/>
          <w:szCs w:val="21"/>
          <w:shd w:val="clear" w:color="auto" w:fill="FFFFFF"/>
        </w:rPr>
      </w:pPr>
      <w:r w:rsidRPr="004E7A10">
        <w:rPr>
          <w:rStyle w:val="longtext"/>
          <w:rFonts w:ascii="Garamond" w:hAnsi="Garamond" w:cs="Times New Roman"/>
          <w:b/>
          <w:color w:val="000000"/>
          <w:sz w:val="21"/>
          <w:szCs w:val="21"/>
          <w:shd w:val="clear" w:color="auto" w:fill="FFFFFF"/>
        </w:rPr>
        <w:t>2.1 External environment</w:t>
      </w:r>
      <w:r w:rsidR="00743C38" w:rsidRPr="004E7A10">
        <w:rPr>
          <w:rStyle w:val="FootnoteReference"/>
          <w:rFonts w:ascii="Garamond" w:hAnsi="Garamond" w:cs="Times New Roman"/>
          <w:b/>
          <w:color w:val="000000"/>
          <w:sz w:val="21"/>
          <w:szCs w:val="21"/>
          <w:shd w:val="clear" w:color="auto" w:fill="FFFFFF"/>
        </w:rPr>
        <w:footnoteReference w:customMarkFollows="1" w:id="2"/>
        <w:t>2</w:t>
      </w:r>
    </w:p>
    <w:p w14:paraId="21760733" w14:textId="77777777" w:rsidR="00655EF4" w:rsidRPr="005B249E" w:rsidRDefault="005B249E" w:rsidP="00A9653E">
      <w:pPr>
        <w:spacing w:line="360" w:lineRule="auto"/>
        <w:jc w:val="both"/>
        <w:rPr>
          <w:rStyle w:val="longtext"/>
          <w:rFonts w:ascii="Garamond" w:hAnsi="Garamond" w:cs="Times New Roman"/>
          <w:b/>
          <w:color w:val="0070C0"/>
          <w:sz w:val="18"/>
          <w:szCs w:val="18"/>
          <w:shd w:val="clear" w:color="auto" w:fill="FFFFFF"/>
        </w:rPr>
      </w:pPr>
      <w:r w:rsidRPr="005B249E">
        <w:rPr>
          <w:rStyle w:val="longtext"/>
          <w:rFonts w:ascii="Garamond" w:hAnsi="Garamond" w:cs="Times New Roman"/>
          <w:b/>
          <w:color w:val="0070C0"/>
          <w:sz w:val="18"/>
          <w:szCs w:val="18"/>
          <w:shd w:val="clear" w:color="auto" w:fill="FFFFFF"/>
        </w:rPr>
        <w:t xml:space="preserve">In 2015, the global economy and </w:t>
      </w:r>
      <w:r w:rsidR="00991C0B">
        <w:rPr>
          <w:rStyle w:val="longtext"/>
          <w:rFonts w:ascii="Garamond" w:hAnsi="Garamond" w:cs="Times New Roman"/>
          <w:b/>
          <w:color w:val="0070C0"/>
          <w:sz w:val="18"/>
          <w:szCs w:val="18"/>
          <w:shd w:val="clear" w:color="auto" w:fill="FFFFFF"/>
        </w:rPr>
        <w:t>main trade partner</w:t>
      </w:r>
      <w:r w:rsidR="004138F3">
        <w:rPr>
          <w:rStyle w:val="longtext"/>
          <w:rFonts w:ascii="Garamond" w:hAnsi="Garamond" w:cs="Times New Roman"/>
          <w:b/>
          <w:color w:val="0070C0"/>
          <w:sz w:val="18"/>
          <w:szCs w:val="18"/>
          <w:shd w:val="clear" w:color="auto" w:fill="FFFFFF"/>
        </w:rPr>
        <w:t xml:space="preserve">s’ economies </w:t>
      </w:r>
      <w:r w:rsidRPr="005B249E">
        <w:rPr>
          <w:rStyle w:val="longtext"/>
          <w:rFonts w:ascii="Garamond" w:hAnsi="Garamond" w:cs="Times New Roman"/>
          <w:b/>
          <w:color w:val="0070C0"/>
          <w:sz w:val="18"/>
          <w:szCs w:val="18"/>
          <w:shd w:val="clear" w:color="auto" w:fill="FFFFFF"/>
        </w:rPr>
        <w:t>will further see slow growth rates. This will be noticeable mostly in developing countries</w:t>
      </w:r>
      <w:r w:rsidR="00C57DB6" w:rsidRPr="005B249E">
        <w:rPr>
          <w:rStyle w:val="longtext"/>
          <w:rFonts w:ascii="Garamond" w:hAnsi="Garamond" w:cs="Times New Roman"/>
          <w:b/>
          <w:color w:val="0070C0"/>
          <w:sz w:val="18"/>
          <w:szCs w:val="18"/>
          <w:shd w:val="clear" w:color="auto" w:fill="FFFFFF"/>
        </w:rPr>
        <w:t>…</w:t>
      </w:r>
    </w:p>
    <w:p w14:paraId="47FEF61C" w14:textId="77777777" w:rsidR="00A9653E" w:rsidRPr="004E7A10" w:rsidRDefault="00A9653E" w:rsidP="00A9653E">
      <w:pPr>
        <w:spacing w:line="360" w:lineRule="auto"/>
        <w:jc w:val="both"/>
        <w:rPr>
          <w:rStyle w:val="longtext"/>
          <w:rFonts w:ascii="Garamond" w:hAnsi="Garamond" w:cs="Times New Roman"/>
          <w:b/>
          <w:color w:val="000000"/>
          <w:sz w:val="21"/>
          <w:szCs w:val="21"/>
          <w:shd w:val="clear" w:color="auto" w:fill="FFFFFF"/>
        </w:rPr>
      </w:pPr>
      <w:r w:rsidRPr="004E7A10">
        <w:rPr>
          <w:rStyle w:val="longtext"/>
          <w:rFonts w:ascii="Garamond" w:hAnsi="Garamond" w:cs="Times New Roman"/>
          <w:b/>
          <w:color w:val="000000"/>
          <w:sz w:val="21"/>
          <w:szCs w:val="21"/>
          <w:shd w:val="clear" w:color="auto" w:fill="FFFFFF"/>
        </w:rPr>
        <w:t>In 201</w:t>
      </w:r>
      <w:r w:rsidR="00EC6D6E" w:rsidRPr="004E7A10">
        <w:rPr>
          <w:rStyle w:val="longtext"/>
          <w:rFonts w:ascii="Garamond" w:hAnsi="Garamond" w:cs="Times New Roman"/>
          <w:b/>
          <w:color w:val="000000"/>
          <w:sz w:val="21"/>
          <w:szCs w:val="21"/>
          <w:shd w:val="clear" w:color="auto" w:fill="FFFFFF"/>
        </w:rPr>
        <w:t>5</w:t>
      </w:r>
      <w:r w:rsidRPr="004E7A10">
        <w:rPr>
          <w:rStyle w:val="longtext"/>
          <w:rFonts w:ascii="Garamond" w:hAnsi="Garamond" w:cs="Times New Roman"/>
          <w:b/>
          <w:color w:val="000000"/>
          <w:sz w:val="21"/>
          <w:szCs w:val="21"/>
          <w:shd w:val="clear" w:color="auto" w:fill="FFFFFF"/>
        </w:rPr>
        <w:t xml:space="preserve">, </w:t>
      </w:r>
      <w:r w:rsidR="00EC6D6E" w:rsidRPr="004E7A10">
        <w:rPr>
          <w:rStyle w:val="longtext"/>
          <w:rFonts w:ascii="Garamond" w:hAnsi="Garamond" w:cs="Times New Roman"/>
          <w:b/>
          <w:color w:val="000000"/>
          <w:sz w:val="21"/>
          <w:szCs w:val="21"/>
          <w:shd w:val="clear" w:color="auto" w:fill="FFFFFF"/>
        </w:rPr>
        <w:t xml:space="preserve">the </w:t>
      </w:r>
      <w:r w:rsidR="00816581" w:rsidRPr="004E7A10">
        <w:rPr>
          <w:rStyle w:val="longtext"/>
          <w:rFonts w:ascii="Garamond" w:hAnsi="Garamond" w:cs="Times New Roman"/>
          <w:b/>
          <w:color w:val="000000"/>
          <w:sz w:val="21"/>
          <w:szCs w:val="21"/>
          <w:shd w:val="clear" w:color="auto" w:fill="FFFFFF"/>
        </w:rPr>
        <w:t>global e</w:t>
      </w:r>
      <w:r w:rsidRPr="004E7A10">
        <w:rPr>
          <w:rStyle w:val="longtext"/>
          <w:rFonts w:ascii="Garamond" w:hAnsi="Garamond" w:cs="Times New Roman"/>
          <w:b/>
          <w:color w:val="000000"/>
          <w:sz w:val="21"/>
          <w:szCs w:val="21"/>
          <w:shd w:val="clear" w:color="auto" w:fill="FFFFFF"/>
        </w:rPr>
        <w:t>conom</w:t>
      </w:r>
      <w:r w:rsidR="00816581" w:rsidRPr="004E7A10">
        <w:rPr>
          <w:rStyle w:val="longtext"/>
          <w:rFonts w:ascii="Garamond" w:hAnsi="Garamond" w:cs="Times New Roman"/>
          <w:b/>
          <w:color w:val="000000"/>
          <w:sz w:val="21"/>
          <w:szCs w:val="21"/>
          <w:shd w:val="clear" w:color="auto" w:fill="FFFFFF"/>
        </w:rPr>
        <w:t xml:space="preserve">y </w:t>
      </w:r>
      <w:r w:rsidR="00EC6D6E" w:rsidRPr="004E7A10">
        <w:rPr>
          <w:rStyle w:val="longtext"/>
          <w:rFonts w:ascii="Garamond" w:hAnsi="Garamond" w:cs="Times New Roman"/>
          <w:b/>
          <w:color w:val="000000"/>
          <w:sz w:val="21"/>
          <w:szCs w:val="21"/>
          <w:shd w:val="clear" w:color="auto" w:fill="FFFFFF"/>
        </w:rPr>
        <w:t xml:space="preserve">and </w:t>
      </w:r>
      <w:r w:rsidR="004138F3">
        <w:rPr>
          <w:rStyle w:val="longtext"/>
          <w:rFonts w:ascii="Garamond" w:hAnsi="Garamond" w:cs="Times New Roman"/>
          <w:b/>
          <w:color w:val="000000"/>
          <w:sz w:val="21"/>
          <w:szCs w:val="21"/>
          <w:shd w:val="clear" w:color="auto" w:fill="FFFFFF"/>
        </w:rPr>
        <w:t xml:space="preserve">economies in Armenia’s </w:t>
      </w:r>
      <w:r w:rsidR="00816581" w:rsidRPr="004E7A10">
        <w:rPr>
          <w:rStyle w:val="longtext"/>
          <w:rFonts w:ascii="Garamond" w:hAnsi="Garamond" w:cs="Times New Roman"/>
          <w:b/>
          <w:color w:val="000000"/>
          <w:sz w:val="21"/>
          <w:szCs w:val="21"/>
          <w:shd w:val="clear" w:color="auto" w:fill="FFFFFF"/>
        </w:rPr>
        <w:t>main trade partner</w:t>
      </w:r>
      <w:r w:rsidR="004138F3">
        <w:rPr>
          <w:rStyle w:val="longtext"/>
          <w:rFonts w:ascii="Garamond" w:hAnsi="Garamond" w:cs="Times New Roman"/>
          <w:b/>
          <w:color w:val="000000"/>
          <w:sz w:val="21"/>
          <w:szCs w:val="21"/>
          <w:shd w:val="clear" w:color="auto" w:fill="FFFFFF"/>
        </w:rPr>
        <w:t xml:space="preserve"> countries </w:t>
      </w:r>
      <w:r w:rsidR="00816581" w:rsidRPr="004E7A10">
        <w:rPr>
          <w:rStyle w:val="longtext"/>
          <w:rFonts w:ascii="Garamond" w:hAnsi="Garamond" w:cs="Times New Roman"/>
          <w:b/>
          <w:color w:val="000000"/>
          <w:sz w:val="21"/>
          <w:szCs w:val="21"/>
          <w:shd w:val="clear" w:color="auto" w:fill="FFFFFF"/>
        </w:rPr>
        <w:t xml:space="preserve">will further see slow growth rates. This </w:t>
      </w:r>
      <w:r w:rsidRPr="004E7A10">
        <w:rPr>
          <w:rStyle w:val="longtext"/>
          <w:rFonts w:ascii="Garamond" w:hAnsi="Garamond" w:cs="Times New Roman"/>
          <w:b/>
          <w:color w:val="000000"/>
          <w:sz w:val="21"/>
          <w:szCs w:val="21"/>
          <w:shd w:val="clear" w:color="auto" w:fill="FFFFFF"/>
        </w:rPr>
        <w:t xml:space="preserve">will be noticeable </w:t>
      </w:r>
      <w:r w:rsidR="00EC6D6E" w:rsidRPr="004E7A10">
        <w:rPr>
          <w:rStyle w:val="longtext"/>
          <w:rFonts w:ascii="Garamond" w:hAnsi="Garamond" w:cs="Times New Roman"/>
          <w:b/>
          <w:color w:val="000000"/>
          <w:sz w:val="21"/>
          <w:szCs w:val="21"/>
          <w:shd w:val="clear" w:color="auto" w:fill="FFFFFF"/>
        </w:rPr>
        <w:t xml:space="preserve">mostly in developing </w:t>
      </w:r>
      <w:r w:rsidRPr="004E7A10">
        <w:rPr>
          <w:rStyle w:val="longtext"/>
          <w:rFonts w:ascii="Garamond" w:hAnsi="Garamond" w:cs="Times New Roman"/>
          <w:b/>
          <w:color w:val="000000"/>
          <w:sz w:val="21"/>
          <w:szCs w:val="21"/>
          <w:shd w:val="clear" w:color="auto" w:fill="FFFFFF"/>
        </w:rPr>
        <w:t>countries</w:t>
      </w:r>
      <w:r w:rsidR="00EC6D6E" w:rsidRPr="004E7A10">
        <w:rPr>
          <w:rStyle w:val="longtext"/>
          <w:rFonts w:ascii="Garamond" w:hAnsi="Garamond" w:cs="Times New Roman"/>
          <w:b/>
          <w:color w:val="000000"/>
          <w:sz w:val="21"/>
          <w:szCs w:val="21"/>
          <w:shd w:val="clear" w:color="auto" w:fill="FFFFFF"/>
        </w:rPr>
        <w:t xml:space="preserve">, whereas </w:t>
      </w:r>
      <w:r w:rsidR="00816581" w:rsidRPr="004E7A10">
        <w:rPr>
          <w:rStyle w:val="longtext"/>
          <w:rFonts w:ascii="Garamond" w:hAnsi="Garamond" w:cs="Times New Roman"/>
          <w:b/>
          <w:color w:val="000000"/>
          <w:sz w:val="21"/>
          <w:szCs w:val="21"/>
          <w:shd w:val="clear" w:color="auto" w:fill="FFFFFF"/>
        </w:rPr>
        <w:t xml:space="preserve">some </w:t>
      </w:r>
      <w:r w:rsidR="00EC6D6E" w:rsidRPr="004E7A10">
        <w:rPr>
          <w:rStyle w:val="longtext"/>
          <w:rFonts w:ascii="Garamond" w:hAnsi="Garamond" w:cs="Times New Roman"/>
          <w:b/>
          <w:color w:val="000000"/>
          <w:sz w:val="21"/>
          <w:szCs w:val="21"/>
          <w:shd w:val="clear" w:color="auto" w:fill="FFFFFF"/>
        </w:rPr>
        <w:t xml:space="preserve">economic activity </w:t>
      </w:r>
      <w:r w:rsidR="00816581" w:rsidRPr="004E7A10">
        <w:rPr>
          <w:rStyle w:val="longtext"/>
          <w:rFonts w:ascii="Garamond" w:hAnsi="Garamond" w:cs="Times New Roman"/>
          <w:b/>
          <w:color w:val="000000"/>
          <w:sz w:val="21"/>
          <w:szCs w:val="21"/>
          <w:shd w:val="clear" w:color="auto" w:fill="FFFFFF"/>
        </w:rPr>
        <w:t>is anticipated on developed countries</w:t>
      </w:r>
      <w:r w:rsidRPr="004E7A10">
        <w:rPr>
          <w:rStyle w:val="longtext"/>
          <w:rFonts w:ascii="Garamond" w:hAnsi="Garamond" w:cs="Times New Roman"/>
          <w:b/>
          <w:color w:val="000000"/>
          <w:sz w:val="21"/>
          <w:szCs w:val="21"/>
          <w:shd w:val="clear" w:color="auto" w:fill="FFFFFF"/>
        </w:rPr>
        <w:t>.</w:t>
      </w:r>
    </w:p>
    <w:p w14:paraId="1B346E0F" w14:textId="77777777" w:rsidR="004D49EA" w:rsidRPr="004D49EA" w:rsidRDefault="004D49EA" w:rsidP="00A9653E">
      <w:pPr>
        <w:spacing w:line="360" w:lineRule="auto"/>
        <w:jc w:val="both"/>
        <w:rPr>
          <w:rStyle w:val="longtext"/>
          <w:rFonts w:ascii="Garamond" w:hAnsi="Garamond" w:cs="Times New Roman"/>
          <w:b/>
          <w:color w:val="0070C0"/>
          <w:sz w:val="18"/>
          <w:szCs w:val="18"/>
          <w:shd w:val="clear" w:color="auto" w:fill="FFFFFF"/>
        </w:rPr>
      </w:pPr>
      <w:r w:rsidRPr="004D49EA">
        <w:rPr>
          <w:rStyle w:val="longtext"/>
          <w:rFonts w:ascii="Garamond" w:hAnsi="Garamond" w:cs="Times New Roman"/>
          <w:b/>
          <w:color w:val="0070C0"/>
          <w:sz w:val="18"/>
          <w:szCs w:val="18"/>
          <w:shd w:val="clear" w:color="auto" w:fill="FFFFFF"/>
        </w:rPr>
        <w:t>In the external sector, deflationary patterns will persist in the short run wh</w:t>
      </w:r>
      <w:r>
        <w:rPr>
          <w:rStyle w:val="longtext"/>
          <w:rFonts w:ascii="Garamond" w:hAnsi="Garamond" w:cs="Times New Roman"/>
          <w:b/>
          <w:color w:val="0070C0"/>
          <w:sz w:val="18"/>
          <w:szCs w:val="18"/>
          <w:shd w:val="clear" w:color="auto" w:fill="FFFFFF"/>
        </w:rPr>
        <w:t>ile</w:t>
      </w:r>
      <w:r w:rsidRPr="004D49EA">
        <w:rPr>
          <w:rStyle w:val="longtext"/>
          <w:rFonts w:ascii="Garamond" w:hAnsi="Garamond" w:cs="Times New Roman"/>
          <w:b/>
          <w:color w:val="0070C0"/>
          <w:sz w:val="18"/>
          <w:szCs w:val="18"/>
          <w:shd w:val="clear" w:color="auto" w:fill="FFFFFF"/>
        </w:rPr>
        <w:t xml:space="preserve"> weak inflationary trends will be observable in the forecast medium run horizon</w:t>
      </w:r>
      <w:r>
        <w:rPr>
          <w:rStyle w:val="longtext"/>
          <w:rFonts w:ascii="Garamond" w:hAnsi="Garamond" w:cs="Times New Roman"/>
          <w:b/>
          <w:color w:val="0070C0"/>
          <w:sz w:val="18"/>
          <w:szCs w:val="18"/>
          <w:shd w:val="clear" w:color="auto" w:fill="FFFFFF"/>
        </w:rPr>
        <w:t>,</w:t>
      </w:r>
      <w:r w:rsidRPr="004D49EA">
        <w:rPr>
          <w:rStyle w:val="longtext"/>
          <w:rFonts w:ascii="Garamond" w:hAnsi="Garamond" w:cs="Times New Roman"/>
          <w:b/>
          <w:color w:val="0070C0"/>
          <w:sz w:val="18"/>
          <w:szCs w:val="18"/>
          <w:shd w:val="clear" w:color="auto" w:fill="FFFFFF"/>
        </w:rPr>
        <w:t xml:space="preserve"> as the global demand grows gradually</w:t>
      </w:r>
      <w:r>
        <w:rPr>
          <w:rStyle w:val="longtext"/>
          <w:rFonts w:ascii="Garamond" w:hAnsi="Garamond" w:cs="Times New Roman"/>
          <w:b/>
          <w:color w:val="0070C0"/>
          <w:sz w:val="18"/>
          <w:szCs w:val="18"/>
          <w:shd w:val="clear" w:color="auto" w:fill="FFFFFF"/>
        </w:rPr>
        <w:t>…</w:t>
      </w:r>
    </w:p>
    <w:p w14:paraId="456EFFC7" w14:textId="77777777" w:rsidR="00816581" w:rsidRPr="004E7A10" w:rsidRDefault="00816581" w:rsidP="00A9653E">
      <w:pPr>
        <w:spacing w:line="360" w:lineRule="auto"/>
        <w:jc w:val="both"/>
        <w:rPr>
          <w:rStyle w:val="longtext"/>
          <w:rFonts w:ascii="Garamond" w:hAnsi="Garamond" w:cs="Times New Roman"/>
          <w:b/>
          <w:color w:val="000000"/>
          <w:sz w:val="21"/>
          <w:szCs w:val="21"/>
          <w:shd w:val="clear" w:color="auto" w:fill="FFFFFF"/>
        </w:rPr>
      </w:pPr>
      <w:r w:rsidRPr="004E7A10">
        <w:rPr>
          <w:rStyle w:val="longtext"/>
          <w:rFonts w:ascii="Garamond" w:hAnsi="Garamond" w:cs="Times New Roman"/>
          <w:b/>
          <w:color w:val="000000"/>
          <w:sz w:val="21"/>
          <w:szCs w:val="21"/>
          <w:shd w:val="clear" w:color="auto" w:fill="FFFFFF"/>
        </w:rPr>
        <w:t xml:space="preserve">In the external sector, deflationary patterns will be persisting in the short run due to slower global economic growth, whereas </w:t>
      </w:r>
      <w:r w:rsidR="00EA298D" w:rsidRPr="004E7A10">
        <w:rPr>
          <w:rStyle w:val="longtext"/>
          <w:rFonts w:ascii="Garamond" w:hAnsi="Garamond" w:cs="Times New Roman"/>
          <w:b/>
          <w:color w:val="000000"/>
          <w:sz w:val="21"/>
          <w:szCs w:val="21"/>
          <w:shd w:val="clear" w:color="auto" w:fill="FFFFFF"/>
        </w:rPr>
        <w:t xml:space="preserve">weak inflationary trends will be observable in </w:t>
      </w:r>
      <w:r w:rsidRPr="004E7A10">
        <w:rPr>
          <w:rStyle w:val="longtext"/>
          <w:rFonts w:ascii="Garamond" w:hAnsi="Garamond" w:cs="Times New Roman"/>
          <w:b/>
          <w:color w:val="000000"/>
          <w:sz w:val="21"/>
          <w:szCs w:val="21"/>
          <w:shd w:val="clear" w:color="auto" w:fill="FFFFFF"/>
        </w:rPr>
        <w:t xml:space="preserve">the </w:t>
      </w:r>
      <w:r w:rsidR="00EA298D" w:rsidRPr="004E7A10">
        <w:rPr>
          <w:rStyle w:val="longtext"/>
          <w:rFonts w:ascii="Garamond" w:hAnsi="Garamond" w:cs="Times New Roman"/>
          <w:b/>
          <w:color w:val="000000"/>
          <w:sz w:val="21"/>
          <w:szCs w:val="21"/>
          <w:shd w:val="clear" w:color="auto" w:fill="FFFFFF"/>
        </w:rPr>
        <w:t xml:space="preserve">forecast </w:t>
      </w:r>
      <w:r w:rsidR="004D49EA" w:rsidRPr="004E7A10">
        <w:rPr>
          <w:rStyle w:val="longtext"/>
          <w:rFonts w:ascii="Garamond" w:hAnsi="Garamond" w:cs="Times New Roman"/>
          <w:b/>
          <w:color w:val="000000"/>
          <w:sz w:val="21"/>
          <w:szCs w:val="21"/>
          <w:shd w:val="clear" w:color="auto" w:fill="FFFFFF"/>
        </w:rPr>
        <w:t xml:space="preserve">medium run </w:t>
      </w:r>
      <w:r w:rsidR="00EA298D" w:rsidRPr="004E7A10">
        <w:rPr>
          <w:rStyle w:val="longtext"/>
          <w:rFonts w:ascii="Garamond" w:hAnsi="Garamond" w:cs="Times New Roman"/>
          <w:b/>
          <w:color w:val="000000"/>
          <w:sz w:val="21"/>
          <w:szCs w:val="21"/>
          <w:shd w:val="clear" w:color="auto" w:fill="FFFFFF"/>
        </w:rPr>
        <w:t>horizon</w:t>
      </w:r>
      <w:r w:rsidR="004D49EA">
        <w:rPr>
          <w:rStyle w:val="longtext"/>
          <w:rFonts w:ascii="Garamond" w:hAnsi="Garamond" w:cs="Times New Roman"/>
          <w:b/>
          <w:color w:val="000000"/>
          <w:sz w:val="21"/>
          <w:szCs w:val="21"/>
          <w:shd w:val="clear" w:color="auto" w:fill="FFFFFF"/>
        </w:rPr>
        <w:t>,</w:t>
      </w:r>
      <w:r w:rsidR="00EA298D" w:rsidRPr="004E7A10">
        <w:rPr>
          <w:rStyle w:val="longtext"/>
          <w:rFonts w:ascii="Garamond" w:hAnsi="Garamond" w:cs="Times New Roman"/>
          <w:b/>
          <w:color w:val="000000"/>
          <w:sz w:val="21"/>
          <w:szCs w:val="21"/>
          <w:shd w:val="clear" w:color="auto" w:fill="FFFFFF"/>
        </w:rPr>
        <w:t xml:space="preserve"> as the global demand grows gradually.</w:t>
      </w:r>
    </w:p>
    <w:p w14:paraId="4E575653" w14:textId="77777777" w:rsidR="00EA298D" w:rsidRPr="004E7A10" w:rsidRDefault="00EA298D"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In </w:t>
      </w:r>
      <w:r w:rsidR="001E7B8D" w:rsidRPr="004E7A10">
        <w:rPr>
          <w:rStyle w:val="longtext"/>
          <w:rFonts w:ascii="Garamond" w:hAnsi="Garamond" w:cs="Times New Roman"/>
          <w:color w:val="000000"/>
          <w:sz w:val="21"/>
          <w:szCs w:val="21"/>
          <w:shd w:val="clear" w:color="auto" w:fill="FFFFFF"/>
        </w:rPr>
        <w:t>its</w:t>
      </w:r>
      <w:r w:rsidRPr="004E7A10">
        <w:rPr>
          <w:rStyle w:val="longtext"/>
          <w:rFonts w:ascii="Garamond" w:hAnsi="Garamond" w:cs="Times New Roman"/>
          <w:color w:val="000000"/>
          <w:sz w:val="21"/>
          <w:szCs w:val="21"/>
          <w:shd w:val="clear" w:color="auto" w:fill="FFFFFF"/>
        </w:rPr>
        <w:t xml:space="preserve"> </w:t>
      </w:r>
      <w:r w:rsidRPr="004E7A10">
        <w:rPr>
          <w:rStyle w:val="longtext"/>
          <w:rFonts w:ascii="Garamond" w:hAnsi="Garamond" w:cs="Times New Roman"/>
          <w:i/>
          <w:color w:val="000000"/>
          <w:sz w:val="21"/>
          <w:szCs w:val="21"/>
          <w:shd w:val="clear" w:color="auto" w:fill="FFFFFF"/>
        </w:rPr>
        <w:t>Global Economic Outlook</w:t>
      </w:r>
      <w:r w:rsidR="00021FBE" w:rsidRPr="004E7A10">
        <w:rPr>
          <w:rStyle w:val="longtext"/>
          <w:rFonts w:ascii="Garamond" w:hAnsi="Garamond" w:cs="Times New Roman"/>
          <w:i/>
          <w:color w:val="000000"/>
          <w:sz w:val="21"/>
          <w:szCs w:val="21"/>
          <w:shd w:val="clear" w:color="auto" w:fill="FFFFFF"/>
        </w:rPr>
        <w:t xml:space="preserve"> </w:t>
      </w:r>
      <w:r w:rsidR="00021FBE" w:rsidRPr="004E7A10">
        <w:rPr>
          <w:rStyle w:val="longtext"/>
          <w:rFonts w:ascii="Garamond" w:hAnsi="Garamond" w:cs="Times New Roman"/>
          <w:color w:val="000000"/>
          <w:sz w:val="21"/>
          <w:szCs w:val="21"/>
          <w:shd w:val="clear" w:color="auto" w:fill="FFFFFF"/>
        </w:rPr>
        <w:t>report</w:t>
      </w:r>
      <w:r w:rsidRPr="004E7A10">
        <w:rPr>
          <w:rStyle w:val="longtext"/>
          <w:rFonts w:ascii="Garamond" w:hAnsi="Garamond" w:cs="Times New Roman"/>
          <w:color w:val="000000"/>
          <w:sz w:val="21"/>
          <w:szCs w:val="21"/>
          <w:shd w:val="clear" w:color="auto" w:fill="FFFFFF"/>
        </w:rPr>
        <w:t xml:space="preserve">, </w:t>
      </w:r>
      <w:r w:rsidR="00021FBE" w:rsidRPr="004E7A10">
        <w:rPr>
          <w:rStyle w:val="longtext"/>
          <w:rFonts w:ascii="Garamond" w:hAnsi="Garamond" w:cs="Times New Roman"/>
          <w:color w:val="000000"/>
          <w:sz w:val="21"/>
          <w:szCs w:val="21"/>
          <w:shd w:val="clear" w:color="auto" w:fill="FFFFFF"/>
        </w:rPr>
        <w:t xml:space="preserve">released in </w:t>
      </w:r>
      <w:r w:rsidRPr="004E7A10">
        <w:rPr>
          <w:rStyle w:val="longtext"/>
          <w:rFonts w:ascii="Garamond" w:hAnsi="Garamond" w:cs="Times New Roman"/>
          <w:color w:val="000000"/>
          <w:sz w:val="21"/>
          <w:szCs w:val="21"/>
          <w:shd w:val="clear" w:color="auto" w:fill="FFFFFF"/>
        </w:rPr>
        <w:t xml:space="preserve">April 2015, the IMF revised long-term sustainable economic growth rates downside for both developed and developing countries due to the problem of aging </w:t>
      </w:r>
      <w:r w:rsidR="00021FBE" w:rsidRPr="004E7A10">
        <w:rPr>
          <w:rStyle w:val="longtext"/>
          <w:rFonts w:ascii="Garamond" w:hAnsi="Garamond" w:cs="Times New Roman"/>
          <w:color w:val="000000"/>
          <w:sz w:val="21"/>
          <w:szCs w:val="21"/>
          <w:shd w:val="clear" w:color="auto" w:fill="FFFFFF"/>
        </w:rPr>
        <w:t xml:space="preserve">of </w:t>
      </w:r>
      <w:r w:rsidRPr="004E7A10">
        <w:rPr>
          <w:rStyle w:val="longtext"/>
          <w:rFonts w:ascii="Garamond" w:hAnsi="Garamond" w:cs="Times New Roman"/>
          <w:color w:val="000000"/>
          <w:sz w:val="21"/>
          <w:szCs w:val="21"/>
          <w:shd w:val="clear" w:color="auto" w:fill="FFFFFF"/>
        </w:rPr>
        <w:t xml:space="preserve">population </w:t>
      </w:r>
      <w:r w:rsidR="00021FBE" w:rsidRPr="004E7A10">
        <w:rPr>
          <w:rStyle w:val="longtext"/>
          <w:rFonts w:ascii="Garamond" w:hAnsi="Garamond" w:cs="Times New Roman"/>
          <w:color w:val="000000"/>
          <w:sz w:val="21"/>
          <w:szCs w:val="21"/>
          <w:shd w:val="clear" w:color="auto" w:fill="FFFFFF"/>
        </w:rPr>
        <w:t xml:space="preserve">and slower pace of capital growth. </w:t>
      </w:r>
      <w:r w:rsidRPr="004E7A10">
        <w:rPr>
          <w:rStyle w:val="longtext"/>
          <w:rFonts w:ascii="Garamond" w:hAnsi="Garamond" w:cs="Times New Roman"/>
          <w:color w:val="000000"/>
          <w:sz w:val="21"/>
          <w:szCs w:val="21"/>
          <w:shd w:val="clear" w:color="auto" w:fill="FFFFFF"/>
        </w:rPr>
        <w:t xml:space="preserve">Based on the results of the analysis </w:t>
      </w:r>
      <w:r w:rsidR="00021FBE" w:rsidRPr="004E7A10">
        <w:rPr>
          <w:rStyle w:val="longtext"/>
          <w:rFonts w:ascii="Garamond" w:hAnsi="Garamond" w:cs="Times New Roman"/>
          <w:color w:val="000000"/>
          <w:sz w:val="21"/>
          <w:szCs w:val="21"/>
          <w:shd w:val="clear" w:color="auto" w:fill="FFFFFF"/>
        </w:rPr>
        <w:t xml:space="preserve">in the report, estimations of </w:t>
      </w:r>
      <w:r w:rsidRPr="004E7A10">
        <w:rPr>
          <w:rStyle w:val="longtext"/>
          <w:rFonts w:ascii="Garamond" w:hAnsi="Garamond" w:cs="Times New Roman"/>
          <w:color w:val="000000"/>
          <w:sz w:val="21"/>
          <w:szCs w:val="21"/>
          <w:shd w:val="clear" w:color="auto" w:fill="FFFFFF"/>
        </w:rPr>
        <w:t xml:space="preserve">long-term sustainable economic growth in the </w:t>
      </w:r>
      <w:r w:rsidR="00021FBE" w:rsidRPr="004E7A10">
        <w:rPr>
          <w:rStyle w:val="longtext"/>
          <w:rFonts w:ascii="Garamond" w:hAnsi="Garamond" w:cs="Times New Roman"/>
          <w:color w:val="000000"/>
          <w:sz w:val="21"/>
          <w:szCs w:val="21"/>
          <w:shd w:val="clear" w:color="auto" w:fill="FFFFFF"/>
        </w:rPr>
        <w:t xml:space="preserve">U.S. and </w:t>
      </w:r>
      <w:r w:rsidRPr="004E7A10">
        <w:rPr>
          <w:rStyle w:val="longtext"/>
          <w:rFonts w:ascii="Garamond" w:hAnsi="Garamond" w:cs="Times New Roman"/>
          <w:color w:val="000000"/>
          <w:sz w:val="21"/>
          <w:szCs w:val="21"/>
          <w:shd w:val="clear" w:color="auto" w:fill="FFFFFF"/>
        </w:rPr>
        <w:t xml:space="preserve">EU </w:t>
      </w:r>
      <w:r w:rsidR="00021FBE" w:rsidRPr="004E7A10">
        <w:rPr>
          <w:rStyle w:val="longtext"/>
          <w:rFonts w:ascii="Garamond" w:hAnsi="Garamond" w:cs="Times New Roman"/>
          <w:color w:val="000000"/>
          <w:sz w:val="21"/>
          <w:szCs w:val="21"/>
          <w:shd w:val="clear" w:color="auto" w:fill="FFFFFF"/>
        </w:rPr>
        <w:t xml:space="preserve">were lowered </w:t>
      </w:r>
      <w:r w:rsidRPr="004E7A10">
        <w:rPr>
          <w:rStyle w:val="longtext"/>
          <w:rFonts w:ascii="Garamond" w:hAnsi="Garamond" w:cs="Times New Roman"/>
          <w:color w:val="000000"/>
          <w:sz w:val="21"/>
          <w:szCs w:val="21"/>
          <w:shd w:val="clear" w:color="auto" w:fill="FFFFFF"/>
        </w:rPr>
        <w:t>by about 0.5 percentage point.</w:t>
      </w:r>
    </w:p>
    <w:p w14:paraId="0797909D" w14:textId="77777777" w:rsidR="00A9653E" w:rsidRPr="004E7A10" w:rsidRDefault="003741DC"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In early 2015, the </w:t>
      </w:r>
      <w:r w:rsidRPr="004E7A10">
        <w:rPr>
          <w:rStyle w:val="longtext"/>
          <w:rFonts w:ascii="Garamond" w:hAnsi="Garamond" w:cs="Times New Roman"/>
          <w:b/>
          <w:color w:val="000000"/>
          <w:sz w:val="21"/>
          <w:szCs w:val="21"/>
          <w:shd w:val="clear" w:color="auto" w:fill="FFFFFF"/>
        </w:rPr>
        <w:t xml:space="preserve">U.S. </w:t>
      </w:r>
      <w:r w:rsidRPr="004E7A10">
        <w:rPr>
          <w:rStyle w:val="longtext"/>
          <w:rFonts w:ascii="Garamond" w:hAnsi="Garamond" w:cs="Times New Roman"/>
          <w:color w:val="000000"/>
          <w:sz w:val="21"/>
          <w:szCs w:val="21"/>
          <w:shd w:val="clear" w:color="auto" w:fill="FFFFFF"/>
        </w:rPr>
        <w:t xml:space="preserve">economic growth slowed down. It is estimated at nearly 2.6%, which is predicted to accelerate in the forecast horizon to about 3.2% in 2017. Notwithstanding </w:t>
      </w:r>
      <w:r w:rsidR="00C15EE9" w:rsidRPr="004E7A10">
        <w:rPr>
          <w:rStyle w:val="longtext"/>
          <w:rFonts w:ascii="Garamond" w:hAnsi="Garamond" w:cs="Times New Roman"/>
          <w:color w:val="000000"/>
          <w:sz w:val="21"/>
          <w:szCs w:val="21"/>
          <w:shd w:val="clear" w:color="auto" w:fill="FFFFFF"/>
        </w:rPr>
        <w:t xml:space="preserve">the inflation that was declining later the previous year, </w:t>
      </w:r>
      <w:r w:rsidR="00131A86" w:rsidRPr="004E7A10">
        <w:rPr>
          <w:rStyle w:val="longtext"/>
          <w:rFonts w:ascii="Garamond" w:hAnsi="Garamond" w:cs="Times New Roman"/>
          <w:color w:val="000000"/>
          <w:sz w:val="21"/>
          <w:szCs w:val="21"/>
          <w:shd w:val="clear" w:color="auto" w:fill="FFFFFF"/>
        </w:rPr>
        <w:t xml:space="preserve">the U.S. Federal Reserve System is expected to </w:t>
      </w:r>
      <w:r w:rsidR="00915D1A" w:rsidRPr="004E7A10">
        <w:rPr>
          <w:rStyle w:val="longtext"/>
          <w:rFonts w:ascii="Garamond" w:hAnsi="Garamond" w:cs="Times New Roman"/>
          <w:color w:val="000000"/>
          <w:sz w:val="21"/>
          <w:szCs w:val="21"/>
          <w:shd w:val="clear" w:color="auto" w:fill="FFFFFF"/>
        </w:rPr>
        <w:t>raise</w:t>
      </w:r>
      <w:r w:rsidR="00131A86" w:rsidRPr="004E7A10">
        <w:rPr>
          <w:rStyle w:val="longtext"/>
          <w:rFonts w:ascii="Garamond" w:hAnsi="Garamond" w:cs="Times New Roman"/>
          <w:color w:val="000000"/>
          <w:sz w:val="21"/>
          <w:szCs w:val="21"/>
          <w:shd w:val="clear" w:color="auto" w:fill="FFFFFF"/>
        </w:rPr>
        <w:t xml:space="preserve"> the</w:t>
      </w:r>
      <w:r w:rsidR="00F51A59" w:rsidRPr="004E7A10">
        <w:rPr>
          <w:rStyle w:val="longtext"/>
          <w:rFonts w:ascii="Garamond" w:hAnsi="Garamond" w:cs="Times New Roman"/>
          <w:color w:val="000000"/>
          <w:sz w:val="21"/>
          <w:szCs w:val="21"/>
          <w:shd w:val="clear" w:color="auto" w:fill="FFFFFF"/>
        </w:rPr>
        <w:t xml:space="preserve"> policy </w:t>
      </w:r>
      <w:r w:rsidR="00131A86" w:rsidRPr="004E7A10">
        <w:rPr>
          <w:rStyle w:val="longtext"/>
          <w:rFonts w:ascii="Garamond" w:hAnsi="Garamond" w:cs="Times New Roman"/>
          <w:color w:val="000000"/>
          <w:sz w:val="21"/>
          <w:szCs w:val="21"/>
          <w:shd w:val="clear" w:color="auto" w:fill="FFFFFF"/>
        </w:rPr>
        <w:t xml:space="preserve">rates </w:t>
      </w:r>
      <w:r w:rsidR="00C15EE9" w:rsidRPr="004E7A10">
        <w:rPr>
          <w:rStyle w:val="longtext"/>
          <w:rFonts w:ascii="Garamond" w:hAnsi="Garamond" w:cs="Times New Roman"/>
          <w:color w:val="000000"/>
          <w:sz w:val="21"/>
          <w:szCs w:val="21"/>
          <w:shd w:val="clear" w:color="auto" w:fill="FFFFFF"/>
        </w:rPr>
        <w:t>starting from the middle of 2015 as the economic activity and demand rebound.</w:t>
      </w:r>
      <w:r w:rsidR="00A9653E" w:rsidRPr="004E7A10">
        <w:rPr>
          <w:rStyle w:val="longtext"/>
          <w:rFonts w:ascii="Garamond" w:hAnsi="Garamond" w:cs="Times New Roman"/>
          <w:color w:val="000000"/>
          <w:sz w:val="21"/>
          <w:szCs w:val="21"/>
          <w:shd w:val="clear" w:color="auto" w:fill="FFFFFF"/>
        </w:rPr>
        <w:t xml:space="preserve">      </w:t>
      </w:r>
    </w:p>
    <w:p w14:paraId="5C937E12" w14:textId="77777777" w:rsidR="00A07B17"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Pr="004E7A10">
        <w:rPr>
          <w:rFonts w:ascii="Garamond" w:hAnsi="Garamond" w:cs="Times New Roman"/>
          <w:b/>
          <w:sz w:val="21"/>
          <w:szCs w:val="21"/>
        </w:rPr>
        <w:t>Euro</w:t>
      </w:r>
      <w:r w:rsidR="00C15EE9" w:rsidRPr="004E7A10">
        <w:rPr>
          <w:rFonts w:ascii="Garamond" w:hAnsi="Garamond" w:cs="Times New Roman"/>
          <w:b/>
          <w:sz w:val="21"/>
          <w:szCs w:val="21"/>
        </w:rPr>
        <w:t>zone</w:t>
      </w:r>
      <w:r w:rsidRPr="004E7A10">
        <w:rPr>
          <w:rFonts w:ascii="Garamond" w:hAnsi="Garamond" w:cs="Times New Roman"/>
          <w:sz w:val="21"/>
          <w:szCs w:val="21"/>
        </w:rPr>
        <w:t xml:space="preserve">, </w:t>
      </w:r>
      <w:r w:rsidR="00C15EE9" w:rsidRPr="004E7A10">
        <w:rPr>
          <w:rFonts w:ascii="Garamond" w:hAnsi="Garamond" w:cs="Times New Roman"/>
          <w:sz w:val="21"/>
          <w:szCs w:val="21"/>
        </w:rPr>
        <w:t xml:space="preserve">the growth in 2015 is expected to somewhat accelerate </w:t>
      </w:r>
      <w:r w:rsidR="00AA67C4" w:rsidRPr="004E7A10">
        <w:rPr>
          <w:rFonts w:ascii="Garamond" w:hAnsi="Garamond" w:cs="Times New Roman"/>
          <w:sz w:val="21"/>
          <w:szCs w:val="21"/>
        </w:rPr>
        <w:t xml:space="preserve">after </w:t>
      </w:r>
      <w:r w:rsidR="00C15EE9" w:rsidRPr="004E7A10">
        <w:rPr>
          <w:rFonts w:ascii="Garamond" w:hAnsi="Garamond" w:cs="Times New Roman"/>
          <w:sz w:val="21"/>
          <w:szCs w:val="21"/>
        </w:rPr>
        <w:t xml:space="preserve">a </w:t>
      </w:r>
      <w:r w:rsidR="00AA67C4" w:rsidRPr="004E7A10">
        <w:rPr>
          <w:rFonts w:ascii="Garamond" w:hAnsi="Garamond" w:cs="Times New Roman"/>
          <w:sz w:val="21"/>
          <w:szCs w:val="21"/>
        </w:rPr>
        <w:t>slowdown in economic activity in 2014</w:t>
      </w:r>
      <w:r w:rsidR="00262368" w:rsidRPr="004E7A10">
        <w:rPr>
          <w:rFonts w:ascii="Garamond" w:hAnsi="Garamond" w:cs="Times New Roman"/>
          <w:sz w:val="21"/>
          <w:szCs w:val="21"/>
        </w:rPr>
        <w:t xml:space="preserve">. </w:t>
      </w:r>
      <w:r w:rsidR="005C242D" w:rsidRPr="004E7A10">
        <w:rPr>
          <w:rFonts w:ascii="Garamond" w:hAnsi="Garamond" w:cs="Times New Roman"/>
          <w:sz w:val="21"/>
          <w:szCs w:val="21"/>
        </w:rPr>
        <w:t xml:space="preserve">A significant decline in oil prices, exchange rate depreciation and the European Central Bank’s extensive asset purchase program will certainly contribute positively to the acceleration of economic growth. The latter will make up 1.5% in 2015 and </w:t>
      </w:r>
      <w:r w:rsidR="00D6315B" w:rsidRPr="004E7A10">
        <w:rPr>
          <w:rFonts w:ascii="Garamond" w:hAnsi="Garamond" w:cs="Times New Roman"/>
          <w:sz w:val="21"/>
          <w:szCs w:val="21"/>
        </w:rPr>
        <w:t xml:space="preserve">stabilize around it in </w:t>
      </w:r>
      <w:r w:rsidR="005C242D" w:rsidRPr="004E7A10">
        <w:rPr>
          <w:rFonts w:ascii="Garamond" w:hAnsi="Garamond" w:cs="Times New Roman"/>
          <w:sz w:val="21"/>
          <w:szCs w:val="21"/>
        </w:rPr>
        <w:t xml:space="preserve">the forecast horizon. </w:t>
      </w:r>
      <w:r w:rsidR="00FD1B2D" w:rsidRPr="004E7A10">
        <w:rPr>
          <w:rFonts w:ascii="Garamond" w:hAnsi="Garamond" w:cs="Times New Roman"/>
          <w:sz w:val="21"/>
          <w:szCs w:val="21"/>
        </w:rPr>
        <w:t xml:space="preserve">In the face of increasingly deflationary environment, </w:t>
      </w:r>
      <w:r w:rsidR="00AA67C4" w:rsidRPr="004E7A10">
        <w:rPr>
          <w:rFonts w:ascii="Garamond" w:hAnsi="Garamond" w:cs="Times New Roman"/>
          <w:sz w:val="21"/>
          <w:szCs w:val="21"/>
        </w:rPr>
        <w:t>the EC</w:t>
      </w:r>
      <w:r w:rsidR="00D6315B" w:rsidRPr="004E7A10">
        <w:rPr>
          <w:rFonts w:ascii="Garamond" w:hAnsi="Garamond" w:cs="Times New Roman"/>
          <w:sz w:val="21"/>
          <w:szCs w:val="21"/>
        </w:rPr>
        <w:t>B</w:t>
      </w:r>
      <w:r w:rsidR="00AA67C4" w:rsidRPr="004E7A10">
        <w:rPr>
          <w:rFonts w:ascii="Garamond" w:hAnsi="Garamond" w:cs="Times New Roman"/>
          <w:sz w:val="21"/>
          <w:szCs w:val="21"/>
        </w:rPr>
        <w:t xml:space="preserve"> </w:t>
      </w:r>
      <w:r w:rsidR="00FD1B2D" w:rsidRPr="004E7A10">
        <w:rPr>
          <w:rFonts w:ascii="Garamond" w:hAnsi="Garamond" w:cs="Times New Roman"/>
          <w:sz w:val="21"/>
          <w:szCs w:val="21"/>
        </w:rPr>
        <w:t>will continue its low-interest-rates policy</w:t>
      </w:r>
      <w:r w:rsidR="00D6315B" w:rsidRPr="004E7A10">
        <w:rPr>
          <w:rFonts w:ascii="Garamond" w:hAnsi="Garamond" w:cs="Times New Roman"/>
          <w:sz w:val="21"/>
          <w:szCs w:val="21"/>
        </w:rPr>
        <w:t xml:space="preserve"> up until mid-2016</w:t>
      </w:r>
      <w:r w:rsidR="00FD1B2D" w:rsidRPr="004E7A10">
        <w:rPr>
          <w:rFonts w:ascii="Garamond" w:hAnsi="Garamond" w:cs="Times New Roman"/>
          <w:sz w:val="21"/>
          <w:szCs w:val="21"/>
        </w:rPr>
        <w:t xml:space="preserve">. </w:t>
      </w:r>
      <w:r w:rsidR="00D6315B" w:rsidRPr="004E7A10">
        <w:rPr>
          <w:rFonts w:ascii="Garamond" w:hAnsi="Garamond" w:cs="Times New Roman"/>
          <w:sz w:val="21"/>
          <w:szCs w:val="21"/>
        </w:rPr>
        <w:t xml:space="preserve">In the meanwhile, the </w:t>
      </w:r>
      <w:r w:rsidR="008F0EB9">
        <w:rPr>
          <w:rFonts w:ascii="Garamond" w:hAnsi="Garamond" w:cs="Times New Roman"/>
          <w:sz w:val="21"/>
          <w:szCs w:val="21"/>
        </w:rPr>
        <w:t>quantitative easing</w:t>
      </w:r>
      <w:r w:rsidR="00B279EB" w:rsidRPr="004E7A10">
        <w:rPr>
          <w:rFonts w:ascii="Garamond" w:hAnsi="Garamond" w:cs="Times New Roman"/>
          <w:sz w:val="21"/>
          <w:szCs w:val="21"/>
        </w:rPr>
        <w:t xml:space="preserve"> </w:t>
      </w:r>
      <w:r w:rsidR="00D6315B" w:rsidRPr="004E7A10">
        <w:rPr>
          <w:rFonts w:ascii="Garamond" w:hAnsi="Garamond" w:cs="Times New Roman"/>
          <w:sz w:val="21"/>
          <w:szCs w:val="21"/>
        </w:rPr>
        <w:t xml:space="preserve">program will continue </w:t>
      </w:r>
      <w:r w:rsidR="00A07B17" w:rsidRPr="004E7A10">
        <w:rPr>
          <w:rFonts w:ascii="Garamond" w:hAnsi="Garamond" w:cs="Times New Roman"/>
          <w:sz w:val="21"/>
          <w:szCs w:val="21"/>
        </w:rPr>
        <w:t xml:space="preserve">by </w:t>
      </w:r>
      <w:r w:rsidR="00AA67C4" w:rsidRPr="004E7A10">
        <w:rPr>
          <w:rFonts w:ascii="Garamond" w:hAnsi="Garamond" w:cs="Times New Roman"/>
          <w:sz w:val="21"/>
          <w:szCs w:val="21"/>
        </w:rPr>
        <w:t>September</w:t>
      </w:r>
      <w:r w:rsidR="00A07B17" w:rsidRPr="004E7A10">
        <w:rPr>
          <w:rFonts w:ascii="Garamond" w:hAnsi="Garamond" w:cs="Times New Roman"/>
          <w:sz w:val="21"/>
          <w:szCs w:val="21"/>
        </w:rPr>
        <w:t xml:space="preserve"> 2016</w:t>
      </w:r>
      <w:r w:rsidR="00AA67C4" w:rsidRPr="004E7A10">
        <w:rPr>
          <w:rFonts w:ascii="Garamond" w:hAnsi="Garamond" w:cs="Times New Roman"/>
          <w:sz w:val="21"/>
          <w:szCs w:val="21"/>
        </w:rPr>
        <w:t xml:space="preserve">, resulting in a more expansionary monetary policy </w:t>
      </w:r>
      <w:r w:rsidR="00A07B17" w:rsidRPr="004E7A10">
        <w:rPr>
          <w:rFonts w:ascii="Garamond" w:hAnsi="Garamond" w:cs="Times New Roman"/>
          <w:sz w:val="21"/>
          <w:szCs w:val="21"/>
        </w:rPr>
        <w:t>with the</w:t>
      </w:r>
      <w:r w:rsidR="00AA67C4" w:rsidRPr="004E7A10">
        <w:rPr>
          <w:rFonts w:ascii="Garamond" w:hAnsi="Garamond" w:cs="Times New Roman"/>
          <w:sz w:val="21"/>
          <w:szCs w:val="21"/>
        </w:rPr>
        <w:t xml:space="preserve"> aim to </w:t>
      </w:r>
      <w:r w:rsidR="00D6315B" w:rsidRPr="004E7A10">
        <w:rPr>
          <w:rFonts w:ascii="Garamond" w:hAnsi="Garamond" w:cs="Times New Roman"/>
          <w:sz w:val="21"/>
          <w:szCs w:val="21"/>
        </w:rPr>
        <w:t xml:space="preserve">handle </w:t>
      </w:r>
      <w:r w:rsidR="00AA67C4" w:rsidRPr="004E7A10">
        <w:rPr>
          <w:rFonts w:ascii="Garamond" w:hAnsi="Garamond" w:cs="Times New Roman"/>
          <w:sz w:val="21"/>
          <w:szCs w:val="21"/>
        </w:rPr>
        <w:t>inflation.</w:t>
      </w:r>
      <w:r w:rsidR="00A07B17" w:rsidRPr="004E7A10">
        <w:rPr>
          <w:rFonts w:ascii="Garamond" w:hAnsi="Garamond" w:cs="Times New Roman"/>
          <w:sz w:val="21"/>
          <w:szCs w:val="21"/>
        </w:rPr>
        <w:t xml:space="preserve"> </w:t>
      </w:r>
    </w:p>
    <w:p w14:paraId="21586ABB" w14:textId="77777777" w:rsidR="00677227" w:rsidRPr="004E7A10" w:rsidRDefault="00A9653E"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lastRenderedPageBreak/>
        <w:t xml:space="preserve">In </w:t>
      </w:r>
      <w:r w:rsidRPr="004E7A10">
        <w:rPr>
          <w:rStyle w:val="longtext"/>
          <w:rFonts w:ascii="Garamond" w:hAnsi="Garamond" w:cs="Times New Roman"/>
          <w:b/>
          <w:color w:val="000000"/>
          <w:sz w:val="21"/>
          <w:szCs w:val="21"/>
          <w:shd w:val="clear" w:color="auto" w:fill="FFFFFF"/>
        </w:rPr>
        <w:t>Russia</w:t>
      </w:r>
      <w:r w:rsidRPr="004E7A10">
        <w:rPr>
          <w:rStyle w:val="longtext"/>
          <w:rFonts w:ascii="Garamond" w:hAnsi="Garamond" w:cs="Times New Roman"/>
          <w:color w:val="000000"/>
          <w:sz w:val="21"/>
          <w:szCs w:val="21"/>
          <w:shd w:val="clear" w:color="auto" w:fill="FFFFFF"/>
        </w:rPr>
        <w:t xml:space="preserve">, </w:t>
      </w:r>
      <w:r w:rsidR="00A07B17" w:rsidRPr="004E7A10">
        <w:rPr>
          <w:rStyle w:val="longtext"/>
          <w:rFonts w:ascii="Garamond" w:hAnsi="Garamond" w:cs="Times New Roman"/>
          <w:color w:val="000000"/>
          <w:sz w:val="21"/>
          <w:szCs w:val="21"/>
          <w:shd w:val="clear" w:color="auto" w:fill="FFFFFF"/>
        </w:rPr>
        <w:t>substantial</w:t>
      </w:r>
      <w:r w:rsidR="008611FE" w:rsidRPr="004E7A10">
        <w:rPr>
          <w:rStyle w:val="longtext"/>
          <w:rFonts w:ascii="Garamond" w:hAnsi="Garamond" w:cs="Times New Roman"/>
          <w:color w:val="000000"/>
          <w:sz w:val="21"/>
          <w:szCs w:val="21"/>
          <w:shd w:val="clear" w:color="auto" w:fill="FFFFFF"/>
        </w:rPr>
        <w:t>ly</w:t>
      </w:r>
      <w:r w:rsidR="00A07B17" w:rsidRPr="004E7A10">
        <w:rPr>
          <w:rStyle w:val="longtext"/>
          <w:rFonts w:ascii="Garamond" w:hAnsi="Garamond" w:cs="Times New Roman"/>
          <w:color w:val="000000"/>
          <w:sz w:val="21"/>
          <w:szCs w:val="21"/>
          <w:shd w:val="clear" w:color="auto" w:fill="FFFFFF"/>
        </w:rPr>
        <w:t xml:space="preserve"> volatil</w:t>
      </w:r>
      <w:r w:rsidR="008611FE" w:rsidRPr="004E7A10">
        <w:rPr>
          <w:rStyle w:val="longtext"/>
          <w:rFonts w:ascii="Garamond" w:hAnsi="Garamond" w:cs="Times New Roman"/>
          <w:color w:val="000000"/>
          <w:sz w:val="21"/>
          <w:szCs w:val="21"/>
          <w:shd w:val="clear" w:color="auto" w:fill="FFFFFF"/>
        </w:rPr>
        <w:t>e patterns i</w:t>
      </w:r>
      <w:r w:rsidR="00A07B17" w:rsidRPr="004E7A10">
        <w:rPr>
          <w:rStyle w:val="longtext"/>
          <w:rFonts w:ascii="Garamond" w:hAnsi="Garamond" w:cs="Times New Roman"/>
          <w:color w:val="000000"/>
          <w:sz w:val="21"/>
          <w:szCs w:val="21"/>
          <w:shd w:val="clear" w:color="auto" w:fill="FFFFFF"/>
        </w:rPr>
        <w:t xml:space="preserve">n economy </w:t>
      </w:r>
      <w:r w:rsidR="008611FE" w:rsidRPr="004E7A10">
        <w:rPr>
          <w:rStyle w:val="longtext"/>
          <w:rFonts w:ascii="Garamond" w:hAnsi="Garamond" w:cs="Times New Roman"/>
          <w:color w:val="000000"/>
          <w:sz w:val="21"/>
          <w:szCs w:val="21"/>
          <w:shd w:val="clear" w:color="auto" w:fill="FFFFFF"/>
        </w:rPr>
        <w:t xml:space="preserve">observed </w:t>
      </w:r>
      <w:r w:rsidR="00A07B17" w:rsidRPr="004E7A10">
        <w:rPr>
          <w:rStyle w:val="longtext"/>
          <w:rFonts w:ascii="Garamond" w:hAnsi="Garamond" w:cs="Times New Roman"/>
          <w:color w:val="000000"/>
          <w:sz w:val="21"/>
          <w:szCs w:val="21"/>
          <w:shd w:val="clear" w:color="auto" w:fill="FFFFFF"/>
        </w:rPr>
        <w:t xml:space="preserve">in late 2014 and early 2015 </w:t>
      </w:r>
      <w:r w:rsidR="008611FE" w:rsidRPr="004E7A10">
        <w:rPr>
          <w:rStyle w:val="longtext"/>
          <w:rFonts w:ascii="Garamond" w:hAnsi="Garamond" w:cs="Times New Roman"/>
          <w:color w:val="000000"/>
          <w:sz w:val="21"/>
          <w:szCs w:val="21"/>
          <w:shd w:val="clear" w:color="auto" w:fill="FFFFFF"/>
        </w:rPr>
        <w:t xml:space="preserve">make it to expect </w:t>
      </w:r>
      <w:r w:rsidR="00A07B17" w:rsidRPr="004E7A10">
        <w:rPr>
          <w:rStyle w:val="longtext"/>
          <w:rFonts w:ascii="Garamond" w:hAnsi="Garamond" w:cs="Times New Roman"/>
          <w:color w:val="000000"/>
          <w:sz w:val="21"/>
          <w:szCs w:val="21"/>
          <w:shd w:val="clear" w:color="auto" w:fill="FFFFFF"/>
        </w:rPr>
        <w:t>economic slowdown</w:t>
      </w:r>
      <w:r w:rsidR="008611FE" w:rsidRPr="004E7A10">
        <w:rPr>
          <w:rStyle w:val="longtext"/>
          <w:rFonts w:ascii="Garamond" w:hAnsi="Garamond" w:cs="Times New Roman"/>
          <w:color w:val="000000"/>
          <w:sz w:val="21"/>
          <w:szCs w:val="21"/>
          <w:shd w:val="clear" w:color="auto" w:fill="FFFFFF"/>
        </w:rPr>
        <w:t xml:space="preserve"> in 2015</w:t>
      </w:r>
      <w:r w:rsidR="00A07B17" w:rsidRPr="004E7A10">
        <w:rPr>
          <w:rStyle w:val="longtext"/>
          <w:rFonts w:ascii="Garamond" w:hAnsi="Garamond" w:cs="Times New Roman"/>
          <w:color w:val="000000"/>
          <w:sz w:val="21"/>
          <w:szCs w:val="21"/>
          <w:shd w:val="clear" w:color="auto" w:fill="FFFFFF"/>
        </w:rPr>
        <w:t xml:space="preserve"> </w:t>
      </w:r>
      <w:r w:rsidR="00407782" w:rsidRPr="004E7A10">
        <w:rPr>
          <w:rStyle w:val="longtext"/>
          <w:rFonts w:ascii="Garamond" w:hAnsi="Garamond" w:cs="Times New Roman"/>
          <w:color w:val="000000"/>
          <w:sz w:val="21"/>
          <w:szCs w:val="21"/>
          <w:shd w:val="clear" w:color="auto" w:fill="FFFFFF"/>
        </w:rPr>
        <w:t xml:space="preserve">by roughly </w:t>
      </w:r>
      <w:r w:rsidR="00A07B17" w:rsidRPr="004E7A10">
        <w:rPr>
          <w:rStyle w:val="longtext"/>
          <w:rFonts w:ascii="Garamond" w:hAnsi="Garamond" w:cs="Times New Roman"/>
          <w:color w:val="000000"/>
          <w:sz w:val="21"/>
          <w:szCs w:val="21"/>
          <w:shd w:val="clear" w:color="auto" w:fill="FFFFFF"/>
        </w:rPr>
        <w:t>2.</w:t>
      </w:r>
      <w:r w:rsidR="00407782" w:rsidRPr="004E7A10">
        <w:rPr>
          <w:rStyle w:val="longtext"/>
          <w:rFonts w:ascii="Garamond" w:hAnsi="Garamond" w:cs="Times New Roman"/>
          <w:color w:val="000000"/>
          <w:sz w:val="21"/>
          <w:szCs w:val="21"/>
          <w:shd w:val="clear" w:color="auto" w:fill="FFFFFF"/>
        </w:rPr>
        <w:t>2</w:t>
      </w:r>
      <w:r w:rsidR="00A07B17" w:rsidRPr="004E7A10">
        <w:rPr>
          <w:rStyle w:val="longtext"/>
          <w:rFonts w:ascii="Garamond" w:hAnsi="Garamond" w:cs="Times New Roman"/>
          <w:color w:val="000000"/>
          <w:sz w:val="21"/>
          <w:szCs w:val="21"/>
          <w:shd w:val="clear" w:color="auto" w:fill="FFFFFF"/>
        </w:rPr>
        <w:t>% (</w:t>
      </w:r>
      <w:r w:rsidR="008611FE" w:rsidRPr="004E7A10">
        <w:rPr>
          <w:rStyle w:val="longtext"/>
          <w:rFonts w:ascii="Garamond" w:hAnsi="Garamond" w:cs="Times New Roman"/>
          <w:color w:val="000000"/>
          <w:sz w:val="21"/>
          <w:szCs w:val="21"/>
          <w:shd w:val="clear" w:color="auto" w:fill="FFFFFF"/>
        </w:rPr>
        <w:t xml:space="preserve">later the year, the economic decline </w:t>
      </w:r>
      <w:r w:rsidR="00C44708" w:rsidRPr="004E7A10">
        <w:rPr>
          <w:rStyle w:val="longtext"/>
          <w:rFonts w:ascii="Garamond" w:hAnsi="Garamond" w:cs="Times New Roman"/>
          <w:color w:val="000000"/>
          <w:sz w:val="21"/>
          <w:szCs w:val="21"/>
          <w:shd w:val="clear" w:color="auto" w:fill="FFFFFF"/>
        </w:rPr>
        <w:t xml:space="preserve">is predicted to </w:t>
      </w:r>
      <w:r w:rsidR="008611FE" w:rsidRPr="004E7A10">
        <w:rPr>
          <w:rStyle w:val="longtext"/>
          <w:rFonts w:ascii="Garamond" w:hAnsi="Garamond" w:cs="Times New Roman"/>
          <w:color w:val="000000"/>
          <w:sz w:val="21"/>
          <w:szCs w:val="21"/>
          <w:shd w:val="clear" w:color="auto" w:fill="FFFFFF"/>
        </w:rPr>
        <w:t xml:space="preserve">even deepen to </w:t>
      </w:r>
      <w:r w:rsidR="00407782" w:rsidRPr="004E7A10">
        <w:rPr>
          <w:rStyle w:val="longtext"/>
          <w:rFonts w:ascii="Garamond" w:hAnsi="Garamond" w:cs="Times New Roman"/>
          <w:color w:val="000000"/>
          <w:sz w:val="21"/>
          <w:szCs w:val="21"/>
          <w:shd w:val="clear" w:color="auto" w:fill="FFFFFF"/>
        </w:rPr>
        <w:t>4</w:t>
      </w:r>
      <w:r w:rsidR="00A07B17" w:rsidRPr="004E7A10">
        <w:rPr>
          <w:rStyle w:val="longtext"/>
          <w:rFonts w:ascii="Garamond" w:hAnsi="Garamond" w:cs="Times New Roman"/>
          <w:color w:val="000000"/>
          <w:sz w:val="21"/>
          <w:szCs w:val="21"/>
          <w:shd w:val="clear" w:color="auto" w:fill="FFFFFF"/>
        </w:rPr>
        <w:t>%)</w:t>
      </w:r>
      <w:r w:rsidR="008611FE" w:rsidRPr="004E7A10">
        <w:rPr>
          <w:rStyle w:val="longtext"/>
          <w:rFonts w:ascii="Garamond" w:hAnsi="Garamond" w:cs="Times New Roman"/>
          <w:color w:val="000000"/>
          <w:sz w:val="21"/>
          <w:szCs w:val="21"/>
          <w:shd w:val="clear" w:color="auto" w:fill="FFFFFF"/>
        </w:rPr>
        <w:t>.</w:t>
      </w:r>
      <w:r w:rsidR="00A07B17" w:rsidRPr="004E7A10">
        <w:rPr>
          <w:rStyle w:val="longtext"/>
          <w:rFonts w:ascii="Garamond" w:hAnsi="Garamond" w:cs="Times New Roman"/>
          <w:color w:val="000000"/>
          <w:sz w:val="21"/>
          <w:szCs w:val="21"/>
          <w:shd w:val="clear" w:color="auto" w:fill="FFFFFF"/>
        </w:rPr>
        <w:t xml:space="preserve"> </w:t>
      </w:r>
      <w:r w:rsidR="003963D9" w:rsidRPr="004E7A10">
        <w:rPr>
          <w:rStyle w:val="longtext"/>
          <w:rFonts w:ascii="Garamond" w:hAnsi="Garamond" w:cs="Times New Roman"/>
          <w:color w:val="000000"/>
          <w:sz w:val="21"/>
          <w:szCs w:val="21"/>
          <w:shd w:val="clear" w:color="auto" w:fill="FFFFFF"/>
        </w:rPr>
        <w:t xml:space="preserve">Recession </w:t>
      </w:r>
      <w:r w:rsidR="00A07B17" w:rsidRPr="004E7A10">
        <w:rPr>
          <w:rStyle w:val="longtext"/>
          <w:rFonts w:ascii="Garamond" w:hAnsi="Garamond" w:cs="Times New Roman"/>
          <w:color w:val="000000"/>
          <w:sz w:val="21"/>
          <w:szCs w:val="21"/>
          <w:shd w:val="clear" w:color="auto" w:fill="FFFFFF"/>
        </w:rPr>
        <w:t xml:space="preserve">in </w:t>
      </w:r>
      <w:r w:rsidR="003963D9" w:rsidRPr="004E7A10">
        <w:rPr>
          <w:rStyle w:val="longtext"/>
          <w:rFonts w:ascii="Garamond" w:hAnsi="Garamond" w:cs="Times New Roman"/>
          <w:color w:val="000000"/>
          <w:sz w:val="21"/>
          <w:szCs w:val="21"/>
          <w:shd w:val="clear" w:color="auto" w:fill="FFFFFF"/>
        </w:rPr>
        <w:t xml:space="preserve">the </w:t>
      </w:r>
      <w:r w:rsidR="00A07B17" w:rsidRPr="004E7A10">
        <w:rPr>
          <w:rStyle w:val="longtext"/>
          <w:rFonts w:ascii="Garamond" w:hAnsi="Garamond" w:cs="Times New Roman"/>
          <w:color w:val="000000"/>
          <w:sz w:val="21"/>
          <w:szCs w:val="21"/>
          <w:shd w:val="clear" w:color="auto" w:fill="FFFFFF"/>
        </w:rPr>
        <w:t xml:space="preserve">economy will continue </w:t>
      </w:r>
      <w:r w:rsidR="0029576C" w:rsidRPr="004E7A10">
        <w:rPr>
          <w:rStyle w:val="longtext"/>
          <w:rFonts w:ascii="Garamond" w:hAnsi="Garamond" w:cs="Times New Roman"/>
          <w:color w:val="000000"/>
          <w:sz w:val="21"/>
          <w:szCs w:val="21"/>
          <w:shd w:val="clear" w:color="auto" w:fill="FFFFFF"/>
        </w:rPr>
        <w:t>up until mid-</w:t>
      </w:r>
      <w:r w:rsidR="00A07B17" w:rsidRPr="004E7A10">
        <w:rPr>
          <w:rStyle w:val="longtext"/>
          <w:rFonts w:ascii="Garamond" w:hAnsi="Garamond" w:cs="Times New Roman"/>
          <w:color w:val="000000"/>
          <w:sz w:val="21"/>
          <w:szCs w:val="21"/>
          <w:shd w:val="clear" w:color="auto" w:fill="FFFFFF"/>
        </w:rPr>
        <w:t>2016</w:t>
      </w:r>
      <w:r w:rsidR="003963D9" w:rsidRPr="004E7A10">
        <w:rPr>
          <w:rStyle w:val="longtext"/>
          <w:rFonts w:ascii="Garamond" w:hAnsi="Garamond" w:cs="Times New Roman"/>
          <w:color w:val="000000"/>
          <w:sz w:val="21"/>
          <w:szCs w:val="21"/>
          <w:shd w:val="clear" w:color="auto" w:fill="FFFFFF"/>
        </w:rPr>
        <w:t xml:space="preserve">, </w:t>
      </w:r>
      <w:r w:rsidR="00A07B17" w:rsidRPr="004E7A10">
        <w:rPr>
          <w:rStyle w:val="longtext"/>
          <w:rFonts w:ascii="Garamond" w:hAnsi="Garamond" w:cs="Times New Roman"/>
          <w:color w:val="000000"/>
          <w:sz w:val="21"/>
          <w:szCs w:val="21"/>
          <w:shd w:val="clear" w:color="auto" w:fill="FFFFFF"/>
        </w:rPr>
        <w:t xml:space="preserve">and </w:t>
      </w:r>
      <w:r w:rsidR="003963D9" w:rsidRPr="004E7A10">
        <w:rPr>
          <w:rStyle w:val="longtext"/>
          <w:rFonts w:ascii="Garamond" w:hAnsi="Garamond" w:cs="Times New Roman"/>
          <w:color w:val="000000"/>
          <w:sz w:val="21"/>
          <w:szCs w:val="21"/>
          <w:shd w:val="clear" w:color="auto" w:fill="FFFFFF"/>
        </w:rPr>
        <w:t xml:space="preserve">some </w:t>
      </w:r>
      <w:r w:rsidR="00A07B17" w:rsidRPr="004E7A10">
        <w:rPr>
          <w:rStyle w:val="longtext"/>
          <w:rFonts w:ascii="Garamond" w:hAnsi="Garamond" w:cs="Times New Roman"/>
          <w:color w:val="000000"/>
          <w:sz w:val="21"/>
          <w:szCs w:val="21"/>
          <w:shd w:val="clear" w:color="auto" w:fill="FFFFFF"/>
        </w:rPr>
        <w:t>positive</w:t>
      </w:r>
      <w:r w:rsidR="00D8603F" w:rsidRPr="004E7A10">
        <w:rPr>
          <w:rStyle w:val="longtext"/>
          <w:rFonts w:ascii="Garamond" w:hAnsi="Garamond" w:cs="Times New Roman"/>
          <w:color w:val="000000"/>
          <w:sz w:val="21"/>
          <w:szCs w:val="21"/>
          <w:shd w:val="clear" w:color="auto" w:fill="FFFFFF"/>
        </w:rPr>
        <w:t xml:space="preserve"> </w:t>
      </w:r>
      <w:r w:rsidR="00A07B17" w:rsidRPr="004E7A10">
        <w:rPr>
          <w:rStyle w:val="longtext"/>
          <w:rFonts w:ascii="Garamond" w:hAnsi="Garamond" w:cs="Times New Roman"/>
          <w:color w:val="000000"/>
          <w:sz w:val="21"/>
          <w:szCs w:val="21"/>
          <w:shd w:val="clear" w:color="auto" w:fill="FFFFFF"/>
        </w:rPr>
        <w:t xml:space="preserve">growth </w:t>
      </w:r>
      <w:r w:rsidR="0029576C" w:rsidRPr="004E7A10">
        <w:rPr>
          <w:rStyle w:val="longtext"/>
          <w:rFonts w:ascii="Garamond" w:hAnsi="Garamond" w:cs="Times New Roman"/>
          <w:color w:val="000000"/>
          <w:sz w:val="21"/>
          <w:szCs w:val="21"/>
          <w:shd w:val="clear" w:color="auto" w:fill="FFFFFF"/>
        </w:rPr>
        <w:t xml:space="preserve">of about 0.7% will only be </w:t>
      </w:r>
      <w:r w:rsidR="00D8603F" w:rsidRPr="004E7A10">
        <w:rPr>
          <w:rStyle w:val="longtext"/>
          <w:rFonts w:ascii="Garamond" w:hAnsi="Garamond" w:cs="Times New Roman"/>
          <w:color w:val="000000"/>
          <w:sz w:val="21"/>
          <w:szCs w:val="21"/>
          <w:shd w:val="clear" w:color="auto" w:fill="FFFFFF"/>
        </w:rPr>
        <w:t xml:space="preserve">observable </w:t>
      </w:r>
      <w:r w:rsidR="00A07B17" w:rsidRPr="004E7A10">
        <w:rPr>
          <w:rStyle w:val="longtext"/>
          <w:rFonts w:ascii="Garamond" w:hAnsi="Garamond" w:cs="Times New Roman"/>
          <w:color w:val="000000"/>
          <w:sz w:val="21"/>
          <w:szCs w:val="21"/>
          <w:shd w:val="clear" w:color="auto" w:fill="FFFFFF"/>
        </w:rPr>
        <w:t xml:space="preserve">in </w:t>
      </w:r>
      <w:r w:rsidR="0029576C" w:rsidRPr="004E7A10">
        <w:rPr>
          <w:rStyle w:val="longtext"/>
          <w:rFonts w:ascii="Garamond" w:hAnsi="Garamond" w:cs="Times New Roman"/>
          <w:color w:val="000000"/>
          <w:sz w:val="21"/>
          <w:szCs w:val="21"/>
          <w:shd w:val="clear" w:color="auto" w:fill="FFFFFF"/>
        </w:rPr>
        <w:t>t</w:t>
      </w:r>
      <w:r w:rsidR="003963D9" w:rsidRPr="004E7A10">
        <w:rPr>
          <w:rStyle w:val="longtext"/>
          <w:rFonts w:ascii="Garamond" w:hAnsi="Garamond" w:cs="Times New Roman"/>
          <w:color w:val="000000"/>
          <w:sz w:val="21"/>
          <w:szCs w:val="21"/>
          <w:shd w:val="clear" w:color="auto" w:fill="FFFFFF"/>
        </w:rPr>
        <w:t xml:space="preserve">he end </w:t>
      </w:r>
      <w:r w:rsidR="00A07B17" w:rsidRPr="004E7A10">
        <w:rPr>
          <w:rStyle w:val="longtext"/>
          <w:rFonts w:ascii="Garamond" w:hAnsi="Garamond" w:cs="Times New Roman"/>
          <w:color w:val="000000"/>
          <w:sz w:val="21"/>
          <w:szCs w:val="21"/>
          <w:shd w:val="clear" w:color="auto" w:fill="FFFFFF"/>
        </w:rPr>
        <w:t>of the forecast horizon</w:t>
      </w:r>
      <w:r w:rsidR="003963D9" w:rsidRPr="004E7A10">
        <w:rPr>
          <w:rStyle w:val="longtext"/>
          <w:rFonts w:ascii="Garamond" w:hAnsi="Garamond" w:cs="Times New Roman"/>
          <w:color w:val="000000"/>
          <w:sz w:val="21"/>
          <w:szCs w:val="21"/>
          <w:shd w:val="clear" w:color="auto" w:fill="FFFFFF"/>
        </w:rPr>
        <w:t>.</w:t>
      </w:r>
      <w:r w:rsidR="00A07B17" w:rsidRPr="004E7A10">
        <w:rPr>
          <w:rStyle w:val="longtext"/>
          <w:rFonts w:ascii="Garamond" w:hAnsi="Garamond" w:cs="Times New Roman"/>
          <w:color w:val="000000"/>
          <w:sz w:val="21"/>
          <w:szCs w:val="21"/>
          <w:shd w:val="clear" w:color="auto" w:fill="FFFFFF"/>
        </w:rPr>
        <w:t xml:space="preserve"> </w:t>
      </w:r>
      <w:r w:rsidR="00D8603F" w:rsidRPr="004E7A10">
        <w:rPr>
          <w:rStyle w:val="longtext"/>
          <w:rFonts w:ascii="Garamond" w:hAnsi="Garamond" w:cs="Times New Roman"/>
          <w:color w:val="000000"/>
          <w:sz w:val="21"/>
          <w:szCs w:val="21"/>
          <w:shd w:val="clear" w:color="auto" w:fill="FFFFFF"/>
        </w:rPr>
        <w:t xml:space="preserve">It is expected that the effects of reduced oil prices and economic sanctions, already visible in late 2014, would be even more pronounced this year and over 2016. With an anticipated decrease in demand during 2015, import substitution will however factor favorably into the economic growth, and this will somewhat alleviate the shock </w:t>
      </w:r>
      <w:r w:rsidR="009302BC" w:rsidRPr="004E7A10">
        <w:rPr>
          <w:rStyle w:val="longtext"/>
          <w:rFonts w:ascii="Garamond" w:hAnsi="Garamond" w:cs="Times New Roman"/>
          <w:color w:val="000000"/>
          <w:sz w:val="21"/>
          <w:szCs w:val="21"/>
          <w:shd w:val="clear" w:color="auto" w:fill="FFFFFF"/>
        </w:rPr>
        <w:t xml:space="preserve">resulting from </w:t>
      </w:r>
      <w:r w:rsidR="00D8603F" w:rsidRPr="004E7A10">
        <w:rPr>
          <w:rStyle w:val="longtext"/>
          <w:rFonts w:ascii="Garamond" w:hAnsi="Garamond" w:cs="Times New Roman"/>
          <w:color w:val="000000"/>
          <w:sz w:val="21"/>
          <w:szCs w:val="21"/>
          <w:shd w:val="clear" w:color="auto" w:fill="FFFFFF"/>
        </w:rPr>
        <w:t xml:space="preserve">deteriorated terms of foreign trade. </w:t>
      </w:r>
      <w:r w:rsidR="009302BC" w:rsidRPr="004E7A10">
        <w:rPr>
          <w:rStyle w:val="longtext"/>
          <w:rFonts w:ascii="Garamond" w:hAnsi="Garamond" w:cs="Times New Roman"/>
          <w:color w:val="000000"/>
          <w:sz w:val="21"/>
          <w:szCs w:val="21"/>
          <w:shd w:val="clear" w:color="auto" w:fill="FFFFFF"/>
        </w:rPr>
        <w:t xml:space="preserve">At the same time, exchange rate depreciation and trade restrictions will positively affect the output growth in some manufacturing </w:t>
      </w:r>
      <w:r w:rsidR="00DD7C73" w:rsidRPr="004E7A10">
        <w:rPr>
          <w:rStyle w:val="longtext"/>
          <w:rFonts w:ascii="Garamond" w:hAnsi="Garamond" w:cs="Times New Roman"/>
          <w:color w:val="000000"/>
          <w:sz w:val="21"/>
          <w:szCs w:val="21"/>
          <w:shd w:val="clear" w:color="auto" w:fill="FFFFFF"/>
        </w:rPr>
        <w:t>areas</w:t>
      </w:r>
      <w:r w:rsidR="009302BC" w:rsidRPr="004E7A10">
        <w:rPr>
          <w:rStyle w:val="longtext"/>
          <w:rFonts w:ascii="Garamond" w:hAnsi="Garamond" w:cs="Times New Roman"/>
          <w:color w:val="000000"/>
          <w:sz w:val="21"/>
          <w:szCs w:val="21"/>
          <w:shd w:val="clear" w:color="auto" w:fill="FFFFFF"/>
        </w:rPr>
        <w:t xml:space="preserve">, </w:t>
      </w:r>
      <w:r w:rsidR="00DD7C73" w:rsidRPr="004E7A10">
        <w:rPr>
          <w:rStyle w:val="longtext"/>
          <w:rFonts w:ascii="Garamond" w:hAnsi="Garamond" w:cs="Times New Roman"/>
          <w:color w:val="000000"/>
          <w:sz w:val="21"/>
          <w:szCs w:val="21"/>
          <w:shd w:val="clear" w:color="auto" w:fill="FFFFFF"/>
        </w:rPr>
        <w:t xml:space="preserve">the </w:t>
      </w:r>
      <w:r w:rsidR="009302BC" w:rsidRPr="004E7A10">
        <w:rPr>
          <w:rStyle w:val="longtext"/>
          <w:rFonts w:ascii="Garamond" w:hAnsi="Garamond" w:cs="Times New Roman"/>
          <w:color w:val="000000"/>
          <w:sz w:val="21"/>
          <w:szCs w:val="21"/>
          <w:shd w:val="clear" w:color="auto" w:fill="FFFFFF"/>
        </w:rPr>
        <w:t xml:space="preserve">improvement of the country’s external position </w:t>
      </w:r>
      <w:r w:rsidR="00DD7C73" w:rsidRPr="004E7A10">
        <w:rPr>
          <w:rStyle w:val="longtext"/>
          <w:rFonts w:ascii="Garamond" w:hAnsi="Garamond" w:cs="Times New Roman"/>
          <w:color w:val="000000"/>
          <w:sz w:val="21"/>
          <w:szCs w:val="21"/>
          <w:shd w:val="clear" w:color="auto" w:fill="FFFFFF"/>
        </w:rPr>
        <w:t xml:space="preserve">suffered from plunging </w:t>
      </w:r>
      <w:r w:rsidR="009302BC" w:rsidRPr="004E7A10">
        <w:rPr>
          <w:rStyle w:val="longtext"/>
          <w:rFonts w:ascii="Garamond" w:hAnsi="Garamond" w:cs="Times New Roman"/>
          <w:color w:val="000000"/>
          <w:sz w:val="21"/>
          <w:szCs w:val="21"/>
          <w:shd w:val="clear" w:color="auto" w:fill="FFFFFF"/>
        </w:rPr>
        <w:t>oil prices</w:t>
      </w:r>
      <w:r w:rsidR="00DD7C73" w:rsidRPr="004E7A10">
        <w:rPr>
          <w:rStyle w:val="longtext"/>
          <w:rFonts w:ascii="Garamond" w:hAnsi="Garamond" w:cs="Times New Roman"/>
          <w:color w:val="000000"/>
          <w:sz w:val="21"/>
          <w:szCs w:val="21"/>
          <w:shd w:val="clear" w:color="auto" w:fill="FFFFFF"/>
        </w:rPr>
        <w:t>,</w:t>
      </w:r>
      <w:r w:rsidR="009302BC" w:rsidRPr="004E7A10">
        <w:rPr>
          <w:rStyle w:val="longtext"/>
          <w:rFonts w:ascii="Garamond" w:hAnsi="Garamond" w:cs="Times New Roman"/>
          <w:color w:val="000000"/>
          <w:sz w:val="21"/>
          <w:szCs w:val="21"/>
          <w:shd w:val="clear" w:color="auto" w:fill="FFFFFF"/>
        </w:rPr>
        <w:t xml:space="preserve"> </w:t>
      </w:r>
      <w:r w:rsidR="00DD7C73" w:rsidRPr="004E7A10">
        <w:rPr>
          <w:rStyle w:val="longtext"/>
          <w:rFonts w:ascii="Garamond" w:hAnsi="Garamond" w:cs="Times New Roman"/>
          <w:color w:val="000000"/>
          <w:sz w:val="21"/>
          <w:szCs w:val="21"/>
          <w:shd w:val="clear" w:color="auto" w:fill="FFFFFF"/>
        </w:rPr>
        <w:t xml:space="preserve">the economic growth recovery and the retaining of the rate of </w:t>
      </w:r>
      <w:r w:rsidR="009302BC" w:rsidRPr="004E7A10">
        <w:rPr>
          <w:rStyle w:val="longtext"/>
          <w:rFonts w:ascii="Garamond" w:hAnsi="Garamond" w:cs="Times New Roman"/>
          <w:color w:val="000000"/>
          <w:sz w:val="21"/>
          <w:szCs w:val="21"/>
          <w:shd w:val="clear" w:color="auto" w:fill="FFFFFF"/>
        </w:rPr>
        <w:t>employment.</w:t>
      </w:r>
      <w:r w:rsidR="00DD7C73" w:rsidRPr="004E7A10">
        <w:rPr>
          <w:rStyle w:val="longtext"/>
          <w:rFonts w:ascii="Garamond" w:hAnsi="Garamond" w:cs="Times New Roman"/>
          <w:color w:val="000000"/>
          <w:sz w:val="21"/>
          <w:szCs w:val="21"/>
          <w:shd w:val="clear" w:color="auto" w:fill="FFFFFF"/>
        </w:rPr>
        <w:t xml:space="preserve"> High 12-month inflation rate, fuelled </w:t>
      </w:r>
      <w:r w:rsidR="005A7714" w:rsidRPr="004E7A10">
        <w:rPr>
          <w:rStyle w:val="longtext"/>
          <w:rFonts w:ascii="Garamond" w:hAnsi="Garamond" w:cs="Times New Roman"/>
          <w:color w:val="000000"/>
          <w:sz w:val="21"/>
          <w:szCs w:val="21"/>
          <w:shd w:val="clear" w:color="auto" w:fill="FFFFFF"/>
        </w:rPr>
        <w:t xml:space="preserve">by </w:t>
      </w:r>
      <w:r w:rsidR="00DD7C73" w:rsidRPr="004E7A10">
        <w:rPr>
          <w:rStyle w:val="longtext"/>
          <w:rFonts w:ascii="Garamond" w:hAnsi="Garamond" w:cs="Times New Roman"/>
          <w:color w:val="000000"/>
          <w:sz w:val="21"/>
          <w:szCs w:val="21"/>
          <w:shd w:val="clear" w:color="auto" w:fill="FFFFFF"/>
        </w:rPr>
        <w:t xml:space="preserve">steep depreciation of the ruble, will be persisting throughout 2015, which is predicted to reach 12% later the year. In the forecast horizon however, the exchange rate is predicted to somehow stabilize as oil prices </w:t>
      </w:r>
      <w:r w:rsidR="00677227" w:rsidRPr="004E7A10">
        <w:rPr>
          <w:rStyle w:val="longtext"/>
          <w:rFonts w:ascii="Garamond" w:hAnsi="Garamond" w:cs="Times New Roman"/>
          <w:color w:val="000000"/>
          <w:sz w:val="21"/>
          <w:szCs w:val="21"/>
          <w:shd w:val="clear" w:color="auto" w:fill="FFFFFF"/>
        </w:rPr>
        <w:t xml:space="preserve">are expected to grow and capital flows to rebound. </w:t>
      </w:r>
    </w:p>
    <w:p w14:paraId="58035AE1" w14:textId="77777777" w:rsidR="00A9653E" w:rsidRPr="004E7A10" w:rsidRDefault="00BD29F5"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In addition, the IMF </w:t>
      </w:r>
      <w:r w:rsidR="00677227" w:rsidRPr="004E7A10">
        <w:rPr>
          <w:rStyle w:val="longtext"/>
          <w:rFonts w:ascii="Garamond" w:hAnsi="Garamond" w:cs="Times New Roman"/>
          <w:color w:val="000000"/>
          <w:sz w:val="21"/>
          <w:szCs w:val="21"/>
          <w:shd w:val="clear" w:color="auto" w:fill="FFFFFF"/>
        </w:rPr>
        <w:t>April</w:t>
      </w:r>
      <w:r w:rsidRPr="004E7A10">
        <w:rPr>
          <w:rStyle w:val="longtext"/>
          <w:rFonts w:ascii="Garamond" w:hAnsi="Garamond" w:cs="Times New Roman"/>
          <w:color w:val="000000"/>
          <w:sz w:val="21"/>
          <w:szCs w:val="21"/>
          <w:shd w:val="clear" w:color="auto" w:fill="FFFFFF"/>
        </w:rPr>
        <w:t xml:space="preserve"> 2015 report predicted </w:t>
      </w:r>
      <w:r w:rsidR="00323ED3" w:rsidRPr="004E7A10">
        <w:rPr>
          <w:rStyle w:val="longtext"/>
          <w:rFonts w:ascii="Garamond" w:hAnsi="Garamond" w:cs="Times New Roman"/>
          <w:color w:val="000000"/>
          <w:sz w:val="21"/>
          <w:szCs w:val="21"/>
          <w:shd w:val="clear" w:color="auto" w:fill="FFFFFF"/>
        </w:rPr>
        <w:t xml:space="preserve">a </w:t>
      </w:r>
      <w:r w:rsidRPr="004E7A10">
        <w:rPr>
          <w:rStyle w:val="longtext"/>
          <w:rFonts w:ascii="Garamond" w:hAnsi="Garamond" w:cs="Times New Roman"/>
          <w:color w:val="000000"/>
          <w:sz w:val="21"/>
          <w:szCs w:val="21"/>
          <w:shd w:val="clear" w:color="auto" w:fill="FFFFFF"/>
        </w:rPr>
        <w:t xml:space="preserve">3.5% growth of global economy </w:t>
      </w:r>
      <w:r w:rsidR="00677227" w:rsidRPr="004E7A10">
        <w:rPr>
          <w:rStyle w:val="longtext"/>
          <w:rFonts w:ascii="Garamond" w:hAnsi="Garamond" w:cs="Times New Roman"/>
          <w:color w:val="000000"/>
          <w:sz w:val="21"/>
          <w:szCs w:val="21"/>
          <w:shd w:val="clear" w:color="auto" w:fill="FFFFFF"/>
        </w:rPr>
        <w:t xml:space="preserve">for 2015 and 3.8% growth for 2016 </w:t>
      </w:r>
      <w:r w:rsidRPr="004E7A10">
        <w:rPr>
          <w:rStyle w:val="longtext"/>
          <w:rFonts w:ascii="Garamond" w:hAnsi="Garamond" w:cs="Times New Roman"/>
          <w:color w:val="000000"/>
          <w:sz w:val="21"/>
          <w:szCs w:val="21"/>
          <w:shd w:val="clear" w:color="auto" w:fill="FFFFFF"/>
        </w:rPr>
        <w:t>(</w:t>
      </w:r>
      <w:r w:rsidR="00677227" w:rsidRPr="004E7A10">
        <w:rPr>
          <w:rStyle w:val="longtext"/>
          <w:rFonts w:ascii="Garamond" w:hAnsi="Garamond" w:cs="Times New Roman"/>
          <w:color w:val="000000"/>
          <w:sz w:val="21"/>
          <w:szCs w:val="21"/>
          <w:shd w:val="clear" w:color="auto" w:fill="FFFFFF"/>
        </w:rPr>
        <w:t>which is almost unchanged in comparison with the previous, i.e. the January, release of the report</w:t>
      </w:r>
      <w:r w:rsidR="00323ED3" w:rsidRPr="004E7A10">
        <w:rPr>
          <w:rStyle w:val="longtext"/>
          <w:rFonts w:ascii="Garamond" w:hAnsi="Garamond" w:cs="Times New Roman"/>
          <w:color w:val="000000"/>
          <w:sz w:val="21"/>
          <w:szCs w:val="21"/>
          <w:shd w:val="clear" w:color="auto" w:fill="FFFFFF"/>
        </w:rPr>
        <w:t>)</w:t>
      </w:r>
      <w:r w:rsidRPr="004E7A10">
        <w:rPr>
          <w:rStyle w:val="longtext"/>
          <w:rFonts w:ascii="Garamond" w:hAnsi="Garamond" w:cs="Times New Roman"/>
          <w:color w:val="000000"/>
          <w:sz w:val="21"/>
          <w:szCs w:val="21"/>
          <w:shd w:val="clear" w:color="auto" w:fill="FFFFFF"/>
        </w:rPr>
        <w:t>.</w:t>
      </w:r>
      <w:r w:rsidR="00323ED3" w:rsidRPr="004E7A10">
        <w:rPr>
          <w:rStyle w:val="longtext"/>
          <w:rFonts w:ascii="Garamond" w:hAnsi="Garamond" w:cs="Times New Roman"/>
          <w:color w:val="000000"/>
          <w:sz w:val="21"/>
          <w:szCs w:val="21"/>
          <w:shd w:val="clear" w:color="auto" w:fill="FFFFFF"/>
        </w:rPr>
        <w:t xml:space="preserve"> </w:t>
      </w:r>
    </w:p>
    <w:p w14:paraId="13C24681" w14:textId="77777777" w:rsidR="00677227" w:rsidRPr="004E7A10" w:rsidRDefault="00677227"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Relative to the previous year, the expected </w:t>
      </w:r>
      <w:r w:rsidR="00921056" w:rsidRPr="004E7A10">
        <w:rPr>
          <w:rStyle w:val="longtext"/>
          <w:rFonts w:ascii="Garamond" w:hAnsi="Garamond" w:cs="Times New Roman"/>
          <w:color w:val="000000"/>
          <w:sz w:val="21"/>
          <w:szCs w:val="21"/>
          <w:shd w:val="clear" w:color="auto" w:fill="FFFFFF"/>
        </w:rPr>
        <w:t>prospects for d</w:t>
      </w:r>
      <w:r w:rsidRPr="004E7A10">
        <w:rPr>
          <w:rStyle w:val="longtext"/>
          <w:rFonts w:ascii="Garamond" w:hAnsi="Garamond" w:cs="Times New Roman"/>
          <w:color w:val="000000"/>
          <w:sz w:val="21"/>
          <w:szCs w:val="21"/>
          <w:shd w:val="clear" w:color="auto" w:fill="FFFFFF"/>
        </w:rPr>
        <w:t>eveloped economies</w:t>
      </w:r>
      <w:r w:rsidR="00921056" w:rsidRPr="004E7A10">
        <w:rPr>
          <w:rStyle w:val="longtext"/>
          <w:rFonts w:ascii="Garamond" w:hAnsi="Garamond" w:cs="Times New Roman"/>
          <w:color w:val="000000"/>
          <w:sz w:val="21"/>
          <w:szCs w:val="21"/>
          <w:shd w:val="clear" w:color="auto" w:fill="FFFFFF"/>
        </w:rPr>
        <w:t xml:space="preserve"> have improved</w:t>
      </w:r>
      <w:r w:rsidRPr="004E7A10">
        <w:rPr>
          <w:rStyle w:val="longtext"/>
          <w:rFonts w:ascii="Garamond" w:hAnsi="Garamond" w:cs="Times New Roman"/>
          <w:color w:val="000000"/>
          <w:sz w:val="21"/>
          <w:szCs w:val="21"/>
          <w:shd w:val="clear" w:color="auto" w:fill="FFFFFF"/>
        </w:rPr>
        <w:t>, wh</w:t>
      </w:r>
      <w:r w:rsidR="00921056" w:rsidRPr="004E7A10">
        <w:rPr>
          <w:rStyle w:val="longtext"/>
          <w:rFonts w:ascii="Garamond" w:hAnsi="Garamond" w:cs="Times New Roman"/>
          <w:color w:val="000000"/>
          <w:sz w:val="21"/>
          <w:szCs w:val="21"/>
          <w:shd w:val="clear" w:color="auto" w:fill="FFFFFF"/>
        </w:rPr>
        <w:t>ereas economic growth in developing countries</w:t>
      </w:r>
      <w:r w:rsidRPr="004E7A10">
        <w:rPr>
          <w:rStyle w:val="longtext"/>
          <w:rFonts w:ascii="Garamond" w:hAnsi="Garamond" w:cs="Times New Roman"/>
          <w:color w:val="000000"/>
          <w:sz w:val="21"/>
          <w:szCs w:val="21"/>
          <w:shd w:val="clear" w:color="auto" w:fill="FFFFFF"/>
        </w:rPr>
        <w:t xml:space="preserve"> </w:t>
      </w:r>
      <w:r w:rsidR="00921056" w:rsidRPr="004E7A10">
        <w:rPr>
          <w:rStyle w:val="longtext"/>
          <w:rFonts w:ascii="Garamond" w:hAnsi="Garamond" w:cs="Times New Roman"/>
          <w:color w:val="000000"/>
          <w:sz w:val="21"/>
          <w:szCs w:val="21"/>
          <w:shd w:val="clear" w:color="auto" w:fill="FFFFFF"/>
        </w:rPr>
        <w:t>is</w:t>
      </w:r>
      <w:r w:rsidRPr="004E7A10">
        <w:rPr>
          <w:rStyle w:val="longtext"/>
          <w:rFonts w:ascii="Garamond" w:hAnsi="Garamond" w:cs="Times New Roman"/>
          <w:color w:val="000000"/>
          <w:sz w:val="21"/>
          <w:szCs w:val="21"/>
          <w:shd w:val="clear" w:color="auto" w:fill="FFFFFF"/>
        </w:rPr>
        <w:t xml:space="preserve"> expected to slow down.</w:t>
      </w:r>
    </w:p>
    <w:p w14:paraId="1F177165" w14:textId="77777777" w:rsidR="00A9653E" w:rsidRPr="004E7A10" w:rsidRDefault="00A9653E"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With the global economy </w:t>
      </w:r>
      <w:r w:rsidR="000A6B89" w:rsidRPr="004E7A10">
        <w:rPr>
          <w:rStyle w:val="longtext"/>
          <w:rFonts w:ascii="Garamond" w:hAnsi="Garamond" w:cs="Times New Roman"/>
          <w:color w:val="000000"/>
          <w:sz w:val="21"/>
          <w:szCs w:val="21"/>
          <w:shd w:val="clear" w:color="auto" w:fill="FFFFFF"/>
        </w:rPr>
        <w:t xml:space="preserve">growing at a </w:t>
      </w:r>
      <w:r w:rsidR="00D02419" w:rsidRPr="004E7A10">
        <w:rPr>
          <w:rStyle w:val="longtext"/>
          <w:rFonts w:ascii="Garamond" w:hAnsi="Garamond" w:cs="Times New Roman"/>
          <w:color w:val="000000"/>
          <w:sz w:val="21"/>
          <w:szCs w:val="21"/>
          <w:shd w:val="clear" w:color="auto" w:fill="FFFFFF"/>
        </w:rPr>
        <w:t>slow</w:t>
      </w:r>
      <w:r w:rsidR="000A6B89" w:rsidRPr="004E7A10">
        <w:rPr>
          <w:rStyle w:val="longtext"/>
          <w:rFonts w:ascii="Garamond" w:hAnsi="Garamond" w:cs="Times New Roman"/>
          <w:color w:val="000000"/>
          <w:sz w:val="21"/>
          <w:szCs w:val="21"/>
          <w:shd w:val="clear" w:color="auto" w:fill="FFFFFF"/>
        </w:rPr>
        <w:t xml:space="preserve"> rate, </w:t>
      </w:r>
      <w:r w:rsidR="006F04FC" w:rsidRPr="004E7A10">
        <w:rPr>
          <w:rStyle w:val="longtext"/>
          <w:rFonts w:ascii="Garamond" w:hAnsi="Garamond" w:cs="Times New Roman"/>
          <w:color w:val="000000"/>
          <w:sz w:val="21"/>
          <w:szCs w:val="21"/>
          <w:shd w:val="clear" w:color="auto" w:fill="FFFFFF"/>
        </w:rPr>
        <w:t xml:space="preserve">deflation in </w:t>
      </w:r>
      <w:r w:rsidR="006F04FC" w:rsidRPr="004E7A10">
        <w:rPr>
          <w:rStyle w:val="longtext"/>
          <w:rFonts w:ascii="Garamond" w:hAnsi="Garamond" w:cs="Times New Roman"/>
          <w:b/>
          <w:color w:val="000000"/>
          <w:sz w:val="21"/>
          <w:szCs w:val="21"/>
          <w:shd w:val="clear" w:color="auto" w:fill="FFFFFF"/>
        </w:rPr>
        <w:t xml:space="preserve">world </w:t>
      </w:r>
      <w:r w:rsidR="000A6B89" w:rsidRPr="004E7A10">
        <w:rPr>
          <w:rStyle w:val="longtext"/>
          <w:rFonts w:ascii="Garamond" w:hAnsi="Garamond" w:cs="Times New Roman"/>
          <w:b/>
          <w:color w:val="000000"/>
          <w:sz w:val="21"/>
          <w:szCs w:val="21"/>
          <w:shd w:val="clear" w:color="auto" w:fill="FFFFFF"/>
        </w:rPr>
        <w:t>commodit</w:t>
      </w:r>
      <w:r w:rsidR="006F04FC" w:rsidRPr="004E7A10">
        <w:rPr>
          <w:rStyle w:val="longtext"/>
          <w:rFonts w:ascii="Garamond" w:hAnsi="Garamond" w:cs="Times New Roman"/>
          <w:b/>
          <w:color w:val="000000"/>
          <w:sz w:val="21"/>
          <w:szCs w:val="21"/>
          <w:shd w:val="clear" w:color="auto" w:fill="FFFFFF"/>
        </w:rPr>
        <w:t>y</w:t>
      </w:r>
      <w:r w:rsidR="000A6B89" w:rsidRPr="004E7A10">
        <w:rPr>
          <w:rStyle w:val="longtext"/>
          <w:rFonts w:ascii="Garamond" w:hAnsi="Garamond" w:cs="Times New Roman"/>
          <w:b/>
          <w:color w:val="000000"/>
          <w:sz w:val="21"/>
          <w:szCs w:val="21"/>
          <w:shd w:val="clear" w:color="auto" w:fill="FFFFFF"/>
        </w:rPr>
        <w:t xml:space="preserve"> and food product</w:t>
      </w:r>
      <w:r w:rsidR="006F04FC" w:rsidRPr="004E7A10">
        <w:rPr>
          <w:rStyle w:val="longtext"/>
          <w:rFonts w:ascii="Garamond" w:hAnsi="Garamond" w:cs="Times New Roman"/>
          <w:b/>
          <w:color w:val="000000"/>
          <w:sz w:val="21"/>
          <w:szCs w:val="21"/>
          <w:shd w:val="clear" w:color="auto" w:fill="FFFFFF"/>
        </w:rPr>
        <w:t xml:space="preserve"> </w:t>
      </w:r>
      <w:r w:rsidR="006F04FC" w:rsidRPr="004E7A10">
        <w:rPr>
          <w:rStyle w:val="longtext"/>
          <w:rFonts w:ascii="Garamond" w:hAnsi="Garamond" w:cs="Times New Roman"/>
          <w:color w:val="000000"/>
          <w:sz w:val="21"/>
          <w:szCs w:val="21"/>
          <w:shd w:val="clear" w:color="auto" w:fill="FFFFFF"/>
        </w:rPr>
        <w:t>markets</w:t>
      </w:r>
      <w:r w:rsidR="000A6B89" w:rsidRPr="004E7A10">
        <w:rPr>
          <w:rStyle w:val="longtext"/>
          <w:rFonts w:ascii="Garamond" w:hAnsi="Garamond" w:cs="Times New Roman"/>
          <w:b/>
          <w:color w:val="000000"/>
          <w:sz w:val="21"/>
          <w:szCs w:val="21"/>
          <w:shd w:val="clear" w:color="auto" w:fill="FFFFFF"/>
        </w:rPr>
        <w:t xml:space="preserve"> </w:t>
      </w:r>
      <w:r w:rsidR="006F04FC" w:rsidRPr="004E7A10">
        <w:rPr>
          <w:rStyle w:val="longtext"/>
          <w:rFonts w:ascii="Garamond" w:hAnsi="Garamond" w:cs="Times New Roman"/>
          <w:color w:val="000000"/>
          <w:sz w:val="21"/>
          <w:szCs w:val="21"/>
          <w:shd w:val="clear" w:color="auto" w:fill="FFFFFF"/>
        </w:rPr>
        <w:t xml:space="preserve">will continue up until mid-2015, yet </w:t>
      </w:r>
      <w:r w:rsidR="000A6B89" w:rsidRPr="004E7A10">
        <w:rPr>
          <w:rStyle w:val="longtext"/>
          <w:rFonts w:ascii="Garamond" w:hAnsi="Garamond" w:cs="Times New Roman"/>
          <w:color w:val="000000"/>
          <w:sz w:val="21"/>
          <w:szCs w:val="21"/>
          <w:shd w:val="clear" w:color="auto" w:fill="FFFFFF"/>
        </w:rPr>
        <w:t xml:space="preserve">some signs of recovery </w:t>
      </w:r>
      <w:r w:rsidR="006F04FC" w:rsidRPr="004E7A10">
        <w:rPr>
          <w:rStyle w:val="longtext"/>
          <w:rFonts w:ascii="Garamond" w:hAnsi="Garamond" w:cs="Times New Roman"/>
          <w:color w:val="000000"/>
          <w:sz w:val="21"/>
          <w:szCs w:val="21"/>
          <w:shd w:val="clear" w:color="auto" w:fill="FFFFFF"/>
        </w:rPr>
        <w:t xml:space="preserve">are anticipated in the forecast horizon as production and supply reduce to a certain extent driven by lower prices and the global demand rebounds slowly. </w:t>
      </w:r>
      <w:r w:rsidRPr="004E7A10">
        <w:rPr>
          <w:rStyle w:val="longtext"/>
          <w:rFonts w:ascii="Garamond" w:hAnsi="Garamond" w:cs="Times New Roman"/>
          <w:color w:val="000000"/>
          <w:sz w:val="21"/>
          <w:szCs w:val="21"/>
          <w:shd w:val="clear" w:color="auto" w:fill="FFFFFF"/>
        </w:rPr>
        <w:t xml:space="preserve">In the meantime, individual commodity markets are predicted to develop under the influence of fundamental factors inherent in any such markets. </w:t>
      </w:r>
      <w:r w:rsidR="000A6B89" w:rsidRPr="004E7A10">
        <w:rPr>
          <w:rStyle w:val="longtext"/>
          <w:rFonts w:ascii="Garamond" w:hAnsi="Garamond" w:cs="Times New Roman"/>
          <w:color w:val="000000"/>
          <w:sz w:val="21"/>
          <w:szCs w:val="21"/>
          <w:shd w:val="clear" w:color="auto" w:fill="FFFFFF"/>
        </w:rPr>
        <w:t>Specifically, r</w:t>
      </w:r>
      <w:r w:rsidRPr="004E7A10">
        <w:rPr>
          <w:rStyle w:val="longtext"/>
          <w:rFonts w:ascii="Garamond" w:hAnsi="Garamond" w:cs="Times New Roman"/>
          <w:color w:val="000000"/>
          <w:sz w:val="21"/>
          <w:szCs w:val="21"/>
          <w:shd w:val="clear" w:color="auto" w:fill="FFFFFF"/>
        </w:rPr>
        <w:t xml:space="preserve">isks associated with energy price developments will be determined by geopolitical events, whereas prices of food products will depend on weather conditions.   </w:t>
      </w:r>
    </w:p>
    <w:p w14:paraId="616601D0" w14:textId="77777777" w:rsidR="00E54B30" w:rsidRPr="004E7A10" w:rsidRDefault="006F04FC"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Risks to the further pace of the global economy remain essential yet they have become more balanced relative to former </w:t>
      </w:r>
      <w:r w:rsidR="00CE7857" w:rsidRPr="004E7A10">
        <w:rPr>
          <w:rFonts w:ascii="Garamond" w:hAnsi="Garamond" w:cs="Times New Roman"/>
          <w:sz w:val="21"/>
          <w:szCs w:val="21"/>
        </w:rPr>
        <w:t xml:space="preserve">prediction. Thus, the international prices of raw materials and food products staying at a low level will provide positive effects in terms of global demand. Risks to economic developments in Russia mostly relate to further and lasting recession associated with risks to even stricter economic sanctions and more capital outflow. </w:t>
      </w:r>
    </w:p>
    <w:p w14:paraId="21606567" w14:textId="77777777" w:rsidR="00E54B30" w:rsidRPr="004E7A10" w:rsidRDefault="00E54B30"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Downside risks to economic growth in the Eurozone are still noteworthy, which is due to a slowing pace of structural reforms and geopolitical developments in member states. </w:t>
      </w:r>
    </w:p>
    <w:p w14:paraId="0A1ED5EC" w14:textId="77777777" w:rsidR="006F04FC" w:rsidRDefault="006F04FC" w:rsidP="006F04FC">
      <w:pPr>
        <w:spacing w:line="360" w:lineRule="auto"/>
        <w:jc w:val="both"/>
        <w:rPr>
          <w:rFonts w:ascii="Garamond" w:hAnsi="Garamond" w:cs="Times New Roman"/>
          <w:sz w:val="21"/>
          <w:szCs w:val="21"/>
        </w:rPr>
      </w:pPr>
      <w:r w:rsidRPr="004E7A10">
        <w:rPr>
          <w:rFonts w:ascii="Garamond" w:hAnsi="Garamond" w:cs="Times New Roman"/>
          <w:sz w:val="21"/>
          <w:szCs w:val="21"/>
        </w:rPr>
        <w:lastRenderedPageBreak/>
        <w:t>As the global economy rebounds and economic growth in Armenia</w:t>
      </w:r>
      <w:r w:rsidR="00076A60" w:rsidRPr="004E7A10">
        <w:rPr>
          <w:rFonts w:ascii="Garamond" w:hAnsi="Garamond" w:cs="Times New Roman"/>
          <w:sz w:val="21"/>
          <w:szCs w:val="21"/>
        </w:rPr>
        <w:t>’</w:t>
      </w:r>
      <w:r w:rsidRPr="004E7A10">
        <w:rPr>
          <w:rFonts w:ascii="Garamond" w:hAnsi="Garamond" w:cs="Times New Roman"/>
          <w:sz w:val="21"/>
          <w:szCs w:val="21"/>
        </w:rPr>
        <w:t>s main trade partner</w:t>
      </w:r>
      <w:r w:rsidR="00076A60" w:rsidRPr="004E7A10">
        <w:rPr>
          <w:rFonts w:ascii="Garamond" w:hAnsi="Garamond" w:cs="Times New Roman"/>
          <w:sz w:val="21"/>
          <w:szCs w:val="21"/>
        </w:rPr>
        <w:t>s</w:t>
      </w:r>
      <w:r w:rsidRPr="004E7A10">
        <w:rPr>
          <w:rFonts w:ascii="Garamond" w:hAnsi="Garamond" w:cs="Times New Roman"/>
          <w:sz w:val="21"/>
          <w:szCs w:val="21"/>
        </w:rPr>
        <w:t xml:space="preserve"> gradually accelerates in </w:t>
      </w:r>
      <w:r w:rsidR="00076A60" w:rsidRPr="004E7A10">
        <w:rPr>
          <w:rFonts w:ascii="Garamond" w:hAnsi="Garamond" w:cs="Times New Roman"/>
          <w:sz w:val="21"/>
          <w:szCs w:val="21"/>
        </w:rPr>
        <w:t xml:space="preserve">the </w:t>
      </w:r>
      <w:r w:rsidRPr="004E7A10">
        <w:rPr>
          <w:rFonts w:ascii="Garamond" w:hAnsi="Garamond" w:cs="Times New Roman"/>
          <w:sz w:val="21"/>
          <w:szCs w:val="21"/>
        </w:rPr>
        <w:t xml:space="preserve">medium run, a steady price rise in international commodities and food products markets as well as </w:t>
      </w:r>
      <w:r w:rsidR="00326517" w:rsidRPr="004E7A10">
        <w:rPr>
          <w:rFonts w:ascii="Garamond" w:hAnsi="Garamond" w:cs="Times New Roman"/>
          <w:sz w:val="21"/>
          <w:szCs w:val="21"/>
        </w:rPr>
        <w:t xml:space="preserve">trends of some appreciation and </w:t>
      </w:r>
      <w:r w:rsidRPr="004E7A10">
        <w:rPr>
          <w:rFonts w:ascii="Garamond" w:hAnsi="Garamond" w:cs="Times New Roman"/>
          <w:sz w:val="21"/>
          <w:szCs w:val="21"/>
        </w:rPr>
        <w:t>relative stabilization of exchange rates will transmit positive effects on</w:t>
      </w:r>
      <w:r w:rsidR="00076A60" w:rsidRPr="004E7A10">
        <w:rPr>
          <w:rFonts w:ascii="Garamond" w:hAnsi="Garamond" w:cs="Times New Roman"/>
          <w:sz w:val="21"/>
          <w:szCs w:val="21"/>
        </w:rPr>
        <w:t xml:space="preserve"> </w:t>
      </w:r>
      <w:r w:rsidRPr="004E7A10">
        <w:rPr>
          <w:rFonts w:ascii="Garamond" w:hAnsi="Garamond" w:cs="Times New Roman"/>
          <w:sz w:val="21"/>
          <w:szCs w:val="21"/>
        </w:rPr>
        <w:t>to the Armenian economy.</w:t>
      </w:r>
    </w:p>
    <w:tbl>
      <w:tblPr>
        <w:tblStyle w:val="TableGrid"/>
        <w:tblW w:w="0" w:type="auto"/>
        <w:tblLook w:val="04A0" w:firstRow="1" w:lastRow="0" w:firstColumn="1" w:lastColumn="0" w:noHBand="0" w:noVBand="1"/>
      </w:tblPr>
      <w:tblGrid>
        <w:gridCol w:w="8613"/>
      </w:tblGrid>
      <w:tr w:rsidR="00E902CD" w14:paraId="45A07BFC" w14:textId="77777777" w:rsidTr="002B1E43">
        <w:tc>
          <w:tcPr>
            <w:tcW w:w="8613" w:type="dxa"/>
          </w:tcPr>
          <w:p w14:paraId="5C01665F" w14:textId="77777777" w:rsidR="00E902CD" w:rsidRPr="004E7A10" w:rsidRDefault="00E902CD" w:rsidP="00E902CD">
            <w:pPr>
              <w:spacing w:line="360" w:lineRule="auto"/>
              <w:jc w:val="both"/>
              <w:rPr>
                <w:rFonts w:ascii="Garamond" w:hAnsi="Garamond"/>
                <w:b/>
                <w:sz w:val="21"/>
                <w:szCs w:val="21"/>
              </w:rPr>
            </w:pPr>
            <w:r w:rsidRPr="004E7A10">
              <w:rPr>
                <w:rFonts w:ascii="Garamond" w:hAnsi="Garamond"/>
                <w:b/>
                <w:sz w:val="21"/>
                <w:szCs w:val="21"/>
              </w:rPr>
              <w:t xml:space="preserve">Box 1 </w:t>
            </w:r>
          </w:p>
          <w:p w14:paraId="3CC127B9" w14:textId="77777777" w:rsidR="00E902CD" w:rsidRPr="004E7A10" w:rsidRDefault="00E902CD" w:rsidP="00E902CD">
            <w:pPr>
              <w:spacing w:line="360" w:lineRule="auto"/>
              <w:jc w:val="both"/>
              <w:rPr>
                <w:rFonts w:ascii="Garamond" w:hAnsi="Garamond"/>
                <w:b/>
                <w:sz w:val="21"/>
                <w:szCs w:val="21"/>
              </w:rPr>
            </w:pPr>
            <w:r w:rsidRPr="004E7A10">
              <w:rPr>
                <w:rFonts w:ascii="Garamond" w:hAnsi="Garamond"/>
                <w:b/>
                <w:sz w:val="21"/>
                <w:szCs w:val="21"/>
              </w:rPr>
              <w:t>Developments in commodities markets in the forecast horizon</w:t>
            </w:r>
          </w:p>
          <w:p w14:paraId="591DBC8C" w14:textId="77777777" w:rsidR="00E902CD" w:rsidRPr="00E902CD" w:rsidRDefault="00E902CD" w:rsidP="00E902CD">
            <w:pPr>
              <w:spacing w:line="360" w:lineRule="auto"/>
              <w:jc w:val="both"/>
              <w:rPr>
                <w:rFonts w:ascii="Garamond" w:hAnsi="Garamond"/>
                <w:sz w:val="21"/>
                <w:szCs w:val="21"/>
              </w:rPr>
            </w:pPr>
            <w:r w:rsidRPr="00E902CD">
              <w:rPr>
                <w:rFonts w:ascii="Garamond" w:hAnsi="Garamond"/>
                <w:sz w:val="21"/>
                <w:szCs w:val="21"/>
              </w:rPr>
              <w:t>The OPEC April 2015</w:t>
            </w:r>
            <w:r w:rsidRPr="00E902CD">
              <w:rPr>
                <w:rFonts w:ascii="Garamond" w:hAnsi="Garamond"/>
                <w:sz w:val="21"/>
                <w:szCs w:val="21"/>
                <w:lang w:val="hy-AM"/>
              </w:rPr>
              <w:t xml:space="preserve"> </w:t>
            </w:r>
            <w:r w:rsidRPr="00E902CD">
              <w:rPr>
                <w:rFonts w:ascii="Garamond" w:hAnsi="Garamond"/>
                <w:sz w:val="21"/>
                <w:szCs w:val="21"/>
              </w:rPr>
              <w:t xml:space="preserve">report of the oil market predicts that the global oil demand will grow in 2015 by 1.17 million b/d and consumption will reach 92.45 million b/d. In 2015, oil production outside OPEC is predicted to grow by 0.68 million b/d compared to the growth of 0.18 million b/d last year, while oil production by OPEC will grow by 0.19 million b/d against the growth of 0.18 million b/d the year before. Though oil prices are expected to remain low in the short run and capital investment in the oil industry is starting to slacken, the inflation environment will incur these effects only in the medium term perspective. At the same time, there were further </w:t>
            </w:r>
            <w:r w:rsidRPr="00E902CD">
              <w:rPr>
                <w:rFonts w:ascii="Garamond" w:hAnsi="Garamond"/>
                <w:sz w:val="21"/>
                <w:szCs w:val="21"/>
                <w:lang w:val="hy-AM"/>
              </w:rPr>
              <w:t xml:space="preserve">uncertainties in oil product markets </w:t>
            </w:r>
            <w:r w:rsidRPr="00E902CD">
              <w:rPr>
                <w:rFonts w:ascii="Garamond" w:hAnsi="Garamond"/>
                <w:sz w:val="21"/>
                <w:szCs w:val="21"/>
              </w:rPr>
              <w:t xml:space="preserve">associated with oil producers’ decisions about extraction volumes as well as geopolitical developments.  </w:t>
            </w:r>
          </w:p>
          <w:p w14:paraId="64D7269E" w14:textId="77777777" w:rsidR="00E902CD" w:rsidRPr="00E902CD" w:rsidRDefault="00E902CD" w:rsidP="00E902CD">
            <w:pPr>
              <w:spacing w:line="360" w:lineRule="auto"/>
              <w:jc w:val="both"/>
              <w:rPr>
                <w:rFonts w:ascii="Garamond" w:hAnsi="Garamond"/>
                <w:sz w:val="21"/>
                <w:szCs w:val="21"/>
              </w:rPr>
            </w:pPr>
            <w:r w:rsidRPr="00E902CD">
              <w:rPr>
                <w:rFonts w:ascii="Garamond" w:hAnsi="Garamond"/>
                <w:sz w:val="21"/>
                <w:szCs w:val="21"/>
              </w:rPr>
              <w:t xml:space="preserve">In base metals markets, prices are expected to grow unhurriedly amidst slowing of potential economic growth in China and a slow pace of global economic growth. </w:t>
            </w:r>
          </w:p>
          <w:p w14:paraId="2CF15A7C" w14:textId="77777777" w:rsidR="00E902CD" w:rsidRPr="00E902CD" w:rsidRDefault="00E902CD" w:rsidP="00E902CD">
            <w:pPr>
              <w:spacing w:line="360" w:lineRule="auto"/>
              <w:jc w:val="both"/>
              <w:rPr>
                <w:rFonts w:ascii="Garamond" w:hAnsi="Garamond"/>
                <w:color w:val="000000"/>
                <w:sz w:val="21"/>
                <w:szCs w:val="21"/>
              </w:rPr>
            </w:pPr>
            <w:r w:rsidRPr="00E902CD">
              <w:rPr>
                <w:rFonts w:ascii="Garamond" w:hAnsi="Garamond"/>
                <w:sz w:val="21"/>
                <w:szCs w:val="21"/>
              </w:rPr>
              <w:t xml:space="preserve">According to April </w:t>
            </w:r>
            <w:r w:rsidRPr="00E902CD">
              <w:rPr>
                <w:rFonts w:ascii="Garamond" w:hAnsi="Garamond"/>
                <w:color w:val="000000"/>
                <w:sz w:val="21"/>
                <w:szCs w:val="21"/>
              </w:rPr>
              <w:t xml:space="preserve">estimates of the U.S. Department of Agriculture, in the 2014/2015 marketing year some 726.5 million tons of wheat crops is expected (the volume of crop has increased by about 9.7 million tons in comparison with the previous year). The wheat stock will amount to 199 million tons in 2015, which will represent roughly 11.0% (20.0 million tons) increase in relation to 2014. Positive developments with wheat production will be observed in all producer regions. In the short-term perspective, wheat prices will trend down due to a lag in demand in expectation of increased production volumes and deflationary patterns. </w:t>
            </w:r>
          </w:p>
          <w:p w14:paraId="42290DC8" w14:textId="77777777" w:rsidR="00E902CD" w:rsidRPr="00E902CD" w:rsidRDefault="00E902CD" w:rsidP="00E902CD">
            <w:pPr>
              <w:spacing w:line="360" w:lineRule="auto"/>
              <w:jc w:val="both"/>
              <w:rPr>
                <w:rFonts w:ascii="Garamond" w:hAnsi="Garamond"/>
                <w:color w:val="000000"/>
                <w:sz w:val="21"/>
                <w:szCs w:val="21"/>
              </w:rPr>
            </w:pPr>
            <w:r w:rsidRPr="00E902CD">
              <w:rPr>
                <w:rFonts w:ascii="Garamond" w:hAnsi="Garamond"/>
                <w:color w:val="000000"/>
                <w:sz w:val="21"/>
                <w:szCs w:val="21"/>
              </w:rPr>
              <w:t xml:space="preserve">In the 2014/2015 marketing year, world production of rice will reach 474.6 million tons (about 2.28 million tons less compared to the previous year). According to the Food and Agriculture Organization data, the world rice stock will amount to 176 million tons in 2015, with a y/y decrease of 0.8%. Despite an expected reduction in rice production, the slowing of demand in the short run will result in the falling of the rice price. </w:t>
            </w:r>
          </w:p>
          <w:p w14:paraId="3C02771E" w14:textId="77777777" w:rsidR="00E902CD" w:rsidRDefault="00E902CD" w:rsidP="00E902CD">
            <w:pPr>
              <w:spacing w:line="360" w:lineRule="auto"/>
              <w:jc w:val="both"/>
              <w:rPr>
                <w:rFonts w:ascii="Garamond" w:hAnsi="Garamond"/>
                <w:sz w:val="21"/>
                <w:szCs w:val="21"/>
              </w:rPr>
            </w:pPr>
            <w:r w:rsidRPr="00E902CD">
              <w:rPr>
                <w:rFonts w:ascii="Garamond" w:hAnsi="Garamond"/>
                <w:sz w:val="21"/>
                <w:szCs w:val="21"/>
              </w:rPr>
              <w:t>Brazil, a leading sugar producer and exporter, expects high cane crops in 2015, which will lead to a short-term decrease in international sugar prices. The Brazilian real depreciating against the U.S. dollar will in turn contribute to the deflationary environment.</w:t>
            </w:r>
          </w:p>
        </w:tc>
      </w:tr>
    </w:tbl>
    <w:p w14:paraId="38C15454" w14:textId="77777777" w:rsidR="00A9653E" w:rsidRPr="004E7A10" w:rsidRDefault="004E7A10" w:rsidP="00A9653E">
      <w:pPr>
        <w:spacing w:line="360" w:lineRule="auto"/>
        <w:jc w:val="both"/>
        <w:rPr>
          <w:rFonts w:ascii="Garamond" w:hAnsi="Garamond" w:cs="Times New Roman"/>
          <w:i/>
          <w:color w:val="000000"/>
          <w:sz w:val="21"/>
          <w:szCs w:val="21"/>
        </w:rPr>
      </w:pPr>
      <w:r w:rsidRPr="00E902CD">
        <w:rPr>
          <w:rFonts w:ascii="Garamond" w:hAnsi="Garamond" w:cs="Times New Roman"/>
          <w:sz w:val="21"/>
          <w:szCs w:val="21"/>
        </w:rPr>
        <w:t xml:space="preserve"> </w:t>
      </w:r>
    </w:p>
    <w:p w14:paraId="6BCCF5ED" w14:textId="77777777" w:rsidR="00A9653E" w:rsidRPr="004E7A10" w:rsidRDefault="00A9653E" w:rsidP="00A9653E">
      <w:pPr>
        <w:spacing w:line="360" w:lineRule="auto"/>
        <w:jc w:val="both"/>
        <w:rPr>
          <w:rFonts w:ascii="Garamond" w:hAnsi="Garamond" w:cs="Times New Roman"/>
          <w:b/>
          <w:sz w:val="21"/>
          <w:szCs w:val="21"/>
          <w:lang w:val="hy-AM"/>
        </w:rPr>
      </w:pPr>
      <w:r w:rsidRPr="004E7A10">
        <w:rPr>
          <w:rFonts w:ascii="Garamond" w:hAnsi="Garamond" w:cs="Times New Roman"/>
          <w:b/>
          <w:sz w:val="21"/>
          <w:szCs w:val="21"/>
        </w:rPr>
        <w:t>2.2 Aggregate supply and Aggregate demand</w:t>
      </w:r>
      <w:r w:rsidR="0037541B" w:rsidRPr="004E7A10">
        <w:rPr>
          <w:rFonts w:ascii="Garamond" w:hAnsi="Garamond" w:cs="Times New Roman"/>
          <w:b/>
          <w:sz w:val="21"/>
          <w:szCs w:val="21"/>
          <w:lang w:val="hy-AM"/>
        </w:rPr>
        <w:t xml:space="preserve"> </w:t>
      </w:r>
    </w:p>
    <w:p w14:paraId="31037604"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Aggregate supply</w:t>
      </w:r>
    </w:p>
    <w:p w14:paraId="6CD34719" w14:textId="77777777" w:rsidR="00D776E5" w:rsidRPr="00CB66BC" w:rsidRDefault="007B26E1" w:rsidP="00A9653E">
      <w:pPr>
        <w:spacing w:line="360" w:lineRule="auto"/>
        <w:jc w:val="both"/>
        <w:rPr>
          <w:rFonts w:ascii="Garamond" w:hAnsi="Garamond" w:cs="Times New Roman"/>
          <w:b/>
          <w:bCs/>
          <w:iCs/>
          <w:color w:val="0070C0"/>
          <w:sz w:val="18"/>
          <w:szCs w:val="18"/>
        </w:rPr>
      </w:pPr>
      <w:r w:rsidRPr="00CB66BC">
        <w:rPr>
          <w:rFonts w:ascii="Garamond" w:hAnsi="Garamond" w:cs="Times New Roman"/>
          <w:b/>
          <w:bCs/>
          <w:iCs/>
          <w:color w:val="0070C0"/>
          <w:sz w:val="18"/>
          <w:szCs w:val="18"/>
        </w:rPr>
        <w:lastRenderedPageBreak/>
        <w:t>The 201</w:t>
      </w:r>
      <w:r w:rsidR="00CB66BC" w:rsidRPr="00CB66BC">
        <w:rPr>
          <w:rFonts w:ascii="Garamond" w:hAnsi="Garamond" w:cs="Times New Roman"/>
          <w:b/>
          <w:bCs/>
          <w:iCs/>
          <w:color w:val="0070C0"/>
          <w:sz w:val="18"/>
          <w:szCs w:val="18"/>
        </w:rPr>
        <w:t>5</w:t>
      </w:r>
      <w:r w:rsidRPr="00CB66BC">
        <w:rPr>
          <w:rFonts w:ascii="Garamond" w:hAnsi="Garamond" w:cs="Times New Roman"/>
          <w:b/>
          <w:bCs/>
          <w:iCs/>
          <w:color w:val="0070C0"/>
          <w:sz w:val="18"/>
          <w:szCs w:val="18"/>
        </w:rPr>
        <w:t xml:space="preserve"> e</w:t>
      </w:r>
      <w:r w:rsidR="00D776E5" w:rsidRPr="00CB66BC">
        <w:rPr>
          <w:rFonts w:ascii="Garamond" w:hAnsi="Garamond" w:cs="Times New Roman"/>
          <w:b/>
          <w:bCs/>
          <w:iCs/>
          <w:color w:val="0070C0"/>
          <w:sz w:val="18"/>
          <w:szCs w:val="18"/>
        </w:rPr>
        <w:t xml:space="preserve">conomic </w:t>
      </w:r>
      <w:r w:rsidR="00CB66BC" w:rsidRPr="00CB66BC">
        <w:rPr>
          <w:rFonts w:ascii="Garamond" w:hAnsi="Garamond" w:cs="Times New Roman"/>
          <w:b/>
          <w:color w:val="0070C0"/>
          <w:sz w:val="18"/>
          <w:szCs w:val="18"/>
        </w:rPr>
        <w:t>growth is anticipated in the range of 1.6%-2.6%</w:t>
      </w:r>
      <w:r w:rsidR="00D776E5" w:rsidRPr="00CB66BC">
        <w:rPr>
          <w:rFonts w:ascii="Garamond" w:hAnsi="Garamond" w:cs="Times New Roman"/>
          <w:b/>
          <w:bCs/>
          <w:iCs/>
          <w:color w:val="0070C0"/>
          <w:sz w:val="18"/>
          <w:szCs w:val="18"/>
        </w:rPr>
        <w:t>...</w:t>
      </w:r>
    </w:p>
    <w:p w14:paraId="005B8D83" w14:textId="6B5D888E" w:rsidR="00D55378" w:rsidRDefault="004E7A10" w:rsidP="00A9653E">
      <w:pPr>
        <w:spacing w:line="360" w:lineRule="auto"/>
        <w:jc w:val="both"/>
        <w:rPr>
          <w:rFonts w:ascii="Garamond" w:hAnsi="Garamond" w:cs="Times New Roman"/>
          <w:sz w:val="21"/>
          <w:szCs w:val="21"/>
        </w:rPr>
      </w:pPr>
      <w:r>
        <w:rPr>
          <w:rFonts w:ascii="Garamond" w:hAnsi="Garamond" w:cs="Times New Roman"/>
          <w:bCs/>
          <w:iCs/>
          <w:sz w:val="21"/>
          <w:szCs w:val="21"/>
        </w:rPr>
        <w:t>Economic growth forecasts for 2015 were revised slightly upside</w:t>
      </w:r>
      <w:r w:rsidR="00DA7542">
        <w:rPr>
          <w:rFonts w:ascii="Garamond" w:hAnsi="Garamond" w:cs="Times New Roman"/>
          <w:bCs/>
          <w:iCs/>
          <w:sz w:val="21"/>
          <w:szCs w:val="21"/>
        </w:rPr>
        <w:t xml:space="preserve">, driven mainly by </w:t>
      </w:r>
      <w:r w:rsidR="00DA7542" w:rsidRPr="004E7A10">
        <w:rPr>
          <w:rFonts w:ascii="Garamond" w:hAnsi="Garamond" w:cs="Times New Roman"/>
          <w:sz w:val="21"/>
          <w:szCs w:val="21"/>
        </w:rPr>
        <w:t>loosen</w:t>
      </w:r>
      <w:r w:rsidR="00DA7542">
        <w:rPr>
          <w:rFonts w:ascii="Garamond" w:hAnsi="Garamond" w:cs="Times New Roman"/>
          <w:sz w:val="21"/>
          <w:szCs w:val="21"/>
        </w:rPr>
        <w:t>ed</w:t>
      </w:r>
      <w:r w:rsidR="00DA7542" w:rsidRPr="004E7A10">
        <w:rPr>
          <w:rFonts w:ascii="Garamond" w:hAnsi="Garamond" w:cs="Times New Roman"/>
          <w:sz w:val="21"/>
          <w:szCs w:val="21"/>
        </w:rPr>
        <w:t xml:space="preserve"> monetary conditions in the 1st quarter, more stimulating fiscal policy implementation and positive developments in agriculture</w:t>
      </w:r>
      <w:r>
        <w:rPr>
          <w:rFonts w:ascii="Garamond" w:hAnsi="Garamond" w:cs="Times New Roman"/>
          <w:bCs/>
          <w:iCs/>
          <w:sz w:val="21"/>
          <w:szCs w:val="21"/>
        </w:rPr>
        <w:t>.</w:t>
      </w:r>
      <w:r w:rsidR="00D14F6F" w:rsidRPr="004E7A10">
        <w:rPr>
          <w:rFonts w:ascii="Garamond" w:hAnsi="Garamond" w:cs="Times New Roman"/>
          <w:bCs/>
          <w:iCs/>
          <w:sz w:val="21"/>
          <w:szCs w:val="21"/>
        </w:rPr>
        <w:t xml:space="preserve"> </w:t>
      </w:r>
      <w:r w:rsidR="00DA7542" w:rsidRPr="004E7A10">
        <w:rPr>
          <w:rFonts w:ascii="Garamond" w:hAnsi="Garamond" w:cs="Times New Roman"/>
          <w:sz w:val="21"/>
          <w:szCs w:val="21"/>
        </w:rPr>
        <w:t xml:space="preserve">As a result, </w:t>
      </w:r>
      <w:r w:rsidR="00D63985">
        <w:rPr>
          <w:rFonts w:ascii="Garamond" w:hAnsi="Garamond" w:cs="Times New Roman"/>
          <w:sz w:val="21"/>
          <w:szCs w:val="21"/>
        </w:rPr>
        <w:t xml:space="preserve">economic growth in 2015 is anticipated </w:t>
      </w:r>
      <w:r w:rsidR="00D63985" w:rsidRPr="00EE2046">
        <w:rPr>
          <w:rFonts w:ascii="Garamond" w:hAnsi="Garamond" w:cs="Times New Roman"/>
          <w:b/>
          <w:sz w:val="21"/>
          <w:szCs w:val="21"/>
        </w:rPr>
        <w:t xml:space="preserve">in the range of </w:t>
      </w:r>
      <w:r w:rsidR="00DA7542" w:rsidRPr="00EE2046">
        <w:rPr>
          <w:rFonts w:ascii="Garamond" w:hAnsi="Garamond" w:cs="Times New Roman"/>
          <w:b/>
          <w:sz w:val="21"/>
          <w:szCs w:val="21"/>
        </w:rPr>
        <w:t>1.6%-2.6%</w:t>
      </w:r>
      <w:r w:rsidR="00EE2046" w:rsidRPr="00EE2046">
        <w:rPr>
          <w:rStyle w:val="FootnoteReference"/>
          <w:rFonts w:ascii="Garamond" w:hAnsi="Garamond" w:cs="Times New Roman"/>
          <w:b/>
          <w:sz w:val="21"/>
          <w:szCs w:val="21"/>
        </w:rPr>
        <w:footnoteReference w:customMarkFollows="1" w:id="3"/>
        <w:t>3</w:t>
      </w:r>
      <w:r w:rsidR="00D63985">
        <w:rPr>
          <w:rFonts w:ascii="Garamond" w:hAnsi="Garamond" w:cs="Times New Roman"/>
          <w:sz w:val="21"/>
          <w:szCs w:val="21"/>
        </w:rPr>
        <w:t xml:space="preserve">. </w:t>
      </w:r>
      <w:r w:rsidR="00EE2046">
        <w:rPr>
          <w:rFonts w:ascii="Garamond" w:hAnsi="Garamond" w:cs="Times New Roman"/>
          <w:sz w:val="21"/>
          <w:szCs w:val="21"/>
        </w:rPr>
        <w:t>It should be noted however that</w:t>
      </w:r>
      <w:r w:rsidR="00D55378">
        <w:rPr>
          <w:rFonts w:ascii="Garamond" w:hAnsi="Garamond" w:cs="Times New Roman"/>
          <w:sz w:val="21"/>
          <w:szCs w:val="21"/>
        </w:rPr>
        <w:t xml:space="preserve"> slow global economic growth rates are maintained, Armenia’s domestic demand is still sluggish and international ore and mineral prices persist at their low</w:t>
      </w:r>
      <w:r w:rsidR="0039065A">
        <w:rPr>
          <w:rFonts w:ascii="Garamond" w:hAnsi="Garamond" w:cs="Times New Roman"/>
          <w:sz w:val="21"/>
          <w:szCs w:val="21"/>
        </w:rPr>
        <w:t xml:space="preserve"> levels.</w:t>
      </w:r>
    </w:p>
    <w:p w14:paraId="53507EC8" w14:textId="77777777" w:rsidR="00CB66BC" w:rsidRPr="007507BB" w:rsidRDefault="007D1974" w:rsidP="00A9653E">
      <w:pPr>
        <w:spacing w:line="360" w:lineRule="auto"/>
        <w:jc w:val="both"/>
        <w:rPr>
          <w:rFonts w:ascii="Garamond" w:hAnsi="Garamond" w:cs="Times New Roman"/>
          <w:b/>
          <w:bCs/>
          <w:iCs/>
          <w:color w:val="0070C0"/>
          <w:sz w:val="18"/>
          <w:szCs w:val="18"/>
        </w:rPr>
      </w:pPr>
      <w:r>
        <w:rPr>
          <w:rFonts w:ascii="Garamond" w:hAnsi="Garamond" w:cs="Times New Roman"/>
          <w:b/>
          <w:bCs/>
          <w:iCs/>
          <w:color w:val="0070C0"/>
          <w:sz w:val="18"/>
          <w:szCs w:val="18"/>
        </w:rPr>
        <w:t>Starting</w:t>
      </w:r>
      <w:r w:rsidR="0039065A">
        <w:rPr>
          <w:rFonts w:ascii="Garamond" w:hAnsi="Garamond" w:cs="Times New Roman"/>
          <w:b/>
          <w:bCs/>
          <w:iCs/>
          <w:color w:val="0070C0"/>
          <w:sz w:val="18"/>
          <w:szCs w:val="18"/>
        </w:rPr>
        <w:t xml:space="preserve"> from</w:t>
      </w:r>
      <w:r>
        <w:rPr>
          <w:rFonts w:ascii="Garamond" w:hAnsi="Garamond" w:cs="Times New Roman"/>
          <w:b/>
          <w:bCs/>
          <w:iCs/>
          <w:color w:val="0070C0"/>
          <w:sz w:val="18"/>
          <w:szCs w:val="18"/>
        </w:rPr>
        <w:t xml:space="preserve"> 2017, the e</w:t>
      </w:r>
      <w:r w:rsidR="00CB66BC" w:rsidRPr="007507BB">
        <w:rPr>
          <w:rFonts w:ascii="Garamond" w:hAnsi="Garamond" w:cs="Times New Roman"/>
          <w:b/>
          <w:bCs/>
          <w:iCs/>
          <w:color w:val="0070C0"/>
          <w:sz w:val="18"/>
          <w:szCs w:val="18"/>
        </w:rPr>
        <w:t xml:space="preserve">conomic growth is predicted to </w:t>
      </w:r>
      <w:r w:rsidR="007507BB" w:rsidRPr="007507BB">
        <w:rPr>
          <w:rFonts w:ascii="Garamond" w:hAnsi="Garamond" w:cs="Times New Roman"/>
          <w:b/>
          <w:bCs/>
          <w:iCs/>
          <w:color w:val="0070C0"/>
          <w:sz w:val="18"/>
          <w:szCs w:val="18"/>
        </w:rPr>
        <w:t xml:space="preserve">accelerate </w:t>
      </w:r>
      <w:r w:rsidR="00AD5110">
        <w:rPr>
          <w:rFonts w:ascii="Garamond" w:hAnsi="Garamond" w:cs="Times New Roman"/>
          <w:b/>
          <w:bCs/>
          <w:iCs/>
          <w:color w:val="0070C0"/>
          <w:sz w:val="18"/>
          <w:szCs w:val="18"/>
        </w:rPr>
        <w:t xml:space="preserve">to </w:t>
      </w:r>
      <w:r w:rsidR="004D1738">
        <w:rPr>
          <w:rFonts w:ascii="Garamond" w:hAnsi="Garamond" w:cs="Times New Roman"/>
          <w:b/>
          <w:bCs/>
          <w:iCs/>
          <w:color w:val="0070C0"/>
          <w:sz w:val="18"/>
          <w:szCs w:val="18"/>
        </w:rPr>
        <w:t>be in a</w:t>
      </w:r>
      <w:r w:rsidR="00CB66BC" w:rsidRPr="007507BB">
        <w:rPr>
          <w:rFonts w:ascii="Garamond" w:hAnsi="Garamond" w:cs="Times New Roman"/>
          <w:b/>
          <w:bCs/>
          <w:iCs/>
          <w:color w:val="0070C0"/>
          <w:sz w:val="18"/>
          <w:szCs w:val="18"/>
        </w:rPr>
        <w:t xml:space="preserve"> 3.5%-5% range in the end of the forecast horizon, which would be driven </w:t>
      </w:r>
      <w:r w:rsidR="007507BB" w:rsidRPr="007507BB">
        <w:rPr>
          <w:rFonts w:ascii="Garamond" w:hAnsi="Garamond" w:cs="Times New Roman"/>
          <w:b/>
          <w:bCs/>
          <w:iCs/>
          <w:color w:val="0070C0"/>
          <w:sz w:val="18"/>
          <w:szCs w:val="18"/>
        </w:rPr>
        <w:t>largely</w:t>
      </w:r>
      <w:r w:rsidR="00CB66BC" w:rsidRPr="007507BB">
        <w:rPr>
          <w:rFonts w:ascii="Garamond" w:hAnsi="Garamond" w:cs="Times New Roman"/>
          <w:b/>
          <w:bCs/>
          <w:iCs/>
          <w:color w:val="0070C0"/>
          <w:sz w:val="18"/>
          <w:szCs w:val="18"/>
        </w:rPr>
        <w:t xml:space="preserve"> by the tradable sector</w:t>
      </w:r>
      <w:r w:rsidR="007507BB" w:rsidRPr="007507BB">
        <w:rPr>
          <w:rFonts w:ascii="Garamond" w:hAnsi="Garamond" w:cs="Times New Roman"/>
          <w:b/>
          <w:bCs/>
          <w:iCs/>
          <w:color w:val="0070C0"/>
          <w:sz w:val="18"/>
          <w:szCs w:val="18"/>
        </w:rPr>
        <w:t>…</w:t>
      </w:r>
    </w:p>
    <w:p w14:paraId="521C8E3B" w14:textId="77777777" w:rsidR="00414835" w:rsidRDefault="00D55378" w:rsidP="00A9653E">
      <w:pPr>
        <w:spacing w:line="360" w:lineRule="auto"/>
        <w:jc w:val="both"/>
        <w:rPr>
          <w:rFonts w:ascii="Garamond" w:hAnsi="Garamond" w:cs="Times New Roman"/>
          <w:bCs/>
          <w:iCs/>
          <w:color w:val="000000"/>
          <w:sz w:val="21"/>
          <w:szCs w:val="21"/>
        </w:rPr>
      </w:pPr>
      <w:r>
        <w:rPr>
          <w:rFonts w:ascii="Garamond" w:hAnsi="Garamond" w:cs="Times New Roman"/>
          <w:bCs/>
          <w:iCs/>
          <w:color w:val="000000"/>
          <w:sz w:val="21"/>
          <w:szCs w:val="21"/>
        </w:rPr>
        <w:t>Effective implementation of export- and investment-oriented program o</w:t>
      </w:r>
      <w:r w:rsidR="009B7D4E">
        <w:rPr>
          <w:rFonts w:ascii="Garamond" w:hAnsi="Garamond" w:cs="Times New Roman"/>
          <w:bCs/>
          <w:iCs/>
          <w:color w:val="000000"/>
          <w:sz w:val="21"/>
          <w:szCs w:val="21"/>
        </w:rPr>
        <w:t>f</w:t>
      </w:r>
      <w:r>
        <w:rPr>
          <w:rFonts w:ascii="Garamond" w:hAnsi="Garamond" w:cs="Times New Roman"/>
          <w:bCs/>
          <w:iCs/>
          <w:color w:val="000000"/>
          <w:sz w:val="21"/>
          <w:szCs w:val="21"/>
        </w:rPr>
        <w:t xml:space="preserve"> the Government, </w:t>
      </w:r>
      <w:r w:rsidRPr="004E7A10">
        <w:rPr>
          <w:rFonts w:ascii="Garamond" w:hAnsi="Garamond" w:cs="Times New Roman"/>
          <w:bCs/>
          <w:iCs/>
          <w:color w:val="000000"/>
          <w:sz w:val="21"/>
          <w:szCs w:val="21"/>
        </w:rPr>
        <w:t xml:space="preserve">improving external economic environment </w:t>
      </w:r>
      <w:r>
        <w:rPr>
          <w:rFonts w:ascii="Garamond" w:hAnsi="Garamond" w:cs="Times New Roman"/>
          <w:bCs/>
          <w:iCs/>
          <w:color w:val="000000"/>
          <w:sz w:val="21"/>
          <w:szCs w:val="21"/>
        </w:rPr>
        <w:t xml:space="preserve">and structural reforms are among </w:t>
      </w:r>
      <w:r w:rsidR="0039065A">
        <w:rPr>
          <w:rFonts w:ascii="Garamond" w:hAnsi="Garamond" w:cs="Times New Roman"/>
          <w:bCs/>
          <w:iCs/>
          <w:color w:val="000000"/>
          <w:sz w:val="21"/>
          <w:szCs w:val="21"/>
        </w:rPr>
        <w:t xml:space="preserve">the </w:t>
      </w:r>
      <w:r>
        <w:rPr>
          <w:rFonts w:ascii="Garamond" w:hAnsi="Garamond" w:cs="Times New Roman"/>
          <w:bCs/>
          <w:iCs/>
          <w:color w:val="000000"/>
          <w:sz w:val="21"/>
          <w:szCs w:val="21"/>
        </w:rPr>
        <w:t xml:space="preserve">key factors that will speed up the economic growth starting from 2017, </w:t>
      </w:r>
      <w:r w:rsidRPr="004E7A10">
        <w:rPr>
          <w:rFonts w:ascii="Garamond" w:hAnsi="Garamond" w:cs="Times New Roman"/>
          <w:bCs/>
          <w:iCs/>
          <w:color w:val="000000"/>
          <w:sz w:val="21"/>
          <w:szCs w:val="21"/>
        </w:rPr>
        <w:t>amid a steady inflation environment</w:t>
      </w:r>
      <w:r>
        <w:rPr>
          <w:rFonts w:ascii="Garamond" w:hAnsi="Garamond" w:cs="Times New Roman"/>
          <w:bCs/>
          <w:iCs/>
          <w:color w:val="000000"/>
          <w:sz w:val="21"/>
          <w:szCs w:val="21"/>
        </w:rPr>
        <w:t xml:space="preserve">. </w:t>
      </w:r>
      <w:r w:rsidR="00EB07F2">
        <w:rPr>
          <w:rFonts w:ascii="Garamond" w:hAnsi="Garamond" w:cs="Times New Roman"/>
          <w:bCs/>
          <w:iCs/>
          <w:color w:val="000000"/>
          <w:sz w:val="21"/>
          <w:szCs w:val="21"/>
        </w:rPr>
        <w:t xml:space="preserve">Based on </w:t>
      </w:r>
      <w:r w:rsidR="00EB07F2" w:rsidRPr="004E7A10">
        <w:rPr>
          <w:rFonts w:ascii="Garamond" w:hAnsi="Garamond" w:cs="Times New Roman"/>
          <w:bCs/>
          <w:iCs/>
          <w:color w:val="000000"/>
          <w:sz w:val="21"/>
          <w:szCs w:val="21"/>
        </w:rPr>
        <w:t xml:space="preserve">the above mentioned developments, it is expected that </w:t>
      </w:r>
      <w:r w:rsidR="00EB07F2" w:rsidRPr="00EB07F2">
        <w:rPr>
          <w:rFonts w:ascii="Garamond" w:hAnsi="Garamond" w:cs="Times New Roman"/>
          <w:b/>
          <w:bCs/>
          <w:iCs/>
          <w:color w:val="000000"/>
          <w:sz w:val="21"/>
          <w:szCs w:val="21"/>
        </w:rPr>
        <w:t xml:space="preserve">economic growth would speed up to </w:t>
      </w:r>
      <w:r w:rsidR="007507BB">
        <w:rPr>
          <w:rFonts w:ascii="Garamond" w:hAnsi="Garamond" w:cs="Times New Roman"/>
          <w:b/>
          <w:bCs/>
          <w:iCs/>
          <w:color w:val="000000"/>
          <w:sz w:val="21"/>
          <w:szCs w:val="21"/>
        </w:rPr>
        <w:t xml:space="preserve">be within </w:t>
      </w:r>
      <w:r w:rsidR="00CB66BC">
        <w:rPr>
          <w:rFonts w:ascii="Garamond" w:hAnsi="Garamond" w:cs="Times New Roman"/>
          <w:b/>
          <w:bCs/>
          <w:iCs/>
          <w:color w:val="000000"/>
          <w:sz w:val="21"/>
          <w:szCs w:val="21"/>
        </w:rPr>
        <w:t>3</w:t>
      </w:r>
      <w:r w:rsidR="00EB07F2" w:rsidRPr="00EB07F2">
        <w:rPr>
          <w:rFonts w:ascii="Garamond" w:hAnsi="Garamond" w:cs="Times New Roman"/>
          <w:b/>
          <w:bCs/>
          <w:iCs/>
          <w:color w:val="000000"/>
          <w:sz w:val="21"/>
          <w:szCs w:val="21"/>
        </w:rPr>
        <w:t>.5%-5%</w:t>
      </w:r>
      <w:r w:rsidR="00EB07F2" w:rsidRPr="004E7A10">
        <w:rPr>
          <w:rFonts w:ascii="Garamond" w:hAnsi="Garamond" w:cs="Times New Roman"/>
          <w:bCs/>
          <w:iCs/>
          <w:color w:val="000000"/>
          <w:sz w:val="21"/>
          <w:szCs w:val="21"/>
        </w:rPr>
        <w:t xml:space="preserve"> </w:t>
      </w:r>
      <w:r w:rsidR="00EB07F2" w:rsidRPr="00EB07F2">
        <w:rPr>
          <w:rFonts w:ascii="Garamond" w:hAnsi="Garamond" w:cs="Times New Roman"/>
          <w:b/>
          <w:bCs/>
          <w:iCs/>
          <w:color w:val="000000"/>
          <w:sz w:val="21"/>
          <w:szCs w:val="21"/>
        </w:rPr>
        <w:t>in the end of the forecast horizon</w:t>
      </w:r>
      <w:r w:rsidR="00EB07F2" w:rsidRPr="00EB07F2">
        <w:rPr>
          <w:rFonts w:ascii="Garamond" w:hAnsi="Garamond" w:cs="Times New Roman"/>
          <w:bCs/>
          <w:iCs/>
          <w:color w:val="000000"/>
          <w:sz w:val="21"/>
          <w:szCs w:val="21"/>
        </w:rPr>
        <w:t>,</w:t>
      </w:r>
      <w:r w:rsidR="00EB07F2">
        <w:rPr>
          <w:rFonts w:ascii="Garamond" w:hAnsi="Garamond" w:cs="Times New Roman"/>
          <w:bCs/>
          <w:iCs/>
          <w:color w:val="000000"/>
          <w:sz w:val="21"/>
          <w:szCs w:val="21"/>
        </w:rPr>
        <w:t xml:space="preserve"> which would be driven </w:t>
      </w:r>
      <w:r w:rsidR="00414835">
        <w:rPr>
          <w:rFonts w:ascii="Garamond" w:hAnsi="Garamond" w:cs="Times New Roman"/>
          <w:bCs/>
          <w:iCs/>
          <w:color w:val="000000"/>
          <w:sz w:val="21"/>
          <w:szCs w:val="21"/>
        </w:rPr>
        <w:t>greatly</w:t>
      </w:r>
      <w:r w:rsidR="00EB07F2">
        <w:rPr>
          <w:rFonts w:ascii="Garamond" w:hAnsi="Garamond" w:cs="Times New Roman"/>
          <w:bCs/>
          <w:iCs/>
          <w:color w:val="000000"/>
          <w:sz w:val="21"/>
          <w:szCs w:val="21"/>
        </w:rPr>
        <w:t xml:space="preserve"> by the tradable sector.</w:t>
      </w:r>
      <w:r w:rsidR="00EB07F2" w:rsidRPr="004E7A10">
        <w:rPr>
          <w:rFonts w:ascii="Garamond" w:hAnsi="Garamond" w:cs="Times New Roman"/>
          <w:bCs/>
          <w:iCs/>
          <w:color w:val="000000"/>
          <w:sz w:val="21"/>
          <w:szCs w:val="21"/>
        </w:rPr>
        <w:t xml:space="preserve"> </w:t>
      </w:r>
    </w:p>
    <w:p w14:paraId="2C8951EA" w14:textId="7E4C93E9" w:rsidR="00096BDA" w:rsidRPr="00D55378" w:rsidRDefault="00414835" w:rsidP="00A9653E">
      <w:pPr>
        <w:spacing w:line="360" w:lineRule="auto"/>
        <w:jc w:val="both"/>
        <w:rPr>
          <w:rFonts w:ascii="Garamond" w:hAnsi="Garamond" w:cs="Times New Roman"/>
          <w:sz w:val="21"/>
          <w:szCs w:val="21"/>
        </w:rPr>
      </w:pPr>
      <w:r>
        <w:rPr>
          <w:rFonts w:ascii="Garamond" w:hAnsi="Garamond" w:cs="Times New Roman"/>
          <w:bCs/>
          <w:iCs/>
          <w:color w:val="000000"/>
          <w:sz w:val="21"/>
          <w:szCs w:val="21"/>
        </w:rPr>
        <w:t>Given reduc</w:t>
      </w:r>
      <w:r w:rsidR="0039065A">
        <w:rPr>
          <w:rFonts w:ascii="Garamond" w:hAnsi="Garamond" w:cs="Times New Roman"/>
          <w:bCs/>
          <w:iCs/>
          <w:color w:val="000000"/>
          <w:sz w:val="21"/>
          <w:szCs w:val="21"/>
        </w:rPr>
        <w:t>ed</w:t>
      </w:r>
      <w:r w:rsidR="0017334D">
        <w:rPr>
          <w:rFonts w:ascii="Garamond" w:hAnsi="Garamond" w:cs="Times New Roman"/>
          <w:bCs/>
          <w:iCs/>
          <w:color w:val="000000"/>
          <w:sz w:val="21"/>
          <w:szCs w:val="21"/>
        </w:rPr>
        <w:t xml:space="preserve"> </w:t>
      </w:r>
      <w:r>
        <w:rPr>
          <w:rFonts w:ascii="Garamond" w:hAnsi="Garamond" w:cs="Times New Roman"/>
          <w:bCs/>
          <w:iCs/>
          <w:color w:val="000000"/>
          <w:sz w:val="21"/>
          <w:szCs w:val="21"/>
        </w:rPr>
        <w:t>long-term economic growth equilibriums</w:t>
      </w:r>
      <w:r w:rsidR="0017334D">
        <w:rPr>
          <w:rStyle w:val="FootnoteReference"/>
          <w:rFonts w:ascii="Garamond" w:hAnsi="Garamond" w:cs="Times New Roman"/>
          <w:bCs/>
          <w:iCs/>
          <w:color w:val="000000"/>
          <w:sz w:val="21"/>
          <w:szCs w:val="21"/>
        </w:rPr>
        <w:footnoteReference w:customMarkFollows="1" w:id="4"/>
        <w:t>4</w:t>
      </w:r>
      <w:r>
        <w:rPr>
          <w:rFonts w:ascii="Garamond" w:hAnsi="Garamond" w:cs="Times New Roman"/>
          <w:bCs/>
          <w:iCs/>
          <w:color w:val="000000"/>
          <w:sz w:val="21"/>
          <w:szCs w:val="21"/>
        </w:rPr>
        <w:t xml:space="preserve"> amid growing uncertainties associated with economic developments in Armenia’s main trade partners, anticipated slowing of </w:t>
      </w:r>
      <w:r w:rsidR="001B354F">
        <w:rPr>
          <w:rFonts w:ascii="Garamond" w:hAnsi="Garamond" w:cs="Times New Roman"/>
          <w:bCs/>
          <w:iCs/>
          <w:color w:val="000000"/>
          <w:sz w:val="21"/>
          <w:szCs w:val="21"/>
        </w:rPr>
        <w:t xml:space="preserve">foreign capital investment, and weak investment activity persisting in the domestic economy, </w:t>
      </w:r>
      <w:r w:rsidR="001B354F" w:rsidRPr="001B354F">
        <w:rPr>
          <w:rFonts w:ascii="Garamond" w:hAnsi="Garamond" w:cs="Times New Roman"/>
          <w:b/>
          <w:bCs/>
          <w:iCs/>
          <w:color w:val="000000"/>
          <w:sz w:val="21"/>
          <w:szCs w:val="21"/>
        </w:rPr>
        <w:t>Armenia’s long-term economic growth equilibrium has been revised downside to 4%-5%</w:t>
      </w:r>
      <w:r w:rsidR="001B354F">
        <w:rPr>
          <w:rFonts w:ascii="Garamond" w:hAnsi="Garamond" w:cs="Times New Roman"/>
          <w:bCs/>
          <w:iCs/>
          <w:color w:val="000000"/>
          <w:sz w:val="21"/>
          <w:szCs w:val="21"/>
        </w:rPr>
        <w:t xml:space="preserve">. </w:t>
      </w:r>
    </w:p>
    <w:p w14:paraId="2B1847BD" w14:textId="77777777" w:rsidR="00A9653E" w:rsidRPr="004E7A10" w:rsidRDefault="00A9653E" w:rsidP="00A9653E">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 xml:space="preserve">For </w:t>
      </w:r>
      <w:r w:rsidRPr="004E7A10">
        <w:rPr>
          <w:rFonts w:ascii="Garamond" w:hAnsi="Garamond" w:cs="Times New Roman"/>
          <w:b/>
          <w:bCs/>
          <w:iCs/>
          <w:color w:val="000000"/>
          <w:sz w:val="21"/>
          <w:szCs w:val="21"/>
        </w:rPr>
        <w:t>Industry</w:t>
      </w:r>
      <w:r w:rsidRPr="004E7A10">
        <w:rPr>
          <w:rFonts w:ascii="Garamond" w:hAnsi="Garamond" w:cs="Times New Roman"/>
          <w:bCs/>
          <w:iCs/>
          <w:color w:val="000000"/>
          <w:sz w:val="21"/>
          <w:szCs w:val="21"/>
        </w:rPr>
        <w:t xml:space="preserve">, the </w:t>
      </w:r>
      <w:r w:rsidR="00A7025A">
        <w:rPr>
          <w:rFonts w:ascii="Garamond" w:hAnsi="Garamond" w:cs="Times New Roman"/>
          <w:bCs/>
          <w:iCs/>
          <w:color w:val="000000"/>
          <w:sz w:val="21"/>
          <w:szCs w:val="21"/>
        </w:rPr>
        <w:t xml:space="preserve">2015 </w:t>
      </w:r>
      <w:r w:rsidRPr="004E7A10">
        <w:rPr>
          <w:rFonts w:ascii="Garamond" w:hAnsi="Garamond" w:cs="Times New Roman"/>
          <w:bCs/>
          <w:iCs/>
          <w:color w:val="000000"/>
          <w:sz w:val="21"/>
          <w:szCs w:val="21"/>
        </w:rPr>
        <w:t xml:space="preserve">forecasts </w:t>
      </w:r>
      <w:r w:rsidR="00AD417F" w:rsidRPr="004E7A10">
        <w:rPr>
          <w:rFonts w:ascii="Garamond" w:hAnsi="Garamond" w:cs="Times New Roman"/>
          <w:bCs/>
          <w:iCs/>
          <w:color w:val="000000"/>
          <w:sz w:val="21"/>
          <w:szCs w:val="21"/>
        </w:rPr>
        <w:t xml:space="preserve">of value added </w:t>
      </w:r>
      <w:r w:rsidRPr="004E7A10">
        <w:rPr>
          <w:rFonts w:ascii="Garamond" w:hAnsi="Garamond" w:cs="Times New Roman"/>
          <w:bCs/>
          <w:iCs/>
          <w:color w:val="000000"/>
          <w:sz w:val="21"/>
          <w:szCs w:val="21"/>
        </w:rPr>
        <w:t xml:space="preserve">were revised </w:t>
      </w:r>
      <w:r w:rsidR="00200E71" w:rsidRPr="004E7A10">
        <w:rPr>
          <w:rFonts w:ascii="Garamond" w:hAnsi="Garamond" w:cs="Times New Roman"/>
          <w:bCs/>
          <w:iCs/>
          <w:color w:val="000000"/>
          <w:sz w:val="21"/>
          <w:szCs w:val="21"/>
        </w:rPr>
        <w:t xml:space="preserve">slightly </w:t>
      </w:r>
      <w:r w:rsidR="00A7025A">
        <w:rPr>
          <w:rFonts w:ascii="Garamond" w:hAnsi="Garamond" w:cs="Times New Roman"/>
          <w:bCs/>
          <w:iCs/>
          <w:color w:val="000000"/>
          <w:sz w:val="21"/>
          <w:szCs w:val="21"/>
        </w:rPr>
        <w:t>up</w:t>
      </w:r>
      <w:r w:rsidRPr="004E7A10">
        <w:rPr>
          <w:rFonts w:ascii="Garamond" w:hAnsi="Garamond" w:cs="Times New Roman"/>
          <w:bCs/>
          <w:iCs/>
          <w:color w:val="000000"/>
          <w:sz w:val="21"/>
          <w:szCs w:val="21"/>
        </w:rPr>
        <w:t>s</w:t>
      </w:r>
      <w:r w:rsidR="00AE6F14" w:rsidRPr="004E7A10">
        <w:rPr>
          <w:rFonts w:ascii="Garamond" w:hAnsi="Garamond" w:cs="Times New Roman"/>
          <w:bCs/>
          <w:iCs/>
          <w:color w:val="000000"/>
          <w:sz w:val="21"/>
          <w:szCs w:val="21"/>
        </w:rPr>
        <w:t xml:space="preserve">ide, with </w:t>
      </w:r>
      <w:r w:rsidR="009B7D4E">
        <w:rPr>
          <w:rFonts w:ascii="Garamond" w:hAnsi="Garamond" w:cs="Times New Roman"/>
          <w:bCs/>
          <w:iCs/>
          <w:color w:val="000000"/>
          <w:sz w:val="21"/>
          <w:szCs w:val="21"/>
        </w:rPr>
        <w:t xml:space="preserve">food processing growth rate adjusted as a result of positive developments in agriculture. Thus, </w:t>
      </w:r>
      <w:r w:rsidRPr="004E7A10">
        <w:rPr>
          <w:rFonts w:ascii="Garamond" w:hAnsi="Garamond" w:cs="Times New Roman"/>
          <w:bCs/>
          <w:iCs/>
          <w:color w:val="000000"/>
          <w:sz w:val="21"/>
          <w:szCs w:val="21"/>
        </w:rPr>
        <w:t>in 201</w:t>
      </w:r>
      <w:r w:rsidR="00A54071" w:rsidRPr="004E7A10">
        <w:rPr>
          <w:rFonts w:ascii="Garamond" w:hAnsi="Garamond" w:cs="Times New Roman"/>
          <w:bCs/>
          <w:iCs/>
          <w:color w:val="000000"/>
          <w:sz w:val="21"/>
          <w:szCs w:val="21"/>
        </w:rPr>
        <w:t>5</w:t>
      </w:r>
      <w:r w:rsidRPr="004E7A10">
        <w:rPr>
          <w:rFonts w:ascii="Garamond" w:hAnsi="Garamond" w:cs="Times New Roman"/>
          <w:bCs/>
          <w:iCs/>
          <w:color w:val="000000"/>
          <w:sz w:val="21"/>
          <w:szCs w:val="21"/>
        </w:rPr>
        <w:t xml:space="preserve"> value added in industry is expected to grow in the range </w:t>
      </w:r>
      <w:r w:rsidR="00CE3E9A" w:rsidRPr="004E7A10">
        <w:rPr>
          <w:rFonts w:ascii="Garamond" w:hAnsi="Garamond" w:cs="Times New Roman"/>
          <w:bCs/>
          <w:iCs/>
          <w:color w:val="000000"/>
          <w:sz w:val="21"/>
          <w:szCs w:val="21"/>
        </w:rPr>
        <w:t xml:space="preserve">of </w:t>
      </w:r>
      <w:r w:rsidR="00A54071" w:rsidRPr="004E7A10">
        <w:rPr>
          <w:rFonts w:ascii="Garamond" w:hAnsi="Garamond" w:cs="Times New Roman"/>
          <w:bCs/>
          <w:iCs/>
          <w:color w:val="000000"/>
          <w:sz w:val="21"/>
          <w:szCs w:val="21"/>
        </w:rPr>
        <w:t>1</w:t>
      </w:r>
      <w:r w:rsidRPr="004E7A10">
        <w:rPr>
          <w:rFonts w:ascii="Garamond" w:hAnsi="Garamond" w:cs="Times New Roman"/>
          <w:bCs/>
          <w:iCs/>
          <w:color w:val="000000"/>
          <w:sz w:val="21"/>
          <w:szCs w:val="21"/>
        </w:rPr>
        <w:t>.</w:t>
      </w:r>
      <w:r w:rsidR="009B7D4E">
        <w:rPr>
          <w:rFonts w:ascii="Garamond" w:hAnsi="Garamond" w:cs="Times New Roman"/>
          <w:bCs/>
          <w:iCs/>
          <w:color w:val="000000"/>
          <w:sz w:val="21"/>
          <w:szCs w:val="21"/>
        </w:rPr>
        <w:t>5</w:t>
      </w:r>
      <w:r w:rsidR="00CE3E9A" w:rsidRPr="004E7A10">
        <w:rPr>
          <w:rFonts w:ascii="Garamond" w:hAnsi="Garamond" w:cs="Times New Roman"/>
          <w:bCs/>
          <w:iCs/>
          <w:color w:val="000000"/>
          <w:sz w:val="21"/>
          <w:szCs w:val="21"/>
        </w:rPr>
        <w:t>%</w:t>
      </w:r>
      <w:r w:rsidRPr="004E7A10">
        <w:rPr>
          <w:rFonts w:ascii="Garamond" w:hAnsi="Garamond" w:cs="Times New Roman"/>
          <w:bCs/>
          <w:iCs/>
          <w:color w:val="000000"/>
          <w:sz w:val="21"/>
          <w:szCs w:val="21"/>
        </w:rPr>
        <w:t>-</w:t>
      </w:r>
      <w:r w:rsidR="009B7D4E">
        <w:rPr>
          <w:rFonts w:ascii="Garamond" w:hAnsi="Garamond" w:cs="Times New Roman"/>
          <w:bCs/>
          <w:iCs/>
          <w:color w:val="000000"/>
          <w:sz w:val="21"/>
          <w:szCs w:val="21"/>
        </w:rPr>
        <w:t>2</w:t>
      </w:r>
      <w:r w:rsidRPr="004E7A10">
        <w:rPr>
          <w:rFonts w:ascii="Garamond" w:hAnsi="Garamond" w:cs="Times New Roman"/>
          <w:bCs/>
          <w:iCs/>
          <w:color w:val="000000"/>
          <w:sz w:val="21"/>
          <w:szCs w:val="21"/>
        </w:rPr>
        <w:t>.</w:t>
      </w:r>
      <w:r w:rsidR="009B7D4E">
        <w:rPr>
          <w:rFonts w:ascii="Garamond" w:hAnsi="Garamond" w:cs="Times New Roman"/>
          <w:bCs/>
          <w:iCs/>
          <w:color w:val="000000"/>
          <w:sz w:val="21"/>
          <w:szCs w:val="21"/>
        </w:rPr>
        <w:t>5</w:t>
      </w:r>
      <w:r w:rsidRPr="004E7A10">
        <w:rPr>
          <w:rFonts w:ascii="Garamond" w:hAnsi="Garamond" w:cs="Times New Roman"/>
          <w:bCs/>
          <w:iCs/>
          <w:color w:val="000000"/>
          <w:sz w:val="21"/>
          <w:szCs w:val="21"/>
        </w:rPr>
        <w:t xml:space="preserve">%. </w:t>
      </w:r>
      <w:r w:rsidR="00EA5287" w:rsidRPr="004E7A10">
        <w:rPr>
          <w:rFonts w:ascii="Garamond" w:hAnsi="Garamond" w:cs="Times New Roman"/>
          <w:bCs/>
          <w:iCs/>
          <w:color w:val="000000"/>
          <w:sz w:val="21"/>
          <w:szCs w:val="21"/>
        </w:rPr>
        <w:t>E</w:t>
      </w:r>
      <w:r w:rsidR="00A54071" w:rsidRPr="004E7A10">
        <w:rPr>
          <w:rFonts w:ascii="Garamond" w:hAnsi="Garamond" w:cs="Times New Roman"/>
          <w:bCs/>
          <w:iCs/>
          <w:color w:val="000000"/>
          <w:sz w:val="21"/>
          <w:szCs w:val="21"/>
        </w:rPr>
        <w:t xml:space="preserve">xploiting Teghout mine and exploring new export markets </w:t>
      </w:r>
      <w:r w:rsidR="00EA5287" w:rsidRPr="004E7A10">
        <w:rPr>
          <w:rFonts w:ascii="Garamond" w:hAnsi="Garamond" w:cs="Times New Roman"/>
          <w:bCs/>
          <w:iCs/>
          <w:color w:val="000000"/>
          <w:sz w:val="21"/>
          <w:szCs w:val="21"/>
        </w:rPr>
        <w:t>will</w:t>
      </w:r>
      <w:r w:rsidR="00A54071" w:rsidRPr="004E7A10">
        <w:rPr>
          <w:rFonts w:ascii="Garamond" w:hAnsi="Garamond" w:cs="Times New Roman"/>
          <w:bCs/>
          <w:iCs/>
          <w:color w:val="000000"/>
          <w:sz w:val="21"/>
          <w:szCs w:val="21"/>
        </w:rPr>
        <w:t xml:space="preserve"> significantly contribute to </w:t>
      </w:r>
      <w:r w:rsidR="00EA5287" w:rsidRPr="004E7A10">
        <w:rPr>
          <w:rFonts w:ascii="Garamond" w:hAnsi="Garamond" w:cs="Times New Roman"/>
          <w:bCs/>
          <w:iCs/>
          <w:color w:val="000000"/>
          <w:sz w:val="21"/>
          <w:szCs w:val="21"/>
        </w:rPr>
        <w:t xml:space="preserve">the </w:t>
      </w:r>
      <w:r w:rsidR="003174C9" w:rsidRPr="004E7A10">
        <w:rPr>
          <w:rFonts w:ascii="Garamond" w:hAnsi="Garamond" w:cs="Times New Roman"/>
          <w:bCs/>
          <w:iCs/>
          <w:color w:val="000000"/>
          <w:sz w:val="21"/>
          <w:szCs w:val="21"/>
        </w:rPr>
        <w:t xml:space="preserve">expected </w:t>
      </w:r>
      <w:r w:rsidR="00A54071" w:rsidRPr="004E7A10">
        <w:rPr>
          <w:rFonts w:ascii="Garamond" w:hAnsi="Garamond" w:cs="Times New Roman"/>
          <w:bCs/>
          <w:iCs/>
          <w:color w:val="000000"/>
          <w:sz w:val="21"/>
          <w:szCs w:val="21"/>
        </w:rPr>
        <w:t>moderate growth</w:t>
      </w:r>
      <w:r w:rsidR="00EA5287" w:rsidRPr="004E7A10">
        <w:rPr>
          <w:rFonts w:ascii="Garamond" w:hAnsi="Garamond" w:cs="Times New Roman"/>
          <w:bCs/>
          <w:iCs/>
          <w:color w:val="000000"/>
          <w:sz w:val="21"/>
          <w:szCs w:val="21"/>
        </w:rPr>
        <w:t xml:space="preserve"> in 2015</w:t>
      </w:r>
      <w:r w:rsidR="00A54071" w:rsidRPr="004E7A10">
        <w:rPr>
          <w:rFonts w:ascii="Garamond" w:hAnsi="Garamond" w:cs="Times New Roman"/>
          <w:bCs/>
          <w:iCs/>
          <w:color w:val="000000"/>
          <w:sz w:val="21"/>
          <w:szCs w:val="21"/>
        </w:rPr>
        <w:t xml:space="preserve">. </w:t>
      </w:r>
    </w:p>
    <w:p w14:paraId="5D84ED4F" w14:textId="77777777" w:rsidR="00A9653E" w:rsidRPr="004E7A10" w:rsidRDefault="00A9653E" w:rsidP="00A9653E">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In</w:t>
      </w:r>
      <w:r w:rsidRPr="004E7A10">
        <w:rPr>
          <w:rFonts w:ascii="Garamond" w:hAnsi="Garamond" w:cs="Times New Roman"/>
          <w:b/>
          <w:bCs/>
          <w:iCs/>
          <w:color w:val="000000"/>
          <w:sz w:val="21"/>
          <w:szCs w:val="21"/>
        </w:rPr>
        <w:t xml:space="preserve"> </w:t>
      </w:r>
      <w:r w:rsidR="009B7D4E" w:rsidRPr="009B7D4E">
        <w:rPr>
          <w:rFonts w:ascii="Garamond" w:hAnsi="Garamond" w:cs="Times New Roman"/>
          <w:bCs/>
          <w:iCs/>
          <w:color w:val="000000"/>
          <w:sz w:val="21"/>
          <w:szCs w:val="21"/>
        </w:rPr>
        <w:t xml:space="preserve">the </w:t>
      </w:r>
      <w:r w:rsidRPr="004E7A10">
        <w:rPr>
          <w:rFonts w:ascii="Garamond" w:hAnsi="Garamond" w:cs="Times New Roman"/>
          <w:b/>
          <w:bCs/>
          <w:iCs/>
          <w:color w:val="000000"/>
          <w:sz w:val="21"/>
          <w:szCs w:val="21"/>
        </w:rPr>
        <w:t>forecast horizon</w:t>
      </w:r>
      <w:r w:rsidRPr="004E7A10">
        <w:rPr>
          <w:rFonts w:ascii="Garamond" w:hAnsi="Garamond" w:cs="Times New Roman"/>
          <w:bCs/>
          <w:iCs/>
          <w:color w:val="000000"/>
          <w:sz w:val="21"/>
          <w:szCs w:val="21"/>
        </w:rPr>
        <w:t>,</w:t>
      </w:r>
      <w:r w:rsidR="000F560F" w:rsidRPr="004E7A10">
        <w:rPr>
          <w:rFonts w:ascii="Garamond" w:hAnsi="Garamond" w:cs="Times New Roman"/>
          <w:bCs/>
          <w:iCs/>
          <w:color w:val="000000"/>
          <w:sz w:val="21"/>
          <w:szCs w:val="21"/>
        </w:rPr>
        <w:t xml:space="preserve"> </w:t>
      </w:r>
      <w:r w:rsidRPr="004E7A10">
        <w:rPr>
          <w:rFonts w:ascii="Garamond" w:hAnsi="Garamond" w:cs="Times New Roman"/>
          <w:bCs/>
          <w:iCs/>
          <w:color w:val="000000"/>
          <w:sz w:val="21"/>
          <w:szCs w:val="21"/>
        </w:rPr>
        <w:t xml:space="preserve">the industry growth will </w:t>
      </w:r>
      <w:r w:rsidR="000F560F" w:rsidRPr="004E7A10">
        <w:rPr>
          <w:rFonts w:ascii="Garamond" w:hAnsi="Garamond" w:cs="Times New Roman"/>
          <w:bCs/>
          <w:iCs/>
          <w:color w:val="000000"/>
          <w:sz w:val="21"/>
          <w:szCs w:val="21"/>
        </w:rPr>
        <w:t xml:space="preserve">speed up and </w:t>
      </w:r>
      <w:r w:rsidRPr="009B7D4E">
        <w:rPr>
          <w:rFonts w:ascii="Garamond" w:hAnsi="Garamond" w:cs="Times New Roman"/>
          <w:b/>
          <w:bCs/>
          <w:iCs/>
          <w:color w:val="000000"/>
          <w:sz w:val="21"/>
          <w:szCs w:val="21"/>
        </w:rPr>
        <w:t xml:space="preserve">stabilize </w:t>
      </w:r>
      <w:r w:rsidR="00273952" w:rsidRPr="009B7D4E">
        <w:rPr>
          <w:rFonts w:ascii="Garamond" w:hAnsi="Garamond" w:cs="Times New Roman"/>
          <w:b/>
          <w:bCs/>
          <w:iCs/>
          <w:color w:val="000000"/>
          <w:sz w:val="21"/>
          <w:szCs w:val="21"/>
        </w:rPr>
        <w:t xml:space="preserve">within </w:t>
      </w:r>
      <w:r w:rsidR="009B7D4E">
        <w:rPr>
          <w:rFonts w:ascii="Garamond" w:hAnsi="Garamond" w:cs="Times New Roman"/>
          <w:b/>
          <w:bCs/>
          <w:iCs/>
          <w:color w:val="000000"/>
          <w:sz w:val="21"/>
          <w:szCs w:val="21"/>
        </w:rPr>
        <w:t>3</w:t>
      </w:r>
      <w:r w:rsidR="00273952" w:rsidRPr="009B7D4E">
        <w:rPr>
          <w:rFonts w:ascii="Garamond" w:hAnsi="Garamond" w:cs="Times New Roman"/>
          <w:b/>
          <w:bCs/>
          <w:iCs/>
          <w:color w:val="000000"/>
          <w:sz w:val="21"/>
          <w:szCs w:val="21"/>
        </w:rPr>
        <w:t>.</w:t>
      </w:r>
      <w:r w:rsidR="009B7D4E">
        <w:rPr>
          <w:rFonts w:ascii="Garamond" w:hAnsi="Garamond" w:cs="Times New Roman"/>
          <w:b/>
          <w:bCs/>
          <w:iCs/>
          <w:color w:val="000000"/>
          <w:sz w:val="21"/>
          <w:szCs w:val="21"/>
        </w:rPr>
        <w:t>5</w:t>
      </w:r>
      <w:r w:rsidR="00CE3E9A" w:rsidRPr="009B7D4E">
        <w:rPr>
          <w:rFonts w:ascii="Garamond" w:hAnsi="Garamond" w:cs="Times New Roman"/>
          <w:b/>
          <w:bCs/>
          <w:iCs/>
          <w:color w:val="000000"/>
          <w:sz w:val="21"/>
          <w:szCs w:val="21"/>
        </w:rPr>
        <w:t>%</w:t>
      </w:r>
      <w:r w:rsidR="00273952" w:rsidRPr="009B7D4E">
        <w:rPr>
          <w:rFonts w:ascii="Garamond" w:hAnsi="Garamond" w:cs="Times New Roman"/>
          <w:b/>
          <w:bCs/>
          <w:iCs/>
          <w:color w:val="000000"/>
          <w:sz w:val="21"/>
          <w:szCs w:val="21"/>
        </w:rPr>
        <w:t>-</w:t>
      </w:r>
      <w:r w:rsidR="000F560F" w:rsidRPr="009B7D4E">
        <w:rPr>
          <w:rFonts w:ascii="Garamond" w:hAnsi="Garamond" w:cs="Times New Roman"/>
          <w:b/>
          <w:bCs/>
          <w:iCs/>
          <w:color w:val="000000"/>
          <w:sz w:val="21"/>
          <w:szCs w:val="21"/>
        </w:rPr>
        <w:t>4</w:t>
      </w:r>
      <w:r w:rsidR="00273952" w:rsidRPr="009B7D4E">
        <w:rPr>
          <w:rFonts w:ascii="Garamond" w:hAnsi="Garamond" w:cs="Times New Roman"/>
          <w:b/>
          <w:bCs/>
          <w:iCs/>
          <w:color w:val="000000"/>
          <w:sz w:val="21"/>
          <w:szCs w:val="21"/>
        </w:rPr>
        <w:t>.</w:t>
      </w:r>
      <w:r w:rsidR="009B7D4E">
        <w:rPr>
          <w:rFonts w:ascii="Garamond" w:hAnsi="Garamond" w:cs="Times New Roman"/>
          <w:b/>
          <w:bCs/>
          <w:iCs/>
          <w:color w:val="000000"/>
          <w:sz w:val="21"/>
          <w:szCs w:val="21"/>
        </w:rPr>
        <w:t>5</w:t>
      </w:r>
      <w:r w:rsidR="00273952" w:rsidRPr="009B7D4E">
        <w:rPr>
          <w:rFonts w:ascii="Garamond" w:hAnsi="Garamond" w:cs="Times New Roman"/>
          <w:b/>
          <w:bCs/>
          <w:iCs/>
          <w:color w:val="000000"/>
          <w:sz w:val="21"/>
          <w:szCs w:val="21"/>
        </w:rPr>
        <w:t>%</w:t>
      </w:r>
      <w:r w:rsidR="00CB6C4B">
        <w:rPr>
          <w:rFonts w:ascii="Garamond" w:hAnsi="Garamond" w:cs="Times New Roman"/>
          <w:b/>
          <w:bCs/>
          <w:iCs/>
          <w:color w:val="000000"/>
          <w:sz w:val="21"/>
          <w:szCs w:val="21"/>
        </w:rPr>
        <w:t>.</w:t>
      </w:r>
      <w:r w:rsidR="00273952" w:rsidRPr="004E7A10">
        <w:rPr>
          <w:rFonts w:ascii="Garamond" w:hAnsi="Garamond" w:cs="Times New Roman"/>
          <w:bCs/>
          <w:iCs/>
          <w:color w:val="000000"/>
          <w:sz w:val="21"/>
          <w:szCs w:val="21"/>
        </w:rPr>
        <w:t xml:space="preserve"> </w:t>
      </w:r>
      <w:r w:rsidR="00CB6C4B">
        <w:rPr>
          <w:rFonts w:ascii="Garamond" w:hAnsi="Garamond" w:cs="Times New Roman"/>
          <w:bCs/>
          <w:iCs/>
          <w:color w:val="000000"/>
          <w:sz w:val="21"/>
          <w:szCs w:val="21"/>
        </w:rPr>
        <w:t>T</w:t>
      </w:r>
      <w:r w:rsidR="00273952" w:rsidRPr="004E7A10">
        <w:rPr>
          <w:rFonts w:ascii="Garamond" w:hAnsi="Garamond" w:cs="Times New Roman"/>
          <w:bCs/>
          <w:iCs/>
          <w:color w:val="000000"/>
          <w:sz w:val="21"/>
          <w:szCs w:val="21"/>
        </w:rPr>
        <w:t xml:space="preserve">his </w:t>
      </w:r>
      <w:r w:rsidR="000F560F" w:rsidRPr="004E7A10">
        <w:rPr>
          <w:rFonts w:ascii="Garamond" w:hAnsi="Garamond" w:cs="Times New Roman"/>
          <w:bCs/>
          <w:iCs/>
          <w:color w:val="000000"/>
          <w:sz w:val="21"/>
          <w:szCs w:val="21"/>
        </w:rPr>
        <w:t xml:space="preserve">will be underpinned by </w:t>
      </w:r>
      <w:r w:rsidR="00273952" w:rsidRPr="004E7A10">
        <w:rPr>
          <w:rFonts w:ascii="Garamond" w:hAnsi="Garamond" w:cs="Times New Roman"/>
          <w:bCs/>
          <w:iCs/>
          <w:color w:val="000000"/>
          <w:sz w:val="21"/>
          <w:szCs w:val="21"/>
        </w:rPr>
        <w:t>implement</w:t>
      </w:r>
      <w:r w:rsidR="000F560F" w:rsidRPr="004E7A10">
        <w:rPr>
          <w:rFonts w:ascii="Garamond" w:hAnsi="Garamond" w:cs="Times New Roman"/>
          <w:bCs/>
          <w:iCs/>
          <w:color w:val="000000"/>
          <w:sz w:val="21"/>
          <w:szCs w:val="21"/>
        </w:rPr>
        <w:t>ing a</w:t>
      </w:r>
      <w:r w:rsidR="00273952" w:rsidRPr="004E7A10">
        <w:rPr>
          <w:rFonts w:ascii="Garamond" w:hAnsi="Garamond" w:cs="Times New Roman"/>
          <w:bCs/>
          <w:iCs/>
          <w:color w:val="000000"/>
          <w:sz w:val="21"/>
          <w:szCs w:val="21"/>
        </w:rPr>
        <w:t xml:space="preserve"> handful of </w:t>
      </w:r>
      <w:r w:rsidR="000F560F" w:rsidRPr="004E7A10">
        <w:rPr>
          <w:rFonts w:ascii="Garamond" w:hAnsi="Garamond" w:cs="Times New Roman"/>
          <w:bCs/>
          <w:iCs/>
          <w:color w:val="000000"/>
          <w:sz w:val="21"/>
          <w:szCs w:val="21"/>
        </w:rPr>
        <w:t>investment</w:t>
      </w:r>
      <w:r w:rsidR="00273952" w:rsidRPr="004E7A10">
        <w:rPr>
          <w:rFonts w:ascii="Garamond" w:hAnsi="Garamond" w:cs="Times New Roman"/>
          <w:bCs/>
          <w:iCs/>
          <w:color w:val="000000"/>
          <w:sz w:val="21"/>
          <w:szCs w:val="21"/>
        </w:rPr>
        <w:t xml:space="preserve"> projects</w:t>
      </w:r>
      <w:r w:rsidR="000F560F" w:rsidRPr="004E7A10">
        <w:rPr>
          <w:rFonts w:ascii="Garamond" w:hAnsi="Garamond" w:cs="Times New Roman"/>
          <w:bCs/>
          <w:iCs/>
          <w:color w:val="000000"/>
          <w:sz w:val="21"/>
          <w:szCs w:val="21"/>
        </w:rPr>
        <w:t xml:space="preserve"> </w:t>
      </w:r>
      <w:r w:rsidR="009B7D4E">
        <w:rPr>
          <w:rFonts w:ascii="Garamond" w:hAnsi="Garamond" w:cs="Times New Roman"/>
          <w:bCs/>
          <w:iCs/>
          <w:color w:val="000000"/>
          <w:sz w:val="21"/>
          <w:szCs w:val="21"/>
        </w:rPr>
        <w:t xml:space="preserve">and broadening export capacities </w:t>
      </w:r>
      <w:r w:rsidR="00CB6C4B">
        <w:rPr>
          <w:rFonts w:ascii="Garamond" w:hAnsi="Garamond" w:cs="Times New Roman"/>
          <w:bCs/>
          <w:iCs/>
          <w:color w:val="000000"/>
          <w:sz w:val="21"/>
          <w:szCs w:val="21"/>
        </w:rPr>
        <w:t xml:space="preserve">as </w:t>
      </w:r>
      <w:r w:rsidR="009B7D4E">
        <w:rPr>
          <w:rFonts w:ascii="Garamond" w:hAnsi="Garamond" w:cs="Times New Roman"/>
          <w:bCs/>
          <w:iCs/>
          <w:color w:val="000000"/>
          <w:sz w:val="21"/>
          <w:szCs w:val="21"/>
        </w:rPr>
        <w:t>the</w:t>
      </w:r>
      <w:r w:rsidR="00CB6C4B">
        <w:rPr>
          <w:rFonts w:ascii="Garamond" w:hAnsi="Garamond" w:cs="Times New Roman"/>
          <w:bCs/>
          <w:iCs/>
          <w:color w:val="000000"/>
          <w:sz w:val="21"/>
          <w:szCs w:val="21"/>
        </w:rPr>
        <w:t xml:space="preserve"> Government carries out an </w:t>
      </w:r>
      <w:r w:rsidR="009B7D4E">
        <w:rPr>
          <w:rFonts w:ascii="Garamond" w:hAnsi="Garamond" w:cs="Times New Roman"/>
          <w:bCs/>
          <w:iCs/>
          <w:color w:val="000000"/>
          <w:sz w:val="21"/>
          <w:szCs w:val="21"/>
        </w:rPr>
        <w:t>export-oriented p</w:t>
      </w:r>
      <w:r w:rsidR="00CB6C4B">
        <w:rPr>
          <w:rFonts w:ascii="Garamond" w:hAnsi="Garamond" w:cs="Times New Roman"/>
          <w:bCs/>
          <w:iCs/>
          <w:color w:val="000000"/>
          <w:sz w:val="21"/>
          <w:szCs w:val="21"/>
        </w:rPr>
        <w:t>olicy</w:t>
      </w:r>
      <w:r w:rsidR="00273952" w:rsidRPr="004E7A10">
        <w:rPr>
          <w:rFonts w:ascii="Garamond" w:hAnsi="Garamond" w:cs="Times New Roman"/>
          <w:bCs/>
          <w:iCs/>
          <w:color w:val="000000"/>
          <w:sz w:val="21"/>
          <w:szCs w:val="21"/>
        </w:rPr>
        <w:t xml:space="preserve">. </w:t>
      </w:r>
    </w:p>
    <w:p w14:paraId="4F90CCC2" w14:textId="77777777" w:rsidR="00A9653E" w:rsidRPr="004E7A10" w:rsidRDefault="00A9653E" w:rsidP="00A9653E">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For</w:t>
      </w:r>
      <w:r w:rsidR="000F560F" w:rsidRPr="004E7A10">
        <w:rPr>
          <w:rFonts w:ascii="Garamond" w:hAnsi="Garamond" w:cs="Times New Roman"/>
          <w:bCs/>
          <w:iCs/>
          <w:color w:val="000000"/>
          <w:sz w:val="21"/>
          <w:szCs w:val="21"/>
        </w:rPr>
        <w:t xml:space="preserve"> </w:t>
      </w:r>
      <w:r w:rsidRPr="004E7A10">
        <w:rPr>
          <w:rFonts w:ascii="Garamond" w:hAnsi="Garamond" w:cs="Times New Roman"/>
          <w:b/>
          <w:bCs/>
          <w:iCs/>
          <w:color w:val="000000"/>
          <w:sz w:val="21"/>
          <w:szCs w:val="21"/>
        </w:rPr>
        <w:t>Construction</w:t>
      </w:r>
      <w:r w:rsidRPr="004E7A10">
        <w:rPr>
          <w:rFonts w:ascii="Garamond" w:hAnsi="Garamond" w:cs="Times New Roman"/>
          <w:bCs/>
          <w:iCs/>
          <w:color w:val="000000"/>
          <w:sz w:val="21"/>
          <w:szCs w:val="21"/>
        </w:rPr>
        <w:t xml:space="preserve">, </w:t>
      </w:r>
      <w:r w:rsidR="00AD417F" w:rsidRPr="004E7A10">
        <w:rPr>
          <w:rFonts w:ascii="Garamond" w:hAnsi="Garamond" w:cs="Times New Roman"/>
          <w:bCs/>
          <w:iCs/>
          <w:color w:val="000000"/>
          <w:sz w:val="21"/>
          <w:szCs w:val="21"/>
        </w:rPr>
        <w:t xml:space="preserve">the </w:t>
      </w:r>
      <w:r w:rsidRPr="004E7A10">
        <w:rPr>
          <w:rFonts w:ascii="Garamond" w:hAnsi="Garamond" w:cs="Times New Roman"/>
          <w:bCs/>
          <w:iCs/>
          <w:color w:val="000000"/>
          <w:sz w:val="21"/>
          <w:szCs w:val="21"/>
        </w:rPr>
        <w:t xml:space="preserve">forecasts of value added were </w:t>
      </w:r>
      <w:r w:rsidR="00CB6C4B">
        <w:rPr>
          <w:rFonts w:ascii="Garamond" w:hAnsi="Garamond" w:cs="Times New Roman"/>
          <w:bCs/>
          <w:iCs/>
          <w:color w:val="000000"/>
          <w:sz w:val="21"/>
          <w:szCs w:val="21"/>
        </w:rPr>
        <w:t xml:space="preserve">also </w:t>
      </w:r>
      <w:r w:rsidRPr="004E7A10">
        <w:rPr>
          <w:rFonts w:ascii="Garamond" w:hAnsi="Garamond" w:cs="Times New Roman"/>
          <w:bCs/>
          <w:iCs/>
          <w:color w:val="000000"/>
          <w:sz w:val="21"/>
          <w:szCs w:val="21"/>
        </w:rPr>
        <w:t xml:space="preserve">revised </w:t>
      </w:r>
      <w:r w:rsidR="00CB6C4B">
        <w:rPr>
          <w:rFonts w:ascii="Garamond" w:hAnsi="Garamond" w:cs="Times New Roman"/>
          <w:bCs/>
          <w:iCs/>
          <w:color w:val="000000"/>
          <w:sz w:val="21"/>
          <w:szCs w:val="21"/>
        </w:rPr>
        <w:t>up</w:t>
      </w:r>
      <w:r w:rsidRPr="004E7A10">
        <w:rPr>
          <w:rFonts w:ascii="Garamond" w:hAnsi="Garamond" w:cs="Times New Roman"/>
          <w:bCs/>
          <w:iCs/>
          <w:color w:val="000000"/>
          <w:sz w:val="21"/>
          <w:szCs w:val="21"/>
        </w:rPr>
        <w:t xml:space="preserve">side, </w:t>
      </w:r>
      <w:r w:rsidR="00CB6C4B">
        <w:rPr>
          <w:rFonts w:ascii="Garamond" w:hAnsi="Garamond" w:cs="Times New Roman"/>
          <w:bCs/>
          <w:iCs/>
          <w:color w:val="000000"/>
          <w:sz w:val="21"/>
          <w:szCs w:val="21"/>
        </w:rPr>
        <w:t xml:space="preserve">mainly based on somewhat higher activity in the 1st quarter relative to the prediction. Anticipated </w:t>
      </w:r>
      <w:r w:rsidR="00D50F85">
        <w:rPr>
          <w:rFonts w:ascii="Garamond" w:hAnsi="Garamond" w:cs="Times New Roman"/>
          <w:bCs/>
          <w:iCs/>
          <w:color w:val="000000"/>
          <w:sz w:val="21"/>
          <w:szCs w:val="21"/>
        </w:rPr>
        <w:t xml:space="preserve">shrinking </w:t>
      </w:r>
      <w:r w:rsidR="000F560F" w:rsidRPr="004E7A10">
        <w:rPr>
          <w:rFonts w:ascii="Garamond" w:hAnsi="Garamond" w:cs="Times New Roman"/>
          <w:bCs/>
          <w:iCs/>
          <w:color w:val="000000"/>
          <w:sz w:val="21"/>
          <w:szCs w:val="21"/>
        </w:rPr>
        <w:t xml:space="preserve">in </w:t>
      </w:r>
      <w:r w:rsidR="00CB6C4B">
        <w:rPr>
          <w:rFonts w:ascii="Garamond" w:hAnsi="Garamond" w:cs="Times New Roman"/>
          <w:bCs/>
          <w:iCs/>
          <w:color w:val="000000"/>
          <w:sz w:val="21"/>
          <w:szCs w:val="21"/>
        </w:rPr>
        <w:t xml:space="preserve">volumes of household funded construction </w:t>
      </w:r>
      <w:r w:rsidR="00D50F85">
        <w:rPr>
          <w:rFonts w:ascii="Garamond" w:hAnsi="Garamond" w:cs="Times New Roman"/>
          <w:bCs/>
          <w:iCs/>
          <w:color w:val="000000"/>
          <w:sz w:val="21"/>
          <w:szCs w:val="21"/>
        </w:rPr>
        <w:t>will somehow be mitigated by construction activities for roads, irrigation, water supply and sewage systems, renewable energy and Yerevan underground modernization, which are planned to be carried out using funds of the central and local community budgets a</w:t>
      </w:r>
      <w:r w:rsidR="006512D8">
        <w:rPr>
          <w:rFonts w:ascii="Garamond" w:hAnsi="Garamond" w:cs="Times New Roman"/>
          <w:bCs/>
          <w:iCs/>
          <w:color w:val="000000"/>
          <w:sz w:val="21"/>
          <w:szCs w:val="21"/>
        </w:rPr>
        <w:t xml:space="preserve">nd of </w:t>
      </w:r>
      <w:r w:rsidR="00D50F85">
        <w:rPr>
          <w:rFonts w:ascii="Garamond" w:hAnsi="Garamond" w:cs="Times New Roman"/>
          <w:bCs/>
          <w:iCs/>
          <w:color w:val="000000"/>
          <w:sz w:val="21"/>
          <w:szCs w:val="21"/>
        </w:rPr>
        <w:t xml:space="preserve">international organizations. </w:t>
      </w:r>
      <w:r w:rsidRPr="004E7A10">
        <w:rPr>
          <w:rFonts w:ascii="Garamond" w:hAnsi="Garamond" w:cs="Times New Roman"/>
          <w:bCs/>
          <w:iCs/>
          <w:color w:val="000000"/>
          <w:sz w:val="21"/>
          <w:szCs w:val="21"/>
        </w:rPr>
        <w:t xml:space="preserve">As a result, value added is expected to </w:t>
      </w:r>
      <w:r w:rsidR="00831D26" w:rsidRPr="004E7A10">
        <w:rPr>
          <w:rFonts w:ascii="Garamond" w:hAnsi="Garamond" w:cs="Times New Roman"/>
          <w:bCs/>
          <w:iCs/>
          <w:color w:val="000000"/>
          <w:sz w:val="21"/>
          <w:szCs w:val="21"/>
        </w:rPr>
        <w:t>decrease in 201</w:t>
      </w:r>
      <w:r w:rsidR="00EF2769" w:rsidRPr="004E7A10">
        <w:rPr>
          <w:rFonts w:ascii="Garamond" w:hAnsi="Garamond" w:cs="Times New Roman"/>
          <w:bCs/>
          <w:iCs/>
          <w:color w:val="000000"/>
          <w:sz w:val="21"/>
          <w:szCs w:val="21"/>
        </w:rPr>
        <w:t>5</w:t>
      </w:r>
      <w:r w:rsidR="00831D26" w:rsidRPr="004E7A10">
        <w:rPr>
          <w:rFonts w:ascii="Garamond" w:hAnsi="Garamond" w:cs="Times New Roman"/>
          <w:bCs/>
          <w:iCs/>
          <w:color w:val="000000"/>
          <w:sz w:val="21"/>
          <w:szCs w:val="21"/>
        </w:rPr>
        <w:t xml:space="preserve"> </w:t>
      </w:r>
      <w:r w:rsidR="00A9080B" w:rsidRPr="004E7A10">
        <w:rPr>
          <w:rFonts w:ascii="Garamond" w:hAnsi="Garamond" w:cs="Times New Roman"/>
          <w:bCs/>
          <w:iCs/>
          <w:color w:val="000000"/>
          <w:sz w:val="21"/>
          <w:szCs w:val="21"/>
        </w:rPr>
        <w:t xml:space="preserve">in the range of </w:t>
      </w:r>
      <w:r w:rsidR="006512D8">
        <w:rPr>
          <w:rFonts w:ascii="Garamond" w:hAnsi="Garamond" w:cs="Times New Roman"/>
          <w:bCs/>
          <w:iCs/>
          <w:color w:val="000000"/>
          <w:sz w:val="21"/>
          <w:szCs w:val="21"/>
        </w:rPr>
        <w:t>0</w:t>
      </w:r>
      <w:r w:rsidR="00EF2769" w:rsidRPr="004E7A10">
        <w:rPr>
          <w:rFonts w:ascii="Garamond" w:hAnsi="Garamond" w:cs="Times New Roman"/>
          <w:bCs/>
          <w:iCs/>
          <w:color w:val="000000"/>
          <w:sz w:val="21"/>
          <w:szCs w:val="21"/>
        </w:rPr>
        <w:t>.</w:t>
      </w:r>
      <w:r w:rsidR="006512D8">
        <w:rPr>
          <w:rFonts w:ascii="Garamond" w:hAnsi="Garamond" w:cs="Times New Roman"/>
          <w:bCs/>
          <w:iCs/>
          <w:color w:val="000000"/>
          <w:sz w:val="21"/>
          <w:szCs w:val="21"/>
        </w:rPr>
        <w:t>5</w:t>
      </w:r>
      <w:r w:rsidR="00A9080B" w:rsidRPr="004E7A10">
        <w:rPr>
          <w:rFonts w:ascii="Garamond" w:hAnsi="Garamond" w:cs="Times New Roman"/>
          <w:bCs/>
          <w:iCs/>
          <w:color w:val="000000"/>
          <w:sz w:val="21"/>
          <w:szCs w:val="21"/>
        </w:rPr>
        <w:t>%</w:t>
      </w:r>
      <w:r w:rsidRPr="004E7A10">
        <w:rPr>
          <w:rFonts w:ascii="Garamond" w:hAnsi="Garamond" w:cs="Times New Roman"/>
          <w:bCs/>
          <w:iCs/>
          <w:color w:val="000000"/>
          <w:sz w:val="21"/>
          <w:szCs w:val="21"/>
        </w:rPr>
        <w:t>-</w:t>
      </w:r>
      <w:r w:rsidR="006512D8">
        <w:rPr>
          <w:rFonts w:ascii="Garamond" w:hAnsi="Garamond" w:cs="Times New Roman"/>
          <w:bCs/>
          <w:iCs/>
          <w:color w:val="000000"/>
          <w:sz w:val="21"/>
          <w:szCs w:val="21"/>
        </w:rPr>
        <w:t>1</w:t>
      </w:r>
      <w:r w:rsidRPr="004E7A10">
        <w:rPr>
          <w:rFonts w:ascii="Garamond" w:hAnsi="Garamond" w:cs="Times New Roman"/>
          <w:bCs/>
          <w:iCs/>
          <w:color w:val="000000"/>
          <w:sz w:val="21"/>
          <w:szCs w:val="21"/>
        </w:rPr>
        <w:t>.</w:t>
      </w:r>
      <w:r w:rsidR="006512D8">
        <w:rPr>
          <w:rFonts w:ascii="Garamond" w:hAnsi="Garamond" w:cs="Times New Roman"/>
          <w:bCs/>
          <w:iCs/>
          <w:color w:val="000000"/>
          <w:sz w:val="21"/>
          <w:szCs w:val="21"/>
        </w:rPr>
        <w:t>5</w:t>
      </w:r>
      <w:r w:rsidRPr="004E7A10">
        <w:rPr>
          <w:rFonts w:ascii="Garamond" w:hAnsi="Garamond" w:cs="Times New Roman"/>
          <w:bCs/>
          <w:iCs/>
          <w:color w:val="000000"/>
          <w:sz w:val="21"/>
          <w:szCs w:val="21"/>
        </w:rPr>
        <w:t>%</w:t>
      </w:r>
      <w:r w:rsidR="00831D26" w:rsidRPr="004E7A10">
        <w:rPr>
          <w:rFonts w:ascii="Garamond" w:hAnsi="Garamond" w:cs="Times New Roman"/>
          <w:bCs/>
          <w:iCs/>
          <w:color w:val="000000"/>
          <w:sz w:val="21"/>
          <w:szCs w:val="21"/>
        </w:rPr>
        <w:t>.</w:t>
      </w:r>
    </w:p>
    <w:p w14:paraId="010C1F3F" w14:textId="77777777" w:rsidR="00A9653E" w:rsidRPr="004E7A10" w:rsidRDefault="00A9653E" w:rsidP="00A9653E">
      <w:pPr>
        <w:spacing w:line="360" w:lineRule="auto"/>
        <w:jc w:val="both"/>
        <w:rPr>
          <w:rFonts w:ascii="Garamond" w:hAnsi="Garamond" w:cs="Times New Roman"/>
          <w:bCs/>
          <w:iCs/>
          <w:color w:val="000000"/>
          <w:sz w:val="21"/>
          <w:szCs w:val="21"/>
        </w:rPr>
      </w:pPr>
      <w:r w:rsidRPr="00E6172A">
        <w:rPr>
          <w:rFonts w:ascii="Garamond" w:hAnsi="Garamond" w:cs="Times New Roman"/>
          <w:bCs/>
          <w:iCs/>
          <w:color w:val="000000"/>
          <w:sz w:val="21"/>
          <w:szCs w:val="21"/>
        </w:rPr>
        <w:lastRenderedPageBreak/>
        <w:t xml:space="preserve">In the </w:t>
      </w:r>
      <w:r w:rsidRPr="00E6172A">
        <w:rPr>
          <w:rFonts w:ascii="Garamond" w:hAnsi="Garamond" w:cs="Times New Roman"/>
          <w:b/>
          <w:bCs/>
          <w:iCs/>
          <w:color w:val="000000"/>
          <w:sz w:val="21"/>
          <w:szCs w:val="21"/>
        </w:rPr>
        <w:t>forecast horizon</w:t>
      </w:r>
      <w:r w:rsidRPr="00E6172A">
        <w:rPr>
          <w:rFonts w:ascii="Garamond" w:hAnsi="Garamond" w:cs="Times New Roman"/>
          <w:bCs/>
          <w:iCs/>
          <w:color w:val="000000"/>
          <w:sz w:val="21"/>
          <w:szCs w:val="21"/>
        </w:rPr>
        <w:t>,</w:t>
      </w:r>
      <w:r w:rsidRPr="004E7A10">
        <w:rPr>
          <w:rFonts w:ascii="Garamond" w:hAnsi="Garamond" w:cs="Times New Roman"/>
          <w:bCs/>
          <w:iCs/>
          <w:color w:val="000000"/>
          <w:sz w:val="21"/>
          <w:szCs w:val="21"/>
        </w:rPr>
        <w:t xml:space="preserve"> the </w:t>
      </w:r>
      <w:r w:rsidRPr="00E6172A">
        <w:rPr>
          <w:rFonts w:ascii="Garamond" w:hAnsi="Garamond" w:cs="Times New Roman"/>
          <w:bCs/>
          <w:iCs/>
          <w:color w:val="000000"/>
          <w:sz w:val="21"/>
          <w:szCs w:val="21"/>
        </w:rPr>
        <w:t>growth is expected to</w:t>
      </w:r>
      <w:r w:rsidRPr="00570434">
        <w:rPr>
          <w:rFonts w:ascii="Garamond" w:hAnsi="Garamond" w:cs="Times New Roman"/>
          <w:b/>
          <w:bCs/>
          <w:iCs/>
          <w:color w:val="000000"/>
          <w:sz w:val="21"/>
          <w:szCs w:val="21"/>
        </w:rPr>
        <w:t xml:space="preserve"> stabilize within 0</w:t>
      </w:r>
      <w:r w:rsidR="004648E6" w:rsidRPr="00570434">
        <w:rPr>
          <w:rFonts w:ascii="Garamond" w:hAnsi="Garamond" w:cs="Times New Roman"/>
          <w:b/>
          <w:bCs/>
          <w:iCs/>
          <w:color w:val="000000"/>
          <w:sz w:val="21"/>
          <w:szCs w:val="21"/>
        </w:rPr>
        <w:t>%</w:t>
      </w:r>
      <w:r w:rsidRPr="00570434">
        <w:rPr>
          <w:rFonts w:ascii="Garamond" w:hAnsi="Garamond" w:cs="Times New Roman"/>
          <w:b/>
          <w:bCs/>
          <w:iCs/>
          <w:color w:val="000000"/>
          <w:sz w:val="21"/>
          <w:szCs w:val="21"/>
        </w:rPr>
        <w:t>-</w:t>
      </w:r>
      <w:r w:rsidR="00570434">
        <w:rPr>
          <w:rFonts w:ascii="Garamond" w:hAnsi="Garamond" w:cs="Times New Roman"/>
          <w:b/>
          <w:bCs/>
          <w:iCs/>
          <w:color w:val="000000"/>
          <w:sz w:val="21"/>
          <w:szCs w:val="21"/>
        </w:rPr>
        <w:t>2</w:t>
      </w:r>
      <w:r w:rsidRPr="00570434">
        <w:rPr>
          <w:rFonts w:ascii="Garamond" w:hAnsi="Garamond" w:cs="Times New Roman"/>
          <w:b/>
          <w:bCs/>
          <w:iCs/>
          <w:color w:val="000000"/>
          <w:sz w:val="21"/>
          <w:szCs w:val="21"/>
        </w:rPr>
        <w:t>%</w:t>
      </w:r>
      <w:r w:rsidRPr="004E7A10">
        <w:rPr>
          <w:rFonts w:ascii="Garamond" w:hAnsi="Garamond" w:cs="Times New Roman"/>
          <w:bCs/>
          <w:iCs/>
          <w:color w:val="000000"/>
          <w:sz w:val="21"/>
          <w:szCs w:val="21"/>
        </w:rPr>
        <w:t xml:space="preserve"> as </w:t>
      </w:r>
      <w:r w:rsidR="00E6172A">
        <w:rPr>
          <w:rFonts w:ascii="Garamond" w:hAnsi="Garamond" w:cs="Times New Roman"/>
          <w:bCs/>
          <w:iCs/>
          <w:color w:val="000000"/>
          <w:sz w:val="21"/>
          <w:szCs w:val="21"/>
        </w:rPr>
        <w:t>the supply and demand imbalance in construction phases out. The growth will be driven mainly by large construction projects designed for infrastructure improvement</w:t>
      </w:r>
      <w:r w:rsidR="005F6F0B" w:rsidRPr="004E7A10">
        <w:rPr>
          <w:rFonts w:ascii="Garamond" w:hAnsi="Garamond" w:cs="Times New Roman"/>
          <w:bCs/>
          <w:iCs/>
          <w:color w:val="000000"/>
          <w:sz w:val="21"/>
          <w:szCs w:val="21"/>
        </w:rPr>
        <w:t xml:space="preserve">. </w:t>
      </w:r>
      <w:r w:rsidRPr="004E7A10">
        <w:rPr>
          <w:rFonts w:ascii="Garamond" w:hAnsi="Garamond" w:cs="Times New Roman"/>
          <w:bCs/>
          <w:iCs/>
          <w:color w:val="000000"/>
          <w:sz w:val="21"/>
          <w:szCs w:val="21"/>
        </w:rPr>
        <w:t xml:space="preserve"> </w:t>
      </w:r>
    </w:p>
    <w:p w14:paraId="49177586" w14:textId="77777777" w:rsidR="00831D26" w:rsidRPr="004E7A10" w:rsidRDefault="00831D26" w:rsidP="00831D26">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For</w:t>
      </w:r>
      <w:r w:rsidR="00FD571E" w:rsidRPr="004E7A10">
        <w:rPr>
          <w:rFonts w:ascii="Garamond" w:hAnsi="Garamond" w:cs="Times New Roman"/>
          <w:bCs/>
          <w:iCs/>
          <w:color w:val="000000"/>
          <w:sz w:val="21"/>
          <w:szCs w:val="21"/>
        </w:rPr>
        <w:t xml:space="preserve"> </w:t>
      </w:r>
      <w:r w:rsidRPr="004E7A10">
        <w:rPr>
          <w:rFonts w:ascii="Garamond" w:hAnsi="Garamond" w:cs="Times New Roman"/>
          <w:b/>
          <w:bCs/>
          <w:iCs/>
          <w:color w:val="000000"/>
          <w:sz w:val="21"/>
          <w:szCs w:val="21"/>
        </w:rPr>
        <w:t>Services</w:t>
      </w:r>
      <w:r w:rsidRPr="004E7A10">
        <w:rPr>
          <w:rFonts w:ascii="Garamond" w:hAnsi="Garamond" w:cs="Times New Roman"/>
          <w:bCs/>
          <w:iCs/>
          <w:color w:val="000000"/>
          <w:sz w:val="21"/>
          <w:szCs w:val="21"/>
        </w:rPr>
        <w:t xml:space="preserve">, the forecasts </w:t>
      </w:r>
      <w:r w:rsidR="00AD417F" w:rsidRPr="004E7A10">
        <w:rPr>
          <w:rFonts w:ascii="Garamond" w:hAnsi="Garamond" w:cs="Times New Roman"/>
          <w:bCs/>
          <w:iCs/>
          <w:color w:val="000000"/>
          <w:sz w:val="21"/>
          <w:szCs w:val="21"/>
        </w:rPr>
        <w:t xml:space="preserve">of value added </w:t>
      </w:r>
      <w:r w:rsidRPr="004E7A10">
        <w:rPr>
          <w:rFonts w:ascii="Garamond" w:hAnsi="Garamond" w:cs="Times New Roman"/>
          <w:bCs/>
          <w:iCs/>
          <w:color w:val="000000"/>
          <w:sz w:val="21"/>
          <w:szCs w:val="21"/>
        </w:rPr>
        <w:t xml:space="preserve">were revised </w:t>
      </w:r>
      <w:r w:rsidR="00D61982">
        <w:rPr>
          <w:rFonts w:ascii="Garamond" w:hAnsi="Garamond" w:cs="Times New Roman"/>
          <w:bCs/>
          <w:iCs/>
          <w:color w:val="000000"/>
          <w:sz w:val="21"/>
          <w:szCs w:val="21"/>
        </w:rPr>
        <w:t xml:space="preserve">slightly </w:t>
      </w:r>
      <w:r w:rsidR="00A60001" w:rsidRPr="004E7A10">
        <w:rPr>
          <w:rFonts w:ascii="Garamond" w:hAnsi="Garamond" w:cs="Times New Roman"/>
          <w:bCs/>
          <w:iCs/>
          <w:color w:val="000000"/>
          <w:sz w:val="21"/>
          <w:szCs w:val="21"/>
        </w:rPr>
        <w:t>downside</w:t>
      </w:r>
      <w:r w:rsidR="00383F73">
        <w:rPr>
          <w:rFonts w:ascii="Garamond" w:hAnsi="Garamond" w:cs="Times New Roman"/>
          <w:bCs/>
          <w:iCs/>
          <w:color w:val="000000"/>
          <w:sz w:val="21"/>
          <w:szCs w:val="21"/>
        </w:rPr>
        <w:t xml:space="preserve">, mostly due to factual negative developments in trade. </w:t>
      </w:r>
      <w:r w:rsidR="00383F73" w:rsidRPr="004E7A10">
        <w:rPr>
          <w:rFonts w:ascii="Garamond" w:hAnsi="Garamond" w:cs="Times New Roman"/>
          <w:bCs/>
          <w:iCs/>
          <w:color w:val="000000"/>
          <w:sz w:val="21"/>
          <w:szCs w:val="21"/>
        </w:rPr>
        <w:t xml:space="preserve">As a result, real growth of value added in services in 2015 is predicted in the range of </w:t>
      </w:r>
      <w:r w:rsidR="00383F73">
        <w:rPr>
          <w:rFonts w:ascii="Garamond" w:hAnsi="Garamond" w:cs="Times New Roman"/>
          <w:bCs/>
          <w:iCs/>
          <w:color w:val="000000"/>
          <w:sz w:val="21"/>
          <w:szCs w:val="21"/>
        </w:rPr>
        <w:t>0.6%-1</w:t>
      </w:r>
      <w:r w:rsidR="00383F73" w:rsidRPr="004E7A10">
        <w:rPr>
          <w:rFonts w:ascii="Garamond" w:hAnsi="Garamond" w:cs="Times New Roman"/>
          <w:bCs/>
          <w:iCs/>
          <w:color w:val="000000"/>
          <w:sz w:val="21"/>
          <w:szCs w:val="21"/>
        </w:rPr>
        <w:t>.</w:t>
      </w:r>
      <w:r w:rsidR="00383F73">
        <w:rPr>
          <w:rFonts w:ascii="Garamond" w:hAnsi="Garamond" w:cs="Times New Roman"/>
          <w:bCs/>
          <w:iCs/>
          <w:color w:val="000000"/>
          <w:sz w:val="21"/>
          <w:szCs w:val="21"/>
        </w:rPr>
        <w:t>6</w:t>
      </w:r>
      <w:r w:rsidR="00383F73" w:rsidRPr="004E7A10">
        <w:rPr>
          <w:rFonts w:ascii="Garamond" w:hAnsi="Garamond" w:cs="Times New Roman"/>
          <w:bCs/>
          <w:iCs/>
          <w:color w:val="000000"/>
          <w:sz w:val="21"/>
          <w:szCs w:val="21"/>
        </w:rPr>
        <w:t>%. Note that expected growth of the tourism industry could substantially contribute to an anticipated moderate growth during the year.</w:t>
      </w:r>
      <w:r w:rsidR="00383F73">
        <w:rPr>
          <w:rFonts w:ascii="Garamond" w:hAnsi="Garamond" w:cs="Times New Roman"/>
          <w:bCs/>
          <w:iCs/>
          <w:color w:val="000000"/>
          <w:sz w:val="21"/>
          <w:szCs w:val="21"/>
        </w:rPr>
        <w:t xml:space="preserve"> </w:t>
      </w:r>
    </w:p>
    <w:p w14:paraId="24047405" w14:textId="77777777" w:rsidR="00A9653E" w:rsidRPr="004E7A10" w:rsidRDefault="00831D26" w:rsidP="00831D26">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In the</w:t>
      </w:r>
      <w:r w:rsidRPr="004E7A10">
        <w:rPr>
          <w:rFonts w:ascii="Garamond" w:hAnsi="Garamond" w:cs="Times New Roman"/>
          <w:b/>
          <w:bCs/>
          <w:iCs/>
          <w:color w:val="000000"/>
          <w:sz w:val="21"/>
          <w:szCs w:val="21"/>
        </w:rPr>
        <w:t xml:space="preserve"> forecast horizon</w:t>
      </w:r>
      <w:r w:rsidRPr="004E7A10">
        <w:rPr>
          <w:rFonts w:ascii="Garamond" w:hAnsi="Garamond" w:cs="Times New Roman"/>
          <w:bCs/>
          <w:iCs/>
          <w:color w:val="000000"/>
          <w:sz w:val="21"/>
          <w:szCs w:val="21"/>
        </w:rPr>
        <w:t>,</w:t>
      </w:r>
      <w:r w:rsidR="00D5077E" w:rsidRPr="004E7A10">
        <w:rPr>
          <w:rFonts w:ascii="Garamond" w:hAnsi="Garamond" w:cs="Times New Roman"/>
          <w:bCs/>
          <w:iCs/>
          <w:color w:val="000000"/>
          <w:sz w:val="21"/>
          <w:szCs w:val="21"/>
        </w:rPr>
        <w:t xml:space="preserve"> </w:t>
      </w:r>
      <w:r w:rsidRPr="004E7A10">
        <w:rPr>
          <w:rFonts w:ascii="Garamond" w:hAnsi="Garamond" w:cs="Times New Roman"/>
          <w:bCs/>
          <w:iCs/>
          <w:color w:val="000000"/>
          <w:sz w:val="21"/>
          <w:szCs w:val="21"/>
        </w:rPr>
        <w:t xml:space="preserve">growth rates in services </w:t>
      </w:r>
      <w:r w:rsidR="00383F73">
        <w:rPr>
          <w:rFonts w:ascii="Garamond" w:hAnsi="Garamond" w:cs="Times New Roman"/>
          <w:bCs/>
          <w:iCs/>
          <w:color w:val="000000"/>
          <w:sz w:val="21"/>
          <w:szCs w:val="21"/>
        </w:rPr>
        <w:t xml:space="preserve">are expected to </w:t>
      </w:r>
      <w:r w:rsidR="00D5077E" w:rsidRPr="004E7A10">
        <w:rPr>
          <w:rFonts w:ascii="Garamond" w:hAnsi="Garamond" w:cs="Times New Roman"/>
          <w:bCs/>
          <w:iCs/>
          <w:color w:val="000000"/>
          <w:sz w:val="21"/>
          <w:szCs w:val="21"/>
        </w:rPr>
        <w:t xml:space="preserve">accelerate and </w:t>
      </w:r>
      <w:r w:rsidRPr="00383F73">
        <w:rPr>
          <w:rFonts w:ascii="Garamond" w:hAnsi="Garamond" w:cs="Times New Roman"/>
          <w:b/>
          <w:bCs/>
          <w:iCs/>
          <w:color w:val="000000"/>
          <w:sz w:val="21"/>
          <w:szCs w:val="21"/>
        </w:rPr>
        <w:t xml:space="preserve">stabilize </w:t>
      </w:r>
      <w:r w:rsidR="003836F9" w:rsidRPr="00383F73">
        <w:rPr>
          <w:rFonts w:ascii="Garamond" w:hAnsi="Garamond" w:cs="Times New Roman"/>
          <w:b/>
          <w:bCs/>
          <w:iCs/>
          <w:color w:val="000000"/>
          <w:sz w:val="21"/>
          <w:szCs w:val="21"/>
        </w:rPr>
        <w:t xml:space="preserve">within </w:t>
      </w:r>
      <w:r w:rsidR="00383F73">
        <w:rPr>
          <w:rFonts w:ascii="Garamond" w:hAnsi="Garamond" w:cs="Times New Roman"/>
          <w:b/>
          <w:bCs/>
          <w:iCs/>
          <w:color w:val="000000"/>
          <w:sz w:val="21"/>
          <w:szCs w:val="21"/>
        </w:rPr>
        <w:t>4</w:t>
      </w:r>
      <w:r w:rsidR="007A2495" w:rsidRPr="00383F73">
        <w:rPr>
          <w:rFonts w:ascii="Garamond" w:hAnsi="Garamond" w:cs="Times New Roman"/>
          <w:b/>
          <w:bCs/>
          <w:iCs/>
          <w:color w:val="000000"/>
          <w:sz w:val="21"/>
          <w:szCs w:val="21"/>
        </w:rPr>
        <w:t>%</w:t>
      </w:r>
      <w:r w:rsidR="003836F9" w:rsidRPr="00383F73">
        <w:rPr>
          <w:rFonts w:ascii="Garamond" w:hAnsi="Garamond" w:cs="Times New Roman"/>
          <w:b/>
          <w:bCs/>
          <w:iCs/>
          <w:color w:val="000000"/>
          <w:sz w:val="21"/>
          <w:szCs w:val="21"/>
        </w:rPr>
        <w:t>-</w:t>
      </w:r>
      <w:r w:rsidR="00383F73">
        <w:rPr>
          <w:rFonts w:ascii="Garamond" w:hAnsi="Garamond" w:cs="Times New Roman"/>
          <w:b/>
          <w:bCs/>
          <w:iCs/>
          <w:color w:val="000000"/>
          <w:sz w:val="21"/>
          <w:szCs w:val="21"/>
        </w:rPr>
        <w:t>5</w:t>
      </w:r>
      <w:r w:rsidRPr="00383F73">
        <w:rPr>
          <w:rFonts w:ascii="Garamond" w:hAnsi="Garamond" w:cs="Times New Roman"/>
          <w:b/>
          <w:bCs/>
          <w:iCs/>
          <w:color w:val="000000"/>
          <w:sz w:val="21"/>
          <w:szCs w:val="21"/>
        </w:rPr>
        <w:t>%</w:t>
      </w:r>
      <w:r w:rsidR="00D5077E" w:rsidRPr="004E7A10">
        <w:rPr>
          <w:rFonts w:ascii="Garamond" w:hAnsi="Garamond" w:cs="Times New Roman"/>
          <w:bCs/>
          <w:iCs/>
          <w:color w:val="000000"/>
          <w:sz w:val="21"/>
          <w:szCs w:val="21"/>
        </w:rPr>
        <w:t xml:space="preserve"> as the domestic demand recovers </w:t>
      </w:r>
      <w:r w:rsidR="00AD417F" w:rsidRPr="004E7A10">
        <w:rPr>
          <w:rFonts w:ascii="Garamond" w:hAnsi="Garamond" w:cs="Times New Roman"/>
          <w:bCs/>
          <w:iCs/>
          <w:color w:val="000000"/>
          <w:sz w:val="21"/>
          <w:szCs w:val="21"/>
        </w:rPr>
        <w:t>steadily</w:t>
      </w:r>
      <w:r w:rsidR="00383F73">
        <w:rPr>
          <w:rFonts w:ascii="Garamond" w:hAnsi="Garamond" w:cs="Times New Roman"/>
          <w:bCs/>
          <w:iCs/>
          <w:color w:val="000000"/>
          <w:sz w:val="21"/>
          <w:szCs w:val="21"/>
        </w:rPr>
        <w:t xml:space="preserve"> and travel services grow</w:t>
      </w:r>
      <w:r w:rsidR="00D5077E" w:rsidRPr="004E7A10">
        <w:rPr>
          <w:rFonts w:ascii="Garamond" w:hAnsi="Garamond" w:cs="Times New Roman"/>
          <w:bCs/>
          <w:iCs/>
          <w:color w:val="000000"/>
          <w:sz w:val="21"/>
          <w:szCs w:val="21"/>
        </w:rPr>
        <w:t xml:space="preserve">. </w:t>
      </w:r>
    </w:p>
    <w:p w14:paraId="59E396B1" w14:textId="5AD35A3D" w:rsidR="00A9653E" w:rsidRPr="004E7A10" w:rsidRDefault="00A9653E" w:rsidP="00A9653E">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For</w:t>
      </w:r>
      <w:r w:rsidR="00D5077E" w:rsidRPr="004E7A10">
        <w:rPr>
          <w:rFonts w:ascii="Garamond" w:hAnsi="Garamond" w:cs="Times New Roman"/>
          <w:bCs/>
          <w:iCs/>
          <w:color w:val="000000"/>
          <w:sz w:val="21"/>
          <w:szCs w:val="21"/>
        </w:rPr>
        <w:t xml:space="preserve"> </w:t>
      </w:r>
      <w:r w:rsidRPr="004E7A10">
        <w:rPr>
          <w:rFonts w:ascii="Garamond" w:hAnsi="Garamond" w:cs="Times New Roman"/>
          <w:b/>
          <w:bCs/>
          <w:iCs/>
          <w:color w:val="000000"/>
          <w:sz w:val="21"/>
          <w:szCs w:val="21"/>
        </w:rPr>
        <w:t>Agriculture</w:t>
      </w:r>
      <w:r w:rsidRPr="004E7A10">
        <w:rPr>
          <w:rFonts w:ascii="Garamond" w:hAnsi="Garamond" w:cs="Times New Roman"/>
          <w:bCs/>
          <w:iCs/>
          <w:color w:val="000000"/>
          <w:sz w:val="21"/>
          <w:szCs w:val="21"/>
        </w:rPr>
        <w:t xml:space="preserve">, the forecasts </w:t>
      </w:r>
      <w:r w:rsidR="00AD417F" w:rsidRPr="004E7A10">
        <w:rPr>
          <w:rFonts w:ascii="Garamond" w:hAnsi="Garamond" w:cs="Times New Roman"/>
          <w:bCs/>
          <w:iCs/>
          <w:color w:val="000000"/>
          <w:sz w:val="21"/>
          <w:szCs w:val="21"/>
        </w:rPr>
        <w:t xml:space="preserve">of value added </w:t>
      </w:r>
      <w:r w:rsidRPr="004E7A10">
        <w:rPr>
          <w:rFonts w:ascii="Garamond" w:hAnsi="Garamond" w:cs="Times New Roman"/>
          <w:bCs/>
          <w:iCs/>
          <w:color w:val="000000"/>
          <w:sz w:val="21"/>
          <w:szCs w:val="21"/>
        </w:rPr>
        <w:t xml:space="preserve">were revised </w:t>
      </w:r>
      <w:r w:rsidR="00FB3BD3">
        <w:rPr>
          <w:rFonts w:ascii="Garamond" w:hAnsi="Garamond" w:cs="Times New Roman"/>
          <w:bCs/>
          <w:iCs/>
          <w:color w:val="000000"/>
          <w:sz w:val="21"/>
          <w:szCs w:val="21"/>
        </w:rPr>
        <w:t>up</w:t>
      </w:r>
      <w:r w:rsidR="00AD417F" w:rsidRPr="004E7A10">
        <w:rPr>
          <w:rFonts w:ascii="Garamond" w:hAnsi="Garamond" w:cs="Times New Roman"/>
          <w:bCs/>
          <w:iCs/>
          <w:color w:val="000000"/>
          <w:sz w:val="21"/>
          <w:szCs w:val="21"/>
        </w:rPr>
        <w:t>side</w:t>
      </w:r>
      <w:r w:rsidRPr="004E7A10">
        <w:rPr>
          <w:rFonts w:ascii="Garamond" w:hAnsi="Garamond" w:cs="Times New Roman"/>
          <w:bCs/>
          <w:iCs/>
          <w:color w:val="000000"/>
          <w:sz w:val="21"/>
          <w:szCs w:val="21"/>
        </w:rPr>
        <w:t xml:space="preserve">, </w:t>
      </w:r>
      <w:r w:rsidR="00AD417F" w:rsidRPr="004E7A10">
        <w:rPr>
          <w:rFonts w:ascii="Garamond" w:hAnsi="Garamond" w:cs="Times New Roman"/>
          <w:bCs/>
          <w:iCs/>
          <w:color w:val="000000"/>
          <w:sz w:val="21"/>
          <w:szCs w:val="21"/>
        </w:rPr>
        <w:t xml:space="preserve">primarily due to </w:t>
      </w:r>
      <w:r w:rsidR="00FB3BD3">
        <w:rPr>
          <w:rFonts w:ascii="Garamond" w:hAnsi="Garamond" w:cs="Times New Roman"/>
          <w:bCs/>
          <w:iCs/>
          <w:color w:val="000000"/>
          <w:sz w:val="21"/>
          <w:szCs w:val="21"/>
        </w:rPr>
        <w:t xml:space="preserve">actual positive developments in the sector in the 1st quarter on the one hand and favorable weather on the other. </w:t>
      </w:r>
      <w:r w:rsidR="00DA29A5" w:rsidRPr="004E7A10">
        <w:rPr>
          <w:rFonts w:ascii="Garamond" w:hAnsi="Garamond" w:cs="Times New Roman"/>
          <w:bCs/>
          <w:iCs/>
          <w:color w:val="000000"/>
          <w:sz w:val="21"/>
          <w:szCs w:val="21"/>
        </w:rPr>
        <w:t>As a result, the real growth of value added in the sector in 201</w:t>
      </w:r>
      <w:r w:rsidR="00D847E4" w:rsidRPr="004E7A10">
        <w:rPr>
          <w:rFonts w:ascii="Garamond" w:hAnsi="Garamond" w:cs="Times New Roman"/>
          <w:bCs/>
          <w:iCs/>
          <w:color w:val="000000"/>
          <w:sz w:val="21"/>
          <w:szCs w:val="21"/>
        </w:rPr>
        <w:t>5</w:t>
      </w:r>
      <w:r w:rsidR="00DA29A5" w:rsidRPr="004E7A10">
        <w:rPr>
          <w:rFonts w:ascii="Garamond" w:hAnsi="Garamond" w:cs="Times New Roman"/>
          <w:bCs/>
          <w:iCs/>
          <w:color w:val="000000"/>
          <w:sz w:val="21"/>
          <w:szCs w:val="21"/>
        </w:rPr>
        <w:t xml:space="preserve"> is predicted in the range </w:t>
      </w:r>
      <w:r w:rsidR="007A2495" w:rsidRPr="004E7A10">
        <w:rPr>
          <w:rFonts w:ascii="Garamond" w:hAnsi="Garamond" w:cs="Times New Roman"/>
          <w:bCs/>
          <w:iCs/>
          <w:color w:val="000000"/>
          <w:sz w:val="21"/>
          <w:szCs w:val="21"/>
        </w:rPr>
        <w:t xml:space="preserve">of </w:t>
      </w:r>
      <w:r w:rsidR="00FB3BD3">
        <w:rPr>
          <w:rFonts w:ascii="Garamond" w:hAnsi="Garamond" w:cs="Times New Roman"/>
          <w:bCs/>
          <w:iCs/>
          <w:color w:val="000000"/>
          <w:sz w:val="21"/>
          <w:szCs w:val="21"/>
        </w:rPr>
        <w:t>6</w:t>
      </w:r>
      <w:r w:rsidR="00D847E4" w:rsidRPr="004E7A10">
        <w:rPr>
          <w:rFonts w:ascii="Garamond" w:hAnsi="Garamond" w:cs="Times New Roman"/>
          <w:bCs/>
          <w:iCs/>
          <w:color w:val="000000"/>
          <w:sz w:val="21"/>
          <w:szCs w:val="21"/>
        </w:rPr>
        <w:t>.5</w:t>
      </w:r>
      <w:r w:rsidR="007A2495" w:rsidRPr="004E7A10">
        <w:rPr>
          <w:rFonts w:ascii="Garamond" w:hAnsi="Garamond" w:cs="Times New Roman"/>
          <w:bCs/>
          <w:iCs/>
          <w:color w:val="000000"/>
          <w:sz w:val="21"/>
          <w:szCs w:val="21"/>
        </w:rPr>
        <w:t>%</w:t>
      </w:r>
      <w:r w:rsidR="00DA29A5" w:rsidRPr="004E7A10">
        <w:rPr>
          <w:rFonts w:ascii="Garamond" w:hAnsi="Garamond" w:cs="Times New Roman"/>
          <w:bCs/>
          <w:iCs/>
          <w:color w:val="000000"/>
          <w:sz w:val="21"/>
          <w:szCs w:val="21"/>
        </w:rPr>
        <w:t>-</w:t>
      </w:r>
      <w:r w:rsidR="00FB3BD3">
        <w:rPr>
          <w:rFonts w:ascii="Garamond" w:hAnsi="Garamond" w:cs="Times New Roman"/>
          <w:bCs/>
          <w:iCs/>
          <w:color w:val="000000"/>
          <w:sz w:val="21"/>
          <w:szCs w:val="21"/>
        </w:rPr>
        <w:t>7</w:t>
      </w:r>
      <w:r w:rsidR="00DA29A5" w:rsidRPr="004E7A10">
        <w:rPr>
          <w:rFonts w:ascii="Garamond" w:hAnsi="Garamond" w:cs="Times New Roman"/>
          <w:bCs/>
          <w:iCs/>
          <w:color w:val="000000"/>
          <w:sz w:val="21"/>
          <w:szCs w:val="21"/>
        </w:rPr>
        <w:t>.</w:t>
      </w:r>
      <w:r w:rsidR="00B83D28" w:rsidRPr="004E7A10">
        <w:rPr>
          <w:rFonts w:ascii="Garamond" w:hAnsi="Garamond" w:cs="Times New Roman"/>
          <w:bCs/>
          <w:iCs/>
          <w:color w:val="000000"/>
          <w:sz w:val="21"/>
          <w:szCs w:val="21"/>
        </w:rPr>
        <w:t>5</w:t>
      </w:r>
      <w:r w:rsidR="00DA29A5" w:rsidRPr="004E7A10">
        <w:rPr>
          <w:rFonts w:ascii="Garamond" w:hAnsi="Garamond" w:cs="Times New Roman"/>
          <w:bCs/>
          <w:iCs/>
          <w:color w:val="000000"/>
          <w:sz w:val="21"/>
          <w:szCs w:val="21"/>
        </w:rPr>
        <w:t>%.</w:t>
      </w:r>
    </w:p>
    <w:p w14:paraId="0B18EAF5" w14:textId="77777777" w:rsidR="00A9653E" w:rsidRPr="004E7A10" w:rsidRDefault="00A9653E" w:rsidP="00A9653E">
      <w:pPr>
        <w:spacing w:line="360" w:lineRule="auto"/>
        <w:jc w:val="both"/>
        <w:rPr>
          <w:rFonts w:ascii="Garamond" w:hAnsi="Garamond" w:cs="Times New Roman"/>
          <w:bCs/>
          <w:iCs/>
          <w:color w:val="000000"/>
          <w:sz w:val="21"/>
          <w:szCs w:val="21"/>
        </w:rPr>
      </w:pPr>
      <w:r w:rsidRPr="004E7A10">
        <w:rPr>
          <w:rFonts w:ascii="Garamond" w:hAnsi="Garamond" w:cs="Times New Roman"/>
          <w:bCs/>
          <w:iCs/>
          <w:color w:val="000000"/>
          <w:sz w:val="21"/>
          <w:szCs w:val="21"/>
        </w:rPr>
        <w:t>In the</w:t>
      </w:r>
      <w:r w:rsidRPr="004E7A10">
        <w:rPr>
          <w:rFonts w:ascii="Garamond" w:hAnsi="Garamond" w:cs="Times New Roman"/>
          <w:b/>
          <w:bCs/>
          <w:iCs/>
          <w:color w:val="000000"/>
          <w:sz w:val="21"/>
          <w:szCs w:val="21"/>
        </w:rPr>
        <w:t xml:space="preserve"> forecast horizon</w:t>
      </w:r>
      <w:r w:rsidRPr="005037B9">
        <w:rPr>
          <w:rFonts w:ascii="Garamond" w:hAnsi="Garamond" w:cs="Times New Roman"/>
          <w:b/>
          <w:bCs/>
          <w:iCs/>
          <w:color w:val="000000"/>
          <w:sz w:val="21"/>
          <w:szCs w:val="21"/>
        </w:rPr>
        <w:t>,</w:t>
      </w:r>
      <w:r w:rsidR="00AD417F" w:rsidRPr="005037B9">
        <w:rPr>
          <w:rFonts w:ascii="Garamond" w:hAnsi="Garamond" w:cs="Times New Roman"/>
          <w:b/>
          <w:bCs/>
          <w:iCs/>
          <w:color w:val="000000"/>
          <w:sz w:val="21"/>
          <w:szCs w:val="21"/>
        </w:rPr>
        <w:t xml:space="preserve"> </w:t>
      </w:r>
      <w:r w:rsidR="005037B9" w:rsidRPr="005037B9">
        <w:rPr>
          <w:rFonts w:ascii="Garamond" w:hAnsi="Garamond" w:cs="Times New Roman"/>
          <w:b/>
          <w:bCs/>
          <w:iCs/>
          <w:color w:val="000000"/>
          <w:sz w:val="21"/>
          <w:szCs w:val="21"/>
        </w:rPr>
        <w:t xml:space="preserve">the growth </w:t>
      </w:r>
      <w:r w:rsidR="005037B9">
        <w:rPr>
          <w:rFonts w:ascii="Garamond" w:hAnsi="Garamond" w:cs="Times New Roman"/>
          <w:b/>
          <w:bCs/>
          <w:iCs/>
          <w:color w:val="000000"/>
          <w:sz w:val="21"/>
          <w:szCs w:val="21"/>
        </w:rPr>
        <w:t xml:space="preserve">in </w:t>
      </w:r>
      <w:r w:rsidR="005037B9" w:rsidRPr="005037B9">
        <w:rPr>
          <w:rFonts w:ascii="Garamond" w:hAnsi="Garamond" w:cs="Times New Roman"/>
          <w:b/>
          <w:bCs/>
          <w:iCs/>
          <w:color w:val="000000"/>
          <w:sz w:val="21"/>
          <w:szCs w:val="21"/>
        </w:rPr>
        <w:t xml:space="preserve">agriculture will </w:t>
      </w:r>
      <w:r w:rsidR="00C326D4" w:rsidRPr="005037B9">
        <w:rPr>
          <w:rFonts w:ascii="Garamond" w:hAnsi="Garamond" w:cs="Times New Roman"/>
          <w:b/>
          <w:bCs/>
          <w:iCs/>
          <w:color w:val="000000"/>
          <w:sz w:val="21"/>
          <w:szCs w:val="21"/>
        </w:rPr>
        <w:t xml:space="preserve">stabilize </w:t>
      </w:r>
      <w:r w:rsidR="00176023" w:rsidRPr="005037B9">
        <w:rPr>
          <w:rFonts w:ascii="Garamond" w:hAnsi="Garamond" w:cs="Times New Roman"/>
          <w:b/>
          <w:bCs/>
          <w:iCs/>
          <w:color w:val="000000"/>
          <w:sz w:val="21"/>
          <w:szCs w:val="21"/>
        </w:rPr>
        <w:t xml:space="preserve">within </w:t>
      </w:r>
      <w:r w:rsidR="00C326D4" w:rsidRPr="005037B9">
        <w:rPr>
          <w:rFonts w:ascii="Garamond" w:hAnsi="Garamond" w:cs="Times New Roman"/>
          <w:b/>
          <w:bCs/>
          <w:iCs/>
          <w:color w:val="000000"/>
          <w:sz w:val="21"/>
          <w:szCs w:val="21"/>
        </w:rPr>
        <w:t>5</w:t>
      </w:r>
      <w:r w:rsidR="00414321" w:rsidRPr="005037B9">
        <w:rPr>
          <w:rFonts w:ascii="Garamond" w:hAnsi="Garamond" w:cs="Times New Roman"/>
          <w:b/>
          <w:bCs/>
          <w:iCs/>
          <w:color w:val="000000"/>
          <w:sz w:val="21"/>
          <w:szCs w:val="21"/>
        </w:rPr>
        <w:t>%</w:t>
      </w:r>
      <w:r w:rsidR="00C326D4" w:rsidRPr="005037B9">
        <w:rPr>
          <w:rFonts w:ascii="Garamond" w:hAnsi="Garamond" w:cs="Times New Roman"/>
          <w:b/>
          <w:bCs/>
          <w:iCs/>
          <w:color w:val="000000"/>
          <w:sz w:val="21"/>
          <w:szCs w:val="21"/>
        </w:rPr>
        <w:t>-</w:t>
      </w:r>
      <w:r w:rsidR="005037B9">
        <w:rPr>
          <w:rFonts w:ascii="Garamond" w:hAnsi="Garamond" w:cs="Times New Roman"/>
          <w:b/>
          <w:bCs/>
          <w:iCs/>
          <w:color w:val="000000"/>
          <w:sz w:val="21"/>
          <w:szCs w:val="21"/>
        </w:rPr>
        <w:t>6</w:t>
      </w:r>
      <w:r w:rsidR="00C326D4" w:rsidRPr="005037B9">
        <w:rPr>
          <w:rFonts w:ascii="Garamond" w:hAnsi="Garamond" w:cs="Times New Roman"/>
          <w:b/>
          <w:bCs/>
          <w:iCs/>
          <w:color w:val="000000"/>
          <w:sz w:val="21"/>
          <w:szCs w:val="21"/>
        </w:rPr>
        <w:t>%</w:t>
      </w:r>
      <w:r w:rsidR="005037B9">
        <w:rPr>
          <w:rFonts w:ascii="Garamond" w:hAnsi="Garamond" w:cs="Times New Roman"/>
          <w:bCs/>
          <w:iCs/>
          <w:color w:val="000000"/>
          <w:sz w:val="21"/>
          <w:szCs w:val="21"/>
        </w:rPr>
        <w:t>.</w:t>
      </w:r>
      <w:r w:rsidR="00C326D4" w:rsidRPr="004E7A10">
        <w:rPr>
          <w:rFonts w:ascii="Garamond" w:hAnsi="Garamond" w:cs="Times New Roman"/>
          <w:bCs/>
          <w:iCs/>
          <w:color w:val="000000"/>
          <w:sz w:val="21"/>
          <w:szCs w:val="21"/>
        </w:rPr>
        <w:t xml:space="preserve"> </w:t>
      </w:r>
      <w:r w:rsidR="00144CDE">
        <w:rPr>
          <w:rFonts w:ascii="Garamond" w:hAnsi="Garamond" w:cs="Times New Roman"/>
          <w:bCs/>
          <w:iCs/>
          <w:color w:val="000000"/>
          <w:sz w:val="21"/>
          <w:szCs w:val="21"/>
        </w:rPr>
        <w:t xml:space="preserve">Relatively high growth rates in the medium run will be possible to maintain due to more </w:t>
      </w:r>
      <w:r w:rsidR="00144CDE" w:rsidRPr="004E7A10">
        <w:rPr>
          <w:rFonts w:ascii="Garamond" w:hAnsi="Garamond" w:cs="Times New Roman"/>
          <w:bCs/>
          <w:iCs/>
          <w:color w:val="000000"/>
          <w:sz w:val="21"/>
          <w:szCs w:val="21"/>
        </w:rPr>
        <w:t>house farming facilities</w:t>
      </w:r>
      <w:r w:rsidR="00144CDE">
        <w:rPr>
          <w:rFonts w:ascii="Garamond" w:hAnsi="Garamond" w:cs="Times New Roman"/>
          <w:bCs/>
          <w:iCs/>
          <w:color w:val="000000"/>
          <w:sz w:val="21"/>
          <w:szCs w:val="21"/>
        </w:rPr>
        <w:t xml:space="preserve">, arable land, crops and cattle </w:t>
      </w:r>
      <w:r w:rsidR="00C326D4" w:rsidRPr="004E7A10">
        <w:rPr>
          <w:rFonts w:ascii="Garamond" w:hAnsi="Garamond" w:cs="Times New Roman"/>
          <w:bCs/>
          <w:iCs/>
          <w:color w:val="000000"/>
          <w:sz w:val="21"/>
          <w:szCs w:val="21"/>
        </w:rPr>
        <w:t xml:space="preserve">as </w:t>
      </w:r>
      <w:r w:rsidR="00144CDE">
        <w:rPr>
          <w:rFonts w:ascii="Garamond" w:hAnsi="Garamond" w:cs="Times New Roman"/>
          <w:bCs/>
          <w:iCs/>
          <w:color w:val="000000"/>
          <w:sz w:val="21"/>
          <w:szCs w:val="21"/>
        </w:rPr>
        <w:t xml:space="preserve">a result of consistent complex measures which the Government has taken on lately. </w:t>
      </w:r>
    </w:p>
    <w:p w14:paraId="55FA66A2" w14:textId="77777777" w:rsidR="00A9653E" w:rsidRPr="000D34B1" w:rsidRDefault="00A9653E" w:rsidP="00A9653E">
      <w:pPr>
        <w:spacing w:line="360" w:lineRule="auto"/>
        <w:jc w:val="both"/>
        <w:rPr>
          <w:rFonts w:ascii="Garamond" w:hAnsi="Garamond" w:cs="Times New Roman"/>
          <w:sz w:val="20"/>
          <w:szCs w:val="20"/>
        </w:rPr>
      </w:pPr>
      <w:r w:rsidRPr="004E7A10">
        <w:rPr>
          <w:rFonts w:ascii="Garamond" w:hAnsi="Garamond" w:cs="Times New Roman"/>
          <w:b/>
          <w:sz w:val="21"/>
          <w:szCs w:val="21"/>
        </w:rPr>
        <w:t xml:space="preserve">In the forecast horizon, </w:t>
      </w:r>
      <w:r w:rsidRPr="004E7A10">
        <w:rPr>
          <w:rFonts w:ascii="Garamond" w:hAnsi="Garamond" w:cs="Times New Roman"/>
          <w:b/>
          <w:bCs/>
          <w:iCs/>
          <w:color w:val="000000"/>
          <w:sz w:val="21"/>
          <w:szCs w:val="21"/>
        </w:rPr>
        <w:t>risks to the economic growth are dual sided</w:t>
      </w:r>
      <w:r w:rsidR="00176023" w:rsidRPr="004E7A10">
        <w:rPr>
          <w:rFonts w:ascii="Garamond" w:hAnsi="Garamond" w:cs="Times New Roman"/>
          <w:b/>
          <w:bCs/>
          <w:iCs/>
          <w:color w:val="000000"/>
          <w:sz w:val="21"/>
          <w:szCs w:val="21"/>
        </w:rPr>
        <w:t xml:space="preserve"> and </w:t>
      </w:r>
      <w:r w:rsidR="00414321" w:rsidRPr="004E7A10">
        <w:rPr>
          <w:rFonts w:ascii="Garamond" w:hAnsi="Garamond" w:cs="Times New Roman"/>
          <w:b/>
          <w:bCs/>
          <w:iCs/>
          <w:color w:val="000000"/>
          <w:sz w:val="21"/>
          <w:szCs w:val="21"/>
        </w:rPr>
        <w:t xml:space="preserve">come in </w:t>
      </w:r>
      <w:r w:rsidR="00176023" w:rsidRPr="004E7A10">
        <w:rPr>
          <w:rFonts w:ascii="Garamond" w:hAnsi="Garamond" w:cs="Times New Roman"/>
          <w:b/>
          <w:bCs/>
          <w:iCs/>
          <w:color w:val="000000"/>
          <w:sz w:val="21"/>
          <w:szCs w:val="21"/>
        </w:rPr>
        <w:t>mostly balanced</w:t>
      </w:r>
      <w:r w:rsidR="00364E4F" w:rsidRPr="00364E4F">
        <w:rPr>
          <w:rFonts w:ascii="Garamond" w:hAnsi="Garamond" w:cs="Times New Roman"/>
          <w:bCs/>
          <w:iCs/>
          <w:color w:val="000000"/>
          <w:sz w:val="21"/>
          <w:szCs w:val="21"/>
        </w:rPr>
        <w:t>.</w:t>
      </w:r>
      <w:r w:rsidR="00176023" w:rsidRPr="004E7A10">
        <w:rPr>
          <w:rFonts w:ascii="Garamond" w:hAnsi="Garamond" w:cs="Times New Roman"/>
          <w:b/>
          <w:bCs/>
          <w:iCs/>
          <w:color w:val="000000"/>
          <w:sz w:val="21"/>
          <w:szCs w:val="21"/>
        </w:rPr>
        <w:t xml:space="preserve"> </w:t>
      </w:r>
      <w:r w:rsidR="00176023" w:rsidRPr="004E7A10">
        <w:rPr>
          <w:rFonts w:ascii="Garamond" w:hAnsi="Garamond" w:cs="Times New Roman"/>
          <w:bCs/>
          <w:iCs/>
          <w:color w:val="000000"/>
          <w:sz w:val="21"/>
          <w:szCs w:val="21"/>
        </w:rPr>
        <w:t xml:space="preserve">In particular, </w:t>
      </w:r>
      <w:r w:rsidR="00364E4F">
        <w:rPr>
          <w:rFonts w:ascii="Garamond" w:hAnsi="Garamond" w:cs="Times New Roman"/>
          <w:bCs/>
          <w:iCs/>
          <w:color w:val="000000"/>
          <w:sz w:val="21"/>
          <w:szCs w:val="21"/>
        </w:rPr>
        <w:t xml:space="preserve">they </w:t>
      </w:r>
      <w:r w:rsidRPr="004E7A10">
        <w:rPr>
          <w:rFonts w:ascii="Garamond" w:hAnsi="Garamond" w:cs="Times New Roman"/>
          <w:sz w:val="21"/>
          <w:szCs w:val="21"/>
        </w:rPr>
        <w:t xml:space="preserve">depend on how </w:t>
      </w:r>
      <w:r w:rsidR="005919E8" w:rsidRPr="004E7A10">
        <w:rPr>
          <w:rFonts w:ascii="Garamond" w:hAnsi="Garamond" w:cs="Times New Roman"/>
          <w:sz w:val="21"/>
          <w:szCs w:val="21"/>
        </w:rPr>
        <w:t>the global ec</w:t>
      </w:r>
      <w:r w:rsidRPr="004E7A10">
        <w:rPr>
          <w:rFonts w:ascii="Garamond" w:hAnsi="Garamond" w:cs="Times New Roman"/>
          <w:sz w:val="21"/>
          <w:szCs w:val="21"/>
        </w:rPr>
        <w:t>onom</w:t>
      </w:r>
      <w:r w:rsidR="005919E8" w:rsidRPr="004E7A10">
        <w:rPr>
          <w:rFonts w:ascii="Garamond" w:hAnsi="Garamond" w:cs="Times New Roman"/>
          <w:sz w:val="21"/>
          <w:szCs w:val="21"/>
        </w:rPr>
        <w:t xml:space="preserve">y </w:t>
      </w:r>
      <w:r w:rsidRPr="004E7A10">
        <w:rPr>
          <w:rFonts w:ascii="Garamond" w:hAnsi="Garamond" w:cs="Times New Roman"/>
          <w:sz w:val="21"/>
          <w:szCs w:val="21"/>
        </w:rPr>
        <w:t xml:space="preserve">would </w:t>
      </w:r>
      <w:r w:rsidR="005919E8" w:rsidRPr="004E7A10">
        <w:rPr>
          <w:rFonts w:ascii="Garamond" w:hAnsi="Garamond" w:cs="Times New Roman"/>
          <w:sz w:val="21"/>
          <w:szCs w:val="21"/>
        </w:rPr>
        <w:t xml:space="preserve">develop </w:t>
      </w:r>
      <w:r w:rsidRPr="004E7A10">
        <w:rPr>
          <w:rFonts w:ascii="Garamond" w:hAnsi="Garamond" w:cs="Times New Roman"/>
          <w:sz w:val="21"/>
          <w:szCs w:val="21"/>
        </w:rPr>
        <w:t xml:space="preserve">further and </w:t>
      </w:r>
      <w:r w:rsidR="005919E8" w:rsidRPr="004E7A10">
        <w:rPr>
          <w:rFonts w:ascii="Garamond" w:hAnsi="Garamond" w:cs="Times New Roman"/>
          <w:sz w:val="21"/>
          <w:szCs w:val="21"/>
        </w:rPr>
        <w:t>what economic effects could be expectable from integration processes in the region</w:t>
      </w:r>
      <w:r w:rsidR="00364E4F">
        <w:rPr>
          <w:rFonts w:ascii="Garamond" w:hAnsi="Garamond" w:cs="Times New Roman"/>
          <w:sz w:val="21"/>
          <w:szCs w:val="21"/>
        </w:rPr>
        <w:t>,</w:t>
      </w:r>
      <w:r w:rsidR="005919E8" w:rsidRPr="004E7A10">
        <w:rPr>
          <w:rFonts w:ascii="Garamond" w:hAnsi="Garamond" w:cs="Times New Roman"/>
          <w:sz w:val="21"/>
          <w:szCs w:val="21"/>
        </w:rPr>
        <w:t xml:space="preserve"> on the one hand</w:t>
      </w:r>
      <w:r w:rsidR="00364E4F">
        <w:rPr>
          <w:rFonts w:ascii="Garamond" w:hAnsi="Garamond" w:cs="Times New Roman"/>
          <w:sz w:val="21"/>
          <w:szCs w:val="21"/>
        </w:rPr>
        <w:t>,</w:t>
      </w:r>
      <w:r w:rsidR="005919E8" w:rsidRPr="004E7A10">
        <w:rPr>
          <w:rFonts w:ascii="Garamond" w:hAnsi="Garamond" w:cs="Times New Roman"/>
          <w:sz w:val="21"/>
          <w:szCs w:val="21"/>
        </w:rPr>
        <w:t xml:space="preserve"> and on </w:t>
      </w:r>
      <w:r w:rsidR="00F65025" w:rsidRPr="000D34B1">
        <w:rPr>
          <w:rFonts w:ascii="Garamond" w:hAnsi="Garamond" w:cs="Times New Roman"/>
          <w:sz w:val="20"/>
          <w:szCs w:val="20"/>
        </w:rPr>
        <w:t>how investment activity in the tradable sector of the domestic economy would unfold</w:t>
      </w:r>
      <w:r w:rsidR="005919E8" w:rsidRPr="000D34B1">
        <w:rPr>
          <w:rFonts w:ascii="Garamond" w:hAnsi="Garamond" w:cs="Times New Roman"/>
          <w:sz w:val="20"/>
          <w:szCs w:val="20"/>
        </w:rPr>
        <w:t>, on the other</w:t>
      </w:r>
      <w:r w:rsidRPr="000D34B1">
        <w:rPr>
          <w:rFonts w:ascii="Garamond" w:hAnsi="Garamond" w:cs="Times New Roman"/>
          <w:sz w:val="20"/>
          <w:szCs w:val="20"/>
        </w:rPr>
        <w:t xml:space="preserve">. </w:t>
      </w:r>
    </w:p>
    <w:tbl>
      <w:tblPr>
        <w:tblW w:w="6237" w:type="dxa"/>
        <w:tblInd w:w="10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455"/>
        <w:gridCol w:w="826"/>
        <w:gridCol w:w="985"/>
        <w:gridCol w:w="985"/>
        <w:gridCol w:w="986"/>
      </w:tblGrid>
      <w:tr w:rsidR="00A9653E" w:rsidRPr="000D34B1" w14:paraId="76DB44F9" w14:textId="77777777" w:rsidTr="00DF2762">
        <w:trPr>
          <w:trHeight w:val="20"/>
        </w:trPr>
        <w:tc>
          <w:tcPr>
            <w:tcW w:w="6237" w:type="dxa"/>
            <w:gridSpan w:val="5"/>
            <w:tcBorders>
              <w:top w:val="single" w:sz="6" w:space="0" w:color="auto"/>
              <w:bottom w:val="single" w:sz="6" w:space="0" w:color="auto"/>
            </w:tcBorders>
            <w:shd w:val="clear" w:color="auto" w:fill="auto"/>
            <w:noWrap/>
            <w:vAlign w:val="bottom"/>
          </w:tcPr>
          <w:p w14:paraId="02404672" w14:textId="77777777" w:rsidR="00A9653E" w:rsidRPr="000D34B1" w:rsidRDefault="00A9653E" w:rsidP="00DF2762">
            <w:pPr>
              <w:spacing w:before="20" w:after="20"/>
              <w:contextualSpacing/>
              <w:jc w:val="center"/>
              <w:rPr>
                <w:rFonts w:ascii="Garamond" w:hAnsi="Garamond" w:cs="Times New Roman"/>
                <w:b/>
                <w:bCs/>
                <w:sz w:val="20"/>
                <w:szCs w:val="20"/>
                <w:lang w:val="hy-AM"/>
              </w:rPr>
            </w:pPr>
            <w:r w:rsidRPr="000D34B1">
              <w:rPr>
                <w:rFonts w:ascii="Garamond" w:hAnsi="Garamond" w:cs="Times New Roman"/>
                <w:b/>
                <w:sz w:val="20"/>
                <w:szCs w:val="20"/>
              </w:rPr>
              <w:t>Real GDP Growth (Cumulative) Projection Probability Distribution</w:t>
            </w:r>
          </w:p>
        </w:tc>
      </w:tr>
      <w:tr w:rsidR="00A9653E" w:rsidRPr="000D34B1" w14:paraId="15B76A89" w14:textId="77777777" w:rsidTr="00DF2762">
        <w:trPr>
          <w:trHeight w:val="20"/>
        </w:trPr>
        <w:tc>
          <w:tcPr>
            <w:tcW w:w="2455" w:type="dxa"/>
            <w:vMerge w:val="restart"/>
            <w:tcBorders>
              <w:top w:val="single" w:sz="6" w:space="0" w:color="auto"/>
              <w:bottom w:val="dashed" w:sz="4" w:space="0" w:color="auto"/>
            </w:tcBorders>
            <w:shd w:val="clear" w:color="auto" w:fill="auto"/>
            <w:vAlign w:val="center"/>
          </w:tcPr>
          <w:p w14:paraId="54F20230" w14:textId="77777777" w:rsidR="00A9653E" w:rsidRPr="000D34B1" w:rsidRDefault="00A9653E" w:rsidP="00DF2762">
            <w:pPr>
              <w:spacing w:before="20" w:after="20"/>
              <w:contextualSpacing/>
              <w:jc w:val="center"/>
              <w:rPr>
                <w:rFonts w:ascii="Garamond" w:hAnsi="Garamond" w:cs="Times New Roman"/>
                <w:sz w:val="20"/>
                <w:szCs w:val="20"/>
              </w:rPr>
            </w:pPr>
            <w:r w:rsidRPr="000D34B1">
              <w:rPr>
                <w:rFonts w:ascii="Garamond" w:hAnsi="Garamond" w:cs="Times New Roman"/>
                <w:sz w:val="20"/>
                <w:szCs w:val="20"/>
              </w:rPr>
              <w:t>Period</w:t>
            </w:r>
          </w:p>
        </w:tc>
        <w:tc>
          <w:tcPr>
            <w:tcW w:w="1811" w:type="dxa"/>
            <w:gridSpan w:val="2"/>
            <w:tcBorders>
              <w:top w:val="single" w:sz="6" w:space="0" w:color="auto"/>
              <w:bottom w:val="dashed" w:sz="4" w:space="0" w:color="auto"/>
            </w:tcBorders>
            <w:shd w:val="clear" w:color="auto" w:fill="auto"/>
            <w:vAlign w:val="bottom"/>
          </w:tcPr>
          <w:p w14:paraId="634AD469" w14:textId="77777777" w:rsidR="00A9653E" w:rsidRPr="000D34B1" w:rsidRDefault="00A9653E" w:rsidP="00DF2762">
            <w:pPr>
              <w:spacing w:before="40" w:after="40"/>
              <w:contextualSpacing/>
              <w:jc w:val="center"/>
              <w:rPr>
                <w:rFonts w:ascii="Garamond" w:hAnsi="Garamond" w:cs="Times New Roman"/>
                <w:sz w:val="20"/>
                <w:szCs w:val="20"/>
              </w:rPr>
            </w:pPr>
            <w:r w:rsidRPr="000D34B1">
              <w:rPr>
                <w:rFonts w:ascii="Garamond" w:hAnsi="Garamond" w:cs="Times New Roman"/>
                <w:sz w:val="20"/>
                <w:szCs w:val="20"/>
              </w:rPr>
              <w:t>30% probability interval</w:t>
            </w:r>
          </w:p>
        </w:tc>
        <w:tc>
          <w:tcPr>
            <w:tcW w:w="1971" w:type="dxa"/>
            <w:gridSpan w:val="2"/>
            <w:tcBorders>
              <w:top w:val="single" w:sz="6" w:space="0" w:color="auto"/>
              <w:bottom w:val="dashed" w:sz="4" w:space="0" w:color="auto"/>
            </w:tcBorders>
            <w:shd w:val="clear" w:color="auto" w:fill="auto"/>
            <w:vAlign w:val="bottom"/>
          </w:tcPr>
          <w:p w14:paraId="48C3AC57" w14:textId="77777777" w:rsidR="00A9653E" w:rsidRPr="000D34B1" w:rsidRDefault="00A9653E" w:rsidP="00DF2762">
            <w:pPr>
              <w:spacing w:before="40" w:after="40"/>
              <w:contextualSpacing/>
              <w:jc w:val="center"/>
              <w:rPr>
                <w:rFonts w:ascii="Garamond" w:hAnsi="Garamond" w:cs="Times New Roman"/>
                <w:sz w:val="20"/>
                <w:szCs w:val="20"/>
              </w:rPr>
            </w:pPr>
            <w:r w:rsidRPr="000D34B1">
              <w:rPr>
                <w:rFonts w:ascii="Garamond" w:hAnsi="Garamond" w:cs="Times New Roman"/>
                <w:sz w:val="20"/>
                <w:szCs w:val="20"/>
              </w:rPr>
              <w:t>90% probability interval</w:t>
            </w:r>
          </w:p>
        </w:tc>
      </w:tr>
      <w:tr w:rsidR="00A9653E" w:rsidRPr="000D34B1" w14:paraId="5E83F11B" w14:textId="77777777" w:rsidTr="00DF2762">
        <w:trPr>
          <w:trHeight w:val="20"/>
        </w:trPr>
        <w:tc>
          <w:tcPr>
            <w:tcW w:w="2455" w:type="dxa"/>
            <w:vMerge/>
            <w:tcBorders>
              <w:top w:val="dashed" w:sz="4" w:space="0" w:color="auto"/>
              <w:bottom w:val="single" w:sz="6" w:space="0" w:color="auto"/>
            </w:tcBorders>
            <w:vAlign w:val="center"/>
          </w:tcPr>
          <w:p w14:paraId="387ED6F2" w14:textId="77777777" w:rsidR="00A9653E" w:rsidRPr="000D34B1" w:rsidRDefault="00A9653E" w:rsidP="00DF2762">
            <w:pPr>
              <w:spacing w:before="20" w:after="20"/>
              <w:contextualSpacing/>
              <w:rPr>
                <w:rFonts w:ascii="Garamond" w:hAnsi="Garamond" w:cs="Times New Roman"/>
                <w:sz w:val="20"/>
                <w:szCs w:val="20"/>
              </w:rPr>
            </w:pPr>
          </w:p>
        </w:tc>
        <w:tc>
          <w:tcPr>
            <w:tcW w:w="826" w:type="dxa"/>
            <w:tcBorders>
              <w:top w:val="dashed" w:sz="4" w:space="0" w:color="auto"/>
              <w:bottom w:val="single" w:sz="6" w:space="0" w:color="auto"/>
            </w:tcBorders>
            <w:shd w:val="clear" w:color="auto" w:fill="auto"/>
            <w:vAlign w:val="bottom"/>
          </w:tcPr>
          <w:p w14:paraId="7508DF32" w14:textId="77777777" w:rsidR="00A9653E" w:rsidRPr="000D34B1" w:rsidRDefault="00A9653E" w:rsidP="00DF2762">
            <w:pPr>
              <w:spacing w:before="20" w:after="20"/>
              <w:contextualSpacing/>
              <w:jc w:val="center"/>
              <w:rPr>
                <w:rFonts w:ascii="Garamond" w:hAnsi="Garamond" w:cs="Times New Roman"/>
                <w:sz w:val="20"/>
                <w:szCs w:val="20"/>
              </w:rPr>
            </w:pPr>
            <w:r w:rsidRPr="000D34B1">
              <w:rPr>
                <w:rFonts w:ascii="Garamond" w:hAnsi="Garamond" w:cs="Times New Roman"/>
                <w:sz w:val="20"/>
                <w:szCs w:val="20"/>
              </w:rPr>
              <w:t>Min</w:t>
            </w:r>
          </w:p>
        </w:tc>
        <w:tc>
          <w:tcPr>
            <w:tcW w:w="985" w:type="dxa"/>
            <w:tcBorders>
              <w:top w:val="dashed" w:sz="4" w:space="0" w:color="auto"/>
              <w:bottom w:val="single" w:sz="6" w:space="0" w:color="auto"/>
            </w:tcBorders>
            <w:shd w:val="clear" w:color="auto" w:fill="auto"/>
            <w:vAlign w:val="bottom"/>
          </w:tcPr>
          <w:p w14:paraId="706786D5" w14:textId="77777777" w:rsidR="00A9653E" w:rsidRPr="000D34B1" w:rsidRDefault="00A9653E" w:rsidP="00DF2762">
            <w:pPr>
              <w:spacing w:before="20" w:after="20"/>
              <w:contextualSpacing/>
              <w:jc w:val="center"/>
              <w:rPr>
                <w:rFonts w:ascii="Garamond" w:hAnsi="Garamond" w:cs="Times New Roman"/>
                <w:sz w:val="20"/>
                <w:szCs w:val="20"/>
              </w:rPr>
            </w:pPr>
            <w:r w:rsidRPr="000D34B1">
              <w:rPr>
                <w:rFonts w:ascii="Garamond" w:hAnsi="Garamond" w:cs="Times New Roman"/>
                <w:sz w:val="20"/>
                <w:szCs w:val="20"/>
              </w:rPr>
              <w:t>Max</w:t>
            </w:r>
          </w:p>
        </w:tc>
        <w:tc>
          <w:tcPr>
            <w:tcW w:w="985" w:type="dxa"/>
            <w:tcBorders>
              <w:top w:val="dashed" w:sz="4" w:space="0" w:color="auto"/>
              <w:bottom w:val="single" w:sz="6" w:space="0" w:color="auto"/>
            </w:tcBorders>
            <w:shd w:val="clear" w:color="auto" w:fill="auto"/>
            <w:vAlign w:val="bottom"/>
          </w:tcPr>
          <w:p w14:paraId="4EAC9B61" w14:textId="77777777" w:rsidR="00A9653E" w:rsidRPr="000D34B1" w:rsidRDefault="00A9653E" w:rsidP="00DF2762">
            <w:pPr>
              <w:spacing w:before="20" w:after="20"/>
              <w:contextualSpacing/>
              <w:jc w:val="center"/>
              <w:rPr>
                <w:rFonts w:ascii="Garamond" w:hAnsi="Garamond" w:cs="Times New Roman"/>
                <w:sz w:val="20"/>
                <w:szCs w:val="20"/>
              </w:rPr>
            </w:pPr>
            <w:r w:rsidRPr="000D34B1">
              <w:rPr>
                <w:rFonts w:ascii="Garamond" w:hAnsi="Garamond" w:cs="Times New Roman"/>
                <w:sz w:val="20"/>
                <w:szCs w:val="20"/>
              </w:rPr>
              <w:t>Min</w:t>
            </w:r>
          </w:p>
        </w:tc>
        <w:tc>
          <w:tcPr>
            <w:tcW w:w="986" w:type="dxa"/>
            <w:tcBorders>
              <w:top w:val="dashed" w:sz="4" w:space="0" w:color="auto"/>
              <w:bottom w:val="single" w:sz="6" w:space="0" w:color="auto"/>
            </w:tcBorders>
            <w:shd w:val="clear" w:color="auto" w:fill="auto"/>
            <w:vAlign w:val="bottom"/>
          </w:tcPr>
          <w:p w14:paraId="4ED1B7C5" w14:textId="77777777" w:rsidR="00A9653E" w:rsidRPr="000D34B1" w:rsidRDefault="00A9653E" w:rsidP="00DF2762">
            <w:pPr>
              <w:spacing w:before="20" w:after="20"/>
              <w:contextualSpacing/>
              <w:jc w:val="center"/>
              <w:rPr>
                <w:rFonts w:ascii="Garamond" w:hAnsi="Garamond" w:cs="Times New Roman"/>
                <w:sz w:val="20"/>
                <w:szCs w:val="20"/>
              </w:rPr>
            </w:pPr>
            <w:r w:rsidRPr="000D34B1">
              <w:rPr>
                <w:rFonts w:ascii="Garamond" w:hAnsi="Garamond" w:cs="Times New Roman"/>
                <w:sz w:val="20"/>
                <w:szCs w:val="20"/>
              </w:rPr>
              <w:t>Max</w:t>
            </w:r>
          </w:p>
        </w:tc>
      </w:tr>
      <w:tr w:rsidR="000D34B1" w:rsidRPr="000D34B1" w14:paraId="0DC50B06" w14:textId="77777777" w:rsidTr="00DF2762">
        <w:trPr>
          <w:trHeight w:val="20"/>
        </w:trPr>
        <w:tc>
          <w:tcPr>
            <w:tcW w:w="2455" w:type="dxa"/>
            <w:shd w:val="clear" w:color="auto" w:fill="auto"/>
            <w:vAlign w:val="center"/>
          </w:tcPr>
          <w:p w14:paraId="06C59245" w14:textId="77777777" w:rsidR="000D34B1" w:rsidRPr="000D34B1" w:rsidRDefault="000D34B1" w:rsidP="00F65025">
            <w:pPr>
              <w:spacing w:before="40" w:after="40"/>
              <w:contextualSpacing/>
              <w:rPr>
                <w:rFonts w:ascii="Garamond" w:hAnsi="Garamond" w:cs="Times New Roman"/>
                <w:bCs/>
                <w:sz w:val="20"/>
                <w:szCs w:val="20"/>
              </w:rPr>
            </w:pPr>
            <w:r w:rsidRPr="000D34B1">
              <w:rPr>
                <w:rFonts w:ascii="Garamond" w:hAnsi="Garamond" w:cs="Times New Roman"/>
                <w:bCs/>
                <w:sz w:val="20"/>
                <w:szCs w:val="20"/>
              </w:rPr>
              <w:t>January-December 2015 / January-December 2014</w:t>
            </w:r>
          </w:p>
        </w:tc>
        <w:tc>
          <w:tcPr>
            <w:tcW w:w="826" w:type="dxa"/>
            <w:shd w:val="clear" w:color="auto" w:fill="auto"/>
            <w:noWrap/>
            <w:vAlign w:val="bottom"/>
          </w:tcPr>
          <w:p w14:paraId="64892566"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1.6%</w:t>
            </w:r>
          </w:p>
        </w:tc>
        <w:tc>
          <w:tcPr>
            <w:tcW w:w="985" w:type="dxa"/>
            <w:shd w:val="clear" w:color="auto" w:fill="auto"/>
            <w:noWrap/>
            <w:vAlign w:val="bottom"/>
          </w:tcPr>
          <w:p w14:paraId="7C6CAD11"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2.6%</w:t>
            </w:r>
          </w:p>
        </w:tc>
        <w:tc>
          <w:tcPr>
            <w:tcW w:w="985" w:type="dxa"/>
            <w:shd w:val="clear" w:color="auto" w:fill="auto"/>
            <w:noWrap/>
            <w:vAlign w:val="bottom"/>
          </w:tcPr>
          <w:p w14:paraId="70385E68"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-0.1%</w:t>
            </w:r>
          </w:p>
        </w:tc>
        <w:tc>
          <w:tcPr>
            <w:tcW w:w="986" w:type="dxa"/>
            <w:shd w:val="clear" w:color="auto" w:fill="auto"/>
            <w:noWrap/>
            <w:vAlign w:val="bottom"/>
          </w:tcPr>
          <w:p w14:paraId="3D8AB816"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4.1%</w:t>
            </w:r>
          </w:p>
        </w:tc>
      </w:tr>
      <w:tr w:rsidR="000D34B1" w:rsidRPr="000D34B1" w14:paraId="4C3CDD1A" w14:textId="77777777" w:rsidTr="00DF2762">
        <w:trPr>
          <w:trHeight w:val="20"/>
        </w:trPr>
        <w:tc>
          <w:tcPr>
            <w:tcW w:w="2455" w:type="dxa"/>
            <w:shd w:val="clear" w:color="auto" w:fill="auto"/>
            <w:vAlign w:val="center"/>
          </w:tcPr>
          <w:p w14:paraId="5B448F4A" w14:textId="77777777" w:rsidR="000D34B1" w:rsidRPr="000D34B1" w:rsidRDefault="000D34B1" w:rsidP="00F65025">
            <w:pPr>
              <w:spacing w:before="40" w:after="40"/>
              <w:contextualSpacing/>
              <w:rPr>
                <w:rFonts w:ascii="Garamond" w:hAnsi="Garamond" w:cs="Times New Roman"/>
                <w:bCs/>
                <w:sz w:val="20"/>
                <w:szCs w:val="20"/>
              </w:rPr>
            </w:pPr>
            <w:r w:rsidRPr="000D34B1">
              <w:rPr>
                <w:rFonts w:ascii="Garamond" w:hAnsi="Garamond" w:cs="Times New Roman"/>
                <w:bCs/>
                <w:sz w:val="20"/>
                <w:szCs w:val="20"/>
              </w:rPr>
              <w:t>January-December 2016 / January-December 2015</w:t>
            </w:r>
          </w:p>
        </w:tc>
        <w:tc>
          <w:tcPr>
            <w:tcW w:w="826" w:type="dxa"/>
            <w:shd w:val="clear" w:color="auto" w:fill="auto"/>
            <w:noWrap/>
            <w:vAlign w:val="bottom"/>
          </w:tcPr>
          <w:p w14:paraId="7039E6DE"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1.4%</w:t>
            </w:r>
          </w:p>
        </w:tc>
        <w:tc>
          <w:tcPr>
            <w:tcW w:w="985" w:type="dxa"/>
            <w:shd w:val="clear" w:color="auto" w:fill="auto"/>
            <w:noWrap/>
            <w:vAlign w:val="bottom"/>
          </w:tcPr>
          <w:p w14:paraId="785ABC72"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2.8%</w:t>
            </w:r>
          </w:p>
        </w:tc>
        <w:tc>
          <w:tcPr>
            <w:tcW w:w="985" w:type="dxa"/>
            <w:shd w:val="clear" w:color="auto" w:fill="auto"/>
            <w:noWrap/>
            <w:vAlign w:val="bottom"/>
          </w:tcPr>
          <w:p w14:paraId="4BFC4D89"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-0.9%</w:t>
            </w:r>
          </w:p>
        </w:tc>
        <w:tc>
          <w:tcPr>
            <w:tcW w:w="986" w:type="dxa"/>
            <w:shd w:val="clear" w:color="auto" w:fill="auto"/>
            <w:noWrap/>
            <w:vAlign w:val="bottom"/>
          </w:tcPr>
          <w:p w14:paraId="29375ECE"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5.1%</w:t>
            </w:r>
          </w:p>
        </w:tc>
      </w:tr>
      <w:tr w:rsidR="000D34B1" w:rsidRPr="000D34B1" w14:paraId="05DE93E6" w14:textId="77777777" w:rsidTr="00DF2762">
        <w:trPr>
          <w:trHeight w:val="20"/>
        </w:trPr>
        <w:tc>
          <w:tcPr>
            <w:tcW w:w="2455" w:type="dxa"/>
            <w:shd w:val="clear" w:color="auto" w:fill="auto"/>
            <w:vAlign w:val="center"/>
          </w:tcPr>
          <w:p w14:paraId="55FB073C" w14:textId="77777777" w:rsidR="000D34B1" w:rsidRPr="000D34B1" w:rsidRDefault="000D34B1" w:rsidP="00F65025">
            <w:pPr>
              <w:spacing w:before="40" w:after="40"/>
              <w:contextualSpacing/>
              <w:rPr>
                <w:rFonts w:ascii="Garamond" w:hAnsi="Garamond" w:cs="Times New Roman"/>
                <w:bCs/>
                <w:sz w:val="20"/>
                <w:szCs w:val="20"/>
              </w:rPr>
            </w:pPr>
            <w:r w:rsidRPr="000D34B1">
              <w:rPr>
                <w:rFonts w:ascii="Garamond" w:hAnsi="Garamond" w:cs="Times New Roman"/>
                <w:bCs/>
                <w:sz w:val="20"/>
                <w:szCs w:val="20"/>
              </w:rPr>
              <w:t>January-December 2017 / January-December 2016</w:t>
            </w:r>
          </w:p>
        </w:tc>
        <w:tc>
          <w:tcPr>
            <w:tcW w:w="826" w:type="dxa"/>
            <w:shd w:val="clear" w:color="auto" w:fill="auto"/>
            <w:noWrap/>
            <w:vAlign w:val="bottom"/>
          </w:tcPr>
          <w:p w14:paraId="1A516C01"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3.4%</w:t>
            </w:r>
          </w:p>
        </w:tc>
        <w:tc>
          <w:tcPr>
            <w:tcW w:w="985" w:type="dxa"/>
            <w:shd w:val="clear" w:color="auto" w:fill="auto"/>
            <w:noWrap/>
            <w:vAlign w:val="bottom"/>
          </w:tcPr>
          <w:p w14:paraId="40A928B9"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5%</w:t>
            </w:r>
          </w:p>
        </w:tc>
        <w:tc>
          <w:tcPr>
            <w:tcW w:w="985" w:type="dxa"/>
            <w:shd w:val="clear" w:color="auto" w:fill="auto"/>
            <w:noWrap/>
            <w:vAlign w:val="bottom"/>
          </w:tcPr>
          <w:p w14:paraId="348C0A30"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-0.9%</w:t>
            </w:r>
          </w:p>
        </w:tc>
        <w:tc>
          <w:tcPr>
            <w:tcW w:w="986" w:type="dxa"/>
            <w:shd w:val="clear" w:color="auto" w:fill="auto"/>
            <w:noWrap/>
            <w:vAlign w:val="bottom"/>
          </w:tcPr>
          <w:p w14:paraId="7B6FAA20" w14:textId="77777777" w:rsidR="000D34B1" w:rsidRPr="000D34B1" w:rsidRDefault="000D34B1" w:rsidP="000B46D8">
            <w:pPr>
              <w:spacing w:before="20" w:after="20"/>
              <w:contextualSpacing/>
              <w:jc w:val="center"/>
              <w:rPr>
                <w:rFonts w:ascii="Garamond" w:hAnsi="Garamond" w:cs="Arial"/>
                <w:sz w:val="20"/>
                <w:szCs w:val="20"/>
              </w:rPr>
            </w:pPr>
            <w:r w:rsidRPr="000D34B1">
              <w:rPr>
                <w:rFonts w:ascii="Garamond" w:hAnsi="Garamond" w:cs="Arial"/>
                <w:sz w:val="20"/>
                <w:szCs w:val="20"/>
              </w:rPr>
              <w:t>7.5%</w:t>
            </w:r>
          </w:p>
        </w:tc>
      </w:tr>
    </w:tbl>
    <w:p w14:paraId="46DCA536" w14:textId="77777777" w:rsidR="00A9653E" w:rsidRPr="000D34B1" w:rsidRDefault="00A9653E" w:rsidP="00A9653E">
      <w:pPr>
        <w:tabs>
          <w:tab w:val="left" w:pos="600"/>
        </w:tabs>
        <w:ind w:firstLine="284"/>
        <w:jc w:val="both"/>
        <w:rPr>
          <w:rFonts w:ascii="Garamond" w:hAnsi="Garamond" w:cs="Times New Roman"/>
          <w:b/>
          <w:i/>
          <w:iCs/>
          <w:color w:val="FF0000"/>
          <w:sz w:val="20"/>
          <w:szCs w:val="20"/>
        </w:rPr>
      </w:pPr>
    </w:p>
    <w:p w14:paraId="19BAED79" w14:textId="77777777" w:rsidR="007D1974" w:rsidRDefault="007D1974" w:rsidP="00A9653E">
      <w:pPr>
        <w:spacing w:line="360" w:lineRule="auto"/>
        <w:jc w:val="both"/>
        <w:rPr>
          <w:rFonts w:ascii="Garamond" w:hAnsi="Garamond" w:cs="Times New Roman"/>
          <w:b/>
          <w:sz w:val="21"/>
          <w:szCs w:val="21"/>
        </w:rPr>
      </w:pPr>
    </w:p>
    <w:p w14:paraId="3335012A" w14:textId="77777777" w:rsidR="007D1974" w:rsidRPr="007D1974" w:rsidRDefault="007D1974" w:rsidP="00A9653E">
      <w:pPr>
        <w:spacing w:line="360" w:lineRule="auto"/>
        <w:jc w:val="both"/>
        <w:rPr>
          <w:rFonts w:ascii="Garamond" w:hAnsi="Garamond" w:cs="Times New Roman"/>
          <w:b/>
          <w:color w:val="0070C0"/>
          <w:sz w:val="18"/>
          <w:szCs w:val="18"/>
        </w:rPr>
      </w:pPr>
      <w:r w:rsidRPr="007D1974">
        <w:rPr>
          <w:rFonts w:ascii="Garamond" w:hAnsi="Garamond" w:cs="Times New Roman"/>
          <w:b/>
          <w:color w:val="0070C0"/>
          <w:sz w:val="18"/>
          <w:szCs w:val="18"/>
        </w:rPr>
        <w:t>Average nominal wage is expected to grow by 8.3% in 2015, by 6.1% in 2016 and by about 6.5% in 2017…</w:t>
      </w:r>
    </w:p>
    <w:p w14:paraId="137A89AB" w14:textId="77777777" w:rsidR="00977AB3"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lastRenderedPageBreak/>
        <w:t>Labor market:</w:t>
      </w:r>
      <w:r w:rsidR="000D34B1">
        <w:rPr>
          <w:rStyle w:val="FootnoteReference"/>
          <w:rFonts w:ascii="Garamond" w:hAnsi="Garamond" w:cs="Times New Roman"/>
          <w:sz w:val="21"/>
          <w:szCs w:val="21"/>
        </w:rPr>
        <w:footnoteReference w:customMarkFollows="1" w:id="5"/>
        <w:t>5</w:t>
      </w:r>
      <w:r w:rsidRPr="004E7A10">
        <w:rPr>
          <w:rFonts w:ascii="Garamond" w:hAnsi="Garamond" w:cs="Times New Roman"/>
          <w:sz w:val="21"/>
          <w:szCs w:val="21"/>
        </w:rPr>
        <w:t xml:space="preserve"> Forecasts of labor market indicators for 201</w:t>
      </w:r>
      <w:r w:rsidR="00CA5D69" w:rsidRPr="004E7A10">
        <w:rPr>
          <w:rFonts w:ascii="Garamond" w:hAnsi="Garamond" w:cs="Times New Roman"/>
          <w:sz w:val="21"/>
          <w:szCs w:val="21"/>
        </w:rPr>
        <w:t>5</w:t>
      </w:r>
      <w:r w:rsidRPr="004E7A10">
        <w:rPr>
          <w:rFonts w:ascii="Garamond" w:hAnsi="Garamond" w:cs="Times New Roman"/>
          <w:sz w:val="21"/>
          <w:szCs w:val="21"/>
        </w:rPr>
        <w:t>-201</w:t>
      </w:r>
      <w:r w:rsidR="009B4FD6" w:rsidRPr="004E7A10">
        <w:rPr>
          <w:rFonts w:ascii="Garamond" w:hAnsi="Garamond" w:cs="Times New Roman"/>
          <w:sz w:val="21"/>
          <w:szCs w:val="21"/>
        </w:rPr>
        <w:t>7</w:t>
      </w:r>
      <w:r w:rsidR="00CA5D69" w:rsidRPr="004E7A10">
        <w:rPr>
          <w:rFonts w:ascii="Garamond" w:hAnsi="Garamond" w:cs="Times New Roman"/>
          <w:sz w:val="21"/>
          <w:szCs w:val="21"/>
        </w:rPr>
        <w:t xml:space="preserve"> </w:t>
      </w:r>
      <w:r w:rsidR="00260B3F" w:rsidRPr="004E7A10">
        <w:rPr>
          <w:rFonts w:ascii="Garamond" w:hAnsi="Garamond" w:cs="Times New Roman"/>
          <w:sz w:val="21"/>
          <w:szCs w:val="21"/>
        </w:rPr>
        <w:t>have</w:t>
      </w:r>
      <w:r w:rsidR="00787520" w:rsidRPr="004E7A10">
        <w:rPr>
          <w:rFonts w:ascii="Garamond" w:hAnsi="Garamond" w:cs="Times New Roman"/>
          <w:sz w:val="21"/>
          <w:szCs w:val="21"/>
        </w:rPr>
        <w:t xml:space="preserve"> </w:t>
      </w:r>
      <w:r w:rsidR="000D34B1">
        <w:rPr>
          <w:rFonts w:ascii="Garamond" w:hAnsi="Garamond" w:cs="Times New Roman"/>
          <w:sz w:val="21"/>
          <w:szCs w:val="21"/>
        </w:rPr>
        <w:t xml:space="preserve">improved relative to </w:t>
      </w:r>
      <w:r w:rsidR="00787520" w:rsidRPr="004E7A10">
        <w:rPr>
          <w:rFonts w:ascii="Garamond" w:hAnsi="Garamond" w:cs="Times New Roman"/>
          <w:sz w:val="21"/>
          <w:szCs w:val="21"/>
        </w:rPr>
        <w:t xml:space="preserve">the previous forecasts, </w:t>
      </w:r>
      <w:r w:rsidR="000D34B1">
        <w:rPr>
          <w:rFonts w:ascii="Garamond" w:hAnsi="Garamond" w:cs="Times New Roman"/>
          <w:sz w:val="21"/>
          <w:szCs w:val="21"/>
        </w:rPr>
        <w:t xml:space="preserve">reflecting </w:t>
      </w:r>
      <w:r w:rsidRPr="004E7A10">
        <w:rPr>
          <w:rFonts w:ascii="Garamond" w:hAnsi="Garamond" w:cs="Times New Roman"/>
          <w:sz w:val="21"/>
          <w:szCs w:val="21"/>
        </w:rPr>
        <w:t xml:space="preserve">the adjustment </w:t>
      </w:r>
      <w:r w:rsidR="000D34B1">
        <w:rPr>
          <w:rFonts w:ascii="Garamond" w:hAnsi="Garamond" w:cs="Times New Roman"/>
          <w:sz w:val="21"/>
          <w:szCs w:val="21"/>
        </w:rPr>
        <w:t>in</w:t>
      </w:r>
      <w:r w:rsidRPr="004E7A10">
        <w:rPr>
          <w:rFonts w:ascii="Garamond" w:hAnsi="Garamond" w:cs="Times New Roman"/>
          <w:sz w:val="21"/>
          <w:szCs w:val="21"/>
        </w:rPr>
        <w:t xml:space="preserve"> economic growth forecasts</w:t>
      </w:r>
      <w:r w:rsidR="00CA5D69" w:rsidRPr="004E7A10">
        <w:rPr>
          <w:rFonts w:ascii="Garamond" w:hAnsi="Garamond" w:cs="Times New Roman"/>
          <w:sz w:val="21"/>
          <w:szCs w:val="21"/>
        </w:rPr>
        <w:t>.</w:t>
      </w:r>
      <w:r w:rsidRPr="004E7A10">
        <w:rPr>
          <w:rFonts w:ascii="Garamond" w:hAnsi="Garamond" w:cs="Times New Roman"/>
          <w:sz w:val="21"/>
          <w:szCs w:val="21"/>
        </w:rPr>
        <w:t xml:space="preserve"> Specifically</w:t>
      </w:r>
      <w:r w:rsidR="00CA5D69" w:rsidRPr="004E7A10">
        <w:rPr>
          <w:rFonts w:ascii="Garamond" w:hAnsi="Garamond" w:cs="Times New Roman"/>
          <w:sz w:val="21"/>
          <w:szCs w:val="21"/>
        </w:rPr>
        <w:t xml:space="preserve">, </w:t>
      </w:r>
      <w:r w:rsidRPr="004E7A10">
        <w:rPr>
          <w:rFonts w:ascii="Garamond" w:hAnsi="Garamond" w:cs="Times New Roman"/>
          <w:sz w:val="21"/>
          <w:szCs w:val="21"/>
        </w:rPr>
        <w:t xml:space="preserve">in the forecast horizon average wage is expected to have </w:t>
      </w:r>
      <w:r w:rsidR="000D34B1">
        <w:rPr>
          <w:rFonts w:ascii="Garamond" w:hAnsi="Garamond" w:cs="Times New Roman"/>
          <w:sz w:val="21"/>
          <w:szCs w:val="21"/>
        </w:rPr>
        <w:t>higher</w:t>
      </w:r>
      <w:r w:rsidR="00FD014E" w:rsidRPr="004E7A10">
        <w:rPr>
          <w:rFonts w:ascii="Garamond" w:hAnsi="Garamond" w:cs="Times New Roman"/>
          <w:sz w:val="21"/>
          <w:szCs w:val="21"/>
        </w:rPr>
        <w:t xml:space="preserve"> growth rate</w:t>
      </w:r>
      <w:r w:rsidR="000D34B1">
        <w:rPr>
          <w:rFonts w:ascii="Garamond" w:hAnsi="Garamond" w:cs="Times New Roman"/>
          <w:sz w:val="21"/>
          <w:szCs w:val="21"/>
        </w:rPr>
        <w:t>s</w:t>
      </w:r>
      <w:r w:rsidR="00FD014E" w:rsidRPr="004E7A10">
        <w:rPr>
          <w:rFonts w:ascii="Garamond" w:hAnsi="Garamond" w:cs="Times New Roman"/>
          <w:sz w:val="21"/>
          <w:szCs w:val="21"/>
        </w:rPr>
        <w:t xml:space="preserve"> </w:t>
      </w:r>
      <w:r w:rsidRPr="004E7A10">
        <w:rPr>
          <w:rFonts w:ascii="Garamond" w:hAnsi="Garamond" w:cs="Times New Roman"/>
          <w:sz w:val="21"/>
          <w:szCs w:val="21"/>
        </w:rPr>
        <w:t xml:space="preserve">and </w:t>
      </w:r>
      <w:r w:rsidR="00260B3F" w:rsidRPr="004E7A10">
        <w:rPr>
          <w:rFonts w:ascii="Garamond" w:hAnsi="Garamond" w:cs="Times New Roman"/>
          <w:sz w:val="21"/>
          <w:szCs w:val="21"/>
        </w:rPr>
        <w:t>the un</w:t>
      </w:r>
      <w:r w:rsidRPr="004E7A10">
        <w:rPr>
          <w:rFonts w:ascii="Garamond" w:hAnsi="Garamond" w:cs="Times New Roman"/>
          <w:sz w:val="21"/>
          <w:szCs w:val="21"/>
        </w:rPr>
        <w:t>e</w:t>
      </w:r>
      <w:r w:rsidR="00260B3F" w:rsidRPr="004E7A10">
        <w:rPr>
          <w:rFonts w:ascii="Garamond" w:hAnsi="Garamond" w:cs="Times New Roman"/>
          <w:sz w:val="21"/>
          <w:szCs w:val="21"/>
        </w:rPr>
        <w:t>m</w:t>
      </w:r>
      <w:r w:rsidRPr="004E7A10">
        <w:rPr>
          <w:rFonts w:ascii="Garamond" w:hAnsi="Garamond" w:cs="Times New Roman"/>
          <w:sz w:val="21"/>
          <w:szCs w:val="21"/>
        </w:rPr>
        <w:t>ployment rate</w:t>
      </w:r>
      <w:r w:rsidR="00260B3F" w:rsidRPr="004E7A10">
        <w:rPr>
          <w:rFonts w:ascii="Garamond" w:hAnsi="Garamond" w:cs="Times New Roman"/>
          <w:sz w:val="21"/>
          <w:szCs w:val="21"/>
        </w:rPr>
        <w:t xml:space="preserve"> to </w:t>
      </w:r>
      <w:r w:rsidR="000D34B1">
        <w:rPr>
          <w:rFonts w:ascii="Garamond" w:hAnsi="Garamond" w:cs="Times New Roman"/>
          <w:sz w:val="21"/>
          <w:szCs w:val="21"/>
        </w:rPr>
        <w:t>be lower</w:t>
      </w:r>
      <w:r w:rsidRPr="004E7A10">
        <w:rPr>
          <w:rFonts w:ascii="Garamond" w:hAnsi="Garamond" w:cs="Times New Roman"/>
          <w:sz w:val="21"/>
          <w:szCs w:val="21"/>
        </w:rPr>
        <w:t xml:space="preserve">. </w:t>
      </w:r>
      <w:r w:rsidR="00977AB3" w:rsidRPr="004E7A10">
        <w:rPr>
          <w:rFonts w:ascii="Garamond" w:hAnsi="Garamond" w:cs="Times New Roman"/>
          <w:sz w:val="21"/>
          <w:szCs w:val="21"/>
        </w:rPr>
        <w:t xml:space="preserve">Thus, average nominal wage is expected to </w:t>
      </w:r>
      <w:r w:rsidR="00977AB3" w:rsidRPr="004E7A10">
        <w:rPr>
          <w:rFonts w:ascii="Garamond" w:hAnsi="Garamond" w:cs="Times New Roman"/>
          <w:b/>
          <w:sz w:val="21"/>
          <w:szCs w:val="21"/>
        </w:rPr>
        <w:t xml:space="preserve">grow by </w:t>
      </w:r>
      <w:r w:rsidR="00B51CA0">
        <w:rPr>
          <w:rFonts w:ascii="Garamond" w:hAnsi="Garamond" w:cs="Times New Roman"/>
          <w:b/>
          <w:sz w:val="21"/>
          <w:szCs w:val="21"/>
        </w:rPr>
        <w:t>8</w:t>
      </w:r>
      <w:r w:rsidR="00977AB3" w:rsidRPr="004E7A10">
        <w:rPr>
          <w:rFonts w:ascii="Garamond" w:hAnsi="Garamond" w:cs="Times New Roman"/>
          <w:b/>
          <w:sz w:val="21"/>
          <w:szCs w:val="21"/>
        </w:rPr>
        <w:t>.</w:t>
      </w:r>
      <w:r w:rsidR="00B51CA0">
        <w:rPr>
          <w:rFonts w:ascii="Garamond" w:hAnsi="Garamond" w:cs="Times New Roman"/>
          <w:b/>
          <w:sz w:val="21"/>
          <w:szCs w:val="21"/>
        </w:rPr>
        <w:t>3</w:t>
      </w:r>
      <w:r w:rsidR="00977AB3" w:rsidRPr="004E7A10">
        <w:rPr>
          <w:rFonts w:ascii="Garamond" w:hAnsi="Garamond" w:cs="Times New Roman"/>
          <w:b/>
          <w:sz w:val="21"/>
          <w:szCs w:val="21"/>
        </w:rPr>
        <w:t>% in 201</w:t>
      </w:r>
      <w:r w:rsidR="00CA5D69" w:rsidRPr="004E7A10">
        <w:rPr>
          <w:rFonts w:ascii="Garamond" w:hAnsi="Garamond" w:cs="Times New Roman"/>
          <w:b/>
          <w:sz w:val="21"/>
          <w:szCs w:val="21"/>
        </w:rPr>
        <w:t>5</w:t>
      </w:r>
      <w:r w:rsidR="00B51CA0">
        <w:rPr>
          <w:rFonts w:ascii="Garamond" w:hAnsi="Garamond" w:cs="Times New Roman"/>
          <w:b/>
          <w:sz w:val="21"/>
          <w:szCs w:val="21"/>
        </w:rPr>
        <w:t>,</w:t>
      </w:r>
      <w:r w:rsidR="00470C9E" w:rsidRPr="004E7A10">
        <w:rPr>
          <w:rFonts w:ascii="Garamond" w:hAnsi="Garamond" w:cs="Times New Roman"/>
          <w:b/>
          <w:sz w:val="21"/>
          <w:szCs w:val="21"/>
        </w:rPr>
        <w:t xml:space="preserve"> by </w:t>
      </w:r>
      <w:r w:rsidR="00B51CA0">
        <w:rPr>
          <w:rFonts w:ascii="Garamond" w:hAnsi="Garamond" w:cs="Times New Roman"/>
          <w:b/>
          <w:sz w:val="21"/>
          <w:szCs w:val="21"/>
        </w:rPr>
        <w:t>6</w:t>
      </w:r>
      <w:r w:rsidR="00470C9E" w:rsidRPr="004E7A10">
        <w:rPr>
          <w:rFonts w:ascii="Garamond" w:hAnsi="Garamond" w:cs="Times New Roman"/>
          <w:b/>
          <w:sz w:val="21"/>
          <w:szCs w:val="21"/>
        </w:rPr>
        <w:t>.</w:t>
      </w:r>
      <w:r w:rsidR="00B51CA0">
        <w:rPr>
          <w:rFonts w:ascii="Garamond" w:hAnsi="Garamond" w:cs="Times New Roman"/>
          <w:b/>
          <w:sz w:val="21"/>
          <w:szCs w:val="21"/>
        </w:rPr>
        <w:t>1</w:t>
      </w:r>
      <w:r w:rsidR="00977AB3" w:rsidRPr="004E7A10">
        <w:rPr>
          <w:rFonts w:ascii="Garamond" w:hAnsi="Garamond" w:cs="Times New Roman"/>
          <w:b/>
          <w:sz w:val="21"/>
          <w:szCs w:val="21"/>
        </w:rPr>
        <w:t xml:space="preserve">% in </w:t>
      </w:r>
      <w:r w:rsidR="00B51CA0">
        <w:rPr>
          <w:rFonts w:ascii="Garamond" w:hAnsi="Garamond" w:cs="Times New Roman"/>
          <w:b/>
          <w:sz w:val="21"/>
          <w:szCs w:val="21"/>
        </w:rPr>
        <w:t xml:space="preserve">2016 and by about 6.5% in </w:t>
      </w:r>
      <w:r w:rsidR="00977AB3" w:rsidRPr="004E7A10">
        <w:rPr>
          <w:rFonts w:ascii="Garamond" w:hAnsi="Garamond" w:cs="Times New Roman"/>
          <w:b/>
          <w:sz w:val="21"/>
          <w:szCs w:val="21"/>
        </w:rPr>
        <w:t>2017</w:t>
      </w:r>
      <w:r w:rsidR="00977AB3" w:rsidRPr="004E7A10">
        <w:rPr>
          <w:rFonts w:ascii="Garamond" w:hAnsi="Garamond" w:cs="Times New Roman"/>
          <w:sz w:val="21"/>
          <w:szCs w:val="21"/>
        </w:rPr>
        <w:t>.</w:t>
      </w:r>
    </w:p>
    <w:p w14:paraId="5F001DB1" w14:textId="77777777" w:rsidR="002847F4" w:rsidRDefault="002847F4"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On the back of wage increases in the public sector </w:t>
      </w:r>
      <w:r>
        <w:rPr>
          <w:rFonts w:ascii="Garamond" w:hAnsi="Garamond" w:cs="Times New Roman"/>
          <w:sz w:val="21"/>
          <w:szCs w:val="21"/>
        </w:rPr>
        <w:t>since July</w:t>
      </w:r>
      <w:r w:rsidRPr="004E7A10">
        <w:rPr>
          <w:rFonts w:ascii="Garamond" w:hAnsi="Garamond" w:cs="Times New Roman"/>
          <w:sz w:val="21"/>
          <w:szCs w:val="21"/>
        </w:rPr>
        <w:t xml:space="preserve"> of 2014, average wage growth rates are expected to remain strong </w:t>
      </w:r>
      <w:r>
        <w:rPr>
          <w:rFonts w:ascii="Garamond" w:hAnsi="Garamond" w:cs="Times New Roman"/>
          <w:sz w:val="21"/>
          <w:szCs w:val="21"/>
        </w:rPr>
        <w:t xml:space="preserve">over </w:t>
      </w:r>
      <w:r w:rsidRPr="004E7A10">
        <w:rPr>
          <w:rFonts w:ascii="Garamond" w:hAnsi="Garamond" w:cs="Times New Roman"/>
          <w:sz w:val="21"/>
          <w:szCs w:val="21"/>
        </w:rPr>
        <w:t>the first half of 2015</w:t>
      </w:r>
      <w:r>
        <w:rPr>
          <w:rFonts w:ascii="Garamond" w:hAnsi="Garamond" w:cs="Times New Roman"/>
          <w:sz w:val="21"/>
          <w:szCs w:val="21"/>
        </w:rPr>
        <w:t>, making up 10.4%</w:t>
      </w:r>
      <w:r w:rsidR="00FF0861">
        <w:rPr>
          <w:rFonts w:ascii="Garamond" w:hAnsi="Garamond" w:cs="Times New Roman"/>
          <w:sz w:val="21"/>
          <w:szCs w:val="21"/>
        </w:rPr>
        <w:t>. The effect, however, will wane out in the second half of the year</w:t>
      </w:r>
      <w:r w:rsidRPr="004E7A10">
        <w:rPr>
          <w:rFonts w:ascii="Garamond" w:hAnsi="Garamond" w:cs="Times New Roman"/>
          <w:sz w:val="21"/>
          <w:szCs w:val="21"/>
        </w:rPr>
        <w:t xml:space="preserve">. </w:t>
      </w:r>
      <w:r w:rsidR="00FF0861">
        <w:rPr>
          <w:rFonts w:ascii="Garamond" w:hAnsi="Garamond" w:cs="Times New Roman"/>
          <w:sz w:val="21"/>
          <w:szCs w:val="21"/>
        </w:rPr>
        <w:t>Note that s</w:t>
      </w:r>
      <w:r w:rsidRPr="004E7A10">
        <w:rPr>
          <w:rFonts w:ascii="Garamond" w:hAnsi="Garamond" w:cs="Times New Roman"/>
          <w:sz w:val="21"/>
          <w:szCs w:val="21"/>
        </w:rPr>
        <w:t>tarting from the mid-2015, the minimum wage threshold will rise to AMD 55,000.</w:t>
      </w:r>
      <w:r w:rsidR="00FF0861">
        <w:rPr>
          <w:rFonts w:ascii="Garamond" w:hAnsi="Garamond" w:cs="Times New Roman"/>
          <w:sz w:val="21"/>
          <w:szCs w:val="21"/>
        </w:rPr>
        <w:t xml:space="preserve"> As a result, </w:t>
      </w:r>
      <w:r w:rsidR="00775001">
        <w:rPr>
          <w:rFonts w:ascii="Garamond" w:hAnsi="Garamond" w:cs="Times New Roman"/>
          <w:sz w:val="21"/>
          <w:szCs w:val="21"/>
        </w:rPr>
        <w:t xml:space="preserve">the predicted </w:t>
      </w:r>
      <w:r w:rsidR="00FF0861">
        <w:rPr>
          <w:rFonts w:ascii="Garamond" w:hAnsi="Garamond" w:cs="Times New Roman"/>
          <w:sz w:val="21"/>
          <w:szCs w:val="21"/>
        </w:rPr>
        <w:t>average wage growth for 2015 is nearly 8.3%.</w:t>
      </w:r>
    </w:p>
    <w:p w14:paraId="227FEE76" w14:textId="77777777" w:rsidR="00A94A03" w:rsidRDefault="00A94A03"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With </w:t>
      </w:r>
      <w:r>
        <w:rPr>
          <w:rFonts w:ascii="Garamond" w:hAnsi="Garamond" w:cs="Times New Roman"/>
          <w:sz w:val="21"/>
          <w:szCs w:val="21"/>
        </w:rPr>
        <w:t xml:space="preserve">an expected </w:t>
      </w:r>
      <w:r w:rsidRPr="004E7A10">
        <w:rPr>
          <w:rFonts w:ascii="Garamond" w:hAnsi="Garamond" w:cs="Times New Roman"/>
          <w:sz w:val="21"/>
          <w:szCs w:val="21"/>
        </w:rPr>
        <w:t xml:space="preserve">economic growth, stabilizing inflation rate and the Government policy further steered to minimum wage increases, the average nominal wage is predicted to grow by </w:t>
      </w:r>
      <w:r>
        <w:rPr>
          <w:rFonts w:ascii="Garamond" w:hAnsi="Garamond" w:cs="Times New Roman"/>
          <w:sz w:val="21"/>
          <w:szCs w:val="21"/>
        </w:rPr>
        <w:t>6.0%-6.</w:t>
      </w:r>
      <w:r w:rsidRPr="004E7A10">
        <w:rPr>
          <w:rFonts w:ascii="Garamond" w:hAnsi="Garamond" w:cs="Times New Roman"/>
          <w:sz w:val="21"/>
          <w:szCs w:val="21"/>
        </w:rPr>
        <w:t>5% annually in the period 2016-2017.</w:t>
      </w:r>
    </w:p>
    <w:p w14:paraId="20EBF292" w14:textId="77777777" w:rsidR="00236EF8" w:rsidRPr="004E7A10" w:rsidRDefault="007A1FF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nominal wage increase </w:t>
      </w:r>
      <w:r w:rsidR="005149CE" w:rsidRPr="004E7A10">
        <w:rPr>
          <w:rFonts w:ascii="Garamond" w:hAnsi="Garamond" w:cs="Times New Roman"/>
          <w:sz w:val="21"/>
          <w:szCs w:val="21"/>
        </w:rPr>
        <w:t>of 8.1% in</w:t>
      </w:r>
      <w:r w:rsidR="00A9653E" w:rsidRPr="004E7A10">
        <w:rPr>
          <w:rFonts w:ascii="Garamond" w:hAnsi="Garamond" w:cs="Times New Roman"/>
          <w:sz w:val="21"/>
          <w:szCs w:val="21"/>
        </w:rPr>
        <w:t xml:space="preserve"> 2014</w:t>
      </w:r>
      <w:r w:rsidRPr="004E7A10">
        <w:rPr>
          <w:rFonts w:ascii="Garamond" w:hAnsi="Garamond" w:cs="Times New Roman"/>
          <w:sz w:val="21"/>
          <w:szCs w:val="21"/>
        </w:rPr>
        <w:t xml:space="preserve"> is higher than the average wage growth reported in recent years. </w:t>
      </w:r>
      <w:r w:rsidR="00A9653E" w:rsidRPr="004E7A10">
        <w:rPr>
          <w:rFonts w:ascii="Garamond" w:hAnsi="Garamond" w:cs="Times New Roman"/>
          <w:sz w:val="21"/>
          <w:szCs w:val="21"/>
        </w:rPr>
        <w:t xml:space="preserve">The wage increase during the year </w:t>
      </w:r>
      <w:r w:rsidRPr="004E7A10">
        <w:rPr>
          <w:rFonts w:ascii="Garamond" w:hAnsi="Garamond" w:cs="Times New Roman"/>
          <w:sz w:val="21"/>
          <w:szCs w:val="21"/>
        </w:rPr>
        <w:t>was</w:t>
      </w:r>
      <w:r w:rsidR="00A9653E" w:rsidRPr="004E7A10">
        <w:rPr>
          <w:rFonts w:ascii="Garamond" w:hAnsi="Garamond" w:cs="Times New Roman"/>
          <w:sz w:val="21"/>
          <w:szCs w:val="21"/>
        </w:rPr>
        <w:t xml:space="preserve"> </w:t>
      </w:r>
      <w:r w:rsidR="00414321" w:rsidRPr="004E7A10">
        <w:rPr>
          <w:rFonts w:ascii="Garamond" w:hAnsi="Garamond" w:cs="Times New Roman"/>
          <w:sz w:val="21"/>
          <w:szCs w:val="21"/>
        </w:rPr>
        <w:t xml:space="preserve">attributable to the minimum wage threshold increased up to </w:t>
      </w:r>
      <w:r w:rsidRPr="004E7A10">
        <w:rPr>
          <w:rFonts w:ascii="Garamond" w:hAnsi="Garamond" w:cs="Times New Roman"/>
          <w:sz w:val="21"/>
          <w:szCs w:val="21"/>
        </w:rPr>
        <w:t>AMD 50,000</w:t>
      </w:r>
      <w:r w:rsidR="00A9653E" w:rsidRPr="004E7A10">
        <w:rPr>
          <w:rFonts w:ascii="Garamond" w:hAnsi="Garamond" w:cs="Times New Roman"/>
          <w:sz w:val="21"/>
          <w:szCs w:val="21"/>
        </w:rPr>
        <w:t xml:space="preserve">, </w:t>
      </w:r>
      <w:r w:rsidR="005149CE" w:rsidRPr="004E7A10">
        <w:rPr>
          <w:rFonts w:ascii="Garamond" w:hAnsi="Garamond" w:cs="Times New Roman"/>
          <w:sz w:val="21"/>
          <w:szCs w:val="21"/>
        </w:rPr>
        <w:t xml:space="preserve">the increase </w:t>
      </w:r>
      <w:r w:rsidR="00A9653E" w:rsidRPr="004E7A10">
        <w:rPr>
          <w:rFonts w:ascii="Garamond" w:hAnsi="Garamond" w:cs="Times New Roman"/>
          <w:sz w:val="21"/>
          <w:szCs w:val="21"/>
        </w:rPr>
        <w:t xml:space="preserve">in wages in </w:t>
      </w:r>
      <w:r w:rsidR="005149CE" w:rsidRPr="004E7A10">
        <w:rPr>
          <w:rFonts w:ascii="Garamond" w:hAnsi="Garamond" w:cs="Times New Roman"/>
          <w:sz w:val="21"/>
          <w:szCs w:val="21"/>
        </w:rPr>
        <w:t xml:space="preserve">some undertakings in the </w:t>
      </w:r>
      <w:r w:rsidR="00A9653E" w:rsidRPr="004E7A10">
        <w:rPr>
          <w:rFonts w:ascii="Garamond" w:hAnsi="Garamond" w:cs="Times New Roman"/>
          <w:sz w:val="21"/>
          <w:szCs w:val="21"/>
        </w:rPr>
        <w:t xml:space="preserve">private sector in the context of the funded pension reform and wage increases in the public sector </w:t>
      </w:r>
      <w:r w:rsidR="005149CE" w:rsidRPr="004E7A10">
        <w:rPr>
          <w:rFonts w:ascii="Garamond" w:hAnsi="Garamond" w:cs="Times New Roman"/>
          <w:sz w:val="21"/>
          <w:szCs w:val="21"/>
        </w:rPr>
        <w:t xml:space="preserve">during the second half of </w:t>
      </w:r>
      <w:r w:rsidR="00A9653E" w:rsidRPr="004E7A10">
        <w:rPr>
          <w:rFonts w:ascii="Garamond" w:hAnsi="Garamond" w:cs="Times New Roman"/>
          <w:sz w:val="21"/>
          <w:szCs w:val="21"/>
        </w:rPr>
        <w:t xml:space="preserve">the year. </w:t>
      </w:r>
    </w:p>
    <w:p w14:paraId="16C58C61" w14:textId="77777777" w:rsidR="00321F9E" w:rsidRDefault="00271AC5" w:rsidP="00A9653E">
      <w:pPr>
        <w:spacing w:line="360" w:lineRule="auto"/>
        <w:jc w:val="both"/>
        <w:rPr>
          <w:rFonts w:ascii="Garamond" w:hAnsi="Garamond" w:cs="Times New Roman"/>
          <w:b/>
          <w:sz w:val="21"/>
          <w:szCs w:val="21"/>
        </w:rPr>
      </w:pPr>
      <w:r>
        <w:rPr>
          <w:rFonts w:ascii="Garamond" w:hAnsi="Garamond" w:cs="Times New Roman"/>
          <w:sz w:val="21"/>
          <w:szCs w:val="21"/>
        </w:rPr>
        <w:t xml:space="preserve">The wage growth expected in 2015 is consistent with </w:t>
      </w:r>
      <w:r w:rsidR="00860132" w:rsidRPr="004E7A10">
        <w:rPr>
          <w:rFonts w:ascii="Garamond" w:hAnsi="Garamond" w:cs="Times New Roman"/>
          <w:sz w:val="21"/>
          <w:szCs w:val="21"/>
        </w:rPr>
        <w:t>the productivity growth projected for the</w:t>
      </w:r>
      <w:r w:rsidR="000E6E72">
        <w:rPr>
          <w:rFonts w:ascii="Garamond" w:hAnsi="Garamond" w:cs="Times New Roman"/>
          <w:sz w:val="21"/>
          <w:szCs w:val="21"/>
        </w:rPr>
        <w:t xml:space="preserve"> year. </w:t>
      </w:r>
      <w:r w:rsidR="00860132" w:rsidRPr="004E7A10">
        <w:rPr>
          <w:rFonts w:ascii="Garamond" w:hAnsi="Garamond" w:cs="Times New Roman"/>
          <w:sz w:val="21"/>
          <w:szCs w:val="21"/>
        </w:rPr>
        <w:t xml:space="preserve"> </w:t>
      </w:r>
      <w:r w:rsidR="000E6E72" w:rsidRPr="004E7A10">
        <w:rPr>
          <w:rFonts w:ascii="Garamond" w:hAnsi="Garamond" w:cs="Times New Roman"/>
          <w:b/>
          <w:sz w:val="21"/>
          <w:szCs w:val="21"/>
        </w:rPr>
        <w:t>Thus, one may conclude that</w:t>
      </w:r>
      <w:r w:rsidR="000E6E72">
        <w:rPr>
          <w:rFonts w:ascii="Garamond" w:hAnsi="Garamond" w:cs="Times New Roman"/>
          <w:b/>
          <w:sz w:val="21"/>
          <w:szCs w:val="21"/>
        </w:rPr>
        <w:t xml:space="preserve"> </w:t>
      </w:r>
      <w:r w:rsidR="00321F9E" w:rsidRPr="004E7A10">
        <w:rPr>
          <w:rFonts w:ascii="Garamond" w:hAnsi="Garamond" w:cs="Times New Roman"/>
          <w:b/>
          <w:sz w:val="21"/>
          <w:szCs w:val="21"/>
        </w:rPr>
        <w:t>pressures from the labor market</w:t>
      </w:r>
      <w:r w:rsidR="00321F9E">
        <w:rPr>
          <w:rFonts w:ascii="Garamond" w:hAnsi="Garamond" w:cs="Times New Roman"/>
          <w:b/>
          <w:sz w:val="21"/>
          <w:szCs w:val="21"/>
        </w:rPr>
        <w:t xml:space="preserve"> on the inflation are estimated neutral </w:t>
      </w:r>
      <w:r w:rsidR="000E6E72" w:rsidRPr="004E7A10">
        <w:rPr>
          <w:rFonts w:ascii="Garamond" w:hAnsi="Garamond" w:cs="Times New Roman"/>
          <w:b/>
          <w:sz w:val="21"/>
          <w:szCs w:val="21"/>
        </w:rPr>
        <w:t>in the forecast horizon</w:t>
      </w:r>
      <w:r w:rsidR="00321F9E">
        <w:rPr>
          <w:rFonts w:ascii="Garamond" w:hAnsi="Garamond" w:cs="Times New Roman"/>
          <w:b/>
          <w:sz w:val="21"/>
          <w:szCs w:val="21"/>
        </w:rPr>
        <w:t>.</w:t>
      </w:r>
    </w:p>
    <w:p w14:paraId="33A727B3" w14:textId="763282F7" w:rsidR="00EE09A6" w:rsidRDefault="006524D0" w:rsidP="00A9653E">
      <w:pPr>
        <w:spacing w:line="360" w:lineRule="auto"/>
        <w:jc w:val="both"/>
        <w:rPr>
          <w:rFonts w:ascii="Garamond" w:hAnsi="Garamond" w:cs="Times New Roman"/>
          <w:sz w:val="21"/>
          <w:szCs w:val="21"/>
        </w:rPr>
      </w:pPr>
      <w:r w:rsidRPr="006524D0">
        <w:rPr>
          <w:rFonts w:ascii="Garamond" w:hAnsi="Garamond" w:cs="Times New Roman"/>
          <w:sz w:val="21"/>
          <w:szCs w:val="21"/>
        </w:rPr>
        <w:t>The unemployment forecasts were revised somewhat downside</w:t>
      </w:r>
      <w:r>
        <w:rPr>
          <w:rFonts w:ascii="Garamond" w:hAnsi="Garamond" w:cs="Times New Roman"/>
          <w:sz w:val="21"/>
          <w:szCs w:val="21"/>
        </w:rPr>
        <w:t xml:space="preserve"> relative to former forecasts. I</w:t>
      </w:r>
      <w:r w:rsidRPr="004E7A10">
        <w:rPr>
          <w:rFonts w:ascii="Garamond" w:hAnsi="Garamond" w:cs="Times New Roman"/>
          <w:sz w:val="21"/>
          <w:szCs w:val="21"/>
        </w:rPr>
        <w:t xml:space="preserve">n 2015, the average unemployment rate </w:t>
      </w:r>
      <w:r>
        <w:rPr>
          <w:rFonts w:ascii="Garamond" w:hAnsi="Garamond" w:cs="Times New Roman"/>
          <w:sz w:val="21"/>
          <w:szCs w:val="21"/>
        </w:rPr>
        <w:t>is expected to a</w:t>
      </w:r>
      <w:r w:rsidRPr="004E7A10">
        <w:rPr>
          <w:rFonts w:ascii="Garamond" w:hAnsi="Garamond" w:cs="Times New Roman"/>
          <w:sz w:val="21"/>
          <w:szCs w:val="21"/>
        </w:rPr>
        <w:t>mount to 18.</w:t>
      </w:r>
      <w:r>
        <w:rPr>
          <w:rFonts w:ascii="Garamond" w:hAnsi="Garamond" w:cs="Times New Roman"/>
          <w:sz w:val="21"/>
          <w:szCs w:val="21"/>
        </w:rPr>
        <w:t>2</w:t>
      </w:r>
      <w:r w:rsidRPr="004E7A10">
        <w:rPr>
          <w:rFonts w:ascii="Garamond" w:hAnsi="Garamond" w:cs="Times New Roman"/>
          <w:sz w:val="21"/>
          <w:szCs w:val="21"/>
        </w:rPr>
        <w:t xml:space="preserve">%. In </w:t>
      </w:r>
      <w:r w:rsidR="003036AD">
        <w:rPr>
          <w:rFonts w:ascii="Garamond" w:hAnsi="Garamond" w:cs="Times New Roman"/>
          <w:sz w:val="21"/>
          <w:szCs w:val="21"/>
        </w:rPr>
        <w:t xml:space="preserve">line with </w:t>
      </w:r>
      <w:r>
        <w:rPr>
          <w:rFonts w:ascii="Garamond" w:hAnsi="Garamond" w:cs="Times New Roman"/>
          <w:sz w:val="21"/>
          <w:szCs w:val="21"/>
        </w:rPr>
        <w:t>faster</w:t>
      </w:r>
      <w:r w:rsidRPr="004E7A10">
        <w:rPr>
          <w:rFonts w:ascii="Garamond" w:hAnsi="Garamond" w:cs="Times New Roman"/>
          <w:sz w:val="21"/>
          <w:szCs w:val="21"/>
        </w:rPr>
        <w:t xml:space="preserve"> </w:t>
      </w:r>
      <w:r w:rsidR="003036AD">
        <w:rPr>
          <w:rFonts w:ascii="Garamond" w:hAnsi="Garamond" w:cs="Times New Roman"/>
          <w:sz w:val="21"/>
          <w:szCs w:val="21"/>
        </w:rPr>
        <w:t xml:space="preserve">expected </w:t>
      </w:r>
      <w:r w:rsidRPr="004E7A10">
        <w:rPr>
          <w:rFonts w:ascii="Garamond" w:hAnsi="Garamond" w:cs="Times New Roman"/>
          <w:sz w:val="21"/>
          <w:szCs w:val="21"/>
        </w:rPr>
        <w:t>economic growth</w:t>
      </w:r>
      <w:r>
        <w:rPr>
          <w:rFonts w:ascii="Garamond" w:hAnsi="Garamond" w:cs="Times New Roman"/>
          <w:sz w:val="21"/>
          <w:szCs w:val="21"/>
        </w:rPr>
        <w:t xml:space="preserve">, a trend of steadily subduing unemployment rate will be observable in </w:t>
      </w:r>
      <w:r w:rsidR="00EE09A6">
        <w:rPr>
          <w:rFonts w:ascii="Garamond" w:hAnsi="Garamond" w:cs="Times New Roman"/>
          <w:sz w:val="21"/>
          <w:szCs w:val="21"/>
        </w:rPr>
        <w:t xml:space="preserve">2016-2017. </w:t>
      </w:r>
      <w:r w:rsidR="002C6493" w:rsidRPr="004E7A10">
        <w:rPr>
          <w:rFonts w:ascii="Garamond" w:hAnsi="Garamond" w:cs="Times New Roman"/>
          <w:sz w:val="21"/>
          <w:szCs w:val="21"/>
        </w:rPr>
        <w:t xml:space="preserve">In the </w:t>
      </w:r>
      <w:r w:rsidR="00EE09A6">
        <w:rPr>
          <w:rFonts w:ascii="Garamond" w:hAnsi="Garamond" w:cs="Times New Roman"/>
          <w:sz w:val="21"/>
          <w:szCs w:val="21"/>
        </w:rPr>
        <w:t xml:space="preserve">forecast horizon however the unemployment rate will be above its equilibrium, reflecting a small negative GDP gap and minor deflationary pressures it will generate in the meantime. </w:t>
      </w:r>
    </w:p>
    <w:p w14:paraId="2EAADC4A"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Aggregate demand</w:t>
      </w:r>
      <w:r w:rsidR="00EE09A6">
        <w:rPr>
          <w:rStyle w:val="FootnoteReference"/>
          <w:rFonts w:ascii="Garamond" w:hAnsi="Garamond" w:cs="Times New Roman"/>
          <w:sz w:val="21"/>
          <w:szCs w:val="21"/>
        </w:rPr>
        <w:footnoteReference w:customMarkFollows="1" w:id="6"/>
        <w:t>6</w:t>
      </w:r>
    </w:p>
    <w:p w14:paraId="6BD1C9B0" w14:textId="77777777" w:rsidR="009D1B25" w:rsidRPr="004E7A10" w:rsidRDefault="00D423D0" w:rsidP="00E530A0">
      <w:pPr>
        <w:spacing w:line="360" w:lineRule="auto"/>
        <w:jc w:val="both"/>
        <w:rPr>
          <w:rFonts w:ascii="Garamond" w:hAnsi="Garamond" w:cs="Times New Roman"/>
          <w:b/>
          <w:sz w:val="21"/>
          <w:szCs w:val="21"/>
        </w:rPr>
      </w:pPr>
      <w:r w:rsidRPr="00C24716">
        <w:rPr>
          <w:rFonts w:ascii="Garamond" w:hAnsi="Garamond" w:cs="Times New Roman"/>
          <w:b/>
          <w:bCs/>
          <w:iCs/>
          <w:color w:val="000000"/>
          <w:sz w:val="21"/>
          <w:szCs w:val="21"/>
        </w:rPr>
        <w:t>Driven by an anticipated decline in remittances from Russia, a main trading partner, and weak</w:t>
      </w:r>
      <w:r w:rsidRPr="004E7A10">
        <w:rPr>
          <w:rFonts w:ascii="Garamond" w:hAnsi="Garamond" w:cs="Times New Roman"/>
          <w:b/>
          <w:bCs/>
          <w:iCs/>
          <w:color w:val="000000"/>
          <w:sz w:val="21"/>
          <w:szCs w:val="21"/>
        </w:rPr>
        <w:t xml:space="preserve"> investment activity in the domestic economy, the private sector spending in Armenia is likely to </w:t>
      </w:r>
      <w:r w:rsidRPr="004E7A10">
        <w:rPr>
          <w:rFonts w:ascii="Garamond" w:hAnsi="Garamond" w:cs="Times New Roman"/>
          <w:b/>
          <w:bCs/>
          <w:iCs/>
          <w:color w:val="000000"/>
          <w:sz w:val="21"/>
          <w:szCs w:val="21"/>
        </w:rPr>
        <w:lastRenderedPageBreak/>
        <w:t xml:space="preserve">reduce by </w:t>
      </w:r>
      <w:r w:rsidR="00C24716">
        <w:rPr>
          <w:rFonts w:ascii="Garamond" w:hAnsi="Garamond" w:cs="Times New Roman"/>
          <w:b/>
          <w:bCs/>
          <w:iCs/>
          <w:color w:val="000000"/>
          <w:sz w:val="21"/>
          <w:szCs w:val="21"/>
        </w:rPr>
        <w:t>3</w:t>
      </w:r>
      <w:r w:rsidRPr="004E7A10">
        <w:rPr>
          <w:rFonts w:ascii="Garamond" w:hAnsi="Garamond" w:cs="Times New Roman"/>
          <w:b/>
          <w:bCs/>
          <w:iCs/>
          <w:color w:val="000000"/>
          <w:sz w:val="21"/>
          <w:szCs w:val="21"/>
        </w:rPr>
        <w:t>.</w:t>
      </w:r>
      <w:r w:rsidR="00C24716">
        <w:rPr>
          <w:rFonts w:ascii="Garamond" w:hAnsi="Garamond" w:cs="Times New Roman"/>
          <w:b/>
          <w:bCs/>
          <w:iCs/>
          <w:color w:val="000000"/>
          <w:sz w:val="21"/>
          <w:szCs w:val="21"/>
        </w:rPr>
        <w:t>5</w:t>
      </w:r>
      <w:r w:rsidRPr="004E7A10">
        <w:rPr>
          <w:rFonts w:ascii="Garamond" w:hAnsi="Garamond" w:cs="Times New Roman"/>
          <w:b/>
          <w:bCs/>
          <w:iCs/>
          <w:color w:val="000000"/>
          <w:sz w:val="21"/>
          <w:szCs w:val="21"/>
        </w:rPr>
        <w:t xml:space="preserve">% in 2015. </w:t>
      </w:r>
      <w:r w:rsidR="00E530A0" w:rsidRPr="004E7A10">
        <w:rPr>
          <w:rFonts w:ascii="Garamond" w:hAnsi="Garamond" w:cs="Times New Roman"/>
          <w:b/>
          <w:sz w:val="21"/>
          <w:szCs w:val="21"/>
        </w:rPr>
        <w:t xml:space="preserve">However, </w:t>
      </w:r>
      <w:r w:rsidR="00A4420A" w:rsidRPr="004E7A10">
        <w:rPr>
          <w:rFonts w:ascii="Garamond" w:hAnsi="Garamond" w:cs="Times New Roman"/>
          <w:b/>
          <w:sz w:val="21"/>
          <w:szCs w:val="21"/>
        </w:rPr>
        <w:t xml:space="preserve">anticipated slackening of </w:t>
      </w:r>
      <w:r w:rsidRPr="004E7A10">
        <w:rPr>
          <w:rFonts w:ascii="Garamond" w:hAnsi="Garamond" w:cs="Times New Roman"/>
          <w:b/>
          <w:sz w:val="21"/>
          <w:szCs w:val="21"/>
        </w:rPr>
        <w:t xml:space="preserve">private spending </w:t>
      </w:r>
      <w:r w:rsidR="00A4420A" w:rsidRPr="004E7A10">
        <w:rPr>
          <w:rFonts w:ascii="Garamond" w:hAnsi="Garamond" w:cs="Times New Roman"/>
          <w:b/>
          <w:sz w:val="21"/>
          <w:szCs w:val="21"/>
        </w:rPr>
        <w:t xml:space="preserve">will diminish in 2015 </w:t>
      </w:r>
      <w:r w:rsidR="00C24716">
        <w:rPr>
          <w:rFonts w:ascii="Garamond" w:hAnsi="Garamond" w:cs="Times New Roman"/>
          <w:b/>
          <w:sz w:val="21"/>
          <w:szCs w:val="21"/>
        </w:rPr>
        <w:t xml:space="preserve">relative to previous forecasts, which will be determined by an expansionary fiscal policy to be implemented this year. </w:t>
      </w:r>
    </w:p>
    <w:p w14:paraId="6A3357BA" w14:textId="77777777" w:rsidR="004E75D6" w:rsidRPr="004E7A10" w:rsidRDefault="009D1B25" w:rsidP="00E530A0">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A tight monetary policy in late 2014, carried out to maintain price and financial stability, </w:t>
      </w:r>
      <w:r w:rsidR="004E75D6" w:rsidRPr="004E7A10">
        <w:rPr>
          <w:rFonts w:ascii="Garamond" w:hAnsi="Garamond" w:cs="Times New Roman"/>
          <w:b/>
          <w:sz w:val="21"/>
          <w:szCs w:val="21"/>
        </w:rPr>
        <w:t xml:space="preserve">was </w:t>
      </w:r>
      <w:r w:rsidRPr="004E7A10">
        <w:rPr>
          <w:rFonts w:ascii="Garamond" w:hAnsi="Garamond" w:cs="Times New Roman"/>
          <w:b/>
          <w:sz w:val="21"/>
          <w:szCs w:val="21"/>
        </w:rPr>
        <w:t>gear</w:t>
      </w:r>
      <w:r w:rsidR="004E75D6" w:rsidRPr="004E7A10">
        <w:rPr>
          <w:rFonts w:ascii="Garamond" w:hAnsi="Garamond" w:cs="Times New Roman"/>
          <w:b/>
          <w:sz w:val="21"/>
          <w:szCs w:val="21"/>
        </w:rPr>
        <w:t xml:space="preserve">ed up for considerable easing of monetary conditions </w:t>
      </w:r>
      <w:r w:rsidR="00C24716">
        <w:rPr>
          <w:rFonts w:ascii="Garamond" w:hAnsi="Garamond" w:cs="Times New Roman"/>
          <w:b/>
          <w:sz w:val="21"/>
          <w:szCs w:val="21"/>
        </w:rPr>
        <w:t>since the start</w:t>
      </w:r>
      <w:r w:rsidR="004E75D6" w:rsidRPr="004E7A10">
        <w:rPr>
          <w:rFonts w:ascii="Garamond" w:hAnsi="Garamond" w:cs="Times New Roman"/>
          <w:b/>
          <w:sz w:val="21"/>
          <w:szCs w:val="21"/>
        </w:rPr>
        <w:t xml:space="preserve"> </w:t>
      </w:r>
      <w:r w:rsidR="00C24716">
        <w:rPr>
          <w:rFonts w:ascii="Garamond" w:hAnsi="Garamond" w:cs="Times New Roman"/>
          <w:b/>
          <w:sz w:val="21"/>
          <w:szCs w:val="21"/>
        </w:rPr>
        <w:t xml:space="preserve">of </w:t>
      </w:r>
      <w:r w:rsidR="004E75D6" w:rsidRPr="004E7A10">
        <w:rPr>
          <w:rFonts w:ascii="Garamond" w:hAnsi="Garamond" w:cs="Times New Roman"/>
          <w:b/>
          <w:sz w:val="21"/>
          <w:szCs w:val="21"/>
        </w:rPr>
        <w:t>2015</w:t>
      </w:r>
      <w:r w:rsidR="00C24716">
        <w:rPr>
          <w:rFonts w:ascii="Garamond" w:hAnsi="Garamond" w:cs="Times New Roman"/>
          <w:b/>
          <w:sz w:val="21"/>
          <w:szCs w:val="21"/>
        </w:rPr>
        <w:t xml:space="preserve">. This </w:t>
      </w:r>
      <w:r w:rsidRPr="004E7A10">
        <w:rPr>
          <w:rFonts w:ascii="Garamond" w:hAnsi="Garamond" w:cs="Times New Roman"/>
          <w:b/>
          <w:sz w:val="21"/>
          <w:szCs w:val="21"/>
        </w:rPr>
        <w:t>will</w:t>
      </w:r>
      <w:r w:rsidR="00C24716">
        <w:rPr>
          <w:rFonts w:ascii="Garamond" w:hAnsi="Garamond" w:cs="Times New Roman"/>
          <w:b/>
          <w:sz w:val="21"/>
          <w:szCs w:val="21"/>
        </w:rPr>
        <w:t xml:space="preserve"> enable to mitigate the expected decline of the level of p</w:t>
      </w:r>
      <w:r w:rsidR="00C24716" w:rsidRPr="004E7A10">
        <w:rPr>
          <w:rFonts w:ascii="Garamond" w:hAnsi="Garamond" w:cs="Times New Roman"/>
          <w:b/>
          <w:sz w:val="21"/>
          <w:szCs w:val="21"/>
        </w:rPr>
        <w:t xml:space="preserve">rivate spending </w:t>
      </w:r>
      <w:r w:rsidR="00C24716">
        <w:rPr>
          <w:rFonts w:ascii="Garamond" w:hAnsi="Garamond" w:cs="Times New Roman"/>
          <w:b/>
          <w:sz w:val="21"/>
          <w:szCs w:val="21"/>
        </w:rPr>
        <w:t>in 2015</w:t>
      </w:r>
      <w:r w:rsidR="004E75D6" w:rsidRPr="004E7A10">
        <w:rPr>
          <w:rFonts w:ascii="Garamond" w:hAnsi="Garamond" w:cs="Times New Roman"/>
          <w:b/>
          <w:sz w:val="21"/>
          <w:szCs w:val="21"/>
        </w:rPr>
        <w:t>.</w:t>
      </w:r>
    </w:p>
    <w:p w14:paraId="4EB95EE6" w14:textId="77777777" w:rsidR="00253048" w:rsidRPr="004E7A10" w:rsidRDefault="00253048" w:rsidP="00253048">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In </w:t>
      </w:r>
      <w:r w:rsidR="00E902CD">
        <w:rPr>
          <w:rFonts w:ascii="Garamond" w:hAnsi="Garamond" w:cs="Times New Roman"/>
          <w:b/>
          <w:sz w:val="21"/>
          <w:szCs w:val="21"/>
        </w:rPr>
        <w:t xml:space="preserve">the period </w:t>
      </w:r>
      <w:r w:rsidRPr="004E7A10">
        <w:rPr>
          <w:rFonts w:ascii="Garamond" w:hAnsi="Garamond" w:cs="Times New Roman"/>
          <w:b/>
          <w:sz w:val="21"/>
          <w:szCs w:val="21"/>
        </w:rPr>
        <w:t>2016-2017, the private spending will bounce back, growing at a moderate rate. The negative impact of private spending on economic growth during this period will alleviate owing to persisting effect from expansionary fiscal policy to be implemented in 2015 and a positive contribution from net exports.</w:t>
      </w:r>
    </w:p>
    <w:p w14:paraId="387A7FB6" w14:textId="35E538E1" w:rsidR="00253048" w:rsidRPr="004E7A10" w:rsidRDefault="00253048" w:rsidP="00253048">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Although such a development with private spending </w:t>
      </w:r>
      <w:r w:rsidR="00D56E14" w:rsidRPr="004E7A10">
        <w:rPr>
          <w:rFonts w:ascii="Garamond" w:hAnsi="Garamond" w:cs="Times New Roman"/>
          <w:b/>
          <w:sz w:val="21"/>
          <w:szCs w:val="21"/>
        </w:rPr>
        <w:t xml:space="preserve">will somewhat negatively affect the </w:t>
      </w:r>
      <w:r w:rsidRPr="004E7A10">
        <w:rPr>
          <w:rFonts w:ascii="Garamond" w:hAnsi="Garamond" w:cs="Times New Roman"/>
          <w:b/>
          <w:sz w:val="21"/>
          <w:szCs w:val="21"/>
        </w:rPr>
        <w:t xml:space="preserve">economic growth, </w:t>
      </w:r>
      <w:r w:rsidR="00D56E14" w:rsidRPr="004E7A10">
        <w:rPr>
          <w:rFonts w:ascii="Garamond" w:hAnsi="Garamond" w:cs="Times New Roman"/>
          <w:b/>
          <w:sz w:val="21"/>
          <w:szCs w:val="21"/>
        </w:rPr>
        <w:t xml:space="preserve">it will </w:t>
      </w:r>
      <w:r w:rsidRPr="004E7A10">
        <w:rPr>
          <w:rFonts w:ascii="Garamond" w:hAnsi="Garamond" w:cs="Times New Roman"/>
          <w:b/>
          <w:sz w:val="21"/>
          <w:szCs w:val="21"/>
        </w:rPr>
        <w:t xml:space="preserve">however contribute to the </w:t>
      </w:r>
      <w:r w:rsidR="003D59D0">
        <w:rPr>
          <w:rFonts w:ascii="Garamond" w:hAnsi="Garamond" w:cs="Times New Roman"/>
          <w:b/>
          <w:sz w:val="21"/>
          <w:szCs w:val="21"/>
        </w:rPr>
        <w:t xml:space="preserve">long-term </w:t>
      </w:r>
      <w:r w:rsidR="00D56E14" w:rsidRPr="004E7A10">
        <w:rPr>
          <w:rFonts w:ascii="Garamond" w:hAnsi="Garamond" w:cs="Times New Roman"/>
          <w:b/>
          <w:sz w:val="21"/>
          <w:szCs w:val="21"/>
        </w:rPr>
        <w:t xml:space="preserve">equilibrium and stability </w:t>
      </w:r>
      <w:proofErr w:type="gramStart"/>
      <w:r w:rsidR="00976A44">
        <w:rPr>
          <w:rFonts w:ascii="Garamond" w:hAnsi="Garamond" w:cs="Times New Roman"/>
          <w:b/>
          <w:sz w:val="21"/>
          <w:szCs w:val="21"/>
        </w:rPr>
        <w:t xml:space="preserve">of </w:t>
      </w:r>
      <w:r w:rsidR="00976A44" w:rsidRPr="004E7A10">
        <w:rPr>
          <w:rFonts w:ascii="Garamond" w:hAnsi="Garamond" w:cs="Times New Roman"/>
          <w:b/>
          <w:sz w:val="21"/>
          <w:szCs w:val="21"/>
        </w:rPr>
        <w:t xml:space="preserve"> </w:t>
      </w:r>
      <w:r w:rsidR="00D56E14" w:rsidRPr="004E7A10">
        <w:rPr>
          <w:rFonts w:ascii="Garamond" w:hAnsi="Garamond" w:cs="Times New Roman"/>
          <w:b/>
          <w:sz w:val="21"/>
          <w:szCs w:val="21"/>
        </w:rPr>
        <w:t>the</w:t>
      </w:r>
      <w:proofErr w:type="gramEnd"/>
      <w:r w:rsidR="00D56E14" w:rsidRPr="004E7A10">
        <w:rPr>
          <w:rFonts w:ascii="Garamond" w:hAnsi="Garamond" w:cs="Times New Roman"/>
          <w:b/>
          <w:sz w:val="21"/>
          <w:szCs w:val="21"/>
        </w:rPr>
        <w:t xml:space="preserve"> economy in future. </w:t>
      </w:r>
    </w:p>
    <w:p w14:paraId="4E824102" w14:textId="77777777" w:rsidR="008132AD" w:rsidRPr="007D1974" w:rsidRDefault="007D1974" w:rsidP="00A9653E">
      <w:pPr>
        <w:spacing w:line="360" w:lineRule="auto"/>
        <w:jc w:val="both"/>
        <w:rPr>
          <w:rFonts w:ascii="Garamond" w:hAnsi="Garamond" w:cs="Times New Roman"/>
          <w:b/>
          <w:color w:val="0070C0"/>
          <w:sz w:val="18"/>
          <w:szCs w:val="18"/>
        </w:rPr>
      </w:pPr>
      <w:r>
        <w:rPr>
          <w:rFonts w:ascii="Garamond" w:hAnsi="Garamond" w:cs="Times New Roman"/>
          <w:b/>
          <w:color w:val="0070C0"/>
          <w:sz w:val="18"/>
          <w:szCs w:val="18"/>
        </w:rPr>
        <w:t>I</w:t>
      </w:r>
      <w:r w:rsidRPr="007D1974">
        <w:rPr>
          <w:rFonts w:ascii="Garamond" w:hAnsi="Garamond" w:cs="Times New Roman"/>
          <w:b/>
          <w:color w:val="0070C0"/>
          <w:sz w:val="18"/>
          <w:szCs w:val="18"/>
        </w:rPr>
        <w:t>n 2015</w:t>
      </w:r>
      <w:r>
        <w:rPr>
          <w:rFonts w:ascii="Garamond" w:hAnsi="Garamond" w:cs="Times New Roman"/>
          <w:b/>
          <w:color w:val="0070C0"/>
          <w:sz w:val="18"/>
          <w:szCs w:val="18"/>
        </w:rPr>
        <w:t>,</w:t>
      </w:r>
      <w:r w:rsidRPr="007D1974">
        <w:rPr>
          <w:rFonts w:ascii="Garamond" w:hAnsi="Garamond" w:cs="Times New Roman"/>
          <w:b/>
          <w:color w:val="0070C0"/>
          <w:sz w:val="18"/>
          <w:szCs w:val="18"/>
        </w:rPr>
        <w:t xml:space="preserve"> </w:t>
      </w:r>
      <w:r>
        <w:rPr>
          <w:rFonts w:ascii="Garamond" w:hAnsi="Garamond" w:cs="Times New Roman"/>
          <w:b/>
          <w:color w:val="0070C0"/>
          <w:sz w:val="18"/>
          <w:szCs w:val="18"/>
        </w:rPr>
        <w:t>f</w:t>
      </w:r>
      <w:r w:rsidRPr="007D1974">
        <w:rPr>
          <w:rFonts w:ascii="Garamond" w:hAnsi="Garamond" w:cs="Times New Roman"/>
          <w:b/>
          <w:color w:val="0070C0"/>
          <w:sz w:val="18"/>
          <w:szCs w:val="18"/>
        </w:rPr>
        <w:t xml:space="preserve">inal consumption expenditures </w:t>
      </w:r>
      <w:r>
        <w:rPr>
          <w:rFonts w:ascii="Garamond" w:hAnsi="Garamond" w:cs="Times New Roman"/>
          <w:b/>
          <w:color w:val="0070C0"/>
          <w:sz w:val="18"/>
          <w:szCs w:val="18"/>
        </w:rPr>
        <w:t>by</w:t>
      </w:r>
      <w:r w:rsidRPr="007D1974">
        <w:rPr>
          <w:rFonts w:ascii="Garamond" w:hAnsi="Garamond" w:cs="Times New Roman"/>
          <w:b/>
          <w:color w:val="0070C0"/>
          <w:sz w:val="18"/>
          <w:szCs w:val="18"/>
        </w:rPr>
        <w:t xml:space="preserve"> households will reduce by 2.5% </w:t>
      </w:r>
      <w:r w:rsidR="008132AD" w:rsidRPr="007D1974">
        <w:rPr>
          <w:rFonts w:ascii="Garamond" w:hAnsi="Garamond" w:cs="Times New Roman"/>
          <w:b/>
          <w:color w:val="0070C0"/>
          <w:sz w:val="18"/>
          <w:szCs w:val="18"/>
        </w:rPr>
        <w:t xml:space="preserve">and private investment, by </w:t>
      </w:r>
      <w:r>
        <w:rPr>
          <w:rFonts w:ascii="Garamond" w:hAnsi="Garamond" w:cs="Times New Roman"/>
          <w:b/>
          <w:color w:val="0070C0"/>
          <w:sz w:val="18"/>
          <w:szCs w:val="18"/>
        </w:rPr>
        <w:t>8</w:t>
      </w:r>
      <w:r w:rsidR="008132AD" w:rsidRPr="007D1974">
        <w:rPr>
          <w:rFonts w:ascii="Garamond" w:hAnsi="Garamond" w:cs="Times New Roman"/>
          <w:b/>
          <w:color w:val="0070C0"/>
          <w:sz w:val="18"/>
          <w:szCs w:val="18"/>
        </w:rPr>
        <w:t>%</w:t>
      </w:r>
      <w:r>
        <w:rPr>
          <w:rFonts w:ascii="Garamond" w:hAnsi="Garamond" w:cs="Times New Roman"/>
          <w:b/>
          <w:color w:val="0070C0"/>
          <w:sz w:val="18"/>
          <w:szCs w:val="18"/>
        </w:rPr>
        <w:t>,</w:t>
      </w:r>
      <w:r w:rsidRPr="007D1974">
        <w:rPr>
          <w:rFonts w:ascii="Garamond" w:hAnsi="Garamond" w:cs="Times New Roman"/>
          <w:b/>
          <w:color w:val="0070C0"/>
          <w:sz w:val="18"/>
          <w:szCs w:val="18"/>
        </w:rPr>
        <w:t xml:space="preserve"> in real terms</w:t>
      </w:r>
      <w:r>
        <w:rPr>
          <w:rFonts w:ascii="Garamond" w:hAnsi="Garamond" w:cs="Times New Roman"/>
          <w:b/>
          <w:color w:val="0070C0"/>
          <w:sz w:val="18"/>
          <w:szCs w:val="18"/>
        </w:rPr>
        <w:t>…</w:t>
      </w:r>
    </w:p>
    <w:p w14:paraId="7604C609" w14:textId="77777777" w:rsidR="00014582" w:rsidRPr="004E7A10" w:rsidRDefault="003D59D0"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Estimates suggest that final consumption expenditures of households will reduce in 2015 by </w:t>
      </w:r>
      <w:r>
        <w:rPr>
          <w:rFonts w:ascii="Garamond" w:hAnsi="Garamond" w:cs="Times New Roman"/>
          <w:sz w:val="21"/>
          <w:szCs w:val="21"/>
        </w:rPr>
        <w:t>2</w:t>
      </w:r>
      <w:r w:rsidRPr="004E7A10">
        <w:rPr>
          <w:rFonts w:ascii="Garamond" w:hAnsi="Garamond" w:cs="Times New Roman"/>
          <w:sz w:val="21"/>
          <w:szCs w:val="21"/>
        </w:rPr>
        <w:t>.</w:t>
      </w:r>
      <w:r>
        <w:rPr>
          <w:rFonts w:ascii="Garamond" w:hAnsi="Garamond" w:cs="Times New Roman"/>
          <w:sz w:val="21"/>
          <w:szCs w:val="21"/>
        </w:rPr>
        <w:t>5</w:t>
      </w:r>
      <w:r w:rsidRPr="004E7A10">
        <w:rPr>
          <w:rFonts w:ascii="Garamond" w:hAnsi="Garamond" w:cs="Times New Roman"/>
          <w:sz w:val="21"/>
          <w:szCs w:val="21"/>
        </w:rPr>
        <w:t>% in real terms</w:t>
      </w:r>
      <w:r>
        <w:rPr>
          <w:rFonts w:ascii="Garamond" w:hAnsi="Garamond" w:cs="Times New Roman"/>
          <w:sz w:val="21"/>
          <w:szCs w:val="21"/>
        </w:rPr>
        <w:t xml:space="preserve"> resulting from </w:t>
      </w:r>
      <w:r w:rsidRPr="004E7A10">
        <w:rPr>
          <w:rFonts w:ascii="Garamond" w:hAnsi="Garamond" w:cs="Times New Roman"/>
          <w:sz w:val="21"/>
          <w:szCs w:val="21"/>
        </w:rPr>
        <w:t>considerable reduction in remittances from Russia and anticipated slowing of growth rates of credit to the economy.</w:t>
      </w:r>
      <w:r>
        <w:rPr>
          <w:rFonts w:ascii="Garamond" w:hAnsi="Garamond" w:cs="Times New Roman"/>
          <w:sz w:val="21"/>
          <w:szCs w:val="21"/>
        </w:rPr>
        <w:t xml:space="preserve"> Note, however, that the shrinkage of private transfers is estimated </w:t>
      </w:r>
      <w:r w:rsidR="00976A44">
        <w:rPr>
          <w:rFonts w:ascii="Garamond" w:hAnsi="Garamond" w:cs="Times New Roman"/>
          <w:sz w:val="21"/>
          <w:szCs w:val="21"/>
        </w:rPr>
        <w:t xml:space="preserve">to be </w:t>
      </w:r>
      <w:r>
        <w:rPr>
          <w:rFonts w:ascii="Garamond" w:hAnsi="Garamond" w:cs="Times New Roman"/>
          <w:sz w:val="21"/>
          <w:szCs w:val="21"/>
        </w:rPr>
        <w:t xml:space="preserve">smaller compared to former forecasts, which is attributable to higher economic activity to be seen in 2015, fiscal and monetary stimuli as well as much slower pace of decline in remittances. </w:t>
      </w:r>
    </w:p>
    <w:p w14:paraId="302E3F15" w14:textId="35C3DD97" w:rsidR="00E10481" w:rsidRPr="004E7A10" w:rsidRDefault="003612A2"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above factors, as well as current and expected sluggishness in investment activity will lead to </w:t>
      </w:r>
      <w:proofErr w:type="gramStart"/>
      <w:r w:rsidR="00976A44">
        <w:rPr>
          <w:rFonts w:ascii="Garamond" w:hAnsi="Garamond" w:cs="Times New Roman"/>
          <w:sz w:val="21"/>
          <w:szCs w:val="21"/>
        </w:rPr>
        <w:t xml:space="preserve">almost </w:t>
      </w:r>
      <w:r w:rsidR="00976A44" w:rsidRPr="004E7A10">
        <w:rPr>
          <w:rFonts w:ascii="Garamond" w:hAnsi="Garamond" w:cs="Times New Roman"/>
          <w:sz w:val="21"/>
          <w:szCs w:val="21"/>
        </w:rPr>
        <w:t xml:space="preserve"> </w:t>
      </w:r>
      <w:r w:rsidR="00B20255">
        <w:rPr>
          <w:rFonts w:ascii="Garamond" w:hAnsi="Garamond" w:cs="Times New Roman"/>
          <w:sz w:val="21"/>
          <w:szCs w:val="21"/>
        </w:rPr>
        <w:t>8</w:t>
      </w:r>
      <w:proofErr w:type="gramEnd"/>
      <w:r w:rsidRPr="004E7A10">
        <w:rPr>
          <w:rFonts w:ascii="Garamond" w:hAnsi="Garamond" w:cs="Times New Roman"/>
          <w:sz w:val="21"/>
          <w:szCs w:val="21"/>
        </w:rPr>
        <w:t xml:space="preserve">% reduction in private investment in 2015, which is significantly lower compared to the previous forecasts. </w:t>
      </w:r>
      <w:r w:rsidR="005A1C7A" w:rsidRPr="004E7A10">
        <w:rPr>
          <w:rFonts w:ascii="Garamond" w:hAnsi="Garamond" w:cs="Times New Roman"/>
          <w:sz w:val="21"/>
          <w:szCs w:val="21"/>
        </w:rPr>
        <w:t xml:space="preserve">Expected decline in private investment in </w:t>
      </w:r>
      <w:r w:rsidRPr="004E7A10">
        <w:rPr>
          <w:rFonts w:ascii="Garamond" w:hAnsi="Garamond" w:cs="Times New Roman"/>
          <w:sz w:val="21"/>
          <w:szCs w:val="21"/>
        </w:rPr>
        <w:t xml:space="preserve">2015 </w:t>
      </w:r>
      <w:r w:rsidR="005A1C7A" w:rsidRPr="004E7A10">
        <w:rPr>
          <w:rFonts w:ascii="Garamond" w:hAnsi="Garamond" w:cs="Times New Roman"/>
          <w:sz w:val="21"/>
          <w:szCs w:val="21"/>
        </w:rPr>
        <w:t xml:space="preserve">will be determined by reduced investment in companies engaged in </w:t>
      </w:r>
      <w:r w:rsidRPr="004E7A10">
        <w:rPr>
          <w:rFonts w:ascii="Garamond" w:hAnsi="Garamond" w:cs="Times New Roman"/>
          <w:sz w:val="21"/>
          <w:szCs w:val="21"/>
        </w:rPr>
        <w:t xml:space="preserve">construction and other non-tradable sectors of the economy, </w:t>
      </w:r>
      <w:r w:rsidR="005A1C7A" w:rsidRPr="004E7A10">
        <w:rPr>
          <w:rFonts w:ascii="Garamond" w:hAnsi="Garamond" w:cs="Times New Roman"/>
          <w:sz w:val="21"/>
          <w:szCs w:val="21"/>
        </w:rPr>
        <w:t xml:space="preserve">which will outweigh the </w:t>
      </w:r>
      <w:r w:rsidRPr="004E7A10">
        <w:rPr>
          <w:rFonts w:ascii="Garamond" w:hAnsi="Garamond" w:cs="Times New Roman"/>
          <w:sz w:val="21"/>
          <w:szCs w:val="21"/>
        </w:rPr>
        <w:t>investment</w:t>
      </w:r>
      <w:r w:rsidR="005A1C7A" w:rsidRPr="004E7A10">
        <w:rPr>
          <w:rFonts w:ascii="Garamond" w:hAnsi="Garamond" w:cs="Times New Roman"/>
          <w:sz w:val="21"/>
          <w:szCs w:val="21"/>
        </w:rPr>
        <w:t>s</w:t>
      </w:r>
      <w:r w:rsidRPr="004E7A10">
        <w:rPr>
          <w:rFonts w:ascii="Garamond" w:hAnsi="Garamond" w:cs="Times New Roman"/>
          <w:sz w:val="21"/>
          <w:szCs w:val="21"/>
        </w:rPr>
        <w:t xml:space="preserve"> in the tradable sector</w:t>
      </w:r>
      <w:r w:rsidR="005A1C7A" w:rsidRPr="004E7A10">
        <w:rPr>
          <w:rFonts w:ascii="Garamond" w:hAnsi="Garamond" w:cs="Times New Roman"/>
          <w:sz w:val="21"/>
          <w:szCs w:val="21"/>
        </w:rPr>
        <w:t>. The expected growth of</w:t>
      </w:r>
      <w:r w:rsidRPr="004E7A10">
        <w:rPr>
          <w:rFonts w:ascii="Garamond" w:hAnsi="Garamond" w:cs="Times New Roman"/>
          <w:sz w:val="21"/>
          <w:szCs w:val="21"/>
        </w:rPr>
        <w:t xml:space="preserve"> investment</w:t>
      </w:r>
      <w:r w:rsidR="005A1C7A" w:rsidRPr="004E7A10">
        <w:rPr>
          <w:rFonts w:ascii="Garamond" w:hAnsi="Garamond" w:cs="Times New Roman"/>
          <w:sz w:val="21"/>
          <w:szCs w:val="21"/>
        </w:rPr>
        <w:t>s in the tradable sector</w:t>
      </w:r>
      <w:r w:rsidRPr="004E7A10">
        <w:rPr>
          <w:rFonts w:ascii="Garamond" w:hAnsi="Garamond" w:cs="Times New Roman"/>
          <w:sz w:val="21"/>
          <w:szCs w:val="21"/>
        </w:rPr>
        <w:t xml:space="preserve"> is </w:t>
      </w:r>
      <w:r w:rsidR="00B20255">
        <w:rPr>
          <w:rFonts w:ascii="Garamond" w:hAnsi="Garamond" w:cs="Times New Roman"/>
          <w:sz w:val="21"/>
          <w:szCs w:val="21"/>
        </w:rPr>
        <w:t xml:space="preserve">due to </w:t>
      </w:r>
      <w:r w:rsidR="005A1C7A" w:rsidRPr="004E7A10">
        <w:rPr>
          <w:rFonts w:ascii="Garamond" w:hAnsi="Garamond" w:cs="Times New Roman"/>
          <w:sz w:val="21"/>
          <w:szCs w:val="21"/>
        </w:rPr>
        <w:t xml:space="preserve">increased profitability there as a result of the dram </w:t>
      </w:r>
      <w:r w:rsidRPr="004E7A10">
        <w:rPr>
          <w:rFonts w:ascii="Garamond" w:hAnsi="Garamond" w:cs="Times New Roman"/>
          <w:sz w:val="21"/>
          <w:szCs w:val="21"/>
        </w:rPr>
        <w:t>exchange rate de</w:t>
      </w:r>
      <w:r w:rsidR="005A1C7A" w:rsidRPr="004E7A10">
        <w:rPr>
          <w:rFonts w:ascii="Garamond" w:hAnsi="Garamond" w:cs="Times New Roman"/>
          <w:sz w:val="21"/>
          <w:szCs w:val="21"/>
        </w:rPr>
        <w:t xml:space="preserve">preciation in late 2014. </w:t>
      </w:r>
    </w:p>
    <w:p w14:paraId="7936CD2F" w14:textId="77777777" w:rsidR="00383E7A" w:rsidRDefault="005A1C7A"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2015 expansionary fiscal policy, </w:t>
      </w:r>
      <w:r w:rsidR="005E3A03">
        <w:rPr>
          <w:rFonts w:ascii="Garamond" w:hAnsi="Garamond" w:cs="Times New Roman"/>
          <w:sz w:val="21"/>
          <w:szCs w:val="21"/>
        </w:rPr>
        <w:t>considerable</w:t>
      </w:r>
      <w:r w:rsidRPr="004E7A10">
        <w:rPr>
          <w:rFonts w:ascii="Garamond" w:hAnsi="Garamond" w:cs="Times New Roman"/>
          <w:sz w:val="21"/>
          <w:szCs w:val="21"/>
        </w:rPr>
        <w:t xml:space="preserve"> easing of monetary conditions in the forecast horizon</w:t>
      </w:r>
      <w:r w:rsidR="00383E7A" w:rsidRPr="004E7A10">
        <w:rPr>
          <w:rFonts w:ascii="Garamond" w:hAnsi="Garamond" w:cs="Times New Roman"/>
          <w:sz w:val="21"/>
          <w:szCs w:val="21"/>
        </w:rPr>
        <w:t xml:space="preserve">, </w:t>
      </w:r>
      <w:r w:rsidRPr="004E7A10">
        <w:rPr>
          <w:rFonts w:ascii="Garamond" w:hAnsi="Garamond" w:cs="Times New Roman"/>
          <w:sz w:val="21"/>
          <w:szCs w:val="21"/>
        </w:rPr>
        <w:t xml:space="preserve">as well as </w:t>
      </w:r>
      <w:r w:rsidR="00383E7A" w:rsidRPr="004E7A10">
        <w:rPr>
          <w:rFonts w:ascii="Garamond" w:hAnsi="Garamond" w:cs="Times New Roman"/>
          <w:sz w:val="21"/>
          <w:szCs w:val="21"/>
        </w:rPr>
        <w:t xml:space="preserve">improving external economic environment and </w:t>
      </w:r>
      <w:r w:rsidRPr="004E7A10">
        <w:rPr>
          <w:rFonts w:ascii="Garamond" w:hAnsi="Garamond" w:cs="Times New Roman"/>
          <w:sz w:val="21"/>
          <w:szCs w:val="21"/>
        </w:rPr>
        <w:t>Russia</w:t>
      </w:r>
      <w:r w:rsidR="005E3A03">
        <w:rPr>
          <w:rFonts w:ascii="Garamond" w:hAnsi="Garamond" w:cs="Times New Roman"/>
          <w:sz w:val="21"/>
          <w:szCs w:val="21"/>
        </w:rPr>
        <w:t>’</w:t>
      </w:r>
      <w:r w:rsidRPr="004E7A10">
        <w:rPr>
          <w:rFonts w:ascii="Garamond" w:hAnsi="Garamond" w:cs="Times New Roman"/>
          <w:sz w:val="21"/>
          <w:szCs w:val="21"/>
        </w:rPr>
        <w:t>s economic recovery</w:t>
      </w:r>
      <w:r w:rsidR="00383E7A" w:rsidRPr="004E7A10">
        <w:rPr>
          <w:rFonts w:ascii="Garamond" w:hAnsi="Garamond" w:cs="Times New Roman"/>
          <w:sz w:val="21"/>
          <w:szCs w:val="21"/>
        </w:rPr>
        <w:t>,</w:t>
      </w:r>
      <w:r w:rsidRPr="004E7A10">
        <w:rPr>
          <w:rFonts w:ascii="Garamond" w:hAnsi="Garamond" w:cs="Times New Roman"/>
          <w:sz w:val="21"/>
          <w:szCs w:val="21"/>
        </w:rPr>
        <w:t xml:space="preserve"> </w:t>
      </w:r>
      <w:r w:rsidR="00383E7A" w:rsidRPr="004E7A10">
        <w:rPr>
          <w:rFonts w:ascii="Garamond" w:hAnsi="Garamond" w:cs="Times New Roman"/>
          <w:sz w:val="21"/>
          <w:szCs w:val="21"/>
        </w:rPr>
        <w:t xml:space="preserve">in particular, will cushion the decline in </w:t>
      </w:r>
      <w:r w:rsidRPr="004E7A10">
        <w:rPr>
          <w:rFonts w:ascii="Garamond" w:hAnsi="Garamond" w:cs="Times New Roman"/>
          <w:sz w:val="21"/>
          <w:szCs w:val="21"/>
        </w:rPr>
        <w:t xml:space="preserve">private consumption and investment </w:t>
      </w:r>
      <w:r w:rsidR="00383E7A" w:rsidRPr="004E7A10">
        <w:rPr>
          <w:rFonts w:ascii="Garamond" w:hAnsi="Garamond" w:cs="Times New Roman"/>
          <w:sz w:val="21"/>
          <w:szCs w:val="21"/>
        </w:rPr>
        <w:t>in</w:t>
      </w:r>
      <w:r w:rsidRPr="004E7A10">
        <w:rPr>
          <w:rFonts w:ascii="Garamond" w:hAnsi="Garamond" w:cs="Times New Roman"/>
          <w:sz w:val="21"/>
          <w:szCs w:val="21"/>
        </w:rPr>
        <w:t xml:space="preserve"> 2015 and </w:t>
      </w:r>
      <w:r w:rsidR="00383E7A" w:rsidRPr="004E7A10">
        <w:rPr>
          <w:rFonts w:ascii="Garamond" w:hAnsi="Garamond" w:cs="Times New Roman"/>
          <w:sz w:val="21"/>
          <w:szCs w:val="21"/>
        </w:rPr>
        <w:t xml:space="preserve">even </w:t>
      </w:r>
      <w:r w:rsidRPr="004E7A10">
        <w:rPr>
          <w:rFonts w:ascii="Garamond" w:hAnsi="Garamond" w:cs="Times New Roman"/>
          <w:sz w:val="21"/>
          <w:szCs w:val="21"/>
        </w:rPr>
        <w:t>stimulate their growth in 2016-2017</w:t>
      </w:r>
      <w:r w:rsidR="00383E7A" w:rsidRPr="004E7A10">
        <w:rPr>
          <w:rFonts w:ascii="Garamond" w:hAnsi="Garamond" w:cs="Times New Roman"/>
          <w:sz w:val="21"/>
          <w:szCs w:val="21"/>
        </w:rPr>
        <w:t>.</w:t>
      </w:r>
      <w:r w:rsidRPr="004E7A10">
        <w:rPr>
          <w:rFonts w:ascii="Garamond" w:hAnsi="Garamond" w:cs="Times New Roman"/>
          <w:sz w:val="21"/>
          <w:szCs w:val="21"/>
        </w:rPr>
        <w:t xml:space="preserve"> </w:t>
      </w:r>
      <w:r w:rsidR="00383E7A" w:rsidRPr="004E7A10">
        <w:rPr>
          <w:rFonts w:ascii="Garamond" w:hAnsi="Garamond" w:cs="Times New Roman"/>
          <w:sz w:val="21"/>
          <w:szCs w:val="21"/>
        </w:rPr>
        <w:t>A</w:t>
      </w:r>
      <w:r w:rsidRPr="004E7A10">
        <w:rPr>
          <w:rFonts w:ascii="Garamond" w:hAnsi="Garamond" w:cs="Times New Roman"/>
          <w:sz w:val="21"/>
          <w:szCs w:val="21"/>
        </w:rPr>
        <w:t>s a result</w:t>
      </w:r>
      <w:r w:rsidR="00383E7A" w:rsidRPr="004E7A10">
        <w:rPr>
          <w:rFonts w:ascii="Garamond" w:hAnsi="Garamond" w:cs="Times New Roman"/>
          <w:sz w:val="21"/>
          <w:szCs w:val="21"/>
        </w:rPr>
        <w:t>,</w:t>
      </w:r>
      <w:r w:rsidRPr="004E7A10">
        <w:rPr>
          <w:rFonts w:ascii="Garamond" w:hAnsi="Garamond" w:cs="Times New Roman"/>
          <w:sz w:val="21"/>
          <w:szCs w:val="21"/>
        </w:rPr>
        <w:t xml:space="preserve"> </w:t>
      </w:r>
      <w:r w:rsidR="00383E7A" w:rsidRPr="004E7A10">
        <w:rPr>
          <w:rFonts w:ascii="Garamond" w:hAnsi="Garamond" w:cs="Times New Roman"/>
          <w:sz w:val="21"/>
          <w:szCs w:val="21"/>
        </w:rPr>
        <w:t xml:space="preserve">the private consumption </w:t>
      </w:r>
      <w:r w:rsidRPr="004E7A10">
        <w:rPr>
          <w:rFonts w:ascii="Garamond" w:hAnsi="Garamond" w:cs="Times New Roman"/>
          <w:sz w:val="21"/>
          <w:szCs w:val="21"/>
        </w:rPr>
        <w:t xml:space="preserve">is expected </w:t>
      </w:r>
      <w:r w:rsidR="00383E7A" w:rsidRPr="004E7A10">
        <w:rPr>
          <w:rFonts w:ascii="Garamond" w:hAnsi="Garamond" w:cs="Times New Roman"/>
          <w:sz w:val="21"/>
          <w:szCs w:val="21"/>
        </w:rPr>
        <w:t xml:space="preserve">to grow </w:t>
      </w:r>
      <w:r w:rsidRPr="004E7A10">
        <w:rPr>
          <w:rFonts w:ascii="Garamond" w:hAnsi="Garamond" w:cs="Times New Roman"/>
          <w:sz w:val="21"/>
          <w:szCs w:val="21"/>
        </w:rPr>
        <w:t>in 2016 and 2017</w:t>
      </w:r>
      <w:r w:rsidR="00383E7A" w:rsidRPr="004E7A10">
        <w:rPr>
          <w:rFonts w:ascii="Garamond" w:hAnsi="Garamond" w:cs="Times New Roman"/>
          <w:sz w:val="21"/>
          <w:szCs w:val="21"/>
        </w:rPr>
        <w:t xml:space="preserve"> by </w:t>
      </w:r>
      <w:r w:rsidR="005E3A03">
        <w:rPr>
          <w:rFonts w:ascii="Garamond" w:hAnsi="Garamond" w:cs="Times New Roman"/>
          <w:sz w:val="21"/>
          <w:szCs w:val="21"/>
        </w:rPr>
        <w:t>2.0</w:t>
      </w:r>
      <w:r w:rsidR="00C07275" w:rsidRPr="004E7A10">
        <w:rPr>
          <w:rFonts w:ascii="Garamond" w:hAnsi="Garamond" w:cs="Times New Roman"/>
          <w:sz w:val="21"/>
          <w:szCs w:val="21"/>
        </w:rPr>
        <w:t>%</w:t>
      </w:r>
      <w:r w:rsidRPr="004E7A10">
        <w:rPr>
          <w:rFonts w:ascii="Garamond" w:hAnsi="Garamond" w:cs="Times New Roman"/>
          <w:sz w:val="21"/>
          <w:szCs w:val="21"/>
        </w:rPr>
        <w:t>-</w:t>
      </w:r>
      <w:r w:rsidR="005E3A03">
        <w:rPr>
          <w:rFonts w:ascii="Garamond" w:hAnsi="Garamond" w:cs="Times New Roman"/>
          <w:sz w:val="21"/>
          <w:szCs w:val="21"/>
        </w:rPr>
        <w:t>2</w:t>
      </w:r>
      <w:r w:rsidRPr="004E7A10">
        <w:rPr>
          <w:rFonts w:ascii="Garamond" w:hAnsi="Garamond" w:cs="Times New Roman"/>
          <w:sz w:val="21"/>
          <w:szCs w:val="21"/>
        </w:rPr>
        <w:t>.5% and 2</w:t>
      </w:r>
      <w:r w:rsidR="005E3A03">
        <w:rPr>
          <w:rFonts w:ascii="Garamond" w:hAnsi="Garamond" w:cs="Times New Roman"/>
          <w:sz w:val="21"/>
          <w:szCs w:val="21"/>
        </w:rPr>
        <w:t>.5</w:t>
      </w:r>
      <w:r w:rsidR="00C07275" w:rsidRPr="004E7A10">
        <w:rPr>
          <w:rFonts w:ascii="Garamond" w:hAnsi="Garamond" w:cs="Times New Roman"/>
          <w:sz w:val="21"/>
          <w:szCs w:val="21"/>
        </w:rPr>
        <w:t>%</w:t>
      </w:r>
      <w:r w:rsidRPr="004E7A10">
        <w:rPr>
          <w:rFonts w:ascii="Garamond" w:hAnsi="Garamond" w:cs="Times New Roman"/>
          <w:sz w:val="21"/>
          <w:szCs w:val="21"/>
        </w:rPr>
        <w:t>-3%, respectively.</w:t>
      </w:r>
      <w:r w:rsidR="00383E7A" w:rsidRPr="004E7A10">
        <w:rPr>
          <w:rFonts w:ascii="Garamond" w:hAnsi="Garamond" w:cs="Times New Roman"/>
          <w:sz w:val="21"/>
          <w:szCs w:val="21"/>
        </w:rPr>
        <w:t xml:space="preserve"> </w:t>
      </w:r>
    </w:p>
    <w:p w14:paraId="466A8BFE" w14:textId="77777777" w:rsidR="00AE5404" w:rsidRPr="004E7A10" w:rsidRDefault="00AE5404" w:rsidP="00AE5404">
      <w:pPr>
        <w:spacing w:line="360" w:lineRule="auto"/>
        <w:jc w:val="both"/>
        <w:rPr>
          <w:rFonts w:ascii="Garamond" w:hAnsi="Garamond" w:cs="Times New Roman"/>
          <w:b/>
          <w:color w:val="0070C0"/>
          <w:sz w:val="18"/>
          <w:szCs w:val="18"/>
        </w:rPr>
      </w:pPr>
      <w:r w:rsidRPr="004E7A10">
        <w:rPr>
          <w:rFonts w:ascii="Garamond" w:hAnsi="Garamond" w:cs="Times New Roman"/>
          <w:b/>
          <w:color w:val="0070C0"/>
          <w:sz w:val="18"/>
          <w:szCs w:val="18"/>
        </w:rPr>
        <w:t xml:space="preserve">In 2016-2017, private consumption is expected to grow by </w:t>
      </w:r>
      <w:r>
        <w:rPr>
          <w:rFonts w:ascii="Garamond" w:hAnsi="Garamond" w:cs="Times New Roman"/>
          <w:b/>
          <w:color w:val="0070C0"/>
          <w:sz w:val="18"/>
          <w:szCs w:val="18"/>
        </w:rPr>
        <w:t>2</w:t>
      </w:r>
      <w:r w:rsidRPr="004E7A10">
        <w:rPr>
          <w:rFonts w:ascii="Garamond" w:hAnsi="Garamond" w:cs="Times New Roman"/>
          <w:b/>
          <w:color w:val="0070C0"/>
          <w:sz w:val="18"/>
          <w:szCs w:val="18"/>
        </w:rPr>
        <w:t>%-3% and private investment, by 3%-4%...</w:t>
      </w:r>
    </w:p>
    <w:p w14:paraId="00897C4C" w14:textId="77777777" w:rsidR="00221163" w:rsidRPr="004E7A10" w:rsidRDefault="00CD3CA7" w:rsidP="00A9653E">
      <w:pPr>
        <w:spacing w:line="360" w:lineRule="auto"/>
        <w:jc w:val="both"/>
        <w:rPr>
          <w:rFonts w:ascii="Garamond" w:hAnsi="Garamond" w:cs="Times New Roman"/>
          <w:sz w:val="21"/>
          <w:szCs w:val="21"/>
        </w:rPr>
      </w:pPr>
      <w:r w:rsidRPr="004E7A10">
        <w:rPr>
          <w:rFonts w:ascii="Garamond" w:hAnsi="Garamond" w:cs="Times New Roman"/>
          <w:sz w:val="21"/>
          <w:szCs w:val="21"/>
        </w:rPr>
        <w:lastRenderedPageBreak/>
        <w:t>The private investment in 2016-2017 is expected to post a 3</w:t>
      </w:r>
      <w:r w:rsidR="000C1F47" w:rsidRPr="004E7A10">
        <w:rPr>
          <w:rFonts w:ascii="Garamond" w:hAnsi="Garamond" w:cs="Times New Roman"/>
          <w:sz w:val="21"/>
          <w:szCs w:val="21"/>
        </w:rPr>
        <w:t>%</w:t>
      </w:r>
      <w:r w:rsidRPr="004E7A10">
        <w:rPr>
          <w:rFonts w:ascii="Garamond" w:hAnsi="Garamond" w:cs="Times New Roman"/>
          <w:sz w:val="21"/>
          <w:szCs w:val="21"/>
        </w:rPr>
        <w:t xml:space="preserve">-4% growth. </w:t>
      </w:r>
      <w:r w:rsidR="00946A6C" w:rsidRPr="004E7A10">
        <w:rPr>
          <w:rFonts w:ascii="Garamond" w:hAnsi="Garamond" w:cs="Times New Roman"/>
          <w:sz w:val="21"/>
          <w:szCs w:val="21"/>
        </w:rPr>
        <w:t xml:space="preserve">There will be more investments owing to the ones expected in the tradable sectors of the economy, </w:t>
      </w:r>
      <w:r w:rsidRPr="004E7A10">
        <w:rPr>
          <w:rFonts w:ascii="Garamond" w:hAnsi="Garamond" w:cs="Times New Roman"/>
          <w:sz w:val="21"/>
          <w:szCs w:val="21"/>
        </w:rPr>
        <w:t xml:space="preserve">for which </w:t>
      </w:r>
      <w:r w:rsidR="00946A6C" w:rsidRPr="004E7A10">
        <w:rPr>
          <w:rFonts w:ascii="Garamond" w:hAnsi="Garamond" w:cs="Times New Roman"/>
          <w:sz w:val="21"/>
          <w:szCs w:val="21"/>
        </w:rPr>
        <w:t xml:space="preserve">recent depreciation of the dram exchange rate and </w:t>
      </w:r>
      <w:r w:rsidR="005E3A03">
        <w:rPr>
          <w:rFonts w:ascii="Garamond" w:hAnsi="Garamond" w:cs="Times New Roman"/>
          <w:sz w:val="21"/>
          <w:szCs w:val="21"/>
        </w:rPr>
        <w:t>continued</w:t>
      </w:r>
      <w:r w:rsidR="00946A6C" w:rsidRPr="004E7A10">
        <w:rPr>
          <w:rFonts w:ascii="Garamond" w:hAnsi="Garamond" w:cs="Times New Roman"/>
          <w:sz w:val="21"/>
          <w:szCs w:val="21"/>
        </w:rPr>
        <w:t xml:space="preserve"> structural changes in the economy will be </w:t>
      </w:r>
      <w:r w:rsidR="000C1F47" w:rsidRPr="004E7A10">
        <w:rPr>
          <w:rFonts w:ascii="Garamond" w:hAnsi="Garamond" w:cs="Times New Roman"/>
          <w:sz w:val="21"/>
          <w:szCs w:val="21"/>
        </w:rPr>
        <w:t xml:space="preserve">an important </w:t>
      </w:r>
      <w:r w:rsidR="00946A6C" w:rsidRPr="004E7A10">
        <w:rPr>
          <w:rFonts w:ascii="Garamond" w:hAnsi="Garamond" w:cs="Times New Roman"/>
          <w:sz w:val="21"/>
          <w:szCs w:val="21"/>
        </w:rPr>
        <w:t xml:space="preserve">incentive. On the back of these developments, investment activity in the </w:t>
      </w:r>
      <w:r w:rsidRPr="004E7A10">
        <w:rPr>
          <w:rFonts w:ascii="Garamond" w:hAnsi="Garamond" w:cs="Times New Roman"/>
          <w:sz w:val="21"/>
          <w:szCs w:val="21"/>
        </w:rPr>
        <w:t>non-tradable sector</w:t>
      </w:r>
      <w:r w:rsidR="002A450D">
        <w:rPr>
          <w:rFonts w:ascii="Garamond" w:hAnsi="Garamond" w:cs="Times New Roman"/>
          <w:sz w:val="21"/>
          <w:szCs w:val="21"/>
        </w:rPr>
        <w:t xml:space="preserve"> is expected to recover </w:t>
      </w:r>
      <w:r w:rsidR="00946A6C" w:rsidRPr="004E7A10">
        <w:rPr>
          <w:rFonts w:ascii="Garamond" w:hAnsi="Garamond" w:cs="Times New Roman"/>
          <w:sz w:val="21"/>
          <w:szCs w:val="21"/>
        </w:rPr>
        <w:t xml:space="preserve">in </w:t>
      </w:r>
      <w:r w:rsidRPr="004E7A10">
        <w:rPr>
          <w:rFonts w:ascii="Garamond" w:hAnsi="Garamond" w:cs="Times New Roman"/>
          <w:sz w:val="21"/>
          <w:szCs w:val="21"/>
        </w:rPr>
        <w:t>2016-2017</w:t>
      </w:r>
      <w:r w:rsidR="00221163" w:rsidRPr="004E7A10">
        <w:rPr>
          <w:rFonts w:ascii="Garamond" w:hAnsi="Garamond" w:cs="Times New Roman"/>
          <w:sz w:val="21"/>
          <w:szCs w:val="21"/>
        </w:rPr>
        <w:t>, al</w:t>
      </w:r>
      <w:r w:rsidR="00327578" w:rsidRPr="004E7A10">
        <w:rPr>
          <w:rFonts w:ascii="Garamond" w:hAnsi="Garamond" w:cs="Times New Roman"/>
          <w:sz w:val="21"/>
          <w:szCs w:val="21"/>
        </w:rPr>
        <w:t>though ra</w:t>
      </w:r>
      <w:r w:rsidR="00946A6C" w:rsidRPr="004E7A10">
        <w:rPr>
          <w:rFonts w:ascii="Garamond" w:hAnsi="Garamond" w:cs="Times New Roman"/>
          <w:sz w:val="21"/>
          <w:szCs w:val="21"/>
        </w:rPr>
        <w:t xml:space="preserve">ther </w:t>
      </w:r>
      <w:r w:rsidR="002A450D">
        <w:rPr>
          <w:rFonts w:ascii="Garamond" w:hAnsi="Garamond" w:cs="Times New Roman"/>
          <w:sz w:val="21"/>
          <w:szCs w:val="21"/>
        </w:rPr>
        <w:t>slowly</w:t>
      </w:r>
      <w:r w:rsidR="00946A6C" w:rsidRPr="004E7A10">
        <w:rPr>
          <w:rFonts w:ascii="Garamond" w:hAnsi="Garamond" w:cs="Times New Roman"/>
          <w:sz w:val="21"/>
          <w:szCs w:val="21"/>
        </w:rPr>
        <w:t xml:space="preserve"> than in the tradable sector</w:t>
      </w:r>
      <w:r w:rsidR="00221163" w:rsidRPr="004E7A10">
        <w:rPr>
          <w:rFonts w:ascii="Garamond" w:hAnsi="Garamond" w:cs="Times New Roman"/>
          <w:sz w:val="21"/>
          <w:szCs w:val="21"/>
        </w:rPr>
        <w:t xml:space="preserve">. </w:t>
      </w:r>
    </w:p>
    <w:p w14:paraId="35722E1A" w14:textId="77777777" w:rsidR="00A9653E" w:rsidRPr="004E7A10" w:rsidRDefault="0033786C" w:rsidP="00A9653E">
      <w:pPr>
        <w:spacing w:line="360" w:lineRule="auto"/>
        <w:jc w:val="both"/>
        <w:rPr>
          <w:rFonts w:ascii="Garamond" w:hAnsi="Garamond" w:cs="Times New Roman"/>
          <w:sz w:val="21"/>
          <w:szCs w:val="21"/>
        </w:rPr>
      </w:pPr>
      <w:r w:rsidRPr="004E7A10">
        <w:rPr>
          <w:rFonts w:ascii="Garamond" w:hAnsi="Garamond" w:cs="Times New Roman"/>
          <w:b/>
          <w:sz w:val="21"/>
          <w:szCs w:val="21"/>
        </w:rPr>
        <w:t>In the forecast horizon</w:t>
      </w:r>
      <w:r w:rsidRPr="004E7A10">
        <w:rPr>
          <w:rFonts w:ascii="Garamond" w:hAnsi="Garamond" w:cs="Times New Roman"/>
          <w:sz w:val="21"/>
          <w:szCs w:val="21"/>
        </w:rPr>
        <w:t>, Armenia as a</w:t>
      </w:r>
      <w:r w:rsidR="00A9653E" w:rsidRPr="004E7A10">
        <w:rPr>
          <w:rFonts w:ascii="Garamond" w:hAnsi="Garamond" w:cs="Times New Roman"/>
          <w:sz w:val="21"/>
          <w:szCs w:val="21"/>
        </w:rPr>
        <w:t xml:space="preserve"> Eurasia </w:t>
      </w:r>
      <w:r w:rsidR="008864D9" w:rsidRPr="004E7A10">
        <w:rPr>
          <w:rFonts w:ascii="Garamond" w:hAnsi="Garamond" w:cs="Times New Roman"/>
          <w:sz w:val="21"/>
          <w:szCs w:val="21"/>
        </w:rPr>
        <w:t>Economic Community</w:t>
      </w:r>
      <w:r w:rsidRPr="004E7A10">
        <w:rPr>
          <w:rFonts w:ascii="Garamond" w:hAnsi="Garamond" w:cs="Times New Roman"/>
          <w:sz w:val="21"/>
          <w:szCs w:val="21"/>
        </w:rPr>
        <w:t xml:space="preserve"> member will benefit from </w:t>
      </w:r>
      <w:r w:rsidR="00A9653E" w:rsidRPr="004E7A10">
        <w:rPr>
          <w:rFonts w:ascii="Garamond" w:hAnsi="Garamond" w:cs="Times New Roman"/>
          <w:sz w:val="21"/>
          <w:szCs w:val="21"/>
        </w:rPr>
        <w:t>more private investment flowing in</w:t>
      </w:r>
      <w:r w:rsidRPr="004E7A10">
        <w:rPr>
          <w:rFonts w:ascii="Garamond" w:hAnsi="Garamond" w:cs="Times New Roman"/>
          <w:sz w:val="21"/>
          <w:szCs w:val="21"/>
        </w:rPr>
        <w:t>to</w:t>
      </w:r>
      <w:r w:rsidR="00A9653E" w:rsidRPr="004E7A10">
        <w:rPr>
          <w:rFonts w:ascii="Garamond" w:hAnsi="Garamond" w:cs="Times New Roman"/>
          <w:sz w:val="21"/>
          <w:szCs w:val="21"/>
        </w:rPr>
        <w:t xml:space="preserve"> its economy </w:t>
      </w:r>
      <w:r w:rsidR="00327578" w:rsidRPr="004E7A10">
        <w:rPr>
          <w:rFonts w:ascii="Garamond" w:hAnsi="Garamond" w:cs="Times New Roman"/>
          <w:sz w:val="21"/>
          <w:szCs w:val="21"/>
        </w:rPr>
        <w:t xml:space="preserve">as a result of </w:t>
      </w:r>
      <w:r w:rsidR="00A9653E" w:rsidRPr="004E7A10">
        <w:rPr>
          <w:rFonts w:ascii="Garamond" w:hAnsi="Garamond" w:cs="Times New Roman"/>
          <w:sz w:val="21"/>
          <w:szCs w:val="21"/>
        </w:rPr>
        <w:t xml:space="preserve">implementation of a variety of projects to be carried out with </w:t>
      </w:r>
      <w:r w:rsidR="008864D9" w:rsidRPr="004E7A10">
        <w:rPr>
          <w:rFonts w:ascii="Garamond" w:hAnsi="Garamond" w:cs="Times New Roman"/>
          <w:sz w:val="21"/>
          <w:szCs w:val="21"/>
        </w:rPr>
        <w:t xml:space="preserve">EEC </w:t>
      </w:r>
      <w:r w:rsidR="00A9653E" w:rsidRPr="004E7A10">
        <w:rPr>
          <w:rFonts w:ascii="Garamond" w:hAnsi="Garamond" w:cs="Times New Roman"/>
          <w:sz w:val="21"/>
          <w:szCs w:val="21"/>
        </w:rPr>
        <w:t>member</w:t>
      </w:r>
      <w:r w:rsidR="008864D9" w:rsidRPr="004E7A10">
        <w:rPr>
          <w:rFonts w:ascii="Garamond" w:hAnsi="Garamond" w:cs="Times New Roman"/>
          <w:sz w:val="21"/>
          <w:szCs w:val="21"/>
        </w:rPr>
        <w:t xml:space="preserve"> countries</w:t>
      </w:r>
      <w:r w:rsidRPr="004E7A10">
        <w:rPr>
          <w:rFonts w:ascii="Garamond" w:hAnsi="Garamond" w:cs="Times New Roman"/>
          <w:sz w:val="21"/>
          <w:szCs w:val="21"/>
        </w:rPr>
        <w:t xml:space="preserve"> and a free access to the EEC markets</w:t>
      </w:r>
      <w:r w:rsidR="00A9653E" w:rsidRPr="004E7A10">
        <w:rPr>
          <w:rFonts w:ascii="Garamond" w:hAnsi="Garamond" w:cs="Times New Roman"/>
          <w:sz w:val="21"/>
          <w:szCs w:val="21"/>
        </w:rPr>
        <w:t>.</w:t>
      </w:r>
    </w:p>
    <w:p w14:paraId="785F61A7" w14:textId="77777777" w:rsidR="009A0518"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view of the </w:t>
      </w:r>
      <w:r w:rsidR="00F177D5" w:rsidRPr="004E7A10">
        <w:rPr>
          <w:rFonts w:ascii="Garamond" w:hAnsi="Garamond" w:cs="Times New Roman"/>
          <w:sz w:val="21"/>
          <w:szCs w:val="21"/>
        </w:rPr>
        <w:t xml:space="preserve">aforementioned </w:t>
      </w:r>
      <w:r w:rsidRPr="004E7A10">
        <w:rPr>
          <w:rFonts w:ascii="Garamond" w:hAnsi="Garamond" w:cs="Times New Roman"/>
          <w:sz w:val="21"/>
          <w:szCs w:val="21"/>
        </w:rPr>
        <w:t>developments with private consumption and investment, in 201</w:t>
      </w:r>
      <w:r w:rsidR="00A742FB" w:rsidRPr="004E7A10">
        <w:rPr>
          <w:rFonts w:ascii="Garamond" w:hAnsi="Garamond" w:cs="Times New Roman"/>
          <w:sz w:val="21"/>
          <w:szCs w:val="21"/>
        </w:rPr>
        <w:t>5</w:t>
      </w:r>
      <w:r w:rsidRPr="004E7A10">
        <w:rPr>
          <w:rFonts w:ascii="Garamond" w:hAnsi="Garamond" w:cs="Times New Roman"/>
          <w:sz w:val="21"/>
          <w:szCs w:val="21"/>
        </w:rPr>
        <w:t xml:space="preserve"> </w:t>
      </w:r>
      <w:r w:rsidR="00F177D5" w:rsidRPr="004E7A10">
        <w:rPr>
          <w:rFonts w:ascii="Garamond" w:hAnsi="Garamond" w:cs="Times New Roman"/>
          <w:sz w:val="21"/>
          <w:szCs w:val="21"/>
        </w:rPr>
        <w:t xml:space="preserve">the private sector expenditures </w:t>
      </w:r>
      <w:r w:rsidRPr="004E7A10">
        <w:rPr>
          <w:rFonts w:ascii="Garamond" w:hAnsi="Garamond" w:cs="Times New Roman"/>
          <w:sz w:val="21"/>
          <w:szCs w:val="21"/>
        </w:rPr>
        <w:t xml:space="preserve">will </w:t>
      </w:r>
      <w:r w:rsidR="00F177D5" w:rsidRPr="004E7A10">
        <w:rPr>
          <w:rFonts w:ascii="Garamond" w:hAnsi="Garamond" w:cs="Times New Roman"/>
          <w:sz w:val="21"/>
          <w:szCs w:val="21"/>
        </w:rPr>
        <w:t xml:space="preserve">reduce by </w:t>
      </w:r>
      <w:r w:rsidR="00DF3378">
        <w:rPr>
          <w:rFonts w:ascii="Garamond" w:hAnsi="Garamond" w:cs="Times New Roman"/>
          <w:sz w:val="21"/>
          <w:szCs w:val="21"/>
        </w:rPr>
        <w:t>3</w:t>
      </w:r>
      <w:r w:rsidR="00F177D5" w:rsidRPr="004E7A10">
        <w:rPr>
          <w:rFonts w:ascii="Garamond" w:hAnsi="Garamond" w:cs="Times New Roman"/>
          <w:sz w:val="21"/>
          <w:szCs w:val="21"/>
        </w:rPr>
        <w:t>.</w:t>
      </w:r>
      <w:r w:rsidR="00DF3378">
        <w:rPr>
          <w:rFonts w:ascii="Garamond" w:hAnsi="Garamond" w:cs="Times New Roman"/>
          <w:sz w:val="21"/>
          <w:szCs w:val="21"/>
        </w:rPr>
        <w:t>5</w:t>
      </w:r>
      <w:r w:rsidR="00F177D5" w:rsidRPr="004E7A10">
        <w:rPr>
          <w:rFonts w:ascii="Garamond" w:hAnsi="Garamond" w:cs="Times New Roman"/>
          <w:sz w:val="21"/>
          <w:szCs w:val="21"/>
        </w:rPr>
        <w:t xml:space="preserve">%. </w:t>
      </w:r>
      <w:r w:rsidR="002172D8" w:rsidRPr="004E7A10">
        <w:rPr>
          <w:rFonts w:ascii="Garamond" w:hAnsi="Garamond" w:cs="Times New Roman"/>
          <w:sz w:val="21"/>
          <w:szCs w:val="21"/>
        </w:rPr>
        <w:t>Starting from 201</w:t>
      </w:r>
      <w:r w:rsidR="00A742FB" w:rsidRPr="004E7A10">
        <w:rPr>
          <w:rFonts w:ascii="Garamond" w:hAnsi="Garamond" w:cs="Times New Roman"/>
          <w:sz w:val="21"/>
          <w:szCs w:val="21"/>
        </w:rPr>
        <w:t>6</w:t>
      </w:r>
      <w:r w:rsidR="002172D8" w:rsidRPr="004E7A10">
        <w:rPr>
          <w:rFonts w:ascii="Garamond" w:hAnsi="Garamond" w:cs="Times New Roman"/>
          <w:sz w:val="21"/>
          <w:szCs w:val="21"/>
        </w:rPr>
        <w:t>, private spending will gradually recover and</w:t>
      </w:r>
      <w:r w:rsidRPr="004E7A10">
        <w:rPr>
          <w:rFonts w:ascii="Garamond" w:hAnsi="Garamond" w:cs="Times New Roman"/>
          <w:sz w:val="21"/>
          <w:szCs w:val="21"/>
        </w:rPr>
        <w:t xml:space="preserve"> in the end of </w:t>
      </w:r>
      <w:r w:rsidR="002172D8" w:rsidRPr="004E7A10">
        <w:rPr>
          <w:rFonts w:ascii="Garamond" w:hAnsi="Garamond" w:cs="Times New Roman"/>
          <w:sz w:val="21"/>
          <w:szCs w:val="21"/>
        </w:rPr>
        <w:t xml:space="preserve">the </w:t>
      </w:r>
      <w:r w:rsidRPr="004E7A10">
        <w:rPr>
          <w:rFonts w:ascii="Garamond" w:hAnsi="Garamond" w:cs="Times New Roman"/>
          <w:sz w:val="21"/>
          <w:szCs w:val="21"/>
        </w:rPr>
        <w:t xml:space="preserve">forecast horizon will </w:t>
      </w:r>
      <w:r w:rsidR="00A742FB" w:rsidRPr="004E7A10">
        <w:rPr>
          <w:rFonts w:ascii="Garamond" w:hAnsi="Garamond" w:cs="Times New Roman"/>
          <w:sz w:val="21"/>
          <w:szCs w:val="21"/>
        </w:rPr>
        <w:t>increase by 2</w:t>
      </w:r>
      <w:r w:rsidR="00DF3378">
        <w:rPr>
          <w:rFonts w:ascii="Garamond" w:hAnsi="Garamond" w:cs="Times New Roman"/>
          <w:sz w:val="21"/>
          <w:szCs w:val="21"/>
        </w:rPr>
        <w:t>.5</w:t>
      </w:r>
      <w:r w:rsidR="00EB2C36" w:rsidRPr="004E7A10">
        <w:rPr>
          <w:rFonts w:ascii="Garamond" w:hAnsi="Garamond" w:cs="Times New Roman"/>
          <w:sz w:val="21"/>
          <w:szCs w:val="21"/>
        </w:rPr>
        <w:t>%</w:t>
      </w:r>
      <w:r w:rsidR="002172D8" w:rsidRPr="004E7A10">
        <w:rPr>
          <w:rFonts w:ascii="Garamond" w:hAnsi="Garamond" w:cs="Times New Roman"/>
          <w:sz w:val="21"/>
          <w:szCs w:val="21"/>
        </w:rPr>
        <w:t>-</w:t>
      </w:r>
      <w:r w:rsidR="00A742FB" w:rsidRPr="004E7A10">
        <w:rPr>
          <w:rFonts w:ascii="Garamond" w:hAnsi="Garamond" w:cs="Times New Roman"/>
          <w:sz w:val="21"/>
          <w:szCs w:val="21"/>
        </w:rPr>
        <w:t>3</w:t>
      </w:r>
      <w:r w:rsidR="002172D8" w:rsidRPr="004E7A10">
        <w:rPr>
          <w:rFonts w:ascii="Garamond" w:hAnsi="Garamond" w:cs="Times New Roman"/>
          <w:sz w:val="21"/>
          <w:szCs w:val="21"/>
        </w:rPr>
        <w:t>.0%</w:t>
      </w:r>
      <w:r w:rsidR="00A742FB" w:rsidRPr="004E7A10">
        <w:rPr>
          <w:rFonts w:ascii="Garamond" w:hAnsi="Garamond" w:cs="Times New Roman"/>
          <w:sz w:val="21"/>
          <w:szCs w:val="21"/>
        </w:rPr>
        <w:t>.</w:t>
      </w:r>
      <w:r w:rsidR="002172D8" w:rsidRPr="004E7A10">
        <w:rPr>
          <w:rFonts w:ascii="Garamond" w:hAnsi="Garamond" w:cs="Times New Roman"/>
          <w:sz w:val="21"/>
          <w:szCs w:val="21"/>
        </w:rPr>
        <w:t xml:space="preserve"> </w:t>
      </w:r>
      <w:r w:rsidR="001E44AA">
        <w:rPr>
          <w:rFonts w:ascii="Garamond" w:hAnsi="Garamond" w:cs="Times New Roman"/>
          <w:sz w:val="21"/>
          <w:szCs w:val="21"/>
        </w:rPr>
        <w:t>As a result, t</w:t>
      </w:r>
      <w:r w:rsidRPr="004E7A10">
        <w:rPr>
          <w:rFonts w:ascii="Garamond" w:hAnsi="Garamond" w:cs="Times New Roman"/>
          <w:sz w:val="21"/>
          <w:szCs w:val="21"/>
        </w:rPr>
        <w:t xml:space="preserve">he private spending gap </w:t>
      </w:r>
      <w:r w:rsidR="001E44AA">
        <w:rPr>
          <w:rFonts w:ascii="Garamond" w:hAnsi="Garamond" w:cs="Times New Roman"/>
          <w:sz w:val="21"/>
          <w:szCs w:val="21"/>
        </w:rPr>
        <w:t xml:space="preserve">for </w:t>
      </w:r>
      <w:r w:rsidR="003772D1" w:rsidRPr="004E7A10">
        <w:rPr>
          <w:rFonts w:ascii="Garamond" w:hAnsi="Garamond" w:cs="Times New Roman"/>
          <w:sz w:val="21"/>
          <w:szCs w:val="21"/>
        </w:rPr>
        <w:t>the period 201</w:t>
      </w:r>
      <w:r w:rsidR="009A0518" w:rsidRPr="004E7A10">
        <w:rPr>
          <w:rFonts w:ascii="Garamond" w:hAnsi="Garamond" w:cs="Times New Roman"/>
          <w:sz w:val="21"/>
          <w:szCs w:val="21"/>
        </w:rPr>
        <w:t>5</w:t>
      </w:r>
      <w:r w:rsidR="003772D1" w:rsidRPr="004E7A10">
        <w:rPr>
          <w:rFonts w:ascii="Garamond" w:hAnsi="Garamond" w:cs="Times New Roman"/>
          <w:sz w:val="21"/>
          <w:szCs w:val="21"/>
        </w:rPr>
        <w:t>-201</w:t>
      </w:r>
      <w:r w:rsidR="001E44AA">
        <w:rPr>
          <w:rFonts w:ascii="Garamond" w:hAnsi="Garamond" w:cs="Times New Roman"/>
          <w:sz w:val="21"/>
          <w:szCs w:val="21"/>
        </w:rPr>
        <w:t>6</w:t>
      </w:r>
      <w:r w:rsidR="003772D1" w:rsidRPr="004E7A10">
        <w:rPr>
          <w:rFonts w:ascii="Garamond" w:hAnsi="Garamond" w:cs="Times New Roman"/>
          <w:sz w:val="21"/>
          <w:szCs w:val="21"/>
        </w:rPr>
        <w:t xml:space="preserve"> is estimated </w:t>
      </w:r>
      <w:r w:rsidR="009E1168" w:rsidRPr="004E7A10">
        <w:rPr>
          <w:rFonts w:ascii="Garamond" w:hAnsi="Garamond" w:cs="Times New Roman"/>
          <w:sz w:val="21"/>
          <w:szCs w:val="21"/>
        </w:rPr>
        <w:t xml:space="preserve">to be </w:t>
      </w:r>
      <w:r w:rsidR="001E44AA">
        <w:rPr>
          <w:rFonts w:ascii="Garamond" w:hAnsi="Garamond" w:cs="Times New Roman"/>
          <w:sz w:val="21"/>
          <w:szCs w:val="21"/>
        </w:rPr>
        <w:t>still</w:t>
      </w:r>
      <w:r w:rsidR="003772D1" w:rsidRPr="004E7A10">
        <w:rPr>
          <w:rFonts w:ascii="Garamond" w:hAnsi="Garamond" w:cs="Times New Roman"/>
          <w:sz w:val="21"/>
          <w:szCs w:val="21"/>
        </w:rPr>
        <w:t xml:space="preserve"> negative</w:t>
      </w:r>
      <w:r w:rsidR="009A0518" w:rsidRPr="004E7A10">
        <w:rPr>
          <w:rFonts w:ascii="Garamond" w:hAnsi="Garamond" w:cs="Times New Roman"/>
          <w:sz w:val="21"/>
          <w:szCs w:val="21"/>
        </w:rPr>
        <w:t xml:space="preserve">, although the </w:t>
      </w:r>
      <w:r w:rsidR="001E44AA">
        <w:rPr>
          <w:rFonts w:ascii="Garamond" w:hAnsi="Garamond" w:cs="Times New Roman"/>
          <w:sz w:val="21"/>
          <w:szCs w:val="21"/>
        </w:rPr>
        <w:t xml:space="preserve">level of </w:t>
      </w:r>
      <w:r w:rsidR="009A0518" w:rsidRPr="004E7A10">
        <w:rPr>
          <w:rFonts w:ascii="Garamond" w:hAnsi="Garamond" w:cs="Times New Roman"/>
          <w:sz w:val="21"/>
          <w:szCs w:val="21"/>
        </w:rPr>
        <w:t xml:space="preserve">private spending is estimated to be </w:t>
      </w:r>
      <w:r w:rsidR="001E44AA">
        <w:rPr>
          <w:rFonts w:ascii="Garamond" w:hAnsi="Garamond" w:cs="Times New Roman"/>
          <w:sz w:val="21"/>
          <w:szCs w:val="21"/>
        </w:rPr>
        <w:t>higher</w:t>
      </w:r>
      <w:r w:rsidR="009A0518" w:rsidRPr="004E7A10">
        <w:rPr>
          <w:rFonts w:ascii="Garamond" w:hAnsi="Garamond" w:cs="Times New Roman"/>
          <w:sz w:val="21"/>
          <w:szCs w:val="21"/>
        </w:rPr>
        <w:t xml:space="preserve"> in relation to former forecasts. </w:t>
      </w:r>
    </w:p>
    <w:p w14:paraId="7E323089" w14:textId="77777777" w:rsidR="00A9653E" w:rsidRPr="004E7A10" w:rsidRDefault="00724628" w:rsidP="00A9653E">
      <w:pPr>
        <w:spacing w:line="360" w:lineRule="auto"/>
        <w:jc w:val="both"/>
        <w:rPr>
          <w:rFonts w:ascii="Garamond" w:hAnsi="Garamond" w:cs="Times New Roman"/>
          <w:sz w:val="21"/>
          <w:szCs w:val="21"/>
        </w:rPr>
      </w:pPr>
      <w:r w:rsidRPr="004E7A10">
        <w:rPr>
          <w:rFonts w:ascii="Garamond" w:hAnsi="Garamond" w:cs="Times New Roman"/>
          <w:sz w:val="21"/>
          <w:szCs w:val="21"/>
        </w:rPr>
        <w:t>The expansionary fiscal policy to be implemented in the domestic economy, gradual easing of monetary policy, as well as acceleration of economic growth in Armenia</w:t>
      </w:r>
      <w:r w:rsidR="000B46D8">
        <w:rPr>
          <w:rFonts w:ascii="Garamond" w:hAnsi="Garamond" w:cs="Times New Roman"/>
          <w:sz w:val="21"/>
          <w:szCs w:val="21"/>
        </w:rPr>
        <w:t>’</w:t>
      </w:r>
      <w:r w:rsidRPr="004E7A10">
        <w:rPr>
          <w:rFonts w:ascii="Garamond" w:hAnsi="Garamond" w:cs="Times New Roman"/>
          <w:sz w:val="21"/>
          <w:szCs w:val="21"/>
        </w:rPr>
        <w:t>s main trading partner</w:t>
      </w:r>
      <w:r w:rsidR="000B46D8">
        <w:rPr>
          <w:rFonts w:ascii="Garamond" w:hAnsi="Garamond" w:cs="Times New Roman"/>
          <w:sz w:val="21"/>
          <w:szCs w:val="21"/>
        </w:rPr>
        <w:t>s</w:t>
      </w:r>
      <w:r w:rsidRPr="004E7A10">
        <w:rPr>
          <w:rFonts w:ascii="Garamond" w:hAnsi="Garamond" w:cs="Times New Roman"/>
          <w:sz w:val="21"/>
          <w:szCs w:val="21"/>
        </w:rPr>
        <w:t xml:space="preserve"> will gradually reduce the negative private spending gap and </w:t>
      </w:r>
      <w:r w:rsidR="00EB2C36" w:rsidRPr="004E7A10">
        <w:rPr>
          <w:rFonts w:ascii="Garamond" w:hAnsi="Garamond" w:cs="Times New Roman"/>
          <w:sz w:val="21"/>
          <w:szCs w:val="21"/>
        </w:rPr>
        <w:t>help</w:t>
      </w:r>
      <w:r w:rsidRPr="004E7A10">
        <w:rPr>
          <w:rFonts w:ascii="Garamond" w:hAnsi="Garamond" w:cs="Times New Roman"/>
          <w:sz w:val="21"/>
          <w:szCs w:val="21"/>
        </w:rPr>
        <w:t xml:space="preserve"> these imbalances phase out in </w:t>
      </w:r>
      <w:r w:rsidR="000B46D8">
        <w:rPr>
          <w:rFonts w:ascii="Garamond" w:hAnsi="Garamond" w:cs="Times New Roman"/>
          <w:sz w:val="21"/>
          <w:szCs w:val="21"/>
        </w:rPr>
        <w:t>the end of the forecast horizon</w:t>
      </w:r>
      <w:r w:rsidRPr="004E7A10">
        <w:rPr>
          <w:rFonts w:ascii="Garamond" w:hAnsi="Garamond" w:cs="Times New Roman"/>
          <w:sz w:val="21"/>
          <w:szCs w:val="21"/>
        </w:rPr>
        <w:t xml:space="preserve">. </w:t>
      </w:r>
    </w:p>
    <w:p w14:paraId="667CF51F" w14:textId="77777777" w:rsidR="00A9653E" w:rsidRPr="004E7A10" w:rsidRDefault="00DE1F94" w:rsidP="00A9653E">
      <w:pPr>
        <w:spacing w:line="360" w:lineRule="auto"/>
        <w:jc w:val="both"/>
        <w:rPr>
          <w:rFonts w:ascii="Garamond" w:hAnsi="Garamond" w:cs="Times New Roman"/>
          <w:sz w:val="21"/>
          <w:szCs w:val="21"/>
        </w:rPr>
      </w:pPr>
      <w:r w:rsidRPr="004E7A10">
        <w:rPr>
          <w:rFonts w:ascii="Garamond" w:hAnsi="Garamond" w:cs="Times New Roman"/>
          <w:sz w:val="21"/>
          <w:szCs w:val="21"/>
        </w:rPr>
        <w:t>F</w:t>
      </w:r>
      <w:r w:rsidR="009158C0" w:rsidRPr="004E7A10">
        <w:rPr>
          <w:rFonts w:ascii="Garamond" w:hAnsi="Garamond" w:cs="Times New Roman"/>
          <w:sz w:val="21"/>
          <w:szCs w:val="21"/>
        </w:rPr>
        <w:t xml:space="preserve">rom the </w:t>
      </w:r>
      <w:r w:rsidRPr="004E7A10">
        <w:rPr>
          <w:rFonts w:ascii="Garamond" w:hAnsi="Garamond" w:cs="Times New Roman"/>
          <w:sz w:val="21"/>
          <w:szCs w:val="21"/>
        </w:rPr>
        <w:t>1st</w:t>
      </w:r>
      <w:r w:rsidR="009158C0" w:rsidRPr="004E7A10">
        <w:rPr>
          <w:rFonts w:ascii="Garamond" w:hAnsi="Garamond" w:cs="Times New Roman"/>
          <w:sz w:val="21"/>
          <w:szCs w:val="21"/>
        </w:rPr>
        <w:t xml:space="preserve"> quarter </w:t>
      </w:r>
      <w:r w:rsidRPr="004E7A10">
        <w:rPr>
          <w:rFonts w:ascii="Garamond" w:hAnsi="Garamond" w:cs="Times New Roman"/>
          <w:sz w:val="21"/>
          <w:szCs w:val="21"/>
        </w:rPr>
        <w:t>2015</w:t>
      </w:r>
      <w:r w:rsidR="009158C0" w:rsidRPr="004E7A10">
        <w:rPr>
          <w:rFonts w:ascii="Garamond" w:hAnsi="Garamond" w:cs="Times New Roman"/>
          <w:sz w:val="21"/>
          <w:szCs w:val="21"/>
        </w:rPr>
        <w:t xml:space="preserve"> to the </w:t>
      </w:r>
      <w:r w:rsidRPr="004E7A10">
        <w:rPr>
          <w:rFonts w:ascii="Garamond" w:hAnsi="Garamond" w:cs="Times New Roman"/>
          <w:sz w:val="21"/>
          <w:szCs w:val="21"/>
        </w:rPr>
        <w:t>2nd</w:t>
      </w:r>
      <w:r w:rsidR="009158C0" w:rsidRPr="004E7A10">
        <w:rPr>
          <w:rFonts w:ascii="Garamond" w:hAnsi="Garamond" w:cs="Times New Roman"/>
          <w:sz w:val="21"/>
          <w:szCs w:val="21"/>
        </w:rPr>
        <w:t xml:space="preserve"> quarter 201</w:t>
      </w:r>
      <w:r w:rsidRPr="004E7A10">
        <w:rPr>
          <w:rFonts w:ascii="Garamond" w:hAnsi="Garamond" w:cs="Times New Roman"/>
          <w:sz w:val="21"/>
          <w:szCs w:val="21"/>
        </w:rPr>
        <w:t>6</w:t>
      </w:r>
      <w:r w:rsidR="00A9653E" w:rsidRPr="004E7A10">
        <w:rPr>
          <w:rFonts w:ascii="Garamond" w:hAnsi="Garamond" w:cs="Times New Roman"/>
          <w:sz w:val="21"/>
          <w:szCs w:val="21"/>
        </w:rPr>
        <w:t xml:space="preserve">, the </w:t>
      </w:r>
      <w:r w:rsidR="00A9653E" w:rsidRPr="004E7A10">
        <w:rPr>
          <w:rFonts w:ascii="Garamond" w:hAnsi="Garamond" w:cs="Times New Roman"/>
          <w:b/>
          <w:sz w:val="21"/>
          <w:szCs w:val="21"/>
        </w:rPr>
        <w:t xml:space="preserve">private spending will create </w:t>
      </w:r>
      <w:r w:rsidRPr="004E7A10">
        <w:rPr>
          <w:rFonts w:ascii="Garamond" w:hAnsi="Garamond" w:cs="Times New Roman"/>
          <w:b/>
          <w:sz w:val="21"/>
          <w:szCs w:val="21"/>
        </w:rPr>
        <w:t>some 2</w:t>
      </w:r>
      <w:r w:rsidR="00A9653E" w:rsidRPr="004E7A10">
        <w:rPr>
          <w:rFonts w:ascii="Garamond" w:hAnsi="Garamond" w:cs="Times New Roman"/>
          <w:b/>
          <w:sz w:val="21"/>
          <w:szCs w:val="21"/>
        </w:rPr>
        <w:t>.</w:t>
      </w:r>
      <w:r w:rsidR="000B46D8">
        <w:rPr>
          <w:rFonts w:ascii="Garamond" w:hAnsi="Garamond" w:cs="Times New Roman"/>
          <w:b/>
          <w:sz w:val="21"/>
          <w:szCs w:val="21"/>
        </w:rPr>
        <w:t>0</w:t>
      </w:r>
      <w:r w:rsidR="001D4390" w:rsidRPr="004E7A10">
        <w:rPr>
          <w:rFonts w:ascii="Garamond" w:hAnsi="Garamond" w:cs="Times New Roman"/>
          <w:b/>
          <w:sz w:val="21"/>
          <w:szCs w:val="21"/>
        </w:rPr>
        <w:t xml:space="preserve"> pp </w:t>
      </w:r>
      <w:r w:rsidR="00A9653E" w:rsidRPr="004E7A10">
        <w:rPr>
          <w:rFonts w:ascii="Garamond" w:hAnsi="Garamond" w:cs="Times New Roman"/>
          <w:b/>
          <w:sz w:val="21"/>
          <w:szCs w:val="21"/>
        </w:rPr>
        <w:t>-</w:t>
      </w:r>
      <w:r w:rsidR="001D4390" w:rsidRPr="004E7A10">
        <w:rPr>
          <w:rFonts w:ascii="Garamond" w:hAnsi="Garamond" w:cs="Times New Roman"/>
          <w:b/>
          <w:sz w:val="21"/>
          <w:szCs w:val="21"/>
        </w:rPr>
        <w:t xml:space="preserve"> </w:t>
      </w:r>
      <w:r w:rsidR="000B46D8">
        <w:rPr>
          <w:rFonts w:ascii="Garamond" w:hAnsi="Garamond" w:cs="Times New Roman"/>
          <w:b/>
          <w:sz w:val="21"/>
          <w:szCs w:val="21"/>
        </w:rPr>
        <w:t>2</w:t>
      </w:r>
      <w:r w:rsidR="00A9653E" w:rsidRPr="004E7A10">
        <w:rPr>
          <w:rFonts w:ascii="Garamond" w:hAnsi="Garamond" w:cs="Times New Roman"/>
          <w:b/>
          <w:sz w:val="21"/>
          <w:szCs w:val="21"/>
        </w:rPr>
        <w:t>.</w:t>
      </w:r>
      <w:r w:rsidR="000B46D8">
        <w:rPr>
          <w:rFonts w:ascii="Garamond" w:hAnsi="Garamond" w:cs="Times New Roman"/>
          <w:b/>
          <w:sz w:val="21"/>
          <w:szCs w:val="21"/>
        </w:rPr>
        <w:t>3</w:t>
      </w:r>
      <w:r w:rsidRPr="004E7A10">
        <w:rPr>
          <w:rFonts w:ascii="Garamond" w:hAnsi="Garamond" w:cs="Times New Roman"/>
          <w:b/>
          <w:sz w:val="21"/>
          <w:szCs w:val="21"/>
        </w:rPr>
        <w:t xml:space="preserve"> pp of </w:t>
      </w:r>
      <w:r w:rsidR="00A9653E" w:rsidRPr="004E7A10">
        <w:rPr>
          <w:rFonts w:ascii="Garamond" w:hAnsi="Garamond" w:cs="Times New Roman"/>
          <w:b/>
          <w:sz w:val="21"/>
          <w:szCs w:val="21"/>
        </w:rPr>
        <w:t xml:space="preserve">contractionary impact on </w:t>
      </w:r>
      <w:r w:rsidR="002F7190" w:rsidRPr="004E7A10">
        <w:rPr>
          <w:rFonts w:ascii="Garamond" w:hAnsi="Garamond" w:cs="Times New Roman"/>
          <w:b/>
          <w:sz w:val="21"/>
          <w:szCs w:val="21"/>
        </w:rPr>
        <w:t xml:space="preserve">the </w:t>
      </w:r>
      <w:r w:rsidR="00A9653E" w:rsidRPr="004E7A10">
        <w:rPr>
          <w:rFonts w:ascii="Garamond" w:hAnsi="Garamond" w:cs="Times New Roman"/>
          <w:b/>
          <w:sz w:val="21"/>
          <w:szCs w:val="21"/>
        </w:rPr>
        <w:t>inflation</w:t>
      </w:r>
      <w:r w:rsidR="00A9653E" w:rsidRPr="004E7A10">
        <w:rPr>
          <w:rFonts w:ascii="Garamond" w:hAnsi="Garamond" w:cs="Times New Roman"/>
          <w:sz w:val="21"/>
          <w:szCs w:val="21"/>
        </w:rPr>
        <w:t xml:space="preserve">. </w:t>
      </w:r>
      <w:r w:rsidR="002F7190" w:rsidRPr="004E7A10">
        <w:rPr>
          <w:rFonts w:ascii="Garamond" w:hAnsi="Garamond" w:cs="Times New Roman"/>
          <w:sz w:val="21"/>
          <w:szCs w:val="21"/>
        </w:rPr>
        <w:t xml:space="preserve">In the period </w:t>
      </w:r>
      <w:r w:rsidRPr="004E7A10">
        <w:rPr>
          <w:rFonts w:ascii="Garamond" w:hAnsi="Garamond" w:cs="Times New Roman"/>
          <w:sz w:val="21"/>
          <w:szCs w:val="21"/>
        </w:rPr>
        <w:t>from the second half of 2016 up to the end of 2017, t</w:t>
      </w:r>
      <w:r w:rsidR="00A9653E" w:rsidRPr="004E7A10">
        <w:rPr>
          <w:rFonts w:ascii="Garamond" w:hAnsi="Garamond" w:cs="Times New Roman"/>
          <w:sz w:val="21"/>
          <w:szCs w:val="21"/>
        </w:rPr>
        <w:t xml:space="preserve">he private spending </w:t>
      </w:r>
      <w:r w:rsidR="002F7190" w:rsidRPr="004E7A10">
        <w:rPr>
          <w:rFonts w:ascii="Garamond" w:hAnsi="Garamond" w:cs="Times New Roman"/>
          <w:sz w:val="21"/>
          <w:szCs w:val="21"/>
        </w:rPr>
        <w:t>will leave no considerable impact on the inflation</w:t>
      </w:r>
      <w:r w:rsidR="00A9653E" w:rsidRPr="004E7A10">
        <w:rPr>
          <w:rFonts w:ascii="Garamond" w:hAnsi="Garamond" w:cs="Times New Roman"/>
          <w:sz w:val="21"/>
          <w:szCs w:val="21"/>
        </w:rPr>
        <w:t xml:space="preserve">. </w:t>
      </w:r>
    </w:p>
    <w:p w14:paraId="62D4A21E" w14:textId="77777777" w:rsidR="000B46D8" w:rsidRPr="000B46D8" w:rsidRDefault="000B46D8" w:rsidP="00A9653E">
      <w:pPr>
        <w:spacing w:line="360" w:lineRule="auto"/>
        <w:jc w:val="both"/>
        <w:rPr>
          <w:rFonts w:ascii="Garamond" w:hAnsi="Garamond" w:cs="Times New Roman"/>
          <w:b/>
          <w:bCs/>
          <w:iCs/>
          <w:sz w:val="21"/>
          <w:szCs w:val="21"/>
        </w:rPr>
      </w:pPr>
      <w:r w:rsidRPr="000B46D8">
        <w:rPr>
          <w:rFonts w:ascii="Garamond" w:hAnsi="Garamond" w:cs="Times New Roman"/>
          <w:b/>
          <w:bCs/>
          <w:iCs/>
          <w:sz w:val="21"/>
          <w:szCs w:val="21"/>
        </w:rPr>
        <w:t>Current account</w:t>
      </w:r>
    </w:p>
    <w:p w14:paraId="125C3C68" w14:textId="047375E1" w:rsidR="0068033A" w:rsidRDefault="008D7CD8" w:rsidP="002B1E43">
      <w:pPr>
        <w:rPr>
          <w:rFonts w:ascii="Garamond" w:hAnsi="Garamond" w:cs="Times New Roman"/>
          <w:bCs/>
          <w:iCs/>
          <w:sz w:val="21"/>
          <w:szCs w:val="21"/>
        </w:rPr>
      </w:pPr>
      <w:r w:rsidRPr="00F53181">
        <w:t>The information on developments in foreign trade during the 1st quarter of 2015 is not complete due to shortage in compiling of trade indicators</w:t>
      </w:r>
      <w:r w:rsidR="003F77DA">
        <w:rPr>
          <w:rFonts w:ascii="Garamond" w:hAnsi="Garamond" w:cs="Times New Roman"/>
          <w:bCs/>
          <w:iCs/>
          <w:sz w:val="21"/>
          <w:szCs w:val="21"/>
        </w:rPr>
        <w:t>,</w:t>
      </w:r>
      <w:r w:rsidR="000B46D8" w:rsidRPr="000B46D8">
        <w:rPr>
          <w:rFonts w:ascii="Garamond" w:hAnsi="Garamond" w:cs="Times New Roman"/>
          <w:bCs/>
          <w:iCs/>
          <w:sz w:val="21"/>
          <w:szCs w:val="21"/>
        </w:rPr>
        <w:t xml:space="preserve"> </w:t>
      </w:r>
      <w:r w:rsidR="003F77DA">
        <w:rPr>
          <w:rFonts w:ascii="Garamond" w:hAnsi="Garamond" w:cs="Times New Roman"/>
          <w:bCs/>
          <w:iCs/>
          <w:sz w:val="21"/>
          <w:szCs w:val="21"/>
        </w:rPr>
        <w:t xml:space="preserve">which is why </w:t>
      </w:r>
      <w:r w:rsidR="000B46D8" w:rsidRPr="000B46D8">
        <w:rPr>
          <w:rFonts w:ascii="Garamond" w:hAnsi="Garamond" w:cs="Times New Roman"/>
          <w:bCs/>
          <w:iCs/>
          <w:sz w:val="21"/>
          <w:szCs w:val="21"/>
        </w:rPr>
        <w:t xml:space="preserve">the export and import growth forecasts </w:t>
      </w:r>
      <w:r w:rsidR="003F77DA">
        <w:rPr>
          <w:rFonts w:ascii="Garamond" w:hAnsi="Garamond" w:cs="Times New Roman"/>
          <w:bCs/>
          <w:iCs/>
          <w:sz w:val="21"/>
          <w:szCs w:val="21"/>
        </w:rPr>
        <w:t xml:space="preserve">were left unrevised. </w:t>
      </w:r>
      <w:r w:rsidR="003F77DA" w:rsidRPr="003F77DA">
        <w:rPr>
          <w:rFonts w:ascii="Garamond" w:hAnsi="Garamond" w:cs="Times New Roman"/>
          <w:bCs/>
          <w:iCs/>
          <w:sz w:val="21"/>
          <w:szCs w:val="21"/>
        </w:rPr>
        <w:t>Thus, according to the previous forecast</w:t>
      </w:r>
      <w:r w:rsidR="003F77DA">
        <w:rPr>
          <w:rFonts w:ascii="Garamond" w:hAnsi="Garamond" w:cs="Times New Roman"/>
          <w:bCs/>
          <w:iCs/>
          <w:sz w:val="21"/>
          <w:szCs w:val="21"/>
        </w:rPr>
        <w:t>,</w:t>
      </w:r>
      <w:r w:rsidR="003F77DA" w:rsidRPr="003F77DA">
        <w:rPr>
          <w:rFonts w:ascii="Garamond" w:hAnsi="Garamond" w:cs="Times New Roman"/>
          <w:bCs/>
          <w:iCs/>
          <w:sz w:val="21"/>
          <w:szCs w:val="21"/>
        </w:rPr>
        <w:t xml:space="preserve"> </w:t>
      </w:r>
      <w:r w:rsidR="003F77DA">
        <w:rPr>
          <w:rFonts w:ascii="Garamond" w:hAnsi="Garamond" w:cs="Times New Roman"/>
          <w:bCs/>
          <w:iCs/>
          <w:sz w:val="21"/>
          <w:szCs w:val="21"/>
        </w:rPr>
        <w:t>the</w:t>
      </w:r>
      <w:r w:rsidR="003F77DA" w:rsidRPr="003F77DA">
        <w:rPr>
          <w:rFonts w:ascii="Garamond" w:hAnsi="Garamond" w:cs="Times New Roman"/>
          <w:bCs/>
          <w:iCs/>
          <w:sz w:val="21"/>
          <w:szCs w:val="21"/>
        </w:rPr>
        <w:t xml:space="preserve"> real export growth of goods and services in 2015 will be in the range of 7.0</w:t>
      </w:r>
      <w:r w:rsidR="003F77DA">
        <w:rPr>
          <w:rFonts w:ascii="Garamond" w:hAnsi="Garamond" w:cs="Times New Roman"/>
          <w:bCs/>
          <w:iCs/>
          <w:sz w:val="21"/>
          <w:szCs w:val="21"/>
        </w:rPr>
        <w:t>%</w:t>
      </w:r>
      <w:r w:rsidR="003F77DA" w:rsidRPr="003F77DA">
        <w:rPr>
          <w:rFonts w:ascii="Garamond" w:hAnsi="Garamond" w:cs="Times New Roman"/>
          <w:bCs/>
          <w:iCs/>
          <w:sz w:val="21"/>
          <w:szCs w:val="21"/>
        </w:rPr>
        <w:t xml:space="preserve">-9.0%, while </w:t>
      </w:r>
      <w:r w:rsidR="003F77DA">
        <w:rPr>
          <w:rFonts w:ascii="Garamond" w:hAnsi="Garamond" w:cs="Times New Roman"/>
          <w:bCs/>
          <w:iCs/>
          <w:sz w:val="21"/>
          <w:szCs w:val="21"/>
        </w:rPr>
        <w:t xml:space="preserve">the </w:t>
      </w:r>
      <w:r w:rsidR="003F77DA" w:rsidRPr="003F77DA">
        <w:rPr>
          <w:rFonts w:ascii="Garamond" w:hAnsi="Garamond" w:cs="Times New Roman"/>
          <w:bCs/>
          <w:iCs/>
          <w:sz w:val="21"/>
          <w:szCs w:val="21"/>
        </w:rPr>
        <w:t xml:space="preserve">real </w:t>
      </w:r>
      <w:r w:rsidR="003F77DA">
        <w:rPr>
          <w:rFonts w:ascii="Garamond" w:hAnsi="Garamond" w:cs="Times New Roman"/>
          <w:bCs/>
          <w:iCs/>
          <w:sz w:val="21"/>
          <w:szCs w:val="21"/>
        </w:rPr>
        <w:t xml:space="preserve">decline in </w:t>
      </w:r>
      <w:r w:rsidR="003F77DA" w:rsidRPr="003F77DA">
        <w:rPr>
          <w:rFonts w:ascii="Garamond" w:hAnsi="Garamond" w:cs="Times New Roman"/>
          <w:bCs/>
          <w:iCs/>
          <w:sz w:val="21"/>
          <w:szCs w:val="21"/>
        </w:rPr>
        <w:t xml:space="preserve">import of goods and services </w:t>
      </w:r>
      <w:r w:rsidR="003F77DA">
        <w:rPr>
          <w:rFonts w:ascii="Garamond" w:hAnsi="Garamond" w:cs="Times New Roman"/>
          <w:bCs/>
          <w:iCs/>
          <w:sz w:val="21"/>
          <w:szCs w:val="21"/>
        </w:rPr>
        <w:t xml:space="preserve">in the range of </w:t>
      </w:r>
      <w:r w:rsidR="003F77DA" w:rsidRPr="003F77DA">
        <w:rPr>
          <w:rFonts w:ascii="Garamond" w:hAnsi="Garamond" w:cs="Times New Roman"/>
          <w:bCs/>
          <w:iCs/>
          <w:sz w:val="21"/>
          <w:szCs w:val="21"/>
        </w:rPr>
        <w:t>4.0</w:t>
      </w:r>
      <w:r w:rsidR="003F77DA">
        <w:rPr>
          <w:rFonts w:ascii="Garamond" w:hAnsi="Garamond" w:cs="Times New Roman"/>
          <w:bCs/>
          <w:iCs/>
          <w:sz w:val="21"/>
          <w:szCs w:val="21"/>
        </w:rPr>
        <w:t>%</w:t>
      </w:r>
      <w:r w:rsidR="003F77DA" w:rsidRPr="003F77DA">
        <w:rPr>
          <w:rFonts w:ascii="Garamond" w:hAnsi="Garamond" w:cs="Times New Roman"/>
          <w:bCs/>
          <w:iCs/>
          <w:sz w:val="21"/>
          <w:szCs w:val="21"/>
        </w:rPr>
        <w:t xml:space="preserve">-6.0%. </w:t>
      </w:r>
      <w:r w:rsidR="00F353F9">
        <w:rPr>
          <w:rFonts w:ascii="Garamond" w:hAnsi="Garamond" w:cs="Times New Roman"/>
          <w:bCs/>
          <w:iCs/>
          <w:sz w:val="21"/>
          <w:szCs w:val="21"/>
        </w:rPr>
        <w:t>On the part of trade of goods, r</w:t>
      </w:r>
      <w:r w:rsidR="003F77DA" w:rsidRPr="003F77DA">
        <w:rPr>
          <w:rFonts w:ascii="Garamond" w:hAnsi="Garamond" w:cs="Times New Roman"/>
          <w:bCs/>
          <w:iCs/>
          <w:sz w:val="21"/>
          <w:szCs w:val="21"/>
        </w:rPr>
        <w:t xml:space="preserve">evisions </w:t>
      </w:r>
      <w:r w:rsidR="00F353F9">
        <w:rPr>
          <w:rFonts w:ascii="Garamond" w:hAnsi="Garamond" w:cs="Times New Roman"/>
          <w:bCs/>
          <w:iCs/>
          <w:sz w:val="21"/>
          <w:szCs w:val="21"/>
        </w:rPr>
        <w:t xml:space="preserve">only </w:t>
      </w:r>
      <w:r w:rsidR="003F77DA" w:rsidRPr="003F77DA">
        <w:rPr>
          <w:rFonts w:ascii="Garamond" w:hAnsi="Garamond" w:cs="Times New Roman"/>
          <w:bCs/>
          <w:iCs/>
          <w:sz w:val="21"/>
          <w:szCs w:val="21"/>
        </w:rPr>
        <w:t xml:space="preserve">relate </w:t>
      </w:r>
      <w:r w:rsidR="00F353F9">
        <w:rPr>
          <w:rFonts w:ascii="Garamond" w:hAnsi="Garamond" w:cs="Times New Roman"/>
          <w:bCs/>
          <w:iCs/>
          <w:sz w:val="21"/>
          <w:szCs w:val="21"/>
        </w:rPr>
        <w:t>to</w:t>
      </w:r>
      <w:r w:rsidR="003F77DA" w:rsidRPr="003F77DA">
        <w:rPr>
          <w:rFonts w:ascii="Garamond" w:hAnsi="Garamond" w:cs="Times New Roman"/>
          <w:bCs/>
          <w:iCs/>
          <w:sz w:val="21"/>
          <w:szCs w:val="21"/>
        </w:rPr>
        <w:t xml:space="preserve"> dollar values, </w:t>
      </w:r>
      <w:r w:rsidR="00F353F9">
        <w:rPr>
          <w:rFonts w:ascii="Garamond" w:hAnsi="Garamond" w:cs="Times New Roman"/>
          <w:bCs/>
          <w:iCs/>
          <w:sz w:val="21"/>
          <w:szCs w:val="21"/>
        </w:rPr>
        <w:t xml:space="preserve">which, </w:t>
      </w:r>
      <w:r w:rsidR="003F77DA" w:rsidRPr="003F77DA">
        <w:rPr>
          <w:rFonts w:ascii="Garamond" w:hAnsi="Garamond" w:cs="Times New Roman"/>
          <w:bCs/>
          <w:iCs/>
          <w:sz w:val="21"/>
          <w:szCs w:val="21"/>
        </w:rPr>
        <w:t xml:space="preserve">according to the </w:t>
      </w:r>
      <w:r w:rsidR="00F353F9">
        <w:rPr>
          <w:rFonts w:ascii="Garamond" w:hAnsi="Garamond" w:cs="Times New Roman"/>
          <w:bCs/>
          <w:iCs/>
          <w:sz w:val="21"/>
          <w:szCs w:val="21"/>
        </w:rPr>
        <w:t>C</w:t>
      </w:r>
      <w:r w:rsidR="003F77DA" w:rsidRPr="003F77DA">
        <w:rPr>
          <w:rFonts w:ascii="Garamond" w:hAnsi="Garamond" w:cs="Times New Roman"/>
          <w:bCs/>
          <w:iCs/>
          <w:sz w:val="21"/>
          <w:szCs w:val="21"/>
        </w:rPr>
        <w:t xml:space="preserve">entral </w:t>
      </w:r>
      <w:r w:rsidR="00F353F9">
        <w:rPr>
          <w:rFonts w:ascii="Garamond" w:hAnsi="Garamond" w:cs="Times New Roman"/>
          <w:bCs/>
          <w:iCs/>
          <w:sz w:val="21"/>
          <w:szCs w:val="21"/>
        </w:rPr>
        <w:t>B</w:t>
      </w:r>
      <w:r w:rsidR="003F77DA" w:rsidRPr="003F77DA">
        <w:rPr>
          <w:rFonts w:ascii="Garamond" w:hAnsi="Garamond" w:cs="Times New Roman"/>
          <w:bCs/>
          <w:iCs/>
          <w:sz w:val="21"/>
          <w:szCs w:val="21"/>
        </w:rPr>
        <w:t xml:space="preserve">ank, </w:t>
      </w:r>
      <w:r w:rsidR="00F353F9">
        <w:rPr>
          <w:rFonts w:ascii="Garamond" w:hAnsi="Garamond" w:cs="Times New Roman"/>
          <w:bCs/>
          <w:iCs/>
          <w:sz w:val="21"/>
          <w:szCs w:val="21"/>
        </w:rPr>
        <w:t xml:space="preserve">is </w:t>
      </w:r>
      <w:r w:rsidR="0068033A">
        <w:rPr>
          <w:rFonts w:ascii="Garamond" w:hAnsi="Garamond" w:cs="Times New Roman"/>
          <w:bCs/>
          <w:iCs/>
          <w:sz w:val="21"/>
          <w:szCs w:val="21"/>
        </w:rPr>
        <w:t>attributable to</w:t>
      </w:r>
      <w:r w:rsidR="003F77DA" w:rsidRPr="003F77DA">
        <w:rPr>
          <w:rFonts w:ascii="Garamond" w:hAnsi="Garamond" w:cs="Times New Roman"/>
          <w:bCs/>
          <w:iCs/>
          <w:sz w:val="21"/>
          <w:szCs w:val="21"/>
        </w:rPr>
        <w:t xml:space="preserve"> improve</w:t>
      </w:r>
      <w:r w:rsidR="0068033A">
        <w:rPr>
          <w:rFonts w:ascii="Garamond" w:hAnsi="Garamond" w:cs="Times New Roman"/>
          <w:bCs/>
          <w:iCs/>
          <w:sz w:val="21"/>
          <w:szCs w:val="21"/>
        </w:rPr>
        <w:t xml:space="preserve">d </w:t>
      </w:r>
      <w:r w:rsidR="003F77DA" w:rsidRPr="003F77DA">
        <w:rPr>
          <w:rFonts w:ascii="Garamond" w:hAnsi="Garamond" w:cs="Times New Roman"/>
          <w:bCs/>
          <w:iCs/>
          <w:sz w:val="21"/>
          <w:szCs w:val="21"/>
        </w:rPr>
        <w:t>terms of trade (</w:t>
      </w:r>
      <w:r w:rsidR="0068033A">
        <w:rPr>
          <w:rFonts w:ascii="Garamond" w:hAnsi="Garamond" w:cs="Times New Roman"/>
          <w:bCs/>
          <w:iCs/>
          <w:sz w:val="21"/>
          <w:szCs w:val="21"/>
        </w:rPr>
        <w:t>estimations suggest that in 2015 average export prices will decline at a slower pace than average import prices</w:t>
      </w:r>
      <w:r w:rsidR="003F77DA" w:rsidRPr="003F77DA">
        <w:rPr>
          <w:rFonts w:ascii="Garamond" w:hAnsi="Garamond" w:cs="Times New Roman"/>
          <w:bCs/>
          <w:iCs/>
          <w:sz w:val="21"/>
          <w:szCs w:val="21"/>
        </w:rPr>
        <w:t>).</w:t>
      </w:r>
      <w:r w:rsidR="003F77DA">
        <w:rPr>
          <w:rFonts w:ascii="Garamond" w:hAnsi="Garamond" w:cs="Times New Roman"/>
          <w:bCs/>
          <w:iCs/>
          <w:sz w:val="21"/>
          <w:szCs w:val="21"/>
        </w:rPr>
        <w:t xml:space="preserve"> </w:t>
      </w:r>
    </w:p>
    <w:p w14:paraId="77861DA5" w14:textId="77777777" w:rsidR="00AE2171" w:rsidRDefault="00AE2171" w:rsidP="00A9653E">
      <w:pPr>
        <w:spacing w:line="360" w:lineRule="auto"/>
        <w:jc w:val="both"/>
        <w:rPr>
          <w:rFonts w:ascii="Garamond" w:hAnsi="Garamond" w:cs="Times New Roman"/>
          <w:bCs/>
          <w:iCs/>
          <w:sz w:val="21"/>
          <w:szCs w:val="21"/>
        </w:rPr>
      </w:pPr>
      <w:r>
        <w:rPr>
          <w:rFonts w:ascii="Garamond" w:hAnsi="Garamond" w:cs="Times New Roman"/>
          <w:bCs/>
          <w:iCs/>
          <w:sz w:val="21"/>
          <w:szCs w:val="21"/>
        </w:rPr>
        <w:t xml:space="preserve">In </w:t>
      </w:r>
      <w:r w:rsidRPr="00AE2171">
        <w:rPr>
          <w:rFonts w:ascii="Garamond" w:hAnsi="Garamond" w:cs="Times New Roman"/>
          <w:bCs/>
          <w:iCs/>
          <w:sz w:val="21"/>
          <w:szCs w:val="21"/>
        </w:rPr>
        <w:t>2015</w:t>
      </w:r>
      <w:r>
        <w:rPr>
          <w:rFonts w:ascii="Garamond" w:hAnsi="Garamond" w:cs="Times New Roman"/>
          <w:bCs/>
          <w:iCs/>
          <w:sz w:val="21"/>
          <w:szCs w:val="21"/>
        </w:rPr>
        <w:t xml:space="preserve">, </w:t>
      </w:r>
      <w:r w:rsidR="004C111C">
        <w:rPr>
          <w:rFonts w:ascii="Garamond" w:hAnsi="Garamond" w:cs="Times New Roman"/>
          <w:bCs/>
          <w:iCs/>
          <w:sz w:val="21"/>
          <w:szCs w:val="21"/>
        </w:rPr>
        <w:t xml:space="preserve">there </w:t>
      </w:r>
      <w:r w:rsidR="004C111C" w:rsidRPr="00AE2171">
        <w:rPr>
          <w:rFonts w:ascii="Garamond" w:hAnsi="Garamond" w:cs="Times New Roman"/>
          <w:bCs/>
          <w:iCs/>
          <w:sz w:val="21"/>
          <w:szCs w:val="21"/>
        </w:rPr>
        <w:t xml:space="preserve">will be </w:t>
      </w:r>
      <w:r w:rsidR="004C111C">
        <w:rPr>
          <w:rFonts w:ascii="Garamond" w:hAnsi="Garamond" w:cs="Times New Roman"/>
          <w:bCs/>
          <w:iCs/>
          <w:sz w:val="21"/>
          <w:szCs w:val="21"/>
        </w:rPr>
        <w:t xml:space="preserve">somewhat a </w:t>
      </w:r>
      <w:r w:rsidR="004C111C" w:rsidRPr="00AE2171">
        <w:rPr>
          <w:rFonts w:ascii="Garamond" w:hAnsi="Garamond" w:cs="Times New Roman"/>
          <w:bCs/>
          <w:iCs/>
          <w:sz w:val="21"/>
          <w:szCs w:val="21"/>
        </w:rPr>
        <w:t xml:space="preserve">lower </w:t>
      </w:r>
      <w:r w:rsidR="004C111C">
        <w:rPr>
          <w:rFonts w:ascii="Garamond" w:hAnsi="Garamond" w:cs="Times New Roman"/>
          <w:bCs/>
          <w:iCs/>
          <w:sz w:val="21"/>
          <w:szCs w:val="21"/>
        </w:rPr>
        <w:t xml:space="preserve">decline in remittances of individuals </w:t>
      </w:r>
      <w:r w:rsidRPr="00AE2171">
        <w:rPr>
          <w:rFonts w:ascii="Garamond" w:hAnsi="Garamond" w:cs="Times New Roman"/>
          <w:bCs/>
          <w:iCs/>
          <w:sz w:val="21"/>
          <w:szCs w:val="21"/>
        </w:rPr>
        <w:t>compared with the previous forecast</w:t>
      </w:r>
      <w:r w:rsidR="004C111C">
        <w:rPr>
          <w:rFonts w:ascii="Garamond" w:hAnsi="Garamond" w:cs="Times New Roman"/>
          <w:bCs/>
          <w:iCs/>
          <w:sz w:val="21"/>
          <w:szCs w:val="21"/>
        </w:rPr>
        <w:t>,</w:t>
      </w:r>
      <w:r w:rsidRPr="00AE2171">
        <w:rPr>
          <w:rFonts w:ascii="Garamond" w:hAnsi="Garamond" w:cs="Times New Roman"/>
          <w:bCs/>
          <w:iCs/>
          <w:sz w:val="21"/>
          <w:szCs w:val="21"/>
        </w:rPr>
        <w:t xml:space="preserve"> </w:t>
      </w:r>
      <w:r w:rsidR="004C111C">
        <w:rPr>
          <w:rFonts w:ascii="Garamond" w:hAnsi="Garamond" w:cs="Times New Roman"/>
          <w:bCs/>
          <w:iCs/>
          <w:sz w:val="21"/>
          <w:szCs w:val="21"/>
        </w:rPr>
        <w:t>which is attributable to the Russian ruble with its higher-than expected rate of appreciation</w:t>
      </w:r>
      <w:r w:rsidRPr="00AE2171">
        <w:rPr>
          <w:rFonts w:ascii="Garamond" w:hAnsi="Garamond" w:cs="Times New Roman"/>
          <w:bCs/>
          <w:iCs/>
          <w:sz w:val="21"/>
          <w:szCs w:val="21"/>
        </w:rPr>
        <w:t xml:space="preserve">. As a result, the dollar value of </w:t>
      </w:r>
      <w:r w:rsidR="004C111C">
        <w:rPr>
          <w:rFonts w:ascii="Garamond" w:hAnsi="Garamond" w:cs="Times New Roman"/>
          <w:bCs/>
          <w:iCs/>
          <w:sz w:val="21"/>
          <w:szCs w:val="21"/>
        </w:rPr>
        <w:t xml:space="preserve">remittances of individuals is projected to reduce by </w:t>
      </w:r>
      <w:r w:rsidRPr="00AE2171">
        <w:rPr>
          <w:rFonts w:ascii="Garamond" w:hAnsi="Garamond" w:cs="Times New Roman"/>
          <w:bCs/>
          <w:iCs/>
          <w:sz w:val="21"/>
          <w:szCs w:val="21"/>
        </w:rPr>
        <w:t>a</w:t>
      </w:r>
      <w:r w:rsidR="004C111C">
        <w:rPr>
          <w:rFonts w:ascii="Garamond" w:hAnsi="Garamond" w:cs="Times New Roman"/>
          <w:bCs/>
          <w:iCs/>
          <w:sz w:val="21"/>
          <w:szCs w:val="21"/>
        </w:rPr>
        <w:t xml:space="preserve">bout </w:t>
      </w:r>
      <w:r w:rsidRPr="00AE2171">
        <w:rPr>
          <w:rFonts w:ascii="Garamond" w:hAnsi="Garamond" w:cs="Times New Roman"/>
          <w:bCs/>
          <w:iCs/>
          <w:sz w:val="21"/>
          <w:szCs w:val="21"/>
        </w:rPr>
        <w:t xml:space="preserve">25.0% </w:t>
      </w:r>
      <w:r w:rsidR="004C111C">
        <w:rPr>
          <w:rFonts w:ascii="Garamond" w:hAnsi="Garamond" w:cs="Times New Roman"/>
          <w:bCs/>
          <w:iCs/>
          <w:sz w:val="21"/>
          <w:szCs w:val="21"/>
        </w:rPr>
        <w:t>against the previous decline of 30.0</w:t>
      </w:r>
      <w:r w:rsidRPr="00AE2171">
        <w:rPr>
          <w:rFonts w:ascii="Garamond" w:hAnsi="Garamond" w:cs="Times New Roman"/>
          <w:bCs/>
          <w:iCs/>
          <w:sz w:val="21"/>
          <w:szCs w:val="21"/>
        </w:rPr>
        <w:t>%.</w:t>
      </w:r>
    </w:p>
    <w:p w14:paraId="6F2C4829" w14:textId="5C7DF3B5" w:rsidR="00AE2171" w:rsidRDefault="005A3BC4"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lastRenderedPageBreak/>
        <w:t xml:space="preserve">On the back of </w:t>
      </w:r>
      <w:r>
        <w:rPr>
          <w:rFonts w:ascii="Garamond" w:hAnsi="Garamond" w:cs="Times New Roman"/>
          <w:bCs/>
          <w:iCs/>
          <w:sz w:val="21"/>
          <w:szCs w:val="21"/>
        </w:rPr>
        <w:t xml:space="preserve">these revisions, </w:t>
      </w:r>
      <w:r w:rsidRPr="004E7A10">
        <w:rPr>
          <w:rFonts w:ascii="Garamond" w:hAnsi="Garamond" w:cs="Times New Roman"/>
          <w:bCs/>
          <w:iCs/>
          <w:sz w:val="21"/>
          <w:szCs w:val="21"/>
        </w:rPr>
        <w:t>the Current Account Deficit-to-GDP ratio</w:t>
      </w:r>
      <w:r>
        <w:rPr>
          <w:rFonts w:ascii="Garamond" w:hAnsi="Garamond" w:cs="Times New Roman"/>
          <w:bCs/>
          <w:iCs/>
          <w:sz w:val="21"/>
          <w:szCs w:val="21"/>
        </w:rPr>
        <w:t xml:space="preserve">, which </w:t>
      </w:r>
      <w:proofErr w:type="gramStart"/>
      <w:r>
        <w:rPr>
          <w:rFonts w:ascii="Garamond" w:hAnsi="Garamond" w:cs="Times New Roman"/>
          <w:bCs/>
          <w:iCs/>
          <w:sz w:val="21"/>
          <w:szCs w:val="21"/>
        </w:rPr>
        <w:t xml:space="preserve">was  </w:t>
      </w:r>
      <w:r w:rsidRPr="004E7A10">
        <w:rPr>
          <w:rFonts w:ascii="Garamond" w:hAnsi="Garamond" w:cs="Times New Roman"/>
          <w:bCs/>
          <w:iCs/>
          <w:sz w:val="21"/>
          <w:szCs w:val="21"/>
        </w:rPr>
        <w:t>8.0</w:t>
      </w:r>
      <w:proofErr w:type="gramEnd"/>
      <w:r w:rsidRPr="004E7A10">
        <w:rPr>
          <w:rFonts w:ascii="Garamond" w:hAnsi="Garamond" w:cs="Times New Roman"/>
          <w:bCs/>
          <w:iCs/>
          <w:sz w:val="21"/>
          <w:szCs w:val="21"/>
        </w:rPr>
        <w:t>%</w:t>
      </w:r>
      <w:r>
        <w:rPr>
          <w:rFonts w:ascii="Garamond" w:hAnsi="Garamond" w:cs="Times New Roman"/>
          <w:bCs/>
          <w:iCs/>
          <w:sz w:val="21"/>
          <w:szCs w:val="21"/>
        </w:rPr>
        <w:t xml:space="preserve"> </w:t>
      </w:r>
      <w:r w:rsidRPr="004E7A10">
        <w:rPr>
          <w:rFonts w:ascii="Garamond" w:hAnsi="Garamond" w:cs="Times New Roman"/>
          <w:bCs/>
          <w:iCs/>
          <w:sz w:val="21"/>
          <w:szCs w:val="21"/>
        </w:rPr>
        <w:t>in 2014</w:t>
      </w:r>
      <w:r>
        <w:rPr>
          <w:rFonts w:ascii="Garamond" w:hAnsi="Garamond" w:cs="Times New Roman"/>
          <w:bCs/>
          <w:iCs/>
          <w:sz w:val="21"/>
          <w:szCs w:val="21"/>
        </w:rPr>
        <w:t>, will drop to stay within 6.0%-7.0% in 2015.</w:t>
      </w:r>
      <w:r w:rsidR="00765FBD">
        <w:rPr>
          <w:rFonts w:ascii="Garamond" w:hAnsi="Garamond" w:cs="Times New Roman"/>
          <w:bCs/>
          <w:iCs/>
          <w:sz w:val="21"/>
          <w:szCs w:val="21"/>
        </w:rPr>
        <w:t xml:space="preserve"> </w:t>
      </w:r>
      <w:r w:rsidR="00765FBD" w:rsidRPr="00765FBD">
        <w:rPr>
          <w:rFonts w:ascii="Garamond" w:hAnsi="Garamond" w:cs="Times New Roman"/>
          <w:bCs/>
          <w:iCs/>
          <w:sz w:val="21"/>
          <w:szCs w:val="21"/>
        </w:rPr>
        <w:t xml:space="preserve">It is noteworthy that the current account </w:t>
      </w:r>
      <w:r w:rsidR="00765FBD">
        <w:rPr>
          <w:rFonts w:ascii="Garamond" w:hAnsi="Garamond" w:cs="Times New Roman"/>
          <w:bCs/>
          <w:iCs/>
          <w:sz w:val="21"/>
          <w:szCs w:val="21"/>
        </w:rPr>
        <w:t xml:space="preserve">will improve mostly owing to the improvement of </w:t>
      </w:r>
      <w:r w:rsidR="00765FBD" w:rsidRPr="00765FBD">
        <w:rPr>
          <w:rFonts w:ascii="Garamond" w:hAnsi="Garamond" w:cs="Times New Roman"/>
          <w:bCs/>
          <w:iCs/>
          <w:sz w:val="21"/>
          <w:szCs w:val="21"/>
        </w:rPr>
        <w:t xml:space="preserve">the </w:t>
      </w:r>
      <w:r w:rsidR="00765FBD">
        <w:rPr>
          <w:rFonts w:ascii="Garamond" w:hAnsi="Garamond" w:cs="Times New Roman"/>
          <w:bCs/>
          <w:iCs/>
          <w:sz w:val="21"/>
          <w:szCs w:val="21"/>
        </w:rPr>
        <w:t xml:space="preserve">balance of trade, in spite of </w:t>
      </w:r>
      <w:r w:rsidR="00765FBD" w:rsidRPr="00765FBD">
        <w:rPr>
          <w:rFonts w:ascii="Garamond" w:hAnsi="Garamond" w:cs="Times New Roman"/>
          <w:bCs/>
          <w:iCs/>
          <w:sz w:val="21"/>
          <w:szCs w:val="21"/>
        </w:rPr>
        <w:t xml:space="preserve">negative developments </w:t>
      </w:r>
      <w:r w:rsidR="00765FBD">
        <w:rPr>
          <w:rFonts w:ascii="Garamond" w:hAnsi="Garamond" w:cs="Times New Roman"/>
          <w:bCs/>
          <w:iCs/>
          <w:sz w:val="21"/>
          <w:szCs w:val="21"/>
        </w:rPr>
        <w:t xml:space="preserve">with </w:t>
      </w:r>
      <w:r w:rsidR="00765FBD" w:rsidRPr="00765FBD">
        <w:rPr>
          <w:rFonts w:ascii="Garamond" w:hAnsi="Garamond" w:cs="Times New Roman"/>
          <w:bCs/>
          <w:iCs/>
          <w:sz w:val="21"/>
          <w:szCs w:val="21"/>
        </w:rPr>
        <w:t>private transfers.</w:t>
      </w:r>
      <w:r>
        <w:rPr>
          <w:rFonts w:ascii="Garamond" w:hAnsi="Garamond" w:cs="Times New Roman"/>
          <w:bCs/>
          <w:iCs/>
          <w:sz w:val="21"/>
          <w:szCs w:val="21"/>
        </w:rPr>
        <w:t xml:space="preserve"> </w:t>
      </w:r>
      <w:r w:rsidRPr="004E7A10">
        <w:rPr>
          <w:rFonts w:ascii="Garamond" w:hAnsi="Garamond" w:cs="Times New Roman"/>
          <w:bCs/>
          <w:iCs/>
          <w:sz w:val="21"/>
          <w:szCs w:val="21"/>
        </w:rPr>
        <w:t xml:space="preserve"> </w:t>
      </w:r>
    </w:p>
    <w:p w14:paraId="10D94B9A" w14:textId="77777777" w:rsidR="008F0F4E" w:rsidRPr="004E7A10" w:rsidRDefault="0066260D"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t xml:space="preserve">The current account </w:t>
      </w:r>
      <w:r w:rsidR="00661AA5" w:rsidRPr="004E7A10">
        <w:rPr>
          <w:rFonts w:ascii="Garamond" w:hAnsi="Garamond" w:cs="Times New Roman"/>
          <w:bCs/>
          <w:iCs/>
          <w:sz w:val="21"/>
          <w:szCs w:val="21"/>
        </w:rPr>
        <w:t xml:space="preserve">position </w:t>
      </w:r>
      <w:r w:rsidRPr="004E7A10">
        <w:rPr>
          <w:rFonts w:ascii="Garamond" w:hAnsi="Garamond" w:cs="Times New Roman"/>
          <w:bCs/>
          <w:iCs/>
          <w:sz w:val="21"/>
          <w:szCs w:val="21"/>
        </w:rPr>
        <w:t xml:space="preserve">will </w:t>
      </w:r>
      <w:r w:rsidR="00BC4C73" w:rsidRPr="004E7A10">
        <w:rPr>
          <w:rFonts w:ascii="Garamond" w:hAnsi="Garamond" w:cs="Times New Roman"/>
          <w:bCs/>
          <w:iCs/>
          <w:sz w:val="21"/>
          <w:szCs w:val="21"/>
        </w:rPr>
        <w:t>continue improving</w:t>
      </w:r>
      <w:r w:rsidR="00661AA5" w:rsidRPr="004E7A10">
        <w:rPr>
          <w:rFonts w:ascii="Garamond" w:hAnsi="Garamond" w:cs="Times New Roman"/>
          <w:bCs/>
          <w:iCs/>
          <w:sz w:val="21"/>
          <w:szCs w:val="21"/>
        </w:rPr>
        <w:t xml:space="preserve"> in </w:t>
      </w:r>
      <w:r w:rsidRPr="004E7A10">
        <w:rPr>
          <w:rFonts w:ascii="Garamond" w:hAnsi="Garamond" w:cs="Times New Roman"/>
          <w:bCs/>
          <w:iCs/>
          <w:sz w:val="21"/>
          <w:szCs w:val="21"/>
        </w:rPr>
        <w:t>the medium-term perspective</w:t>
      </w:r>
      <w:r w:rsidR="00661AA5" w:rsidRPr="004E7A10">
        <w:rPr>
          <w:rFonts w:ascii="Garamond" w:hAnsi="Garamond" w:cs="Times New Roman"/>
          <w:bCs/>
          <w:iCs/>
          <w:sz w:val="21"/>
          <w:szCs w:val="21"/>
        </w:rPr>
        <w:t xml:space="preserve">, and </w:t>
      </w:r>
      <w:r w:rsidRPr="004E7A10">
        <w:rPr>
          <w:rFonts w:ascii="Garamond" w:hAnsi="Garamond" w:cs="Times New Roman"/>
          <w:bCs/>
          <w:iCs/>
          <w:sz w:val="21"/>
          <w:szCs w:val="21"/>
        </w:rPr>
        <w:t>the Current Account Deficit</w:t>
      </w:r>
      <w:r w:rsidR="00661AA5" w:rsidRPr="004E7A10">
        <w:rPr>
          <w:rFonts w:ascii="Garamond" w:hAnsi="Garamond" w:cs="Times New Roman"/>
          <w:bCs/>
          <w:iCs/>
          <w:sz w:val="21"/>
          <w:szCs w:val="21"/>
        </w:rPr>
        <w:t>-to-</w:t>
      </w:r>
      <w:r w:rsidRPr="004E7A10">
        <w:rPr>
          <w:rFonts w:ascii="Garamond" w:hAnsi="Garamond" w:cs="Times New Roman"/>
          <w:bCs/>
          <w:iCs/>
          <w:sz w:val="21"/>
          <w:szCs w:val="21"/>
        </w:rPr>
        <w:t xml:space="preserve">GDP ratio will </w:t>
      </w:r>
      <w:r w:rsidR="00661AA5" w:rsidRPr="004E7A10">
        <w:rPr>
          <w:rFonts w:ascii="Garamond" w:hAnsi="Garamond" w:cs="Times New Roman"/>
          <w:bCs/>
          <w:iCs/>
          <w:sz w:val="21"/>
          <w:szCs w:val="21"/>
        </w:rPr>
        <w:t xml:space="preserve">reach </w:t>
      </w:r>
      <w:r w:rsidR="00FA6BEE" w:rsidRPr="004E7A10">
        <w:rPr>
          <w:rFonts w:ascii="Garamond" w:hAnsi="Garamond" w:cs="Times New Roman"/>
          <w:bCs/>
          <w:iCs/>
          <w:sz w:val="21"/>
          <w:szCs w:val="21"/>
        </w:rPr>
        <w:t xml:space="preserve">a </w:t>
      </w:r>
      <w:r w:rsidRPr="004E7A10">
        <w:rPr>
          <w:rFonts w:ascii="Garamond" w:hAnsi="Garamond" w:cs="Times New Roman"/>
          <w:bCs/>
          <w:iCs/>
          <w:sz w:val="21"/>
          <w:szCs w:val="21"/>
        </w:rPr>
        <w:t>5.0</w:t>
      </w:r>
      <w:r w:rsidR="00FA6BEE" w:rsidRPr="004E7A10">
        <w:rPr>
          <w:rFonts w:ascii="Garamond" w:hAnsi="Garamond" w:cs="Times New Roman"/>
          <w:bCs/>
          <w:iCs/>
          <w:sz w:val="21"/>
          <w:szCs w:val="21"/>
        </w:rPr>
        <w:t>%</w:t>
      </w:r>
      <w:r w:rsidRPr="004E7A10">
        <w:rPr>
          <w:rFonts w:ascii="Garamond" w:hAnsi="Garamond" w:cs="Times New Roman"/>
          <w:bCs/>
          <w:iCs/>
          <w:sz w:val="21"/>
          <w:szCs w:val="21"/>
        </w:rPr>
        <w:t>-6.0%</w:t>
      </w:r>
      <w:r w:rsidR="00FA6BEE" w:rsidRPr="004E7A10">
        <w:rPr>
          <w:rFonts w:ascii="Garamond" w:hAnsi="Garamond" w:cs="Times New Roman"/>
          <w:bCs/>
          <w:iCs/>
          <w:sz w:val="21"/>
          <w:szCs w:val="21"/>
        </w:rPr>
        <w:t xml:space="preserve"> range</w:t>
      </w:r>
      <w:r w:rsidRPr="004E7A10">
        <w:rPr>
          <w:rFonts w:ascii="Garamond" w:hAnsi="Garamond" w:cs="Times New Roman"/>
          <w:bCs/>
          <w:iCs/>
          <w:sz w:val="21"/>
          <w:szCs w:val="21"/>
        </w:rPr>
        <w:t xml:space="preserve">. </w:t>
      </w:r>
    </w:p>
    <w:p w14:paraId="7B360C69" w14:textId="77777777" w:rsidR="007E50C6" w:rsidRPr="004E7A10" w:rsidRDefault="007E50C6"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t xml:space="preserve">The </w:t>
      </w:r>
      <w:r w:rsidRPr="004E7A10">
        <w:rPr>
          <w:rFonts w:ascii="Garamond" w:hAnsi="Garamond" w:cs="Times New Roman"/>
          <w:b/>
          <w:bCs/>
          <w:iCs/>
          <w:sz w:val="21"/>
          <w:szCs w:val="21"/>
        </w:rPr>
        <w:t>fiscal policy</w:t>
      </w:r>
      <w:r w:rsidR="00DC52CA">
        <w:rPr>
          <w:rFonts w:ascii="Garamond" w:hAnsi="Garamond" w:cs="Times New Roman"/>
          <w:b/>
          <w:bCs/>
          <w:iCs/>
          <w:sz w:val="21"/>
          <w:szCs w:val="21"/>
        </w:rPr>
        <w:t>’</w:t>
      </w:r>
      <w:r w:rsidRPr="004E7A10">
        <w:rPr>
          <w:rFonts w:ascii="Garamond" w:hAnsi="Garamond" w:cs="Times New Roman"/>
          <w:b/>
          <w:bCs/>
          <w:iCs/>
          <w:sz w:val="21"/>
          <w:szCs w:val="21"/>
        </w:rPr>
        <w:t>s impact</w:t>
      </w:r>
      <w:r w:rsidRPr="004E7A10">
        <w:rPr>
          <w:rFonts w:ascii="Garamond" w:hAnsi="Garamond" w:cs="Times New Roman"/>
          <w:bCs/>
          <w:iCs/>
          <w:sz w:val="21"/>
          <w:szCs w:val="21"/>
        </w:rPr>
        <w:t xml:space="preserve"> on the aggregate demand for 2015 </w:t>
      </w:r>
      <w:r w:rsidR="009C63A2" w:rsidRPr="004E7A10">
        <w:rPr>
          <w:rFonts w:ascii="Garamond" w:hAnsi="Garamond" w:cs="Times New Roman"/>
          <w:bCs/>
          <w:iCs/>
          <w:sz w:val="21"/>
          <w:szCs w:val="21"/>
        </w:rPr>
        <w:t>was</w:t>
      </w:r>
      <w:r w:rsidRPr="004E7A10">
        <w:rPr>
          <w:rFonts w:ascii="Garamond" w:hAnsi="Garamond" w:cs="Times New Roman"/>
          <w:bCs/>
          <w:iCs/>
          <w:sz w:val="21"/>
          <w:szCs w:val="21"/>
        </w:rPr>
        <w:t xml:space="preserve"> assessed using the </w:t>
      </w:r>
      <w:r w:rsidR="00C8419C">
        <w:rPr>
          <w:rFonts w:ascii="Garamond" w:hAnsi="Garamond" w:cs="Times New Roman"/>
          <w:bCs/>
          <w:iCs/>
          <w:sz w:val="21"/>
          <w:szCs w:val="21"/>
        </w:rPr>
        <w:t xml:space="preserve">adjusted </w:t>
      </w:r>
      <w:r w:rsidRPr="004E7A10">
        <w:rPr>
          <w:rFonts w:ascii="Garamond" w:hAnsi="Garamond" w:cs="Times New Roman"/>
          <w:bCs/>
          <w:iCs/>
          <w:sz w:val="21"/>
          <w:szCs w:val="21"/>
        </w:rPr>
        <w:t xml:space="preserve">indicators </w:t>
      </w:r>
      <w:r w:rsidR="00C8419C">
        <w:rPr>
          <w:rFonts w:ascii="Garamond" w:hAnsi="Garamond" w:cs="Times New Roman"/>
          <w:bCs/>
          <w:iCs/>
          <w:sz w:val="21"/>
          <w:szCs w:val="21"/>
        </w:rPr>
        <w:t xml:space="preserve">of </w:t>
      </w:r>
      <w:r w:rsidRPr="004E7A10">
        <w:rPr>
          <w:rFonts w:ascii="Garamond" w:hAnsi="Garamond" w:cs="Times New Roman"/>
          <w:bCs/>
          <w:iCs/>
          <w:sz w:val="21"/>
          <w:szCs w:val="21"/>
        </w:rPr>
        <w:t>the Republic of Armenia Law on State Budget 2015</w:t>
      </w:r>
      <w:r w:rsidR="006D4EF7" w:rsidRPr="004E7A10">
        <w:rPr>
          <w:rFonts w:ascii="Garamond" w:hAnsi="Garamond" w:cs="Times New Roman"/>
          <w:bCs/>
          <w:iCs/>
          <w:sz w:val="21"/>
          <w:szCs w:val="21"/>
        </w:rPr>
        <w:t>.</w:t>
      </w:r>
      <w:r w:rsidRPr="004E7A10">
        <w:rPr>
          <w:rFonts w:ascii="Garamond" w:hAnsi="Garamond" w:cs="Times New Roman"/>
          <w:bCs/>
          <w:iCs/>
          <w:sz w:val="21"/>
          <w:szCs w:val="21"/>
        </w:rPr>
        <w:t xml:space="preserve"> </w:t>
      </w:r>
      <w:r w:rsidR="006D4EF7" w:rsidRPr="004E7A10">
        <w:rPr>
          <w:rFonts w:ascii="Garamond" w:hAnsi="Garamond" w:cs="Times New Roman"/>
          <w:bCs/>
          <w:iCs/>
          <w:sz w:val="21"/>
          <w:szCs w:val="21"/>
        </w:rPr>
        <w:t>According to the assessment, the Tax-to-GDP ratio is expected to stay unchanged but the Expenditure-to-GDP ratio</w:t>
      </w:r>
      <w:r w:rsidR="00D41D72" w:rsidRPr="004E7A10">
        <w:rPr>
          <w:rStyle w:val="FootnoteReference"/>
          <w:rFonts w:ascii="Garamond" w:hAnsi="Garamond" w:cs="Times New Roman"/>
          <w:bCs/>
          <w:iCs/>
          <w:sz w:val="21"/>
          <w:szCs w:val="21"/>
        </w:rPr>
        <w:footnoteReference w:customMarkFollows="1" w:id="7"/>
        <w:t>7</w:t>
      </w:r>
      <w:r w:rsidR="006D4EF7" w:rsidRPr="004E7A10">
        <w:rPr>
          <w:rFonts w:ascii="Garamond" w:hAnsi="Garamond" w:cs="Times New Roman"/>
          <w:bCs/>
          <w:iCs/>
          <w:sz w:val="21"/>
          <w:szCs w:val="21"/>
        </w:rPr>
        <w:t xml:space="preserve"> to </w:t>
      </w:r>
      <w:r w:rsidR="00C8419C">
        <w:rPr>
          <w:rFonts w:ascii="Garamond" w:hAnsi="Garamond" w:cs="Times New Roman"/>
          <w:bCs/>
          <w:iCs/>
          <w:sz w:val="21"/>
          <w:szCs w:val="21"/>
        </w:rPr>
        <w:t xml:space="preserve">somehow </w:t>
      </w:r>
      <w:r w:rsidR="006D4EF7" w:rsidRPr="004E7A10">
        <w:rPr>
          <w:rFonts w:ascii="Garamond" w:hAnsi="Garamond" w:cs="Times New Roman"/>
          <w:bCs/>
          <w:iCs/>
          <w:sz w:val="21"/>
          <w:szCs w:val="21"/>
        </w:rPr>
        <w:t>increase in relation to the preliminary indicators of 2014</w:t>
      </w:r>
      <w:r w:rsidR="00C8419C">
        <w:rPr>
          <w:rFonts w:ascii="Garamond" w:hAnsi="Garamond" w:cs="Times New Roman"/>
          <w:bCs/>
          <w:iCs/>
          <w:sz w:val="21"/>
          <w:szCs w:val="21"/>
        </w:rPr>
        <w:t xml:space="preserve">, with </w:t>
      </w:r>
      <w:r w:rsidR="00BB54ED" w:rsidRPr="004E7A10">
        <w:rPr>
          <w:rFonts w:ascii="Garamond" w:hAnsi="Garamond" w:cs="Times New Roman"/>
          <w:bCs/>
          <w:iCs/>
          <w:sz w:val="21"/>
          <w:szCs w:val="21"/>
        </w:rPr>
        <w:t xml:space="preserve">projected increase of expenditures </w:t>
      </w:r>
      <w:r w:rsidR="00C8419C">
        <w:rPr>
          <w:rFonts w:ascii="Garamond" w:hAnsi="Garamond" w:cs="Times New Roman"/>
          <w:bCs/>
          <w:iCs/>
          <w:sz w:val="21"/>
          <w:szCs w:val="21"/>
        </w:rPr>
        <w:t>owing</w:t>
      </w:r>
      <w:r w:rsidR="00BB54ED" w:rsidRPr="004E7A10">
        <w:rPr>
          <w:rFonts w:ascii="Garamond" w:hAnsi="Garamond" w:cs="Times New Roman"/>
          <w:bCs/>
          <w:iCs/>
          <w:sz w:val="21"/>
          <w:szCs w:val="21"/>
        </w:rPr>
        <w:t xml:space="preserve"> to </w:t>
      </w:r>
      <w:r w:rsidRPr="004E7A10">
        <w:rPr>
          <w:rFonts w:ascii="Garamond" w:hAnsi="Garamond" w:cs="Times New Roman"/>
          <w:bCs/>
          <w:iCs/>
          <w:sz w:val="21"/>
          <w:szCs w:val="21"/>
        </w:rPr>
        <w:t xml:space="preserve">current expenses. As a result, the </w:t>
      </w:r>
      <w:r w:rsidR="00BB54ED" w:rsidRPr="004E7A10">
        <w:rPr>
          <w:rFonts w:ascii="Garamond" w:hAnsi="Garamond" w:cs="Times New Roman"/>
          <w:bCs/>
          <w:iCs/>
          <w:sz w:val="21"/>
          <w:szCs w:val="21"/>
        </w:rPr>
        <w:t>D</w:t>
      </w:r>
      <w:r w:rsidRPr="004E7A10">
        <w:rPr>
          <w:rFonts w:ascii="Garamond" w:hAnsi="Garamond" w:cs="Times New Roman"/>
          <w:bCs/>
          <w:iCs/>
          <w:sz w:val="21"/>
          <w:szCs w:val="21"/>
        </w:rPr>
        <w:t>eficit</w:t>
      </w:r>
      <w:r w:rsidR="00BB54ED" w:rsidRPr="004E7A10">
        <w:rPr>
          <w:rFonts w:ascii="Garamond" w:hAnsi="Garamond" w:cs="Times New Roman"/>
          <w:bCs/>
          <w:iCs/>
          <w:sz w:val="21"/>
          <w:szCs w:val="21"/>
        </w:rPr>
        <w:t>-to-</w:t>
      </w:r>
      <w:r w:rsidRPr="004E7A10">
        <w:rPr>
          <w:rFonts w:ascii="Garamond" w:hAnsi="Garamond" w:cs="Times New Roman"/>
          <w:bCs/>
          <w:iCs/>
          <w:sz w:val="21"/>
          <w:szCs w:val="21"/>
        </w:rPr>
        <w:t xml:space="preserve">GDP ratio </w:t>
      </w:r>
      <w:r w:rsidR="00BB54ED" w:rsidRPr="004E7A10">
        <w:rPr>
          <w:rFonts w:ascii="Garamond" w:hAnsi="Garamond" w:cs="Times New Roman"/>
          <w:bCs/>
          <w:iCs/>
          <w:sz w:val="21"/>
          <w:szCs w:val="21"/>
        </w:rPr>
        <w:t xml:space="preserve">in </w:t>
      </w:r>
      <w:r w:rsidRPr="004E7A10">
        <w:rPr>
          <w:rFonts w:ascii="Garamond" w:hAnsi="Garamond" w:cs="Times New Roman"/>
          <w:bCs/>
          <w:iCs/>
          <w:sz w:val="21"/>
          <w:szCs w:val="21"/>
        </w:rPr>
        <w:t xml:space="preserve">2015 will be </w:t>
      </w:r>
      <w:r w:rsidR="00C8419C">
        <w:rPr>
          <w:rFonts w:ascii="Garamond" w:hAnsi="Garamond" w:cs="Times New Roman"/>
          <w:bCs/>
          <w:iCs/>
          <w:sz w:val="21"/>
          <w:szCs w:val="21"/>
        </w:rPr>
        <w:t xml:space="preserve">greater than </w:t>
      </w:r>
      <w:r w:rsidRPr="004E7A10">
        <w:rPr>
          <w:rFonts w:ascii="Garamond" w:hAnsi="Garamond" w:cs="Times New Roman"/>
          <w:bCs/>
          <w:iCs/>
          <w:sz w:val="21"/>
          <w:szCs w:val="21"/>
        </w:rPr>
        <w:t>2.3%</w:t>
      </w:r>
      <w:r w:rsidR="00C8419C">
        <w:rPr>
          <w:rFonts w:ascii="Garamond" w:hAnsi="Garamond" w:cs="Times New Roman"/>
          <w:bCs/>
          <w:iCs/>
          <w:sz w:val="21"/>
          <w:szCs w:val="21"/>
        </w:rPr>
        <w:t xml:space="preserve"> as provided for by the law</w:t>
      </w:r>
      <w:r w:rsidRPr="004E7A10">
        <w:rPr>
          <w:rFonts w:ascii="Garamond" w:hAnsi="Garamond" w:cs="Times New Roman"/>
          <w:bCs/>
          <w:iCs/>
          <w:sz w:val="21"/>
          <w:szCs w:val="21"/>
        </w:rPr>
        <w:t>.</w:t>
      </w:r>
    </w:p>
    <w:p w14:paraId="6387248F" w14:textId="77777777" w:rsidR="000F422E" w:rsidRPr="000F422E" w:rsidRDefault="000F422E" w:rsidP="00A9653E">
      <w:pPr>
        <w:spacing w:line="360" w:lineRule="auto"/>
        <w:jc w:val="both"/>
        <w:rPr>
          <w:rFonts w:ascii="Garamond" w:hAnsi="Garamond" w:cs="Times New Roman"/>
          <w:b/>
          <w:bCs/>
          <w:iCs/>
          <w:color w:val="0070C0"/>
          <w:sz w:val="18"/>
          <w:szCs w:val="18"/>
        </w:rPr>
      </w:pPr>
      <w:r w:rsidRPr="000F422E">
        <w:rPr>
          <w:rFonts w:ascii="Garamond" w:hAnsi="Garamond" w:cs="Times New Roman"/>
          <w:b/>
          <w:bCs/>
          <w:iCs/>
          <w:color w:val="0070C0"/>
          <w:sz w:val="18"/>
          <w:szCs w:val="18"/>
        </w:rPr>
        <w:t>In 2015, the fiscal impulse is forecast to be 2-2.5</w:t>
      </w:r>
      <w:r>
        <w:rPr>
          <w:rFonts w:ascii="Garamond" w:hAnsi="Garamond" w:cs="Times New Roman"/>
          <w:b/>
          <w:bCs/>
          <w:iCs/>
          <w:color w:val="0070C0"/>
          <w:sz w:val="18"/>
          <w:szCs w:val="18"/>
        </w:rPr>
        <w:t xml:space="preserve"> expansionary</w:t>
      </w:r>
      <w:r w:rsidRPr="000F422E">
        <w:rPr>
          <w:rFonts w:ascii="Garamond" w:hAnsi="Garamond" w:cs="Times New Roman"/>
          <w:b/>
          <w:bCs/>
          <w:iCs/>
          <w:color w:val="0070C0"/>
          <w:sz w:val="18"/>
          <w:szCs w:val="18"/>
        </w:rPr>
        <w:t>…</w:t>
      </w:r>
    </w:p>
    <w:p w14:paraId="52926B13" w14:textId="77777777" w:rsidR="00C26E92" w:rsidRPr="004E7A10" w:rsidRDefault="000D3275" w:rsidP="00A9653E">
      <w:pPr>
        <w:spacing w:line="360" w:lineRule="auto"/>
        <w:jc w:val="both"/>
        <w:rPr>
          <w:rFonts w:ascii="Garamond" w:hAnsi="Garamond" w:cs="Times New Roman"/>
          <w:bCs/>
          <w:iCs/>
          <w:sz w:val="21"/>
          <w:szCs w:val="21"/>
        </w:rPr>
      </w:pPr>
      <w:r w:rsidRPr="00DC52CA">
        <w:rPr>
          <w:rFonts w:ascii="Garamond" w:hAnsi="Garamond" w:cs="Times New Roman"/>
          <w:bCs/>
          <w:iCs/>
          <w:sz w:val="21"/>
          <w:szCs w:val="21"/>
        </w:rPr>
        <w:t>In 2015, relative to 2014, the budget revenues are projected to leave a neutral impact and budget</w:t>
      </w:r>
      <w:r w:rsidRPr="004E7A10">
        <w:rPr>
          <w:rFonts w:ascii="Garamond" w:hAnsi="Garamond" w:cs="Times New Roman"/>
          <w:bCs/>
          <w:iCs/>
          <w:sz w:val="21"/>
          <w:szCs w:val="21"/>
        </w:rPr>
        <w:t xml:space="preserve"> expenditures an expansionary impact on the aggregate demand.</w:t>
      </w:r>
      <w:r w:rsidR="00DC52CA" w:rsidRPr="00DC52CA">
        <w:t xml:space="preserve"> </w:t>
      </w:r>
      <w:r w:rsidR="00DC52CA" w:rsidRPr="00DC52CA">
        <w:rPr>
          <w:rFonts w:ascii="Garamond" w:hAnsi="Garamond" w:cs="Times New Roman"/>
          <w:bCs/>
          <w:iCs/>
          <w:sz w:val="21"/>
          <w:szCs w:val="21"/>
        </w:rPr>
        <w:t>Meanwhile</w:t>
      </w:r>
      <w:r w:rsidR="00DC52CA">
        <w:rPr>
          <w:rFonts w:ascii="Garamond" w:hAnsi="Garamond" w:cs="Times New Roman"/>
          <w:bCs/>
          <w:iCs/>
          <w:sz w:val="21"/>
          <w:szCs w:val="21"/>
        </w:rPr>
        <w:t>,</w:t>
      </w:r>
      <w:r w:rsidR="00DC52CA" w:rsidRPr="00DC52CA">
        <w:rPr>
          <w:rFonts w:ascii="Garamond" w:hAnsi="Garamond" w:cs="Times New Roman"/>
          <w:bCs/>
          <w:iCs/>
          <w:sz w:val="21"/>
          <w:szCs w:val="21"/>
        </w:rPr>
        <w:t xml:space="preserve"> expansionary effects are </w:t>
      </w:r>
      <w:r w:rsidR="00DC52CA">
        <w:rPr>
          <w:rFonts w:ascii="Garamond" w:hAnsi="Garamond" w:cs="Times New Roman"/>
          <w:bCs/>
          <w:iCs/>
          <w:sz w:val="21"/>
          <w:szCs w:val="21"/>
        </w:rPr>
        <w:t>anticipated</w:t>
      </w:r>
      <w:r w:rsidR="00DC52CA" w:rsidRPr="00DC52CA">
        <w:rPr>
          <w:rFonts w:ascii="Garamond" w:hAnsi="Garamond" w:cs="Times New Roman"/>
          <w:bCs/>
          <w:iCs/>
          <w:sz w:val="21"/>
          <w:szCs w:val="21"/>
        </w:rPr>
        <w:t xml:space="preserve"> </w:t>
      </w:r>
      <w:r w:rsidR="00DC52CA">
        <w:rPr>
          <w:rFonts w:ascii="Garamond" w:hAnsi="Garamond" w:cs="Times New Roman"/>
          <w:bCs/>
          <w:iCs/>
          <w:sz w:val="21"/>
          <w:szCs w:val="21"/>
        </w:rPr>
        <w:t xml:space="preserve">during </w:t>
      </w:r>
      <w:r w:rsidR="00DC52CA" w:rsidRPr="00DC52CA">
        <w:rPr>
          <w:rFonts w:ascii="Garamond" w:hAnsi="Garamond" w:cs="Times New Roman"/>
          <w:bCs/>
          <w:iCs/>
          <w:sz w:val="21"/>
          <w:szCs w:val="21"/>
        </w:rPr>
        <w:t>all quarters of the year</w:t>
      </w:r>
      <w:r w:rsidR="000F422E">
        <w:rPr>
          <w:rFonts w:ascii="Garamond" w:hAnsi="Garamond" w:cs="Times New Roman"/>
          <w:bCs/>
          <w:iCs/>
          <w:sz w:val="21"/>
          <w:szCs w:val="21"/>
        </w:rPr>
        <w:t>,</w:t>
      </w:r>
      <w:r w:rsidR="00DC52CA">
        <w:rPr>
          <w:rFonts w:ascii="Garamond" w:hAnsi="Garamond" w:cs="Times New Roman"/>
          <w:bCs/>
          <w:iCs/>
          <w:sz w:val="21"/>
          <w:szCs w:val="21"/>
        </w:rPr>
        <w:t xml:space="preserve"> and </w:t>
      </w:r>
      <w:r w:rsidR="000F422E">
        <w:rPr>
          <w:rFonts w:ascii="Garamond" w:hAnsi="Garamond" w:cs="Times New Roman"/>
          <w:bCs/>
          <w:iCs/>
          <w:sz w:val="21"/>
          <w:szCs w:val="21"/>
        </w:rPr>
        <w:t xml:space="preserve">based on annual results </w:t>
      </w:r>
      <w:r w:rsidR="00DC52CA">
        <w:rPr>
          <w:rFonts w:ascii="Garamond" w:hAnsi="Garamond" w:cs="Times New Roman"/>
          <w:bCs/>
          <w:iCs/>
          <w:sz w:val="21"/>
          <w:szCs w:val="21"/>
        </w:rPr>
        <w:t>the e</w:t>
      </w:r>
      <w:r w:rsidR="00DC52CA" w:rsidRPr="00DC52CA">
        <w:rPr>
          <w:rFonts w:ascii="Garamond" w:hAnsi="Garamond" w:cs="Times New Roman"/>
          <w:bCs/>
          <w:iCs/>
          <w:sz w:val="21"/>
          <w:szCs w:val="21"/>
        </w:rPr>
        <w:t xml:space="preserve">xpansionary </w:t>
      </w:r>
      <w:r w:rsidR="00DC52CA">
        <w:rPr>
          <w:rFonts w:ascii="Garamond" w:hAnsi="Garamond" w:cs="Times New Roman"/>
          <w:bCs/>
          <w:iCs/>
          <w:sz w:val="21"/>
          <w:szCs w:val="21"/>
        </w:rPr>
        <w:t xml:space="preserve">impact </w:t>
      </w:r>
      <w:r w:rsidR="00DC52CA" w:rsidRPr="00DC52CA">
        <w:rPr>
          <w:rFonts w:ascii="Garamond" w:hAnsi="Garamond" w:cs="Times New Roman"/>
          <w:bCs/>
          <w:iCs/>
          <w:sz w:val="21"/>
          <w:szCs w:val="21"/>
        </w:rPr>
        <w:t>will amount to 2-2.5.</w:t>
      </w:r>
      <w:r w:rsidRPr="004E7A10">
        <w:rPr>
          <w:rFonts w:ascii="Garamond" w:hAnsi="Garamond" w:cs="Times New Roman"/>
          <w:bCs/>
          <w:iCs/>
          <w:sz w:val="21"/>
          <w:szCs w:val="21"/>
        </w:rPr>
        <w:t xml:space="preserve"> </w:t>
      </w:r>
      <w:r w:rsidR="00C26E92" w:rsidRPr="004E7A10">
        <w:rPr>
          <w:rFonts w:ascii="Garamond" w:hAnsi="Garamond" w:cs="Times New Roman"/>
          <w:bCs/>
          <w:iCs/>
          <w:sz w:val="21"/>
          <w:szCs w:val="21"/>
        </w:rPr>
        <w:t xml:space="preserve">It is worth mentioning that domestic economic developments will be largely determined by how the state budget will be performed. </w:t>
      </w:r>
    </w:p>
    <w:p w14:paraId="56228BAC" w14:textId="66FB3EB8" w:rsidR="00A9653E" w:rsidRPr="004E7A10" w:rsidRDefault="00A9653E" w:rsidP="00A9653E">
      <w:pPr>
        <w:spacing w:line="360" w:lineRule="auto"/>
        <w:jc w:val="both"/>
        <w:rPr>
          <w:rStyle w:val="longtext"/>
          <w:rFonts w:ascii="Garamond" w:hAnsi="Garamond" w:cs="Times New Roman"/>
          <w:b/>
          <w:sz w:val="21"/>
          <w:szCs w:val="21"/>
          <w:shd w:val="clear" w:color="auto" w:fill="FFFFFF"/>
        </w:rPr>
      </w:pPr>
      <w:r w:rsidRPr="004E7A10">
        <w:rPr>
          <w:rFonts w:ascii="Garamond" w:hAnsi="Garamond" w:cs="Times New Roman"/>
          <w:bCs/>
          <w:iCs/>
          <w:color w:val="000000"/>
          <w:sz w:val="21"/>
          <w:szCs w:val="21"/>
        </w:rPr>
        <w:t>The</w:t>
      </w:r>
      <w:r w:rsidR="00C26E92" w:rsidRPr="004E7A10">
        <w:rPr>
          <w:rFonts w:ascii="Garamond" w:hAnsi="Garamond" w:cs="Times New Roman"/>
          <w:bCs/>
          <w:iCs/>
          <w:color w:val="000000"/>
          <w:sz w:val="21"/>
          <w:szCs w:val="21"/>
        </w:rPr>
        <w:t xml:space="preserve"> </w:t>
      </w:r>
      <w:r w:rsidR="00C26E92" w:rsidRPr="004E7A10">
        <w:rPr>
          <w:rFonts w:ascii="Garamond" w:hAnsi="Garamond" w:cs="Times New Roman"/>
          <w:b/>
          <w:bCs/>
          <w:iCs/>
          <w:color w:val="000000"/>
          <w:sz w:val="21"/>
          <w:szCs w:val="21"/>
        </w:rPr>
        <w:t>projections of the fiscal policy</w:t>
      </w:r>
      <w:r w:rsidR="00C26E92" w:rsidRPr="004E7A10">
        <w:rPr>
          <w:rFonts w:ascii="Garamond" w:hAnsi="Garamond" w:cs="Times New Roman"/>
          <w:bCs/>
          <w:iCs/>
          <w:color w:val="000000"/>
          <w:sz w:val="21"/>
          <w:szCs w:val="21"/>
        </w:rPr>
        <w:t xml:space="preserve"> </w:t>
      </w:r>
      <w:r w:rsidRPr="004E7A10">
        <w:rPr>
          <w:rFonts w:ascii="Garamond" w:hAnsi="Garamond" w:cs="Times New Roman"/>
          <w:b/>
          <w:bCs/>
          <w:iCs/>
          <w:color w:val="000000"/>
          <w:sz w:val="21"/>
          <w:szCs w:val="21"/>
        </w:rPr>
        <w:t xml:space="preserve">in the forecast horizon </w:t>
      </w:r>
      <w:r w:rsidR="00C26E92" w:rsidRPr="004E7A10">
        <w:rPr>
          <w:rFonts w:ascii="Garamond" w:hAnsi="Garamond" w:cs="Times New Roman"/>
          <w:bCs/>
          <w:iCs/>
          <w:color w:val="000000"/>
          <w:sz w:val="21"/>
          <w:szCs w:val="21"/>
        </w:rPr>
        <w:t xml:space="preserve">are based on underlying </w:t>
      </w:r>
      <w:r w:rsidRPr="004E7A10">
        <w:rPr>
          <w:rFonts w:ascii="Garamond" w:hAnsi="Garamond" w:cs="Times New Roman"/>
          <w:bCs/>
          <w:iCs/>
          <w:color w:val="000000"/>
          <w:sz w:val="21"/>
          <w:szCs w:val="21"/>
        </w:rPr>
        <w:t>macroeconomic indicators</w:t>
      </w:r>
      <w:r w:rsidR="00C26E92" w:rsidRPr="004E7A10">
        <w:rPr>
          <w:rFonts w:ascii="Garamond" w:hAnsi="Garamond" w:cs="Times New Roman"/>
          <w:bCs/>
          <w:iCs/>
          <w:color w:val="000000"/>
          <w:sz w:val="21"/>
          <w:szCs w:val="21"/>
        </w:rPr>
        <w:t xml:space="preserve"> in</w:t>
      </w:r>
      <w:r w:rsidRPr="004E7A10">
        <w:rPr>
          <w:rFonts w:ascii="Garamond" w:hAnsi="Garamond" w:cs="Times New Roman"/>
          <w:bCs/>
          <w:iCs/>
          <w:color w:val="000000"/>
          <w:sz w:val="21"/>
          <w:szCs w:val="21"/>
        </w:rPr>
        <w:t xml:space="preserve"> the </w:t>
      </w:r>
      <w:r w:rsidRPr="004E7A10">
        <w:rPr>
          <w:rFonts w:ascii="Garamond" w:hAnsi="Garamond" w:cs="Times New Roman"/>
          <w:bCs/>
          <w:iCs/>
          <w:sz w:val="21"/>
          <w:szCs w:val="21"/>
        </w:rPr>
        <w:t>Republic of Armenia Medium-Term Public Expenditures Program</w:t>
      </w:r>
      <w:r w:rsidR="00FD5E85">
        <w:rPr>
          <w:rFonts w:ascii="Garamond" w:hAnsi="Garamond" w:cs="Times New Roman"/>
          <w:bCs/>
          <w:iCs/>
          <w:sz w:val="21"/>
          <w:szCs w:val="21"/>
        </w:rPr>
        <w:t xml:space="preserve"> for</w:t>
      </w:r>
      <w:r w:rsidRPr="004E7A10">
        <w:rPr>
          <w:rFonts w:ascii="Garamond" w:hAnsi="Garamond" w:cs="Times New Roman"/>
          <w:bCs/>
          <w:iCs/>
          <w:sz w:val="21"/>
          <w:szCs w:val="21"/>
        </w:rPr>
        <w:t xml:space="preserve"> 201</w:t>
      </w:r>
      <w:r w:rsidR="00FD5E85">
        <w:rPr>
          <w:rFonts w:ascii="Garamond" w:hAnsi="Garamond" w:cs="Times New Roman"/>
          <w:bCs/>
          <w:iCs/>
          <w:sz w:val="21"/>
          <w:szCs w:val="21"/>
        </w:rPr>
        <w:t>6</w:t>
      </w:r>
      <w:r w:rsidRPr="004E7A10">
        <w:rPr>
          <w:rFonts w:ascii="Garamond" w:hAnsi="Garamond" w:cs="Times New Roman"/>
          <w:bCs/>
          <w:iCs/>
          <w:sz w:val="21"/>
          <w:szCs w:val="21"/>
        </w:rPr>
        <w:t>-201</w:t>
      </w:r>
      <w:r w:rsidR="00FD5E85">
        <w:rPr>
          <w:rFonts w:ascii="Garamond" w:hAnsi="Garamond" w:cs="Times New Roman"/>
          <w:bCs/>
          <w:iCs/>
          <w:sz w:val="21"/>
          <w:szCs w:val="21"/>
        </w:rPr>
        <w:t xml:space="preserve">8. </w:t>
      </w:r>
      <w:r w:rsidR="00C373B9" w:rsidRPr="00C373B9">
        <w:rPr>
          <w:rFonts w:ascii="Garamond" w:hAnsi="Garamond" w:cs="Times New Roman"/>
          <w:b/>
          <w:bCs/>
          <w:iCs/>
          <w:sz w:val="21"/>
          <w:szCs w:val="21"/>
        </w:rPr>
        <w:t>In the medium run</w:t>
      </w:r>
      <w:r w:rsidR="00C373B9">
        <w:rPr>
          <w:rFonts w:ascii="Garamond" w:hAnsi="Garamond" w:cs="Times New Roman"/>
          <w:bCs/>
          <w:iCs/>
          <w:sz w:val="21"/>
          <w:szCs w:val="21"/>
        </w:rPr>
        <w:t xml:space="preserve"> t</w:t>
      </w:r>
      <w:r w:rsidR="00FD5E85">
        <w:rPr>
          <w:rFonts w:ascii="Garamond" w:hAnsi="Garamond" w:cs="Times New Roman"/>
          <w:bCs/>
          <w:iCs/>
          <w:sz w:val="21"/>
          <w:szCs w:val="21"/>
        </w:rPr>
        <w:t>he fiscal policy i</w:t>
      </w:r>
      <w:r w:rsidR="00C26E92" w:rsidRPr="004E7A10">
        <w:rPr>
          <w:rFonts w:ascii="Garamond" w:hAnsi="Garamond" w:cs="Times New Roman"/>
          <w:bCs/>
          <w:iCs/>
          <w:sz w:val="21"/>
          <w:szCs w:val="21"/>
        </w:rPr>
        <w:t xml:space="preserve">s steered to </w:t>
      </w:r>
      <w:proofErr w:type="gramStart"/>
      <w:r w:rsidR="00042155">
        <w:rPr>
          <w:rFonts w:ascii="Garamond" w:hAnsi="Garamond" w:cs="Times New Roman"/>
          <w:bCs/>
          <w:iCs/>
          <w:sz w:val="21"/>
          <w:szCs w:val="21"/>
        </w:rPr>
        <w:t xml:space="preserve">reduce  </w:t>
      </w:r>
      <w:r w:rsidR="00FD5E85">
        <w:rPr>
          <w:rFonts w:ascii="Garamond" w:hAnsi="Garamond" w:cs="Times New Roman"/>
          <w:bCs/>
          <w:iCs/>
          <w:sz w:val="21"/>
          <w:szCs w:val="21"/>
        </w:rPr>
        <w:t>the</w:t>
      </w:r>
      <w:proofErr w:type="gramEnd"/>
      <w:r w:rsidR="00C26E92" w:rsidRPr="004E7A10">
        <w:rPr>
          <w:rFonts w:ascii="Garamond" w:hAnsi="Garamond" w:cs="Times New Roman"/>
          <w:bCs/>
          <w:iCs/>
          <w:sz w:val="21"/>
          <w:szCs w:val="21"/>
        </w:rPr>
        <w:t xml:space="preserve"> budget deficit</w:t>
      </w:r>
      <w:r w:rsidR="00C373B9">
        <w:rPr>
          <w:rFonts w:ascii="Garamond" w:hAnsi="Garamond" w:cs="Times New Roman"/>
          <w:bCs/>
          <w:iCs/>
          <w:sz w:val="21"/>
          <w:szCs w:val="21"/>
        </w:rPr>
        <w:t xml:space="preserve">. </w:t>
      </w:r>
      <w:r w:rsidR="00C26E92" w:rsidRPr="004E7A10">
        <w:rPr>
          <w:rFonts w:ascii="Garamond" w:hAnsi="Garamond" w:cs="Times New Roman"/>
          <w:bCs/>
          <w:iCs/>
          <w:sz w:val="21"/>
          <w:szCs w:val="21"/>
        </w:rPr>
        <w:t>The fiscal policy</w:t>
      </w:r>
      <w:r w:rsidR="00C373B9">
        <w:rPr>
          <w:rFonts w:ascii="Garamond" w:hAnsi="Garamond" w:cs="Times New Roman"/>
          <w:bCs/>
          <w:iCs/>
          <w:sz w:val="21"/>
          <w:szCs w:val="21"/>
        </w:rPr>
        <w:t>’</w:t>
      </w:r>
      <w:r w:rsidR="00C26E92" w:rsidRPr="004E7A10">
        <w:rPr>
          <w:rFonts w:ascii="Garamond" w:hAnsi="Garamond" w:cs="Times New Roman"/>
          <w:bCs/>
          <w:iCs/>
          <w:sz w:val="21"/>
          <w:szCs w:val="21"/>
        </w:rPr>
        <w:t>s impact is estimated to be</w:t>
      </w:r>
      <w:r w:rsidR="00C373B9">
        <w:rPr>
          <w:rFonts w:ascii="Garamond" w:hAnsi="Garamond" w:cs="Times New Roman"/>
          <w:bCs/>
          <w:iCs/>
          <w:sz w:val="21"/>
          <w:szCs w:val="21"/>
        </w:rPr>
        <w:t xml:space="preserve"> contractionary in 2016, neutral in 2017-2018, and generally </w:t>
      </w:r>
      <w:r w:rsidRPr="004E7A10">
        <w:rPr>
          <w:rStyle w:val="longtext"/>
          <w:rFonts w:ascii="Garamond" w:hAnsi="Garamond" w:cs="Times New Roman"/>
          <w:b/>
          <w:sz w:val="21"/>
          <w:szCs w:val="21"/>
          <w:shd w:val="clear" w:color="auto" w:fill="FFFFFF"/>
        </w:rPr>
        <w:t>non-inflationary</w:t>
      </w:r>
      <w:r w:rsidR="00C373B9" w:rsidRPr="00C373B9">
        <w:rPr>
          <w:rFonts w:ascii="Garamond" w:hAnsi="Garamond" w:cs="Times New Roman"/>
          <w:b/>
          <w:bCs/>
          <w:iCs/>
          <w:sz w:val="21"/>
          <w:szCs w:val="21"/>
        </w:rPr>
        <w:t xml:space="preserve"> </w:t>
      </w:r>
      <w:r w:rsidR="00C373B9">
        <w:rPr>
          <w:rFonts w:ascii="Garamond" w:hAnsi="Garamond" w:cs="Times New Roman"/>
          <w:b/>
          <w:bCs/>
          <w:iCs/>
          <w:sz w:val="21"/>
          <w:szCs w:val="21"/>
        </w:rPr>
        <w:t>i</w:t>
      </w:r>
      <w:r w:rsidR="00C373B9" w:rsidRPr="00C373B9">
        <w:rPr>
          <w:rFonts w:ascii="Garamond" w:hAnsi="Garamond" w:cs="Times New Roman"/>
          <w:b/>
          <w:bCs/>
          <w:iCs/>
          <w:sz w:val="21"/>
          <w:szCs w:val="21"/>
        </w:rPr>
        <w:t>n the medium run</w:t>
      </w:r>
      <w:r w:rsidR="00C373B9">
        <w:rPr>
          <w:rFonts w:ascii="Garamond" w:hAnsi="Garamond" w:cs="Times New Roman"/>
          <w:bCs/>
          <w:iCs/>
          <w:sz w:val="21"/>
          <w:szCs w:val="21"/>
        </w:rPr>
        <w:t>.</w:t>
      </w:r>
      <w:r w:rsidR="00C373B9">
        <w:rPr>
          <w:rStyle w:val="longtext"/>
          <w:rFonts w:ascii="Garamond" w:hAnsi="Garamond" w:cs="Times New Roman"/>
          <w:b/>
          <w:sz w:val="21"/>
          <w:szCs w:val="21"/>
          <w:shd w:val="clear" w:color="auto" w:fill="FFFFFF"/>
        </w:rPr>
        <w:t xml:space="preserve"> </w:t>
      </w:r>
    </w:p>
    <w:tbl>
      <w:tblPr>
        <w:tblW w:w="625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3169"/>
        <w:gridCol w:w="649"/>
        <w:gridCol w:w="608"/>
        <w:gridCol w:w="608"/>
        <w:gridCol w:w="608"/>
        <w:gridCol w:w="608"/>
      </w:tblGrid>
      <w:tr w:rsidR="00A9653E" w:rsidRPr="00E902CD" w14:paraId="0B0CBFEA" w14:textId="77777777" w:rsidTr="00DF2762">
        <w:trPr>
          <w:trHeight w:val="20"/>
        </w:trPr>
        <w:tc>
          <w:tcPr>
            <w:tcW w:w="6250" w:type="dxa"/>
            <w:gridSpan w:val="6"/>
            <w:tcBorders>
              <w:bottom w:val="single" w:sz="4" w:space="0" w:color="auto"/>
            </w:tcBorders>
            <w:shd w:val="clear" w:color="auto" w:fill="auto"/>
          </w:tcPr>
          <w:p w14:paraId="0655222D" w14:textId="77777777" w:rsidR="00A9653E" w:rsidRPr="00E902CD" w:rsidRDefault="00A9653E" w:rsidP="00DF2762">
            <w:pPr>
              <w:spacing w:before="20" w:after="20"/>
              <w:jc w:val="center"/>
              <w:rPr>
                <w:rFonts w:ascii="Garamond" w:eastAsia="Calibri" w:hAnsi="Garamond" w:cs="Times New Roman"/>
                <w:b/>
                <w:sz w:val="18"/>
                <w:szCs w:val="18"/>
              </w:rPr>
            </w:pPr>
            <w:r w:rsidRPr="00E902CD">
              <w:rPr>
                <w:rFonts w:ascii="Garamond" w:eastAsia="Calibri" w:hAnsi="Garamond" w:cs="Times New Roman"/>
                <w:b/>
                <w:sz w:val="18"/>
                <w:szCs w:val="18"/>
              </w:rPr>
              <w:t>Medium-term fiscal policy impact assessment</w:t>
            </w:r>
          </w:p>
        </w:tc>
      </w:tr>
      <w:tr w:rsidR="00BE7F7F" w:rsidRPr="00E902CD" w14:paraId="3F2ACA31" w14:textId="77777777" w:rsidTr="00DF2762">
        <w:trPr>
          <w:trHeight w:val="20"/>
        </w:trPr>
        <w:tc>
          <w:tcPr>
            <w:tcW w:w="3169" w:type="dxa"/>
            <w:tcBorders>
              <w:bottom w:val="single" w:sz="4" w:space="0" w:color="auto"/>
              <w:right w:val="dashed" w:sz="4" w:space="0" w:color="auto"/>
            </w:tcBorders>
            <w:shd w:val="clear" w:color="auto" w:fill="auto"/>
          </w:tcPr>
          <w:p w14:paraId="032B23E4"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 in GDP</w:t>
            </w:r>
          </w:p>
        </w:tc>
        <w:tc>
          <w:tcPr>
            <w:tcW w:w="649" w:type="dxa"/>
            <w:tcBorders>
              <w:left w:val="dashed" w:sz="4" w:space="0" w:color="auto"/>
              <w:bottom w:val="single" w:sz="4" w:space="0" w:color="auto"/>
              <w:right w:val="dashed" w:sz="4" w:space="0" w:color="auto"/>
            </w:tcBorders>
            <w:shd w:val="clear" w:color="auto" w:fill="auto"/>
          </w:tcPr>
          <w:p w14:paraId="290C97EE" w14:textId="77777777" w:rsidR="00BE7F7F" w:rsidRPr="00E902CD" w:rsidRDefault="00BE7F7F" w:rsidP="00BE7F7F">
            <w:pPr>
              <w:spacing w:before="20" w:after="20"/>
              <w:jc w:val="center"/>
              <w:rPr>
                <w:rFonts w:ascii="Garamond" w:eastAsia="Calibri" w:hAnsi="Garamond" w:cs="Times New Roman"/>
                <w:sz w:val="18"/>
                <w:szCs w:val="18"/>
              </w:rPr>
            </w:pPr>
            <w:r w:rsidRPr="00E902CD">
              <w:rPr>
                <w:rFonts w:ascii="Garamond" w:eastAsia="Calibri" w:hAnsi="Garamond" w:cs="Times New Roman"/>
                <w:sz w:val="18"/>
                <w:szCs w:val="18"/>
              </w:rPr>
              <w:t>2014</w:t>
            </w:r>
            <w:r w:rsidR="000860B7" w:rsidRPr="00E902CD">
              <w:rPr>
                <w:rStyle w:val="FootnoteReference"/>
                <w:rFonts w:ascii="Garamond" w:eastAsia="Calibri" w:hAnsi="Garamond" w:cs="Times New Roman"/>
                <w:sz w:val="18"/>
                <w:szCs w:val="18"/>
              </w:rPr>
              <w:footnoteReference w:customMarkFollows="1" w:id="8"/>
              <w:t>8</w:t>
            </w:r>
          </w:p>
        </w:tc>
        <w:tc>
          <w:tcPr>
            <w:tcW w:w="608" w:type="dxa"/>
            <w:tcBorders>
              <w:left w:val="dashed" w:sz="4" w:space="0" w:color="auto"/>
              <w:bottom w:val="single" w:sz="4" w:space="0" w:color="auto"/>
              <w:right w:val="dashed" w:sz="4" w:space="0" w:color="auto"/>
            </w:tcBorders>
            <w:shd w:val="clear" w:color="auto" w:fill="auto"/>
          </w:tcPr>
          <w:p w14:paraId="632D3E7B" w14:textId="77777777" w:rsidR="00BE7F7F" w:rsidRPr="00E902CD" w:rsidRDefault="00BE7F7F" w:rsidP="00242393">
            <w:pPr>
              <w:spacing w:before="20" w:after="20"/>
              <w:jc w:val="center"/>
              <w:rPr>
                <w:rFonts w:ascii="Garamond" w:eastAsia="Calibri" w:hAnsi="Garamond" w:cs="Times New Roman"/>
                <w:sz w:val="18"/>
                <w:szCs w:val="18"/>
              </w:rPr>
            </w:pPr>
            <w:r w:rsidRPr="00E902CD">
              <w:rPr>
                <w:rFonts w:ascii="Garamond" w:eastAsia="Calibri" w:hAnsi="Garamond" w:cs="Times New Roman"/>
                <w:sz w:val="18"/>
                <w:szCs w:val="18"/>
              </w:rPr>
              <w:t>2015</w:t>
            </w:r>
          </w:p>
        </w:tc>
        <w:tc>
          <w:tcPr>
            <w:tcW w:w="608" w:type="dxa"/>
            <w:tcBorders>
              <w:left w:val="dashed" w:sz="4" w:space="0" w:color="auto"/>
              <w:bottom w:val="single" w:sz="4" w:space="0" w:color="auto"/>
              <w:right w:val="dashed" w:sz="4" w:space="0" w:color="auto"/>
            </w:tcBorders>
            <w:shd w:val="clear" w:color="auto" w:fill="auto"/>
          </w:tcPr>
          <w:p w14:paraId="59C2EE4A" w14:textId="77777777" w:rsidR="00BE7F7F" w:rsidRPr="00E902CD" w:rsidRDefault="00BE7F7F" w:rsidP="00242393">
            <w:pPr>
              <w:spacing w:before="20" w:after="20"/>
              <w:jc w:val="center"/>
              <w:rPr>
                <w:rFonts w:ascii="Garamond" w:eastAsia="Calibri" w:hAnsi="Garamond" w:cs="Times New Roman"/>
                <w:sz w:val="18"/>
                <w:szCs w:val="18"/>
              </w:rPr>
            </w:pPr>
            <w:r w:rsidRPr="00E902CD">
              <w:rPr>
                <w:rFonts w:ascii="Garamond" w:eastAsia="Calibri" w:hAnsi="Garamond" w:cs="Times New Roman"/>
                <w:sz w:val="18"/>
                <w:szCs w:val="18"/>
              </w:rPr>
              <w:t>2016</w:t>
            </w:r>
          </w:p>
        </w:tc>
        <w:tc>
          <w:tcPr>
            <w:tcW w:w="608" w:type="dxa"/>
            <w:tcBorders>
              <w:left w:val="dashed" w:sz="4" w:space="0" w:color="auto"/>
              <w:bottom w:val="single" w:sz="4" w:space="0" w:color="auto"/>
              <w:right w:val="dashed" w:sz="4" w:space="0" w:color="auto"/>
            </w:tcBorders>
            <w:shd w:val="clear" w:color="auto" w:fill="auto"/>
          </w:tcPr>
          <w:p w14:paraId="263C8585" w14:textId="77777777" w:rsidR="00BE7F7F" w:rsidRPr="00E902CD" w:rsidRDefault="00BE7F7F" w:rsidP="00242393">
            <w:pPr>
              <w:spacing w:before="20" w:after="20"/>
              <w:jc w:val="center"/>
              <w:rPr>
                <w:rFonts w:ascii="Garamond" w:eastAsia="Calibri" w:hAnsi="Garamond" w:cs="Times New Roman"/>
                <w:sz w:val="18"/>
                <w:szCs w:val="18"/>
              </w:rPr>
            </w:pPr>
            <w:r w:rsidRPr="00E902CD">
              <w:rPr>
                <w:rFonts w:ascii="Garamond" w:eastAsia="Calibri" w:hAnsi="Garamond" w:cs="Times New Roman"/>
                <w:sz w:val="18"/>
                <w:szCs w:val="18"/>
              </w:rPr>
              <w:t>2017</w:t>
            </w:r>
          </w:p>
        </w:tc>
        <w:tc>
          <w:tcPr>
            <w:tcW w:w="608" w:type="dxa"/>
            <w:tcBorders>
              <w:left w:val="dashed" w:sz="4" w:space="0" w:color="auto"/>
              <w:bottom w:val="single" w:sz="4" w:space="0" w:color="auto"/>
            </w:tcBorders>
            <w:shd w:val="clear" w:color="auto" w:fill="auto"/>
          </w:tcPr>
          <w:p w14:paraId="7ADB03B9" w14:textId="77777777" w:rsidR="00BE7F7F" w:rsidRPr="00E902CD" w:rsidRDefault="00BE7F7F" w:rsidP="00E76C5A">
            <w:pPr>
              <w:spacing w:before="20" w:after="20"/>
              <w:jc w:val="center"/>
              <w:rPr>
                <w:rFonts w:ascii="Garamond" w:eastAsia="Calibri" w:hAnsi="Garamond" w:cs="Times New Roman"/>
                <w:sz w:val="18"/>
                <w:szCs w:val="18"/>
              </w:rPr>
            </w:pPr>
            <w:r w:rsidRPr="00E902CD">
              <w:rPr>
                <w:rFonts w:ascii="Garamond" w:eastAsia="Calibri" w:hAnsi="Garamond" w:cs="Times New Roman"/>
                <w:sz w:val="18"/>
                <w:szCs w:val="18"/>
              </w:rPr>
              <w:t>2018</w:t>
            </w:r>
          </w:p>
        </w:tc>
      </w:tr>
      <w:tr w:rsidR="00BE7F7F" w:rsidRPr="00E902CD" w14:paraId="6E2E9C66" w14:textId="77777777" w:rsidTr="00242393">
        <w:trPr>
          <w:trHeight w:val="20"/>
        </w:trPr>
        <w:tc>
          <w:tcPr>
            <w:tcW w:w="3169" w:type="dxa"/>
            <w:tcBorders>
              <w:top w:val="single" w:sz="4" w:space="0" w:color="auto"/>
              <w:bottom w:val="dashed" w:sz="4" w:space="0" w:color="auto"/>
              <w:right w:val="dashed" w:sz="4" w:space="0" w:color="auto"/>
            </w:tcBorders>
            <w:shd w:val="clear" w:color="auto" w:fill="auto"/>
          </w:tcPr>
          <w:p w14:paraId="679B888C"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Budget revenues</w:t>
            </w:r>
          </w:p>
        </w:tc>
        <w:tc>
          <w:tcPr>
            <w:tcW w:w="649" w:type="dxa"/>
            <w:tcBorders>
              <w:top w:val="single" w:sz="4" w:space="0" w:color="auto"/>
              <w:left w:val="dashed" w:sz="4" w:space="0" w:color="auto"/>
              <w:bottom w:val="dashed" w:sz="4" w:space="0" w:color="auto"/>
              <w:right w:val="dashed" w:sz="4" w:space="0" w:color="auto"/>
            </w:tcBorders>
            <w:shd w:val="clear" w:color="auto" w:fill="auto"/>
            <w:vAlign w:val="center"/>
          </w:tcPr>
          <w:p w14:paraId="54D25F64"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24.3</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25A254D3"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24.2</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5F9CDFCB"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24.6</w:t>
            </w:r>
          </w:p>
        </w:tc>
        <w:tc>
          <w:tcPr>
            <w:tcW w:w="608" w:type="dxa"/>
            <w:tcBorders>
              <w:top w:val="single" w:sz="4" w:space="0" w:color="auto"/>
              <w:left w:val="dashed" w:sz="4" w:space="0" w:color="auto"/>
              <w:bottom w:val="dashed" w:sz="4" w:space="0" w:color="auto"/>
              <w:right w:val="dashed" w:sz="4" w:space="0" w:color="auto"/>
            </w:tcBorders>
            <w:shd w:val="clear" w:color="auto" w:fill="auto"/>
            <w:vAlign w:val="center"/>
          </w:tcPr>
          <w:p w14:paraId="204250FB"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25.0</w:t>
            </w:r>
          </w:p>
        </w:tc>
        <w:tc>
          <w:tcPr>
            <w:tcW w:w="608" w:type="dxa"/>
            <w:tcBorders>
              <w:top w:val="single" w:sz="4" w:space="0" w:color="auto"/>
              <w:left w:val="dashed" w:sz="4" w:space="0" w:color="auto"/>
              <w:bottom w:val="dashed" w:sz="4" w:space="0" w:color="auto"/>
            </w:tcBorders>
            <w:shd w:val="clear" w:color="auto" w:fill="auto"/>
            <w:vAlign w:val="center"/>
          </w:tcPr>
          <w:p w14:paraId="2B2965AE"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24.9</w:t>
            </w:r>
          </w:p>
        </w:tc>
      </w:tr>
      <w:tr w:rsidR="00BE7F7F" w:rsidRPr="00E902CD" w14:paraId="7700B7C8"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0D32ED3E"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Budget expenditures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75C4247C"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26.4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0B89566"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27.9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44481058"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27.4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1BA7D2D8"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27.3</w:t>
            </w:r>
          </w:p>
        </w:tc>
        <w:tc>
          <w:tcPr>
            <w:tcW w:w="608" w:type="dxa"/>
            <w:tcBorders>
              <w:top w:val="dashed" w:sz="4" w:space="0" w:color="auto"/>
              <w:left w:val="dashed" w:sz="4" w:space="0" w:color="auto"/>
              <w:bottom w:val="dashed" w:sz="4" w:space="0" w:color="auto"/>
            </w:tcBorders>
            <w:shd w:val="clear" w:color="auto" w:fill="auto"/>
            <w:vAlign w:val="center"/>
          </w:tcPr>
          <w:p w14:paraId="1050635E"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26.8</w:t>
            </w:r>
          </w:p>
        </w:tc>
      </w:tr>
      <w:tr w:rsidR="00BE7F7F" w:rsidRPr="00E902CD" w14:paraId="126830A1"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71975B0E"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Debt interest payment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568D1B66"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E6106DF"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B518BA6"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32675C36"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1.9</w:t>
            </w:r>
          </w:p>
        </w:tc>
        <w:tc>
          <w:tcPr>
            <w:tcW w:w="608" w:type="dxa"/>
            <w:tcBorders>
              <w:top w:val="dashed" w:sz="4" w:space="0" w:color="auto"/>
              <w:left w:val="dashed" w:sz="4" w:space="0" w:color="auto"/>
              <w:bottom w:val="dashed" w:sz="4" w:space="0" w:color="auto"/>
            </w:tcBorders>
            <w:shd w:val="clear" w:color="auto" w:fill="auto"/>
            <w:vAlign w:val="center"/>
          </w:tcPr>
          <w:p w14:paraId="424955AA"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1.9</w:t>
            </w:r>
          </w:p>
        </w:tc>
      </w:tr>
      <w:tr w:rsidR="00BE7F7F" w:rsidRPr="00E902CD" w14:paraId="24889BB0"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421E4A1C"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Budget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1F0DE1CD"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29C2FD7"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-3.7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CE4380C"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-2.8</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A4728C3"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-2.3</w:t>
            </w:r>
          </w:p>
        </w:tc>
        <w:tc>
          <w:tcPr>
            <w:tcW w:w="608" w:type="dxa"/>
            <w:tcBorders>
              <w:top w:val="dashed" w:sz="4" w:space="0" w:color="auto"/>
              <w:left w:val="dashed" w:sz="4" w:space="0" w:color="auto"/>
              <w:bottom w:val="dashed" w:sz="4" w:space="0" w:color="auto"/>
            </w:tcBorders>
            <w:shd w:val="clear" w:color="auto" w:fill="auto"/>
            <w:vAlign w:val="center"/>
          </w:tcPr>
          <w:p w14:paraId="66F372D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-1.9</w:t>
            </w:r>
          </w:p>
        </w:tc>
      </w:tr>
      <w:tr w:rsidR="00BE7F7F" w:rsidRPr="00E902CD" w14:paraId="72845F5A"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27C967A9"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Primary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749A8520"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6F20872"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E3AE5F0"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-0.9</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49410EF"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-0.4</w:t>
            </w:r>
          </w:p>
        </w:tc>
        <w:tc>
          <w:tcPr>
            <w:tcW w:w="608" w:type="dxa"/>
            <w:tcBorders>
              <w:top w:val="dashed" w:sz="4" w:space="0" w:color="auto"/>
              <w:left w:val="dashed" w:sz="4" w:space="0" w:color="auto"/>
              <w:bottom w:val="dashed" w:sz="4" w:space="0" w:color="auto"/>
            </w:tcBorders>
            <w:shd w:val="clear" w:color="auto" w:fill="auto"/>
            <w:vAlign w:val="center"/>
          </w:tcPr>
          <w:p w14:paraId="1F5A9EA2"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-0.0</w:t>
            </w:r>
          </w:p>
        </w:tc>
      </w:tr>
      <w:tr w:rsidR="00BE7F7F" w:rsidRPr="00E902CD" w14:paraId="2F207B34"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5B4AE9DE"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One-off flows**</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63FAD252"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-0.6</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28638A7A"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DC43960"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-0.7</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3BD9BD3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-0.6</w:t>
            </w:r>
          </w:p>
        </w:tc>
        <w:tc>
          <w:tcPr>
            <w:tcW w:w="608" w:type="dxa"/>
            <w:tcBorders>
              <w:top w:val="dashed" w:sz="4" w:space="0" w:color="auto"/>
              <w:left w:val="dashed" w:sz="4" w:space="0" w:color="auto"/>
              <w:bottom w:val="dashed" w:sz="4" w:space="0" w:color="auto"/>
            </w:tcBorders>
            <w:shd w:val="clear" w:color="auto" w:fill="auto"/>
            <w:vAlign w:val="center"/>
          </w:tcPr>
          <w:p w14:paraId="2B3BC5D0"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-0.5</w:t>
            </w:r>
          </w:p>
        </w:tc>
      </w:tr>
      <w:tr w:rsidR="00BE7F7F" w:rsidRPr="00E902CD" w14:paraId="094EF9A5"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0C234E0A"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Adjusted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4175886F"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-0.1</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4FFEA02"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-2.5</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8C126D7"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24FBF753"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0.2</w:t>
            </w:r>
          </w:p>
        </w:tc>
        <w:tc>
          <w:tcPr>
            <w:tcW w:w="608" w:type="dxa"/>
            <w:tcBorders>
              <w:top w:val="dashed" w:sz="4" w:space="0" w:color="auto"/>
              <w:left w:val="dashed" w:sz="4" w:space="0" w:color="auto"/>
              <w:bottom w:val="dashed" w:sz="4" w:space="0" w:color="auto"/>
            </w:tcBorders>
            <w:shd w:val="clear" w:color="auto" w:fill="auto"/>
            <w:vAlign w:val="center"/>
          </w:tcPr>
          <w:p w14:paraId="714BF04F"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0.4</w:t>
            </w:r>
          </w:p>
        </w:tc>
      </w:tr>
      <w:tr w:rsidR="00BE7F7F" w:rsidRPr="00E902CD" w14:paraId="0362D826"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35CBD4A2"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Cyclical balance****</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67A90C56"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B4B360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-0.2</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6F639A6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-0.6</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5B266928"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-0.2</w:t>
            </w:r>
          </w:p>
        </w:tc>
        <w:tc>
          <w:tcPr>
            <w:tcW w:w="608" w:type="dxa"/>
            <w:tcBorders>
              <w:top w:val="dashed" w:sz="4" w:space="0" w:color="auto"/>
              <w:left w:val="dashed" w:sz="4" w:space="0" w:color="auto"/>
              <w:bottom w:val="dashed" w:sz="4" w:space="0" w:color="auto"/>
            </w:tcBorders>
            <w:shd w:val="clear" w:color="auto" w:fill="auto"/>
            <w:vAlign w:val="center"/>
          </w:tcPr>
          <w:p w14:paraId="6B9D0F5A"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-0.1</w:t>
            </w:r>
          </w:p>
        </w:tc>
      </w:tr>
      <w:tr w:rsidR="00BE7F7F" w:rsidRPr="00E902CD" w14:paraId="58A0CD19" w14:textId="77777777" w:rsidTr="00242393">
        <w:trPr>
          <w:trHeight w:val="20"/>
        </w:trPr>
        <w:tc>
          <w:tcPr>
            <w:tcW w:w="3169" w:type="dxa"/>
            <w:tcBorders>
              <w:top w:val="dashed" w:sz="4" w:space="0" w:color="auto"/>
              <w:bottom w:val="dashed" w:sz="4" w:space="0" w:color="auto"/>
              <w:right w:val="dashed" w:sz="4" w:space="0" w:color="auto"/>
            </w:tcBorders>
            <w:shd w:val="clear" w:color="auto" w:fill="auto"/>
          </w:tcPr>
          <w:p w14:paraId="020AE560"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lastRenderedPageBreak/>
              <w:t>Cyclically adjusted primary balance (structural balance sheet)</w:t>
            </w:r>
          </w:p>
        </w:tc>
        <w:tc>
          <w:tcPr>
            <w:tcW w:w="649" w:type="dxa"/>
            <w:tcBorders>
              <w:top w:val="dashed" w:sz="4" w:space="0" w:color="auto"/>
              <w:left w:val="dashed" w:sz="4" w:space="0" w:color="auto"/>
              <w:bottom w:val="dashed" w:sz="4" w:space="0" w:color="auto"/>
              <w:right w:val="dashed" w:sz="4" w:space="0" w:color="auto"/>
            </w:tcBorders>
            <w:shd w:val="clear" w:color="auto" w:fill="auto"/>
            <w:vAlign w:val="center"/>
          </w:tcPr>
          <w:p w14:paraId="770E56DC"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7C271E98"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-2.3</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3CDBAEA"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0.4</w:t>
            </w:r>
          </w:p>
        </w:tc>
        <w:tc>
          <w:tcPr>
            <w:tcW w:w="608" w:type="dxa"/>
            <w:tcBorders>
              <w:top w:val="dashed" w:sz="4" w:space="0" w:color="auto"/>
              <w:left w:val="dashed" w:sz="4" w:space="0" w:color="auto"/>
              <w:bottom w:val="dashed" w:sz="4" w:space="0" w:color="auto"/>
              <w:right w:val="dashed" w:sz="4" w:space="0" w:color="auto"/>
            </w:tcBorders>
            <w:shd w:val="clear" w:color="auto" w:fill="auto"/>
            <w:vAlign w:val="center"/>
          </w:tcPr>
          <w:p w14:paraId="068842B5"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0.4</w:t>
            </w:r>
          </w:p>
        </w:tc>
        <w:tc>
          <w:tcPr>
            <w:tcW w:w="608" w:type="dxa"/>
            <w:tcBorders>
              <w:top w:val="dashed" w:sz="4" w:space="0" w:color="auto"/>
              <w:left w:val="dashed" w:sz="4" w:space="0" w:color="auto"/>
              <w:bottom w:val="dashed" w:sz="4" w:space="0" w:color="auto"/>
            </w:tcBorders>
            <w:shd w:val="clear" w:color="auto" w:fill="auto"/>
            <w:vAlign w:val="center"/>
          </w:tcPr>
          <w:p w14:paraId="3473C6DD"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0.5</w:t>
            </w:r>
          </w:p>
        </w:tc>
      </w:tr>
      <w:tr w:rsidR="00BE7F7F" w:rsidRPr="00E902CD" w14:paraId="07B351B8" w14:textId="77777777" w:rsidTr="00242393">
        <w:trPr>
          <w:trHeight w:val="20"/>
        </w:trPr>
        <w:tc>
          <w:tcPr>
            <w:tcW w:w="3169" w:type="dxa"/>
            <w:tcBorders>
              <w:top w:val="dashed" w:sz="4" w:space="0" w:color="auto"/>
              <w:right w:val="dashed" w:sz="4" w:space="0" w:color="auto"/>
            </w:tcBorders>
            <w:shd w:val="clear" w:color="auto" w:fill="auto"/>
          </w:tcPr>
          <w:p w14:paraId="2BE9167E" w14:textId="77777777" w:rsidR="00BE7F7F" w:rsidRPr="00E902CD" w:rsidRDefault="00BE7F7F" w:rsidP="00DF2762">
            <w:pPr>
              <w:spacing w:before="30" w:after="20"/>
              <w:rPr>
                <w:rFonts w:ascii="Garamond" w:eastAsia="Calibri" w:hAnsi="Garamond" w:cs="Times New Roman"/>
                <w:sz w:val="18"/>
                <w:szCs w:val="18"/>
              </w:rPr>
            </w:pPr>
            <w:r w:rsidRPr="00E902CD">
              <w:rPr>
                <w:rFonts w:ascii="Garamond" w:eastAsia="Calibri" w:hAnsi="Garamond" w:cs="Times New Roman"/>
                <w:sz w:val="18"/>
                <w:szCs w:val="18"/>
              </w:rPr>
              <w:t>Fiscal stance*****</w:t>
            </w:r>
          </w:p>
        </w:tc>
        <w:tc>
          <w:tcPr>
            <w:tcW w:w="649" w:type="dxa"/>
            <w:tcBorders>
              <w:top w:val="dashed" w:sz="4" w:space="0" w:color="auto"/>
              <w:left w:val="dashed" w:sz="4" w:space="0" w:color="auto"/>
              <w:right w:val="dashed" w:sz="4" w:space="0" w:color="auto"/>
            </w:tcBorders>
            <w:shd w:val="clear" w:color="auto" w:fill="auto"/>
            <w:vAlign w:val="center"/>
          </w:tcPr>
          <w:p w14:paraId="2810B485"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0.7</w:t>
            </w:r>
          </w:p>
        </w:tc>
        <w:tc>
          <w:tcPr>
            <w:tcW w:w="608" w:type="dxa"/>
            <w:tcBorders>
              <w:top w:val="dashed" w:sz="4" w:space="0" w:color="auto"/>
              <w:left w:val="dashed" w:sz="4" w:space="0" w:color="auto"/>
              <w:right w:val="dashed" w:sz="4" w:space="0" w:color="auto"/>
            </w:tcBorders>
            <w:shd w:val="clear" w:color="auto" w:fill="auto"/>
            <w:vAlign w:val="center"/>
          </w:tcPr>
          <w:p w14:paraId="23EA168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2.0</w:t>
            </w:r>
          </w:p>
        </w:tc>
        <w:tc>
          <w:tcPr>
            <w:tcW w:w="608" w:type="dxa"/>
            <w:tcBorders>
              <w:top w:val="dashed" w:sz="4" w:space="0" w:color="auto"/>
              <w:left w:val="dashed" w:sz="4" w:space="0" w:color="auto"/>
              <w:right w:val="dashed" w:sz="4" w:space="0" w:color="auto"/>
            </w:tcBorders>
            <w:shd w:val="clear" w:color="auto" w:fill="auto"/>
            <w:vAlign w:val="center"/>
          </w:tcPr>
          <w:p w14:paraId="666E1194"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-2.6</w:t>
            </w:r>
          </w:p>
        </w:tc>
        <w:tc>
          <w:tcPr>
            <w:tcW w:w="608" w:type="dxa"/>
            <w:tcBorders>
              <w:top w:val="dashed" w:sz="4" w:space="0" w:color="auto"/>
              <w:left w:val="dashed" w:sz="4" w:space="0" w:color="auto"/>
              <w:right w:val="dashed" w:sz="4" w:space="0" w:color="auto"/>
            </w:tcBorders>
            <w:shd w:val="clear" w:color="auto" w:fill="auto"/>
            <w:vAlign w:val="center"/>
          </w:tcPr>
          <w:p w14:paraId="27A535E1"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0.0</w:t>
            </w:r>
          </w:p>
        </w:tc>
        <w:tc>
          <w:tcPr>
            <w:tcW w:w="608" w:type="dxa"/>
            <w:tcBorders>
              <w:top w:val="dashed" w:sz="4" w:space="0" w:color="auto"/>
              <w:left w:val="dashed" w:sz="4" w:space="0" w:color="auto"/>
            </w:tcBorders>
            <w:shd w:val="clear" w:color="auto" w:fill="auto"/>
            <w:vAlign w:val="center"/>
          </w:tcPr>
          <w:p w14:paraId="0810CDC9" w14:textId="77777777" w:rsidR="00BE7F7F" w:rsidRPr="00E902CD" w:rsidRDefault="00BE7F7F" w:rsidP="00242393">
            <w:pPr>
              <w:spacing w:before="30" w:after="30"/>
              <w:jc w:val="right"/>
              <w:rPr>
                <w:rFonts w:ascii="Garamond" w:eastAsia="Calibri" w:hAnsi="Garamond"/>
                <w:sz w:val="18"/>
                <w:szCs w:val="18"/>
              </w:rPr>
            </w:pPr>
            <w:r w:rsidRPr="00E902CD">
              <w:rPr>
                <w:rFonts w:ascii="Garamond" w:eastAsia="Calibri" w:hAnsi="Garamond"/>
                <w:sz w:val="18"/>
                <w:szCs w:val="18"/>
              </w:rPr>
              <w:t>-0.1</w:t>
            </w:r>
          </w:p>
        </w:tc>
      </w:tr>
      <w:tr w:rsidR="00BE7F7F" w:rsidRPr="00E902CD" w14:paraId="6E61E477" w14:textId="77777777" w:rsidTr="00DF2762">
        <w:trPr>
          <w:trHeight w:val="20"/>
        </w:trPr>
        <w:tc>
          <w:tcPr>
            <w:tcW w:w="6250" w:type="dxa"/>
            <w:gridSpan w:val="6"/>
            <w:shd w:val="clear" w:color="auto" w:fill="auto"/>
          </w:tcPr>
          <w:p w14:paraId="0552AE14" w14:textId="77777777" w:rsidR="00BE7F7F" w:rsidRPr="00E902CD" w:rsidRDefault="00BE7F7F" w:rsidP="00DF2762">
            <w:pPr>
              <w:pStyle w:val="FootnoteText"/>
              <w:spacing w:before="30" w:after="20"/>
              <w:rPr>
                <w:rFonts w:ascii="Garamond" w:hAnsi="Garamond"/>
                <w:i/>
                <w:sz w:val="18"/>
                <w:szCs w:val="18"/>
              </w:rPr>
            </w:pPr>
            <w:r w:rsidRPr="00E902CD">
              <w:rPr>
                <w:rFonts w:ascii="Garamond" w:hAnsi="Garamond"/>
                <w:i/>
                <w:sz w:val="18"/>
                <w:szCs w:val="18"/>
              </w:rPr>
              <w:t>* Budget balance less debt interest payments.</w:t>
            </w:r>
          </w:p>
          <w:p w14:paraId="4FECEB83" w14:textId="77777777" w:rsidR="00BE7F7F" w:rsidRPr="00E902CD" w:rsidRDefault="00BE7F7F" w:rsidP="00DF2762">
            <w:pPr>
              <w:pStyle w:val="FootnoteText"/>
              <w:spacing w:before="30" w:after="20"/>
              <w:rPr>
                <w:rFonts w:ascii="Garamond" w:hAnsi="Garamond"/>
                <w:i/>
                <w:sz w:val="18"/>
                <w:szCs w:val="18"/>
              </w:rPr>
            </w:pPr>
            <w:r w:rsidRPr="00E902CD">
              <w:rPr>
                <w:rFonts w:ascii="Garamond" w:hAnsi="Garamond"/>
                <w:i/>
                <w:sz w:val="18"/>
                <w:szCs w:val="18"/>
              </w:rPr>
              <w:t xml:space="preserve">** Temporary or one-off budget entries. In this case net credit is considered; the sign </w:t>
            </w:r>
            <w:r w:rsidRPr="00E902CD">
              <w:rPr>
                <w:rFonts w:ascii="Garamond" w:hAnsi="Garamond"/>
                <w:b/>
                <w:i/>
                <w:sz w:val="18"/>
                <w:szCs w:val="18"/>
              </w:rPr>
              <w:t>“+”</w:t>
            </w:r>
            <w:r w:rsidRPr="00E902CD">
              <w:rPr>
                <w:rFonts w:ascii="Garamond" w:hAnsi="Garamond"/>
                <w:i/>
                <w:sz w:val="18"/>
                <w:szCs w:val="18"/>
              </w:rPr>
              <w:t xml:space="preserve"> means resources allocated and the sign </w:t>
            </w:r>
            <w:r w:rsidRPr="00E902CD">
              <w:rPr>
                <w:rFonts w:ascii="Garamond" w:hAnsi="Garamond"/>
                <w:b/>
                <w:i/>
                <w:sz w:val="18"/>
                <w:szCs w:val="18"/>
              </w:rPr>
              <w:t>“</w:t>
            </w:r>
            <w:r w:rsidRPr="00E902CD">
              <w:rPr>
                <w:rFonts w:ascii="Garamond" w:hAnsi="Garamond"/>
                <w:b/>
                <w:bCs/>
                <w:iCs/>
                <w:sz w:val="18"/>
                <w:szCs w:val="18"/>
              </w:rPr>
              <w:t>–</w:t>
            </w:r>
            <w:r w:rsidRPr="00E902CD">
              <w:rPr>
                <w:rFonts w:ascii="Garamond" w:hAnsi="Garamond"/>
                <w:b/>
                <w:i/>
                <w:sz w:val="18"/>
                <w:szCs w:val="18"/>
              </w:rPr>
              <w:t>”</w:t>
            </w:r>
            <w:r w:rsidRPr="00E902CD">
              <w:rPr>
                <w:rFonts w:ascii="Garamond" w:hAnsi="Garamond"/>
                <w:i/>
                <w:sz w:val="18"/>
                <w:szCs w:val="18"/>
              </w:rPr>
              <w:t xml:space="preserve"> means resources repaid.</w:t>
            </w:r>
          </w:p>
          <w:p w14:paraId="4F13EDE9" w14:textId="77777777" w:rsidR="00BE7F7F" w:rsidRPr="00E902CD" w:rsidRDefault="00BE7F7F" w:rsidP="00DF2762">
            <w:pPr>
              <w:pStyle w:val="EndnoteText"/>
              <w:spacing w:before="30" w:after="20"/>
              <w:rPr>
                <w:rFonts w:ascii="Garamond" w:hAnsi="Garamond"/>
                <w:i/>
                <w:sz w:val="18"/>
                <w:szCs w:val="18"/>
              </w:rPr>
            </w:pPr>
            <w:r w:rsidRPr="00E902CD">
              <w:rPr>
                <w:rFonts w:ascii="Garamond" w:hAnsi="Garamond"/>
                <w:i/>
                <w:sz w:val="18"/>
                <w:szCs w:val="18"/>
              </w:rPr>
              <w:t xml:space="preserve">*** Primary balance sheet adjusted by temporary or one-off entries. </w:t>
            </w:r>
          </w:p>
          <w:p w14:paraId="4A9ADE02" w14:textId="77777777" w:rsidR="00BE7F7F" w:rsidRPr="00E902CD" w:rsidRDefault="00BE7F7F" w:rsidP="00DF2762">
            <w:pPr>
              <w:pStyle w:val="EndnoteText"/>
              <w:spacing w:before="30" w:after="20"/>
              <w:rPr>
                <w:rFonts w:ascii="Garamond" w:hAnsi="Garamond"/>
                <w:i/>
                <w:sz w:val="18"/>
                <w:szCs w:val="18"/>
              </w:rPr>
            </w:pPr>
            <w:r w:rsidRPr="00E902CD">
              <w:rPr>
                <w:rFonts w:ascii="Garamond" w:hAnsi="Garamond"/>
                <w:i/>
                <w:sz w:val="18"/>
                <w:szCs w:val="18"/>
              </w:rPr>
              <w:t>**** Central Bank estimate: a part of the budget balance which depends directly on the business cycles. The latter’s components depend on the GDP gap and revenues and expenditures elasticity coefficients on GDP gap.</w:t>
            </w:r>
          </w:p>
          <w:p w14:paraId="3243CED1" w14:textId="77777777" w:rsidR="00BE7F7F" w:rsidRPr="00E902CD" w:rsidRDefault="00BE7F7F" w:rsidP="00DF2762">
            <w:pPr>
              <w:jc w:val="both"/>
              <w:rPr>
                <w:rFonts w:ascii="Garamond" w:eastAsia="Calibri" w:hAnsi="Garamond" w:cs="Times New Roman"/>
                <w:color w:val="FF0000"/>
                <w:sz w:val="18"/>
                <w:szCs w:val="18"/>
              </w:rPr>
            </w:pPr>
            <w:r w:rsidRPr="00E902CD">
              <w:rPr>
                <w:rFonts w:ascii="Garamond" w:hAnsi="Garamond" w:cs="Times New Roman"/>
                <w:i/>
                <w:sz w:val="18"/>
                <w:szCs w:val="18"/>
              </w:rPr>
              <w:t>***** Central Bank estimate: y/y change in the structural budget balance that reflects a discretionary nature of the fiscal policy (the positive sign denotes fiscal expansion and the negative sign denotes fiscal contraction).</w:t>
            </w:r>
          </w:p>
        </w:tc>
      </w:tr>
    </w:tbl>
    <w:p w14:paraId="3C86A071" w14:textId="77777777" w:rsidR="00A9653E" w:rsidRPr="004E7A10" w:rsidRDefault="00A9653E" w:rsidP="00C43028">
      <w:pPr>
        <w:spacing w:line="360" w:lineRule="auto"/>
        <w:jc w:val="both"/>
        <w:rPr>
          <w:rFonts w:ascii="Garamond" w:hAnsi="Garamond" w:cs="Times New Roman"/>
          <w:b/>
          <w:bCs/>
          <w:iCs/>
          <w:sz w:val="21"/>
          <w:szCs w:val="21"/>
        </w:rPr>
      </w:pPr>
    </w:p>
    <w:p w14:paraId="13C5E898" w14:textId="145224F4" w:rsidR="006C6264" w:rsidRDefault="00A9653E" w:rsidP="00A9653E">
      <w:pPr>
        <w:spacing w:line="360" w:lineRule="auto"/>
        <w:jc w:val="both"/>
        <w:rPr>
          <w:rFonts w:ascii="Garamond" w:hAnsi="Garamond" w:cs="Times New Roman"/>
          <w:b/>
          <w:bCs/>
          <w:iCs/>
          <w:sz w:val="21"/>
          <w:szCs w:val="21"/>
        </w:rPr>
      </w:pPr>
      <w:r w:rsidRPr="004E7A10">
        <w:rPr>
          <w:rFonts w:ascii="Garamond" w:hAnsi="Garamond" w:cs="Times New Roman"/>
          <w:b/>
          <w:bCs/>
          <w:iCs/>
          <w:sz w:val="21"/>
          <w:szCs w:val="21"/>
        </w:rPr>
        <w:t xml:space="preserve">To sum-up, </w:t>
      </w:r>
      <w:r w:rsidR="0080113C" w:rsidRPr="004E7A10">
        <w:rPr>
          <w:rFonts w:ascii="Garamond" w:hAnsi="Garamond" w:cs="Times New Roman"/>
          <w:b/>
          <w:bCs/>
          <w:iCs/>
          <w:sz w:val="21"/>
          <w:szCs w:val="21"/>
        </w:rPr>
        <w:t xml:space="preserve">from the 1st quarter </w:t>
      </w:r>
      <w:r w:rsidR="00976A44">
        <w:rPr>
          <w:rFonts w:ascii="Garamond" w:hAnsi="Garamond" w:cs="Times New Roman"/>
          <w:b/>
          <w:bCs/>
          <w:iCs/>
          <w:sz w:val="21"/>
          <w:szCs w:val="21"/>
        </w:rPr>
        <w:t xml:space="preserve">of </w:t>
      </w:r>
      <w:r w:rsidR="0080113C" w:rsidRPr="004E7A10">
        <w:rPr>
          <w:rFonts w:ascii="Garamond" w:hAnsi="Garamond" w:cs="Times New Roman"/>
          <w:b/>
          <w:bCs/>
          <w:iCs/>
          <w:sz w:val="21"/>
          <w:szCs w:val="21"/>
        </w:rPr>
        <w:t xml:space="preserve">2015 up to the 1st quarter </w:t>
      </w:r>
      <w:r w:rsidR="00976A44">
        <w:rPr>
          <w:rFonts w:ascii="Garamond" w:hAnsi="Garamond" w:cs="Times New Roman"/>
          <w:b/>
          <w:bCs/>
          <w:iCs/>
          <w:sz w:val="21"/>
          <w:szCs w:val="21"/>
        </w:rPr>
        <w:t xml:space="preserve">of </w:t>
      </w:r>
      <w:r w:rsidR="0080113C" w:rsidRPr="004E7A10">
        <w:rPr>
          <w:rFonts w:ascii="Garamond" w:hAnsi="Garamond" w:cs="Times New Roman"/>
          <w:b/>
          <w:bCs/>
          <w:iCs/>
          <w:sz w:val="21"/>
          <w:szCs w:val="21"/>
        </w:rPr>
        <w:t xml:space="preserve">2016 </w:t>
      </w:r>
      <w:r w:rsidRPr="004E7A10">
        <w:rPr>
          <w:rFonts w:ascii="Garamond" w:hAnsi="Garamond" w:cs="Times New Roman"/>
          <w:b/>
          <w:bCs/>
          <w:iCs/>
          <w:sz w:val="21"/>
          <w:szCs w:val="21"/>
        </w:rPr>
        <w:t xml:space="preserve">the combined impact of the fiscal </w:t>
      </w:r>
      <w:proofErr w:type="gramStart"/>
      <w:r w:rsidR="00982A82" w:rsidRPr="004E7A10">
        <w:rPr>
          <w:rFonts w:ascii="Garamond" w:hAnsi="Garamond" w:cs="Times New Roman"/>
          <w:b/>
          <w:bCs/>
          <w:iCs/>
          <w:sz w:val="21"/>
          <w:szCs w:val="21"/>
        </w:rPr>
        <w:t xml:space="preserve">policy </w:t>
      </w:r>
      <w:r w:rsidRPr="004E7A10">
        <w:rPr>
          <w:rFonts w:ascii="Garamond" w:hAnsi="Garamond" w:cs="Times New Roman"/>
          <w:b/>
          <w:bCs/>
          <w:iCs/>
          <w:sz w:val="21"/>
          <w:szCs w:val="21"/>
        </w:rPr>
        <w:t>,</w:t>
      </w:r>
      <w:proofErr w:type="gramEnd"/>
      <w:r w:rsidRPr="004E7A10">
        <w:rPr>
          <w:rFonts w:ascii="Garamond" w:hAnsi="Garamond" w:cs="Times New Roman"/>
          <w:b/>
          <w:bCs/>
          <w:iCs/>
          <w:sz w:val="21"/>
          <w:szCs w:val="21"/>
        </w:rPr>
        <w:t xml:space="preserve"> private demand and labor</w:t>
      </w:r>
      <w:r w:rsidR="00814092" w:rsidRPr="004E7A10">
        <w:rPr>
          <w:rFonts w:ascii="Garamond" w:hAnsi="Garamond" w:cs="Times New Roman"/>
          <w:b/>
          <w:bCs/>
          <w:iCs/>
          <w:sz w:val="21"/>
          <w:szCs w:val="21"/>
        </w:rPr>
        <w:t xml:space="preserve"> </w:t>
      </w:r>
      <w:r w:rsidRPr="004E7A10">
        <w:rPr>
          <w:rFonts w:ascii="Garamond" w:hAnsi="Garamond" w:cs="Times New Roman"/>
          <w:b/>
          <w:bCs/>
          <w:iCs/>
          <w:sz w:val="21"/>
          <w:szCs w:val="21"/>
        </w:rPr>
        <w:t xml:space="preserve">market on domestic prices </w:t>
      </w:r>
      <w:r w:rsidR="00C7028F" w:rsidRPr="004E7A10">
        <w:rPr>
          <w:rFonts w:ascii="Garamond" w:hAnsi="Garamond" w:cs="Times New Roman"/>
          <w:b/>
          <w:bCs/>
          <w:iCs/>
          <w:sz w:val="21"/>
          <w:szCs w:val="21"/>
        </w:rPr>
        <w:t xml:space="preserve">will </w:t>
      </w:r>
      <w:r w:rsidRPr="004E7A10">
        <w:rPr>
          <w:rFonts w:ascii="Garamond" w:hAnsi="Garamond" w:cs="Times New Roman"/>
          <w:b/>
          <w:bCs/>
          <w:iCs/>
          <w:sz w:val="21"/>
          <w:szCs w:val="21"/>
        </w:rPr>
        <w:t xml:space="preserve">be deflationary, </w:t>
      </w:r>
      <w:r w:rsidR="0080113C" w:rsidRPr="004E7A10">
        <w:rPr>
          <w:rFonts w:ascii="Garamond" w:hAnsi="Garamond" w:cs="Times New Roman"/>
          <w:b/>
          <w:bCs/>
          <w:iCs/>
          <w:sz w:val="21"/>
          <w:szCs w:val="21"/>
        </w:rPr>
        <w:t>in the</w:t>
      </w:r>
      <w:r w:rsidR="00241742" w:rsidRPr="004E7A10">
        <w:rPr>
          <w:rFonts w:ascii="Garamond" w:hAnsi="Garamond" w:cs="Times New Roman"/>
          <w:b/>
          <w:bCs/>
          <w:iCs/>
          <w:sz w:val="21"/>
          <w:szCs w:val="21"/>
        </w:rPr>
        <w:t xml:space="preserve"> </w:t>
      </w:r>
      <w:r w:rsidR="0080113C" w:rsidRPr="004E7A10">
        <w:rPr>
          <w:rFonts w:ascii="Garamond" w:hAnsi="Garamond" w:cs="Times New Roman"/>
          <w:b/>
          <w:bCs/>
          <w:iCs/>
          <w:sz w:val="21"/>
          <w:szCs w:val="21"/>
        </w:rPr>
        <w:t xml:space="preserve">range </w:t>
      </w:r>
      <w:r w:rsidR="00EE4491" w:rsidRPr="004E7A10">
        <w:rPr>
          <w:rFonts w:ascii="Garamond" w:hAnsi="Garamond" w:cs="Times New Roman"/>
          <w:b/>
          <w:bCs/>
          <w:iCs/>
          <w:sz w:val="21"/>
          <w:szCs w:val="21"/>
        </w:rPr>
        <w:t xml:space="preserve">of </w:t>
      </w:r>
      <w:r w:rsidR="00BE7F7F">
        <w:rPr>
          <w:rFonts w:ascii="Garamond" w:hAnsi="Garamond" w:cs="Times New Roman"/>
          <w:b/>
          <w:bCs/>
          <w:iCs/>
          <w:sz w:val="21"/>
          <w:szCs w:val="21"/>
        </w:rPr>
        <w:t>0</w:t>
      </w:r>
      <w:r w:rsidRPr="004E7A10">
        <w:rPr>
          <w:rFonts w:ascii="Garamond" w:hAnsi="Garamond" w:cs="Times New Roman"/>
          <w:b/>
          <w:bCs/>
          <w:iCs/>
          <w:sz w:val="21"/>
          <w:szCs w:val="21"/>
        </w:rPr>
        <w:t>.</w:t>
      </w:r>
      <w:r w:rsidR="00BE7F7F">
        <w:rPr>
          <w:rFonts w:ascii="Garamond" w:hAnsi="Garamond" w:cs="Times New Roman"/>
          <w:b/>
          <w:bCs/>
          <w:iCs/>
          <w:sz w:val="21"/>
          <w:szCs w:val="21"/>
        </w:rPr>
        <w:t>4</w:t>
      </w:r>
      <w:r w:rsidRPr="004E7A10">
        <w:rPr>
          <w:rFonts w:ascii="Garamond" w:hAnsi="Garamond" w:cs="Times New Roman"/>
          <w:b/>
          <w:bCs/>
          <w:iCs/>
          <w:sz w:val="21"/>
          <w:szCs w:val="21"/>
        </w:rPr>
        <w:t>-</w:t>
      </w:r>
      <w:r w:rsidR="00BE7F7F">
        <w:rPr>
          <w:rFonts w:ascii="Garamond" w:hAnsi="Garamond" w:cs="Times New Roman"/>
          <w:b/>
          <w:bCs/>
          <w:iCs/>
          <w:sz w:val="21"/>
          <w:szCs w:val="21"/>
        </w:rPr>
        <w:t>0</w:t>
      </w:r>
      <w:r w:rsidRPr="004E7A10">
        <w:rPr>
          <w:rFonts w:ascii="Garamond" w:hAnsi="Garamond" w:cs="Times New Roman"/>
          <w:b/>
          <w:bCs/>
          <w:iCs/>
          <w:sz w:val="21"/>
          <w:szCs w:val="21"/>
        </w:rPr>
        <w:t>.</w:t>
      </w:r>
      <w:r w:rsidR="00BE7F7F">
        <w:rPr>
          <w:rFonts w:ascii="Garamond" w:hAnsi="Garamond" w:cs="Times New Roman"/>
          <w:b/>
          <w:bCs/>
          <w:iCs/>
          <w:sz w:val="21"/>
          <w:szCs w:val="21"/>
        </w:rPr>
        <w:t>5</w:t>
      </w:r>
      <w:r w:rsidRPr="004E7A10">
        <w:rPr>
          <w:rFonts w:ascii="Garamond" w:hAnsi="Garamond" w:cs="Times New Roman"/>
          <w:b/>
          <w:bCs/>
          <w:iCs/>
          <w:sz w:val="21"/>
          <w:szCs w:val="21"/>
        </w:rPr>
        <w:t xml:space="preserve"> pp, </w:t>
      </w:r>
      <w:r w:rsidR="0080113C" w:rsidRPr="004E7A10">
        <w:rPr>
          <w:rFonts w:ascii="Garamond" w:hAnsi="Garamond" w:cs="Times New Roman"/>
          <w:b/>
          <w:bCs/>
          <w:iCs/>
          <w:sz w:val="21"/>
          <w:szCs w:val="21"/>
        </w:rPr>
        <w:t>which will be pr</w:t>
      </w:r>
      <w:r w:rsidR="00244862" w:rsidRPr="004E7A10">
        <w:rPr>
          <w:rFonts w:ascii="Garamond" w:hAnsi="Garamond" w:cs="Times New Roman"/>
          <w:b/>
          <w:bCs/>
          <w:iCs/>
          <w:sz w:val="21"/>
          <w:szCs w:val="21"/>
        </w:rPr>
        <w:t>imarily</w:t>
      </w:r>
      <w:r w:rsidR="0080113C" w:rsidRPr="004E7A10">
        <w:rPr>
          <w:rFonts w:ascii="Garamond" w:hAnsi="Garamond" w:cs="Times New Roman"/>
          <w:b/>
          <w:bCs/>
          <w:iCs/>
          <w:sz w:val="21"/>
          <w:szCs w:val="21"/>
        </w:rPr>
        <w:t xml:space="preserve"> </w:t>
      </w:r>
      <w:r w:rsidR="00976A44">
        <w:rPr>
          <w:rFonts w:ascii="Garamond" w:hAnsi="Garamond" w:cs="Times New Roman"/>
          <w:b/>
          <w:bCs/>
          <w:iCs/>
          <w:sz w:val="21"/>
          <w:szCs w:val="21"/>
        </w:rPr>
        <w:t xml:space="preserve">determioned by </w:t>
      </w:r>
      <w:r w:rsidR="0080113C" w:rsidRPr="004E7A10">
        <w:rPr>
          <w:rFonts w:ascii="Garamond" w:hAnsi="Garamond" w:cs="Times New Roman"/>
          <w:b/>
          <w:bCs/>
          <w:iCs/>
          <w:sz w:val="21"/>
          <w:szCs w:val="21"/>
        </w:rPr>
        <w:t xml:space="preserve">deflationary impact of private spending. </w:t>
      </w:r>
      <w:r w:rsidR="00701AA0" w:rsidRPr="004E7A10">
        <w:rPr>
          <w:rFonts w:ascii="Garamond" w:hAnsi="Garamond" w:cs="Times New Roman"/>
          <w:b/>
          <w:bCs/>
          <w:iCs/>
          <w:sz w:val="21"/>
          <w:szCs w:val="21"/>
        </w:rPr>
        <w:t>Also, g</w:t>
      </w:r>
      <w:r w:rsidR="0080113C" w:rsidRPr="004E7A10">
        <w:rPr>
          <w:rFonts w:ascii="Garamond" w:hAnsi="Garamond" w:cs="Times New Roman"/>
          <w:b/>
          <w:bCs/>
          <w:iCs/>
          <w:sz w:val="21"/>
          <w:szCs w:val="21"/>
        </w:rPr>
        <w:t xml:space="preserve">iven the </w:t>
      </w:r>
      <w:r w:rsidR="00701AA0" w:rsidRPr="004E7A10">
        <w:rPr>
          <w:rFonts w:ascii="Garamond" w:hAnsi="Garamond" w:cs="Times New Roman"/>
          <w:b/>
          <w:bCs/>
          <w:iCs/>
          <w:sz w:val="21"/>
          <w:szCs w:val="21"/>
        </w:rPr>
        <w:t>0.</w:t>
      </w:r>
      <w:r w:rsidR="006C6264">
        <w:rPr>
          <w:rFonts w:ascii="Garamond" w:hAnsi="Garamond" w:cs="Times New Roman"/>
          <w:b/>
          <w:bCs/>
          <w:iCs/>
          <w:sz w:val="21"/>
          <w:szCs w:val="21"/>
        </w:rPr>
        <w:t>2</w:t>
      </w:r>
      <w:r w:rsidR="00701AA0" w:rsidRPr="004E7A10">
        <w:rPr>
          <w:rFonts w:ascii="Garamond" w:hAnsi="Garamond" w:cs="Times New Roman"/>
          <w:b/>
          <w:bCs/>
          <w:iCs/>
          <w:sz w:val="21"/>
          <w:szCs w:val="21"/>
        </w:rPr>
        <w:t>-0.</w:t>
      </w:r>
      <w:r w:rsidR="006C6264">
        <w:rPr>
          <w:rFonts w:ascii="Garamond" w:hAnsi="Garamond" w:cs="Times New Roman"/>
          <w:b/>
          <w:bCs/>
          <w:iCs/>
          <w:sz w:val="21"/>
          <w:szCs w:val="21"/>
        </w:rPr>
        <w:t>3</w:t>
      </w:r>
      <w:r w:rsidR="00701AA0" w:rsidRPr="004E7A10">
        <w:rPr>
          <w:rFonts w:ascii="Garamond" w:hAnsi="Garamond" w:cs="Times New Roman"/>
          <w:b/>
          <w:bCs/>
          <w:iCs/>
          <w:sz w:val="21"/>
          <w:szCs w:val="21"/>
        </w:rPr>
        <w:t xml:space="preserve"> percentage point </w:t>
      </w:r>
      <w:r w:rsidR="006C6264">
        <w:rPr>
          <w:rFonts w:ascii="Garamond" w:hAnsi="Garamond" w:cs="Times New Roman"/>
          <w:b/>
          <w:bCs/>
          <w:iCs/>
          <w:sz w:val="21"/>
          <w:szCs w:val="21"/>
        </w:rPr>
        <w:t>de</w:t>
      </w:r>
      <w:r w:rsidR="0080113C" w:rsidRPr="004E7A10">
        <w:rPr>
          <w:rFonts w:ascii="Garamond" w:hAnsi="Garamond" w:cs="Times New Roman"/>
          <w:b/>
          <w:bCs/>
          <w:iCs/>
          <w:sz w:val="21"/>
          <w:szCs w:val="21"/>
        </w:rPr>
        <w:t>flationary impact of net external demand</w:t>
      </w:r>
      <w:r w:rsidR="00701AA0" w:rsidRPr="004E7A10">
        <w:rPr>
          <w:rFonts w:ascii="Garamond" w:hAnsi="Garamond" w:cs="Times New Roman"/>
          <w:b/>
          <w:bCs/>
          <w:iCs/>
          <w:sz w:val="21"/>
          <w:szCs w:val="21"/>
        </w:rPr>
        <w:t>, one may conclude</w:t>
      </w:r>
      <w:r w:rsidR="0080113C" w:rsidRPr="004E7A10">
        <w:rPr>
          <w:rFonts w:ascii="Garamond" w:hAnsi="Garamond" w:cs="Times New Roman"/>
          <w:b/>
          <w:bCs/>
          <w:iCs/>
          <w:sz w:val="21"/>
          <w:szCs w:val="21"/>
        </w:rPr>
        <w:t xml:space="preserve"> that </w:t>
      </w:r>
      <w:r w:rsidR="006C6264">
        <w:rPr>
          <w:rFonts w:ascii="Garamond" w:hAnsi="Garamond" w:cs="Times New Roman"/>
          <w:b/>
          <w:bCs/>
          <w:iCs/>
          <w:sz w:val="21"/>
          <w:szCs w:val="21"/>
        </w:rPr>
        <w:t xml:space="preserve">overall </w:t>
      </w:r>
      <w:r w:rsidR="0080113C" w:rsidRPr="004E7A10">
        <w:rPr>
          <w:rFonts w:ascii="Garamond" w:hAnsi="Garamond" w:cs="Times New Roman"/>
          <w:b/>
          <w:bCs/>
          <w:iCs/>
          <w:sz w:val="21"/>
          <w:szCs w:val="21"/>
        </w:rPr>
        <w:t>aggregate demand and labor market developments in the above</w:t>
      </w:r>
      <w:r w:rsidR="00701AA0" w:rsidRPr="004E7A10">
        <w:rPr>
          <w:rFonts w:ascii="Garamond" w:hAnsi="Garamond" w:cs="Times New Roman"/>
          <w:b/>
          <w:bCs/>
          <w:iCs/>
          <w:sz w:val="21"/>
          <w:szCs w:val="21"/>
        </w:rPr>
        <w:t>-mentioned</w:t>
      </w:r>
      <w:r w:rsidR="0080113C" w:rsidRPr="004E7A10">
        <w:rPr>
          <w:rFonts w:ascii="Garamond" w:hAnsi="Garamond" w:cs="Times New Roman"/>
          <w:b/>
          <w:bCs/>
          <w:iCs/>
          <w:sz w:val="21"/>
          <w:szCs w:val="21"/>
        </w:rPr>
        <w:t xml:space="preserve"> period will create </w:t>
      </w:r>
      <w:r w:rsidR="006C6264">
        <w:rPr>
          <w:rFonts w:ascii="Garamond" w:hAnsi="Garamond" w:cs="Times New Roman"/>
          <w:b/>
          <w:bCs/>
          <w:iCs/>
          <w:sz w:val="21"/>
          <w:szCs w:val="21"/>
        </w:rPr>
        <w:t>a</w:t>
      </w:r>
      <w:r w:rsidR="0080113C" w:rsidRPr="004E7A10">
        <w:rPr>
          <w:rFonts w:ascii="Garamond" w:hAnsi="Garamond" w:cs="Times New Roman"/>
          <w:b/>
          <w:bCs/>
          <w:iCs/>
          <w:sz w:val="21"/>
          <w:szCs w:val="21"/>
        </w:rPr>
        <w:t xml:space="preserve">n average </w:t>
      </w:r>
      <w:r w:rsidR="006C6264">
        <w:rPr>
          <w:rFonts w:ascii="Garamond" w:hAnsi="Garamond" w:cs="Times New Roman"/>
          <w:b/>
          <w:bCs/>
          <w:iCs/>
          <w:sz w:val="21"/>
          <w:szCs w:val="21"/>
        </w:rPr>
        <w:t>0</w:t>
      </w:r>
      <w:r w:rsidR="0080113C" w:rsidRPr="004E7A10">
        <w:rPr>
          <w:rFonts w:ascii="Garamond" w:hAnsi="Garamond" w:cs="Times New Roman"/>
          <w:b/>
          <w:bCs/>
          <w:iCs/>
          <w:sz w:val="21"/>
          <w:szCs w:val="21"/>
        </w:rPr>
        <w:t>.</w:t>
      </w:r>
      <w:r w:rsidR="006C6264">
        <w:rPr>
          <w:rFonts w:ascii="Garamond" w:hAnsi="Garamond" w:cs="Times New Roman"/>
          <w:b/>
          <w:bCs/>
          <w:iCs/>
          <w:sz w:val="21"/>
          <w:szCs w:val="21"/>
        </w:rPr>
        <w:t>6</w:t>
      </w:r>
      <w:r w:rsidR="0080113C" w:rsidRPr="004E7A10">
        <w:rPr>
          <w:rFonts w:ascii="Garamond" w:hAnsi="Garamond" w:cs="Times New Roman"/>
          <w:b/>
          <w:bCs/>
          <w:iCs/>
          <w:sz w:val="21"/>
          <w:szCs w:val="21"/>
        </w:rPr>
        <w:t>-</w:t>
      </w:r>
      <w:r w:rsidR="006C6264">
        <w:rPr>
          <w:rFonts w:ascii="Garamond" w:hAnsi="Garamond" w:cs="Times New Roman"/>
          <w:b/>
          <w:bCs/>
          <w:iCs/>
          <w:sz w:val="21"/>
          <w:szCs w:val="21"/>
        </w:rPr>
        <w:t>0</w:t>
      </w:r>
      <w:r w:rsidR="0080113C" w:rsidRPr="004E7A10">
        <w:rPr>
          <w:rFonts w:ascii="Garamond" w:hAnsi="Garamond" w:cs="Times New Roman"/>
          <w:b/>
          <w:bCs/>
          <w:iCs/>
          <w:sz w:val="21"/>
          <w:szCs w:val="21"/>
        </w:rPr>
        <w:t>.</w:t>
      </w:r>
      <w:r w:rsidR="006C6264">
        <w:rPr>
          <w:rFonts w:ascii="Garamond" w:hAnsi="Garamond" w:cs="Times New Roman"/>
          <w:b/>
          <w:bCs/>
          <w:iCs/>
          <w:sz w:val="21"/>
          <w:szCs w:val="21"/>
        </w:rPr>
        <w:t>8</w:t>
      </w:r>
      <w:r w:rsidR="0080113C" w:rsidRPr="004E7A10">
        <w:rPr>
          <w:rFonts w:ascii="Garamond" w:hAnsi="Garamond" w:cs="Times New Roman"/>
          <w:b/>
          <w:bCs/>
          <w:iCs/>
          <w:sz w:val="21"/>
          <w:szCs w:val="21"/>
        </w:rPr>
        <w:t xml:space="preserve"> percentage point deflationary pressures in the consumer market.</w:t>
      </w:r>
      <w:r w:rsidR="00701AA0" w:rsidRPr="004E7A10">
        <w:rPr>
          <w:rFonts w:ascii="Garamond" w:hAnsi="Garamond" w:cs="Times New Roman"/>
          <w:b/>
          <w:bCs/>
          <w:iCs/>
          <w:sz w:val="21"/>
          <w:szCs w:val="21"/>
        </w:rPr>
        <w:t xml:space="preserve"> </w:t>
      </w:r>
    </w:p>
    <w:p w14:paraId="2A78C505" w14:textId="77777777" w:rsidR="00A9653E" w:rsidRPr="004E7A10" w:rsidRDefault="00701AA0" w:rsidP="00A9653E">
      <w:pPr>
        <w:spacing w:line="360" w:lineRule="auto"/>
        <w:jc w:val="both"/>
        <w:rPr>
          <w:rFonts w:ascii="Garamond" w:hAnsi="Garamond" w:cs="Times New Roman"/>
          <w:b/>
          <w:bCs/>
          <w:iCs/>
          <w:sz w:val="21"/>
          <w:szCs w:val="21"/>
        </w:rPr>
      </w:pPr>
      <w:r w:rsidRPr="004E7A10">
        <w:rPr>
          <w:rFonts w:ascii="Garamond" w:hAnsi="Garamond" w:cs="Times New Roman"/>
          <w:b/>
          <w:bCs/>
          <w:iCs/>
          <w:sz w:val="21"/>
          <w:szCs w:val="21"/>
        </w:rPr>
        <w:t xml:space="preserve">Starting from the second half of 2016 up until the end of the forecast horizon, </w:t>
      </w:r>
      <w:r w:rsidR="00735665" w:rsidRPr="004E7A10">
        <w:rPr>
          <w:rFonts w:ascii="Garamond" w:hAnsi="Garamond" w:cs="Times New Roman"/>
          <w:b/>
          <w:bCs/>
          <w:iCs/>
          <w:sz w:val="21"/>
          <w:szCs w:val="21"/>
        </w:rPr>
        <w:t xml:space="preserve">the impact of </w:t>
      </w:r>
      <w:r w:rsidR="00C03B75">
        <w:rPr>
          <w:rFonts w:ascii="Garamond" w:hAnsi="Garamond" w:cs="Times New Roman"/>
          <w:b/>
          <w:bCs/>
          <w:iCs/>
          <w:sz w:val="21"/>
          <w:szCs w:val="21"/>
        </w:rPr>
        <w:t xml:space="preserve">overall </w:t>
      </w:r>
      <w:r w:rsidRPr="004E7A10">
        <w:rPr>
          <w:rFonts w:ascii="Garamond" w:hAnsi="Garamond" w:cs="Times New Roman"/>
          <w:b/>
          <w:bCs/>
          <w:iCs/>
          <w:sz w:val="21"/>
          <w:szCs w:val="21"/>
        </w:rPr>
        <w:t xml:space="preserve">aggregate </w:t>
      </w:r>
      <w:r w:rsidR="00735665" w:rsidRPr="004E7A10">
        <w:rPr>
          <w:rFonts w:ascii="Garamond" w:hAnsi="Garamond" w:cs="Times New Roman"/>
          <w:b/>
          <w:bCs/>
          <w:iCs/>
          <w:sz w:val="21"/>
          <w:szCs w:val="21"/>
        </w:rPr>
        <w:t>demand and labor market on the inflation is estimated to be neutral.</w:t>
      </w:r>
    </w:p>
    <w:p w14:paraId="762B1453" w14:textId="77777777" w:rsidR="00A9653E" w:rsidRPr="004E7A10" w:rsidRDefault="00A9653E" w:rsidP="00A9653E">
      <w:pPr>
        <w:spacing w:line="360" w:lineRule="auto"/>
        <w:jc w:val="both"/>
        <w:rPr>
          <w:rFonts w:ascii="Garamond" w:hAnsi="Garamond" w:cs="Times New Roman"/>
          <w:b/>
          <w:bCs/>
          <w:iCs/>
          <w:color w:val="000000"/>
          <w:sz w:val="21"/>
          <w:szCs w:val="21"/>
        </w:rPr>
      </w:pPr>
      <w:r w:rsidRPr="004E7A10">
        <w:rPr>
          <w:rFonts w:ascii="Garamond" w:hAnsi="Garamond" w:cs="Times New Roman"/>
          <w:b/>
          <w:bCs/>
          <w:iCs/>
          <w:color w:val="000000"/>
          <w:sz w:val="21"/>
          <w:szCs w:val="21"/>
        </w:rPr>
        <w:t>2.3 Inflation forecasts and monetary policy directions in 3-year forecast horizon</w:t>
      </w:r>
    </w:p>
    <w:p w14:paraId="6DB7A73D" w14:textId="77777777" w:rsidR="00553B74" w:rsidRPr="004E7A10" w:rsidRDefault="00B2624B" w:rsidP="00A9653E">
      <w:pPr>
        <w:spacing w:line="360" w:lineRule="auto"/>
        <w:jc w:val="both"/>
        <w:rPr>
          <w:rFonts w:ascii="Garamond" w:hAnsi="Garamond" w:cs="Times New Roman"/>
          <w:b/>
          <w:iCs/>
          <w:color w:val="0070C0"/>
          <w:sz w:val="18"/>
          <w:szCs w:val="18"/>
        </w:rPr>
      </w:pPr>
      <w:r w:rsidRPr="004E7A10">
        <w:rPr>
          <w:rFonts w:ascii="Garamond" w:hAnsi="Garamond" w:cs="Times New Roman"/>
          <w:b/>
          <w:iCs/>
          <w:color w:val="0070C0"/>
          <w:sz w:val="18"/>
          <w:szCs w:val="18"/>
        </w:rPr>
        <w:t xml:space="preserve">In the </w:t>
      </w:r>
      <w:r w:rsidR="002613A0">
        <w:rPr>
          <w:rFonts w:ascii="Garamond" w:hAnsi="Garamond" w:cs="Times New Roman"/>
          <w:b/>
          <w:iCs/>
          <w:color w:val="0070C0"/>
          <w:sz w:val="18"/>
          <w:szCs w:val="18"/>
        </w:rPr>
        <w:t>1st</w:t>
      </w:r>
      <w:r w:rsidRPr="004E7A10">
        <w:rPr>
          <w:rFonts w:ascii="Garamond" w:hAnsi="Garamond" w:cs="Times New Roman"/>
          <w:b/>
          <w:iCs/>
          <w:color w:val="0070C0"/>
          <w:sz w:val="18"/>
          <w:szCs w:val="18"/>
        </w:rPr>
        <w:t xml:space="preserve"> quarter of 201</w:t>
      </w:r>
      <w:r w:rsidR="002613A0">
        <w:rPr>
          <w:rFonts w:ascii="Garamond" w:hAnsi="Garamond" w:cs="Times New Roman"/>
          <w:b/>
          <w:iCs/>
          <w:color w:val="0070C0"/>
          <w:sz w:val="18"/>
          <w:szCs w:val="18"/>
        </w:rPr>
        <w:t>5</w:t>
      </w:r>
      <w:r w:rsidRPr="004E7A10">
        <w:rPr>
          <w:rFonts w:ascii="Garamond" w:hAnsi="Garamond" w:cs="Times New Roman"/>
          <w:b/>
          <w:iCs/>
          <w:color w:val="0070C0"/>
          <w:sz w:val="18"/>
          <w:szCs w:val="18"/>
        </w:rPr>
        <w:t>, global economic growth persisted at a slow pace</w:t>
      </w:r>
      <w:r w:rsidR="002613A0">
        <w:rPr>
          <w:rFonts w:ascii="Garamond" w:hAnsi="Garamond" w:cs="Times New Roman"/>
          <w:b/>
          <w:iCs/>
          <w:color w:val="0070C0"/>
          <w:sz w:val="18"/>
          <w:szCs w:val="18"/>
        </w:rPr>
        <w:t xml:space="preserve"> while </w:t>
      </w:r>
      <w:r w:rsidRPr="004E7A10">
        <w:rPr>
          <w:rFonts w:ascii="Garamond" w:hAnsi="Garamond" w:cs="Times New Roman"/>
          <w:b/>
          <w:iCs/>
          <w:color w:val="0070C0"/>
          <w:sz w:val="18"/>
          <w:szCs w:val="18"/>
        </w:rPr>
        <w:t xml:space="preserve">the world commodity and food product markets saw </w:t>
      </w:r>
      <w:r w:rsidR="002613A0">
        <w:rPr>
          <w:rFonts w:ascii="Garamond" w:hAnsi="Garamond" w:cs="Times New Roman"/>
          <w:b/>
          <w:iCs/>
          <w:color w:val="0070C0"/>
          <w:sz w:val="18"/>
          <w:szCs w:val="18"/>
        </w:rPr>
        <w:t>d</w:t>
      </w:r>
      <w:r w:rsidRPr="004E7A10">
        <w:rPr>
          <w:rFonts w:ascii="Garamond" w:hAnsi="Garamond" w:cs="Times New Roman"/>
          <w:b/>
          <w:iCs/>
          <w:color w:val="0070C0"/>
          <w:sz w:val="18"/>
          <w:szCs w:val="18"/>
        </w:rPr>
        <w:t xml:space="preserve">eflationary patterns… </w:t>
      </w:r>
    </w:p>
    <w:p w14:paraId="3997CF5D" w14:textId="77777777" w:rsidR="00BC3AA7" w:rsidRPr="004E7A10" w:rsidRDefault="00BE5C5D" w:rsidP="00A9653E">
      <w:pPr>
        <w:spacing w:line="360" w:lineRule="auto"/>
        <w:jc w:val="both"/>
        <w:rPr>
          <w:rFonts w:ascii="Garamond" w:hAnsi="Garamond" w:cs="Times New Roman"/>
          <w:iCs/>
          <w:sz w:val="21"/>
          <w:szCs w:val="21"/>
        </w:rPr>
      </w:pPr>
      <w:r w:rsidRPr="004E7A10">
        <w:rPr>
          <w:rFonts w:ascii="Garamond" w:hAnsi="Garamond" w:cs="Times New Roman"/>
          <w:iCs/>
          <w:sz w:val="21"/>
          <w:szCs w:val="21"/>
        </w:rPr>
        <w:t xml:space="preserve">In the </w:t>
      </w:r>
      <w:r w:rsidR="00C03B75">
        <w:rPr>
          <w:rFonts w:ascii="Garamond" w:hAnsi="Garamond" w:cs="Times New Roman"/>
          <w:iCs/>
          <w:sz w:val="21"/>
          <w:szCs w:val="21"/>
        </w:rPr>
        <w:t>1st</w:t>
      </w:r>
      <w:r w:rsidRPr="004E7A10">
        <w:rPr>
          <w:rFonts w:ascii="Garamond" w:hAnsi="Garamond" w:cs="Times New Roman"/>
          <w:iCs/>
          <w:sz w:val="21"/>
          <w:szCs w:val="21"/>
        </w:rPr>
        <w:t xml:space="preserve"> quarter of 201</w:t>
      </w:r>
      <w:r w:rsidR="00C03B75">
        <w:rPr>
          <w:rFonts w:ascii="Garamond" w:hAnsi="Garamond" w:cs="Times New Roman"/>
          <w:iCs/>
          <w:sz w:val="21"/>
          <w:szCs w:val="21"/>
        </w:rPr>
        <w:t>5</w:t>
      </w:r>
      <w:r w:rsidRPr="004E7A10">
        <w:rPr>
          <w:rFonts w:ascii="Garamond" w:hAnsi="Garamond" w:cs="Times New Roman"/>
          <w:iCs/>
          <w:sz w:val="21"/>
          <w:szCs w:val="21"/>
        </w:rPr>
        <w:t xml:space="preserve">, </w:t>
      </w:r>
      <w:r w:rsidRPr="00FD01FD">
        <w:rPr>
          <w:rFonts w:ascii="Garamond" w:hAnsi="Garamond" w:cs="Times New Roman"/>
          <w:b/>
          <w:iCs/>
          <w:sz w:val="21"/>
          <w:szCs w:val="21"/>
        </w:rPr>
        <w:t>global economic growth persisted at a slow pace</w:t>
      </w:r>
      <w:r w:rsidR="00FD01FD">
        <w:rPr>
          <w:rFonts w:ascii="Garamond" w:hAnsi="Garamond" w:cs="Times New Roman"/>
          <w:iCs/>
          <w:sz w:val="21"/>
          <w:szCs w:val="21"/>
        </w:rPr>
        <w:t xml:space="preserve">. This, coupled with </w:t>
      </w:r>
      <w:r w:rsidR="00FD01FD" w:rsidRPr="00FD01FD">
        <w:rPr>
          <w:rFonts w:ascii="Garamond" w:hAnsi="Garamond" w:cs="Times New Roman"/>
          <w:iCs/>
          <w:sz w:val="21"/>
          <w:szCs w:val="21"/>
        </w:rPr>
        <w:t>increas</w:t>
      </w:r>
      <w:r w:rsidR="00FD01FD">
        <w:rPr>
          <w:rFonts w:ascii="Garamond" w:hAnsi="Garamond" w:cs="Times New Roman"/>
          <w:iCs/>
          <w:sz w:val="21"/>
          <w:szCs w:val="21"/>
        </w:rPr>
        <w:t>ed</w:t>
      </w:r>
      <w:r w:rsidR="00FD01FD" w:rsidRPr="00FD01FD">
        <w:rPr>
          <w:rFonts w:ascii="Garamond" w:hAnsi="Garamond" w:cs="Times New Roman"/>
          <w:iCs/>
          <w:sz w:val="21"/>
          <w:szCs w:val="21"/>
        </w:rPr>
        <w:t xml:space="preserve"> supply factors and expectations </w:t>
      </w:r>
      <w:r w:rsidR="00FD01FD">
        <w:rPr>
          <w:rFonts w:ascii="Garamond" w:hAnsi="Garamond" w:cs="Times New Roman"/>
          <w:iCs/>
          <w:sz w:val="21"/>
          <w:szCs w:val="21"/>
        </w:rPr>
        <w:t xml:space="preserve">in the </w:t>
      </w:r>
      <w:r w:rsidR="00FD01FD" w:rsidRPr="00FD01FD">
        <w:rPr>
          <w:rFonts w:ascii="Garamond" w:hAnsi="Garamond" w:cs="Times New Roman"/>
          <w:iCs/>
          <w:sz w:val="21"/>
          <w:szCs w:val="21"/>
        </w:rPr>
        <w:t xml:space="preserve">commodity markets, as well as </w:t>
      </w:r>
      <w:r w:rsidR="00FD01FD">
        <w:rPr>
          <w:rFonts w:ascii="Garamond" w:hAnsi="Garamond" w:cs="Times New Roman"/>
          <w:iCs/>
          <w:sz w:val="21"/>
          <w:szCs w:val="21"/>
        </w:rPr>
        <w:t xml:space="preserve">with </w:t>
      </w:r>
      <w:r w:rsidR="00FD01FD" w:rsidRPr="00FD01FD">
        <w:rPr>
          <w:rFonts w:ascii="Garamond" w:hAnsi="Garamond" w:cs="Times New Roman"/>
          <w:iCs/>
          <w:sz w:val="21"/>
          <w:szCs w:val="21"/>
        </w:rPr>
        <w:t>the appreciation of the U</w:t>
      </w:r>
      <w:r w:rsidR="00FD01FD">
        <w:rPr>
          <w:rFonts w:ascii="Garamond" w:hAnsi="Garamond" w:cs="Times New Roman"/>
          <w:iCs/>
          <w:sz w:val="21"/>
          <w:szCs w:val="21"/>
        </w:rPr>
        <w:t>.</w:t>
      </w:r>
      <w:r w:rsidR="00FD01FD" w:rsidRPr="00FD01FD">
        <w:rPr>
          <w:rFonts w:ascii="Garamond" w:hAnsi="Garamond" w:cs="Times New Roman"/>
          <w:iCs/>
          <w:sz w:val="21"/>
          <w:szCs w:val="21"/>
        </w:rPr>
        <w:t>S</w:t>
      </w:r>
      <w:r w:rsidR="00FD01FD">
        <w:rPr>
          <w:rFonts w:ascii="Garamond" w:hAnsi="Garamond" w:cs="Times New Roman"/>
          <w:iCs/>
          <w:sz w:val="21"/>
          <w:szCs w:val="21"/>
        </w:rPr>
        <w:t>.</w:t>
      </w:r>
      <w:r w:rsidR="00FD01FD" w:rsidRPr="00FD01FD">
        <w:rPr>
          <w:rFonts w:ascii="Garamond" w:hAnsi="Garamond" w:cs="Times New Roman"/>
          <w:iCs/>
          <w:sz w:val="21"/>
          <w:szCs w:val="21"/>
        </w:rPr>
        <w:t xml:space="preserve"> dollar, </w:t>
      </w:r>
      <w:r w:rsidR="00FD01FD" w:rsidRPr="00FD01FD">
        <w:rPr>
          <w:rFonts w:ascii="Garamond" w:hAnsi="Garamond" w:cs="Times New Roman"/>
          <w:b/>
          <w:iCs/>
          <w:sz w:val="21"/>
          <w:szCs w:val="21"/>
        </w:rPr>
        <w:t xml:space="preserve">has led to deflationary patterns in </w:t>
      </w:r>
      <w:r w:rsidR="002613A0">
        <w:rPr>
          <w:rFonts w:ascii="Garamond" w:hAnsi="Garamond" w:cs="Times New Roman"/>
          <w:b/>
          <w:iCs/>
          <w:sz w:val="21"/>
          <w:szCs w:val="21"/>
        </w:rPr>
        <w:t xml:space="preserve">basic commodity </w:t>
      </w:r>
      <w:r w:rsidR="00FD01FD" w:rsidRPr="00FD01FD">
        <w:rPr>
          <w:rFonts w:ascii="Garamond" w:hAnsi="Garamond" w:cs="Times New Roman"/>
          <w:b/>
          <w:iCs/>
          <w:sz w:val="21"/>
          <w:szCs w:val="21"/>
        </w:rPr>
        <w:t>and food product markets of the world</w:t>
      </w:r>
      <w:r w:rsidR="00FD01FD">
        <w:rPr>
          <w:rFonts w:ascii="Garamond" w:hAnsi="Garamond" w:cs="Times New Roman"/>
          <w:iCs/>
          <w:sz w:val="21"/>
          <w:szCs w:val="21"/>
        </w:rPr>
        <w:t>.</w:t>
      </w:r>
      <w:r w:rsidR="006745E6" w:rsidRPr="004E7A10">
        <w:rPr>
          <w:rFonts w:ascii="Garamond" w:hAnsi="Garamond" w:cs="Times New Roman"/>
          <w:iCs/>
          <w:sz w:val="21"/>
          <w:szCs w:val="21"/>
        </w:rPr>
        <w:t xml:space="preserve"> </w:t>
      </w:r>
      <w:r w:rsidR="003C5C11" w:rsidRPr="004E7A10">
        <w:rPr>
          <w:rFonts w:ascii="Garamond" w:hAnsi="Garamond" w:cs="Times New Roman"/>
          <w:iCs/>
          <w:sz w:val="21"/>
          <w:szCs w:val="21"/>
        </w:rPr>
        <w:t xml:space="preserve"> </w:t>
      </w:r>
    </w:p>
    <w:p w14:paraId="0FFAF489" w14:textId="77777777" w:rsidR="00CA6C52" w:rsidRDefault="00A9653E" w:rsidP="00BC3AA7">
      <w:pPr>
        <w:spacing w:line="360" w:lineRule="auto"/>
        <w:jc w:val="both"/>
        <w:rPr>
          <w:rFonts w:ascii="Garamond" w:hAnsi="Garamond" w:cs="Times New Roman"/>
          <w:iCs/>
          <w:sz w:val="21"/>
          <w:szCs w:val="21"/>
        </w:rPr>
      </w:pPr>
      <w:r w:rsidRPr="004E7A10">
        <w:rPr>
          <w:rFonts w:ascii="Garamond" w:hAnsi="Garamond" w:cs="Times New Roman"/>
          <w:iCs/>
          <w:sz w:val="21"/>
          <w:szCs w:val="21"/>
        </w:rPr>
        <w:t xml:space="preserve">In the forecast horizon, </w:t>
      </w:r>
      <w:r w:rsidR="00BC3AA7" w:rsidRPr="004E7A10">
        <w:rPr>
          <w:rFonts w:ascii="Garamond" w:hAnsi="Garamond" w:cs="Times New Roman"/>
          <w:b/>
          <w:iCs/>
          <w:sz w:val="21"/>
          <w:szCs w:val="21"/>
        </w:rPr>
        <w:t xml:space="preserve">global </w:t>
      </w:r>
      <w:r w:rsidRPr="004E7A10">
        <w:rPr>
          <w:rFonts w:ascii="Garamond" w:hAnsi="Garamond" w:cs="Times New Roman"/>
          <w:b/>
          <w:iCs/>
          <w:sz w:val="21"/>
          <w:szCs w:val="21"/>
        </w:rPr>
        <w:t>econom</w:t>
      </w:r>
      <w:r w:rsidR="00A75DE6" w:rsidRPr="004E7A10">
        <w:rPr>
          <w:rFonts w:ascii="Garamond" w:hAnsi="Garamond" w:cs="Times New Roman"/>
          <w:b/>
          <w:iCs/>
          <w:sz w:val="21"/>
          <w:szCs w:val="21"/>
        </w:rPr>
        <w:t xml:space="preserve">ic growth </w:t>
      </w:r>
      <w:r w:rsidR="00FD01FD">
        <w:rPr>
          <w:rFonts w:ascii="Garamond" w:hAnsi="Garamond" w:cs="Times New Roman"/>
          <w:b/>
          <w:iCs/>
          <w:sz w:val="21"/>
          <w:szCs w:val="21"/>
        </w:rPr>
        <w:t xml:space="preserve">will continue at </w:t>
      </w:r>
      <w:r w:rsidR="00CA6C52">
        <w:rPr>
          <w:rFonts w:ascii="Garamond" w:hAnsi="Garamond" w:cs="Times New Roman"/>
          <w:b/>
          <w:iCs/>
          <w:sz w:val="21"/>
          <w:szCs w:val="21"/>
        </w:rPr>
        <w:t xml:space="preserve">a </w:t>
      </w:r>
      <w:r w:rsidR="00FD01FD">
        <w:rPr>
          <w:rFonts w:ascii="Garamond" w:hAnsi="Garamond" w:cs="Times New Roman"/>
          <w:b/>
          <w:iCs/>
          <w:sz w:val="21"/>
          <w:szCs w:val="21"/>
        </w:rPr>
        <w:t xml:space="preserve">slow </w:t>
      </w:r>
      <w:r w:rsidR="00CA6C52">
        <w:rPr>
          <w:rFonts w:ascii="Garamond" w:hAnsi="Garamond" w:cs="Times New Roman"/>
          <w:b/>
          <w:iCs/>
          <w:sz w:val="21"/>
          <w:szCs w:val="21"/>
        </w:rPr>
        <w:t>pace</w:t>
      </w:r>
      <w:r w:rsidR="00CA6C52">
        <w:rPr>
          <w:rFonts w:ascii="Garamond" w:hAnsi="Garamond" w:cs="Times New Roman"/>
          <w:iCs/>
          <w:sz w:val="21"/>
          <w:szCs w:val="21"/>
        </w:rPr>
        <w:t>,</w:t>
      </w:r>
      <w:r w:rsidR="00BC3AA7" w:rsidRPr="004E7A10">
        <w:rPr>
          <w:rFonts w:ascii="Garamond" w:hAnsi="Garamond" w:cs="Times New Roman"/>
          <w:iCs/>
          <w:sz w:val="21"/>
          <w:szCs w:val="21"/>
        </w:rPr>
        <w:t xml:space="preserve"> </w:t>
      </w:r>
      <w:r w:rsidR="00CA6C52">
        <w:rPr>
          <w:rFonts w:ascii="Garamond" w:hAnsi="Garamond" w:cs="Times New Roman"/>
          <w:iCs/>
          <w:sz w:val="21"/>
          <w:szCs w:val="21"/>
        </w:rPr>
        <w:t xml:space="preserve">which </w:t>
      </w:r>
      <w:r w:rsidR="00BC3AA7" w:rsidRPr="004E7A10">
        <w:rPr>
          <w:rFonts w:ascii="Garamond" w:hAnsi="Garamond" w:cs="Times New Roman"/>
          <w:iCs/>
          <w:sz w:val="21"/>
          <w:szCs w:val="21"/>
        </w:rPr>
        <w:t xml:space="preserve">will be observed </w:t>
      </w:r>
      <w:r w:rsidR="00CA6C52">
        <w:rPr>
          <w:rFonts w:ascii="Garamond" w:hAnsi="Garamond" w:cs="Times New Roman"/>
          <w:iCs/>
          <w:sz w:val="21"/>
          <w:szCs w:val="21"/>
        </w:rPr>
        <w:t xml:space="preserve">mostly </w:t>
      </w:r>
      <w:r w:rsidR="00BC3AA7" w:rsidRPr="004E7A10">
        <w:rPr>
          <w:rFonts w:ascii="Garamond" w:hAnsi="Garamond" w:cs="Times New Roman"/>
          <w:iCs/>
          <w:sz w:val="21"/>
          <w:szCs w:val="21"/>
        </w:rPr>
        <w:t xml:space="preserve">in developing countries, </w:t>
      </w:r>
      <w:r w:rsidR="00A75DE6" w:rsidRPr="004E7A10">
        <w:rPr>
          <w:rFonts w:ascii="Garamond" w:hAnsi="Garamond" w:cs="Times New Roman"/>
          <w:iCs/>
          <w:sz w:val="21"/>
          <w:szCs w:val="21"/>
        </w:rPr>
        <w:t>w</w:t>
      </w:r>
      <w:r w:rsidR="00CA6C52">
        <w:rPr>
          <w:rFonts w:ascii="Garamond" w:hAnsi="Garamond" w:cs="Times New Roman"/>
          <w:iCs/>
          <w:sz w:val="21"/>
          <w:szCs w:val="21"/>
        </w:rPr>
        <w:t xml:space="preserve">hereas developed countries will anticipate certain revival of economic activity. </w:t>
      </w:r>
      <w:r w:rsidR="00CA6C52" w:rsidRPr="00CA6C52">
        <w:rPr>
          <w:rFonts w:ascii="Garamond" w:hAnsi="Garamond" w:cs="Times New Roman"/>
          <w:iCs/>
          <w:sz w:val="21"/>
          <w:szCs w:val="21"/>
        </w:rPr>
        <w:t xml:space="preserve">It is worth mentioning that </w:t>
      </w:r>
      <w:r w:rsidR="00CA6C52">
        <w:rPr>
          <w:rFonts w:ascii="Garamond" w:hAnsi="Garamond" w:cs="Times New Roman"/>
          <w:iCs/>
          <w:sz w:val="21"/>
          <w:szCs w:val="21"/>
        </w:rPr>
        <w:t xml:space="preserve">in the time of </w:t>
      </w:r>
      <w:r w:rsidR="00CA6C52" w:rsidRPr="00CA6C52">
        <w:rPr>
          <w:rFonts w:ascii="Garamond" w:hAnsi="Garamond" w:cs="Times New Roman"/>
          <w:iCs/>
          <w:sz w:val="21"/>
          <w:szCs w:val="21"/>
        </w:rPr>
        <w:t xml:space="preserve">geopolitical </w:t>
      </w:r>
      <w:r w:rsidR="00CA6C52">
        <w:rPr>
          <w:rFonts w:ascii="Garamond" w:hAnsi="Garamond" w:cs="Times New Roman"/>
          <w:iCs/>
          <w:sz w:val="21"/>
          <w:szCs w:val="21"/>
        </w:rPr>
        <w:t>and domestic</w:t>
      </w:r>
      <w:r w:rsidR="00CA6C52" w:rsidRPr="00CA6C52">
        <w:rPr>
          <w:rFonts w:ascii="Garamond" w:hAnsi="Garamond" w:cs="Times New Roman"/>
          <w:iCs/>
          <w:sz w:val="21"/>
          <w:szCs w:val="21"/>
        </w:rPr>
        <w:t xml:space="preserve"> economic developments </w:t>
      </w:r>
      <w:r w:rsidR="0071106B">
        <w:rPr>
          <w:rFonts w:ascii="Garamond" w:hAnsi="Garamond" w:cs="Times New Roman"/>
          <w:iCs/>
          <w:sz w:val="21"/>
          <w:szCs w:val="21"/>
        </w:rPr>
        <w:t xml:space="preserve">the </w:t>
      </w:r>
      <w:r w:rsidR="00CA6C52" w:rsidRPr="00CA6C52">
        <w:rPr>
          <w:rFonts w:ascii="Garamond" w:hAnsi="Garamond" w:cs="Times New Roman"/>
          <w:iCs/>
          <w:sz w:val="21"/>
          <w:szCs w:val="21"/>
        </w:rPr>
        <w:t xml:space="preserve">Russian economic growth </w:t>
      </w:r>
      <w:r w:rsidR="0071106B">
        <w:rPr>
          <w:rFonts w:ascii="Garamond" w:hAnsi="Garamond" w:cs="Times New Roman"/>
          <w:iCs/>
          <w:sz w:val="21"/>
          <w:szCs w:val="21"/>
        </w:rPr>
        <w:t xml:space="preserve">forecast </w:t>
      </w:r>
      <w:r w:rsidR="00CA6C52" w:rsidRPr="00CA6C52">
        <w:rPr>
          <w:rFonts w:ascii="Garamond" w:hAnsi="Garamond" w:cs="Times New Roman"/>
          <w:iCs/>
          <w:sz w:val="21"/>
          <w:szCs w:val="21"/>
        </w:rPr>
        <w:t xml:space="preserve">has not changed significantly compared to the previous </w:t>
      </w:r>
      <w:r w:rsidR="0071106B">
        <w:rPr>
          <w:rFonts w:ascii="Garamond" w:hAnsi="Garamond" w:cs="Times New Roman"/>
          <w:iCs/>
          <w:sz w:val="21"/>
          <w:szCs w:val="21"/>
        </w:rPr>
        <w:t>one</w:t>
      </w:r>
      <w:r w:rsidR="00CA6C52" w:rsidRPr="00CA6C52">
        <w:rPr>
          <w:rFonts w:ascii="Garamond" w:hAnsi="Garamond" w:cs="Times New Roman"/>
          <w:iCs/>
          <w:sz w:val="21"/>
          <w:szCs w:val="21"/>
        </w:rPr>
        <w:t xml:space="preserve">. </w:t>
      </w:r>
      <w:r w:rsidR="00672B2C" w:rsidRPr="00672B2C">
        <w:rPr>
          <w:rFonts w:ascii="Garamond" w:hAnsi="Garamond" w:cs="Times New Roman"/>
          <w:iCs/>
          <w:sz w:val="21"/>
          <w:szCs w:val="21"/>
        </w:rPr>
        <w:t xml:space="preserve">In particular, </w:t>
      </w:r>
      <w:r w:rsidR="00672B2C">
        <w:rPr>
          <w:rFonts w:ascii="Garamond" w:hAnsi="Garamond" w:cs="Times New Roman"/>
          <w:iCs/>
          <w:sz w:val="21"/>
          <w:szCs w:val="21"/>
        </w:rPr>
        <w:t xml:space="preserve">a </w:t>
      </w:r>
      <w:r w:rsidR="00672B2C" w:rsidRPr="00672B2C">
        <w:rPr>
          <w:rFonts w:ascii="Garamond" w:hAnsi="Garamond" w:cs="Times New Roman"/>
          <w:iCs/>
          <w:sz w:val="21"/>
          <w:szCs w:val="21"/>
        </w:rPr>
        <w:t xml:space="preserve">2.2% economic decline </w:t>
      </w:r>
      <w:r w:rsidR="00672B2C">
        <w:rPr>
          <w:rFonts w:ascii="Garamond" w:hAnsi="Garamond" w:cs="Times New Roman"/>
          <w:iCs/>
          <w:sz w:val="21"/>
          <w:szCs w:val="21"/>
        </w:rPr>
        <w:t xml:space="preserve">is </w:t>
      </w:r>
      <w:r w:rsidR="00672B2C" w:rsidRPr="00672B2C">
        <w:rPr>
          <w:rFonts w:ascii="Garamond" w:hAnsi="Garamond" w:cs="Times New Roman"/>
          <w:iCs/>
          <w:sz w:val="21"/>
          <w:szCs w:val="21"/>
        </w:rPr>
        <w:t xml:space="preserve">expected in 2015, which </w:t>
      </w:r>
      <w:r w:rsidR="00672B2C">
        <w:rPr>
          <w:rFonts w:ascii="Garamond" w:hAnsi="Garamond" w:cs="Times New Roman"/>
          <w:iCs/>
          <w:sz w:val="21"/>
          <w:szCs w:val="21"/>
        </w:rPr>
        <w:t xml:space="preserve">will </w:t>
      </w:r>
      <w:r w:rsidR="00672B2C" w:rsidRPr="00672B2C">
        <w:rPr>
          <w:rFonts w:ascii="Garamond" w:hAnsi="Garamond" w:cs="Times New Roman"/>
          <w:iCs/>
          <w:sz w:val="21"/>
          <w:szCs w:val="21"/>
        </w:rPr>
        <w:t xml:space="preserve">continue until </w:t>
      </w:r>
      <w:r w:rsidR="00672B2C">
        <w:rPr>
          <w:rFonts w:ascii="Garamond" w:hAnsi="Garamond" w:cs="Times New Roman"/>
          <w:iCs/>
          <w:sz w:val="21"/>
          <w:szCs w:val="21"/>
        </w:rPr>
        <w:t>mid-</w:t>
      </w:r>
      <w:r w:rsidR="00672B2C" w:rsidRPr="00672B2C">
        <w:rPr>
          <w:rFonts w:ascii="Garamond" w:hAnsi="Garamond" w:cs="Times New Roman"/>
          <w:iCs/>
          <w:sz w:val="21"/>
          <w:szCs w:val="21"/>
        </w:rPr>
        <w:t>2016</w:t>
      </w:r>
      <w:r w:rsidR="00672B2C">
        <w:rPr>
          <w:rFonts w:ascii="Garamond" w:hAnsi="Garamond" w:cs="Times New Roman"/>
          <w:iCs/>
          <w:sz w:val="21"/>
          <w:szCs w:val="21"/>
        </w:rPr>
        <w:t xml:space="preserve">, </w:t>
      </w:r>
      <w:r w:rsidR="00672B2C" w:rsidRPr="00672B2C">
        <w:rPr>
          <w:rFonts w:ascii="Garamond" w:hAnsi="Garamond" w:cs="Times New Roman"/>
          <w:iCs/>
          <w:sz w:val="21"/>
          <w:szCs w:val="21"/>
        </w:rPr>
        <w:t xml:space="preserve">gradually approaching the </w:t>
      </w:r>
      <w:r w:rsidR="00672B2C">
        <w:rPr>
          <w:rFonts w:ascii="Garamond" w:hAnsi="Garamond" w:cs="Times New Roman"/>
          <w:iCs/>
          <w:sz w:val="21"/>
          <w:szCs w:val="21"/>
        </w:rPr>
        <w:t>0.7%</w:t>
      </w:r>
      <w:r w:rsidR="00672B2C" w:rsidRPr="00672B2C">
        <w:rPr>
          <w:rFonts w:ascii="Garamond" w:hAnsi="Garamond" w:cs="Times New Roman"/>
          <w:iCs/>
          <w:sz w:val="21"/>
          <w:szCs w:val="21"/>
        </w:rPr>
        <w:t xml:space="preserve"> level</w:t>
      </w:r>
      <w:r w:rsidR="00672B2C">
        <w:rPr>
          <w:rFonts w:ascii="Garamond" w:hAnsi="Garamond" w:cs="Times New Roman"/>
          <w:iCs/>
          <w:sz w:val="21"/>
          <w:szCs w:val="21"/>
        </w:rPr>
        <w:t xml:space="preserve"> in the </w:t>
      </w:r>
      <w:r w:rsidR="00672B2C" w:rsidRPr="00672B2C">
        <w:rPr>
          <w:rFonts w:ascii="Garamond" w:hAnsi="Garamond" w:cs="Times New Roman"/>
          <w:iCs/>
          <w:sz w:val="21"/>
          <w:szCs w:val="21"/>
        </w:rPr>
        <w:t>forecast horizon</w:t>
      </w:r>
      <w:r w:rsidR="00672B2C">
        <w:rPr>
          <w:rFonts w:ascii="Garamond" w:hAnsi="Garamond" w:cs="Times New Roman"/>
          <w:iCs/>
          <w:sz w:val="21"/>
          <w:szCs w:val="21"/>
        </w:rPr>
        <w:t>.</w:t>
      </w:r>
      <w:r w:rsidR="00672B2C" w:rsidRPr="00672B2C">
        <w:rPr>
          <w:rFonts w:ascii="Garamond" w:hAnsi="Garamond" w:cs="Times New Roman"/>
          <w:iCs/>
          <w:sz w:val="21"/>
          <w:szCs w:val="21"/>
        </w:rPr>
        <w:t xml:space="preserve"> </w:t>
      </w:r>
      <w:r w:rsidR="00CE2859">
        <w:rPr>
          <w:rFonts w:ascii="Garamond" w:hAnsi="Garamond" w:cs="Times New Roman"/>
          <w:iCs/>
          <w:sz w:val="21"/>
          <w:szCs w:val="21"/>
        </w:rPr>
        <w:t xml:space="preserve">In the meanwhile, external sector-driven uncertainties are still persisting although they have toned down. </w:t>
      </w:r>
      <w:r w:rsidR="00242393">
        <w:rPr>
          <w:rFonts w:ascii="Garamond" w:hAnsi="Garamond" w:cs="Times New Roman"/>
          <w:iCs/>
          <w:sz w:val="21"/>
          <w:szCs w:val="21"/>
        </w:rPr>
        <w:t>With t</w:t>
      </w:r>
      <w:r w:rsidR="00672B2C" w:rsidRPr="00672B2C">
        <w:rPr>
          <w:rFonts w:ascii="Garamond" w:hAnsi="Garamond" w:cs="Times New Roman"/>
          <w:iCs/>
          <w:sz w:val="21"/>
          <w:szCs w:val="21"/>
        </w:rPr>
        <w:t>he global economy grow</w:t>
      </w:r>
      <w:r w:rsidR="00242393">
        <w:rPr>
          <w:rFonts w:ascii="Garamond" w:hAnsi="Garamond" w:cs="Times New Roman"/>
          <w:iCs/>
          <w:sz w:val="21"/>
          <w:szCs w:val="21"/>
        </w:rPr>
        <w:t xml:space="preserve">ing slowly, </w:t>
      </w:r>
      <w:r w:rsidR="00672B2C" w:rsidRPr="004B6F22">
        <w:rPr>
          <w:rFonts w:ascii="Garamond" w:hAnsi="Garamond" w:cs="Times New Roman"/>
          <w:b/>
          <w:iCs/>
          <w:sz w:val="21"/>
          <w:szCs w:val="21"/>
        </w:rPr>
        <w:t xml:space="preserve">the </w:t>
      </w:r>
      <w:r w:rsidR="00242393" w:rsidRPr="004B6F22">
        <w:rPr>
          <w:rFonts w:ascii="Garamond" w:hAnsi="Garamond" w:cs="Times New Roman"/>
          <w:b/>
          <w:iCs/>
          <w:sz w:val="21"/>
          <w:szCs w:val="21"/>
        </w:rPr>
        <w:t xml:space="preserve">external </w:t>
      </w:r>
      <w:r w:rsidR="00242393" w:rsidRPr="004B6F22">
        <w:rPr>
          <w:rFonts w:ascii="Garamond" w:hAnsi="Garamond" w:cs="Times New Roman"/>
          <w:b/>
          <w:iCs/>
          <w:sz w:val="21"/>
          <w:szCs w:val="21"/>
        </w:rPr>
        <w:lastRenderedPageBreak/>
        <w:t xml:space="preserve">environment </w:t>
      </w:r>
      <w:r w:rsidR="004B6F22" w:rsidRPr="004B6F22">
        <w:rPr>
          <w:rFonts w:ascii="Garamond" w:hAnsi="Garamond" w:cs="Times New Roman"/>
          <w:b/>
          <w:iCs/>
          <w:sz w:val="21"/>
          <w:szCs w:val="21"/>
        </w:rPr>
        <w:t xml:space="preserve">will </w:t>
      </w:r>
      <w:r w:rsidR="00672B2C" w:rsidRPr="004B6F22">
        <w:rPr>
          <w:rFonts w:ascii="Garamond" w:hAnsi="Garamond" w:cs="Times New Roman"/>
          <w:b/>
          <w:iCs/>
          <w:sz w:val="21"/>
          <w:szCs w:val="21"/>
        </w:rPr>
        <w:t xml:space="preserve">remain deflationary </w:t>
      </w:r>
      <w:r w:rsidR="004B6F22" w:rsidRPr="004B6F22">
        <w:rPr>
          <w:rFonts w:ascii="Garamond" w:hAnsi="Garamond" w:cs="Times New Roman"/>
          <w:b/>
          <w:iCs/>
          <w:sz w:val="21"/>
          <w:szCs w:val="21"/>
        </w:rPr>
        <w:t xml:space="preserve">in the short run but </w:t>
      </w:r>
      <w:r w:rsidR="00672B2C" w:rsidRPr="004B6F22">
        <w:rPr>
          <w:rFonts w:ascii="Garamond" w:hAnsi="Garamond" w:cs="Times New Roman"/>
          <w:b/>
          <w:iCs/>
          <w:sz w:val="21"/>
          <w:szCs w:val="21"/>
        </w:rPr>
        <w:t>certain signs of recovery are expect</w:t>
      </w:r>
      <w:r w:rsidR="004B6F22" w:rsidRPr="004B6F22">
        <w:rPr>
          <w:rFonts w:ascii="Garamond" w:hAnsi="Garamond" w:cs="Times New Roman"/>
          <w:b/>
          <w:iCs/>
          <w:sz w:val="21"/>
          <w:szCs w:val="21"/>
        </w:rPr>
        <w:t xml:space="preserve">able in the </w:t>
      </w:r>
      <w:r w:rsidR="00672B2C" w:rsidRPr="004B6F22">
        <w:rPr>
          <w:rFonts w:ascii="Garamond" w:hAnsi="Garamond" w:cs="Times New Roman"/>
          <w:b/>
          <w:iCs/>
          <w:sz w:val="21"/>
          <w:szCs w:val="21"/>
        </w:rPr>
        <w:t>forecast horizon</w:t>
      </w:r>
      <w:r w:rsidR="00672B2C" w:rsidRPr="00672B2C">
        <w:rPr>
          <w:rFonts w:ascii="Garamond" w:hAnsi="Garamond" w:cs="Times New Roman"/>
          <w:iCs/>
          <w:sz w:val="21"/>
          <w:szCs w:val="21"/>
        </w:rPr>
        <w:t xml:space="preserve"> due to </w:t>
      </w:r>
      <w:r w:rsidR="004B6F22">
        <w:rPr>
          <w:rFonts w:ascii="Garamond" w:hAnsi="Garamond" w:cs="Times New Roman"/>
          <w:iCs/>
          <w:sz w:val="21"/>
          <w:szCs w:val="21"/>
        </w:rPr>
        <w:t>some</w:t>
      </w:r>
      <w:r w:rsidR="00672B2C" w:rsidRPr="00672B2C">
        <w:rPr>
          <w:rFonts w:ascii="Garamond" w:hAnsi="Garamond" w:cs="Times New Roman"/>
          <w:iCs/>
          <w:sz w:val="21"/>
          <w:szCs w:val="21"/>
        </w:rPr>
        <w:t xml:space="preserve"> reduction in supply</w:t>
      </w:r>
      <w:r w:rsidR="004B6F22">
        <w:rPr>
          <w:rFonts w:ascii="Garamond" w:hAnsi="Garamond" w:cs="Times New Roman"/>
          <w:iCs/>
          <w:sz w:val="21"/>
          <w:szCs w:val="21"/>
        </w:rPr>
        <w:t xml:space="preserve"> and</w:t>
      </w:r>
      <w:r w:rsidR="00672B2C" w:rsidRPr="00672B2C">
        <w:rPr>
          <w:rFonts w:ascii="Garamond" w:hAnsi="Garamond" w:cs="Times New Roman"/>
          <w:iCs/>
          <w:sz w:val="21"/>
          <w:szCs w:val="21"/>
        </w:rPr>
        <w:t xml:space="preserve"> gradual increase in global demand</w:t>
      </w:r>
      <w:r w:rsidR="004B6F22">
        <w:rPr>
          <w:rFonts w:ascii="Garamond" w:hAnsi="Garamond" w:cs="Times New Roman"/>
          <w:iCs/>
          <w:sz w:val="21"/>
          <w:szCs w:val="21"/>
        </w:rPr>
        <w:t>.</w:t>
      </w:r>
      <w:r w:rsidR="00CE2859">
        <w:rPr>
          <w:rFonts w:ascii="Garamond" w:hAnsi="Garamond" w:cs="Times New Roman"/>
          <w:iCs/>
          <w:sz w:val="21"/>
          <w:szCs w:val="21"/>
        </w:rPr>
        <w:t xml:space="preserve"> </w:t>
      </w:r>
    </w:p>
    <w:p w14:paraId="2983E5C4" w14:textId="77777777" w:rsidR="00A9653E" w:rsidRPr="004E7A10" w:rsidRDefault="00543104" w:rsidP="00BC3AA7">
      <w:pPr>
        <w:spacing w:line="360" w:lineRule="auto"/>
        <w:jc w:val="both"/>
        <w:rPr>
          <w:rFonts w:ascii="Garamond" w:hAnsi="Garamond" w:cs="Times New Roman"/>
          <w:iCs/>
          <w:sz w:val="21"/>
          <w:szCs w:val="21"/>
        </w:rPr>
      </w:pPr>
      <w:r>
        <w:rPr>
          <w:rFonts w:ascii="Garamond" w:hAnsi="Garamond" w:cs="Times New Roman"/>
          <w:b/>
          <w:iCs/>
          <w:sz w:val="21"/>
          <w:szCs w:val="21"/>
        </w:rPr>
        <w:t xml:space="preserve">Economic growth </w:t>
      </w:r>
      <w:r w:rsidR="00246AE6">
        <w:rPr>
          <w:rFonts w:ascii="Garamond" w:hAnsi="Garamond" w:cs="Times New Roman"/>
          <w:b/>
          <w:iCs/>
          <w:sz w:val="21"/>
          <w:szCs w:val="21"/>
        </w:rPr>
        <w:t xml:space="preserve">saw </w:t>
      </w:r>
      <w:r>
        <w:rPr>
          <w:rFonts w:ascii="Garamond" w:hAnsi="Garamond" w:cs="Times New Roman"/>
          <w:b/>
          <w:iCs/>
          <w:sz w:val="21"/>
          <w:szCs w:val="21"/>
        </w:rPr>
        <w:t>higher-than-expected growth rates in the 1st quarter of 2015</w:t>
      </w:r>
      <w:r w:rsidR="00186AF6" w:rsidRPr="004E7A10">
        <w:rPr>
          <w:rFonts w:ascii="Garamond" w:hAnsi="Garamond" w:cs="Times New Roman"/>
          <w:iCs/>
          <w:sz w:val="21"/>
          <w:szCs w:val="21"/>
        </w:rPr>
        <w:t xml:space="preserve"> due to </w:t>
      </w:r>
      <w:r w:rsidR="00246AE6">
        <w:rPr>
          <w:rFonts w:ascii="Garamond" w:hAnsi="Garamond" w:cs="Times New Roman"/>
          <w:iCs/>
          <w:sz w:val="21"/>
          <w:szCs w:val="21"/>
        </w:rPr>
        <w:t>even more</w:t>
      </w:r>
      <w:r>
        <w:rPr>
          <w:rFonts w:ascii="Garamond" w:hAnsi="Garamond" w:cs="Times New Roman"/>
          <w:iCs/>
          <w:sz w:val="21"/>
          <w:szCs w:val="21"/>
        </w:rPr>
        <w:t xml:space="preserve"> positive developments reported in </w:t>
      </w:r>
      <w:r w:rsidR="00246AE6">
        <w:rPr>
          <w:rFonts w:ascii="Garamond" w:hAnsi="Garamond" w:cs="Times New Roman"/>
          <w:iCs/>
          <w:sz w:val="21"/>
          <w:szCs w:val="21"/>
        </w:rPr>
        <w:t xml:space="preserve">agriculture and construction. The estimation is that </w:t>
      </w:r>
      <w:r w:rsidR="00186AF6" w:rsidRPr="004E7A10">
        <w:rPr>
          <w:rFonts w:ascii="Garamond" w:hAnsi="Garamond" w:cs="Times New Roman"/>
          <w:iCs/>
          <w:sz w:val="21"/>
          <w:szCs w:val="21"/>
        </w:rPr>
        <w:t xml:space="preserve">the annual economic growth </w:t>
      </w:r>
      <w:r w:rsidR="00246AE6">
        <w:rPr>
          <w:rFonts w:ascii="Garamond" w:hAnsi="Garamond" w:cs="Times New Roman"/>
          <w:iCs/>
          <w:sz w:val="21"/>
          <w:szCs w:val="21"/>
        </w:rPr>
        <w:t xml:space="preserve">in the meantime </w:t>
      </w:r>
      <w:r w:rsidR="00186AF6" w:rsidRPr="004E7A10">
        <w:rPr>
          <w:rFonts w:ascii="Garamond" w:hAnsi="Garamond" w:cs="Times New Roman"/>
          <w:iCs/>
          <w:sz w:val="21"/>
          <w:szCs w:val="21"/>
        </w:rPr>
        <w:t xml:space="preserve">will be </w:t>
      </w:r>
      <w:r w:rsidR="00186AF6" w:rsidRPr="004E7A10">
        <w:rPr>
          <w:rFonts w:ascii="Garamond" w:hAnsi="Garamond" w:cs="Times New Roman"/>
          <w:b/>
          <w:iCs/>
          <w:sz w:val="21"/>
          <w:szCs w:val="21"/>
        </w:rPr>
        <w:t xml:space="preserve">within </w:t>
      </w:r>
      <w:r w:rsidR="00246AE6">
        <w:rPr>
          <w:rFonts w:ascii="Garamond" w:hAnsi="Garamond" w:cs="Times New Roman"/>
          <w:b/>
          <w:iCs/>
          <w:sz w:val="21"/>
          <w:szCs w:val="21"/>
        </w:rPr>
        <w:t>2</w:t>
      </w:r>
      <w:r w:rsidR="00186AF6" w:rsidRPr="004E7A10">
        <w:rPr>
          <w:rFonts w:ascii="Garamond" w:hAnsi="Garamond" w:cs="Times New Roman"/>
          <w:b/>
          <w:iCs/>
          <w:sz w:val="21"/>
          <w:szCs w:val="21"/>
        </w:rPr>
        <w:t>.</w:t>
      </w:r>
      <w:r w:rsidR="00246AE6">
        <w:rPr>
          <w:rFonts w:ascii="Garamond" w:hAnsi="Garamond" w:cs="Times New Roman"/>
          <w:b/>
          <w:iCs/>
          <w:sz w:val="21"/>
          <w:szCs w:val="21"/>
        </w:rPr>
        <w:t>1</w:t>
      </w:r>
      <w:r w:rsidR="00186AF6" w:rsidRPr="004E7A10">
        <w:rPr>
          <w:rFonts w:ascii="Garamond" w:hAnsi="Garamond" w:cs="Times New Roman"/>
          <w:b/>
          <w:iCs/>
          <w:sz w:val="21"/>
          <w:szCs w:val="21"/>
        </w:rPr>
        <w:t>%-</w:t>
      </w:r>
      <w:r w:rsidR="00246AE6">
        <w:rPr>
          <w:rFonts w:ascii="Garamond" w:hAnsi="Garamond" w:cs="Times New Roman"/>
          <w:b/>
          <w:iCs/>
          <w:sz w:val="21"/>
          <w:szCs w:val="21"/>
        </w:rPr>
        <w:t>2</w:t>
      </w:r>
      <w:r w:rsidR="00186AF6" w:rsidRPr="004E7A10">
        <w:rPr>
          <w:rFonts w:ascii="Garamond" w:hAnsi="Garamond" w:cs="Times New Roman"/>
          <w:b/>
          <w:iCs/>
          <w:sz w:val="21"/>
          <w:szCs w:val="21"/>
        </w:rPr>
        <w:t>.5%</w:t>
      </w:r>
      <w:r w:rsidR="00186AF6" w:rsidRPr="004E7A10">
        <w:rPr>
          <w:rFonts w:ascii="Garamond" w:hAnsi="Garamond" w:cs="Times New Roman"/>
          <w:iCs/>
          <w:sz w:val="21"/>
          <w:szCs w:val="21"/>
        </w:rPr>
        <w:t>, with agriculture and services sectors remaining the main driving force</w:t>
      </w:r>
      <w:r w:rsidR="0071409D">
        <w:rPr>
          <w:rFonts w:ascii="Garamond" w:hAnsi="Garamond" w:cs="Times New Roman"/>
          <w:iCs/>
          <w:sz w:val="21"/>
          <w:szCs w:val="21"/>
        </w:rPr>
        <w:t>s</w:t>
      </w:r>
      <w:r w:rsidR="00186AF6" w:rsidRPr="004E7A10">
        <w:rPr>
          <w:rFonts w:ascii="Garamond" w:hAnsi="Garamond" w:cs="Times New Roman"/>
          <w:iCs/>
          <w:sz w:val="21"/>
          <w:szCs w:val="21"/>
        </w:rPr>
        <w:t>.</w:t>
      </w:r>
      <w:r w:rsidR="00BC3AA7" w:rsidRPr="004E7A10">
        <w:rPr>
          <w:rFonts w:ascii="Garamond" w:hAnsi="Garamond" w:cs="Times New Roman"/>
          <w:iCs/>
          <w:sz w:val="21"/>
          <w:szCs w:val="21"/>
        </w:rPr>
        <w:t xml:space="preserve">  </w:t>
      </w:r>
    </w:p>
    <w:p w14:paraId="44125A4F" w14:textId="2E606980" w:rsidR="002C7BCF" w:rsidRPr="004E7A10" w:rsidRDefault="00A633E3" w:rsidP="00BC3AA7">
      <w:pPr>
        <w:spacing w:line="360" w:lineRule="auto"/>
        <w:jc w:val="both"/>
        <w:rPr>
          <w:rFonts w:ascii="Garamond" w:hAnsi="Garamond" w:cs="Times New Roman"/>
          <w:sz w:val="21"/>
          <w:szCs w:val="21"/>
        </w:rPr>
      </w:pPr>
      <w:r w:rsidRPr="004E7A10">
        <w:rPr>
          <w:rFonts w:ascii="Garamond" w:hAnsi="Garamond" w:cs="Times New Roman"/>
          <w:sz w:val="21"/>
          <w:szCs w:val="21"/>
        </w:rPr>
        <w:t xml:space="preserve">At the time of </w:t>
      </w:r>
      <w:r w:rsidR="00EF1ED7">
        <w:rPr>
          <w:rFonts w:ascii="Garamond" w:hAnsi="Garamond" w:cs="Times New Roman"/>
          <w:sz w:val="21"/>
          <w:szCs w:val="21"/>
        </w:rPr>
        <w:t>signi</w:t>
      </w:r>
      <w:r w:rsidRPr="004E7A10">
        <w:rPr>
          <w:rFonts w:ascii="Garamond" w:hAnsi="Garamond" w:cs="Times New Roman"/>
          <w:sz w:val="21"/>
          <w:szCs w:val="21"/>
        </w:rPr>
        <w:t xml:space="preserve">ficant </w:t>
      </w:r>
      <w:r w:rsidR="002C7BCF" w:rsidRPr="004E7A10">
        <w:rPr>
          <w:rFonts w:ascii="Garamond" w:hAnsi="Garamond" w:cs="Times New Roman"/>
          <w:sz w:val="21"/>
          <w:szCs w:val="21"/>
        </w:rPr>
        <w:t xml:space="preserve">economic slowdown </w:t>
      </w:r>
      <w:r w:rsidRPr="004E7A10">
        <w:rPr>
          <w:rFonts w:ascii="Garamond" w:hAnsi="Garamond" w:cs="Times New Roman"/>
          <w:sz w:val="21"/>
          <w:szCs w:val="21"/>
        </w:rPr>
        <w:t xml:space="preserve">in Russia </w:t>
      </w:r>
      <w:r w:rsidR="00EF1ED7">
        <w:rPr>
          <w:rFonts w:ascii="Garamond" w:hAnsi="Garamond" w:cs="Times New Roman"/>
          <w:sz w:val="21"/>
          <w:szCs w:val="21"/>
        </w:rPr>
        <w:t xml:space="preserve">when the ruble </w:t>
      </w:r>
      <w:r w:rsidRPr="004E7A10">
        <w:rPr>
          <w:rFonts w:ascii="Garamond" w:hAnsi="Garamond" w:cs="Times New Roman"/>
          <w:sz w:val="21"/>
          <w:szCs w:val="21"/>
        </w:rPr>
        <w:t xml:space="preserve">depreciated </w:t>
      </w:r>
      <w:r w:rsidR="00EF1ED7">
        <w:rPr>
          <w:rFonts w:ascii="Garamond" w:hAnsi="Garamond" w:cs="Times New Roman"/>
          <w:sz w:val="21"/>
          <w:szCs w:val="21"/>
        </w:rPr>
        <w:t>against the U.S. dollar</w:t>
      </w:r>
      <w:r w:rsidRPr="004E7A10">
        <w:rPr>
          <w:rFonts w:ascii="Garamond" w:hAnsi="Garamond" w:cs="Times New Roman"/>
          <w:sz w:val="21"/>
          <w:szCs w:val="21"/>
        </w:rPr>
        <w:t xml:space="preserve">, </w:t>
      </w:r>
      <w:r w:rsidR="00B733AA">
        <w:rPr>
          <w:rFonts w:ascii="Garamond" w:hAnsi="Garamond" w:cs="Times New Roman"/>
          <w:sz w:val="21"/>
          <w:szCs w:val="21"/>
        </w:rPr>
        <w:t xml:space="preserve">in the 1st quarter of 2015 </w:t>
      </w:r>
      <w:r w:rsidRPr="00EF1ED7">
        <w:rPr>
          <w:rFonts w:ascii="Garamond" w:hAnsi="Garamond" w:cs="Times New Roman"/>
          <w:b/>
          <w:sz w:val="21"/>
          <w:szCs w:val="21"/>
        </w:rPr>
        <w:t xml:space="preserve">net inflow of private </w:t>
      </w:r>
      <w:r w:rsidR="00072D8F" w:rsidRPr="00EF1ED7">
        <w:rPr>
          <w:rFonts w:ascii="Garamond" w:hAnsi="Garamond" w:cs="Times New Roman"/>
          <w:b/>
          <w:sz w:val="21"/>
          <w:szCs w:val="21"/>
        </w:rPr>
        <w:t>remittances</w:t>
      </w:r>
      <w:r w:rsidRPr="00EF1ED7">
        <w:rPr>
          <w:rFonts w:ascii="Garamond" w:hAnsi="Garamond" w:cs="Times New Roman"/>
          <w:b/>
          <w:sz w:val="21"/>
          <w:szCs w:val="21"/>
        </w:rPr>
        <w:t xml:space="preserve"> and seasonal worker </w:t>
      </w:r>
      <w:r w:rsidR="0071409D">
        <w:rPr>
          <w:rFonts w:ascii="Garamond" w:hAnsi="Garamond" w:cs="Times New Roman"/>
          <w:b/>
          <w:sz w:val="21"/>
          <w:szCs w:val="21"/>
        </w:rPr>
        <w:t>wages</w:t>
      </w:r>
      <w:r w:rsidRPr="00EF1ED7">
        <w:rPr>
          <w:rFonts w:ascii="Garamond" w:hAnsi="Garamond" w:cs="Times New Roman"/>
          <w:b/>
          <w:sz w:val="21"/>
          <w:szCs w:val="21"/>
        </w:rPr>
        <w:t xml:space="preserve">has reduced </w:t>
      </w:r>
      <w:r w:rsidR="00EF1ED7">
        <w:rPr>
          <w:rFonts w:ascii="Garamond" w:hAnsi="Garamond" w:cs="Times New Roman"/>
          <w:b/>
          <w:sz w:val="21"/>
          <w:szCs w:val="21"/>
        </w:rPr>
        <w:t>notably</w:t>
      </w:r>
      <w:r w:rsidRPr="004E7A10">
        <w:rPr>
          <w:rFonts w:ascii="Garamond" w:hAnsi="Garamond" w:cs="Times New Roman"/>
          <w:sz w:val="21"/>
          <w:szCs w:val="21"/>
        </w:rPr>
        <w:t xml:space="preserve">, </w:t>
      </w:r>
      <w:r w:rsidR="00EF1ED7">
        <w:rPr>
          <w:rFonts w:ascii="Garamond" w:hAnsi="Garamond" w:cs="Times New Roman"/>
          <w:sz w:val="21"/>
          <w:szCs w:val="21"/>
        </w:rPr>
        <w:t xml:space="preserve">as was expected, </w:t>
      </w:r>
      <w:r w:rsidRPr="004E7A10">
        <w:rPr>
          <w:rFonts w:ascii="Garamond" w:hAnsi="Garamond" w:cs="Times New Roman"/>
          <w:sz w:val="21"/>
          <w:szCs w:val="21"/>
        </w:rPr>
        <w:t xml:space="preserve">resulting in a deep negative gap in remittances. </w:t>
      </w:r>
      <w:r w:rsidR="00887415">
        <w:rPr>
          <w:rFonts w:ascii="Garamond" w:hAnsi="Garamond" w:cs="Times New Roman"/>
          <w:sz w:val="21"/>
          <w:szCs w:val="21"/>
        </w:rPr>
        <w:t xml:space="preserve">The latter was concomitant with </w:t>
      </w:r>
      <w:r w:rsidR="00887415" w:rsidRPr="00887415">
        <w:rPr>
          <w:rFonts w:ascii="Garamond" w:hAnsi="Garamond" w:cs="Times New Roman"/>
          <w:sz w:val="21"/>
          <w:szCs w:val="21"/>
        </w:rPr>
        <w:t xml:space="preserve">a decrease </w:t>
      </w:r>
      <w:r w:rsidR="00887415">
        <w:rPr>
          <w:rFonts w:ascii="Garamond" w:hAnsi="Garamond" w:cs="Times New Roman"/>
          <w:sz w:val="21"/>
          <w:szCs w:val="21"/>
        </w:rPr>
        <w:t xml:space="preserve">in </w:t>
      </w:r>
      <w:r w:rsidR="00887415" w:rsidRPr="00887415">
        <w:rPr>
          <w:rFonts w:ascii="Garamond" w:hAnsi="Garamond" w:cs="Times New Roman"/>
          <w:sz w:val="21"/>
          <w:szCs w:val="21"/>
        </w:rPr>
        <w:t xml:space="preserve">private consumption </w:t>
      </w:r>
      <w:r w:rsidR="00887415">
        <w:rPr>
          <w:rFonts w:ascii="Garamond" w:hAnsi="Garamond" w:cs="Times New Roman"/>
          <w:sz w:val="21"/>
          <w:szCs w:val="21"/>
        </w:rPr>
        <w:t xml:space="preserve">expenditures </w:t>
      </w:r>
      <w:r w:rsidR="00887415" w:rsidRPr="00887415">
        <w:rPr>
          <w:rFonts w:ascii="Garamond" w:hAnsi="Garamond" w:cs="Times New Roman"/>
          <w:sz w:val="21"/>
          <w:szCs w:val="21"/>
        </w:rPr>
        <w:t xml:space="preserve">during the quarter, which is </w:t>
      </w:r>
      <w:r w:rsidR="00887415">
        <w:rPr>
          <w:rFonts w:ascii="Garamond" w:hAnsi="Garamond" w:cs="Times New Roman"/>
          <w:sz w:val="21"/>
          <w:szCs w:val="21"/>
        </w:rPr>
        <w:t xml:space="preserve">however </w:t>
      </w:r>
      <w:r w:rsidR="00887415" w:rsidRPr="00887415">
        <w:rPr>
          <w:rFonts w:ascii="Garamond" w:hAnsi="Garamond" w:cs="Times New Roman"/>
          <w:sz w:val="21"/>
          <w:szCs w:val="21"/>
        </w:rPr>
        <w:t>lower than estimated</w:t>
      </w:r>
      <w:r w:rsidR="00887415">
        <w:rPr>
          <w:rFonts w:ascii="Garamond" w:hAnsi="Garamond" w:cs="Times New Roman"/>
          <w:sz w:val="21"/>
          <w:szCs w:val="21"/>
        </w:rPr>
        <w:t>,</w:t>
      </w:r>
      <w:r w:rsidR="00887415" w:rsidRPr="00887415">
        <w:rPr>
          <w:rFonts w:ascii="Garamond" w:hAnsi="Garamond" w:cs="Times New Roman"/>
          <w:sz w:val="21"/>
          <w:szCs w:val="21"/>
        </w:rPr>
        <w:t xml:space="preserve"> </w:t>
      </w:r>
      <w:r w:rsidR="00887415">
        <w:rPr>
          <w:rFonts w:ascii="Garamond" w:hAnsi="Garamond" w:cs="Times New Roman"/>
          <w:sz w:val="21"/>
          <w:szCs w:val="21"/>
        </w:rPr>
        <w:t xml:space="preserve">owing </w:t>
      </w:r>
      <w:r w:rsidR="00887415" w:rsidRPr="00887415">
        <w:rPr>
          <w:rFonts w:ascii="Garamond" w:hAnsi="Garamond" w:cs="Times New Roman"/>
          <w:sz w:val="21"/>
          <w:szCs w:val="21"/>
        </w:rPr>
        <w:t xml:space="preserve">to </w:t>
      </w:r>
      <w:r w:rsidR="00887415">
        <w:rPr>
          <w:rFonts w:ascii="Garamond" w:hAnsi="Garamond" w:cs="Times New Roman"/>
          <w:sz w:val="21"/>
          <w:szCs w:val="21"/>
        </w:rPr>
        <w:t>more stimulating f</w:t>
      </w:r>
      <w:r w:rsidR="00887415" w:rsidRPr="00887415">
        <w:rPr>
          <w:rFonts w:ascii="Garamond" w:hAnsi="Garamond" w:cs="Times New Roman"/>
          <w:sz w:val="21"/>
          <w:szCs w:val="21"/>
        </w:rPr>
        <w:t xml:space="preserve">iscal policy </w:t>
      </w:r>
      <w:r w:rsidR="0052024F">
        <w:rPr>
          <w:rFonts w:ascii="Garamond" w:hAnsi="Garamond" w:cs="Times New Roman"/>
          <w:sz w:val="21"/>
          <w:szCs w:val="21"/>
        </w:rPr>
        <w:t>as well as higher-than</w:t>
      </w:r>
      <w:r w:rsidR="006032AF">
        <w:rPr>
          <w:rFonts w:ascii="Garamond" w:hAnsi="Garamond" w:cs="Times New Roman"/>
          <w:sz w:val="21"/>
          <w:szCs w:val="21"/>
        </w:rPr>
        <w:t xml:space="preserve">-predicted </w:t>
      </w:r>
      <w:r w:rsidR="00887415" w:rsidRPr="00887415">
        <w:rPr>
          <w:rFonts w:ascii="Garamond" w:hAnsi="Garamond" w:cs="Times New Roman"/>
          <w:sz w:val="21"/>
          <w:szCs w:val="21"/>
        </w:rPr>
        <w:t xml:space="preserve">economic activity. </w:t>
      </w:r>
      <w:r w:rsidR="006032AF">
        <w:rPr>
          <w:rFonts w:ascii="Garamond" w:hAnsi="Garamond" w:cs="Times New Roman"/>
          <w:sz w:val="21"/>
          <w:szCs w:val="21"/>
        </w:rPr>
        <w:t xml:space="preserve">In the 1st quarter of 2015, the </w:t>
      </w:r>
      <w:r w:rsidR="00887415" w:rsidRPr="00887415">
        <w:rPr>
          <w:rFonts w:ascii="Garamond" w:hAnsi="Garamond" w:cs="Times New Roman"/>
          <w:sz w:val="21"/>
          <w:szCs w:val="21"/>
        </w:rPr>
        <w:t xml:space="preserve">investment climate </w:t>
      </w:r>
      <w:r w:rsidR="006032AF">
        <w:rPr>
          <w:rFonts w:ascii="Garamond" w:hAnsi="Garamond" w:cs="Times New Roman"/>
          <w:sz w:val="21"/>
          <w:szCs w:val="21"/>
        </w:rPr>
        <w:t xml:space="preserve">was further weak due to persistently </w:t>
      </w:r>
      <w:r w:rsidR="00887415" w:rsidRPr="00887415">
        <w:rPr>
          <w:rFonts w:ascii="Garamond" w:hAnsi="Garamond" w:cs="Times New Roman"/>
          <w:sz w:val="21"/>
          <w:szCs w:val="21"/>
        </w:rPr>
        <w:t>low</w:t>
      </w:r>
      <w:r w:rsidR="006032AF">
        <w:rPr>
          <w:rFonts w:ascii="Garamond" w:hAnsi="Garamond" w:cs="Times New Roman"/>
          <w:sz w:val="21"/>
          <w:szCs w:val="21"/>
        </w:rPr>
        <w:t xml:space="preserve"> </w:t>
      </w:r>
      <w:r w:rsidR="00887415" w:rsidRPr="00887415">
        <w:rPr>
          <w:rFonts w:ascii="Garamond" w:hAnsi="Garamond" w:cs="Times New Roman"/>
          <w:sz w:val="21"/>
          <w:szCs w:val="21"/>
        </w:rPr>
        <w:t>activity in the construction industry.</w:t>
      </w:r>
      <w:r w:rsidR="006032AF">
        <w:rPr>
          <w:rFonts w:ascii="Garamond" w:hAnsi="Garamond" w:cs="Times New Roman"/>
          <w:sz w:val="21"/>
          <w:szCs w:val="21"/>
        </w:rPr>
        <w:t xml:space="preserve"> </w:t>
      </w:r>
    </w:p>
    <w:p w14:paraId="0F1F54D4" w14:textId="77777777" w:rsidR="00191112" w:rsidRPr="00DB30DD" w:rsidRDefault="00DB30DD" w:rsidP="00BC3AA7">
      <w:pPr>
        <w:spacing w:line="360" w:lineRule="auto"/>
        <w:jc w:val="both"/>
        <w:rPr>
          <w:rFonts w:ascii="Garamond" w:hAnsi="Garamond" w:cs="Times New Roman"/>
          <w:b/>
          <w:color w:val="0070C0"/>
          <w:sz w:val="18"/>
          <w:szCs w:val="18"/>
        </w:rPr>
      </w:pPr>
      <w:r w:rsidRPr="00DB30DD">
        <w:rPr>
          <w:rFonts w:ascii="Garamond" w:hAnsi="Garamond" w:cs="Times New Roman"/>
          <w:b/>
          <w:color w:val="0070C0"/>
          <w:sz w:val="18"/>
          <w:szCs w:val="18"/>
        </w:rPr>
        <w:t xml:space="preserve">Influenced by lagged effects from end-year exchange rate depreciation, the 12-month inflation rate somewhat expanded </w:t>
      </w:r>
      <w:r>
        <w:rPr>
          <w:rFonts w:ascii="Garamond" w:hAnsi="Garamond" w:cs="Times New Roman"/>
          <w:b/>
          <w:color w:val="0070C0"/>
          <w:sz w:val="18"/>
          <w:szCs w:val="18"/>
        </w:rPr>
        <w:t>to</w:t>
      </w:r>
      <w:r w:rsidRPr="00DB30DD">
        <w:rPr>
          <w:rFonts w:ascii="Garamond" w:hAnsi="Garamond" w:cs="Times New Roman"/>
          <w:b/>
          <w:color w:val="0070C0"/>
          <w:sz w:val="18"/>
          <w:szCs w:val="18"/>
        </w:rPr>
        <w:t xml:space="preserve"> approached the upper bound of the confidence band</w:t>
      </w:r>
      <w:r>
        <w:rPr>
          <w:rFonts w:ascii="Garamond" w:hAnsi="Garamond" w:cs="Times New Roman"/>
          <w:b/>
          <w:color w:val="0070C0"/>
          <w:sz w:val="18"/>
          <w:szCs w:val="18"/>
        </w:rPr>
        <w:t xml:space="preserve">; in late March it was </w:t>
      </w:r>
      <w:r w:rsidRPr="00DB30DD">
        <w:rPr>
          <w:rFonts w:ascii="Garamond" w:hAnsi="Garamond" w:cs="Times New Roman"/>
          <w:b/>
          <w:color w:val="0070C0"/>
          <w:sz w:val="18"/>
          <w:szCs w:val="18"/>
        </w:rPr>
        <w:t>5.8%</w:t>
      </w:r>
      <w:r w:rsidR="00544B64" w:rsidRPr="00DB30DD">
        <w:rPr>
          <w:rFonts w:ascii="Garamond" w:hAnsi="Garamond" w:cs="Times New Roman"/>
          <w:b/>
          <w:color w:val="0070C0"/>
          <w:sz w:val="18"/>
          <w:szCs w:val="18"/>
        </w:rPr>
        <w:t>…</w:t>
      </w:r>
      <w:r w:rsidRPr="00DB30DD">
        <w:rPr>
          <w:rFonts w:ascii="Garamond" w:hAnsi="Garamond" w:cs="Times New Roman"/>
          <w:b/>
          <w:color w:val="0070C0"/>
          <w:sz w:val="18"/>
          <w:szCs w:val="18"/>
        </w:rPr>
        <w:t xml:space="preserve"> </w:t>
      </w:r>
    </w:p>
    <w:p w14:paraId="40061179" w14:textId="43BC2A91" w:rsidR="00FB4275" w:rsidRDefault="00814B57" w:rsidP="00BC3AA7">
      <w:pPr>
        <w:spacing w:line="360" w:lineRule="auto"/>
        <w:jc w:val="both"/>
        <w:rPr>
          <w:rFonts w:ascii="Garamond" w:hAnsi="Garamond" w:cs="Times New Roman"/>
          <w:sz w:val="21"/>
          <w:szCs w:val="21"/>
        </w:rPr>
      </w:pPr>
      <w:r>
        <w:rPr>
          <w:rFonts w:ascii="Garamond" w:hAnsi="Garamond" w:cs="Times New Roman"/>
          <w:sz w:val="21"/>
          <w:szCs w:val="21"/>
        </w:rPr>
        <w:t>The</w:t>
      </w:r>
      <w:r w:rsidR="003E46AB" w:rsidRPr="004E7A10">
        <w:rPr>
          <w:rFonts w:ascii="Garamond" w:hAnsi="Garamond" w:cs="Times New Roman"/>
          <w:sz w:val="21"/>
          <w:szCs w:val="21"/>
        </w:rPr>
        <w:t xml:space="preserve"> above</w:t>
      </w:r>
      <w:r>
        <w:rPr>
          <w:rFonts w:ascii="Garamond" w:hAnsi="Garamond" w:cs="Times New Roman"/>
          <w:sz w:val="21"/>
          <w:szCs w:val="21"/>
        </w:rPr>
        <w:t>-mentioned</w:t>
      </w:r>
      <w:r w:rsidR="003E46AB" w:rsidRPr="004E7A10">
        <w:rPr>
          <w:rFonts w:ascii="Garamond" w:hAnsi="Garamond" w:cs="Times New Roman"/>
          <w:sz w:val="21"/>
          <w:szCs w:val="21"/>
        </w:rPr>
        <w:t xml:space="preserve"> factors</w:t>
      </w:r>
      <w:r>
        <w:rPr>
          <w:rFonts w:ascii="Garamond" w:hAnsi="Garamond" w:cs="Times New Roman"/>
          <w:sz w:val="21"/>
          <w:szCs w:val="21"/>
        </w:rPr>
        <w:t xml:space="preserve"> pushed the domestic demand down</w:t>
      </w:r>
      <w:r w:rsidR="00AF68E0">
        <w:rPr>
          <w:rFonts w:ascii="Garamond" w:hAnsi="Garamond" w:cs="Times New Roman"/>
          <w:sz w:val="21"/>
          <w:szCs w:val="21"/>
        </w:rPr>
        <w:t xml:space="preserve"> in the 1st quarter of 2015</w:t>
      </w:r>
      <w:r>
        <w:rPr>
          <w:rFonts w:ascii="Garamond" w:hAnsi="Garamond" w:cs="Times New Roman"/>
          <w:sz w:val="21"/>
          <w:szCs w:val="21"/>
        </w:rPr>
        <w:t xml:space="preserve">, </w:t>
      </w:r>
      <w:r w:rsidRPr="00AF68E0">
        <w:rPr>
          <w:rFonts w:ascii="Garamond" w:hAnsi="Garamond" w:cs="Times New Roman"/>
          <w:b/>
          <w:sz w:val="21"/>
          <w:szCs w:val="21"/>
        </w:rPr>
        <w:t xml:space="preserve">which contributed to shaping a </w:t>
      </w:r>
      <w:r w:rsidR="00AF68E0" w:rsidRPr="00AF68E0">
        <w:rPr>
          <w:rFonts w:ascii="Garamond" w:hAnsi="Garamond" w:cs="Times New Roman"/>
          <w:b/>
          <w:sz w:val="21"/>
          <w:szCs w:val="21"/>
        </w:rPr>
        <w:t xml:space="preserve">negative </w:t>
      </w:r>
      <w:r w:rsidRPr="00AF68E0">
        <w:rPr>
          <w:rFonts w:ascii="Garamond" w:hAnsi="Garamond" w:cs="Times New Roman"/>
          <w:b/>
          <w:sz w:val="21"/>
          <w:szCs w:val="21"/>
        </w:rPr>
        <w:t>GDP gap</w:t>
      </w:r>
      <w:r w:rsidR="00AF68E0">
        <w:rPr>
          <w:rFonts w:ascii="Garamond" w:hAnsi="Garamond" w:cs="Times New Roman"/>
          <w:sz w:val="21"/>
          <w:szCs w:val="21"/>
        </w:rPr>
        <w:t>.</w:t>
      </w:r>
      <w:r w:rsidRPr="004E7A10">
        <w:rPr>
          <w:rFonts w:ascii="Garamond" w:hAnsi="Garamond" w:cs="Times New Roman"/>
          <w:sz w:val="21"/>
          <w:szCs w:val="21"/>
        </w:rPr>
        <w:t xml:space="preserve"> </w:t>
      </w:r>
      <w:r w:rsidR="00C367AB" w:rsidRPr="00C367AB">
        <w:rPr>
          <w:rFonts w:ascii="Garamond" w:hAnsi="Garamond" w:cs="Times New Roman"/>
          <w:sz w:val="21"/>
          <w:szCs w:val="21"/>
        </w:rPr>
        <w:t xml:space="preserve">However, </w:t>
      </w:r>
      <w:r w:rsidR="00C367AB">
        <w:rPr>
          <w:rFonts w:ascii="Garamond" w:hAnsi="Garamond" w:cs="Times New Roman"/>
          <w:sz w:val="21"/>
          <w:szCs w:val="21"/>
        </w:rPr>
        <w:t xml:space="preserve">influenced by lagged effects from end-year exchange rate depreciation, </w:t>
      </w:r>
      <w:r w:rsidR="00DB30DD" w:rsidRPr="00C367AB">
        <w:rPr>
          <w:rFonts w:ascii="Garamond" w:hAnsi="Garamond" w:cs="Times New Roman"/>
          <w:b/>
          <w:sz w:val="21"/>
          <w:szCs w:val="21"/>
        </w:rPr>
        <w:t xml:space="preserve">the 12-month inflation rate </w:t>
      </w:r>
      <w:r w:rsidR="00C367AB" w:rsidRPr="00C367AB">
        <w:rPr>
          <w:rFonts w:ascii="Garamond" w:hAnsi="Garamond" w:cs="Times New Roman"/>
          <w:b/>
          <w:sz w:val="21"/>
          <w:szCs w:val="21"/>
        </w:rPr>
        <w:t xml:space="preserve">somewhat </w:t>
      </w:r>
      <w:r w:rsidR="0071409D">
        <w:rPr>
          <w:rFonts w:ascii="Garamond" w:hAnsi="Garamond" w:cs="Times New Roman"/>
          <w:b/>
          <w:sz w:val="21"/>
          <w:szCs w:val="21"/>
        </w:rPr>
        <w:t>accelerated</w:t>
      </w:r>
      <w:r w:rsidR="00DB30DD" w:rsidRPr="00DB30DD">
        <w:rPr>
          <w:rFonts w:ascii="Garamond" w:hAnsi="Garamond" w:cs="Times New Roman"/>
          <w:sz w:val="21"/>
          <w:szCs w:val="21"/>
        </w:rPr>
        <w:t>,</w:t>
      </w:r>
      <w:r w:rsidR="00C367AB" w:rsidRPr="00C367AB">
        <w:rPr>
          <w:rFonts w:ascii="Garamond" w:hAnsi="Garamond" w:cs="Times New Roman"/>
          <w:sz w:val="21"/>
          <w:szCs w:val="21"/>
        </w:rPr>
        <w:t xml:space="preserve"> </w:t>
      </w:r>
      <w:r w:rsidR="00DB30DD">
        <w:rPr>
          <w:rFonts w:ascii="Garamond" w:hAnsi="Garamond" w:cs="Times New Roman"/>
          <w:sz w:val="21"/>
          <w:szCs w:val="21"/>
        </w:rPr>
        <w:t xml:space="preserve">as was expected </w:t>
      </w:r>
      <w:r w:rsidR="00C367AB">
        <w:rPr>
          <w:rFonts w:ascii="Garamond" w:hAnsi="Garamond" w:cs="Times New Roman"/>
          <w:sz w:val="21"/>
          <w:szCs w:val="21"/>
        </w:rPr>
        <w:t>(it approached the upper bound of the confidence band</w:t>
      </w:r>
      <w:r w:rsidR="00FB4275">
        <w:rPr>
          <w:rFonts w:ascii="Garamond" w:hAnsi="Garamond" w:cs="Times New Roman"/>
          <w:sz w:val="21"/>
          <w:szCs w:val="21"/>
        </w:rPr>
        <w:t>,</w:t>
      </w:r>
      <w:r w:rsidR="00C367AB">
        <w:rPr>
          <w:rFonts w:ascii="Garamond" w:hAnsi="Garamond" w:cs="Times New Roman"/>
          <w:sz w:val="21"/>
          <w:szCs w:val="21"/>
        </w:rPr>
        <w:t xml:space="preserve"> </w:t>
      </w:r>
      <w:r w:rsidR="00C367AB">
        <w:rPr>
          <w:rFonts w:ascii="Garamond" w:hAnsi="Garamond" w:cs="Times New Roman"/>
          <w:b/>
          <w:sz w:val="21"/>
          <w:szCs w:val="21"/>
        </w:rPr>
        <w:t xml:space="preserve">amounting to </w:t>
      </w:r>
      <w:r w:rsidR="00C367AB" w:rsidRPr="00C367AB">
        <w:rPr>
          <w:rFonts w:ascii="Garamond" w:hAnsi="Garamond" w:cs="Times New Roman"/>
          <w:b/>
          <w:sz w:val="21"/>
          <w:szCs w:val="21"/>
        </w:rPr>
        <w:t>5.8%</w:t>
      </w:r>
      <w:r w:rsidR="00C367AB">
        <w:rPr>
          <w:rFonts w:ascii="Garamond" w:hAnsi="Garamond" w:cs="Times New Roman"/>
          <w:b/>
          <w:sz w:val="21"/>
          <w:szCs w:val="21"/>
        </w:rPr>
        <w:t xml:space="preserve"> in late March</w:t>
      </w:r>
      <w:r w:rsidR="00C367AB" w:rsidRPr="00C367AB">
        <w:rPr>
          <w:rFonts w:ascii="Garamond" w:hAnsi="Garamond" w:cs="Times New Roman"/>
          <w:b/>
          <w:sz w:val="21"/>
          <w:szCs w:val="21"/>
        </w:rPr>
        <w:t>)</w:t>
      </w:r>
      <w:r w:rsidR="00C367AB">
        <w:rPr>
          <w:rFonts w:ascii="Garamond" w:hAnsi="Garamond" w:cs="Times New Roman"/>
          <w:sz w:val="21"/>
          <w:szCs w:val="21"/>
        </w:rPr>
        <w:t xml:space="preserve">. </w:t>
      </w:r>
    </w:p>
    <w:p w14:paraId="43D91B3C" w14:textId="24B9D910" w:rsidR="00204D17" w:rsidRPr="00204D17" w:rsidRDefault="00204D17" w:rsidP="004366A8">
      <w:pPr>
        <w:spacing w:line="360" w:lineRule="auto"/>
        <w:jc w:val="both"/>
        <w:rPr>
          <w:rFonts w:ascii="Garamond" w:hAnsi="Garamond" w:cs="Times New Roman"/>
          <w:b/>
          <w:color w:val="0070C0"/>
          <w:sz w:val="18"/>
          <w:szCs w:val="18"/>
        </w:rPr>
      </w:pPr>
      <w:r w:rsidRPr="00204D17">
        <w:rPr>
          <w:rFonts w:ascii="Garamond" w:hAnsi="Garamond" w:cs="Times New Roman"/>
          <w:b/>
          <w:color w:val="0070C0"/>
          <w:sz w:val="18"/>
          <w:szCs w:val="18"/>
        </w:rPr>
        <w:t>In the 1st quarter of 2015, the Central Bank loosened the monetary conditions remarkably by lowering the Lombard Repo Facility Rate from 20.0% to 12.0% as well as taking on some other macro-prudential measures…</w:t>
      </w:r>
    </w:p>
    <w:p w14:paraId="7AF6A330" w14:textId="35382703" w:rsidR="00784E9B" w:rsidRDefault="00FB4275" w:rsidP="004366A8">
      <w:pPr>
        <w:spacing w:line="360" w:lineRule="auto"/>
        <w:jc w:val="both"/>
        <w:rPr>
          <w:rFonts w:ascii="Garamond" w:hAnsi="Garamond" w:cs="Times New Roman"/>
          <w:color w:val="000000"/>
          <w:sz w:val="21"/>
          <w:szCs w:val="21"/>
        </w:rPr>
      </w:pPr>
      <w:r w:rsidRPr="00FB4275">
        <w:rPr>
          <w:rFonts w:ascii="Garamond" w:hAnsi="Garamond" w:cs="Times New Roman"/>
          <w:b/>
          <w:sz w:val="21"/>
          <w:szCs w:val="21"/>
        </w:rPr>
        <w:t>In the 1st quarter of 2015, the Central Bank loosened the monetary conditions remarkably</w:t>
      </w:r>
      <w:r>
        <w:rPr>
          <w:rFonts w:ascii="Garamond" w:hAnsi="Garamond" w:cs="Times New Roman"/>
          <w:sz w:val="21"/>
          <w:szCs w:val="21"/>
        </w:rPr>
        <w:t xml:space="preserve"> after the situation </w:t>
      </w:r>
      <w:r w:rsidR="004A6238">
        <w:rPr>
          <w:rFonts w:ascii="Garamond" w:hAnsi="Garamond" w:cs="Times New Roman"/>
          <w:sz w:val="21"/>
          <w:szCs w:val="21"/>
        </w:rPr>
        <w:t xml:space="preserve">in financial and commodity markets </w:t>
      </w:r>
      <w:r>
        <w:rPr>
          <w:rFonts w:ascii="Garamond" w:hAnsi="Garamond" w:cs="Times New Roman"/>
          <w:sz w:val="21"/>
          <w:szCs w:val="21"/>
        </w:rPr>
        <w:t xml:space="preserve">stabilized and inflation expectations were </w:t>
      </w:r>
      <w:r w:rsidR="00E80B36">
        <w:rPr>
          <w:rFonts w:ascii="Garamond" w:hAnsi="Garamond" w:cs="Times New Roman"/>
          <w:sz w:val="21"/>
          <w:szCs w:val="21"/>
        </w:rPr>
        <w:t>moderated</w:t>
      </w:r>
      <w:r w:rsidR="004A6238">
        <w:rPr>
          <w:rFonts w:ascii="Garamond" w:hAnsi="Garamond" w:cs="Times New Roman"/>
          <w:sz w:val="21"/>
          <w:szCs w:val="21"/>
        </w:rPr>
        <w:t>as a result of the Bank’s action at the end of the year</w:t>
      </w:r>
      <w:r>
        <w:rPr>
          <w:rFonts w:ascii="Garamond" w:hAnsi="Garamond" w:cs="Times New Roman"/>
          <w:sz w:val="21"/>
          <w:szCs w:val="21"/>
        </w:rPr>
        <w:t xml:space="preserve">. </w:t>
      </w:r>
      <w:r w:rsidR="004366A8" w:rsidRPr="004E7A10">
        <w:rPr>
          <w:rFonts w:ascii="Garamond" w:hAnsi="Garamond" w:cs="Times New Roman"/>
          <w:sz w:val="21"/>
          <w:szCs w:val="21"/>
        </w:rPr>
        <w:t xml:space="preserve">Specifically, </w:t>
      </w:r>
      <w:r w:rsidR="004A6238">
        <w:rPr>
          <w:rFonts w:ascii="Garamond" w:hAnsi="Garamond" w:cs="Times New Roman"/>
          <w:sz w:val="21"/>
          <w:szCs w:val="21"/>
        </w:rPr>
        <w:t>early in the year th</w:t>
      </w:r>
      <w:r w:rsidR="004366A8" w:rsidRPr="004E7A10">
        <w:rPr>
          <w:rFonts w:ascii="Garamond" w:hAnsi="Garamond" w:cs="Times New Roman"/>
          <w:sz w:val="21"/>
          <w:szCs w:val="21"/>
        </w:rPr>
        <w:t xml:space="preserve">e Bank </w:t>
      </w:r>
      <w:r w:rsidR="004A6238">
        <w:rPr>
          <w:rFonts w:ascii="Garamond" w:hAnsi="Garamond" w:cs="Times New Roman"/>
          <w:sz w:val="21"/>
          <w:szCs w:val="21"/>
        </w:rPr>
        <w:t xml:space="preserve">lowered </w:t>
      </w:r>
      <w:r w:rsidR="004366A8" w:rsidRPr="004E7A10">
        <w:rPr>
          <w:rFonts w:ascii="Garamond" w:hAnsi="Garamond" w:cs="Times New Roman"/>
          <w:sz w:val="21"/>
          <w:szCs w:val="21"/>
        </w:rPr>
        <w:t xml:space="preserve">the </w:t>
      </w:r>
      <w:r w:rsidR="004366A8" w:rsidRPr="004E7A10">
        <w:rPr>
          <w:rFonts w:ascii="Garamond" w:hAnsi="Garamond" w:cs="Times New Roman"/>
          <w:b/>
          <w:sz w:val="21"/>
          <w:szCs w:val="21"/>
        </w:rPr>
        <w:t xml:space="preserve">Lombard Repo Facility Rate from </w:t>
      </w:r>
      <w:r w:rsidR="004A6238">
        <w:rPr>
          <w:rFonts w:ascii="Garamond" w:hAnsi="Garamond" w:cs="Times New Roman"/>
          <w:b/>
          <w:sz w:val="21"/>
          <w:szCs w:val="21"/>
        </w:rPr>
        <w:t>20.0%</w:t>
      </w:r>
      <w:r w:rsidR="004366A8" w:rsidRPr="004E7A10">
        <w:rPr>
          <w:rFonts w:ascii="Garamond" w:hAnsi="Garamond" w:cs="Times New Roman"/>
          <w:b/>
          <w:sz w:val="21"/>
          <w:szCs w:val="21"/>
        </w:rPr>
        <w:t xml:space="preserve"> to </w:t>
      </w:r>
      <w:r w:rsidR="004A6238">
        <w:rPr>
          <w:rFonts w:ascii="Garamond" w:hAnsi="Garamond" w:cs="Times New Roman"/>
          <w:b/>
          <w:sz w:val="21"/>
          <w:szCs w:val="21"/>
        </w:rPr>
        <w:t>12</w:t>
      </w:r>
      <w:r w:rsidR="004366A8" w:rsidRPr="004E7A10">
        <w:rPr>
          <w:rFonts w:ascii="Garamond" w:hAnsi="Garamond" w:cs="Times New Roman"/>
          <w:b/>
          <w:sz w:val="21"/>
          <w:szCs w:val="21"/>
        </w:rPr>
        <w:t>.0%</w:t>
      </w:r>
      <w:r w:rsidR="004366A8" w:rsidRPr="004A6238">
        <w:rPr>
          <w:rFonts w:ascii="Garamond" w:hAnsi="Garamond" w:cs="Times New Roman"/>
          <w:sz w:val="21"/>
          <w:szCs w:val="21"/>
        </w:rPr>
        <w:t xml:space="preserve"> </w:t>
      </w:r>
      <w:r w:rsidR="004A6238">
        <w:rPr>
          <w:rFonts w:ascii="Garamond" w:hAnsi="Garamond" w:cs="Times New Roman"/>
          <w:sz w:val="21"/>
          <w:szCs w:val="21"/>
        </w:rPr>
        <w:t xml:space="preserve">and </w:t>
      </w:r>
      <w:r w:rsidR="00E80B36">
        <w:rPr>
          <w:rFonts w:ascii="Garamond" w:hAnsi="Garamond" w:cs="Times New Roman"/>
          <w:b/>
          <w:sz w:val="21"/>
          <w:szCs w:val="21"/>
        </w:rPr>
        <w:t>increased</w:t>
      </w:r>
      <w:r w:rsidR="00E80B36" w:rsidRPr="004A6238">
        <w:rPr>
          <w:rFonts w:ascii="Garamond" w:hAnsi="Garamond" w:cs="Times New Roman"/>
          <w:b/>
          <w:sz w:val="21"/>
          <w:szCs w:val="21"/>
        </w:rPr>
        <w:t xml:space="preserve"> </w:t>
      </w:r>
      <w:r w:rsidR="004366A8" w:rsidRPr="004A6238">
        <w:rPr>
          <w:rFonts w:ascii="Garamond" w:hAnsi="Garamond" w:cs="Times New Roman"/>
          <w:b/>
          <w:sz w:val="21"/>
          <w:szCs w:val="21"/>
        </w:rPr>
        <w:t xml:space="preserve">the </w:t>
      </w:r>
      <w:r w:rsidR="004A6238" w:rsidRPr="004A6238">
        <w:rPr>
          <w:rFonts w:ascii="Garamond" w:hAnsi="Garamond" w:cs="Times New Roman"/>
          <w:b/>
          <w:sz w:val="21"/>
          <w:szCs w:val="21"/>
        </w:rPr>
        <w:t>Refinancing Rate by 2.0 pp to 10.5%</w:t>
      </w:r>
      <w:r w:rsidR="004A6238">
        <w:rPr>
          <w:rFonts w:ascii="Garamond" w:hAnsi="Garamond" w:cs="Times New Roman"/>
          <w:sz w:val="21"/>
          <w:szCs w:val="21"/>
        </w:rPr>
        <w:t xml:space="preserve"> in response to </w:t>
      </w:r>
      <w:r w:rsidR="004A6238" w:rsidRPr="004A6238">
        <w:rPr>
          <w:rFonts w:ascii="Garamond" w:hAnsi="Garamond" w:cs="Times New Roman"/>
          <w:sz w:val="21"/>
          <w:szCs w:val="21"/>
        </w:rPr>
        <w:t>investment risk</w:t>
      </w:r>
      <w:r w:rsidR="004A6238">
        <w:rPr>
          <w:rFonts w:ascii="Garamond" w:hAnsi="Garamond" w:cs="Times New Roman"/>
          <w:sz w:val="21"/>
          <w:szCs w:val="21"/>
        </w:rPr>
        <w:t>s</w:t>
      </w:r>
      <w:r w:rsidR="004A6238" w:rsidRPr="004A6238">
        <w:rPr>
          <w:rFonts w:ascii="Garamond" w:hAnsi="Garamond" w:cs="Times New Roman"/>
          <w:sz w:val="21"/>
          <w:szCs w:val="21"/>
        </w:rPr>
        <w:t xml:space="preserve"> and interest rate trends </w:t>
      </w:r>
      <w:r w:rsidR="004A6238">
        <w:rPr>
          <w:rFonts w:ascii="Garamond" w:hAnsi="Garamond" w:cs="Times New Roman"/>
          <w:sz w:val="21"/>
          <w:szCs w:val="21"/>
        </w:rPr>
        <w:t xml:space="preserve">in developing countries in a long-term perspective. </w:t>
      </w:r>
      <w:r w:rsidR="00423AAE" w:rsidRPr="004E7A10">
        <w:rPr>
          <w:rFonts w:ascii="Garamond" w:hAnsi="Garamond" w:cs="Times New Roman"/>
          <w:sz w:val="21"/>
          <w:szCs w:val="21"/>
        </w:rPr>
        <w:t xml:space="preserve">These actions helped </w:t>
      </w:r>
      <w:r w:rsidR="00423AAE" w:rsidRPr="004E7A10">
        <w:rPr>
          <w:rFonts w:ascii="Garamond" w:hAnsi="Garamond" w:cs="Times New Roman"/>
          <w:color w:val="000000"/>
          <w:sz w:val="21"/>
          <w:szCs w:val="21"/>
        </w:rPr>
        <w:t xml:space="preserve">the Lombard Repo Facility Rate to again uphold an accepted 1.5 percentage point spread from the Refinancing Rate and </w:t>
      </w:r>
      <w:r w:rsidR="00423AAE">
        <w:rPr>
          <w:rFonts w:ascii="Garamond" w:hAnsi="Garamond" w:cs="Times New Roman"/>
          <w:color w:val="000000"/>
          <w:sz w:val="21"/>
          <w:szCs w:val="21"/>
        </w:rPr>
        <w:t xml:space="preserve">curtailed the spread between the policy rate and </w:t>
      </w:r>
      <w:r w:rsidR="00423AAE" w:rsidRPr="004E7A10">
        <w:rPr>
          <w:rFonts w:ascii="Garamond" w:hAnsi="Garamond" w:cs="Times New Roman"/>
          <w:sz w:val="21"/>
          <w:szCs w:val="21"/>
        </w:rPr>
        <w:t>short-term market rates.</w:t>
      </w:r>
      <w:r w:rsidR="00423AAE">
        <w:rPr>
          <w:rFonts w:ascii="Garamond" w:hAnsi="Garamond" w:cs="Times New Roman"/>
          <w:sz w:val="21"/>
          <w:szCs w:val="21"/>
        </w:rPr>
        <w:t xml:space="preserve"> </w:t>
      </w:r>
      <w:r w:rsidR="00423AAE" w:rsidRPr="00423AAE">
        <w:rPr>
          <w:rFonts w:ascii="Garamond" w:hAnsi="Garamond" w:cs="Times New Roman"/>
          <w:b/>
          <w:sz w:val="21"/>
          <w:szCs w:val="21"/>
        </w:rPr>
        <w:t xml:space="preserve">Monetary conditions were </w:t>
      </w:r>
      <w:r w:rsidR="00E80B36">
        <w:rPr>
          <w:rFonts w:ascii="Garamond" w:hAnsi="Garamond" w:cs="Times New Roman"/>
          <w:b/>
          <w:sz w:val="21"/>
          <w:szCs w:val="21"/>
        </w:rPr>
        <w:t xml:space="preserve">loosened </w:t>
      </w:r>
      <w:r w:rsidR="00423AAE" w:rsidRPr="00423AAE">
        <w:rPr>
          <w:rFonts w:ascii="Garamond" w:hAnsi="Garamond" w:cs="Times New Roman"/>
          <w:b/>
          <w:sz w:val="21"/>
          <w:szCs w:val="21"/>
        </w:rPr>
        <w:t>also in the context of</w:t>
      </w:r>
      <w:r w:rsidR="00423AAE">
        <w:rPr>
          <w:rFonts w:ascii="Garamond" w:hAnsi="Garamond" w:cs="Times New Roman"/>
          <w:sz w:val="21"/>
          <w:szCs w:val="21"/>
        </w:rPr>
        <w:t xml:space="preserve"> o</w:t>
      </w:r>
      <w:r w:rsidR="00423AAE" w:rsidRPr="004E7A10">
        <w:rPr>
          <w:rFonts w:ascii="Garamond" w:hAnsi="Garamond" w:cs="Times New Roman"/>
          <w:b/>
          <w:color w:val="000000"/>
          <w:sz w:val="21"/>
          <w:szCs w:val="21"/>
        </w:rPr>
        <w:t>ther macro-prudential measures</w:t>
      </w:r>
      <w:r w:rsidR="00423AAE">
        <w:rPr>
          <w:rFonts w:ascii="Garamond" w:hAnsi="Garamond" w:cs="Times New Roman"/>
          <w:color w:val="000000"/>
          <w:sz w:val="21"/>
          <w:szCs w:val="21"/>
        </w:rPr>
        <w:t xml:space="preserve">. Specifically, </w:t>
      </w:r>
      <w:r w:rsidR="00423AAE" w:rsidRPr="00784E9B">
        <w:rPr>
          <w:rFonts w:ascii="Garamond" w:hAnsi="Garamond" w:cs="Times New Roman"/>
          <w:b/>
          <w:color w:val="000000"/>
          <w:sz w:val="21"/>
          <w:szCs w:val="21"/>
        </w:rPr>
        <w:t>a zero or weak mechanism of reserve requirement</w:t>
      </w:r>
      <w:r w:rsidR="00423AAE" w:rsidRPr="00423AAE">
        <w:rPr>
          <w:rFonts w:ascii="Garamond" w:hAnsi="Garamond" w:cs="Times New Roman"/>
          <w:color w:val="000000"/>
          <w:sz w:val="21"/>
          <w:szCs w:val="21"/>
        </w:rPr>
        <w:t xml:space="preserve"> for</w:t>
      </w:r>
      <w:r w:rsidR="00423AAE" w:rsidRPr="004E7A10">
        <w:rPr>
          <w:rFonts w:ascii="Garamond" w:hAnsi="Garamond" w:cs="Times New Roman"/>
          <w:color w:val="000000"/>
          <w:sz w:val="21"/>
          <w:szCs w:val="21"/>
        </w:rPr>
        <w:t xml:space="preserve"> long-term funds attracted by banks</w:t>
      </w:r>
      <w:r w:rsidR="00784E9B">
        <w:rPr>
          <w:rFonts w:ascii="Garamond" w:hAnsi="Garamond" w:cs="Times New Roman"/>
          <w:color w:val="000000"/>
          <w:sz w:val="21"/>
          <w:szCs w:val="21"/>
        </w:rPr>
        <w:t>,</w:t>
      </w:r>
      <w:r w:rsidR="00423AAE" w:rsidRPr="004E7A10">
        <w:rPr>
          <w:rFonts w:ascii="Garamond" w:hAnsi="Garamond" w:cs="Times New Roman"/>
          <w:color w:val="000000"/>
          <w:sz w:val="21"/>
          <w:szCs w:val="21"/>
        </w:rPr>
        <w:t xml:space="preserve"> </w:t>
      </w:r>
      <w:r w:rsidR="00784E9B">
        <w:rPr>
          <w:rFonts w:ascii="Garamond" w:hAnsi="Garamond" w:cs="Times New Roman"/>
          <w:color w:val="000000"/>
          <w:sz w:val="21"/>
          <w:szCs w:val="21"/>
        </w:rPr>
        <w:t xml:space="preserve">made </w:t>
      </w:r>
      <w:r w:rsidR="00423AAE" w:rsidRPr="004E7A10">
        <w:rPr>
          <w:rFonts w:ascii="Garamond" w:hAnsi="Garamond" w:cs="Times New Roman"/>
          <w:color w:val="000000"/>
          <w:sz w:val="21"/>
          <w:szCs w:val="21"/>
        </w:rPr>
        <w:t xml:space="preserve">effective </w:t>
      </w:r>
      <w:r w:rsidR="00784E9B">
        <w:rPr>
          <w:rFonts w:ascii="Garamond" w:hAnsi="Garamond" w:cs="Times New Roman"/>
          <w:color w:val="000000"/>
          <w:sz w:val="21"/>
          <w:szCs w:val="21"/>
        </w:rPr>
        <w:t xml:space="preserve">from </w:t>
      </w:r>
      <w:r w:rsidR="00423AAE" w:rsidRPr="004E7A10">
        <w:rPr>
          <w:rFonts w:ascii="Garamond" w:hAnsi="Garamond" w:cs="Times New Roman"/>
          <w:color w:val="000000"/>
          <w:sz w:val="21"/>
          <w:szCs w:val="21"/>
        </w:rPr>
        <w:t>the 1st quarter</w:t>
      </w:r>
      <w:r w:rsidR="00784E9B">
        <w:rPr>
          <w:rFonts w:ascii="Garamond" w:hAnsi="Garamond" w:cs="Times New Roman"/>
          <w:color w:val="000000"/>
          <w:sz w:val="21"/>
          <w:szCs w:val="21"/>
        </w:rPr>
        <w:t xml:space="preserve"> of 2015, somehow offset the effect of the reserve requirement mechanism that had been tightened at the end of the last year. </w:t>
      </w:r>
    </w:p>
    <w:p w14:paraId="62DF52D5" w14:textId="463D6007" w:rsidR="003968DB" w:rsidRDefault="00152263" w:rsidP="004366A8">
      <w:pPr>
        <w:spacing w:line="360" w:lineRule="auto"/>
        <w:jc w:val="both"/>
        <w:rPr>
          <w:rFonts w:ascii="Garamond" w:hAnsi="Garamond" w:cs="Times New Roman"/>
          <w:sz w:val="21"/>
          <w:szCs w:val="21"/>
        </w:rPr>
      </w:pPr>
      <w:r w:rsidRPr="00152263">
        <w:rPr>
          <w:rFonts w:ascii="Garamond" w:hAnsi="Garamond" w:cs="Times New Roman"/>
          <w:b/>
          <w:sz w:val="21"/>
          <w:szCs w:val="21"/>
        </w:rPr>
        <w:lastRenderedPageBreak/>
        <w:t>Regarding the Central Bank’s macroeconomic forecasts</w:t>
      </w:r>
      <w:r>
        <w:rPr>
          <w:rFonts w:ascii="Garamond" w:hAnsi="Garamond" w:cs="Times New Roman"/>
          <w:sz w:val="21"/>
          <w:szCs w:val="21"/>
        </w:rPr>
        <w:t>,</w:t>
      </w:r>
      <w:r w:rsidRPr="00152263">
        <w:rPr>
          <w:rFonts w:ascii="Garamond" w:hAnsi="Garamond" w:cs="Times New Roman"/>
          <w:sz w:val="21"/>
          <w:szCs w:val="21"/>
        </w:rPr>
        <w:t xml:space="preserve"> the 2015 economic growth forecast</w:t>
      </w:r>
      <w:r>
        <w:rPr>
          <w:rFonts w:ascii="Garamond" w:hAnsi="Garamond" w:cs="Times New Roman"/>
          <w:sz w:val="21"/>
          <w:szCs w:val="21"/>
        </w:rPr>
        <w:t>s</w:t>
      </w:r>
      <w:r w:rsidRPr="00152263">
        <w:rPr>
          <w:rFonts w:ascii="Garamond" w:hAnsi="Garamond" w:cs="Times New Roman"/>
          <w:sz w:val="21"/>
          <w:szCs w:val="21"/>
        </w:rPr>
        <w:t xml:space="preserve"> ha</w:t>
      </w:r>
      <w:r>
        <w:rPr>
          <w:rFonts w:ascii="Garamond" w:hAnsi="Garamond" w:cs="Times New Roman"/>
          <w:sz w:val="21"/>
          <w:szCs w:val="21"/>
        </w:rPr>
        <w:t xml:space="preserve">ve </w:t>
      </w:r>
      <w:r w:rsidRPr="00152263">
        <w:rPr>
          <w:rFonts w:ascii="Garamond" w:hAnsi="Garamond" w:cs="Times New Roman"/>
          <w:sz w:val="21"/>
          <w:szCs w:val="21"/>
        </w:rPr>
        <w:t xml:space="preserve">been revised </w:t>
      </w:r>
      <w:r>
        <w:rPr>
          <w:rFonts w:ascii="Garamond" w:hAnsi="Garamond" w:cs="Times New Roman"/>
          <w:sz w:val="21"/>
          <w:szCs w:val="21"/>
        </w:rPr>
        <w:t xml:space="preserve">somewhat </w:t>
      </w:r>
      <w:r w:rsidRPr="00152263">
        <w:rPr>
          <w:rFonts w:ascii="Garamond" w:hAnsi="Garamond" w:cs="Times New Roman"/>
          <w:sz w:val="21"/>
          <w:szCs w:val="21"/>
        </w:rPr>
        <w:t xml:space="preserve">upward </w:t>
      </w:r>
      <w:r>
        <w:rPr>
          <w:rFonts w:ascii="Garamond" w:hAnsi="Garamond" w:cs="Times New Roman"/>
          <w:sz w:val="21"/>
          <w:szCs w:val="21"/>
        </w:rPr>
        <w:t xml:space="preserve">in consideration of maintained </w:t>
      </w:r>
      <w:r w:rsidRPr="00152263">
        <w:rPr>
          <w:rFonts w:ascii="Garamond" w:hAnsi="Garamond" w:cs="Times New Roman"/>
          <w:sz w:val="21"/>
          <w:szCs w:val="21"/>
        </w:rPr>
        <w:t>financial stability, significant</w:t>
      </w:r>
      <w:r>
        <w:rPr>
          <w:rFonts w:ascii="Garamond" w:hAnsi="Garamond" w:cs="Times New Roman"/>
          <w:sz w:val="21"/>
          <w:szCs w:val="21"/>
        </w:rPr>
        <w:t>ly</w:t>
      </w:r>
      <w:r w:rsidRPr="00152263">
        <w:rPr>
          <w:rFonts w:ascii="Garamond" w:hAnsi="Garamond" w:cs="Times New Roman"/>
          <w:sz w:val="21"/>
          <w:szCs w:val="21"/>
        </w:rPr>
        <w:t xml:space="preserve"> </w:t>
      </w:r>
      <w:r>
        <w:rPr>
          <w:rFonts w:ascii="Garamond" w:hAnsi="Garamond" w:cs="Times New Roman"/>
          <w:sz w:val="21"/>
          <w:szCs w:val="21"/>
        </w:rPr>
        <w:t xml:space="preserve">loosened </w:t>
      </w:r>
      <w:r w:rsidRPr="00152263">
        <w:rPr>
          <w:rFonts w:ascii="Garamond" w:hAnsi="Garamond" w:cs="Times New Roman"/>
          <w:sz w:val="21"/>
          <w:szCs w:val="21"/>
        </w:rPr>
        <w:t xml:space="preserve">monetary policy </w:t>
      </w:r>
      <w:r>
        <w:rPr>
          <w:rFonts w:ascii="Garamond" w:hAnsi="Garamond" w:cs="Times New Roman"/>
          <w:sz w:val="21"/>
          <w:szCs w:val="21"/>
        </w:rPr>
        <w:t xml:space="preserve">conditions </w:t>
      </w:r>
      <w:r w:rsidRPr="00152263">
        <w:rPr>
          <w:rFonts w:ascii="Garamond" w:hAnsi="Garamond" w:cs="Times New Roman"/>
          <w:sz w:val="21"/>
          <w:szCs w:val="21"/>
        </w:rPr>
        <w:t xml:space="preserve">in the </w:t>
      </w:r>
      <w:r>
        <w:rPr>
          <w:rFonts w:ascii="Garamond" w:hAnsi="Garamond" w:cs="Times New Roman"/>
          <w:sz w:val="21"/>
          <w:szCs w:val="21"/>
        </w:rPr>
        <w:t>1</w:t>
      </w:r>
      <w:r w:rsidRPr="00152263">
        <w:rPr>
          <w:rFonts w:ascii="Garamond" w:hAnsi="Garamond" w:cs="Times New Roman"/>
          <w:sz w:val="21"/>
          <w:szCs w:val="21"/>
        </w:rPr>
        <w:t>st quarter</w:t>
      </w:r>
      <w:r>
        <w:rPr>
          <w:rFonts w:ascii="Garamond" w:hAnsi="Garamond" w:cs="Times New Roman"/>
          <w:sz w:val="21"/>
          <w:szCs w:val="21"/>
        </w:rPr>
        <w:t xml:space="preserve"> of 2015</w:t>
      </w:r>
      <w:r w:rsidRPr="00152263">
        <w:rPr>
          <w:rFonts w:ascii="Garamond" w:hAnsi="Garamond" w:cs="Times New Roman"/>
          <w:sz w:val="21"/>
          <w:szCs w:val="21"/>
        </w:rPr>
        <w:t xml:space="preserve">, </w:t>
      </w:r>
      <w:r>
        <w:rPr>
          <w:rFonts w:ascii="Garamond" w:hAnsi="Garamond" w:cs="Times New Roman"/>
          <w:sz w:val="21"/>
          <w:szCs w:val="21"/>
        </w:rPr>
        <w:t xml:space="preserve">fewer </w:t>
      </w:r>
      <w:r w:rsidRPr="00152263">
        <w:rPr>
          <w:rFonts w:ascii="Garamond" w:hAnsi="Garamond" w:cs="Times New Roman"/>
          <w:sz w:val="21"/>
          <w:szCs w:val="21"/>
        </w:rPr>
        <w:t>uncertaint</w:t>
      </w:r>
      <w:r>
        <w:rPr>
          <w:rFonts w:ascii="Garamond" w:hAnsi="Garamond" w:cs="Times New Roman"/>
          <w:sz w:val="21"/>
          <w:szCs w:val="21"/>
        </w:rPr>
        <w:t xml:space="preserve">ies </w:t>
      </w:r>
      <w:r w:rsidRPr="00152263">
        <w:rPr>
          <w:rFonts w:ascii="Garamond" w:hAnsi="Garamond" w:cs="Times New Roman"/>
          <w:sz w:val="21"/>
          <w:szCs w:val="21"/>
        </w:rPr>
        <w:t xml:space="preserve">in the external sector, </w:t>
      </w:r>
      <w:r>
        <w:rPr>
          <w:rFonts w:ascii="Garamond" w:hAnsi="Garamond" w:cs="Times New Roman"/>
          <w:sz w:val="21"/>
          <w:szCs w:val="21"/>
        </w:rPr>
        <w:t xml:space="preserve">a more-than-expected stimulating </w:t>
      </w:r>
      <w:r w:rsidRPr="00152263">
        <w:rPr>
          <w:rFonts w:ascii="Garamond" w:hAnsi="Garamond" w:cs="Times New Roman"/>
          <w:sz w:val="21"/>
          <w:szCs w:val="21"/>
        </w:rPr>
        <w:t>fiscal policy implementation and positive development</w:t>
      </w:r>
      <w:r>
        <w:rPr>
          <w:rFonts w:ascii="Garamond" w:hAnsi="Garamond" w:cs="Times New Roman"/>
          <w:sz w:val="21"/>
          <w:szCs w:val="21"/>
        </w:rPr>
        <w:t>s</w:t>
      </w:r>
      <w:r w:rsidRPr="00152263">
        <w:rPr>
          <w:rFonts w:ascii="Garamond" w:hAnsi="Garamond" w:cs="Times New Roman"/>
          <w:sz w:val="21"/>
          <w:szCs w:val="21"/>
        </w:rPr>
        <w:t xml:space="preserve"> </w:t>
      </w:r>
      <w:r>
        <w:rPr>
          <w:rFonts w:ascii="Garamond" w:hAnsi="Garamond" w:cs="Times New Roman"/>
          <w:sz w:val="21"/>
          <w:szCs w:val="21"/>
        </w:rPr>
        <w:t xml:space="preserve">reported </w:t>
      </w:r>
      <w:r w:rsidRPr="00152263">
        <w:rPr>
          <w:rFonts w:ascii="Garamond" w:hAnsi="Garamond" w:cs="Times New Roman"/>
          <w:sz w:val="21"/>
          <w:szCs w:val="21"/>
        </w:rPr>
        <w:t xml:space="preserve">in agriculture. At the same time, </w:t>
      </w:r>
      <w:r>
        <w:rPr>
          <w:rFonts w:ascii="Garamond" w:hAnsi="Garamond" w:cs="Times New Roman"/>
          <w:sz w:val="21"/>
          <w:szCs w:val="21"/>
        </w:rPr>
        <w:t xml:space="preserve">in view of higher </w:t>
      </w:r>
      <w:r w:rsidRPr="00152263">
        <w:rPr>
          <w:rFonts w:ascii="Garamond" w:hAnsi="Garamond" w:cs="Times New Roman"/>
          <w:sz w:val="21"/>
          <w:szCs w:val="21"/>
        </w:rPr>
        <w:t xml:space="preserve">appreciation of the Russian ruble </w:t>
      </w:r>
      <w:r>
        <w:rPr>
          <w:rFonts w:ascii="Garamond" w:hAnsi="Garamond" w:cs="Times New Roman"/>
          <w:sz w:val="21"/>
          <w:szCs w:val="21"/>
        </w:rPr>
        <w:t xml:space="preserve">in </w:t>
      </w:r>
      <w:r w:rsidRPr="00152263">
        <w:rPr>
          <w:rFonts w:ascii="Garamond" w:hAnsi="Garamond" w:cs="Times New Roman"/>
          <w:sz w:val="21"/>
          <w:szCs w:val="21"/>
        </w:rPr>
        <w:t>compar</w:t>
      </w:r>
      <w:r>
        <w:rPr>
          <w:rFonts w:ascii="Garamond" w:hAnsi="Garamond" w:cs="Times New Roman"/>
          <w:sz w:val="21"/>
          <w:szCs w:val="21"/>
        </w:rPr>
        <w:t xml:space="preserve">ison with the anticipation, </w:t>
      </w:r>
      <w:r w:rsidRPr="00152263">
        <w:rPr>
          <w:rFonts w:ascii="Garamond" w:hAnsi="Garamond" w:cs="Times New Roman"/>
          <w:sz w:val="21"/>
          <w:szCs w:val="21"/>
        </w:rPr>
        <w:t xml:space="preserve">the dollar value of </w:t>
      </w:r>
      <w:r w:rsidR="00A84568">
        <w:rPr>
          <w:rFonts w:ascii="Garamond" w:hAnsi="Garamond" w:cs="Times New Roman"/>
          <w:sz w:val="21"/>
          <w:szCs w:val="21"/>
        </w:rPr>
        <w:t xml:space="preserve">private </w:t>
      </w:r>
      <w:r w:rsidRPr="00152263">
        <w:rPr>
          <w:rFonts w:ascii="Garamond" w:hAnsi="Garamond" w:cs="Times New Roman"/>
          <w:sz w:val="21"/>
          <w:szCs w:val="21"/>
        </w:rPr>
        <w:t>remittances is expected to decline at a slower rate.</w:t>
      </w:r>
      <w:r>
        <w:rPr>
          <w:rFonts w:ascii="Garamond" w:hAnsi="Garamond" w:cs="Times New Roman"/>
          <w:sz w:val="21"/>
          <w:szCs w:val="21"/>
        </w:rPr>
        <w:t xml:space="preserve"> </w:t>
      </w:r>
      <w:r w:rsidR="00784E9B" w:rsidRPr="004E7A10">
        <w:rPr>
          <w:rFonts w:ascii="Garamond" w:hAnsi="Garamond" w:cs="Times New Roman"/>
          <w:sz w:val="21"/>
          <w:szCs w:val="21"/>
        </w:rPr>
        <w:t xml:space="preserve">As a result, </w:t>
      </w:r>
      <w:r w:rsidR="00784E9B" w:rsidRPr="004E7A10">
        <w:rPr>
          <w:rFonts w:ascii="Garamond" w:hAnsi="Garamond" w:cs="Times New Roman"/>
          <w:b/>
          <w:sz w:val="21"/>
          <w:szCs w:val="21"/>
        </w:rPr>
        <w:t xml:space="preserve">the 2015 economic growth </w:t>
      </w:r>
      <w:r w:rsidR="00A84568">
        <w:rPr>
          <w:rFonts w:ascii="Garamond" w:hAnsi="Garamond" w:cs="Times New Roman"/>
          <w:b/>
          <w:sz w:val="21"/>
          <w:szCs w:val="21"/>
        </w:rPr>
        <w:t xml:space="preserve">is </w:t>
      </w:r>
      <w:r w:rsidR="00784E9B" w:rsidRPr="004E7A10">
        <w:rPr>
          <w:rFonts w:ascii="Garamond" w:hAnsi="Garamond" w:cs="Times New Roman"/>
          <w:b/>
          <w:sz w:val="21"/>
          <w:szCs w:val="21"/>
        </w:rPr>
        <w:t>forecast in the range of 1.6%-2.6%</w:t>
      </w:r>
      <w:r w:rsidR="00784E9B" w:rsidRPr="004E7A10">
        <w:rPr>
          <w:rFonts w:ascii="Garamond" w:hAnsi="Garamond" w:cs="Times New Roman"/>
          <w:sz w:val="21"/>
          <w:szCs w:val="21"/>
        </w:rPr>
        <w:t>, w</w:t>
      </w:r>
      <w:r w:rsidR="00A84568">
        <w:rPr>
          <w:rFonts w:ascii="Garamond" w:hAnsi="Garamond" w:cs="Times New Roman"/>
          <w:sz w:val="21"/>
          <w:szCs w:val="21"/>
        </w:rPr>
        <w:t>ith agriculture and services sectors to be the main drivers. Influenced by the aforementioned factors, the decline in private spending will be slower in 2015</w:t>
      </w:r>
      <w:r w:rsidR="003968DB">
        <w:rPr>
          <w:rFonts w:ascii="Garamond" w:hAnsi="Garamond" w:cs="Times New Roman"/>
          <w:sz w:val="21"/>
          <w:szCs w:val="21"/>
        </w:rPr>
        <w:t xml:space="preserve"> </w:t>
      </w:r>
      <w:r w:rsidR="00A84568">
        <w:rPr>
          <w:rFonts w:ascii="Garamond" w:hAnsi="Garamond" w:cs="Times New Roman"/>
          <w:sz w:val="21"/>
          <w:szCs w:val="21"/>
        </w:rPr>
        <w:t xml:space="preserve">while positive developments in construction will </w:t>
      </w:r>
      <w:r w:rsidR="003968DB">
        <w:rPr>
          <w:rFonts w:ascii="Garamond" w:hAnsi="Garamond" w:cs="Times New Roman"/>
          <w:sz w:val="21"/>
          <w:szCs w:val="21"/>
        </w:rPr>
        <w:t xml:space="preserve">facilitate weak </w:t>
      </w:r>
      <w:r w:rsidR="00A84568">
        <w:rPr>
          <w:rFonts w:ascii="Garamond" w:hAnsi="Garamond" w:cs="Times New Roman"/>
          <w:sz w:val="21"/>
          <w:szCs w:val="21"/>
        </w:rPr>
        <w:t xml:space="preserve">investment climate </w:t>
      </w:r>
      <w:r w:rsidR="003968DB">
        <w:rPr>
          <w:rFonts w:ascii="Garamond" w:hAnsi="Garamond" w:cs="Times New Roman"/>
          <w:sz w:val="21"/>
          <w:szCs w:val="21"/>
        </w:rPr>
        <w:t xml:space="preserve">to decline lesser than anticipated. </w:t>
      </w:r>
    </w:p>
    <w:p w14:paraId="2C79B2E3" w14:textId="77777777" w:rsidR="00B62AF9" w:rsidRPr="00B62AF9" w:rsidRDefault="00B62AF9" w:rsidP="004366A8">
      <w:pPr>
        <w:spacing w:line="360" w:lineRule="auto"/>
        <w:jc w:val="both"/>
        <w:rPr>
          <w:rFonts w:ascii="Garamond" w:hAnsi="Garamond" w:cs="Times New Roman"/>
          <w:b/>
          <w:color w:val="0070C0"/>
          <w:sz w:val="18"/>
          <w:szCs w:val="18"/>
        </w:rPr>
      </w:pPr>
      <w:r w:rsidRPr="00B62AF9">
        <w:rPr>
          <w:rFonts w:ascii="Garamond" w:hAnsi="Garamond" w:cs="Times New Roman"/>
          <w:b/>
          <w:color w:val="0070C0"/>
          <w:sz w:val="18"/>
          <w:szCs w:val="18"/>
        </w:rPr>
        <w:t>The 2015 economic growth is forecast in the range of 1.6%-2.6%, with agriculture and services sectors to be the main drivers…</w:t>
      </w:r>
    </w:p>
    <w:p w14:paraId="53D06B75" w14:textId="3B99C063" w:rsidR="005930EC" w:rsidRDefault="003968DB" w:rsidP="004366A8">
      <w:pPr>
        <w:spacing w:line="360" w:lineRule="auto"/>
        <w:jc w:val="both"/>
        <w:rPr>
          <w:rFonts w:ascii="Garamond" w:hAnsi="Garamond" w:cs="Times New Roman"/>
          <w:bCs/>
          <w:iCs/>
          <w:sz w:val="21"/>
          <w:szCs w:val="21"/>
        </w:rPr>
      </w:pPr>
      <w:r w:rsidRPr="004E7A10">
        <w:rPr>
          <w:rFonts w:ascii="Garamond" w:hAnsi="Garamond" w:cs="Times New Roman"/>
          <w:b/>
          <w:sz w:val="21"/>
          <w:szCs w:val="21"/>
        </w:rPr>
        <w:t>In the forecast horizon,</w:t>
      </w:r>
      <w:r w:rsidRPr="004E7A10">
        <w:rPr>
          <w:rFonts w:ascii="Garamond" w:hAnsi="Garamond" w:cs="Times New Roman"/>
          <w:sz w:val="21"/>
          <w:szCs w:val="21"/>
        </w:rPr>
        <w:t xml:space="preserve"> </w:t>
      </w:r>
      <w:r w:rsidRPr="004E7A10">
        <w:rPr>
          <w:rFonts w:ascii="Garamond" w:hAnsi="Garamond" w:cs="Times New Roman"/>
          <w:b/>
          <w:sz w:val="21"/>
          <w:szCs w:val="21"/>
        </w:rPr>
        <w:t>the 2016 economic growth rates will persist at the same level</w:t>
      </w:r>
      <w:r w:rsidRPr="009D48F7">
        <w:rPr>
          <w:rFonts w:ascii="Garamond" w:hAnsi="Garamond" w:cs="Times New Roman"/>
          <w:b/>
          <w:sz w:val="21"/>
          <w:szCs w:val="21"/>
        </w:rPr>
        <w:t xml:space="preserve"> then will speed up</w:t>
      </w:r>
      <w:r w:rsidRPr="004E7A10">
        <w:rPr>
          <w:rFonts w:ascii="Garamond" w:hAnsi="Garamond" w:cs="Times New Roman"/>
          <w:sz w:val="21"/>
          <w:szCs w:val="21"/>
        </w:rPr>
        <w:t>, owing to a bunch of programs the Government p</w:t>
      </w:r>
      <w:r w:rsidR="00E80B36">
        <w:rPr>
          <w:rFonts w:ascii="Garamond" w:hAnsi="Garamond" w:cs="Times New Roman"/>
          <w:sz w:val="21"/>
          <w:szCs w:val="21"/>
        </w:rPr>
        <w:t>rograms</w:t>
      </w:r>
      <w:r w:rsidRPr="004E7A10">
        <w:rPr>
          <w:rFonts w:ascii="Garamond" w:hAnsi="Garamond" w:cs="Times New Roman"/>
          <w:sz w:val="21"/>
          <w:szCs w:val="21"/>
        </w:rPr>
        <w:t xml:space="preserve"> to carry</w:t>
      </w:r>
      <w:r w:rsidR="009D48F7">
        <w:rPr>
          <w:rFonts w:ascii="Garamond" w:hAnsi="Garamond" w:cs="Times New Roman"/>
          <w:sz w:val="21"/>
          <w:szCs w:val="21"/>
        </w:rPr>
        <w:t xml:space="preserve"> out in the tradable sector and </w:t>
      </w:r>
      <w:r w:rsidRPr="004E7A10">
        <w:rPr>
          <w:rFonts w:ascii="Garamond" w:hAnsi="Garamond" w:cs="Times New Roman"/>
          <w:sz w:val="21"/>
          <w:szCs w:val="21"/>
        </w:rPr>
        <w:t>continued improvement in external economic environment</w:t>
      </w:r>
      <w:r w:rsidR="009D48F7">
        <w:rPr>
          <w:rFonts w:ascii="Garamond" w:hAnsi="Garamond" w:cs="Times New Roman"/>
          <w:sz w:val="21"/>
          <w:szCs w:val="21"/>
        </w:rPr>
        <w:t>.</w:t>
      </w:r>
      <w:r w:rsidRPr="004E7A10">
        <w:rPr>
          <w:rFonts w:ascii="Garamond" w:hAnsi="Garamond" w:cs="Times New Roman"/>
          <w:sz w:val="21"/>
          <w:szCs w:val="21"/>
        </w:rPr>
        <w:t xml:space="preserve"> </w:t>
      </w:r>
      <w:r w:rsidR="003966B9" w:rsidRPr="003966B9">
        <w:rPr>
          <w:rFonts w:ascii="Garamond" w:hAnsi="Garamond" w:cs="Times New Roman"/>
          <w:sz w:val="21"/>
          <w:szCs w:val="21"/>
        </w:rPr>
        <w:t xml:space="preserve">The above developments </w:t>
      </w:r>
      <w:r w:rsidR="003966B9">
        <w:rPr>
          <w:rFonts w:ascii="Garamond" w:hAnsi="Garamond" w:cs="Times New Roman"/>
          <w:sz w:val="21"/>
          <w:szCs w:val="21"/>
        </w:rPr>
        <w:t xml:space="preserve">will prompt the private spending to gradually rebound in the period </w:t>
      </w:r>
      <w:r w:rsidR="003966B9" w:rsidRPr="003966B9">
        <w:rPr>
          <w:rFonts w:ascii="Garamond" w:hAnsi="Garamond" w:cs="Times New Roman"/>
          <w:sz w:val="21"/>
          <w:szCs w:val="21"/>
        </w:rPr>
        <w:t>2016-2017</w:t>
      </w:r>
      <w:r w:rsidR="003966B9">
        <w:rPr>
          <w:rFonts w:ascii="Garamond" w:hAnsi="Garamond" w:cs="Times New Roman"/>
          <w:sz w:val="21"/>
          <w:szCs w:val="21"/>
        </w:rPr>
        <w:t xml:space="preserve">. This, coupled with net export’s positive contribution, will cause the negative GDP gap to </w:t>
      </w:r>
      <w:r w:rsidR="005930EC">
        <w:rPr>
          <w:rFonts w:ascii="Garamond" w:hAnsi="Garamond" w:cs="Times New Roman"/>
          <w:sz w:val="21"/>
          <w:szCs w:val="21"/>
        </w:rPr>
        <w:t xml:space="preserve">shrink </w:t>
      </w:r>
      <w:r w:rsidR="003966B9">
        <w:rPr>
          <w:rFonts w:ascii="Garamond" w:hAnsi="Garamond" w:cs="Times New Roman"/>
          <w:sz w:val="21"/>
          <w:szCs w:val="21"/>
        </w:rPr>
        <w:t xml:space="preserve">and finally phase out </w:t>
      </w:r>
      <w:r w:rsidR="005930EC">
        <w:rPr>
          <w:rFonts w:ascii="Garamond" w:hAnsi="Garamond" w:cs="Times New Roman"/>
          <w:sz w:val="21"/>
          <w:szCs w:val="21"/>
        </w:rPr>
        <w:t>at</w:t>
      </w:r>
      <w:r w:rsidR="003966B9">
        <w:rPr>
          <w:rFonts w:ascii="Garamond" w:hAnsi="Garamond" w:cs="Times New Roman"/>
          <w:sz w:val="21"/>
          <w:szCs w:val="21"/>
        </w:rPr>
        <w:t xml:space="preserve"> the end of the forecast horizon. </w:t>
      </w:r>
      <w:r w:rsidR="005930EC">
        <w:rPr>
          <w:rFonts w:ascii="Garamond" w:hAnsi="Garamond" w:cs="Times New Roman"/>
          <w:sz w:val="21"/>
          <w:szCs w:val="21"/>
        </w:rPr>
        <w:t xml:space="preserve">It is expected that </w:t>
      </w:r>
      <w:r w:rsidR="005930EC" w:rsidRPr="005930EC">
        <w:rPr>
          <w:rFonts w:ascii="Garamond" w:hAnsi="Garamond" w:cs="Times New Roman"/>
          <w:b/>
          <w:sz w:val="21"/>
          <w:szCs w:val="21"/>
        </w:rPr>
        <w:t xml:space="preserve">the </w:t>
      </w:r>
      <w:r w:rsidR="00E805E4" w:rsidRPr="005930EC">
        <w:rPr>
          <w:rFonts w:ascii="Garamond" w:hAnsi="Garamond" w:cs="Times New Roman"/>
          <w:b/>
          <w:bCs/>
          <w:iCs/>
          <w:sz w:val="21"/>
          <w:szCs w:val="21"/>
        </w:rPr>
        <w:t>economic growth</w:t>
      </w:r>
      <w:r w:rsidR="005930EC">
        <w:rPr>
          <w:rFonts w:ascii="Garamond" w:hAnsi="Garamond" w:cs="Times New Roman"/>
          <w:bCs/>
          <w:iCs/>
          <w:sz w:val="21"/>
          <w:szCs w:val="21"/>
        </w:rPr>
        <w:t xml:space="preserve">, to be very much driven by the developments in the tradable sector, </w:t>
      </w:r>
      <w:r w:rsidR="005930EC" w:rsidRPr="005930EC">
        <w:rPr>
          <w:rFonts w:ascii="Garamond" w:hAnsi="Garamond" w:cs="Times New Roman"/>
          <w:b/>
          <w:bCs/>
          <w:iCs/>
          <w:sz w:val="21"/>
          <w:szCs w:val="21"/>
        </w:rPr>
        <w:t>will be in the range of 3.5%-5.0% at</w:t>
      </w:r>
      <w:r w:rsidR="00E805E4" w:rsidRPr="005930EC">
        <w:rPr>
          <w:rFonts w:ascii="Garamond" w:hAnsi="Garamond" w:cs="Times New Roman"/>
          <w:b/>
          <w:bCs/>
          <w:iCs/>
          <w:sz w:val="21"/>
          <w:szCs w:val="21"/>
        </w:rPr>
        <w:t xml:space="preserve"> the end of the forecast horizon</w:t>
      </w:r>
      <w:r w:rsidR="005930EC">
        <w:rPr>
          <w:rFonts w:ascii="Garamond" w:hAnsi="Garamond" w:cs="Times New Roman"/>
          <w:bCs/>
          <w:iCs/>
          <w:sz w:val="21"/>
          <w:szCs w:val="21"/>
        </w:rPr>
        <w:t>.</w:t>
      </w:r>
      <w:r w:rsidR="00CA702F" w:rsidRPr="004E7A10">
        <w:rPr>
          <w:rFonts w:ascii="Garamond" w:hAnsi="Garamond" w:cs="Times New Roman"/>
          <w:bCs/>
          <w:iCs/>
          <w:sz w:val="21"/>
          <w:szCs w:val="21"/>
        </w:rPr>
        <w:t xml:space="preserve"> </w:t>
      </w:r>
      <w:r w:rsidR="00090254" w:rsidRPr="004E7A10">
        <w:rPr>
          <w:rFonts w:ascii="Garamond" w:hAnsi="Garamond" w:cs="Times New Roman"/>
          <w:bCs/>
          <w:iCs/>
          <w:sz w:val="21"/>
          <w:szCs w:val="21"/>
        </w:rPr>
        <w:t>Yet</w:t>
      </w:r>
      <w:r w:rsidR="00E805E4" w:rsidRPr="004E7A10">
        <w:rPr>
          <w:rFonts w:ascii="Garamond" w:hAnsi="Garamond" w:cs="Times New Roman"/>
          <w:bCs/>
          <w:iCs/>
          <w:sz w:val="21"/>
          <w:szCs w:val="21"/>
        </w:rPr>
        <w:t xml:space="preserve">, </w:t>
      </w:r>
      <w:r w:rsidR="00090254" w:rsidRPr="004E7A10">
        <w:rPr>
          <w:rFonts w:ascii="Garamond" w:hAnsi="Garamond" w:cs="Times New Roman"/>
          <w:bCs/>
          <w:iCs/>
          <w:sz w:val="21"/>
          <w:szCs w:val="21"/>
        </w:rPr>
        <w:t xml:space="preserve">economic growth projections in the forecast horizon </w:t>
      </w:r>
      <w:r w:rsidR="00E805E4" w:rsidRPr="004E7A10">
        <w:rPr>
          <w:rFonts w:ascii="Garamond" w:hAnsi="Garamond" w:cs="Times New Roman"/>
          <w:bCs/>
          <w:iCs/>
          <w:sz w:val="21"/>
          <w:szCs w:val="21"/>
        </w:rPr>
        <w:t xml:space="preserve">will largely depend on the </w:t>
      </w:r>
      <w:r w:rsidR="00B71580">
        <w:rPr>
          <w:rFonts w:ascii="Garamond" w:hAnsi="Garamond" w:cs="Times New Roman"/>
          <w:bCs/>
          <w:iCs/>
          <w:sz w:val="21"/>
          <w:szCs w:val="21"/>
        </w:rPr>
        <w:t>extent</w:t>
      </w:r>
      <w:r w:rsidR="00090254" w:rsidRPr="004E7A10">
        <w:rPr>
          <w:rFonts w:ascii="Garamond" w:hAnsi="Garamond" w:cs="Times New Roman"/>
          <w:bCs/>
          <w:iCs/>
          <w:sz w:val="21"/>
          <w:szCs w:val="21"/>
        </w:rPr>
        <w:t>,</w:t>
      </w:r>
      <w:r w:rsidR="00E805E4" w:rsidRPr="004E7A10">
        <w:rPr>
          <w:rFonts w:ascii="Garamond" w:hAnsi="Garamond" w:cs="Times New Roman"/>
          <w:bCs/>
          <w:iCs/>
          <w:sz w:val="21"/>
          <w:szCs w:val="21"/>
        </w:rPr>
        <w:t xml:space="preserve"> </w:t>
      </w:r>
      <w:r w:rsidR="00090254" w:rsidRPr="004E7A10">
        <w:rPr>
          <w:rFonts w:ascii="Garamond" w:hAnsi="Garamond" w:cs="Times New Roman"/>
          <w:bCs/>
          <w:iCs/>
          <w:sz w:val="21"/>
          <w:szCs w:val="21"/>
        </w:rPr>
        <w:t xml:space="preserve">course and efficiency </w:t>
      </w:r>
      <w:r w:rsidR="00E805E4" w:rsidRPr="004E7A10">
        <w:rPr>
          <w:rFonts w:ascii="Garamond" w:hAnsi="Garamond" w:cs="Times New Roman"/>
          <w:bCs/>
          <w:iCs/>
          <w:sz w:val="21"/>
          <w:szCs w:val="21"/>
        </w:rPr>
        <w:t xml:space="preserve">of the </w:t>
      </w:r>
      <w:r w:rsidR="00090254" w:rsidRPr="004E7A10">
        <w:rPr>
          <w:rFonts w:ascii="Garamond" w:hAnsi="Garamond" w:cs="Times New Roman"/>
          <w:bCs/>
          <w:iCs/>
          <w:sz w:val="21"/>
          <w:szCs w:val="21"/>
        </w:rPr>
        <w:t>G</w:t>
      </w:r>
      <w:r w:rsidR="005930EC">
        <w:rPr>
          <w:rFonts w:ascii="Garamond" w:hAnsi="Garamond" w:cs="Times New Roman"/>
          <w:bCs/>
          <w:iCs/>
          <w:sz w:val="21"/>
          <w:szCs w:val="21"/>
        </w:rPr>
        <w:t>overnment’</w:t>
      </w:r>
      <w:r w:rsidR="00E805E4" w:rsidRPr="004E7A10">
        <w:rPr>
          <w:rFonts w:ascii="Garamond" w:hAnsi="Garamond" w:cs="Times New Roman"/>
          <w:bCs/>
          <w:iCs/>
          <w:sz w:val="21"/>
          <w:szCs w:val="21"/>
        </w:rPr>
        <w:t>s p</w:t>
      </w:r>
      <w:r w:rsidR="00090254" w:rsidRPr="004E7A10">
        <w:rPr>
          <w:rFonts w:ascii="Garamond" w:hAnsi="Garamond" w:cs="Times New Roman"/>
          <w:bCs/>
          <w:iCs/>
          <w:sz w:val="21"/>
          <w:szCs w:val="21"/>
        </w:rPr>
        <w:t xml:space="preserve">rograms. </w:t>
      </w:r>
    </w:p>
    <w:p w14:paraId="7DB73BCB" w14:textId="77777777" w:rsidR="006F5A90" w:rsidRDefault="003C2B6B" w:rsidP="004366A8">
      <w:pPr>
        <w:spacing w:line="360" w:lineRule="auto"/>
        <w:jc w:val="both"/>
        <w:rPr>
          <w:rFonts w:ascii="Garamond" w:hAnsi="Garamond" w:cs="Times New Roman"/>
          <w:b/>
          <w:bCs/>
          <w:iCs/>
          <w:color w:val="0070C0"/>
          <w:sz w:val="18"/>
          <w:szCs w:val="18"/>
        </w:rPr>
      </w:pPr>
      <w:r w:rsidRPr="003C2B6B">
        <w:rPr>
          <w:rFonts w:ascii="Garamond" w:hAnsi="Garamond" w:cs="Times New Roman"/>
          <w:b/>
          <w:bCs/>
          <w:iCs/>
          <w:color w:val="0070C0"/>
          <w:sz w:val="18"/>
          <w:szCs w:val="18"/>
        </w:rPr>
        <w:t>Economic growth</w:t>
      </w:r>
      <w:r w:rsidRPr="003C2B6B">
        <w:rPr>
          <w:rFonts w:ascii="Garamond" w:hAnsi="Garamond" w:cs="Times New Roman"/>
          <w:bCs/>
          <w:iCs/>
          <w:color w:val="0070C0"/>
          <w:sz w:val="18"/>
          <w:szCs w:val="18"/>
        </w:rPr>
        <w:t xml:space="preserve"> </w:t>
      </w:r>
      <w:r w:rsidRPr="003C2B6B">
        <w:rPr>
          <w:rFonts w:ascii="Garamond" w:hAnsi="Garamond" w:cs="Times New Roman"/>
          <w:b/>
          <w:bCs/>
          <w:iCs/>
          <w:color w:val="0070C0"/>
          <w:sz w:val="18"/>
          <w:szCs w:val="18"/>
        </w:rPr>
        <w:t>will be in the range of 3.5%-5.0% at the end of the forecast horizon…</w:t>
      </w:r>
    </w:p>
    <w:p w14:paraId="797DE835" w14:textId="42AD6530" w:rsidR="00B71580" w:rsidRPr="00B71580" w:rsidRDefault="00B71580" w:rsidP="004366A8">
      <w:pPr>
        <w:spacing w:line="360" w:lineRule="auto"/>
        <w:jc w:val="both"/>
        <w:rPr>
          <w:rFonts w:ascii="Garamond" w:hAnsi="Garamond" w:cs="Times New Roman"/>
          <w:b/>
          <w:bCs/>
          <w:iCs/>
          <w:color w:val="0070C0"/>
          <w:sz w:val="18"/>
          <w:szCs w:val="18"/>
        </w:rPr>
      </w:pPr>
      <w:r w:rsidRPr="00B71580">
        <w:rPr>
          <w:rFonts w:ascii="Garamond" w:hAnsi="Garamond" w:cs="Times New Roman"/>
          <w:b/>
          <w:bCs/>
          <w:iCs/>
          <w:color w:val="0070C0"/>
          <w:sz w:val="18"/>
          <w:szCs w:val="18"/>
        </w:rPr>
        <w:t xml:space="preserve">A possible increase in electricity price would </w:t>
      </w:r>
      <w:r w:rsidR="000836FF">
        <w:rPr>
          <w:rFonts w:ascii="Garamond" w:hAnsi="Garamond" w:cs="Times New Roman"/>
          <w:b/>
          <w:bCs/>
          <w:iCs/>
          <w:color w:val="0070C0"/>
          <w:sz w:val="18"/>
          <w:szCs w:val="18"/>
        </w:rPr>
        <w:t>keep</w:t>
      </w:r>
      <w:r w:rsidRPr="00B71580">
        <w:rPr>
          <w:rFonts w:ascii="Garamond" w:hAnsi="Garamond" w:cs="Times New Roman"/>
          <w:b/>
          <w:bCs/>
          <w:iCs/>
          <w:color w:val="0070C0"/>
          <w:sz w:val="18"/>
          <w:szCs w:val="18"/>
        </w:rPr>
        <w:t xml:space="preserve">the 12-month inflation rate </w:t>
      </w:r>
      <w:r w:rsidR="000836FF">
        <w:rPr>
          <w:rFonts w:ascii="Garamond" w:hAnsi="Garamond" w:cs="Times New Roman"/>
          <w:b/>
          <w:bCs/>
          <w:iCs/>
          <w:color w:val="0070C0"/>
          <w:sz w:val="18"/>
          <w:szCs w:val="18"/>
        </w:rPr>
        <w:t>around</w:t>
      </w:r>
      <w:r w:rsidRPr="00B71580">
        <w:rPr>
          <w:rFonts w:ascii="Garamond" w:hAnsi="Garamond" w:cs="Times New Roman"/>
          <w:b/>
          <w:bCs/>
          <w:iCs/>
          <w:color w:val="0070C0"/>
          <w:sz w:val="18"/>
          <w:szCs w:val="18"/>
        </w:rPr>
        <w:t xml:space="preserve"> the upper bound of the confidence band over 2015…</w:t>
      </w:r>
    </w:p>
    <w:p w14:paraId="6E42370E" w14:textId="1FDFA799" w:rsidR="00CC2013" w:rsidRPr="00CC2013" w:rsidRDefault="00CC2013" w:rsidP="00CC2013">
      <w:pPr>
        <w:spacing w:line="360" w:lineRule="auto"/>
        <w:jc w:val="both"/>
        <w:rPr>
          <w:rFonts w:ascii="Garamond" w:hAnsi="Garamond" w:cs="Times New Roman"/>
          <w:bCs/>
          <w:iCs/>
          <w:sz w:val="21"/>
          <w:szCs w:val="21"/>
        </w:rPr>
      </w:pPr>
      <w:r w:rsidRPr="00CC2013">
        <w:rPr>
          <w:rFonts w:ascii="Garamond" w:hAnsi="Garamond" w:cs="Times New Roman"/>
          <w:b/>
          <w:bCs/>
          <w:iCs/>
          <w:sz w:val="21"/>
          <w:szCs w:val="21"/>
        </w:rPr>
        <w:t>As for inflation developments in 2015</w:t>
      </w:r>
      <w:r>
        <w:rPr>
          <w:rFonts w:ascii="Garamond" w:hAnsi="Garamond" w:cs="Times New Roman"/>
          <w:bCs/>
          <w:iCs/>
          <w:sz w:val="21"/>
          <w:szCs w:val="21"/>
        </w:rPr>
        <w:t>, a l</w:t>
      </w:r>
      <w:r w:rsidRPr="00CC2013">
        <w:rPr>
          <w:rFonts w:ascii="Garamond" w:hAnsi="Garamond" w:cs="Times New Roman"/>
          <w:bCs/>
          <w:iCs/>
          <w:sz w:val="21"/>
          <w:szCs w:val="21"/>
        </w:rPr>
        <w:t xml:space="preserve">ikely increase </w:t>
      </w:r>
      <w:r>
        <w:rPr>
          <w:rFonts w:ascii="Garamond" w:hAnsi="Garamond" w:cs="Times New Roman"/>
          <w:bCs/>
          <w:iCs/>
          <w:sz w:val="21"/>
          <w:szCs w:val="21"/>
        </w:rPr>
        <w:t xml:space="preserve">in </w:t>
      </w:r>
      <w:r w:rsidRPr="00CC2013">
        <w:rPr>
          <w:rFonts w:ascii="Garamond" w:hAnsi="Garamond" w:cs="Times New Roman"/>
          <w:bCs/>
          <w:iCs/>
          <w:sz w:val="21"/>
          <w:szCs w:val="21"/>
        </w:rPr>
        <w:t xml:space="preserve">electricity </w:t>
      </w:r>
      <w:r>
        <w:rPr>
          <w:rFonts w:ascii="Garamond" w:hAnsi="Garamond" w:cs="Times New Roman"/>
          <w:bCs/>
          <w:iCs/>
          <w:sz w:val="21"/>
          <w:szCs w:val="21"/>
        </w:rPr>
        <w:t xml:space="preserve">price would </w:t>
      </w:r>
      <w:r w:rsidR="000836FF">
        <w:rPr>
          <w:rFonts w:ascii="Garamond" w:hAnsi="Garamond" w:cs="Times New Roman"/>
          <w:b/>
          <w:bCs/>
          <w:iCs/>
          <w:sz w:val="21"/>
          <w:szCs w:val="21"/>
        </w:rPr>
        <w:t>keep</w:t>
      </w:r>
      <w:r w:rsidR="000836FF" w:rsidRPr="001272AD">
        <w:rPr>
          <w:rFonts w:ascii="Garamond" w:hAnsi="Garamond" w:cs="Times New Roman"/>
          <w:b/>
          <w:bCs/>
          <w:iCs/>
          <w:sz w:val="21"/>
          <w:szCs w:val="21"/>
        </w:rPr>
        <w:t xml:space="preserve"> </w:t>
      </w:r>
      <w:r w:rsidRPr="001272AD">
        <w:rPr>
          <w:rFonts w:ascii="Garamond" w:hAnsi="Garamond" w:cs="Times New Roman"/>
          <w:b/>
          <w:bCs/>
          <w:iCs/>
          <w:sz w:val="21"/>
          <w:szCs w:val="21"/>
        </w:rPr>
        <w:t xml:space="preserve">the 12-month inflation rate </w:t>
      </w:r>
      <w:r w:rsidR="000836FF">
        <w:rPr>
          <w:rFonts w:ascii="Garamond" w:hAnsi="Garamond" w:cs="Times New Roman"/>
          <w:b/>
          <w:bCs/>
          <w:iCs/>
          <w:sz w:val="21"/>
          <w:szCs w:val="21"/>
        </w:rPr>
        <w:t>around</w:t>
      </w:r>
      <w:r w:rsidRPr="001272AD">
        <w:rPr>
          <w:rFonts w:ascii="Garamond" w:hAnsi="Garamond" w:cs="Times New Roman"/>
          <w:b/>
          <w:bCs/>
          <w:iCs/>
          <w:sz w:val="21"/>
          <w:szCs w:val="21"/>
        </w:rPr>
        <w:t xml:space="preserve"> the upper bound of the confidence band</w:t>
      </w:r>
      <w:r>
        <w:rPr>
          <w:rFonts w:ascii="Garamond" w:hAnsi="Garamond" w:cs="Times New Roman"/>
          <w:bCs/>
          <w:iCs/>
          <w:sz w:val="21"/>
          <w:szCs w:val="21"/>
        </w:rPr>
        <w:t xml:space="preserve">. </w:t>
      </w:r>
      <w:r w:rsidR="001272AD">
        <w:rPr>
          <w:rFonts w:ascii="Garamond" w:hAnsi="Garamond" w:cs="Times New Roman"/>
          <w:bCs/>
          <w:iCs/>
          <w:sz w:val="21"/>
          <w:szCs w:val="21"/>
        </w:rPr>
        <w:t xml:space="preserve">Nevertheless, greater </w:t>
      </w:r>
      <w:r w:rsidR="001272AD" w:rsidRPr="00CC2013">
        <w:rPr>
          <w:rFonts w:ascii="Garamond" w:hAnsi="Garamond" w:cs="Times New Roman"/>
          <w:bCs/>
          <w:iCs/>
          <w:sz w:val="21"/>
          <w:szCs w:val="21"/>
        </w:rPr>
        <w:t xml:space="preserve">seasonal decline in food prices </w:t>
      </w:r>
      <w:r w:rsidR="001272AD">
        <w:rPr>
          <w:rFonts w:ascii="Garamond" w:hAnsi="Garamond" w:cs="Times New Roman"/>
          <w:bCs/>
          <w:iCs/>
          <w:sz w:val="21"/>
          <w:szCs w:val="21"/>
        </w:rPr>
        <w:t xml:space="preserve">in anticipation of </w:t>
      </w:r>
      <w:r w:rsidRPr="00CC2013">
        <w:rPr>
          <w:rFonts w:ascii="Garamond" w:hAnsi="Garamond" w:cs="Times New Roman"/>
          <w:bCs/>
          <w:iCs/>
          <w:sz w:val="21"/>
          <w:szCs w:val="21"/>
        </w:rPr>
        <w:t xml:space="preserve">positive developments in agriculture as well as the expected weak demand in domestic and </w:t>
      </w:r>
      <w:r w:rsidR="001272AD">
        <w:rPr>
          <w:rFonts w:ascii="Garamond" w:hAnsi="Garamond" w:cs="Times New Roman"/>
          <w:bCs/>
          <w:iCs/>
          <w:sz w:val="21"/>
          <w:szCs w:val="21"/>
        </w:rPr>
        <w:t xml:space="preserve">external </w:t>
      </w:r>
      <w:r w:rsidRPr="00CC2013">
        <w:rPr>
          <w:rFonts w:ascii="Garamond" w:hAnsi="Garamond" w:cs="Times New Roman"/>
          <w:bCs/>
          <w:iCs/>
          <w:sz w:val="21"/>
          <w:szCs w:val="21"/>
        </w:rPr>
        <w:t>economies</w:t>
      </w:r>
      <w:r w:rsidR="001272AD">
        <w:rPr>
          <w:rFonts w:ascii="Garamond" w:hAnsi="Garamond" w:cs="Times New Roman"/>
          <w:bCs/>
          <w:iCs/>
          <w:sz w:val="21"/>
          <w:szCs w:val="21"/>
        </w:rPr>
        <w:t xml:space="preserve"> might </w:t>
      </w:r>
      <w:r w:rsidRPr="00CC2013">
        <w:rPr>
          <w:rFonts w:ascii="Garamond" w:hAnsi="Garamond" w:cs="Times New Roman"/>
          <w:bCs/>
          <w:iCs/>
          <w:sz w:val="21"/>
          <w:szCs w:val="21"/>
        </w:rPr>
        <w:t xml:space="preserve">partly </w:t>
      </w:r>
      <w:r w:rsidR="000836FF">
        <w:rPr>
          <w:rFonts w:ascii="Garamond" w:hAnsi="Garamond" w:cs="Times New Roman"/>
          <w:bCs/>
          <w:iCs/>
          <w:sz w:val="21"/>
          <w:szCs w:val="21"/>
        </w:rPr>
        <w:t>moderate</w:t>
      </w:r>
      <w:r w:rsidRPr="00CC2013">
        <w:rPr>
          <w:rFonts w:ascii="Garamond" w:hAnsi="Garamond" w:cs="Times New Roman"/>
          <w:bCs/>
          <w:iCs/>
          <w:sz w:val="21"/>
          <w:szCs w:val="21"/>
        </w:rPr>
        <w:t>the inflationary impact of the electricity price increase.</w:t>
      </w:r>
    </w:p>
    <w:p w14:paraId="7D471363" w14:textId="77777777" w:rsidR="0020634C" w:rsidRPr="0020634C" w:rsidRDefault="0020634C" w:rsidP="00A9653E">
      <w:pPr>
        <w:spacing w:line="360" w:lineRule="auto"/>
        <w:jc w:val="both"/>
        <w:rPr>
          <w:rFonts w:ascii="Garamond" w:hAnsi="Garamond" w:cs="Times New Roman"/>
          <w:b/>
          <w:bCs/>
          <w:iCs/>
          <w:color w:val="0070C0"/>
          <w:sz w:val="18"/>
          <w:szCs w:val="18"/>
        </w:rPr>
      </w:pPr>
      <w:r w:rsidRPr="0020634C">
        <w:rPr>
          <w:rFonts w:ascii="Garamond" w:hAnsi="Garamond" w:cs="Times New Roman"/>
          <w:b/>
          <w:bCs/>
          <w:iCs/>
          <w:color w:val="0070C0"/>
          <w:sz w:val="18"/>
          <w:szCs w:val="18"/>
        </w:rPr>
        <w:t xml:space="preserve">The Central Bank estimates that keeping the Refinancing Rate at </w:t>
      </w:r>
      <w:r w:rsidR="00E835D1">
        <w:rPr>
          <w:rFonts w:ascii="Garamond" w:hAnsi="Garamond" w:cs="Times New Roman"/>
          <w:b/>
          <w:bCs/>
          <w:iCs/>
          <w:color w:val="0070C0"/>
          <w:sz w:val="18"/>
          <w:szCs w:val="18"/>
        </w:rPr>
        <w:t xml:space="preserve">its </w:t>
      </w:r>
      <w:r w:rsidRPr="0020634C">
        <w:rPr>
          <w:rFonts w:ascii="Garamond" w:hAnsi="Garamond" w:cs="Times New Roman"/>
          <w:b/>
          <w:bCs/>
          <w:iCs/>
          <w:color w:val="0070C0"/>
          <w:sz w:val="18"/>
          <w:szCs w:val="18"/>
        </w:rPr>
        <w:t>current level in the 2nd quarter of 2015 would help the 12-month inflation rate stabilize, since 2016, around the target…</w:t>
      </w:r>
    </w:p>
    <w:p w14:paraId="2ABFAE2F" w14:textId="77777777" w:rsidR="005930EC" w:rsidRDefault="00CC2013" w:rsidP="00A9653E">
      <w:pPr>
        <w:spacing w:line="360" w:lineRule="auto"/>
        <w:jc w:val="both"/>
        <w:rPr>
          <w:rFonts w:ascii="Garamond" w:hAnsi="Garamond" w:cs="Times New Roman"/>
          <w:sz w:val="21"/>
          <w:szCs w:val="21"/>
        </w:rPr>
      </w:pPr>
      <w:r w:rsidRPr="00CC2013">
        <w:rPr>
          <w:rFonts w:ascii="Garamond" w:hAnsi="Garamond" w:cs="Times New Roman"/>
          <w:bCs/>
          <w:iCs/>
          <w:sz w:val="21"/>
          <w:szCs w:val="21"/>
        </w:rPr>
        <w:t xml:space="preserve">As </w:t>
      </w:r>
      <w:r w:rsidRPr="00A17B13">
        <w:rPr>
          <w:rFonts w:ascii="Garamond" w:hAnsi="Garamond" w:cs="Times New Roman"/>
          <w:bCs/>
          <w:iCs/>
          <w:sz w:val="21"/>
          <w:szCs w:val="21"/>
        </w:rPr>
        <w:t xml:space="preserve">a result, the Central Bank estimates that </w:t>
      </w:r>
      <w:r w:rsidR="001272AD" w:rsidRPr="00A17B13">
        <w:rPr>
          <w:rFonts w:ascii="Garamond" w:hAnsi="Garamond" w:cs="Times New Roman"/>
          <w:bCs/>
          <w:iCs/>
          <w:sz w:val="21"/>
          <w:szCs w:val="21"/>
        </w:rPr>
        <w:t>maintaining the R</w:t>
      </w:r>
      <w:r w:rsidRPr="00A17B13">
        <w:rPr>
          <w:rFonts w:ascii="Garamond" w:hAnsi="Garamond" w:cs="Times New Roman"/>
          <w:bCs/>
          <w:iCs/>
          <w:sz w:val="21"/>
          <w:szCs w:val="21"/>
        </w:rPr>
        <w:t xml:space="preserve">efinancing </w:t>
      </w:r>
      <w:r w:rsidR="001272AD" w:rsidRPr="00A17B13">
        <w:rPr>
          <w:rFonts w:ascii="Garamond" w:hAnsi="Garamond" w:cs="Times New Roman"/>
          <w:bCs/>
          <w:iCs/>
          <w:sz w:val="21"/>
          <w:szCs w:val="21"/>
        </w:rPr>
        <w:t>R</w:t>
      </w:r>
      <w:r w:rsidRPr="00A17B13">
        <w:rPr>
          <w:rFonts w:ascii="Garamond" w:hAnsi="Garamond" w:cs="Times New Roman"/>
          <w:bCs/>
          <w:iCs/>
          <w:sz w:val="21"/>
          <w:szCs w:val="21"/>
        </w:rPr>
        <w:t xml:space="preserve">ate </w:t>
      </w:r>
      <w:r w:rsidR="001272AD" w:rsidRPr="00A17B13">
        <w:rPr>
          <w:rFonts w:ascii="Garamond" w:hAnsi="Garamond" w:cs="Times New Roman"/>
          <w:bCs/>
          <w:iCs/>
          <w:sz w:val="21"/>
          <w:szCs w:val="21"/>
        </w:rPr>
        <w:t>at the current level in the 2</w:t>
      </w:r>
      <w:r w:rsidR="00A17B13" w:rsidRPr="00A17B13">
        <w:rPr>
          <w:rFonts w:ascii="Garamond" w:hAnsi="Garamond" w:cs="Times New Roman"/>
          <w:bCs/>
          <w:iCs/>
          <w:sz w:val="21"/>
          <w:szCs w:val="21"/>
        </w:rPr>
        <w:t xml:space="preserve">nd </w:t>
      </w:r>
      <w:r w:rsidR="001272AD" w:rsidRPr="00A17B13">
        <w:rPr>
          <w:rFonts w:ascii="Garamond" w:hAnsi="Garamond" w:cs="Times New Roman"/>
          <w:bCs/>
          <w:iCs/>
          <w:sz w:val="21"/>
          <w:szCs w:val="21"/>
        </w:rPr>
        <w:t>q</w:t>
      </w:r>
      <w:r w:rsidR="00A17B13" w:rsidRPr="00A17B13">
        <w:rPr>
          <w:rFonts w:ascii="Garamond" w:hAnsi="Garamond" w:cs="Times New Roman"/>
          <w:bCs/>
          <w:iCs/>
          <w:sz w:val="21"/>
          <w:szCs w:val="21"/>
        </w:rPr>
        <w:t xml:space="preserve">uarter of 2015 </w:t>
      </w:r>
      <w:r w:rsidR="001272AD" w:rsidRPr="00A17B13">
        <w:rPr>
          <w:rFonts w:ascii="Garamond" w:hAnsi="Garamond" w:cs="Times New Roman"/>
          <w:bCs/>
          <w:iCs/>
          <w:sz w:val="21"/>
          <w:szCs w:val="21"/>
        </w:rPr>
        <w:t xml:space="preserve">would make it possible </w:t>
      </w:r>
      <w:r w:rsidR="00C7738F">
        <w:rPr>
          <w:rFonts w:ascii="Garamond" w:hAnsi="Garamond" w:cs="Times New Roman"/>
          <w:bCs/>
          <w:iCs/>
          <w:sz w:val="21"/>
          <w:szCs w:val="21"/>
        </w:rPr>
        <w:t xml:space="preserve">for </w:t>
      </w:r>
      <w:r w:rsidRPr="00A17B13">
        <w:rPr>
          <w:rFonts w:ascii="Garamond" w:hAnsi="Garamond" w:cs="Times New Roman"/>
          <w:bCs/>
          <w:iCs/>
          <w:sz w:val="21"/>
          <w:szCs w:val="21"/>
        </w:rPr>
        <w:t xml:space="preserve">the 12-month inflation </w:t>
      </w:r>
      <w:r w:rsidR="001272AD" w:rsidRPr="00A17B13">
        <w:rPr>
          <w:rFonts w:ascii="Garamond" w:hAnsi="Garamond" w:cs="Times New Roman"/>
          <w:bCs/>
          <w:iCs/>
          <w:sz w:val="21"/>
          <w:szCs w:val="21"/>
        </w:rPr>
        <w:t>rate</w:t>
      </w:r>
      <w:r w:rsidR="00C7738F">
        <w:rPr>
          <w:rFonts w:ascii="Garamond" w:hAnsi="Garamond" w:cs="Times New Roman"/>
          <w:bCs/>
          <w:iCs/>
          <w:sz w:val="21"/>
          <w:szCs w:val="21"/>
        </w:rPr>
        <w:t xml:space="preserve"> to stabilize, since 2016,</w:t>
      </w:r>
      <w:r w:rsidR="001272AD" w:rsidRPr="00A17B13">
        <w:rPr>
          <w:rFonts w:ascii="Garamond" w:hAnsi="Garamond" w:cs="Times New Roman"/>
          <w:bCs/>
          <w:iCs/>
          <w:sz w:val="21"/>
          <w:szCs w:val="21"/>
        </w:rPr>
        <w:t xml:space="preserve"> </w:t>
      </w:r>
      <w:r w:rsidRPr="00A17B13">
        <w:rPr>
          <w:rFonts w:ascii="Garamond" w:hAnsi="Garamond" w:cs="Times New Roman"/>
          <w:bCs/>
          <w:iCs/>
          <w:sz w:val="21"/>
          <w:szCs w:val="21"/>
        </w:rPr>
        <w:t xml:space="preserve">around </w:t>
      </w:r>
      <w:r w:rsidRPr="00A17B13">
        <w:rPr>
          <w:rFonts w:ascii="Garamond" w:hAnsi="Garamond" w:cs="Times New Roman"/>
          <w:bCs/>
          <w:iCs/>
          <w:sz w:val="21"/>
          <w:szCs w:val="21"/>
        </w:rPr>
        <w:lastRenderedPageBreak/>
        <w:t>the target</w:t>
      </w:r>
      <w:r w:rsidR="001272AD" w:rsidRPr="00A17B13">
        <w:rPr>
          <w:rFonts w:ascii="Garamond" w:hAnsi="Garamond" w:cs="Times New Roman"/>
          <w:bCs/>
          <w:iCs/>
          <w:sz w:val="21"/>
          <w:szCs w:val="21"/>
        </w:rPr>
        <w:t>.</w:t>
      </w:r>
      <w:r w:rsidRPr="00A17B13">
        <w:rPr>
          <w:rFonts w:ascii="Garamond" w:hAnsi="Garamond" w:cs="Times New Roman"/>
          <w:bCs/>
          <w:iCs/>
          <w:sz w:val="21"/>
          <w:szCs w:val="21"/>
        </w:rPr>
        <w:t xml:space="preserve"> </w:t>
      </w:r>
      <w:r w:rsidR="00A17B13" w:rsidRPr="00A17B13">
        <w:rPr>
          <w:rFonts w:ascii="Garamond" w:hAnsi="Garamond" w:cs="Times New Roman"/>
          <w:color w:val="000000"/>
          <w:sz w:val="21"/>
          <w:szCs w:val="21"/>
        </w:rPr>
        <w:t>Later, as economic developments</w:t>
      </w:r>
      <w:r w:rsidR="00A17B13" w:rsidRPr="004E7A10">
        <w:rPr>
          <w:rFonts w:ascii="Garamond" w:hAnsi="Garamond" w:cs="Times New Roman"/>
          <w:color w:val="000000"/>
          <w:sz w:val="21"/>
          <w:szCs w:val="21"/>
        </w:rPr>
        <w:t xml:space="preserve"> unfold, the Central Bank will adjust its monetary policy directions, while fulfilling the inflation target in the medium-term perspective.</w:t>
      </w:r>
    </w:p>
    <w:p w14:paraId="168A063C" w14:textId="622D683B" w:rsidR="005930EC" w:rsidRDefault="00A17B13" w:rsidP="00A9653E">
      <w:pPr>
        <w:spacing w:line="360" w:lineRule="auto"/>
        <w:jc w:val="both"/>
        <w:rPr>
          <w:rFonts w:ascii="Garamond" w:hAnsi="Garamond" w:cs="Times New Roman"/>
          <w:sz w:val="21"/>
          <w:szCs w:val="21"/>
        </w:rPr>
      </w:pPr>
      <w:r w:rsidRPr="004E7A10">
        <w:rPr>
          <w:rFonts w:ascii="Garamond" w:hAnsi="Garamond" w:cs="Times New Roman"/>
          <w:b/>
          <w:sz w:val="21"/>
          <w:szCs w:val="21"/>
        </w:rPr>
        <w:t>Risks to inflation deviating from the</w:t>
      </w:r>
      <w:r w:rsidRPr="004E7A10">
        <w:rPr>
          <w:rFonts w:ascii="Garamond" w:hAnsi="Garamond" w:cs="Times New Roman"/>
          <w:sz w:val="21"/>
          <w:szCs w:val="21"/>
        </w:rPr>
        <w:t xml:space="preserve"> </w:t>
      </w:r>
      <w:r w:rsidRPr="004E7A10">
        <w:rPr>
          <w:rFonts w:ascii="Garamond" w:hAnsi="Garamond" w:cs="Times New Roman"/>
          <w:b/>
          <w:sz w:val="21"/>
          <w:szCs w:val="21"/>
        </w:rPr>
        <w:t>projected value</w:t>
      </w:r>
      <w:r w:rsidRPr="004E7A10">
        <w:rPr>
          <w:rFonts w:ascii="Garamond" w:hAnsi="Garamond" w:cs="Times New Roman"/>
          <w:sz w:val="21"/>
          <w:szCs w:val="21"/>
        </w:rPr>
        <w:t xml:space="preserve"> are estimated as </w:t>
      </w:r>
      <w:r w:rsidRPr="004E7A10">
        <w:rPr>
          <w:rFonts w:ascii="Garamond" w:hAnsi="Garamond" w:cs="Times New Roman"/>
          <w:b/>
          <w:sz w:val="21"/>
          <w:szCs w:val="21"/>
        </w:rPr>
        <w:t>balanced</w:t>
      </w:r>
      <w:r w:rsidRPr="004E7A10">
        <w:rPr>
          <w:rFonts w:ascii="Garamond" w:hAnsi="Garamond" w:cs="Times New Roman"/>
          <w:sz w:val="21"/>
          <w:szCs w:val="21"/>
        </w:rPr>
        <w:t xml:space="preserve"> in both short and medium-term perspectives. </w:t>
      </w:r>
      <w:r w:rsidRPr="004E7A10">
        <w:rPr>
          <w:rFonts w:ascii="Garamond" w:hAnsi="Garamond" w:cs="Times New Roman"/>
          <w:b/>
          <w:sz w:val="21"/>
          <w:szCs w:val="21"/>
        </w:rPr>
        <w:t>External sector risks</w:t>
      </w:r>
      <w:r w:rsidRPr="004E7A10">
        <w:rPr>
          <w:rFonts w:ascii="Garamond" w:hAnsi="Garamond" w:cs="Times New Roman"/>
          <w:sz w:val="21"/>
          <w:szCs w:val="21"/>
        </w:rPr>
        <w:t xml:space="preserve"> are primarily associated with global economic growth rates bouncing back as well as price developments in world commodity and food product markets. </w:t>
      </w:r>
      <w:r w:rsidRPr="004E7A10">
        <w:rPr>
          <w:rFonts w:ascii="Garamond" w:hAnsi="Garamond" w:cs="Times New Roman"/>
          <w:b/>
          <w:sz w:val="21"/>
          <w:szCs w:val="21"/>
        </w:rPr>
        <w:t xml:space="preserve">Risks deriving from the domestic environment </w:t>
      </w:r>
      <w:r w:rsidRPr="004E7A10">
        <w:rPr>
          <w:rFonts w:ascii="Garamond" w:hAnsi="Garamond" w:cs="Times New Roman"/>
          <w:sz w:val="21"/>
          <w:szCs w:val="21"/>
        </w:rPr>
        <w:t xml:space="preserve">are attributable to the pace at which the domestic demand would recover, the Government-led projects, economic effects from regional integration processes as well as the developments in agriculture sector which is largely reliant on </w:t>
      </w:r>
      <w:r w:rsidR="000836FF">
        <w:rPr>
          <w:rFonts w:ascii="Garamond" w:hAnsi="Garamond" w:cs="Times New Roman"/>
          <w:sz w:val="21"/>
          <w:szCs w:val="21"/>
        </w:rPr>
        <w:t>weather</w:t>
      </w:r>
      <w:r w:rsidRPr="004E7A10">
        <w:rPr>
          <w:rFonts w:ascii="Garamond" w:hAnsi="Garamond" w:cs="Times New Roman"/>
          <w:sz w:val="21"/>
          <w:szCs w:val="21"/>
        </w:rPr>
        <w:t xml:space="preserve">conditions. At the same time, the lack of information about the size and timing of possible increase in electricity tariffs adds to the uncertainties </w:t>
      </w:r>
      <w:r>
        <w:rPr>
          <w:rFonts w:ascii="Garamond" w:hAnsi="Garamond" w:cs="Times New Roman"/>
          <w:sz w:val="21"/>
          <w:szCs w:val="21"/>
        </w:rPr>
        <w:t xml:space="preserve">with regard to </w:t>
      </w:r>
      <w:r w:rsidRPr="004E7A10">
        <w:rPr>
          <w:rFonts w:ascii="Garamond" w:hAnsi="Garamond" w:cs="Times New Roman"/>
          <w:sz w:val="21"/>
          <w:szCs w:val="21"/>
        </w:rPr>
        <w:t>inflation developments. If such risks materialize, the Central Bank will react accordingly by maintaining the inflation target in the medium run.</w:t>
      </w:r>
    </w:p>
    <w:tbl>
      <w:tblPr>
        <w:tblpPr w:leftFromText="180" w:rightFromText="180" w:vertAnchor="text" w:horzAnchor="margin" w:tblpX="56" w:tblpY="93"/>
        <w:tblW w:w="6237"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871"/>
        <w:gridCol w:w="1074"/>
        <w:gridCol w:w="1073"/>
        <w:gridCol w:w="1073"/>
        <w:gridCol w:w="1073"/>
        <w:gridCol w:w="1073"/>
      </w:tblGrid>
      <w:tr w:rsidR="004A57A9" w:rsidRPr="004E7A10" w14:paraId="447E1A35" w14:textId="77777777" w:rsidTr="00640360">
        <w:trPr>
          <w:trHeight w:val="20"/>
        </w:trPr>
        <w:tc>
          <w:tcPr>
            <w:tcW w:w="871" w:type="dxa"/>
            <w:vMerge w:val="restart"/>
            <w:shd w:val="clear" w:color="auto" w:fill="auto"/>
          </w:tcPr>
          <w:p w14:paraId="481DF860" w14:textId="77777777" w:rsidR="004A57A9" w:rsidRPr="00E835D1" w:rsidRDefault="004A57A9" w:rsidP="00640360">
            <w:pPr>
              <w:spacing w:before="60" w:after="60"/>
              <w:jc w:val="center"/>
              <w:rPr>
                <w:rFonts w:ascii="Garamond" w:hAnsi="Garamond" w:cs="Times New Roman"/>
                <w:b/>
                <w:sz w:val="18"/>
                <w:szCs w:val="18"/>
                <w:lang w:val="es-AR"/>
              </w:rPr>
            </w:pPr>
            <w:r w:rsidRPr="00E835D1">
              <w:rPr>
                <w:rFonts w:ascii="Garamond" w:hAnsi="Garamond" w:cs="Times New Roman"/>
                <w:b/>
                <w:sz w:val="18"/>
                <w:szCs w:val="18"/>
                <w:lang w:val="hy-AM"/>
              </w:rPr>
              <w:t>Period</w:t>
            </w:r>
          </w:p>
        </w:tc>
        <w:tc>
          <w:tcPr>
            <w:tcW w:w="5366" w:type="dxa"/>
            <w:gridSpan w:val="5"/>
            <w:shd w:val="clear" w:color="auto" w:fill="auto"/>
          </w:tcPr>
          <w:p w14:paraId="40CE46C7" w14:textId="77777777" w:rsidR="004A57A9" w:rsidRPr="00E835D1" w:rsidRDefault="004A57A9" w:rsidP="00640360">
            <w:pPr>
              <w:spacing w:before="60" w:after="60"/>
              <w:jc w:val="center"/>
              <w:rPr>
                <w:rFonts w:ascii="Garamond" w:hAnsi="Garamond" w:cs="Times New Roman"/>
                <w:sz w:val="18"/>
                <w:szCs w:val="18"/>
                <w:lang w:val="es-AR"/>
              </w:rPr>
            </w:pPr>
            <w:r w:rsidRPr="00E835D1">
              <w:rPr>
                <w:rFonts w:ascii="Garamond" w:eastAsia="Calibri" w:hAnsi="Garamond" w:cs="Times New Roman"/>
                <w:b/>
                <w:iCs/>
                <w:sz w:val="18"/>
                <w:szCs w:val="18"/>
                <w:lang w:val="es-AR"/>
              </w:rPr>
              <w:t>Inflation forecast probability distribution chart</w:t>
            </w:r>
            <w:r w:rsidRPr="00E835D1">
              <w:rPr>
                <w:rFonts w:ascii="Garamond" w:hAnsi="Garamond" w:cs="Times New Roman"/>
                <w:b/>
                <w:iCs/>
                <w:sz w:val="18"/>
                <w:szCs w:val="18"/>
                <w:lang w:val="es-AR"/>
              </w:rPr>
              <w:t xml:space="preserve"> </w:t>
            </w:r>
          </w:p>
        </w:tc>
      </w:tr>
      <w:tr w:rsidR="004A57A9" w:rsidRPr="004E7A10" w14:paraId="30687D1F" w14:textId="77777777" w:rsidTr="00640360">
        <w:trPr>
          <w:trHeight w:val="20"/>
        </w:trPr>
        <w:tc>
          <w:tcPr>
            <w:tcW w:w="871" w:type="dxa"/>
            <w:vMerge/>
            <w:tcBorders>
              <w:bottom w:val="single" w:sz="4" w:space="0" w:color="auto"/>
            </w:tcBorders>
            <w:shd w:val="clear" w:color="auto" w:fill="auto"/>
          </w:tcPr>
          <w:p w14:paraId="34C03BE5" w14:textId="77777777" w:rsidR="004A57A9" w:rsidRPr="00E835D1" w:rsidRDefault="004A57A9" w:rsidP="00640360">
            <w:pPr>
              <w:spacing w:before="60" w:after="60"/>
              <w:jc w:val="right"/>
              <w:rPr>
                <w:rFonts w:ascii="Garamond" w:hAnsi="Garamond" w:cs="Times New Roman"/>
                <w:sz w:val="18"/>
                <w:szCs w:val="18"/>
                <w:lang w:val="es-AR"/>
              </w:rPr>
            </w:pPr>
          </w:p>
        </w:tc>
        <w:tc>
          <w:tcPr>
            <w:tcW w:w="1074" w:type="dxa"/>
            <w:tcBorders>
              <w:bottom w:val="single" w:sz="4" w:space="0" w:color="auto"/>
            </w:tcBorders>
            <w:shd w:val="clear" w:color="auto" w:fill="auto"/>
          </w:tcPr>
          <w:p w14:paraId="4DC69576" w14:textId="77777777" w:rsidR="004A57A9" w:rsidRPr="00E835D1" w:rsidRDefault="004A57A9" w:rsidP="00640360">
            <w:pPr>
              <w:spacing w:before="60" w:after="60"/>
              <w:jc w:val="center"/>
              <w:rPr>
                <w:rFonts w:ascii="Garamond" w:hAnsi="Garamond" w:cs="Times New Roman"/>
                <w:b/>
                <w:sz w:val="18"/>
                <w:szCs w:val="18"/>
              </w:rPr>
            </w:pPr>
            <w:r w:rsidRPr="00E835D1">
              <w:rPr>
                <w:rFonts w:ascii="Garamond" w:hAnsi="Garamond" w:cs="Times New Roman"/>
                <w:b/>
                <w:sz w:val="18"/>
                <w:szCs w:val="18"/>
              </w:rPr>
              <w:t>&lt;1.0%</w:t>
            </w:r>
          </w:p>
        </w:tc>
        <w:tc>
          <w:tcPr>
            <w:tcW w:w="1073" w:type="dxa"/>
            <w:tcBorders>
              <w:bottom w:val="single" w:sz="4" w:space="0" w:color="auto"/>
            </w:tcBorders>
            <w:shd w:val="clear" w:color="auto" w:fill="auto"/>
          </w:tcPr>
          <w:p w14:paraId="56609E77" w14:textId="77777777" w:rsidR="004A57A9" w:rsidRPr="00E835D1" w:rsidRDefault="004A57A9" w:rsidP="00640360">
            <w:pPr>
              <w:spacing w:before="60" w:after="60"/>
              <w:jc w:val="center"/>
              <w:rPr>
                <w:rFonts w:ascii="Garamond" w:hAnsi="Garamond" w:cs="Times New Roman"/>
                <w:b/>
                <w:sz w:val="18"/>
                <w:szCs w:val="18"/>
              </w:rPr>
            </w:pPr>
            <w:r w:rsidRPr="00E835D1">
              <w:rPr>
                <w:rFonts w:ascii="Garamond" w:hAnsi="Garamond" w:cs="Times New Roman"/>
                <w:b/>
                <w:sz w:val="18"/>
                <w:szCs w:val="18"/>
              </w:rPr>
              <w:t>1.0-2.5%</w:t>
            </w:r>
          </w:p>
        </w:tc>
        <w:tc>
          <w:tcPr>
            <w:tcW w:w="1073" w:type="dxa"/>
            <w:tcBorders>
              <w:bottom w:val="single" w:sz="4" w:space="0" w:color="auto"/>
            </w:tcBorders>
            <w:shd w:val="clear" w:color="auto" w:fill="auto"/>
          </w:tcPr>
          <w:p w14:paraId="53AC29D3" w14:textId="77777777" w:rsidR="004A57A9" w:rsidRPr="00E835D1" w:rsidRDefault="004A57A9" w:rsidP="00640360">
            <w:pPr>
              <w:spacing w:before="60" w:after="60"/>
              <w:jc w:val="center"/>
              <w:rPr>
                <w:rFonts w:ascii="Garamond" w:hAnsi="Garamond" w:cs="Times New Roman"/>
                <w:b/>
                <w:sz w:val="18"/>
                <w:szCs w:val="18"/>
              </w:rPr>
            </w:pPr>
            <w:r w:rsidRPr="00E835D1">
              <w:rPr>
                <w:rFonts w:ascii="Garamond" w:hAnsi="Garamond" w:cs="Times New Roman"/>
                <w:b/>
                <w:sz w:val="18"/>
                <w:szCs w:val="18"/>
              </w:rPr>
              <w:t>2.5-5.5%</w:t>
            </w:r>
          </w:p>
        </w:tc>
        <w:tc>
          <w:tcPr>
            <w:tcW w:w="1073" w:type="dxa"/>
            <w:tcBorders>
              <w:bottom w:val="single" w:sz="4" w:space="0" w:color="auto"/>
            </w:tcBorders>
            <w:shd w:val="clear" w:color="auto" w:fill="auto"/>
          </w:tcPr>
          <w:p w14:paraId="0ECD6164" w14:textId="77777777" w:rsidR="004A57A9" w:rsidRPr="00E835D1" w:rsidRDefault="004A57A9" w:rsidP="00640360">
            <w:pPr>
              <w:spacing w:before="60" w:after="60"/>
              <w:jc w:val="center"/>
              <w:rPr>
                <w:rFonts w:ascii="Garamond" w:hAnsi="Garamond" w:cs="Times New Roman"/>
                <w:b/>
                <w:sz w:val="18"/>
                <w:szCs w:val="18"/>
              </w:rPr>
            </w:pPr>
            <w:r w:rsidRPr="00E835D1">
              <w:rPr>
                <w:rFonts w:ascii="Garamond" w:hAnsi="Garamond" w:cs="Times New Roman"/>
                <w:b/>
                <w:sz w:val="18"/>
                <w:szCs w:val="18"/>
              </w:rPr>
              <w:t>5.5-7.0%</w:t>
            </w:r>
          </w:p>
        </w:tc>
        <w:tc>
          <w:tcPr>
            <w:tcW w:w="1073" w:type="dxa"/>
            <w:tcBorders>
              <w:bottom w:val="single" w:sz="4" w:space="0" w:color="auto"/>
            </w:tcBorders>
            <w:shd w:val="clear" w:color="auto" w:fill="auto"/>
          </w:tcPr>
          <w:p w14:paraId="781DF5B8" w14:textId="77777777" w:rsidR="004A57A9" w:rsidRPr="00E835D1" w:rsidRDefault="004A57A9" w:rsidP="00640360">
            <w:pPr>
              <w:spacing w:before="60" w:after="60"/>
              <w:jc w:val="center"/>
              <w:rPr>
                <w:rFonts w:ascii="Garamond" w:hAnsi="Garamond" w:cs="Times New Roman"/>
                <w:b/>
                <w:sz w:val="18"/>
                <w:szCs w:val="18"/>
              </w:rPr>
            </w:pPr>
            <w:r w:rsidRPr="00E835D1">
              <w:rPr>
                <w:rFonts w:ascii="Garamond" w:hAnsi="Garamond" w:cs="Times New Roman"/>
                <w:b/>
                <w:sz w:val="18"/>
                <w:szCs w:val="18"/>
              </w:rPr>
              <w:t>&gt;7.0%</w:t>
            </w:r>
          </w:p>
        </w:tc>
      </w:tr>
      <w:tr w:rsidR="00F073E0" w:rsidRPr="004E7A10" w14:paraId="4FDE2405" w14:textId="77777777" w:rsidTr="00640360">
        <w:trPr>
          <w:trHeight w:val="20"/>
        </w:trPr>
        <w:tc>
          <w:tcPr>
            <w:tcW w:w="871" w:type="dxa"/>
            <w:shd w:val="clear" w:color="auto" w:fill="auto"/>
          </w:tcPr>
          <w:p w14:paraId="3394C9AE"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Q2</w:t>
            </w:r>
            <w:r w:rsidRPr="00E835D1">
              <w:rPr>
                <w:rFonts w:ascii="Garamond" w:hAnsi="Garamond" w:cs="Times New Roman"/>
                <w:sz w:val="18"/>
                <w:szCs w:val="18"/>
              </w:rPr>
              <w:t>, 2015</w:t>
            </w:r>
          </w:p>
        </w:tc>
        <w:tc>
          <w:tcPr>
            <w:tcW w:w="1074" w:type="dxa"/>
            <w:shd w:val="clear" w:color="auto" w:fill="auto"/>
            <w:vAlign w:val="center"/>
          </w:tcPr>
          <w:p w14:paraId="6E09F39F"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0.0%</w:t>
            </w:r>
          </w:p>
        </w:tc>
        <w:tc>
          <w:tcPr>
            <w:tcW w:w="1073" w:type="dxa"/>
            <w:shd w:val="clear" w:color="auto" w:fill="auto"/>
            <w:vAlign w:val="center"/>
          </w:tcPr>
          <w:p w14:paraId="0ED40BAF"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0.0%</w:t>
            </w:r>
          </w:p>
        </w:tc>
        <w:tc>
          <w:tcPr>
            <w:tcW w:w="1073" w:type="dxa"/>
            <w:shd w:val="clear" w:color="auto" w:fill="auto"/>
            <w:vAlign w:val="center"/>
          </w:tcPr>
          <w:p w14:paraId="77D0E1DB"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8.0%</w:t>
            </w:r>
          </w:p>
        </w:tc>
        <w:tc>
          <w:tcPr>
            <w:tcW w:w="1073" w:type="dxa"/>
            <w:shd w:val="clear" w:color="auto" w:fill="auto"/>
            <w:vAlign w:val="center"/>
          </w:tcPr>
          <w:p w14:paraId="237591FC"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80.8%</w:t>
            </w:r>
          </w:p>
        </w:tc>
        <w:tc>
          <w:tcPr>
            <w:tcW w:w="1073" w:type="dxa"/>
            <w:shd w:val="clear" w:color="auto" w:fill="auto"/>
            <w:vAlign w:val="center"/>
          </w:tcPr>
          <w:p w14:paraId="706E3B19"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11.2%</w:t>
            </w:r>
          </w:p>
        </w:tc>
      </w:tr>
      <w:tr w:rsidR="00F073E0" w:rsidRPr="004E7A10" w14:paraId="17BB561D" w14:textId="77777777" w:rsidTr="00621264">
        <w:trPr>
          <w:trHeight w:val="20"/>
        </w:trPr>
        <w:tc>
          <w:tcPr>
            <w:tcW w:w="871" w:type="dxa"/>
            <w:shd w:val="clear" w:color="auto" w:fill="auto"/>
          </w:tcPr>
          <w:p w14:paraId="1818AA10"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Q3</w:t>
            </w:r>
          </w:p>
        </w:tc>
        <w:tc>
          <w:tcPr>
            <w:tcW w:w="1074" w:type="dxa"/>
            <w:shd w:val="clear" w:color="auto" w:fill="auto"/>
          </w:tcPr>
          <w:p w14:paraId="0540DDEA"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0.1%</w:t>
            </w:r>
          </w:p>
        </w:tc>
        <w:tc>
          <w:tcPr>
            <w:tcW w:w="1073" w:type="dxa"/>
            <w:shd w:val="clear" w:color="auto" w:fill="auto"/>
          </w:tcPr>
          <w:p w14:paraId="248E130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2.4%</w:t>
            </w:r>
          </w:p>
        </w:tc>
        <w:tc>
          <w:tcPr>
            <w:tcW w:w="1073" w:type="dxa"/>
            <w:shd w:val="clear" w:color="auto" w:fill="auto"/>
          </w:tcPr>
          <w:p w14:paraId="797CD625"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63.0%</w:t>
            </w:r>
          </w:p>
        </w:tc>
        <w:tc>
          <w:tcPr>
            <w:tcW w:w="1073" w:type="dxa"/>
            <w:shd w:val="clear" w:color="auto" w:fill="auto"/>
          </w:tcPr>
          <w:p w14:paraId="45304B24"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30.8%</w:t>
            </w:r>
          </w:p>
        </w:tc>
        <w:tc>
          <w:tcPr>
            <w:tcW w:w="1073" w:type="dxa"/>
            <w:shd w:val="clear" w:color="auto" w:fill="auto"/>
          </w:tcPr>
          <w:p w14:paraId="68BF8E19"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3.7%</w:t>
            </w:r>
          </w:p>
        </w:tc>
      </w:tr>
      <w:tr w:rsidR="00F073E0" w:rsidRPr="004E7A10" w14:paraId="2E3E99D9" w14:textId="77777777" w:rsidTr="00640360">
        <w:trPr>
          <w:trHeight w:val="20"/>
        </w:trPr>
        <w:tc>
          <w:tcPr>
            <w:tcW w:w="871" w:type="dxa"/>
            <w:shd w:val="clear" w:color="auto" w:fill="auto"/>
          </w:tcPr>
          <w:p w14:paraId="08E341C6"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Q4</w:t>
            </w:r>
          </w:p>
        </w:tc>
        <w:tc>
          <w:tcPr>
            <w:tcW w:w="1074" w:type="dxa"/>
            <w:shd w:val="clear" w:color="auto" w:fill="auto"/>
            <w:vAlign w:val="center"/>
          </w:tcPr>
          <w:p w14:paraId="115EF4F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1.1%</w:t>
            </w:r>
          </w:p>
        </w:tc>
        <w:tc>
          <w:tcPr>
            <w:tcW w:w="1073" w:type="dxa"/>
            <w:shd w:val="clear" w:color="auto" w:fill="auto"/>
            <w:vAlign w:val="center"/>
          </w:tcPr>
          <w:p w14:paraId="02E9604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10.7%</w:t>
            </w:r>
          </w:p>
        </w:tc>
        <w:tc>
          <w:tcPr>
            <w:tcW w:w="1073" w:type="dxa"/>
            <w:shd w:val="clear" w:color="auto" w:fill="auto"/>
            <w:vAlign w:val="center"/>
          </w:tcPr>
          <w:p w14:paraId="4E1E8F5B"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73.2%</w:t>
            </w:r>
          </w:p>
        </w:tc>
        <w:tc>
          <w:tcPr>
            <w:tcW w:w="1073" w:type="dxa"/>
            <w:shd w:val="clear" w:color="auto" w:fill="auto"/>
            <w:vAlign w:val="center"/>
          </w:tcPr>
          <w:p w14:paraId="056E6590"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13.5%</w:t>
            </w:r>
          </w:p>
        </w:tc>
        <w:tc>
          <w:tcPr>
            <w:tcW w:w="1073" w:type="dxa"/>
            <w:shd w:val="clear" w:color="auto" w:fill="auto"/>
            <w:vAlign w:val="center"/>
          </w:tcPr>
          <w:p w14:paraId="773B051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1.6%</w:t>
            </w:r>
          </w:p>
        </w:tc>
      </w:tr>
      <w:tr w:rsidR="00F073E0" w:rsidRPr="004E7A10" w14:paraId="31F2629E" w14:textId="77777777" w:rsidTr="00640360">
        <w:trPr>
          <w:trHeight w:val="20"/>
        </w:trPr>
        <w:tc>
          <w:tcPr>
            <w:tcW w:w="871" w:type="dxa"/>
            <w:shd w:val="clear" w:color="auto" w:fill="auto"/>
          </w:tcPr>
          <w:p w14:paraId="32A0DBB2"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Q1</w:t>
            </w:r>
            <w:r w:rsidRPr="00E835D1">
              <w:rPr>
                <w:rFonts w:ascii="Garamond" w:hAnsi="Garamond" w:cs="Times New Roman"/>
                <w:sz w:val="18"/>
                <w:szCs w:val="18"/>
              </w:rPr>
              <w:t>, 2016</w:t>
            </w:r>
          </w:p>
        </w:tc>
        <w:tc>
          <w:tcPr>
            <w:tcW w:w="1074" w:type="dxa"/>
            <w:shd w:val="clear" w:color="auto" w:fill="auto"/>
            <w:vAlign w:val="center"/>
          </w:tcPr>
          <w:p w14:paraId="6019088A"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5.5%</w:t>
            </w:r>
          </w:p>
        </w:tc>
        <w:tc>
          <w:tcPr>
            <w:tcW w:w="1073" w:type="dxa"/>
            <w:shd w:val="clear" w:color="auto" w:fill="auto"/>
            <w:vAlign w:val="center"/>
          </w:tcPr>
          <w:p w14:paraId="3B697DE9"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21.9%</w:t>
            </w:r>
          </w:p>
        </w:tc>
        <w:tc>
          <w:tcPr>
            <w:tcW w:w="1073" w:type="dxa"/>
            <w:shd w:val="clear" w:color="auto" w:fill="auto"/>
            <w:vAlign w:val="center"/>
          </w:tcPr>
          <w:p w14:paraId="59101D1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64.5%</w:t>
            </w:r>
          </w:p>
        </w:tc>
        <w:tc>
          <w:tcPr>
            <w:tcW w:w="1073" w:type="dxa"/>
            <w:shd w:val="clear" w:color="auto" w:fill="auto"/>
            <w:vAlign w:val="center"/>
          </w:tcPr>
          <w:p w14:paraId="5A383C0A"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7.3%</w:t>
            </w:r>
          </w:p>
        </w:tc>
        <w:tc>
          <w:tcPr>
            <w:tcW w:w="1073" w:type="dxa"/>
            <w:shd w:val="clear" w:color="auto" w:fill="auto"/>
            <w:vAlign w:val="center"/>
          </w:tcPr>
          <w:p w14:paraId="3A64392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0.8%</w:t>
            </w:r>
          </w:p>
        </w:tc>
      </w:tr>
      <w:tr w:rsidR="00F073E0" w:rsidRPr="004E7A10" w14:paraId="5C258259" w14:textId="77777777" w:rsidTr="00640360">
        <w:trPr>
          <w:trHeight w:val="20"/>
        </w:trPr>
        <w:tc>
          <w:tcPr>
            <w:tcW w:w="871" w:type="dxa"/>
            <w:shd w:val="clear" w:color="auto" w:fill="auto"/>
          </w:tcPr>
          <w:p w14:paraId="3ABE171F"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Q2</w:t>
            </w:r>
          </w:p>
        </w:tc>
        <w:tc>
          <w:tcPr>
            <w:tcW w:w="1074" w:type="dxa"/>
            <w:shd w:val="clear" w:color="auto" w:fill="auto"/>
            <w:vAlign w:val="center"/>
          </w:tcPr>
          <w:p w14:paraId="2989E44B"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4.1%</w:t>
            </w:r>
          </w:p>
        </w:tc>
        <w:tc>
          <w:tcPr>
            <w:tcW w:w="1073" w:type="dxa"/>
            <w:shd w:val="clear" w:color="auto" w:fill="auto"/>
            <w:vAlign w:val="center"/>
          </w:tcPr>
          <w:p w14:paraId="2A07D78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17.6%</w:t>
            </w:r>
          </w:p>
        </w:tc>
        <w:tc>
          <w:tcPr>
            <w:tcW w:w="1073" w:type="dxa"/>
            <w:shd w:val="clear" w:color="auto" w:fill="auto"/>
            <w:vAlign w:val="center"/>
          </w:tcPr>
          <w:p w14:paraId="09E43E6C"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65.6%</w:t>
            </w:r>
          </w:p>
        </w:tc>
        <w:tc>
          <w:tcPr>
            <w:tcW w:w="1073" w:type="dxa"/>
            <w:shd w:val="clear" w:color="auto" w:fill="auto"/>
            <w:vAlign w:val="center"/>
          </w:tcPr>
          <w:p w14:paraId="143B69B0"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10.9%</w:t>
            </w:r>
          </w:p>
        </w:tc>
        <w:tc>
          <w:tcPr>
            <w:tcW w:w="1073" w:type="dxa"/>
            <w:shd w:val="clear" w:color="auto" w:fill="auto"/>
            <w:vAlign w:val="center"/>
          </w:tcPr>
          <w:p w14:paraId="46523E1C"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1.8%</w:t>
            </w:r>
          </w:p>
        </w:tc>
      </w:tr>
      <w:tr w:rsidR="00F073E0" w:rsidRPr="004E7A10" w14:paraId="35C7E7B9" w14:textId="77777777" w:rsidTr="00640360">
        <w:trPr>
          <w:trHeight w:val="20"/>
        </w:trPr>
        <w:tc>
          <w:tcPr>
            <w:tcW w:w="871" w:type="dxa"/>
            <w:shd w:val="clear" w:color="auto" w:fill="auto"/>
          </w:tcPr>
          <w:p w14:paraId="260689CB"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Q3</w:t>
            </w:r>
          </w:p>
        </w:tc>
        <w:tc>
          <w:tcPr>
            <w:tcW w:w="1074" w:type="dxa"/>
            <w:shd w:val="clear" w:color="auto" w:fill="auto"/>
            <w:vAlign w:val="center"/>
          </w:tcPr>
          <w:p w14:paraId="63E0F514"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2.2%</w:t>
            </w:r>
          </w:p>
        </w:tc>
        <w:tc>
          <w:tcPr>
            <w:tcW w:w="1073" w:type="dxa"/>
            <w:shd w:val="clear" w:color="auto" w:fill="auto"/>
            <w:vAlign w:val="center"/>
          </w:tcPr>
          <w:p w14:paraId="4826F34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11.2%</w:t>
            </w:r>
          </w:p>
        </w:tc>
        <w:tc>
          <w:tcPr>
            <w:tcW w:w="1073" w:type="dxa"/>
            <w:shd w:val="clear" w:color="auto" w:fill="auto"/>
            <w:vAlign w:val="center"/>
          </w:tcPr>
          <w:p w14:paraId="194FE40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62.4%</w:t>
            </w:r>
          </w:p>
        </w:tc>
        <w:tc>
          <w:tcPr>
            <w:tcW w:w="1073" w:type="dxa"/>
            <w:shd w:val="clear" w:color="auto" w:fill="auto"/>
            <w:vAlign w:val="center"/>
          </w:tcPr>
          <w:p w14:paraId="28EBB656"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18.8%</w:t>
            </w:r>
          </w:p>
        </w:tc>
        <w:tc>
          <w:tcPr>
            <w:tcW w:w="1073" w:type="dxa"/>
            <w:shd w:val="clear" w:color="auto" w:fill="auto"/>
            <w:vAlign w:val="center"/>
          </w:tcPr>
          <w:p w14:paraId="75BEDA41"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5.5%</w:t>
            </w:r>
          </w:p>
        </w:tc>
      </w:tr>
      <w:tr w:rsidR="00F073E0" w:rsidRPr="004E7A10" w14:paraId="28502503" w14:textId="77777777" w:rsidTr="00640360">
        <w:trPr>
          <w:trHeight w:val="20"/>
        </w:trPr>
        <w:tc>
          <w:tcPr>
            <w:tcW w:w="871" w:type="dxa"/>
            <w:shd w:val="clear" w:color="auto" w:fill="auto"/>
          </w:tcPr>
          <w:p w14:paraId="511184A4"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Q4</w:t>
            </w:r>
          </w:p>
        </w:tc>
        <w:tc>
          <w:tcPr>
            <w:tcW w:w="1074" w:type="dxa"/>
            <w:shd w:val="clear" w:color="auto" w:fill="auto"/>
            <w:vAlign w:val="center"/>
          </w:tcPr>
          <w:p w14:paraId="281A58A7"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3.9%</w:t>
            </w:r>
          </w:p>
        </w:tc>
        <w:tc>
          <w:tcPr>
            <w:tcW w:w="1073" w:type="dxa"/>
            <w:shd w:val="clear" w:color="auto" w:fill="auto"/>
            <w:vAlign w:val="center"/>
          </w:tcPr>
          <w:p w14:paraId="15C7C6AD"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15.3%</w:t>
            </w:r>
          </w:p>
        </w:tc>
        <w:tc>
          <w:tcPr>
            <w:tcW w:w="1073" w:type="dxa"/>
            <w:shd w:val="clear" w:color="auto" w:fill="auto"/>
            <w:vAlign w:val="center"/>
          </w:tcPr>
          <w:p w14:paraId="2C1DA3A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62.8%</w:t>
            </w:r>
          </w:p>
        </w:tc>
        <w:tc>
          <w:tcPr>
            <w:tcW w:w="1073" w:type="dxa"/>
            <w:shd w:val="clear" w:color="auto" w:fill="auto"/>
            <w:vAlign w:val="center"/>
          </w:tcPr>
          <w:p w14:paraId="081D12F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14.5%</w:t>
            </w:r>
          </w:p>
        </w:tc>
        <w:tc>
          <w:tcPr>
            <w:tcW w:w="1073" w:type="dxa"/>
            <w:shd w:val="clear" w:color="auto" w:fill="auto"/>
            <w:vAlign w:val="center"/>
          </w:tcPr>
          <w:p w14:paraId="5E6D75E1"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3.5%</w:t>
            </w:r>
          </w:p>
        </w:tc>
      </w:tr>
      <w:tr w:rsidR="00F073E0" w:rsidRPr="004E7A10" w14:paraId="7D4D8AA0" w14:textId="77777777" w:rsidTr="00640360">
        <w:trPr>
          <w:trHeight w:val="20"/>
        </w:trPr>
        <w:tc>
          <w:tcPr>
            <w:tcW w:w="871" w:type="dxa"/>
            <w:shd w:val="clear" w:color="auto" w:fill="auto"/>
          </w:tcPr>
          <w:p w14:paraId="25A8A9A0"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Q1</w:t>
            </w:r>
            <w:r w:rsidRPr="00E835D1">
              <w:rPr>
                <w:rFonts w:ascii="Garamond" w:hAnsi="Garamond" w:cs="Times New Roman"/>
                <w:sz w:val="18"/>
                <w:szCs w:val="18"/>
              </w:rPr>
              <w:t>,</w:t>
            </w:r>
            <w:r w:rsidRPr="00E835D1">
              <w:rPr>
                <w:rFonts w:ascii="Garamond" w:hAnsi="Garamond" w:cs="Times New Roman"/>
                <w:sz w:val="18"/>
                <w:szCs w:val="18"/>
                <w:lang w:val="hy-AM"/>
              </w:rPr>
              <w:t xml:space="preserve"> </w:t>
            </w:r>
            <w:r w:rsidRPr="00E835D1">
              <w:rPr>
                <w:rFonts w:ascii="Garamond" w:hAnsi="Garamond" w:cs="Times New Roman"/>
                <w:sz w:val="18"/>
                <w:szCs w:val="18"/>
              </w:rPr>
              <w:t>2017</w:t>
            </w:r>
          </w:p>
        </w:tc>
        <w:tc>
          <w:tcPr>
            <w:tcW w:w="1074" w:type="dxa"/>
            <w:shd w:val="clear" w:color="auto" w:fill="auto"/>
            <w:vAlign w:val="center"/>
          </w:tcPr>
          <w:p w14:paraId="5280282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4.0%</w:t>
            </w:r>
          </w:p>
        </w:tc>
        <w:tc>
          <w:tcPr>
            <w:tcW w:w="1073" w:type="dxa"/>
            <w:shd w:val="clear" w:color="auto" w:fill="auto"/>
            <w:vAlign w:val="center"/>
          </w:tcPr>
          <w:p w14:paraId="19924A60"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15.2%</w:t>
            </w:r>
          </w:p>
        </w:tc>
        <w:tc>
          <w:tcPr>
            <w:tcW w:w="1073" w:type="dxa"/>
            <w:shd w:val="clear" w:color="auto" w:fill="auto"/>
            <w:vAlign w:val="center"/>
          </w:tcPr>
          <w:p w14:paraId="1C3BFA4D"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62.2%</w:t>
            </w:r>
          </w:p>
        </w:tc>
        <w:tc>
          <w:tcPr>
            <w:tcW w:w="1073" w:type="dxa"/>
            <w:shd w:val="clear" w:color="auto" w:fill="auto"/>
            <w:vAlign w:val="center"/>
          </w:tcPr>
          <w:p w14:paraId="43FE2301"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14.8%</w:t>
            </w:r>
          </w:p>
        </w:tc>
        <w:tc>
          <w:tcPr>
            <w:tcW w:w="1073" w:type="dxa"/>
            <w:shd w:val="clear" w:color="auto" w:fill="auto"/>
            <w:vAlign w:val="center"/>
          </w:tcPr>
          <w:p w14:paraId="0791BEB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3.8%</w:t>
            </w:r>
          </w:p>
        </w:tc>
      </w:tr>
      <w:tr w:rsidR="00F073E0" w:rsidRPr="004E7A10" w14:paraId="6D06E2D1" w14:textId="77777777" w:rsidTr="00640360">
        <w:trPr>
          <w:trHeight w:val="20"/>
        </w:trPr>
        <w:tc>
          <w:tcPr>
            <w:tcW w:w="871" w:type="dxa"/>
            <w:shd w:val="clear" w:color="auto" w:fill="auto"/>
          </w:tcPr>
          <w:p w14:paraId="22CC25C5"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Q2</w:t>
            </w:r>
          </w:p>
        </w:tc>
        <w:tc>
          <w:tcPr>
            <w:tcW w:w="1074" w:type="dxa"/>
            <w:shd w:val="clear" w:color="auto" w:fill="auto"/>
            <w:vAlign w:val="center"/>
          </w:tcPr>
          <w:p w14:paraId="0CD1C3F9"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5.0%</w:t>
            </w:r>
          </w:p>
        </w:tc>
        <w:tc>
          <w:tcPr>
            <w:tcW w:w="1073" w:type="dxa"/>
            <w:shd w:val="clear" w:color="auto" w:fill="auto"/>
            <w:vAlign w:val="center"/>
          </w:tcPr>
          <w:p w14:paraId="6657CCEB"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16.0%</w:t>
            </w:r>
          </w:p>
        </w:tc>
        <w:tc>
          <w:tcPr>
            <w:tcW w:w="1073" w:type="dxa"/>
            <w:shd w:val="clear" w:color="auto" w:fill="auto"/>
            <w:vAlign w:val="center"/>
          </w:tcPr>
          <w:p w14:paraId="515D4CA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59.8%</w:t>
            </w:r>
          </w:p>
        </w:tc>
        <w:tc>
          <w:tcPr>
            <w:tcW w:w="1073" w:type="dxa"/>
            <w:shd w:val="clear" w:color="auto" w:fill="auto"/>
            <w:vAlign w:val="center"/>
          </w:tcPr>
          <w:p w14:paraId="03538BFA"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14.8%</w:t>
            </w:r>
          </w:p>
        </w:tc>
        <w:tc>
          <w:tcPr>
            <w:tcW w:w="1073" w:type="dxa"/>
            <w:shd w:val="clear" w:color="auto" w:fill="auto"/>
            <w:vAlign w:val="center"/>
          </w:tcPr>
          <w:p w14:paraId="372DA45A"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4.4%</w:t>
            </w:r>
          </w:p>
        </w:tc>
      </w:tr>
      <w:tr w:rsidR="00F073E0" w:rsidRPr="004E7A10" w14:paraId="1AC213E0" w14:textId="77777777" w:rsidTr="00640360">
        <w:trPr>
          <w:trHeight w:val="20"/>
        </w:trPr>
        <w:tc>
          <w:tcPr>
            <w:tcW w:w="871" w:type="dxa"/>
            <w:shd w:val="clear" w:color="auto" w:fill="auto"/>
          </w:tcPr>
          <w:p w14:paraId="3C385FC4"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Q3</w:t>
            </w:r>
          </w:p>
        </w:tc>
        <w:tc>
          <w:tcPr>
            <w:tcW w:w="1074" w:type="dxa"/>
            <w:shd w:val="clear" w:color="auto" w:fill="auto"/>
            <w:vAlign w:val="center"/>
          </w:tcPr>
          <w:p w14:paraId="59BEB526"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7.0%</w:t>
            </w:r>
          </w:p>
        </w:tc>
        <w:tc>
          <w:tcPr>
            <w:tcW w:w="1073" w:type="dxa"/>
            <w:shd w:val="clear" w:color="auto" w:fill="auto"/>
            <w:vAlign w:val="center"/>
          </w:tcPr>
          <w:p w14:paraId="04384F92"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17.1%</w:t>
            </w:r>
          </w:p>
        </w:tc>
        <w:tc>
          <w:tcPr>
            <w:tcW w:w="1073" w:type="dxa"/>
            <w:shd w:val="clear" w:color="auto" w:fill="auto"/>
            <w:vAlign w:val="center"/>
          </w:tcPr>
          <w:p w14:paraId="7F514291"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55.9%</w:t>
            </w:r>
          </w:p>
        </w:tc>
        <w:tc>
          <w:tcPr>
            <w:tcW w:w="1073" w:type="dxa"/>
            <w:shd w:val="clear" w:color="auto" w:fill="auto"/>
            <w:vAlign w:val="center"/>
          </w:tcPr>
          <w:p w14:paraId="6B73AD28"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14.6%</w:t>
            </w:r>
          </w:p>
        </w:tc>
        <w:tc>
          <w:tcPr>
            <w:tcW w:w="1073" w:type="dxa"/>
            <w:shd w:val="clear" w:color="auto" w:fill="auto"/>
            <w:vAlign w:val="center"/>
          </w:tcPr>
          <w:p w14:paraId="4FC6DABB"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5.3%</w:t>
            </w:r>
          </w:p>
        </w:tc>
      </w:tr>
      <w:tr w:rsidR="00F073E0" w:rsidRPr="004E7A10" w14:paraId="3E146650" w14:textId="77777777" w:rsidTr="00640360">
        <w:trPr>
          <w:trHeight w:val="20"/>
        </w:trPr>
        <w:tc>
          <w:tcPr>
            <w:tcW w:w="871" w:type="dxa"/>
            <w:shd w:val="clear" w:color="auto" w:fill="auto"/>
          </w:tcPr>
          <w:p w14:paraId="228126FC" w14:textId="77777777" w:rsidR="00F073E0" w:rsidRPr="00E835D1" w:rsidRDefault="00F073E0" w:rsidP="00F073E0">
            <w:pPr>
              <w:spacing w:before="60" w:after="60"/>
              <w:rPr>
                <w:rFonts w:ascii="Garamond" w:hAnsi="Garamond" w:cs="Times New Roman"/>
                <w:sz w:val="18"/>
                <w:szCs w:val="18"/>
                <w:lang w:val="hy-AM"/>
              </w:rPr>
            </w:pPr>
            <w:r w:rsidRPr="00E835D1">
              <w:rPr>
                <w:rFonts w:ascii="Garamond" w:hAnsi="Garamond" w:cs="Times New Roman"/>
                <w:sz w:val="18"/>
                <w:szCs w:val="18"/>
                <w:lang w:val="hy-AM"/>
              </w:rPr>
              <w:t>Q4</w:t>
            </w:r>
          </w:p>
        </w:tc>
        <w:tc>
          <w:tcPr>
            <w:tcW w:w="1074" w:type="dxa"/>
            <w:shd w:val="clear" w:color="auto" w:fill="auto"/>
            <w:vAlign w:val="center"/>
          </w:tcPr>
          <w:p w14:paraId="4FC14446"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8.0%</w:t>
            </w:r>
          </w:p>
        </w:tc>
        <w:tc>
          <w:tcPr>
            <w:tcW w:w="1073" w:type="dxa"/>
            <w:shd w:val="clear" w:color="auto" w:fill="auto"/>
            <w:vAlign w:val="center"/>
          </w:tcPr>
          <w:p w14:paraId="44650A25"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18.0%</w:t>
            </w:r>
          </w:p>
        </w:tc>
        <w:tc>
          <w:tcPr>
            <w:tcW w:w="1073" w:type="dxa"/>
            <w:shd w:val="clear" w:color="auto" w:fill="auto"/>
            <w:vAlign w:val="center"/>
          </w:tcPr>
          <w:p w14:paraId="734309AD"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55.0%</w:t>
            </w:r>
          </w:p>
        </w:tc>
        <w:tc>
          <w:tcPr>
            <w:tcW w:w="1073" w:type="dxa"/>
            <w:shd w:val="clear" w:color="auto" w:fill="auto"/>
            <w:vAlign w:val="center"/>
          </w:tcPr>
          <w:p w14:paraId="6DD722B0"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13.9%</w:t>
            </w:r>
          </w:p>
        </w:tc>
        <w:tc>
          <w:tcPr>
            <w:tcW w:w="1073" w:type="dxa"/>
            <w:shd w:val="clear" w:color="auto" w:fill="auto"/>
            <w:vAlign w:val="center"/>
          </w:tcPr>
          <w:p w14:paraId="715AA90E"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5.0%</w:t>
            </w:r>
          </w:p>
        </w:tc>
      </w:tr>
      <w:tr w:rsidR="00F073E0" w:rsidRPr="004E7A10" w14:paraId="6B13F83C" w14:textId="77777777" w:rsidTr="00640360">
        <w:trPr>
          <w:trHeight w:val="20"/>
        </w:trPr>
        <w:tc>
          <w:tcPr>
            <w:tcW w:w="871" w:type="dxa"/>
            <w:shd w:val="clear" w:color="auto" w:fill="auto"/>
          </w:tcPr>
          <w:p w14:paraId="2FA5D804" w14:textId="77777777" w:rsidR="00F073E0" w:rsidRPr="00E835D1" w:rsidRDefault="00F073E0" w:rsidP="00F073E0">
            <w:pPr>
              <w:spacing w:before="60" w:after="60"/>
              <w:rPr>
                <w:rFonts w:ascii="Garamond" w:hAnsi="Garamond" w:cs="Times New Roman"/>
                <w:sz w:val="18"/>
                <w:szCs w:val="18"/>
              </w:rPr>
            </w:pPr>
            <w:r w:rsidRPr="00E835D1">
              <w:rPr>
                <w:rFonts w:ascii="Garamond" w:hAnsi="Garamond" w:cs="Times New Roman"/>
                <w:sz w:val="18"/>
                <w:szCs w:val="18"/>
                <w:lang w:val="hy-AM"/>
              </w:rPr>
              <w:t>Q</w:t>
            </w:r>
            <w:r w:rsidRPr="00E835D1">
              <w:rPr>
                <w:rFonts w:ascii="Garamond" w:hAnsi="Garamond" w:cs="Times New Roman"/>
                <w:sz w:val="18"/>
                <w:szCs w:val="18"/>
              </w:rPr>
              <w:t>1, 2008</w:t>
            </w:r>
          </w:p>
        </w:tc>
        <w:tc>
          <w:tcPr>
            <w:tcW w:w="1074" w:type="dxa"/>
            <w:shd w:val="clear" w:color="auto" w:fill="auto"/>
            <w:vAlign w:val="center"/>
          </w:tcPr>
          <w:p w14:paraId="085CD9D6"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9.2%</w:t>
            </w:r>
          </w:p>
        </w:tc>
        <w:tc>
          <w:tcPr>
            <w:tcW w:w="1073" w:type="dxa"/>
            <w:shd w:val="clear" w:color="auto" w:fill="auto"/>
            <w:vAlign w:val="center"/>
          </w:tcPr>
          <w:p w14:paraId="6D1DAC0C"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18.9%</w:t>
            </w:r>
          </w:p>
        </w:tc>
        <w:tc>
          <w:tcPr>
            <w:tcW w:w="1073" w:type="dxa"/>
            <w:shd w:val="clear" w:color="auto" w:fill="auto"/>
            <w:vAlign w:val="center"/>
          </w:tcPr>
          <w:p w14:paraId="265E493D"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54.0%</w:t>
            </w:r>
          </w:p>
        </w:tc>
        <w:tc>
          <w:tcPr>
            <w:tcW w:w="1073" w:type="dxa"/>
            <w:shd w:val="clear" w:color="auto" w:fill="auto"/>
            <w:vAlign w:val="center"/>
          </w:tcPr>
          <w:p w14:paraId="0A2C6CD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13.1%</w:t>
            </w:r>
          </w:p>
        </w:tc>
        <w:tc>
          <w:tcPr>
            <w:tcW w:w="1073" w:type="dxa"/>
            <w:shd w:val="clear" w:color="auto" w:fill="auto"/>
            <w:vAlign w:val="center"/>
          </w:tcPr>
          <w:p w14:paraId="65578EF3" w14:textId="77777777" w:rsidR="00F073E0" w:rsidRPr="00E835D1" w:rsidRDefault="00F073E0" w:rsidP="00F073E0">
            <w:pPr>
              <w:spacing w:before="40" w:after="40"/>
              <w:jc w:val="center"/>
              <w:rPr>
                <w:rFonts w:ascii="Garamond" w:hAnsi="Garamond" w:cs="Arial"/>
                <w:sz w:val="18"/>
                <w:szCs w:val="18"/>
              </w:rPr>
            </w:pPr>
            <w:r w:rsidRPr="00E835D1">
              <w:rPr>
                <w:rFonts w:ascii="Garamond" w:hAnsi="Garamond" w:cs="Arial"/>
                <w:sz w:val="18"/>
                <w:szCs w:val="18"/>
              </w:rPr>
              <w:t>4.7%</w:t>
            </w:r>
          </w:p>
        </w:tc>
      </w:tr>
    </w:tbl>
    <w:p w14:paraId="78270E94" w14:textId="77777777" w:rsidR="004A57A9" w:rsidRPr="004E7A10" w:rsidRDefault="004A57A9" w:rsidP="004A57A9">
      <w:pPr>
        <w:spacing w:after="240"/>
        <w:ind w:firstLine="284"/>
        <w:jc w:val="both"/>
        <w:rPr>
          <w:rFonts w:ascii="Garamond" w:hAnsi="Garamond" w:cs="Times New Roman"/>
          <w:color w:val="FF0000"/>
          <w:sz w:val="20"/>
          <w:szCs w:val="20"/>
        </w:rPr>
      </w:pPr>
    </w:p>
    <w:p w14:paraId="0D673C7B" w14:textId="77777777" w:rsidR="00576D53" w:rsidRPr="004E7A10" w:rsidRDefault="00576D53" w:rsidP="00A9653E">
      <w:pPr>
        <w:spacing w:line="360" w:lineRule="auto"/>
        <w:jc w:val="both"/>
        <w:rPr>
          <w:rFonts w:ascii="Garamond" w:hAnsi="Garamond" w:cs="Times New Roman"/>
          <w:sz w:val="20"/>
          <w:szCs w:val="20"/>
        </w:rPr>
      </w:pPr>
    </w:p>
    <w:p w14:paraId="4C87DFC6" w14:textId="77777777" w:rsidR="00A03D05" w:rsidRDefault="00A03D05" w:rsidP="00A9653E">
      <w:pPr>
        <w:spacing w:line="360" w:lineRule="auto"/>
        <w:jc w:val="both"/>
        <w:rPr>
          <w:rFonts w:ascii="Garamond" w:hAnsi="Garamond" w:cs="Times New Roman"/>
          <w:sz w:val="21"/>
          <w:szCs w:val="21"/>
        </w:rPr>
      </w:pPr>
    </w:p>
    <w:p w14:paraId="13A08566" w14:textId="77777777" w:rsidR="00A03D05" w:rsidRDefault="00A03D05" w:rsidP="00A9653E">
      <w:pPr>
        <w:spacing w:line="360" w:lineRule="auto"/>
        <w:jc w:val="both"/>
        <w:rPr>
          <w:rFonts w:ascii="Garamond" w:hAnsi="Garamond" w:cs="Times New Roman"/>
          <w:sz w:val="21"/>
          <w:szCs w:val="21"/>
        </w:rPr>
      </w:pPr>
    </w:p>
    <w:p w14:paraId="102A6510" w14:textId="77777777" w:rsidR="00A03D05" w:rsidRDefault="00A03D05" w:rsidP="00A9653E">
      <w:pPr>
        <w:spacing w:line="360" w:lineRule="auto"/>
        <w:jc w:val="both"/>
        <w:rPr>
          <w:rFonts w:ascii="Garamond" w:hAnsi="Garamond" w:cs="Times New Roman"/>
          <w:sz w:val="21"/>
          <w:szCs w:val="21"/>
        </w:rPr>
      </w:pPr>
    </w:p>
    <w:p w14:paraId="4573C378" w14:textId="77777777" w:rsidR="00A03D05" w:rsidRDefault="00A03D05" w:rsidP="00A9653E">
      <w:pPr>
        <w:spacing w:line="360" w:lineRule="auto"/>
        <w:jc w:val="both"/>
        <w:rPr>
          <w:rFonts w:ascii="Garamond" w:hAnsi="Garamond" w:cs="Times New Roman"/>
          <w:sz w:val="21"/>
          <w:szCs w:val="21"/>
        </w:rPr>
      </w:pPr>
    </w:p>
    <w:p w14:paraId="051EB654" w14:textId="77777777" w:rsidR="00A03D05" w:rsidRDefault="00A03D05" w:rsidP="00A9653E">
      <w:pPr>
        <w:spacing w:line="360" w:lineRule="auto"/>
        <w:jc w:val="both"/>
        <w:rPr>
          <w:rFonts w:ascii="Garamond" w:hAnsi="Garamond" w:cs="Times New Roman"/>
          <w:sz w:val="21"/>
          <w:szCs w:val="21"/>
        </w:rPr>
      </w:pPr>
    </w:p>
    <w:p w14:paraId="06455EEE" w14:textId="77777777" w:rsidR="00A03D05" w:rsidRDefault="00A03D05" w:rsidP="00A9653E">
      <w:pPr>
        <w:spacing w:line="360" w:lineRule="auto"/>
        <w:jc w:val="both"/>
        <w:rPr>
          <w:rFonts w:ascii="Garamond" w:hAnsi="Garamond" w:cs="Times New Roman"/>
          <w:sz w:val="21"/>
          <w:szCs w:val="21"/>
        </w:rPr>
      </w:pPr>
    </w:p>
    <w:p w14:paraId="2E577C98" w14:textId="77777777" w:rsidR="00A03D05" w:rsidRDefault="00A03D05" w:rsidP="00A9653E">
      <w:pPr>
        <w:spacing w:line="360" w:lineRule="auto"/>
        <w:jc w:val="both"/>
        <w:rPr>
          <w:rFonts w:ascii="Garamond" w:hAnsi="Garamond" w:cs="Times New Roman"/>
          <w:sz w:val="21"/>
          <w:szCs w:val="21"/>
        </w:rPr>
      </w:pPr>
    </w:p>
    <w:p w14:paraId="6D53AC88" w14:textId="77777777" w:rsidR="00A03D05" w:rsidRDefault="00A03D05" w:rsidP="00A9653E">
      <w:pPr>
        <w:spacing w:line="360" w:lineRule="auto"/>
        <w:jc w:val="both"/>
        <w:rPr>
          <w:rFonts w:ascii="Garamond" w:hAnsi="Garamond" w:cs="Times New Roman"/>
          <w:sz w:val="21"/>
          <w:szCs w:val="21"/>
        </w:rPr>
      </w:pPr>
    </w:p>
    <w:p w14:paraId="3E0ECB07" w14:textId="77777777" w:rsidR="00F073E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Pr="004E7A10">
        <w:rPr>
          <w:rFonts w:ascii="Garamond" w:hAnsi="Garamond" w:cs="Times New Roman"/>
          <w:b/>
          <w:sz w:val="21"/>
          <w:szCs w:val="21"/>
        </w:rPr>
        <w:t>forecast horizon</w:t>
      </w:r>
      <w:r w:rsidRPr="004E7A10">
        <w:rPr>
          <w:rFonts w:ascii="Garamond" w:hAnsi="Garamond" w:cs="Times New Roman"/>
          <w:sz w:val="21"/>
          <w:szCs w:val="21"/>
        </w:rPr>
        <w:t xml:space="preserve">, </w:t>
      </w:r>
      <w:r w:rsidR="0066543C" w:rsidRPr="004E7A10">
        <w:rPr>
          <w:rFonts w:ascii="Garamond" w:hAnsi="Garamond" w:cs="Times New Roman"/>
          <w:sz w:val="21"/>
          <w:szCs w:val="21"/>
        </w:rPr>
        <w:t>as the economic activity declines further, the</w:t>
      </w:r>
      <w:r w:rsidR="00F073E0">
        <w:rPr>
          <w:rFonts w:ascii="Garamond" w:hAnsi="Garamond" w:cs="Times New Roman"/>
          <w:sz w:val="21"/>
          <w:szCs w:val="21"/>
        </w:rPr>
        <w:t xml:space="preserve"> forecasts of smaller</w:t>
      </w:r>
      <w:r w:rsidR="0066543C" w:rsidRPr="004E7A10">
        <w:rPr>
          <w:rFonts w:ascii="Garamond" w:hAnsi="Garamond" w:cs="Times New Roman"/>
          <w:sz w:val="21"/>
          <w:szCs w:val="21"/>
        </w:rPr>
        <w:t xml:space="preserve"> demand for credit resources hence slower credit growth rates</w:t>
      </w:r>
      <w:r w:rsidR="00F073E0">
        <w:rPr>
          <w:rFonts w:ascii="Garamond" w:hAnsi="Garamond" w:cs="Times New Roman"/>
          <w:sz w:val="21"/>
          <w:szCs w:val="21"/>
        </w:rPr>
        <w:t xml:space="preserve"> </w:t>
      </w:r>
      <w:r w:rsidR="00F073E0" w:rsidRPr="00F073E0">
        <w:rPr>
          <w:rFonts w:ascii="Garamond" w:hAnsi="Garamond" w:cs="Times New Roman"/>
          <w:b/>
          <w:sz w:val="21"/>
          <w:szCs w:val="21"/>
        </w:rPr>
        <w:t>will remain unchanged</w:t>
      </w:r>
      <w:r w:rsidR="0066543C" w:rsidRPr="004E7A10">
        <w:rPr>
          <w:rFonts w:ascii="Garamond" w:hAnsi="Garamond" w:cs="Times New Roman"/>
          <w:sz w:val="21"/>
          <w:szCs w:val="21"/>
        </w:rPr>
        <w:t xml:space="preserve">. This </w:t>
      </w:r>
      <w:r w:rsidR="00FE7157" w:rsidRPr="004E7A10">
        <w:rPr>
          <w:rFonts w:ascii="Garamond" w:hAnsi="Garamond" w:cs="Times New Roman"/>
          <w:sz w:val="21"/>
          <w:szCs w:val="21"/>
        </w:rPr>
        <w:t>will</w:t>
      </w:r>
      <w:r w:rsidR="0066543C" w:rsidRPr="004E7A10">
        <w:rPr>
          <w:rFonts w:ascii="Garamond" w:hAnsi="Garamond" w:cs="Times New Roman"/>
          <w:sz w:val="21"/>
          <w:szCs w:val="21"/>
        </w:rPr>
        <w:t xml:space="preserve"> somewhat </w:t>
      </w:r>
      <w:r w:rsidR="00FE7157" w:rsidRPr="004E7A10">
        <w:rPr>
          <w:rFonts w:ascii="Garamond" w:hAnsi="Garamond" w:cs="Times New Roman"/>
          <w:sz w:val="21"/>
          <w:szCs w:val="21"/>
        </w:rPr>
        <w:t xml:space="preserve">be </w:t>
      </w:r>
      <w:r w:rsidR="0066543C" w:rsidRPr="004E7A10">
        <w:rPr>
          <w:rFonts w:ascii="Garamond" w:hAnsi="Garamond" w:cs="Times New Roman"/>
          <w:sz w:val="21"/>
          <w:szCs w:val="21"/>
        </w:rPr>
        <w:t xml:space="preserve">compensated by </w:t>
      </w:r>
      <w:r w:rsidR="00FE7157" w:rsidRPr="004E7A10">
        <w:rPr>
          <w:rFonts w:ascii="Garamond" w:hAnsi="Garamond" w:cs="Times New Roman"/>
          <w:sz w:val="21"/>
          <w:szCs w:val="21"/>
        </w:rPr>
        <w:t xml:space="preserve">various lending programs under a number of international financial institutions (World Bank, Asian Development Bank, KfW Bank, European Investment Bank) carried out through the </w:t>
      </w:r>
      <w:r w:rsidR="0066543C" w:rsidRPr="004E7A10">
        <w:rPr>
          <w:rFonts w:ascii="Garamond" w:hAnsi="Garamond" w:cs="Times New Roman"/>
          <w:sz w:val="21"/>
          <w:szCs w:val="21"/>
        </w:rPr>
        <w:t xml:space="preserve">Central Bank </w:t>
      </w:r>
      <w:r w:rsidR="00FE7157" w:rsidRPr="004E7A10">
        <w:rPr>
          <w:rFonts w:ascii="Garamond" w:hAnsi="Garamond" w:cs="Times New Roman"/>
          <w:sz w:val="21"/>
          <w:szCs w:val="21"/>
        </w:rPr>
        <w:t xml:space="preserve">in cooperation with the Armenian Government, and by </w:t>
      </w:r>
      <w:r w:rsidR="00AB377C" w:rsidRPr="004E7A10">
        <w:rPr>
          <w:rFonts w:ascii="Garamond" w:hAnsi="Garamond" w:cs="Times New Roman"/>
          <w:sz w:val="21"/>
          <w:szCs w:val="21"/>
        </w:rPr>
        <w:t xml:space="preserve">low-interest loan projects under </w:t>
      </w:r>
      <w:r w:rsidR="00FE7157" w:rsidRPr="004E7A10">
        <w:rPr>
          <w:rFonts w:ascii="Garamond" w:hAnsi="Garamond" w:cs="Times New Roman"/>
          <w:sz w:val="21"/>
          <w:szCs w:val="21"/>
        </w:rPr>
        <w:t>a handful of</w:t>
      </w:r>
      <w:r w:rsidR="0066543C" w:rsidRPr="004E7A10">
        <w:rPr>
          <w:rFonts w:ascii="Garamond" w:hAnsi="Garamond" w:cs="Times New Roman"/>
          <w:sz w:val="21"/>
          <w:szCs w:val="21"/>
        </w:rPr>
        <w:t xml:space="preserve"> social programs (</w:t>
      </w:r>
      <w:r w:rsidR="00AB377C" w:rsidRPr="004E7A10">
        <w:rPr>
          <w:rFonts w:ascii="Garamond" w:hAnsi="Garamond" w:cs="Times New Roman"/>
          <w:sz w:val="21"/>
          <w:szCs w:val="21"/>
        </w:rPr>
        <w:t>Ho</w:t>
      </w:r>
      <w:r w:rsidR="00334A50" w:rsidRPr="004E7A10">
        <w:rPr>
          <w:rFonts w:ascii="Garamond" w:hAnsi="Garamond" w:cs="Times New Roman"/>
          <w:sz w:val="21"/>
          <w:szCs w:val="21"/>
        </w:rPr>
        <w:t>using</w:t>
      </w:r>
      <w:r w:rsidR="00AB377C" w:rsidRPr="004E7A10">
        <w:rPr>
          <w:rFonts w:ascii="Garamond" w:hAnsi="Garamond" w:cs="Times New Roman"/>
          <w:sz w:val="21"/>
          <w:szCs w:val="21"/>
        </w:rPr>
        <w:t xml:space="preserve"> </w:t>
      </w:r>
      <w:r w:rsidR="0066543C" w:rsidRPr="004E7A10">
        <w:rPr>
          <w:rFonts w:ascii="Garamond" w:hAnsi="Garamond" w:cs="Times New Roman"/>
          <w:sz w:val="21"/>
          <w:szCs w:val="21"/>
        </w:rPr>
        <w:t xml:space="preserve">for </w:t>
      </w:r>
      <w:r w:rsidR="00AB377C" w:rsidRPr="004E7A10">
        <w:rPr>
          <w:rFonts w:ascii="Garamond" w:hAnsi="Garamond" w:cs="Times New Roman"/>
          <w:sz w:val="21"/>
          <w:szCs w:val="21"/>
        </w:rPr>
        <w:t>Y</w:t>
      </w:r>
      <w:r w:rsidR="0066543C" w:rsidRPr="004E7A10">
        <w:rPr>
          <w:rFonts w:ascii="Garamond" w:hAnsi="Garamond" w:cs="Times New Roman"/>
          <w:sz w:val="21"/>
          <w:szCs w:val="21"/>
        </w:rPr>
        <w:t xml:space="preserve">outh, the National Mortgage </w:t>
      </w:r>
      <w:r w:rsidR="00AB377C" w:rsidRPr="004E7A10">
        <w:rPr>
          <w:rFonts w:ascii="Garamond" w:hAnsi="Garamond" w:cs="Times New Roman"/>
          <w:sz w:val="21"/>
          <w:szCs w:val="21"/>
        </w:rPr>
        <w:t>Company</w:t>
      </w:r>
      <w:r w:rsidR="0066543C" w:rsidRPr="004E7A10">
        <w:rPr>
          <w:rFonts w:ascii="Garamond" w:hAnsi="Garamond" w:cs="Times New Roman"/>
          <w:sz w:val="21"/>
          <w:szCs w:val="21"/>
        </w:rPr>
        <w:t>)</w:t>
      </w:r>
      <w:r w:rsidR="00AB377C" w:rsidRPr="004E7A10">
        <w:rPr>
          <w:rFonts w:ascii="Garamond" w:hAnsi="Garamond" w:cs="Times New Roman"/>
          <w:sz w:val="21"/>
          <w:szCs w:val="21"/>
        </w:rPr>
        <w:t>.</w:t>
      </w:r>
      <w:r w:rsidR="0066543C" w:rsidRPr="004E7A10">
        <w:rPr>
          <w:rFonts w:ascii="Garamond" w:hAnsi="Garamond" w:cs="Times New Roman"/>
          <w:sz w:val="21"/>
          <w:szCs w:val="21"/>
        </w:rPr>
        <w:t xml:space="preserve"> </w:t>
      </w:r>
    </w:p>
    <w:p w14:paraId="588F9B7E" w14:textId="77777777" w:rsidR="00A9653E" w:rsidRPr="004E7A10" w:rsidRDefault="00A777A0"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a longer term, the Central Bank will look to the target level of the policy rate to adequately react to any shifts in liquidity to make sure money supply is consistent with demand. </w:t>
      </w:r>
    </w:p>
    <w:p w14:paraId="184D0359" w14:textId="77777777" w:rsidR="00A56A9F" w:rsidRPr="004E7A10" w:rsidRDefault="00A56A9F" w:rsidP="00327B27">
      <w:pPr>
        <w:jc w:val="both"/>
        <w:rPr>
          <w:rStyle w:val="longtext"/>
          <w:rFonts w:ascii="Garamond" w:hAnsi="Garamond" w:cs="Times New Roman"/>
          <w:b/>
          <w:color w:val="000000"/>
          <w:sz w:val="21"/>
          <w:szCs w:val="21"/>
        </w:rPr>
      </w:pPr>
    </w:p>
    <w:p w14:paraId="5D862740" w14:textId="77777777" w:rsidR="00A9653E" w:rsidRPr="004E7A10" w:rsidRDefault="00A9653E" w:rsidP="00327B27">
      <w:pPr>
        <w:jc w:val="both"/>
        <w:rPr>
          <w:rStyle w:val="longtext"/>
          <w:rFonts w:ascii="Garamond" w:hAnsi="Garamond" w:cs="Times New Roman"/>
          <w:b/>
          <w:color w:val="000000"/>
          <w:sz w:val="21"/>
          <w:szCs w:val="21"/>
        </w:rPr>
      </w:pPr>
      <w:r w:rsidRPr="004E7A10">
        <w:rPr>
          <w:rStyle w:val="longtext"/>
          <w:rFonts w:ascii="Garamond" w:hAnsi="Garamond" w:cs="Times New Roman"/>
          <w:b/>
          <w:color w:val="000000"/>
          <w:sz w:val="21"/>
          <w:szCs w:val="21"/>
        </w:rPr>
        <w:t>3. ACTUAL DEVELOPMENTS IN Q</w:t>
      </w:r>
      <w:r w:rsidR="00F073E0">
        <w:rPr>
          <w:rStyle w:val="longtext"/>
          <w:rFonts w:ascii="Garamond" w:hAnsi="Garamond" w:cs="Times New Roman"/>
          <w:b/>
          <w:color w:val="000000"/>
          <w:sz w:val="21"/>
          <w:szCs w:val="21"/>
        </w:rPr>
        <w:t>1</w:t>
      </w:r>
      <w:r w:rsidRPr="004E7A10">
        <w:rPr>
          <w:rStyle w:val="longtext"/>
          <w:rFonts w:ascii="Garamond" w:hAnsi="Garamond" w:cs="Times New Roman"/>
          <w:b/>
          <w:color w:val="000000"/>
          <w:sz w:val="21"/>
          <w:szCs w:val="21"/>
        </w:rPr>
        <w:t xml:space="preserve"> 201</w:t>
      </w:r>
      <w:r w:rsidR="00F073E0">
        <w:rPr>
          <w:rStyle w:val="longtext"/>
          <w:rFonts w:ascii="Garamond" w:hAnsi="Garamond" w:cs="Times New Roman"/>
          <w:b/>
          <w:color w:val="000000"/>
          <w:sz w:val="21"/>
          <w:szCs w:val="21"/>
        </w:rPr>
        <w:t>5</w:t>
      </w:r>
    </w:p>
    <w:p w14:paraId="7E9CABBF" w14:textId="77777777" w:rsidR="00A9653E" w:rsidRPr="004E7A10" w:rsidRDefault="00A9653E" w:rsidP="00A9653E">
      <w:pPr>
        <w:spacing w:line="360" w:lineRule="auto"/>
        <w:jc w:val="both"/>
        <w:rPr>
          <w:rStyle w:val="longtext"/>
          <w:rFonts w:ascii="Garamond" w:hAnsi="Garamond" w:cs="Times New Roman"/>
          <w:b/>
          <w:color w:val="000000"/>
          <w:sz w:val="21"/>
          <w:szCs w:val="21"/>
        </w:rPr>
      </w:pPr>
      <w:r w:rsidRPr="004E7A10">
        <w:rPr>
          <w:rStyle w:val="longtext"/>
          <w:rFonts w:ascii="Garamond" w:hAnsi="Garamond" w:cs="Times New Roman"/>
          <w:b/>
          <w:color w:val="000000"/>
          <w:sz w:val="21"/>
          <w:szCs w:val="21"/>
        </w:rPr>
        <w:t>3.1 Inflation</w:t>
      </w:r>
    </w:p>
    <w:p w14:paraId="5B75B4FF" w14:textId="77777777" w:rsidR="00A9653E" w:rsidRPr="004E7A10" w:rsidRDefault="00A9653E" w:rsidP="00A9653E">
      <w:pPr>
        <w:spacing w:line="360" w:lineRule="auto"/>
        <w:jc w:val="both"/>
        <w:rPr>
          <w:rStyle w:val="longtext"/>
          <w:rFonts w:ascii="Garamond" w:hAnsi="Garamond" w:cs="Times New Roman"/>
          <w:b/>
          <w:color w:val="000000"/>
          <w:sz w:val="21"/>
          <w:szCs w:val="21"/>
        </w:rPr>
      </w:pPr>
      <w:r w:rsidRPr="004E7A10">
        <w:rPr>
          <w:rStyle w:val="longtext"/>
          <w:rFonts w:ascii="Garamond" w:hAnsi="Garamond" w:cs="Times New Roman"/>
          <w:b/>
          <w:color w:val="000000"/>
          <w:sz w:val="21"/>
          <w:szCs w:val="21"/>
        </w:rPr>
        <w:t xml:space="preserve">3.1.1 Actual inflation and </w:t>
      </w:r>
      <w:r w:rsidR="003314DB" w:rsidRPr="004E7A10">
        <w:rPr>
          <w:rStyle w:val="longtext"/>
          <w:rFonts w:ascii="Garamond" w:hAnsi="Garamond" w:cs="Times New Roman"/>
          <w:b/>
          <w:color w:val="000000"/>
          <w:sz w:val="21"/>
          <w:szCs w:val="21"/>
        </w:rPr>
        <w:t>fulfillment</w:t>
      </w:r>
      <w:r w:rsidR="00B90152" w:rsidRPr="004E7A10">
        <w:rPr>
          <w:rStyle w:val="longtext"/>
          <w:rFonts w:ascii="Garamond" w:hAnsi="Garamond" w:cs="Times New Roman"/>
          <w:b/>
          <w:color w:val="000000"/>
          <w:sz w:val="21"/>
          <w:szCs w:val="21"/>
        </w:rPr>
        <w:t xml:space="preserve"> of the inflation </w:t>
      </w:r>
      <w:r w:rsidRPr="004E7A10">
        <w:rPr>
          <w:rStyle w:val="longtext"/>
          <w:rFonts w:ascii="Garamond" w:hAnsi="Garamond" w:cs="Times New Roman"/>
          <w:b/>
          <w:color w:val="000000"/>
          <w:sz w:val="21"/>
          <w:szCs w:val="21"/>
        </w:rPr>
        <w:t>target</w:t>
      </w:r>
    </w:p>
    <w:p w14:paraId="4DAD8928" w14:textId="77777777" w:rsidR="00DC3F6B" w:rsidRPr="00BC13A1" w:rsidRDefault="00BC13A1" w:rsidP="00A9653E">
      <w:pPr>
        <w:spacing w:line="360" w:lineRule="auto"/>
        <w:jc w:val="both"/>
        <w:rPr>
          <w:rStyle w:val="longtext"/>
          <w:rFonts w:ascii="Garamond" w:hAnsi="Garamond" w:cs="Times New Roman"/>
          <w:b/>
          <w:color w:val="0070C0"/>
          <w:sz w:val="18"/>
          <w:szCs w:val="18"/>
        </w:rPr>
      </w:pPr>
      <w:r w:rsidRPr="00BC13A1">
        <w:rPr>
          <w:rStyle w:val="longtext"/>
          <w:rFonts w:ascii="Garamond" w:hAnsi="Garamond" w:cs="Times New Roman"/>
          <w:b/>
          <w:color w:val="0070C0"/>
          <w:sz w:val="18"/>
          <w:szCs w:val="18"/>
        </w:rPr>
        <w:t>In the 1st quarter of 2015, inflation was 2.3%, with the 12-month inflation rate having amounted to 5.8%</w:t>
      </w:r>
      <w:r w:rsidR="00DC3F6B" w:rsidRPr="00BC13A1">
        <w:rPr>
          <w:rStyle w:val="longtext"/>
          <w:rFonts w:ascii="Garamond" w:hAnsi="Garamond" w:cs="Times New Roman"/>
          <w:b/>
          <w:color w:val="0070C0"/>
          <w:sz w:val="18"/>
          <w:szCs w:val="18"/>
        </w:rPr>
        <w:t xml:space="preserve">… </w:t>
      </w:r>
    </w:p>
    <w:p w14:paraId="15739A4D" w14:textId="77777777" w:rsidR="00621264" w:rsidRPr="00621264" w:rsidRDefault="0084372B" w:rsidP="00621264">
      <w:pPr>
        <w:spacing w:line="360" w:lineRule="auto"/>
        <w:jc w:val="both"/>
        <w:rPr>
          <w:rStyle w:val="longtext"/>
          <w:rFonts w:ascii="Garamond" w:hAnsi="Garamond" w:cs="Times New Roman"/>
          <w:sz w:val="21"/>
          <w:szCs w:val="21"/>
        </w:rPr>
      </w:pPr>
      <w:r w:rsidRPr="004E7A10">
        <w:rPr>
          <w:rStyle w:val="longtext"/>
          <w:rFonts w:ascii="Garamond" w:hAnsi="Garamond" w:cs="Times New Roman"/>
          <w:sz w:val="21"/>
          <w:szCs w:val="21"/>
        </w:rPr>
        <w:t>The</w:t>
      </w:r>
      <w:r w:rsidR="00F073E0">
        <w:rPr>
          <w:rStyle w:val="longtext"/>
          <w:rFonts w:ascii="Garamond" w:hAnsi="Garamond" w:cs="Times New Roman"/>
          <w:sz w:val="21"/>
          <w:szCs w:val="21"/>
        </w:rPr>
        <w:t>re was 2.3% inflation recorded in the 1st</w:t>
      </w:r>
      <w:r w:rsidRPr="004E7A10">
        <w:rPr>
          <w:rStyle w:val="longtext"/>
          <w:rFonts w:ascii="Garamond" w:hAnsi="Garamond" w:cs="Times New Roman"/>
          <w:sz w:val="21"/>
          <w:szCs w:val="21"/>
        </w:rPr>
        <w:t xml:space="preserve"> quarter </w:t>
      </w:r>
      <w:r w:rsidR="00F073E0">
        <w:rPr>
          <w:rStyle w:val="longtext"/>
          <w:rFonts w:ascii="Garamond" w:hAnsi="Garamond" w:cs="Times New Roman"/>
          <w:sz w:val="21"/>
          <w:szCs w:val="21"/>
        </w:rPr>
        <w:t xml:space="preserve">of </w:t>
      </w:r>
      <w:r w:rsidRPr="004E7A10">
        <w:rPr>
          <w:rStyle w:val="longtext"/>
          <w:rFonts w:ascii="Garamond" w:hAnsi="Garamond" w:cs="Times New Roman"/>
          <w:sz w:val="21"/>
          <w:szCs w:val="21"/>
        </w:rPr>
        <w:t>201</w:t>
      </w:r>
      <w:r w:rsidR="00F073E0">
        <w:rPr>
          <w:rStyle w:val="longtext"/>
          <w:rFonts w:ascii="Garamond" w:hAnsi="Garamond" w:cs="Times New Roman"/>
          <w:sz w:val="21"/>
          <w:szCs w:val="21"/>
        </w:rPr>
        <w:t>5, with the 12-month inflation rate having grown to a certain extent, as was expected, to 5</w:t>
      </w:r>
      <w:r w:rsidR="00F073E0" w:rsidRPr="007F104A">
        <w:rPr>
          <w:rStyle w:val="longtext"/>
          <w:rFonts w:ascii="Garamond" w:hAnsi="Garamond" w:cs="Times New Roman"/>
          <w:sz w:val="21"/>
          <w:szCs w:val="21"/>
        </w:rPr>
        <w:t>.8%</w:t>
      </w:r>
      <w:r w:rsidR="007F104A" w:rsidRPr="007F104A">
        <w:rPr>
          <w:rStyle w:val="longtext"/>
          <w:rFonts w:ascii="Garamond" w:hAnsi="Garamond" w:cs="Times New Roman"/>
          <w:sz w:val="21"/>
          <w:szCs w:val="21"/>
        </w:rPr>
        <w:t xml:space="preserve">, </w:t>
      </w:r>
      <w:r w:rsidR="007F104A">
        <w:rPr>
          <w:rStyle w:val="longtext"/>
          <w:rFonts w:ascii="Garamond" w:hAnsi="Garamond" w:cs="Times New Roman"/>
          <w:sz w:val="21"/>
          <w:szCs w:val="21"/>
        </w:rPr>
        <w:t xml:space="preserve">i.e. </w:t>
      </w:r>
      <w:r w:rsidR="007F104A" w:rsidRPr="007F104A">
        <w:rPr>
          <w:rStyle w:val="longtext"/>
          <w:rFonts w:ascii="Garamond" w:hAnsi="Garamond" w:cs="Times New Roman"/>
          <w:sz w:val="21"/>
          <w:szCs w:val="21"/>
        </w:rPr>
        <w:t>closer to the upper bound of the confidence band of 4.0+/-1.5 pp.</w:t>
      </w:r>
      <w:r w:rsidR="00621264">
        <w:rPr>
          <w:rStyle w:val="longtext"/>
          <w:rFonts w:ascii="Garamond" w:hAnsi="Garamond" w:cs="Times New Roman"/>
          <w:sz w:val="21"/>
          <w:szCs w:val="21"/>
        </w:rPr>
        <w:t xml:space="preserve"> T</w:t>
      </w:r>
      <w:r w:rsidR="00621264" w:rsidRPr="00621264">
        <w:rPr>
          <w:rStyle w:val="longtext"/>
          <w:rFonts w:ascii="Garamond" w:hAnsi="Garamond" w:cs="Times New Roman"/>
          <w:sz w:val="21"/>
          <w:szCs w:val="21"/>
        </w:rPr>
        <w:t>he quarter</w:t>
      </w:r>
      <w:r w:rsidR="00621264">
        <w:rPr>
          <w:rStyle w:val="longtext"/>
          <w:rFonts w:ascii="Garamond" w:hAnsi="Garamond" w:cs="Times New Roman"/>
          <w:sz w:val="21"/>
          <w:szCs w:val="21"/>
        </w:rPr>
        <w:t>’s</w:t>
      </w:r>
      <w:r w:rsidR="00621264" w:rsidRPr="00621264">
        <w:rPr>
          <w:rStyle w:val="longtext"/>
          <w:rFonts w:ascii="Garamond" w:hAnsi="Garamond" w:cs="Times New Roman"/>
          <w:sz w:val="21"/>
          <w:szCs w:val="21"/>
        </w:rPr>
        <w:t xml:space="preserve"> </w:t>
      </w:r>
      <w:r w:rsidR="00621264">
        <w:rPr>
          <w:rStyle w:val="longtext"/>
          <w:rFonts w:ascii="Garamond" w:hAnsi="Garamond" w:cs="Times New Roman"/>
          <w:sz w:val="21"/>
          <w:szCs w:val="21"/>
        </w:rPr>
        <w:t>i</w:t>
      </w:r>
      <w:r w:rsidR="00621264" w:rsidRPr="00621264">
        <w:rPr>
          <w:rStyle w:val="longtext"/>
          <w:rFonts w:ascii="Garamond" w:hAnsi="Garamond" w:cs="Times New Roman"/>
          <w:sz w:val="21"/>
          <w:szCs w:val="21"/>
        </w:rPr>
        <w:t xml:space="preserve">nflation </w:t>
      </w:r>
      <w:r w:rsidR="00621264">
        <w:rPr>
          <w:rStyle w:val="longtext"/>
          <w:rFonts w:ascii="Garamond" w:hAnsi="Garamond" w:cs="Times New Roman"/>
          <w:sz w:val="21"/>
          <w:szCs w:val="21"/>
        </w:rPr>
        <w:t xml:space="preserve">was </w:t>
      </w:r>
      <w:r w:rsidR="00621264" w:rsidRPr="00621264">
        <w:rPr>
          <w:rStyle w:val="longtext"/>
          <w:rFonts w:ascii="Garamond" w:hAnsi="Garamond" w:cs="Times New Roman"/>
          <w:sz w:val="21"/>
          <w:szCs w:val="21"/>
        </w:rPr>
        <w:t>mainly due to food and non-food price increase</w:t>
      </w:r>
      <w:r w:rsidR="00621264">
        <w:rPr>
          <w:rStyle w:val="longtext"/>
          <w:rFonts w:ascii="Garamond" w:hAnsi="Garamond" w:cs="Times New Roman"/>
          <w:sz w:val="21"/>
          <w:szCs w:val="21"/>
        </w:rPr>
        <w:t>s</w:t>
      </w:r>
      <w:r w:rsidR="00621264" w:rsidRPr="00621264">
        <w:rPr>
          <w:rStyle w:val="longtext"/>
          <w:rFonts w:ascii="Garamond" w:hAnsi="Garamond" w:cs="Times New Roman"/>
          <w:sz w:val="21"/>
          <w:szCs w:val="21"/>
        </w:rPr>
        <w:t xml:space="preserve"> by 2.8% and 3.6%</w:t>
      </w:r>
      <w:r w:rsidR="00621264">
        <w:rPr>
          <w:rStyle w:val="longtext"/>
          <w:rFonts w:ascii="Garamond" w:hAnsi="Garamond" w:cs="Times New Roman"/>
          <w:sz w:val="21"/>
          <w:szCs w:val="21"/>
        </w:rPr>
        <w:t>, respectively, with their</w:t>
      </w:r>
      <w:r w:rsidR="00621264" w:rsidRPr="00621264">
        <w:rPr>
          <w:rStyle w:val="longtext"/>
          <w:rFonts w:ascii="Garamond" w:hAnsi="Garamond" w:cs="Times New Roman"/>
          <w:sz w:val="21"/>
          <w:szCs w:val="21"/>
        </w:rPr>
        <w:t xml:space="preserve"> total contribution </w:t>
      </w:r>
      <w:r w:rsidR="00C25BC7">
        <w:rPr>
          <w:rStyle w:val="longtext"/>
          <w:rFonts w:ascii="Garamond" w:hAnsi="Garamond" w:cs="Times New Roman"/>
          <w:sz w:val="21"/>
          <w:szCs w:val="21"/>
        </w:rPr>
        <w:t xml:space="preserve">of </w:t>
      </w:r>
      <w:r w:rsidR="00C25BC7" w:rsidRPr="00621264">
        <w:rPr>
          <w:rStyle w:val="longtext"/>
          <w:rFonts w:ascii="Garamond" w:hAnsi="Garamond" w:cs="Times New Roman"/>
          <w:sz w:val="21"/>
          <w:szCs w:val="21"/>
        </w:rPr>
        <w:t xml:space="preserve">2.1 </w:t>
      </w:r>
      <w:r w:rsidR="00C25BC7">
        <w:rPr>
          <w:rStyle w:val="longtext"/>
          <w:rFonts w:ascii="Garamond" w:hAnsi="Garamond" w:cs="Times New Roman"/>
          <w:sz w:val="21"/>
          <w:szCs w:val="21"/>
        </w:rPr>
        <w:t xml:space="preserve">pp </w:t>
      </w:r>
      <w:r w:rsidR="00621264" w:rsidRPr="00621264">
        <w:rPr>
          <w:rStyle w:val="longtext"/>
          <w:rFonts w:ascii="Garamond" w:hAnsi="Garamond" w:cs="Times New Roman"/>
          <w:sz w:val="21"/>
          <w:szCs w:val="21"/>
        </w:rPr>
        <w:t xml:space="preserve">to inflation. In particular, the increase in food prices was </w:t>
      </w:r>
      <w:r w:rsidR="00C25BC7">
        <w:rPr>
          <w:rStyle w:val="longtext"/>
          <w:rFonts w:ascii="Garamond" w:hAnsi="Garamond" w:cs="Times New Roman"/>
          <w:sz w:val="21"/>
          <w:szCs w:val="21"/>
        </w:rPr>
        <w:t xml:space="preserve">fuelled by seasonal increase in </w:t>
      </w:r>
      <w:r w:rsidR="00621264" w:rsidRPr="00621264">
        <w:rPr>
          <w:rStyle w:val="longtext"/>
          <w:rFonts w:ascii="Garamond" w:hAnsi="Garamond" w:cs="Times New Roman"/>
          <w:sz w:val="21"/>
          <w:szCs w:val="21"/>
        </w:rPr>
        <w:t>fruit, vegetable and potato</w:t>
      </w:r>
      <w:r w:rsidR="00C25BC7">
        <w:rPr>
          <w:rStyle w:val="longtext"/>
          <w:rFonts w:ascii="Garamond" w:hAnsi="Garamond" w:cs="Times New Roman"/>
          <w:sz w:val="21"/>
          <w:szCs w:val="21"/>
        </w:rPr>
        <w:t xml:space="preserve"> price</w:t>
      </w:r>
      <w:r w:rsidR="00621264" w:rsidRPr="00621264">
        <w:rPr>
          <w:rStyle w:val="longtext"/>
          <w:rFonts w:ascii="Garamond" w:hAnsi="Garamond" w:cs="Times New Roman"/>
          <w:sz w:val="21"/>
          <w:szCs w:val="21"/>
        </w:rPr>
        <w:t xml:space="preserve">s, </w:t>
      </w:r>
      <w:r w:rsidR="00C25BC7">
        <w:rPr>
          <w:rStyle w:val="longtext"/>
          <w:rFonts w:ascii="Garamond" w:hAnsi="Garamond" w:cs="Times New Roman"/>
          <w:sz w:val="21"/>
          <w:szCs w:val="21"/>
        </w:rPr>
        <w:t xml:space="preserve">by </w:t>
      </w:r>
      <w:r w:rsidR="00621264" w:rsidRPr="00621264">
        <w:rPr>
          <w:rStyle w:val="longtext"/>
          <w:rFonts w:ascii="Garamond" w:hAnsi="Garamond" w:cs="Times New Roman"/>
          <w:sz w:val="21"/>
          <w:szCs w:val="21"/>
        </w:rPr>
        <w:t xml:space="preserve">9.4% and 10.0% </w:t>
      </w:r>
      <w:r w:rsidR="00C25BC7" w:rsidRPr="00621264">
        <w:rPr>
          <w:rStyle w:val="longtext"/>
          <w:rFonts w:ascii="Garamond" w:hAnsi="Garamond" w:cs="Times New Roman"/>
          <w:sz w:val="21"/>
          <w:szCs w:val="21"/>
        </w:rPr>
        <w:t>respectively</w:t>
      </w:r>
      <w:r w:rsidR="00621264" w:rsidRPr="00621264">
        <w:rPr>
          <w:rStyle w:val="longtext"/>
          <w:rFonts w:ascii="Garamond" w:hAnsi="Garamond" w:cs="Times New Roman"/>
          <w:sz w:val="21"/>
          <w:szCs w:val="21"/>
        </w:rPr>
        <w:t xml:space="preserve"> (</w:t>
      </w:r>
      <w:r w:rsidR="00C25BC7">
        <w:rPr>
          <w:rStyle w:val="longtext"/>
          <w:rFonts w:ascii="Garamond" w:hAnsi="Garamond" w:cs="Times New Roman"/>
          <w:sz w:val="21"/>
          <w:szCs w:val="21"/>
        </w:rPr>
        <w:t xml:space="preserve">with their </w:t>
      </w:r>
      <w:r w:rsidR="00621264" w:rsidRPr="00621264">
        <w:rPr>
          <w:rStyle w:val="longtext"/>
          <w:rFonts w:ascii="Garamond" w:hAnsi="Garamond" w:cs="Times New Roman"/>
          <w:sz w:val="21"/>
          <w:szCs w:val="21"/>
        </w:rPr>
        <w:t xml:space="preserve">total </w:t>
      </w:r>
      <w:r w:rsidR="00C25BC7">
        <w:rPr>
          <w:rStyle w:val="longtext"/>
          <w:rFonts w:ascii="Garamond" w:hAnsi="Garamond" w:cs="Times New Roman"/>
          <w:sz w:val="21"/>
          <w:szCs w:val="21"/>
        </w:rPr>
        <w:t xml:space="preserve">contribution of </w:t>
      </w:r>
      <w:r w:rsidR="00621264" w:rsidRPr="00621264">
        <w:rPr>
          <w:rStyle w:val="longtext"/>
          <w:rFonts w:ascii="Garamond" w:hAnsi="Garamond" w:cs="Times New Roman"/>
          <w:sz w:val="21"/>
          <w:szCs w:val="21"/>
        </w:rPr>
        <w:t>0.9 p</w:t>
      </w:r>
      <w:r w:rsidR="00C25BC7">
        <w:rPr>
          <w:rStyle w:val="longtext"/>
          <w:rFonts w:ascii="Garamond" w:hAnsi="Garamond" w:cs="Times New Roman"/>
          <w:sz w:val="21"/>
          <w:szCs w:val="21"/>
        </w:rPr>
        <w:t>p</w:t>
      </w:r>
      <w:r w:rsidR="00621264" w:rsidRPr="00621264">
        <w:rPr>
          <w:rStyle w:val="longtext"/>
          <w:rFonts w:ascii="Garamond" w:hAnsi="Garamond" w:cs="Times New Roman"/>
          <w:sz w:val="21"/>
          <w:szCs w:val="21"/>
        </w:rPr>
        <w:t xml:space="preserve"> inflation). </w:t>
      </w:r>
      <w:r w:rsidR="00C25BC7">
        <w:rPr>
          <w:rStyle w:val="longtext"/>
          <w:rFonts w:ascii="Garamond" w:hAnsi="Garamond" w:cs="Times New Roman"/>
          <w:sz w:val="21"/>
          <w:szCs w:val="21"/>
        </w:rPr>
        <w:t xml:space="preserve">Also, there has been price inflation on bread products, meat products and pastry, making </w:t>
      </w:r>
      <w:r w:rsidR="00C25BC7" w:rsidRPr="00621264">
        <w:rPr>
          <w:rStyle w:val="longtext"/>
          <w:rFonts w:ascii="Garamond" w:hAnsi="Garamond" w:cs="Times New Roman"/>
          <w:sz w:val="21"/>
          <w:szCs w:val="21"/>
        </w:rPr>
        <w:t>0.4 p</w:t>
      </w:r>
      <w:r w:rsidR="00C25BC7">
        <w:rPr>
          <w:rStyle w:val="longtext"/>
          <w:rFonts w:ascii="Garamond" w:hAnsi="Garamond" w:cs="Times New Roman"/>
          <w:sz w:val="21"/>
          <w:szCs w:val="21"/>
        </w:rPr>
        <w:t xml:space="preserve">p of contribution to the inflation. </w:t>
      </w:r>
    </w:p>
    <w:p w14:paraId="0EF33C7D" w14:textId="03047C80" w:rsidR="00BF7A61" w:rsidRPr="004E7A10" w:rsidRDefault="00621264" w:rsidP="00A9653E">
      <w:pPr>
        <w:spacing w:line="360" w:lineRule="auto"/>
        <w:jc w:val="both"/>
        <w:rPr>
          <w:rStyle w:val="longtext"/>
          <w:rFonts w:ascii="Garamond" w:hAnsi="Garamond" w:cs="Times New Roman"/>
          <w:sz w:val="21"/>
          <w:szCs w:val="21"/>
        </w:rPr>
      </w:pPr>
      <w:r w:rsidRPr="00621264">
        <w:rPr>
          <w:rStyle w:val="longtext"/>
          <w:rFonts w:ascii="Garamond" w:hAnsi="Garamond" w:cs="Times New Roman"/>
          <w:sz w:val="21"/>
          <w:szCs w:val="21"/>
        </w:rPr>
        <w:t>Non-food price</w:t>
      </w:r>
      <w:r w:rsidR="00C25BC7">
        <w:rPr>
          <w:rStyle w:val="longtext"/>
          <w:rFonts w:ascii="Garamond" w:hAnsi="Garamond" w:cs="Times New Roman"/>
          <w:sz w:val="21"/>
          <w:szCs w:val="21"/>
        </w:rPr>
        <w:t xml:space="preserve"> inflation was driven primarily by increased price</w:t>
      </w:r>
      <w:r w:rsidRPr="00621264">
        <w:rPr>
          <w:rStyle w:val="longtext"/>
          <w:rFonts w:ascii="Garamond" w:hAnsi="Garamond" w:cs="Times New Roman"/>
          <w:sz w:val="21"/>
          <w:szCs w:val="21"/>
        </w:rPr>
        <w:t xml:space="preserve">s </w:t>
      </w:r>
      <w:r w:rsidR="00C25BC7">
        <w:rPr>
          <w:rStyle w:val="longtext"/>
          <w:rFonts w:ascii="Garamond" w:hAnsi="Garamond" w:cs="Times New Roman"/>
          <w:sz w:val="21"/>
          <w:szCs w:val="21"/>
        </w:rPr>
        <w:t>of</w:t>
      </w:r>
      <w:r w:rsidRPr="00621264">
        <w:rPr>
          <w:rStyle w:val="longtext"/>
          <w:rFonts w:ascii="Garamond" w:hAnsi="Garamond" w:cs="Times New Roman"/>
          <w:sz w:val="21"/>
          <w:szCs w:val="21"/>
        </w:rPr>
        <w:t xml:space="preserve"> household appliances, footwear, clothing</w:t>
      </w:r>
      <w:r w:rsidR="001A7ECF">
        <w:rPr>
          <w:rStyle w:val="longtext"/>
          <w:rFonts w:ascii="Garamond" w:hAnsi="Garamond" w:cs="Times New Roman"/>
          <w:sz w:val="21"/>
          <w:szCs w:val="21"/>
        </w:rPr>
        <w:t>,</w:t>
      </w:r>
      <w:r w:rsidRPr="00621264">
        <w:rPr>
          <w:rStyle w:val="longtext"/>
          <w:rFonts w:ascii="Garamond" w:hAnsi="Garamond" w:cs="Times New Roman"/>
          <w:sz w:val="21"/>
          <w:szCs w:val="21"/>
        </w:rPr>
        <w:t xml:space="preserve"> </w:t>
      </w:r>
      <w:r w:rsidR="001A7ECF">
        <w:rPr>
          <w:rStyle w:val="longtext"/>
          <w:rFonts w:ascii="Garamond" w:hAnsi="Garamond" w:cs="Times New Roman"/>
          <w:sz w:val="21"/>
          <w:szCs w:val="21"/>
        </w:rPr>
        <w:t>knitwear and medicament,</w:t>
      </w:r>
      <w:r w:rsidRPr="00621264">
        <w:rPr>
          <w:rStyle w:val="longtext"/>
          <w:rFonts w:ascii="Garamond" w:hAnsi="Garamond" w:cs="Times New Roman"/>
          <w:sz w:val="21"/>
          <w:szCs w:val="21"/>
        </w:rPr>
        <w:t xml:space="preserve"> which </w:t>
      </w:r>
      <w:r w:rsidR="001A7ECF">
        <w:rPr>
          <w:rStyle w:val="longtext"/>
          <w:rFonts w:ascii="Garamond" w:hAnsi="Garamond" w:cs="Times New Roman"/>
          <w:sz w:val="21"/>
          <w:szCs w:val="21"/>
        </w:rPr>
        <w:t xml:space="preserve">was </w:t>
      </w:r>
      <w:r w:rsidRPr="00621264">
        <w:rPr>
          <w:rStyle w:val="longtext"/>
          <w:rFonts w:ascii="Garamond" w:hAnsi="Garamond" w:cs="Times New Roman"/>
          <w:sz w:val="21"/>
          <w:szCs w:val="21"/>
        </w:rPr>
        <w:t xml:space="preserve">somewhat </w:t>
      </w:r>
      <w:r w:rsidR="001A7ECF">
        <w:rPr>
          <w:rStyle w:val="longtext"/>
          <w:rFonts w:ascii="Garamond" w:hAnsi="Garamond" w:cs="Times New Roman"/>
          <w:sz w:val="21"/>
          <w:szCs w:val="21"/>
        </w:rPr>
        <w:t xml:space="preserve">offset by </w:t>
      </w:r>
      <w:r w:rsidR="00017827">
        <w:rPr>
          <w:rStyle w:val="longtext"/>
          <w:rFonts w:ascii="Garamond" w:hAnsi="Garamond" w:cs="Times New Roman"/>
          <w:sz w:val="21"/>
          <w:szCs w:val="21"/>
        </w:rPr>
        <w:t>9.0</w:t>
      </w:r>
      <w:r w:rsidRPr="00621264">
        <w:rPr>
          <w:rStyle w:val="longtext"/>
          <w:rFonts w:ascii="Garamond" w:hAnsi="Garamond" w:cs="Times New Roman"/>
          <w:sz w:val="21"/>
          <w:szCs w:val="21"/>
        </w:rPr>
        <w:t xml:space="preserve">% </w:t>
      </w:r>
      <w:r w:rsidR="001A7ECF">
        <w:rPr>
          <w:rStyle w:val="longtext"/>
          <w:rFonts w:ascii="Garamond" w:hAnsi="Garamond" w:cs="Times New Roman"/>
          <w:sz w:val="21"/>
          <w:szCs w:val="21"/>
        </w:rPr>
        <w:t xml:space="preserve">decline in </w:t>
      </w:r>
      <w:r w:rsidRPr="00621264">
        <w:rPr>
          <w:rStyle w:val="longtext"/>
          <w:rFonts w:ascii="Garamond" w:hAnsi="Garamond" w:cs="Times New Roman"/>
          <w:sz w:val="21"/>
          <w:szCs w:val="21"/>
        </w:rPr>
        <w:t>gasoline and diesel</w:t>
      </w:r>
      <w:r w:rsidR="001A7ECF">
        <w:rPr>
          <w:rStyle w:val="longtext"/>
          <w:rFonts w:ascii="Garamond" w:hAnsi="Garamond" w:cs="Times New Roman"/>
          <w:sz w:val="21"/>
          <w:szCs w:val="21"/>
        </w:rPr>
        <w:t xml:space="preserve"> prices. The growth of prices in rest and leisure </w:t>
      </w:r>
      <w:r w:rsidR="001A7ECF" w:rsidRPr="00621264">
        <w:rPr>
          <w:rStyle w:val="longtext"/>
          <w:rFonts w:ascii="Garamond" w:hAnsi="Garamond" w:cs="Times New Roman"/>
          <w:sz w:val="21"/>
          <w:szCs w:val="21"/>
        </w:rPr>
        <w:t xml:space="preserve">(up </w:t>
      </w:r>
      <w:r w:rsidR="001A7ECF">
        <w:rPr>
          <w:rStyle w:val="longtext"/>
          <w:rFonts w:ascii="Garamond" w:hAnsi="Garamond" w:cs="Times New Roman"/>
          <w:sz w:val="21"/>
          <w:szCs w:val="21"/>
        </w:rPr>
        <w:t xml:space="preserve">by </w:t>
      </w:r>
      <w:r w:rsidR="001A7ECF" w:rsidRPr="00621264">
        <w:rPr>
          <w:rStyle w:val="longtext"/>
          <w:rFonts w:ascii="Garamond" w:hAnsi="Garamond" w:cs="Times New Roman"/>
          <w:sz w:val="21"/>
          <w:szCs w:val="21"/>
        </w:rPr>
        <w:t xml:space="preserve">17.9%) and medical services (up </w:t>
      </w:r>
      <w:r w:rsidR="001A7ECF">
        <w:rPr>
          <w:rStyle w:val="longtext"/>
          <w:rFonts w:ascii="Garamond" w:hAnsi="Garamond" w:cs="Times New Roman"/>
          <w:sz w:val="21"/>
          <w:szCs w:val="21"/>
        </w:rPr>
        <w:t xml:space="preserve">by </w:t>
      </w:r>
      <w:r w:rsidR="001A7ECF" w:rsidRPr="00621264">
        <w:rPr>
          <w:rStyle w:val="longtext"/>
          <w:rFonts w:ascii="Garamond" w:hAnsi="Garamond" w:cs="Times New Roman"/>
          <w:sz w:val="21"/>
          <w:szCs w:val="21"/>
        </w:rPr>
        <w:t>3.4%)</w:t>
      </w:r>
      <w:r w:rsidR="001A7ECF">
        <w:rPr>
          <w:rStyle w:val="longtext"/>
          <w:rFonts w:ascii="Garamond" w:hAnsi="Garamond" w:cs="Times New Roman"/>
          <w:sz w:val="21"/>
          <w:szCs w:val="21"/>
        </w:rPr>
        <w:t xml:space="preserve"> also contributed to the quarter’s inflation. </w:t>
      </w:r>
      <w:r w:rsidR="001A7ECF" w:rsidRPr="00621264">
        <w:rPr>
          <w:rStyle w:val="longtext"/>
          <w:rFonts w:ascii="Garamond" w:hAnsi="Garamond" w:cs="Times New Roman"/>
          <w:sz w:val="21"/>
          <w:szCs w:val="21"/>
        </w:rPr>
        <w:t xml:space="preserve"> </w:t>
      </w:r>
    </w:p>
    <w:tbl>
      <w:tblPr>
        <w:tblW w:w="6270" w:type="dxa"/>
        <w:tblInd w:w="10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2982"/>
        <w:gridCol w:w="548"/>
        <w:gridCol w:w="548"/>
        <w:gridCol w:w="548"/>
        <w:gridCol w:w="548"/>
        <w:gridCol w:w="548"/>
        <w:gridCol w:w="548"/>
      </w:tblGrid>
      <w:tr w:rsidR="00EC7501" w:rsidRPr="004E7A10" w14:paraId="3675AE25" w14:textId="77777777" w:rsidTr="00640360">
        <w:trPr>
          <w:trHeight w:val="20"/>
        </w:trPr>
        <w:tc>
          <w:tcPr>
            <w:tcW w:w="6270" w:type="dxa"/>
            <w:gridSpan w:val="7"/>
            <w:tcBorders>
              <w:bottom w:val="single" w:sz="4" w:space="0" w:color="auto"/>
            </w:tcBorders>
            <w:vAlign w:val="center"/>
          </w:tcPr>
          <w:p w14:paraId="246449F3" w14:textId="77777777" w:rsidR="00EC7501" w:rsidRPr="004E7A10" w:rsidRDefault="00EC7501" w:rsidP="00640360">
            <w:pPr>
              <w:spacing w:before="40" w:after="40"/>
              <w:jc w:val="center"/>
              <w:rPr>
                <w:rFonts w:ascii="Garamond" w:hAnsi="Garamond" w:cs="Times New Roman"/>
                <w:b/>
                <w:bCs/>
                <w:i/>
                <w:iCs/>
                <w:sz w:val="18"/>
                <w:szCs w:val="18"/>
                <w:lang w:val="es-AR"/>
              </w:rPr>
            </w:pPr>
            <w:r w:rsidRPr="004E7A10">
              <w:rPr>
                <w:rFonts w:ascii="Garamond" w:hAnsi="Garamond" w:cs="Times New Roman"/>
                <w:b/>
                <w:sz w:val="18"/>
                <w:szCs w:val="18"/>
              </w:rPr>
              <w:t>The 12-month inflation by commodity groups as most important contributors</w:t>
            </w:r>
            <w:r w:rsidRPr="004E7A10">
              <w:rPr>
                <w:rFonts w:ascii="Garamond" w:hAnsi="Garamond" w:cs="Times New Roman"/>
                <w:b/>
                <w:sz w:val="18"/>
                <w:szCs w:val="18"/>
                <w:lang w:val="es-AR"/>
              </w:rPr>
              <w:t xml:space="preserve"> </w:t>
            </w:r>
          </w:p>
        </w:tc>
      </w:tr>
      <w:tr w:rsidR="00EC7501" w:rsidRPr="004E7A10" w14:paraId="48AF1789" w14:textId="77777777" w:rsidTr="00640360">
        <w:trPr>
          <w:trHeight w:val="20"/>
        </w:trPr>
        <w:tc>
          <w:tcPr>
            <w:tcW w:w="2982" w:type="dxa"/>
            <w:vMerge w:val="restart"/>
            <w:tcBorders>
              <w:top w:val="single" w:sz="4" w:space="0" w:color="auto"/>
            </w:tcBorders>
            <w:vAlign w:val="center"/>
          </w:tcPr>
          <w:p w14:paraId="5BA68420" w14:textId="77777777" w:rsidR="00EC7501" w:rsidRPr="004E7A10" w:rsidRDefault="00EC7501" w:rsidP="00640360">
            <w:pPr>
              <w:spacing w:before="40" w:after="40"/>
              <w:rPr>
                <w:rFonts w:ascii="Garamond" w:hAnsi="Garamond" w:cs="Times New Roman"/>
                <w:b/>
                <w:bCs/>
                <w:iCs/>
                <w:sz w:val="18"/>
                <w:szCs w:val="18"/>
                <w:lang w:val="es-AR"/>
              </w:rPr>
            </w:pPr>
            <w:r w:rsidRPr="004E7A10">
              <w:rPr>
                <w:rFonts w:ascii="Garamond" w:hAnsi="Garamond" w:cs="Times New Roman"/>
                <w:b/>
                <w:bCs/>
                <w:iCs/>
                <w:sz w:val="18"/>
                <w:szCs w:val="18"/>
              </w:rPr>
              <w:t>Commodity group</w:t>
            </w:r>
          </w:p>
        </w:tc>
        <w:tc>
          <w:tcPr>
            <w:tcW w:w="1096" w:type="dxa"/>
            <w:gridSpan w:val="2"/>
            <w:tcBorders>
              <w:top w:val="single" w:sz="4" w:space="0" w:color="auto"/>
              <w:bottom w:val="single" w:sz="4" w:space="0" w:color="auto"/>
            </w:tcBorders>
          </w:tcPr>
          <w:p w14:paraId="1E27B2CB" w14:textId="77777777" w:rsidR="00EC7501" w:rsidRPr="004E7A10" w:rsidRDefault="001A7ECF" w:rsidP="00640360">
            <w:pPr>
              <w:spacing w:before="40" w:after="40"/>
              <w:jc w:val="center"/>
              <w:rPr>
                <w:rFonts w:ascii="Garamond" w:hAnsi="Garamond" w:cs="Times New Roman"/>
                <w:b/>
                <w:bCs/>
                <w:iCs/>
                <w:sz w:val="18"/>
                <w:szCs w:val="18"/>
              </w:rPr>
            </w:pPr>
            <w:r w:rsidRPr="004E7A10">
              <w:rPr>
                <w:rFonts w:ascii="Garamond" w:hAnsi="Garamond" w:cs="Times New Roman"/>
                <w:b/>
                <w:bCs/>
                <w:iCs/>
                <w:sz w:val="18"/>
                <w:szCs w:val="18"/>
              </w:rPr>
              <w:t>December 2014 (y/y)</w:t>
            </w:r>
          </w:p>
        </w:tc>
        <w:tc>
          <w:tcPr>
            <w:tcW w:w="1096" w:type="dxa"/>
            <w:gridSpan w:val="2"/>
            <w:tcBorders>
              <w:top w:val="single" w:sz="4" w:space="0" w:color="auto"/>
              <w:bottom w:val="single" w:sz="4" w:space="0" w:color="auto"/>
            </w:tcBorders>
          </w:tcPr>
          <w:p w14:paraId="7402D030" w14:textId="77777777" w:rsidR="00EC7501" w:rsidRPr="004E7A10" w:rsidRDefault="001A7ECF" w:rsidP="001A7ECF">
            <w:pPr>
              <w:spacing w:before="40" w:after="40"/>
              <w:jc w:val="center"/>
              <w:rPr>
                <w:rFonts w:ascii="Garamond" w:hAnsi="Garamond" w:cs="Times New Roman"/>
                <w:b/>
                <w:bCs/>
                <w:iCs/>
                <w:sz w:val="18"/>
                <w:szCs w:val="18"/>
              </w:rPr>
            </w:pPr>
            <w:r>
              <w:rPr>
                <w:rFonts w:ascii="Garamond" w:hAnsi="Garamond" w:cs="Times New Roman"/>
                <w:b/>
                <w:bCs/>
                <w:iCs/>
                <w:sz w:val="18"/>
                <w:szCs w:val="18"/>
              </w:rPr>
              <w:t>March</w:t>
            </w:r>
            <w:r w:rsidR="00EC7501" w:rsidRPr="004E7A10">
              <w:rPr>
                <w:rFonts w:ascii="Garamond" w:hAnsi="Garamond" w:cs="Times New Roman"/>
                <w:b/>
                <w:bCs/>
                <w:iCs/>
                <w:sz w:val="18"/>
                <w:szCs w:val="18"/>
              </w:rPr>
              <w:t xml:space="preserve"> 201</w:t>
            </w:r>
            <w:r>
              <w:rPr>
                <w:rFonts w:ascii="Garamond" w:hAnsi="Garamond" w:cs="Times New Roman"/>
                <w:b/>
                <w:bCs/>
                <w:iCs/>
                <w:sz w:val="18"/>
                <w:szCs w:val="18"/>
              </w:rPr>
              <w:t>5</w:t>
            </w:r>
            <w:r w:rsidR="00EC7501" w:rsidRPr="004E7A10">
              <w:rPr>
                <w:rFonts w:ascii="Garamond" w:hAnsi="Garamond" w:cs="Times New Roman"/>
                <w:b/>
                <w:bCs/>
                <w:iCs/>
                <w:sz w:val="18"/>
                <w:szCs w:val="18"/>
              </w:rPr>
              <w:t xml:space="preserve"> (y/y)</w:t>
            </w:r>
          </w:p>
        </w:tc>
        <w:tc>
          <w:tcPr>
            <w:tcW w:w="1096" w:type="dxa"/>
            <w:gridSpan w:val="2"/>
            <w:tcBorders>
              <w:top w:val="single" w:sz="4" w:space="0" w:color="auto"/>
              <w:bottom w:val="single" w:sz="4" w:space="0" w:color="auto"/>
            </w:tcBorders>
          </w:tcPr>
          <w:p w14:paraId="2AF9B55A" w14:textId="77777777" w:rsidR="00EC7501" w:rsidRPr="004E7A10" w:rsidRDefault="00EC7501" w:rsidP="001A7ECF">
            <w:pPr>
              <w:spacing w:before="40" w:after="40"/>
              <w:jc w:val="center"/>
              <w:rPr>
                <w:rFonts w:ascii="Garamond" w:hAnsi="Garamond" w:cs="Times New Roman"/>
                <w:b/>
                <w:bCs/>
                <w:iCs/>
                <w:sz w:val="18"/>
                <w:szCs w:val="18"/>
              </w:rPr>
            </w:pPr>
            <w:r w:rsidRPr="004E7A10">
              <w:rPr>
                <w:rFonts w:ascii="Garamond" w:hAnsi="Garamond" w:cs="Times New Roman"/>
                <w:b/>
                <w:bCs/>
                <w:iCs/>
                <w:sz w:val="18"/>
                <w:szCs w:val="18"/>
              </w:rPr>
              <w:t>Q</w:t>
            </w:r>
            <w:r w:rsidR="001A7ECF">
              <w:rPr>
                <w:rFonts w:ascii="Garamond" w:hAnsi="Garamond" w:cs="Times New Roman"/>
                <w:b/>
                <w:bCs/>
                <w:iCs/>
                <w:sz w:val="18"/>
                <w:szCs w:val="18"/>
              </w:rPr>
              <w:t>1</w:t>
            </w:r>
            <w:r w:rsidRPr="004E7A10">
              <w:rPr>
                <w:rFonts w:ascii="Garamond" w:hAnsi="Garamond" w:cs="Times New Roman"/>
                <w:b/>
                <w:bCs/>
                <w:iCs/>
                <w:sz w:val="18"/>
                <w:szCs w:val="18"/>
              </w:rPr>
              <w:t xml:space="preserve"> 201</w:t>
            </w:r>
            <w:r w:rsidR="001A7ECF">
              <w:rPr>
                <w:rFonts w:ascii="Garamond" w:hAnsi="Garamond" w:cs="Times New Roman"/>
                <w:b/>
                <w:bCs/>
                <w:iCs/>
                <w:sz w:val="18"/>
                <w:szCs w:val="18"/>
              </w:rPr>
              <w:t>5</w:t>
            </w:r>
            <w:r w:rsidRPr="004E7A10">
              <w:rPr>
                <w:rFonts w:ascii="Garamond" w:hAnsi="Garamond" w:cs="Times New Roman"/>
                <w:b/>
                <w:bCs/>
                <w:iCs/>
                <w:sz w:val="18"/>
                <w:szCs w:val="18"/>
              </w:rPr>
              <w:t xml:space="preserve"> </w:t>
            </w:r>
          </w:p>
        </w:tc>
      </w:tr>
      <w:tr w:rsidR="00EC7501" w:rsidRPr="004E7A10" w14:paraId="7AD38436" w14:textId="77777777" w:rsidTr="00640360">
        <w:trPr>
          <w:cantSplit/>
          <w:trHeight w:val="1050"/>
        </w:trPr>
        <w:tc>
          <w:tcPr>
            <w:tcW w:w="2982" w:type="dxa"/>
            <w:vMerge/>
            <w:tcBorders>
              <w:bottom w:val="single" w:sz="4" w:space="0" w:color="auto"/>
            </w:tcBorders>
            <w:vAlign w:val="center"/>
          </w:tcPr>
          <w:p w14:paraId="0026B472" w14:textId="77777777" w:rsidR="00EC7501" w:rsidRPr="004E7A10" w:rsidRDefault="00EC7501" w:rsidP="00640360">
            <w:pPr>
              <w:spacing w:before="40" w:after="40"/>
              <w:rPr>
                <w:rFonts w:ascii="Garamond" w:hAnsi="Garamond" w:cs="Times New Roman"/>
                <w:b/>
                <w:bCs/>
                <w:iCs/>
                <w:sz w:val="18"/>
                <w:szCs w:val="18"/>
              </w:rPr>
            </w:pPr>
          </w:p>
        </w:tc>
        <w:tc>
          <w:tcPr>
            <w:tcW w:w="548" w:type="dxa"/>
            <w:tcBorders>
              <w:top w:val="single" w:sz="4" w:space="0" w:color="auto"/>
              <w:bottom w:val="single" w:sz="4" w:space="0" w:color="auto"/>
            </w:tcBorders>
            <w:textDirection w:val="btLr"/>
            <w:vAlign w:val="center"/>
          </w:tcPr>
          <w:p w14:paraId="67E52C70"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Growth</w:t>
            </w:r>
          </w:p>
        </w:tc>
        <w:tc>
          <w:tcPr>
            <w:tcW w:w="548" w:type="dxa"/>
            <w:tcBorders>
              <w:top w:val="single" w:sz="4" w:space="0" w:color="auto"/>
              <w:bottom w:val="single" w:sz="4" w:space="0" w:color="auto"/>
            </w:tcBorders>
            <w:textDirection w:val="btLr"/>
            <w:vAlign w:val="center"/>
          </w:tcPr>
          <w:p w14:paraId="5DE6B947"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Contribution</w:t>
            </w:r>
          </w:p>
        </w:tc>
        <w:tc>
          <w:tcPr>
            <w:tcW w:w="548" w:type="dxa"/>
            <w:tcBorders>
              <w:top w:val="single" w:sz="4" w:space="0" w:color="auto"/>
              <w:bottom w:val="single" w:sz="4" w:space="0" w:color="auto"/>
            </w:tcBorders>
            <w:textDirection w:val="btLr"/>
            <w:vAlign w:val="center"/>
          </w:tcPr>
          <w:p w14:paraId="775EB2EE"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Growth</w:t>
            </w:r>
          </w:p>
        </w:tc>
        <w:tc>
          <w:tcPr>
            <w:tcW w:w="548" w:type="dxa"/>
            <w:tcBorders>
              <w:top w:val="single" w:sz="4" w:space="0" w:color="auto"/>
              <w:bottom w:val="single" w:sz="4" w:space="0" w:color="auto"/>
            </w:tcBorders>
            <w:textDirection w:val="btLr"/>
            <w:vAlign w:val="center"/>
          </w:tcPr>
          <w:p w14:paraId="07034203"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Contribution</w:t>
            </w:r>
          </w:p>
        </w:tc>
        <w:tc>
          <w:tcPr>
            <w:tcW w:w="548" w:type="dxa"/>
            <w:tcBorders>
              <w:top w:val="single" w:sz="4" w:space="0" w:color="auto"/>
              <w:bottom w:val="single" w:sz="4" w:space="0" w:color="auto"/>
            </w:tcBorders>
            <w:textDirection w:val="btLr"/>
            <w:vAlign w:val="center"/>
          </w:tcPr>
          <w:p w14:paraId="23080FC9"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Growth</w:t>
            </w:r>
          </w:p>
        </w:tc>
        <w:tc>
          <w:tcPr>
            <w:tcW w:w="548" w:type="dxa"/>
            <w:tcBorders>
              <w:top w:val="single" w:sz="4" w:space="0" w:color="auto"/>
              <w:bottom w:val="single" w:sz="4" w:space="0" w:color="auto"/>
            </w:tcBorders>
            <w:textDirection w:val="btLr"/>
            <w:vAlign w:val="center"/>
          </w:tcPr>
          <w:p w14:paraId="07524952" w14:textId="77777777" w:rsidR="00EC7501" w:rsidRPr="004E7A10" w:rsidRDefault="00EC7501" w:rsidP="00640360">
            <w:pPr>
              <w:spacing w:before="40" w:after="40"/>
              <w:ind w:left="113" w:right="113"/>
              <w:rPr>
                <w:rFonts w:ascii="Garamond" w:hAnsi="Garamond" w:cs="Times New Roman"/>
                <w:bCs/>
                <w:iCs/>
                <w:sz w:val="16"/>
                <w:szCs w:val="16"/>
              </w:rPr>
            </w:pPr>
            <w:r w:rsidRPr="004E7A10">
              <w:rPr>
                <w:rFonts w:ascii="Garamond" w:hAnsi="Garamond" w:cs="Times New Roman"/>
                <w:bCs/>
                <w:iCs/>
                <w:sz w:val="16"/>
                <w:szCs w:val="16"/>
              </w:rPr>
              <w:t>Contribution</w:t>
            </w:r>
          </w:p>
        </w:tc>
      </w:tr>
      <w:tr w:rsidR="001A7ECF" w:rsidRPr="004E7A10" w14:paraId="220C67F0" w14:textId="77777777" w:rsidTr="00640360">
        <w:trPr>
          <w:trHeight w:val="20"/>
        </w:trPr>
        <w:tc>
          <w:tcPr>
            <w:tcW w:w="2982" w:type="dxa"/>
            <w:tcBorders>
              <w:top w:val="single" w:sz="4" w:space="0" w:color="auto"/>
            </w:tcBorders>
            <w:vAlign w:val="center"/>
          </w:tcPr>
          <w:p w14:paraId="1F83F904" w14:textId="77777777" w:rsidR="001A7ECF" w:rsidRPr="004E7A10" w:rsidRDefault="001A7ECF" w:rsidP="00640360">
            <w:pPr>
              <w:spacing w:before="20" w:after="40"/>
              <w:rPr>
                <w:rFonts w:ascii="Garamond" w:hAnsi="Garamond" w:cs="Times New Roman"/>
                <w:bCs/>
                <w:iCs/>
                <w:sz w:val="18"/>
                <w:szCs w:val="18"/>
              </w:rPr>
            </w:pPr>
            <w:r w:rsidRPr="004E7A10">
              <w:rPr>
                <w:rFonts w:ascii="Garamond" w:hAnsi="Garamond" w:cs="Times New Roman"/>
                <w:b/>
                <w:bCs/>
                <w:iCs/>
                <w:sz w:val="18"/>
                <w:szCs w:val="18"/>
              </w:rPr>
              <w:t>CPI</w:t>
            </w:r>
          </w:p>
        </w:tc>
        <w:tc>
          <w:tcPr>
            <w:tcW w:w="548" w:type="dxa"/>
            <w:tcBorders>
              <w:top w:val="single" w:sz="4" w:space="0" w:color="auto"/>
            </w:tcBorders>
            <w:vAlign w:val="center"/>
          </w:tcPr>
          <w:p w14:paraId="24F4C96C"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4.6</w:t>
            </w:r>
          </w:p>
        </w:tc>
        <w:tc>
          <w:tcPr>
            <w:tcW w:w="548" w:type="dxa"/>
            <w:tcBorders>
              <w:top w:val="single" w:sz="4" w:space="0" w:color="auto"/>
            </w:tcBorders>
            <w:vAlign w:val="center"/>
          </w:tcPr>
          <w:p w14:paraId="5DE00C33" w14:textId="77777777" w:rsidR="001A7ECF" w:rsidRPr="001A7ECF" w:rsidRDefault="001A7ECF" w:rsidP="00931C44">
            <w:pPr>
              <w:spacing w:before="20" w:after="40"/>
              <w:jc w:val="center"/>
              <w:rPr>
                <w:rFonts w:ascii="Garamond" w:hAnsi="Garamond"/>
                <w:b/>
                <w:sz w:val="18"/>
                <w:szCs w:val="18"/>
              </w:rPr>
            </w:pPr>
          </w:p>
        </w:tc>
        <w:tc>
          <w:tcPr>
            <w:tcW w:w="548" w:type="dxa"/>
            <w:tcBorders>
              <w:top w:val="single" w:sz="4" w:space="0" w:color="auto"/>
            </w:tcBorders>
            <w:vAlign w:val="center"/>
          </w:tcPr>
          <w:p w14:paraId="7740E3CE"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5.8</w:t>
            </w:r>
          </w:p>
        </w:tc>
        <w:tc>
          <w:tcPr>
            <w:tcW w:w="548" w:type="dxa"/>
            <w:tcBorders>
              <w:top w:val="single" w:sz="4" w:space="0" w:color="auto"/>
            </w:tcBorders>
            <w:vAlign w:val="center"/>
          </w:tcPr>
          <w:p w14:paraId="0F704987" w14:textId="77777777" w:rsidR="001A7ECF" w:rsidRPr="001A7ECF" w:rsidRDefault="001A7ECF" w:rsidP="00931C44">
            <w:pPr>
              <w:spacing w:before="20" w:after="40"/>
              <w:jc w:val="center"/>
              <w:rPr>
                <w:rFonts w:ascii="Garamond" w:hAnsi="Garamond"/>
                <w:b/>
                <w:sz w:val="18"/>
                <w:szCs w:val="18"/>
              </w:rPr>
            </w:pPr>
          </w:p>
        </w:tc>
        <w:tc>
          <w:tcPr>
            <w:tcW w:w="548" w:type="dxa"/>
            <w:tcBorders>
              <w:top w:val="single" w:sz="4" w:space="0" w:color="auto"/>
            </w:tcBorders>
            <w:vAlign w:val="center"/>
          </w:tcPr>
          <w:p w14:paraId="61C184E6"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2.3</w:t>
            </w:r>
          </w:p>
        </w:tc>
        <w:tc>
          <w:tcPr>
            <w:tcW w:w="548" w:type="dxa"/>
            <w:tcBorders>
              <w:top w:val="single" w:sz="4" w:space="0" w:color="auto"/>
            </w:tcBorders>
            <w:vAlign w:val="center"/>
          </w:tcPr>
          <w:p w14:paraId="581468FC" w14:textId="77777777" w:rsidR="001A7ECF" w:rsidRPr="001A7ECF" w:rsidRDefault="001A7ECF" w:rsidP="00931C44">
            <w:pPr>
              <w:spacing w:before="20" w:after="40"/>
              <w:jc w:val="center"/>
              <w:rPr>
                <w:rFonts w:ascii="Garamond" w:hAnsi="Garamond"/>
                <w:b/>
                <w:sz w:val="18"/>
                <w:szCs w:val="18"/>
              </w:rPr>
            </w:pPr>
          </w:p>
        </w:tc>
      </w:tr>
      <w:tr w:rsidR="001A7ECF" w:rsidRPr="004E7A10" w14:paraId="2FF21755" w14:textId="77777777" w:rsidTr="00931C44">
        <w:trPr>
          <w:trHeight w:val="20"/>
        </w:trPr>
        <w:tc>
          <w:tcPr>
            <w:tcW w:w="2982" w:type="dxa"/>
            <w:vAlign w:val="center"/>
          </w:tcPr>
          <w:p w14:paraId="50FC143D" w14:textId="77777777" w:rsidR="001A7ECF" w:rsidRPr="004E7A10" w:rsidRDefault="001A7ECF" w:rsidP="00640360">
            <w:pPr>
              <w:spacing w:before="20" w:after="40"/>
              <w:ind w:firstLine="6"/>
              <w:rPr>
                <w:rFonts w:ascii="Garamond" w:hAnsi="Garamond" w:cs="Times New Roman"/>
                <w:b/>
                <w:bCs/>
                <w:iCs/>
                <w:sz w:val="18"/>
                <w:szCs w:val="18"/>
              </w:rPr>
            </w:pPr>
            <w:r w:rsidRPr="004E7A10">
              <w:rPr>
                <w:rFonts w:ascii="Garamond" w:hAnsi="Garamond" w:cs="Times New Roman"/>
                <w:b/>
                <w:bCs/>
                <w:iCs/>
                <w:sz w:val="18"/>
                <w:szCs w:val="18"/>
              </w:rPr>
              <w:t>Food products</w:t>
            </w:r>
          </w:p>
        </w:tc>
        <w:tc>
          <w:tcPr>
            <w:tcW w:w="548" w:type="dxa"/>
            <w:vAlign w:val="center"/>
          </w:tcPr>
          <w:p w14:paraId="71A14EE2"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6.3</w:t>
            </w:r>
          </w:p>
        </w:tc>
        <w:tc>
          <w:tcPr>
            <w:tcW w:w="548" w:type="dxa"/>
            <w:vAlign w:val="center"/>
          </w:tcPr>
          <w:p w14:paraId="545C356D"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3.4</w:t>
            </w:r>
          </w:p>
        </w:tc>
        <w:tc>
          <w:tcPr>
            <w:tcW w:w="548" w:type="dxa"/>
            <w:vAlign w:val="center"/>
          </w:tcPr>
          <w:p w14:paraId="707A8437"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6.8</w:t>
            </w:r>
          </w:p>
        </w:tc>
        <w:tc>
          <w:tcPr>
            <w:tcW w:w="548" w:type="dxa"/>
          </w:tcPr>
          <w:p w14:paraId="272F2838"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3.3</w:t>
            </w:r>
          </w:p>
        </w:tc>
        <w:tc>
          <w:tcPr>
            <w:tcW w:w="548" w:type="dxa"/>
            <w:vAlign w:val="center"/>
          </w:tcPr>
          <w:p w14:paraId="5726B818"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2.8</w:t>
            </w:r>
          </w:p>
        </w:tc>
        <w:tc>
          <w:tcPr>
            <w:tcW w:w="548" w:type="dxa"/>
            <w:vAlign w:val="center"/>
          </w:tcPr>
          <w:p w14:paraId="03716310"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1.4</w:t>
            </w:r>
          </w:p>
        </w:tc>
      </w:tr>
      <w:tr w:rsidR="001A7ECF" w:rsidRPr="004E7A10" w14:paraId="33DAB746" w14:textId="77777777" w:rsidTr="00931C44">
        <w:trPr>
          <w:trHeight w:val="20"/>
        </w:trPr>
        <w:tc>
          <w:tcPr>
            <w:tcW w:w="2982" w:type="dxa"/>
            <w:vAlign w:val="center"/>
          </w:tcPr>
          <w:p w14:paraId="7575EC65"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Bread products</w:t>
            </w:r>
          </w:p>
        </w:tc>
        <w:tc>
          <w:tcPr>
            <w:tcW w:w="548" w:type="dxa"/>
            <w:vAlign w:val="center"/>
          </w:tcPr>
          <w:p w14:paraId="47FADAB3"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5.9</w:t>
            </w:r>
          </w:p>
        </w:tc>
        <w:tc>
          <w:tcPr>
            <w:tcW w:w="548" w:type="dxa"/>
            <w:vAlign w:val="center"/>
          </w:tcPr>
          <w:p w14:paraId="7DA4D02D"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0.6</w:t>
            </w:r>
          </w:p>
        </w:tc>
        <w:tc>
          <w:tcPr>
            <w:tcW w:w="548" w:type="dxa"/>
            <w:vAlign w:val="center"/>
          </w:tcPr>
          <w:p w14:paraId="36D355AB"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8.1</w:t>
            </w:r>
          </w:p>
        </w:tc>
        <w:tc>
          <w:tcPr>
            <w:tcW w:w="548" w:type="dxa"/>
            <w:vAlign w:val="bottom"/>
          </w:tcPr>
          <w:p w14:paraId="648A5CC2"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0.8</w:t>
            </w:r>
          </w:p>
        </w:tc>
        <w:tc>
          <w:tcPr>
            <w:tcW w:w="548" w:type="dxa"/>
            <w:vAlign w:val="center"/>
          </w:tcPr>
          <w:p w14:paraId="2B155DF0"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1.6</w:t>
            </w:r>
          </w:p>
        </w:tc>
        <w:tc>
          <w:tcPr>
            <w:tcW w:w="548" w:type="dxa"/>
            <w:vAlign w:val="center"/>
          </w:tcPr>
          <w:p w14:paraId="6DC18365"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0.2</w:t>
            </w:r>
          </w:p>
        </w:tc>
      </w:tr>
      <w:tr w:rsidR="001A7ECF" w:rsidRPr="004E7A10" w14:paraId="1E5C7A86" w14:textId="77777777" w:rsidTr="00931C44">
        <w:trPr>
          <w:trHeight w:val="20"/>
        </w:trPr>
        <w:tc>
          <w:tcPr>
            <w:tcW w:w="2982" w:type="dxa"/>
            <w:vAlign w:val="center"/>
          </w:tcPr>
          <w:p w14:paraId="68B5BC63"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Dairy products</w:t>
            </w:r>
          </w:p>
        </w:tc>
        <w:tc>
          <w:tcPr>
            <w:tcW w:w="548" w:type="dxa"/>
            <w:vAlign w:val="center"/>
          </w:tcPr>
          <w:p w14:paraId="1F091881"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13.1</w:t>
            </w:r>
          </w:p>
        </w:tc>
        <w:tc>
          <w:tcPr>
            <w:tcW w:w="548" w:type="dxa"/>
            <w:vAlign w:val="center"/>
          </w:tcPr>
          <w:p w14:paraId="3AFDCDF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0.6</w:t>
            </w:r>
          </w:p>
        </w:tc>
        <w:tc>
          <w:tcPr>
            <w:tcW w:w="548" w:type="dxa"/>
            <w:vAlign w:val="center"/>
          </w:tcPr>
          <w:p w14:paraId="35D3C3BE"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10.8</w:t>
            </w:r>
          </w:p>
        </w:tc>
        <w:tc>
          <w:tcPr>
            <w:tcW w:w="548" w:type="dxa"/>
            <w:vAlign w:val="bottom"/>
          </w:tcPr>
          <w:p w14:paraId="18091449"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0.5</w:t>
            </w:r>
          </w:p>
        </w:tc>
        <w:tc>
          <w:tcPr>
            <w:tcW w:w="548" w:type="dxa"/>
            <w:vAlign w:val="center"/>
          </w:tcPr>
          <w:p w14:paraId="2F5BFA3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0.6</w:t>
            </w:r>
          </w:p>
        </w:tc>
        <w:tc>
          <w:tcPr>
            <w:tcW w:w="548" w:type="dxa"/>
            <w:vAlign w:val="center"/>
          </w:tcPr>
          <w:p w14:paraId="769A73E1"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w:t>
            </w:r>
          </w:p>
        </w:tc>
      </w:tr>
      <w:tr w:rsidR="001A7ECF" w:rsidRPr="004E7A10" w14:paraId="4B52D34A" w14:textId="77777777" w:rsidTr="00931C44">
        <w:trPr>
          <w:trHeight w:val="20"/>
        </w:trPr>
        <w:tc>
          <w:tcPr>
            <w:tcW w:w="2982" w:type="dxa"/>
            <w:vAlign w:val="center"/>
          </w:tcPr>
          <w:p w14:paraId="5CD51CDA"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Meat products</w:t>
            </w:r>
          </w:p>
        </w:tc>
        <w:tc>
          <w:tcPr>
            <w:tcW w:w="548" w:type="dxa"/>
            <w:vAlign w:val="center"/>
          </w:tcPr>
          <w:p w14:paraId="76C0BD8B"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3.3</w:t>
            </w:r>
          </w:p>
        </w:tc>
        <w:tc>
          <w:tcPr>
            <w:tcW w:w="548" w:type="dxa"/>
            <w:vAlign w:val="center"/>
          </w:tcPr>
          <w:p w14:paraId="5B348258"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0.3</w:t>
            </w:r>
          </w:p>
        </w:tc>
        <w:tc>
          <w:tcPr>
            <w:tcW w:w="548" w:type="dxa"/>
            <w:vAlign w:val="center"/>
          </w:tcPr>
          <w:p w14:paraId="087945C2"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7.6</w:t>
            </w:r>
          </w:p>
        </w:tc>
        <w:tc>
          <w:tcPr>
            <w:tcW w:w="548" w:type="dxa"/>
            <w:vAlign w:val="bottom"/>
          </w:tcPr>
          <w:p w14:paraId="2F75EA83"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0.7</w:t>
            </w:r>
          </w:p>
        </w:tc>
        <w:tc>
          <w:tcPr>
            <w:tcW w:w="548" w:type="dxa"/>
            <w:vAlign w:val="center"/>
          </w:tcPr>
          <w:p w14:paraId="59B25E8F"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1.3</w:t>
            </w:r>
          </w:p>
        </w:tc>
        <w:tc>
          <w:tcPr>
            <w:tcW w:w="548" w:type="dxa"/>
            <w:vAlign w:val="center"/>
          </w:tcPr>
          <w:p w14:paraId="2AE26BEB"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r>
      <w:tr w:rsidR="001A7ECF" w:rsidRPr="004E7A10" w14:paraId="1894E86D" w14:textId="77777777" w:rsidTr="00931C44">
        <w:trPr>
          <w:trHeight w:val="20"/>
        </w:trPr>
        <w:tc>
          <w:tcPr>
            <w:tcW w:w="2982" w:type="dxa"/>
            <w:vAlign w:val="center"/>
          </w:tcPr>
          <w:p w14:paraId="43808B35"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Fruits</w:t>
            </w:r>
          </w:p>
        </w:tc>
        <w:tc>
          <w:tcPr>
            <w:tcW w:w="548" w:type="dxa"/>
            <w:vAlign w:val="center"/>
          </w:tcPr>
          <w:p w14:paraId="35695B7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14.6</w:t>
            </w:r>
          </w:p>
        </w:tc>
        <w:tc>
          <w:tcPr>
            <w:tcW w:w="548" w:type="dxa"/>
            <w:vAlign w:val="center"/>
          </w:tcPr>
          <w:p w14:paraId="25E72E6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0.5</w:t>
            </w:r>
          </w:p>
        </w:tc>
        <w:tc>
          <w:tcPr>
            <w:tcW w:w="548" w:type="dxa"/>
            <w:vAlign w:val="center"/>
          </w:tcPr>
          <w:p w14:paraId="30EB685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21.9</w:t>
            </w:r>
          </w:p>
        </w:tc>
        <w:tc>
          <w:tcPr>
            <w:tcW w:w="548" w:type="dxa"/>
            <w:vAlign w:val="bottom"/>
          </w:tcPr>
          <w:p w14:paraId="520F1D1C"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0.7</w:t>
            </w:r>
          </w:p>
        </w:tc>
        <w:tc>
          <w:tcPr>
            <w:tcW w:w="548" w:type="dxa"/>
            <w:vAlign w:val="center"/>
          </w:tcPr>
          <w:p w14:paraId="28DCA1E6"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9.4</w:t>
            </w:r>
          </w:p>
        </w:tc>
        <w:tc>
          <w:tcPr>
            <w:tcW w:w="548" w:type="dxa"/>
            <w:vAlign w:val="center"/>
          </w:tcPr>
          <w:p w14:paraId="333BCF85"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0.3</w:t>
            </w:r>
          </w:p>
        </w:tc>
      </w:tr>
      <w:tr w:rsidR="001A7ECF" w:rsidRPr="004E7A10" w14:paraId="75D60F1F" w14:textId="77777777" w:rsidTr="00931C44">
        <w:trPr>
          <w:trHeight w:val="20"/>
        </w:trPr>
        <w:tc>
          <w:tcPr>
            <w:tcW w:w="2982" w:type="dxa"/>
            <w:vAlign w:val="center"/>
          </w:tcPr>
          <w:p w14:paraId="23A55F89"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Vegetables and potato</w:t>
            </w:r>
          </w:p>
        </w:tc>
        <w:tc>
          <w:tcPr>
            <w:tcW w:w="548" w:type="dxa"/>
            <w:vAlign w:val="center"/>
          </w:tcPr>
          <w:p w14:paraId="1A4EDE9E"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7.9</w:t>
            </w:r>
          </w:p>
        </w:tc>
        <w:tc>
          <w:tcPr>
            <w:tcW w:w="548" w:type="dxa"/>
            <w:vAlign w:val="center"/>
          </w:tcPr>
          <w:p w14:paraId="5EBF10B0"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0.5</w:t>
            </w:r>
          </w:p>
        </w:tc>
        <w:tc>
          <w:tcPr>
            <w:tcW w:w="548" w:type="dxa"/>
            <w:vAlign w:val="center"/>
          </w:tcPr>
          <w:p w14:paraId="62F0201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-3.2</w:t>
            </w:r>
          </w:p>
        </w:tc>
        <w:tc>
          <w:tcPr>
            <w:tcW w:w="548" w:type="dxa"/>
            <w:vAlign w:val="bottom"/>
          </w:tcPr>
          <w:p w14:paraId="310C826D"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-0.2</w:t>
            </w:r>
          </w:p>
        </w:tc>
        <w:tc>
          <w:tcPr>
            <w:tcW w:w="548" w:type="dxa"/>
            <w:vAlign w:val="center"/>
          </w:tcPr>
          <w:p w14:paraId="47F4688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10</w:t>
            </w:r>
          </w:p>
        </w:tc>
        <w:tc>
          <w:tcPr>
            <w:tcW w:w="548" w:type="dxa"/>
            <w:vAlign w:val="center"/>
          </w:tcPr>
          <w:p w14:paraId="065B40E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0.6</w:t>
            </w:r>
          </w:p>
        </w:tc>
      </w:tr>
      <w:tr w:rsidR="001A7ECF" w:rsidRPr="004E7A10" w14:paraId="340FADDA" w14:textId="77777777" w:rsidTr="00931C44">
        <w:trPr>
          <w:trHeight w:val="20"/>
        </w:trPr>
        <w:tc>
          <w:tcPr>
            <w:tcW w:w="2982" w:type="dxa"/>
            <w:vAlign w:val="center"/>
          </w:tcPr>
          <w:p w14:paraId="300F085B"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Fats and oils</w:t>
            </w:r>
          </w:p>
        </w:tc>
        <w:tc>
          <w:tcPr>
            <w:tcW w:w="548" w:type="dxa"/>
            <w:vAlign w:val="center"/>
          </w:tcPr>
          <w:p w14:paraId="4BC05AB5"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1.9</w:t>
            </w:r>
          </w:p>
        </w:tc>
        <w:tc>
          <w:tcPr>
            <w:tcW w:w="548" w:type="dxa"/>
            <w:vAlign w:val="center"/>
          </w:tcPr>
          <w:p w14:paraId="2D64AED1"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c>
          <w:tcPr>
            <w:tcW w:w="548" w:type="dxa"/>
            <w:vAlign w:val="center"/>
          </w:tcPr>
          <w:p w14:paraId="0A935255"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2.7</w:t>
            </w:r>
          </w:p>
        </w:tc>
        <w:tc>
          <w:tcPr>
            <w:tcW w:w="548" w:type="dxa"/>
            <w:vAlign w:val="bottom"/>
          </w:tcPr>
          <w:p w14:paraId="50CA488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c>
          <w:tcPr>
            <w:tcW w:w="548" w:type="dxa"/>
            <w:vAlign w:val="center"/>
          </w:tcPr>
          <w:p w14:paraId="7B4CCE49"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-3.4</w:t>
            </w:r>
          </w:p>
        </w:tc>
        <w:tc>
          <w:tcPr>
            <w:tcW w:w="548" w:type="dxa"/>
            <w:vAlign w:val="center"/>
          </w:tcPr>
          <w:p w14:paraId="4C92BAA8"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r>
      <w:tr w:rsidR="001A7ECF" w:rsidRPr="004E7A10" w14:paraId="20F86811" w14:textId="77777777" w:rsidTr="00931C44">
        <w:trPr>
          <w:trHeight w:val="20"/>
        </w:trPr>
        <w:tc>
          <w:tcPr>
            <w:tcW w:w="2982" w:type="dxa"/>
            <w:vAlign w:val="center"/>
          </w:tcPr>
          <w:p w14:paraId="588D5079"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Egg</w:t>
            </w:r>
          </w:p>
        </w:tc>
        <w:tc>
          <w:tcPr>
            <w:tcW w:w="548" w:type="dxa"/>
            <w:vAlign w:val="center"/>
          </w:tcPr>
          <w:p w14:paraId="4055085A"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2.1</w:t>
            </w:r>
          </w:p>
        </w:tc>
        <w:tc>
          <w:tcPr>
            <w:tcW w:w="548" w:type="dxa"/>
            <w:vAlign w:val="center"/>
          </w:tcPr>
          <w:p w14:paraId="192E28BC"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w:t>
            </w:r>
          </w:p>
        </w:tc>
        <w:tc>
          <w:tcPr>
            <w:tcW w:w="548" w:type="dxa"/>
            <w:vAlign w:val="center"/>
          </w:tcPr>
          <w:p w14:paraId="1ADD651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2.9</w:t>
            </w:r>
          </w:p>
        </w:tc>
        <w:tc>
          <w:tcPr>
            <w:tcW w:w="548" w:type="dxa"/>
            <w:vAlign w:val="bottom"/>
          </w:tcPr>
          <w:p w14:paraId="3A7B6D42"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w:t>
            </w:r>
          </w:p>
        </w:tc>
        <w:tc>
          <w:tcPr>
            <w:tcW w:w="548" w:type="dxa"/>
            <w:vAlign w:val="center"/>
          </w:tcPr>
          <w:p w14:paraId="2C1B5146"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-0.5</w:t>
            </w:r>
          </w:p>
        </w:tc>
        <w:tc>
          <w:tcPr>
            <w:tcW w:w="548" w:type="dxa"/>
            <w:vAlign w:val="center"/>
          </w:tcPr>
          <w:p w14:paraId="2F09AB2B"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w:t>
            </w:r>
          </w:p>
        </w:tc>
      </w:tr>
      <w:tr w:rsidR="001A7ECF" w:rsidRPr="004E7A10" w14:paraId="4DE8D203" w14:textId="77777777" w:rsidTr="00931C44">
        <w:trPr>
          <w:trHeight w:val="20"/>
        </w:trPr>
        <w:tc>
          <w:tcPr>
            <w:tcW w:w="2982" w:type="dxa"/>
            <w:vAlign w:val="center"/>
          </w:tcPr>
          <w:p w14:paraId="74BD06AD" w14:textId="77777777" w:rsidR="001A7ECF" w:rsidRPr="004E7A10" w:rsidRDefault="001A7ECF" w:rsidP="00640360">
            <w:pPr>
              <w:spacing w:before="20" w:after="40"/>
              <w:ind w:left="181"/>
              <w:rPr>
                <w:rFonts w:ascii="Garamond" w:hAnsi="Garamond" w:cs="Times New Roman"/>
                <w:bCs/>
                <w:iCs/>
                <w:sz w:val="18"/>
                <w:szCs w:val="18"/>
              </w:rPr>
            </w:pPr>
            <w:r w:rsidRPr="004E7A10">
              <w:rPr>
                <w:rFonts w:ascii="Garamond" w:hAnsi="Garamond" w:cs="Times New Roman"/>
                <w:bCs/>
                <w:iCs/>
                <w:sz w:val="18"/>
                <w:szCs w:val="18"/>
              </w:rPr>
              <w:t>Sugar</w:t>
            </w:r>
          </w:p>
        </w:tc>
        <w:tc>
          <w:tcPr>
            <w:tcW w:w="548" w:type="dxa"/>
            <w:vAlign w:val="center"/>
          </w:tcPr>
          <w:p w14:paraId="12B60506"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6.9</w:t>
            </w:r>
          </w:p>
        </w:tc>
        <w:tc>
          <w:tcPr>
            <w:tcW w:w="548" w:type="dxa"/>
            <w:vAlign w:val="center"/>
          </w:tcPr>
          <w:p w14:paraId="6BEB797D"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c>
          <w:tcPr>
            <w:tcW w:w="548" w:type="dxa"/>
            <w:vAlign w:val="center"/>
          </w:tcPr>
          <w:p w14:paraId="43A0A719"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7.7</w:t>
            </w:r>
          </w:p>
        </w:tc>
        <w:tc>
          <w:tcPr>
            <w:tcW w:w="548" w:type="dxa"/>
            <w:vAlign w:val="bottom"/>
          </w:tcPr>
          <w:p w14:paraId="05373923"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c>
          <w:tcPr>
            <w:tcW w:w="548" w:type="dxa"/>
            <w:vAlign w:val="center"/>
          </w:tcPr>
          <w:p w14:paraId="32979908"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-0.02</w:t>
            </w:r>
          </w:p>
        </w:tc>
        <w:tc>
          <w:tcPr>
            <w:tcW w:w="548" w:type="dxa"/>
            <w:vAlign w:val="center"/>
          </w:tcPr>
          <w:p w14:paraId="7CD68CE9"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0.0</w:t>
            </w:r>
          </w:p>
        </w:tc>
      </w:tr>
      <w:tr w:rsidR="001A7ECF" w:rsidRPr="004E7A10" w14:paraId="7C863095" w14:textId="77777777" w:rsidTr="00931C44">
        <w:trPr>
          <w:trHeight w:val="20"/>
        </w:trPr>
        <w:tc>
          <w:tcPr>
            <w:tcW w:w="2982" w:type="dxa"/>
            <w:vAlign w:val="center"/>
          </w:tcPr>
          <w:p w14:paraId="77CD913B" w14:textId="77777777" w:rsidR="001A7ECF" w:rsidRPr="004E7A10" w:rsidRDefault="001A7ECF" w:rsidP="00640360">
            <w:pPr>
              <w:spacing w:before="20" w:after="40"/>
              <w:ind w:left="181"/>
              <w:rPr>
                <w:rFonts w:ascii="Garamond" w:hAnsi="Garamond" w:cs="Times New Roman"/>
                <w:bCs/>
                <w:iCs/>
                <w:sz w:val="18"/>
                <w:szCs w:val="18"/>
              </w:rPr>
            </w:pPr>
            <w:r>
              <w:rPr>
                <w:rFonts w:ascii="Garamond" w:hAnsi="Garamond" w:cs="Times New Roman"/>
                <w:bCs/>
                <w:iCs/>
                <w:sz w:val="18"/>
                <w:szCs w:val="18"/>
              </w:rPr>
              <w:t>Pastry</w:t>
            </w:r>
          </w:p>
        </w:tc>
        <w:tc>
          <w:tcPr>
            <w:tcW w:w="548" w:type="dxa"/>
            <w:vAlign w:val="center"/>
          </w:tcPr>
          <w:p w14:paraId="244983F7"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5.93</w:t>
            </w:r>
          </w:p>
        </w:tc>
        <w:tc>
          <w:tcPr>
            <w:tcW w:w="548" w:type="dxa"/>
            <w:vAlign w:val="center"/>
          </w:tcPr>
          <w:p w14:paraId="3358543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c>
          <w:tcPr>
            <w:tcW w:w="548" w:type="dxa"/>
            <w:vAlign w:val="center"/>
          </w:tcPr>
          <w:p w14:paraId="5EA30E94"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16.8</w:t>
            </w:r>
          </w:p>
        </w:tc>
        <w:tc>
          <w:tcPr>
            <w:tcW w:w="548" w:type="dxa"/>
            <w:vAlign w:val="bottom"/>
          </w:tcPr>
          <w:p w14:paraId="30732CBE"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0.2</w:t>
            </w:r>
          </w:p>
        </w:tc>
        <w:tc>
          <w:tcPr>
            <w:tcW w:w="548" w:type="dxa"/>
            <w:vAlign w:val="center"/>
          </w:tcPr>
          <w:p w14:paraId="4D883ADB"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9.7</w:t>
            </w:r>
          </w:p>
        </w:tc>
        <w:tc>
          <w:tcPr>
            <w:tcW w:w="548" w:type="dxa"/>
            <w:vAlign w:val="center"/>
          </w:tcPr>
          <w:p w14:paraId="7E46C87C" w14:textId="77777777" w:rsidR="001A7ECF" w:rsidRPr="001A7ECF" w:rsidRDefault="001A7ECF" w:rsidP="00931C44">
            <w:pPr>
              <w:spacing w:before="20" w:after="40"/>
              <w:jc w:val="center"/>
              <w:rPr>
                <w:rFonts w:ascii="Garamond" w:hAnsi="Garamond"/>
                <w:sz w:val="18"/>
                <w:szCs w:val="18"/>
              </w:rPr>
            </w:pPr>
            <w:r w:rsidRPr="001A7ECF">
              <w:rPr>
                <w:rFonts w:ascii="Garamond" w:hAnsi="Garamond"/>
                <w:sz w:val="18"/>
                <w:szCs w:val="18"/>
              </w:rPr>
              <w:t>0.1</w:t>
            </w:r>
          </w:p>
        </w:tc>
      </w:tr>
      <w:tr w:rsidR="001A7ECF" w:rsidRPr="004E7A10" w14:paraId="0945AFD8" w14:textId="77777777" w:rsidTr="00931C44">
        <w:trPr>
          <w:trHeight w:val="20"/>
        </w:trPr>
        <w:tc>
          <w:tcPr>
            <w:tcW w:w="2982" w:type="dxa"/>
            <w:tcMar>
              <w:left w:w="227" w:type="dxa"/>
              <w:right w:w="0" w:type="dxa"/>
            </w:tcMar>
            <w:vAlign w:val="center"/>
          </w:tcPr>
          <w:p w14:paraId="4302C7EE" w14:textId="77777777" w:rsidR="001A7ECF" w:rsidRPr="004E7A10" w:rsidRDefault="001A7ECF" w:rsidP="00640360">
            <w:pPr>
              <w:spacing w:before="20" w:after="40"/>
              <w:ind w:left="-101"/>
              <w:rPr>
                <w:rFonts w:ascii="Garamond" w:hAnsi="Garamond" w:cs="Times New Roman"/>
                <w:bCs/>
                <w:iCs/>
                <w:sz w:val="18"/>
                <w:szCs w:val="18"/>
              </w:rPr>
            </w:pPr>
            <w:r w:rsidRPr="004E7A10">
              <w:rPr>
                <w:rFonts w:ascii="Garamond" w:hAnsi="Garamond" w:cs="Times New Roman"/>
                <w:b/>
                <w:bCs/>
                <w:iCs/>
                <w:sz w:val="18"/>
                <w:szCs w:val="18"/>
              </w:rPr>
              <w:t>Non-food products</w:t>
            </w:r>
          </w:p>
        </w:tc>
        <w:tc>
          <w:tcPr>
            <w:tcW w:w="548" w:type="dxa"/>
            <w:vAlign w:val="center"/>
          </w:tcPr>
          <w:p w14:paraId="5CBCBC6B"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1.6</w:t>
            </w:r>
          </w:p>
        </w:tc>
        <w:tc>
          <w:tcPr>
            <w:tcW w:w="548" w:type="dxa"/>
            <w:vAlign w:val="center"/>
          </w:tcPr>
          <w:p w14:paraId="4F952F3C"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0.3</w:t>
            </w:r>
          </w:p>
        </w:tc>
        <w:tc>
          <w:tcPr>
            <w:tcW w:w="548" w:type="dxa"/>
            <w:vAlign w:val="center"/>
          </w:tcPr>
          <w:p w14:paraId="2941ECE3"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5.8</w:t>
            </w:r>
          </w:p>
        </w:tc>
        <w:tc>
          <w:tcPr>
            <w:tcW w:w="548" w:type="dxa"/>
            <w:vAlign w:val="bottom"/>
          </w:tcPr>
          <w:p w14:paraId="61297D01"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1.2</w:t>
            </w:r>
          </w:p>
        </w:tc>
        <w:tc>
          <w:tcPr>
            <w:tcW w:w="548" w:type="dxa"/>
            <w:vAlign w:val="center"/>
          </w:tcPr>
          <w:p w14:paraId="0FAD8694"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3.6</w:t>
            </w:r>
          </w:p>
        </w:tc>
        <w:tc>
          <w:tcPr>
            <w:tcW w:w="548" w:type="dxa"/>
            <w:vAlign w:val="center"/>
          </w:tcPr>
          <w:p w14:paraId="0F108EDF"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0.7</w:t>
            </w:r>
          </w:p>
        </w:tc>
      </w:tr>
      <w:tr w:rsidR="001A7ECF" w:rsidRPr="004E7A10" w14:paraId="1C61C650" w14:textId="77777777" w:rsidTr="00931C44">
        <w:trPr>
          <w:trHeight w:val="20"/>
        </w:trPr>
        <w:tc>
          <w:tcPr>
            <w:tcW w:w="2982" w:type="dxa"/>
            <w:tcMar>
              <w:left w:w="227" w:type="dxa"/>
              <w:right w:w="0" w:type="dxa"/>
            </w:tcMar>
            <w:vAlign w:val="center"/>
          </w:tcPr>
          <w:p w14:paraId="5177B919" w14:textId="77777777" w:rsidR="001A7ECF" w:rsidRPr="004E7A10" w:rsidRDefault="001A7ECF" w:rsidP="00640360">
            <w:pPr>
              <w:spacing w:before="20" w:after="40"/>
              <w:ind w:left="-101"/>
              <w:rPr>
                <w:rFonts w:ascii="Garamond" w:hAnsi="Garamond" w:cs="Times New Roman"/>
                <w:bCs/>
                <w:iCs/>
                <w:sz w:val="18"/>
                <w:szCs w:val="18"/>
                <w:lang w:val="hy-AM"/>
              </w:rPr>
            </w:pPr>
            <w:r w:rsidRPr="004E7A10">
              <w:rPr>
                <w:rFonts w:ascii="Garamond" w:hAnsi="Garamond" w:cs="Times New Roman"/>
                <w:b/>
                <w:bCs/>
                <w:iCs/>
                <w:sz w:val="18"/>
                <w:szCs w:val="18"/>
              </w:rPr>
              <w:t>Services</w:t>
            </w:r>
          </w:p>
        </w:tc>
        <w:tc>
          <w:tcPr>
            <w:tcW w:w="548" w:type="dxa"/>
            <w:vAlign w:val="center"/>
          </w:tcPr>
          <w:p w14:paraId="7904E6CB"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3.0</w:t>
            </w:r>
          </w:p>
        </w:tc>
        <w:tc>
          <w:tcPr>
            <w:tcW w:w="548" w:type="dxa"/>
            <w:vAlign w:val="center"/>
          </w:tcPr>
          <w:p w14:paraId="4C16FD78"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0.9</w:t>
            </w:r>
          </w:p>
        </w:tc>
        <w:tc>
          <w:tcPr>
            <w:tcW w:w="548" w:type="dxa"/>
            <w:vAlign w:val="center"/>
          </w:tcPr>
          <w:p w14:paraId="2906CB06"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3.7</w:t>
            </w:r>
          </w:p>
        </w:tc>
        <w:tc>
          <w:tcPr>
            <w:tcW w:w="548" w:type="dxa"/>
            <w:vAlign w:val="bottom"/>
          </w:tcPr>
          <w:p w14:paraId="04A76446"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1.1</w:t>
            </w:r>
          </w:p>
        </w:tc>
        <w:tc>
          <w:tcPr>
            <w:tcW w:w="548" w:type="dxa"/>
            <w:vAlign w:val="center"/>
          </w:tcPr>
          <w:p w14:paraId="24BE82A9"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0.8</w:t>
            </w:r>
          </w:p>
        </w:tc>
        <w:tc>
          <w:tcPr>
            <w:tcW w:w="548" w:type="dxa"/>
            <w:vAlign w:val="center"/>
          </w:tcPr>
          <w:p w14:paraId="3BA74DD5" w14:textId="77777777" w:rsidR="001A7ECF" w:rsidRPr="001A7ECF" w:rsidRDefault="001A7ECF" w:rsidP="00931C44">
            <w:pPr>
              <w:spacing w:before="20" w:after="40"/>
              <w:jc w:val="center"/>
              <w:rPr>
                <w:rFonts w:ascii="Garamond" w:hAnsi="Garamond"/>
                <w:b/>
                <w:sz w:val="18"/>
                <w:szCs w:val="18"/>
              </w:rPr>
            </w:pPr>
            <w:r w:rsidRPr="001A7ECF">
              <w:rPr>
                <w:rFonts w:ascii="Garamond" w:hAnsi="Garamond"/>
                <w:b/>
                <w:sz w:val="18"/>
                <w:szCs w:val="18"/>
              </w:rPr>
              <w:t>0.2</w:t>
            </w:r>
          </w:p>
        </w:tc>
      </w:tr>
    </w:tbl>
    <w:p w14:paraId="6E01AE0C" w14:textId="77777777" w:rsidR="00A932DC" w:rsidRDefault="00A932DC" w:rsidP="00A9653E">
      <w:pPr>
        <w:spacing w:line="360" w:lineRule="auto"/>
        <w:jc w:val="both"/>
        <w:rPr>
          <w:rStyle w:val="longtext"/>
          <w:rFonts w:ascii="Garamond" w:hAnsi="Garamond" w:cs="Times New Roman"/>
          <w:color w:val="000000"/>
          <w:sz w:val="21"/>
          <w:szCs w:val="21"/>
        </w:rPr>
      </w:pPr>
    </w:p>
    <w:p w14:paraId="517EEB09" w14:textId="77777777" w:rsidR="00A9653E" w:rsidRPr="004E7A10" w:rsidRDefault="00A932DC" w:rsidP="00A9653E">
      <w:pPr>
        <w:spacing w:line="360" w:lineRule="auto"/>
        <w:jc w:val="both"/>
        <w:rPr>
          <w:rStyle w:val="longtext"/>
          <w:rFonts w:ascii="Garamond" w:hAnsi="Garamond" w:cs="Times New Roman"/>
          <w:color w:val="000000"/>
          <w:sz w:val="21"/>
          <w:szCs w:val="21"/>
        </w:rPr>
      </w:pPr>
      <w:r>
        <w:rPr>
          <w:rStyle w:val="longtext"/>
          <w:rFonts w:ascii="Garamond" w:hAnsi="Garamond" w:cs="Times New Roman"/>
          <w:color w:val="000000"/>
          <w:sz w:val="21"/>
          <w:szCs w:val="21"/>
        </w:rPr>
        <w:t>In th</w:t>
      </w:r>
      <w:r w:rsidR="004233A1" w:rsidRPr="004E7A10">
        <w:rPr>
          <w:rStyle w:val="longtext"/>
          <w:rFonts w:ascii="Garamond" w:hAnsi="Garamond" w:cs="Times New Roman"/>
          <w:color w:val="000000"/>
          <w:sz w:val="21"/>
          <w:szCs w:val="21"/>
        </w:rPr>
        <w:t xml:space="preserve">e </w:t>
      </w:r>
      <w:r>
        <w:rPr>
          <w:rStyle w:val="longtext"/>
          <w:rFonts w:ascii="Garamond" w:hAnsi="Garamond" w:cs="Times New Roman"/>
          <w:color w:val="000000"/>
          <w:sz w:val="21"/>
          <w:szCs w:val="21"/>
        </w:rPr>
        <w:t>1st</w:t>
      </w:r>
      <w:r w:rsidR="00A9653E" w:rsidRPr="004E7A10">
        <w:rPr>
          <w:rStyle w:val="longtext"/>
          <w:rFonts w:ascii="Garamond" w:hAnsi="Garamond" w:cs="Times New Roman"/>
          <w:color w:val="000000"/>
          <w:sz w:val="21"/>
          <w:szCs w:val="21"/>
        </w:rPr>
        <w:t xml:space="preserve"> quarter of 201</w:t>
      </w:r>
      <w:r>
        <w:rPr>
          <w:rStyle w:val="longtext"/>
          <w:rFonts w:ascii="Garamond" w:hAnsi="Garamond" w:cs="Times New Roman"/>
          <w:color w:val="000000"/>
          <w:sz w:val="21"/>
          <w:szCs w:val="21"/>
        </w:rPr>
        <w:t>5,</w:t>
      </w:r>
      <w:r w:rsidR="004233A1" w:rsidRPr="004E7A10">
        <w:rPr>
          <w:rStyle w:val="longtext"/>
          <w:rFonts w:ascii="Garamond" w:hAnsi="Garamond" w:cs="Times New Roman"/>
          <w:color w:val="000000"/>
          <w:sz w:val="21"/>
          <w:szCs w:val="21"/>
        </w:rPr>
        <w:t xml:space="preserve"> </w:t>
      </w:r>
      <w:r w:rsidR="004233A1" w:rsidRPr="004E7A10">
        <w:rPr>
          <w:rStyle w:val="longtext"/>
          <w:rFonts w:ascii="Garamond" w:hAnsi="Garamond" w:cs="Times New Roman"/>
          <w:b/>
          <w:color w:val="000000"/>
          <w:sz w:val="21"/>
          <w:szCs w:val="21"/>
        </w:rPr>
        <w:t xml:space="preserve">core inflation </w:t>
      </w:r>
      <w:r>
        <w:rPr>
          <w:rStyle w:val="longtext"/>
          <w:rFonts w:ascii="Garamond" w:hAnsi="Garamond" w:cs="Times New Roman"/>
          <w:b/>
          <w:color w:val="000000"/>
          <w:sz w:val="21"/>
          <w:szCs w:val="21"/>
        </w:rPr>
        <w:t>was</w:t>
      </w:r>
      <w:r w:rsidR="004233A1" w:rsidRPr="004E7A10">
        <w:rPr>
          <w:rStyle w:val="longtext"/>
          <w:rFonts w:ascii="Garamond" w:hAnsi="Garamond" w:cs="Times New Roman"/>
          <w:b/>
          <w:color w:val="000000"/>
          <w:sz w:val="21"/>
          <w:szCs w:val="21"/>
        </w:rPr>
        <w:t xml:space="preserve"> </w:t>
      </w:r>
      <w:r>
        <w:rPr>
          <w:rStyle w:val="longtext"/>
          <w:rFonts w:ascii="Garamond" w:hAnsi="Garamond" w:cs="Times New Roman"/>
          <w:b/>
          <w:color w:val="000000"/>
          <w:sz w:val="21"/>
          <w:szCs w:val="21"/>
        </w:rPr>
        <w:t>1</w:t>
      </w:r>
      <w:r w:rsidR="004233A1" w:rsidRPr="004E7A10">
        <w:rPr>
          <w:rStyle w:val="longtext"/>
          <w:rFonts w:ascii="Garamond" w:hAnsi="Garamond" w:cs="Times New Roman"/>
          <w:b/>
          <w:color w:val="000000"/>
          <w:sz w:val="21"/>
          <w:szCs w:val="21"/>
        </w:rPr>
        <w:t>.</w:t>
      </w:r>
      <w:r>
        <w:rPr>
          <w:rStyle w:val="longtext"/>
          <w:rFonts w:ascii="Garamond" w:hAnsi="Garamond" w:cs="Times New Roman"/>
          <w:b/>
          <w:color w:val="000000"/>
          <w:sz w:val="21"/>
          <w:szCs w:val="21"/>
        </w:rPr>
        <w:t>1</w:t>
      </w:r>
      <w:r w:rsidR="004233A1" w:rsidRPr="004E7A10">
        <w:rPr>
          <w:rStyle w:val="longtext"/>
          <w:rFonts w:ascii="Garamond" w:hAnsi="Garamond" w:cs="Times New Roman"/>
          <w:b/>
          <w:color w:val="000000"/>
          <w:sz w:val="21"/>
          <w:szCs w:val="21"/>
        </w:rPr>
        <w:t>%</w:t>
      </w:r>
      <w:r w:rsidR="004233A1" w:rsidRPr="004E7A10">
        <w:rPr>
          <w:rStyle w:val="longtext"/>
          <w:rFonts w:ascii="Garamond" w:hAnsi="Garamond" w:cs="Times New Roman"/>
          <w:color w:val="000000"/>
          <w:sz w:val="21"/>
          <w:szCs w:val="21"/>
        </w:rPr>
        <w:t xml:space="preserve">, with the 12-month rate having </w:t>
      </w:r>
      <w:r>
        <w:rPr>
          <w:rStyle w:val="longtext"/>
          <w:rFonts w:ascii="Garamond" w:hAnsi="Garamond" w:cs="Times New Roman"/>
          <w:color w:val="000000"/>
          <w:sz w:val="21"/>
          <w:szCs w:val="21"/>
        </w:rPr>
        <w:t>expanded by 1.6 pp to 4</w:t>
      </w:r>
      <w:r w:rsidR="004233A1" w:rsidRPr="004E7A10">
        <w:rPr>
          <w:rStyle w:val="longtext"/>
          <w:rFonts w:ascii="Garamond" w:hAnsi="Garamond" w:cs="Times New Roman"/>
          <w:b/>
          <w:color w:val="000000"/>
          <w:sz w:val="21"/>
          <w:szCs w:val="21"/>
        </w:rPr>
        <w:t>.</w:t>
      </w:r>
      <w:r>
        <w:rPr>
          <w:rStyle w:val="longtext"/>
          <w:rFonts w:ascii="Garamond" w:hAnsi="Garamond" w:cs="Times New Roman"/>
          <w:b/>
          <w:color w:val="000000"/>
          <w:sz w:val="21"/>
          <w:szCs w:val="21"/>
        </w:rPr>
        <w:t>4</w:t>
      </w:r>
      <w:r w:rsidR="004233A1" w:rsidRPr="004E7A10">
        <w:rPr>
          <w:rStyle w:val="longtext"/>
          <w:rFonts w:ascii="Garamond" w:hAnsi="Garamond" w:cs="Times New Roman"/>
          <w:b/>
          <w:color w:val="000000"/>
          <w:sz w:val="21"/>
          <w:szCs w:val="21"/>
        </w:rPr>
        <w:t>%</w:t>
      </w:r>
      <w:r w:rsidR="004233A1" w:rsidRPr="004E7A10">
        <w:rPr>
          <w:rStyle w:val="longtext"/>
          <w:rFonts w:ascii="Garamond" w:hAnsi="Garamond" w:cs="Times New Roman"/>
          <w:color w:val="000000"/>
          <w:sz w:val="21"/>
          <w:szCs w:val="21"/>
        </w:rPr>
        <w:t xml:space="preserve"> in late </w:t>
      </w:r>
      <w:r>
        <w:rPr>
          <w:rStyle w:val="longtext"/>
          <w:rFonts w:ascii="Garamond" w:hAnsi="Garamond" w:cs="Times New Roman"/>
          <w:color w:val="000000"/>
          <w:sz w:val="21"/>
          <w:szCs w:val="21"/>
        </w:rPr>
        <w:t>March</w:t>
      </w:r>
      <w:r w:rsidR="004233A1" w:rsidRPr="004E7A10">
        <w:rPr>
          <w:rStyle w:val="longtext"/>
          <w:rFonts w:ascii="Garamond" w:hAnsi="Garamond" w:cs="Times New Roman"/>
          <w:color w:val="000000"/>
          <w:sz w:val="21"/>
          <w:szCs w:val="21"/>
        </w:rPr>
        <w:t>.</w:t>
      </w:r>
      <w:r w:rsidR="00A9653E" w:rsidRPr="004E7A10">
        <w:rPr>
          <w:rStyle w:val="longtext"/>
          <w:rFonts w:ascii="Garamond" w:hAnsi="Garamond" w:cs="Times New Roman"/>
          <w:color w:val="000000"/>
          <w:sz w:val="21"/>
          <w:szCs w:val="21"/>
        </w:rPr>
        <w:t xml:space="preserve"> </w:t>
      </w:r>
    </w:p>
    <w:p w14:paraId="0D0B88AC" w14:textId="77777777" w:rsidR="00AC4CD7" w:rsidRDefault="00A932DC" w:rsidP="00A9653E">
      <w:pPr>
        <w:spacing w:line="360" w:lineRule="auto"/>
        <w:jc w:val="both"/>
        <w:rPr>
          <w:rStyle w:val="longtext"/>
          <w:rFonts w:ascii="Garamond" w:hAnsi="Garamond" w:cs="Times New Roman"/>
          <w:sz w:val="21"/>
          <w:szCs w:val="21"/>
          <w:shd w:val="clear" w:color="auto" w:fill="FFFFFF"/>
        </w:rPr>
      </w:pPr>
      <w:r>
        <w:rPr>
          <w:rStyle w:val="longtext"/>
          <w:rFonts w:ascii="Garamond" w:hAnsi="Garamond" w:cs="Times New Roman"/>
          <w:sz w:val="21"/>
          <w:szCs w:val="21"/>
          <w:shd w:val="clear" w:color="auto" w:fill="FFFFFF"/>
        </w:rPr>
        <w:t xml:space="preserve">In the previous year’s short-term horizon, </w:t>
      </w:r>
      <w:r w:rsidRPr="00A932DC">
        <w:rPr>
          <w:rStyle w:val="longtext"/>
          <w:rFonts w:ascii="Garamond" w:hAnsi="Garamond" w:cs="Times New Roman"/>
          <w:b/>
          <w:sz w:val="21"/>
          <w:szCs w:val="21"/>
          <w:shd w:val="clear" w:color="auto" w:fill="FFFFFF"/>
        </w:rPr>
        <w:t>in a time-span from the 2nd quarter of 2014 up to the 2nd quarter of 2015</w:t>
      </w:r>
      <w:r>
        <w:rPr>
          <w:rStyle w:val="longtext"/>
          <w:rFonts w:ascii="Garamond" w:hAnsi="Garamond" w:cs="Times New Roman"/>
          <w:sz w:val="21"/>
          <w:szCs w:val="21"/>
          <w:shd w:val="clear" w:color="auto" w:fill="FFFFFF"/>
        </w:rPr>
        <w:t>,</w:t>
      </w:r>
      <w:r w:rsidRPr="00A932DC">
        <w:rPr>
          <w:rStyle w:val="longtext"/>
          <w:rFonts w:ascii="Garamond" w:hAnsi="Garamond" w:cs="Times New Roman"/>
          <w:sz w:val="21"/>
          <w:szCs w:val="21"/>
          <w:shd w:val="clear" w:color="auto" w:fill="FFFFFF"/>
        </w:rPr>
        <w:t xml:space="preserve"> </w:t>
      </w:r>
      <w:r w:rsidR="006F3D08" w:rsidRPr="004E7A10">
        <w:rPr>
          <w:rStyle w:val="longtext"/>
          <w:rFonts w:ascii="Garamond" w:hAnsi="Garamond" w:cs="Times New Roman"/>
          <w:sz w:val="21"/>
          <w:szCs w:val="21"/>
          <w:shd w:val="clear" w:color="auto" w:fill="FFFFFF"/>
        </w:rPr>
        <w:t xml:space="preserve">the Central Bank </w:t>
      </w:r>
      <w:r>
        <w:rPr>
          <w:rStyle w:val="longtext"/>
          <w:rFonts w:ascii="Garamond" w:hAnsi="Garamond" w:cs="Times New Roman"/>
          <w:sz w:val="21"/>
          <w:szCs w:val="21"/>
          <w:shd w:val="clear" w:color="auto" w:fill="FFFFFF"/>
        </w:rPr>
        <w:t>considered the</w:t>
      </w:r>
      <w:r w:rsidR="006F3D08" w:rsidRPr="004E7A10">
        <w:rPr>
          <w:rStyle w:val="longtext"/>
          <w:rFonts w:ascii="Garamond" w:hAnsi="Garamond" w:cs="Times New Roman"/>
          <w:sz w:val="21"/>
          <w:szCs w:val="21"/>
          <w:shd w:val="clear" w:color="auto" w:fill="FFFFFF"/>
        </w:rPr>
        <w:t xml:space="preserve"> </w:t>
      </w:r>
      <w:r w:rsidR="006F3D08" w:rsidRPr="00A932DC">
        <w:rPr>
          <w:rStyle w:val="longtext"/>
          <w:rFonts w:ascii="Garamond" w:hAnsi="Garamond" w:cs="Times New Roman"/>
          <w:sz w:val="21"/>
          <w:szCs w:val="21"/>
          <w:shd w:val="clear" w:color="auto" w:fill="FFFFFF"/>
        </w:rPr>
        <w:t xml:space="preserve">inflation would </w:t>
      </w:r>
      <w:r>
        <w:rPr>
          <w:rStyle w:val="longtext"/>
          <w:rFonts w:ascii="Garamond" w:hAnsi="Garamond" w:cs="Times New Roman"/>
          <w:sz w:val="21"/>
          <w:szCs w:val="21"/>
          <w:shd w:val="clear" w:color="auto" w:fill="FFFFFF"/>
        </w:rPr>
        <w:t xml:space="preserve">further </w:t>
      </w:r>
      <w:r w:rsidR="00991537" w:rsidRPr="00A932DC">
        <w:rPr>
          <w:rStyle w:val="longtext"/>
          <w:rFonts w:ascii="Garamond" w:hAnsi="Garamond" w:cs="Times New Roman"/>
          <w:sz w:val="21"/>
          <w:szCs w:val="21"/>
          <w:shd w:val="clear" w:color="auto" w:fill="FFFFFF"/>
        </w:rPr>
        <w:t>reduc</w:t>
      </w:r>
      <w:r>
        <w:rPr>
          <w:rStyle w:val="longtext"/>
          <w:rFonts w:ascii="Garamond" w:hAnsi="Garamond" w:cs="Times New Roman"/>
          <w:sz w:val="21"/>
          <w:szCs w:val="21"/>
          <w:shd w:val="clear" w:color="auto" w:fill="FFFFFF"/>
        </w:rPr>
        <w:t>e</w:t>
      </w:r>
      <w:r w:rsidR="00991537" w:rsidRPr="004E7A10">
        <w:rPr>
          <w:rStyle w:val="longtext"/>
          <w:rFonts w:ascii="Garamond" w:hAnsi="Garamond" w:cs="Times New Roman"/>
          <w:b/>
          <w:sz w:val="21"/>
          <w:szCs w:val="21"/>
          <w:shd w:val="clear" w:color="auto" w:fill="FFFFFF"/>
        </w:rPr>
        <w:t xml:space="preserve"> </w:t>
      </w:r>
      <w:r w:rsidR="00991537" w:rsidRPr="004E7A10">
        <w:rPr>
          <w:rStyle w:val="longtext"/>
          <w:rFonts w:ascii="Garamond" w:hAnsi="Garamond" w:cs="Times New Roman"/>
          <w:sz w:val="21"/>
          <w:szCs w:val="21"/>
          <w:shd w:val="clear" w:color="auto" w:fill="FFFFFF"/>
        </w:rPr>
        <w:t xml:space="preserve">to approach the lower bound of the confidence band in the 3rd quarter of 2014 as </w:t>
      </w:r>
      <w:r w:rsidR="006F3D08" w:rsidRPr="004E7A10">
        <w:rPr>
          <w:rStyle w:val="longtext"/>
          <w:rFonts w:ascii="Garamond" w:hAnsi="Garamond" w:cs="Times New Roman"/>
          <w:sz w:val="21"/>
          <w:szCs w:val="21"/>
          <w:shd w:val="clear" w:color="auto" w:fill="FFFFFF"/>
        </w:rPr>
        <w:t>the impact of energy price increases</w:t>
      </w:r>
      <w:r w:rsidR="00991537" w:rsidRPr="004E7A10">
        <w:rPr>
          <w:rStyle w:val="longtext"/>
          <w:rFonts w:ascii="Garamond" w:hAnsi="Garamond" w:cs="Times New Roman"/>
          <w:sz w:val="21"/>
          <w:szCs w:val="21"/>
          <w:shd w:val="clear" w:color="auto" w:fill="FFFFFF"/>
        </w:rPr>
        <w:t xml:space="preserve"> </w:t>
      </w:r>
      <w:r w:rsidR="00AC4CD7">
        <w:rPr>
          <w:rStyle w:val="longtext"/>
          <w:rFonts w:ascii="Garamond" w:hAnsi="Garamond" w:cs="Times New Roman"/>
          <w:sz w:val="21"/>
          <w:szCs w:val="21"/>
          <w:shd w:val="clear" w:color="auto" w:fill="FFFFFF"/>
        </w:rPr>
        <w:t xml:space="preserve">had </w:t>
      </w:r>
      <w:r w:rsidR="00991537" w:rsidRPr="004E7A10">
        <w:rPr>
          <w:rStyle w:val="longtext"/>
          <w:rFonts w:ascii="Garamond" w:hAnsi="Garamond" w:cs="Times New Roman"/>
          <w:sz w:val="21"/>
          <w:szCs w:val="21"/>
          <w:shd w:val="clear" w:color="auto" w:fill="FFFFFF"/>
        </w:rPr>
        <w:t xml:space="preserve">phased out in July 2013. </w:t>
      </w:r>
      <w:r w:rsidR="00AC4CD7">
        <w:rPr>
          <w:rStyle w:val="longtext"/>
          <w:rFonts w:ascii="Garamond" w:hAnsi="Garamond" w:cs="Times New Roman"/>
          <w:sz w:val="21"/>
          <w:szCs w:val="21"/>
          <w:shd w:val="clear" w:color="auto" w:fill="FFFFFF"/>
        </w:rPr>
        <w:t>I</w:t>
      </w:r>
      <w:r w:rsidR="005E57F4" w:rsidRPr="004E7A10">
        <w:rPr>
          <w:rStyle w:val="longtext"/>
          <w:rFonts w:ascii="Garamond" w:hAnsi="Garamond" w:cs="Times New Roman"/>
          <w:b/>
          <w:sz w:val="21"/>
          <w:szCs w:val="21"/>
          <w:shd w:val="clear" w:color="auto" w:fill="FFFFFF"/>
        </w:rPr>
        <w:t xml:space="preserve">n the </w:t>
      </w:r>
      <w:r w:rsidR="00AC4CD7">
        <w:rPr>
          <w:rStyle w:val="longtext"/>
          <w:rFonts w:ascii="Garamond" w:hAnsi="Garamond" w:cs="Times New Roman"/>
          <w:b/>
          <w:sz w:val="21"/>
          <w:szCs w:val="21"/>
          <w:shd w:val="clear" w:color="auto" w:fill="FFFFFF"/>
        </w:rPr>
        <w:t>2nd</w:t>
      </w:r>
      <w:r w:rsidR="005E57F4" w:rsidRPr="004E7A10">
        <w:rPr>
          <w:rStyle w:val="longtext"/>
          <w:rFonts w:ascii="Garamond" w:hAnsi="Garamond" w:cs="Times New Roman"/>
          <w:b/>
          <w:sz w:val="21"/>
          <w:szCs w:val="21"/>
          <w:shd w:val="clear" w:color="auto" w:fill="FFFFFF"/>
        </w:rPr>
        <w:t xml:space="preserve"> </w:t>
      </w:r>
      <w:r w:rsidR="003A5CF6" w:rsidRPr="004E7A10">
        <w:rPr>
          <w:rStyle w:val="longtext"/>
          <w:rFonts w:ascii="Garamond" w:hAnsi="Garamond" w:cs="Times New Roman"/>
          <w:b/>
          <w:sz w:val="21"/>
          <w:szCs w:val="21"/>
          <w:shd w:val="clear" w:color="auto" w:fill="FFFFFF"/>
        </w:rPr>
        <w:t xml:space="preserve">quarter of </w:t>
      </w:r>
      <w:r w:rsidR="005E57F4" w:rsidRPr="004E7A10">
        <w:rPr>
          <w:rStyle w:val="longtext"/>
          <w:rFonts w:ascii="Garamond" w:hAnsi="Garamond" w:cs="Times New Roman"/>
          <w:b/>
          <w:sz w:val="21"/>
          <w:szCs w:val="21"/>
          <w:shd w:val="clear" w:color="auto" w:fill="FFFFFF"/>
        </w:rPr>
        <w:t>201</w:t>
      </w:r>
      <w:r w:rsidR="003A5CF6" w:rsidRPr="004E7A10">
        <w:rPr>
          <w:rStyle w:val="longtext"/>
          <w:rFonts w:ascii="Garamond" w:hAnsi="Garamond" w:cs="Times New Roman"/>
          <w:b/>
          <w:sz w:val="21"/>
          <w:szCs w:val="21"/>
          <w:shd w:val="clear" w:color="auto" w:fill="FFFFFF"/>
        </w:rPr>
        <w:t>4</w:t>
      </w:r>
      <w:r w:rsidR="00AC4CD7">
        <w:rPr>
          <w:rStyle w:val="longtext"/>
          <w:rFonts w:ascii="Garamond" w:hAnsi="Garamond" w:cs="Times New Roman"/>
          <w:b/>
          <w:sz w:val="21"/>
          <w:szCs w:val="21"/>
          <w:shd w:val="clear" w:color="auto" w:fill="FFFFFF"/>
        </w:rPr>
        <w:t>,</w:t>
      </w:r>
      <w:r w:rsidR="005E57F4" w:rsidRPr="004E7A10">
        <w:rPr>
          <w:rStyle w:val="longtext"/>
          <w:rFonts w:ascii="Garamond" w:hAnsi="Garamond" w:cs="Times New Roman"/>
          <w:b/>
          <w:sz w:val="21"/>
          <w:szCs w:val="21"/>
          <w:shd w:val="clear" w:color="auto" w:fill="FFFFFF"/>
        </w:rPr>
        <w:t xml:space="preserve"> the</w:t>
      </w:r>
      <w:r w:rsidR="005E57F4" w:rsidRPr="004E7A10">
        <w:rPr>
          <w:rStyle w:val="longtext"/>
          <w:rFonts w:ascii="Garamond" w:hAnsi="Garamond" w:cs="Times New Roman"/>
          <w:sz w:val="21"/>
          <w:szCs w:val="21"/>
          <w:shd w:val="clear" w:color="auto" w:fill="FFFFFF"/>
        </w:rPr>
        <w:t xml:space="preserve"> </w:t>
      </w:r>
      <w:r w:rsidR="005E57F4" w:rsidRPr="004E7A10">
        <w:rPr>
          <w:rStyle w:val="longtext"/>
          <w:rFonts w:ascii="Garamond" w:hAnsi="Garamond" w:cs="Times New Roman"/>
          <w:b/>
          <w:sz w:val="21"/>
          <w:szCs w:val="21"/>
          <w:shd w:val="clear" w:color="auto" w:fill="FFFFFF"/>
        </w:rPr>
        <w:t xml:space="preserve">Central Bank was planning to </w:t>
      </w:r>
      <w:r w:rsidR="003A5CF6" w:rsidRPr="004E7A10">
        <w:rPr>
          <w:rStyle w:val="longtext"/>
          <w:rFonts w:ascii="Garamond" w:hAnsi="Garamond" w:cs="Times New Roman"/>
          <w:b/>
          <w:sz w:val="21"/>
          <w:szCs w:val="21"/>
          <w:shd w:val="clear" w:color="auto" w:fill="FFFFFF"/>
        </w:rPr>
        <w:t xml:space="preserve">continue </w:t>
      </w:r>
      <w:r w:rsidR="005E57F4" w:rsidRPr="004E7A10">
        <w:rPr>
          <w:rStyle w:val="longtext"/>
          <w:rFonts w:ascii="Garamond" w:hAnsi="Garamond" w:cs="Times New Roman"/>
          <w:b/>
          <w:sz w:val="21"/>
          <w:szCs w:val="21"/>
          <w:shd w:val="clear" w:color="auto" w:fill="FFFFFF"/>
        </w:rPr>
        <w:t>eas</w:t>
      </w:r>
      <w:r w:rsidR="003A5CF6" w:rsidRPr="004E7A10">
        <w:rPr>
          <w:rStyle w:val="longtext"/>
          <w:rFonts w:ascii="Garamond" w:hAnsi="Garamond" w:cs="Times New Roman"/>
          <w:b/>
          <w:sz w:val="21"/>
          <w:szCs w:val="21"/>
          <w:shd w:val="clear" w:color="auto" w:fill="FFFFFF"/>
        </w:rPr>
        <w:t>ing</w:t>
      </w:r>
      <w:r w:rsidR="005E57F4" w:rsidRPr="004E7A10">
        <w:rPr>
          <w:rStyle w:val="longtext"/>
          <w:rFonts w:ascii="Garamond" w:hAnsi="Garamond" w:cs="Times New Roman"/>
          <w:b/>
          <w:sz w:val="21"/>
          <w:szCs w:val="21"/>
          <w:shd w:val="clear" w:color="auto" w:fill="FFFFFF"/>
        </w:rPr>
        <w:t xml:space="preserve"> the monetary conditions</w:t>
      </w:r>
      <w:r w:rsidR="00AC4CD7">
        <w:rPr>
          <w:rStyle w:val="longtext"/>
          <w:rFonts w:ascii="Garamond" w:hAnsi="Garamond" w:cs="Times New Roman"/>
          <w:sz w:val="21"/>
          <w:szCs w:val="21"/>
          <w:shd w:val="clear" w:color="auto" w:fill="FFFFFF"/>
        </w:rPr>
        <w:t>,</w:t>
      </w:r>
      <w:r w:rsidR="004B2319" w:rsidRPr="004E7A10">
        <w:rPr>
          <w:rStyle w:val="longtext"/>
          <w:rFonts w:ascii="Garamond" w:hAnsi="Garamond" w:cs="Times New Roman"/>
          <w:b/>
          <w:sz w:val="21"/>
          <w:szCs w:val="21"/>
          <w:shd w:val="clear" w:color="auto" w:fill="FFFFFF"/>
        </w:rPr>
        <w:t xml:space="preserve"> </w:t>
      </w:r>
      <w:r w:rsidR="00AC4CD7">
        <w:rPr>
          <w:rStyle w:val="longtext"/>
          <w:rFonts w:ascii="Garamond" w:hAnsi="Garamond" w:cs="Times New Roman"/>
          <w:sz w:val="21"/>
          <w:szCs w:val="21"/>
          <w:shd w:val="clear" w:color="auto" w:fill="FFFFFF"/>
        </w:rPr>
        <w:t xml:space="preserve">which, combined with the monetary policy carried out by that time and expansionary fiscal policy to be implemented during the year, </w:t>
      </w:r>
      <w:r w:rsidR="000B1C37">
        <w:rPr>
          <w:rStyle w:val="longtext"/>
          <w:rFonts w:ascii="Garamond" w:hAnsi="Garamond" w:cs="Times New Roman"/>
          <w:sz w:val="21"/>
          <w:szCs w:val="21"/>
          <w:shd w:val="clear" w:color="auto" w:fill="FFFFFF"/>
        </w:rPr>
        <w:t xml:space="preserve">had to lead to </w:t>
      </w:r>
      <w:r w:rsidR="00AC4CD7">
        <w:rPr>
          <w:rStyle w:val="longtext"/>
          <w:rFonts w:ascii="Garamond" w:hAnsi="Garamond" w:cs="Times New Roman"/>
          <w:sz w:val="21"/>
          <w:szCs w:val="21"/>
          <w:shd w:val="clear" w:color="auto" w:fill="FFFFFF"/>
        </w:rPr>
        <w:t xml:space="preserve">expanded aggregate demand and rebounded inflation rates, helping the inflation stabilize around its target in the forecast horizon. </w:t>
      </w:r>
    </w:p>
    <w:p w14:paraId="0E86DE24" w14:textId="77777777" w:rsidR="000B06F7" w:rsidRPr="004E7A10" w:rsidRDefault="00DF43C5" w:rsidP="00A9653E">
      <w:pPr>
        <w:spacing w:line="360" w:lineRule="auto"/>
        <w:jc w:val="both"/>
        <w:rPr>
          <w:rStyle w:val="longtext"/>
          <w:rFonts w:ascii="Garamond" w:hAnsi="Garamond" w:cs="Times New Roman"/>
          <w:sz w:val="21"/>
          <w:szCs w:val="21"/>
          <w:shd w:val="clear" w:color="auto" w:fill="FFFFFF"/>
        </w:rPr>
      </w:pPr>
      <w:r w:rsidRPr="00490DDC">
        <w:rPr>
          <w:rStyle w:val="longtext"/>
          <w:rFonts w:ascii="Garamond" w:hAnsi="Garamond" w:cs="Times New Roman"/>
          <w:sz w:val="21"/>
          <w:szCs w:val="21"/>
          <w:shd w:val="clear" w:color="auto" w:fill="FFFFFF"/>
        </w:rPr>
        <w:t xml:space="preserve">Actual </w:t>
      </w:r>
      <w:r w:rsidR="00A9653E" w:rsidRPr="00490DDC">
        <w:rPr>
          <w:rStyle w:val="longtext"/>
          <w:rFonts w:ascii="Garamond" w:hAnsi="Garamond" w:cs="Times New Roman"/>
          <w:sz w:val="21"/>
          <w:szCs w:val="21"/>
          <w:shd w:val="clear" w:color="auto" w:fill="FFFFFF"/>
        </w:rPr>
        <w:t xml:space="preserve">developments </w:t>
      </w:r>
      <w:r w:rsidR="00591023" w:rsidRPr="00490DDC">
        <w:rPr>
          <w:rStyle w:val="longtext"/>
          <w:rFonts w:ascii="Garamond" w:hAnsi="Garamond" w:cs="Times New Roman"/>
          <w:sz w:val="21"/>
          <w:szCs w:val="21"/>
          <w:shd w:val="clear" w:color="auto" w:fill="FFFFFF"/>
        </w:rPr>
        <w:t xml:space="preserve">showed that </w:t>
      </w:r>
      <w:r w:rsidRPr="00490DDC">
        <w:rPr>
          <w:rStyle w:val="longtext"/>
          <w:rFonts w:ascii="Garamond" w:hAnsi="Garamond" w:cs="Times New Roman"/>
          <w:sz w:val="21"/>
          <w:szCs w:val="21"/>
          <w:shd w:val="clear" w:color="auto" w:fill="FFFFFF"/>
        </w:rPr>
        <w:t xml:space="preserve">over </w:t>
      </w:r>
      <w:r w:rsidR="00591023" w:rsidRPr="00490DDC">
        <w:rPr>
          <w:rStyle w:val="longtext"/>
          <w:rFonts w:ascii="Garamond" w:hAnsi="Garamond" w:cs="Times New Roman"/>
          <w:sz w:val="21"/>
          <w:szCs w:val="21"/>
          <w:shd w:val="clear" w:color="auto" w:fill="FFFFFF"/>
        </w:rPr>
        <w:t xml:space="preserve">the </w:t>
      </w:r>
      <w:r w:rsidR="00490DDC">
        <w:rPr>
          <w:rStyle w:val="longtext"/>
          <w:rFonts w:ascii="Garamond" w:hAnsi="Garamond" w:cs="Times New Roman"/>
          <w:sz w:val="21"/>
          <w:szCs w:val="21"/>
          <w:shd w:val="clear" w:color="auto" w:fill="FFFFFF"/>
        </w:rPr>
        <w:t>2nd</w:t>
      </w:r>
      <w:r w:rsidRPr="00490DDC">
        <w:rPr>
          <w:rStyle w:val="longtext"/>
          <w:rFonts w:ascii="Garamond" w:hAnsi="Garamond" w:cs="Times New Roman"/>
          <w:sz w:val="21"/>
          <w:szCs w:val="21"/>
          <w:shd w:val="clear" w:color="auto" w:fill="FFFFFF"/>
        </w:rPr>
        <w:t xml:space="preserve"> </w:t>
      </w:r>
      <w:r w:rsidR="00490DDC">
        <w:rPr>
          <w:rStyle w:val="longtext"/>
          <w:rFonts w:ascii="Garamond" w:hAnsi="Garamond" w:cs="Times New Roman"/>
          <w:sz w:val="21"/>
          <w:szCs w:val="21"/>
          <w:shd w:val="clear" w:color="auto" w:fill="FFFFFF"/>
        </w:rPr>
        <w:t>and 3rd</w:t>
      </w:r>
      <w:r w:rsidR="00591023" w:rsidRPr="00490DDC">
        <w:rPr>
          <w:rStyle w:val="longtext"/>
          <w:rFonts w:ascii="Garamond" w:hAnsi="Garamond" w:cs="Times New Roman"/>
          <w:sz w:val="21"/>
          <w:szCs w:val="21"/>
          <w:shd w:val="clear" w:color="auto" w:fill="FFFFFF"/>
        </w:rPr>
        <w:t xml:space="preserve"> quarters of 201</w:t>
      </w:r>
      <w:r w:rsidRPr="00490DDC">
        <w:rPr>
          <w:rStyle w:val="longtext"/>
          <w:rFonts w:ascii="Garamond" w:hAnsi="Garamond" w:cs="Times New Roman"/>
          <w:sz w:val="21"/>
          <w:szCs w:val="21"/>
          <w:shd w:val="clear" w:color="auto" w:fill="FFFFFF"/>
        </w:rPr>
        <w:t>4</w:t>
      </w:r>
      <w:r w:rsidR="00591023" w:rsidRPr="00490DDC">
        <w:rPr>
          <w:rStyle w:val="longtext"/>
          <w:rFonts w:ascii="Garamond" w:hAnsi="Garamond" w:cs="Times New Roman"/>
          <w:sz w:val="21"/>
          <w:szCs w:val="21"/>
          <w:shd w:val="clear" w:color="auto" w:fill="FFFFFF"/>
        </w:rPr>
        <w:t xml:space="preserve"> the 12-month inflation rate </w:t>
      </w:r>
      <w:r w:rsidR="00421828" w:rsidRPr="00490DDC">
        <w:rPr>
          <w:rStyle w:val="longtext"/>
          <w:rFonts w:ascii="Garamond" w:hAnsi="Garamond" w:cs="Times New Roman"/>
          <w:sz w:val="21"/>
          <w:szCs w:val="21"/>
          <w:shd w:val="clear" w:color="auto" w:fill="FFFFFF"/>
        </w:rPr>
        <w:t>ha</w:t>
      </w:r>
      <w:r w:rsidRPr="00490DDC">
        <w:rPr>
          <w:rStyle w:val="longtext"/>
          <w:rFonts w:ascii="Garamond" w:hAnsi="Garamond" w:cs="Times New Roman"/>
          <w:sz w:val="21"/>
          <w:szCs w:val="21"/>
          <w:shd w:val="clear" w:color="auto" w:fill="FFFFFF"/>
        </w:rPr>
        <w:t>d</w:t>
      </w:r>
      <w:r w:rsidR="00421828" w:rsidRPr="004E7A10">
        <w:rPr>
          <w:rStyle w:val="longtext"/>
          <w:rFonts w:ascii="Garamond" w:hAnsi="Garamond" w:cs="Times New Roman"/>
          <w:sz w:val="21"/>
          <w:szCs w:val="21"/>
          <w:shd w:val="clear" w:color="auto" w:fill="FFFFFF"/>
        </w:rPr>
        <w:t xml:space="preserve"> declined faster than anticipated, reflecting </w:t>
      </w:r>
      <w:r w:rsidR="00490DDC">
        <w:rPr>
          <w:rStyle w:val="longtext"/>
          <w:rFonts w:ascii="Garamond" w:hAnsi="Garamond" w:cs="Times New Roman"/>
          <w:sz w:val="21"/>
          <w:szCs w:val="21"/>
          <w:shd w:val="clear" w:color="auto" w:fill="FFFFFF"/>
        </w:rPr>
        <w:t xml:space="preserve">weaker </w:t>
      </w:r>
      <w:r w:rsidR="00421828" w:rsidRPr="004E7A10">
        <w:rPr>
          <w:rStyle w:val="longtext"/>
          <w:rFonts w:ascii="Garamond" w:hAnsi="Garamond" w:cs="Times New Roman"/>
          <w:sz w:val="21"/>
          <w:szCs w:val="21"/>
          <w:shd w:val="clear" w:color="auto" w:fill="FFFFFF"/>
        </w:rPr>
        <w:t xml:space="preserve">external and domestic </w:t>
      </w:r>
      <w:r w:rsidR="00490DDC">
        <w:rPr>
          <w:rStyle w:val="longtext"/>
          <w:rFonts w:ascii="Garamond" w:hAnsi="Garamond" w:cs="Times New Roman"/>
          <w:sz w:val="21"/>
          <w:szCs w:val="21"/>
          <w:shd w:val="clear" w:color="auto" w:fill="FFFFFF"/>
        </w:rPr>
        <w:t>demand</w:t>
      </w:r>
      <w:r w:rsidR="00421828" w:rsidRPr="004E7A10">
        <w:rPr>
          <w:rStyle w:val="longtext"/>
          <w:rFonts w:ascii="Garamond" w:hAnsi="Garamond" w:cs="Times New Roman"/>
          <w:sz w:val="21"/>
          <w:szCs w:val="21"/>
          <w:shd w:val="clear" w:color="auto" w:fill="FFFFFF"/>
        </w:rPr>
        <w:t>.</w:t>
      </w:r>
      <w:r w:rsidR="000B06F7" w:rsidRPr="004E7A10">
        <w:rPr>
          <w:rStyle w:val="longtext"/>
          <w:rFonts w:ascii="Garamond" w:hAnsi="Garamond" w:cs="Times New Roman"/>
          <w:sz w:val="21"/>
          <w:szCs w:val="21"/>
          <w:shd w:val="clear" w:color="auto" w:fill="FFFFFF"/>
        </w:rPr>
        <w:t xml:space="preserve"> Based on the aforementioned, the Central Bank chose a down-trending path for </w:t>
      </w:r>
      <w:r w:rsidR="00442717" w:rsidRPr="004E7A10">
        <w:rPr>
          <w:rStyle w:val="longtext"/>
          <w:rFonts w:ascii="Garamond" w:hAnsi="Garamond" w:cs="Times New Roman"/>
          <w:sz w:val="21"/>
          <w:szCs w:val="21"/>
          <w:shd w:val="clear" w:color="auto" w:fill="FFFFFF"/>
        </w:rPr>
        <w:t xml:space="preserve">the </w:t>
      </w:r>
      <w:r w:rsidR="000B06F7" w:rsidRPr="004E7A10">
        <w:rPr>
          <w:rStyle w:val="longtext"/>
          <w:rFonts w:ascii="Garamond" w:hAnsi="Garamond" w:cs="Times New Roman"/>
          <w:sz w:val="21"/>
          <w:szCs w:val="21"/>
          <w:shd w:val="clear" w:color="auto" w:fill="FFFFFF"/>
        </w:rPr>
        <w:t xml:space="preserve">inflation for </w:t>
      </w:r>
      <w:r w:rsidR="00490DDC">
        <w:rPr>
          <w:rStyle w:val="longtext"/>
          <w:rFonts w:ascii="Garamond" w:hAnsi="Garamond" w:cs="Times New Roman"/>
          <w:sz w:val="21"/>
          <w:szCs w:val="21"/>
          <w:shd w:val="clear" w:color="auto" w:fill="FFFFFF"/>
        </w:rPr>
        <w:t xml:space="preserve">these </w:t>
      </w:r>
      <w:r w:rsidR="00442717" w:rsidRPr="004E7A10">
        <w:rPr>
          <w:rStyle w:val="longtext"/>
          <w:rFonts w:ascii="Garamond" w:hAnsi="Garamond" w:cs="Times New Roman"/>
          <w:sz w:val="21"/>
          <w:szCs w:val="21"/>
          <w:shd w:val="clear" w:color="auto" w:fill="FFFFFF"/>
        </w:rPr>
        <w:t>q</w:t>
      </w:r>
      <w:r w:rsidR="000B06F7" w:rsidRPr="004E7A10">
        <w:rPr>
          <w:rStyle w:val="longtext"/>
          <w:rFonts w:ascii="Garamond" w:hAnsi="Garamond" w:cs="Times New Roman"/>
          <w:sz w:val="21"/>
          <w:szCs w:val="21"/>
          <w:shd w:val="clear" w:color="auto" w:fill="FFFFFF"/>
        </w:rPr>
        <w:t xml:space="preserve">uarters. </w:t>
      </w:r>
    </w:p>
    <w:p w14:paraId="6704D2A2" w14:textId="77777777" w:rsidR="00423EAE" w:rsidRPr="004E7A10" w:rsidRDefault="00FF4963" w:rsidP="00FC17E1">
      <w:pPr>
        <w:spacing w:line="360" w:lineRule="auto"/>
        <w:jc w:val="both"/>
        <w:rPr>
          <w:rFonts w:ascii="Garamond" w:hAnsi="Garamond" w:cs="Times New Roman"/>
          <w:sz w:val="21"/>
          <w:szCs w:val="21"/>
        </w:rPr>
      </w:pPr>
      <w:r w:rsidRPr="004E7A10">
        <w:rPr>
          <w:rFonts w:ascii="Garamond" w:hAnsi="Garamond" w:cs="Times New Roman"/>
          <w:b/>
          <w:sz w:val="21"/>
          <w:szCs w:val="21"/>
        </w:rPr>
        <w:t xml:space="preserve">In </w:t>
      </w:r>
      <w:r w:rsidR="009E7E61" w:rsidRPr="009E7E61">
        <w:rPr>
          <w:rStyle w:val="longtext"/>
          <w:rFonts w:ascii="Garamond" w:hAnsi="Garamond" w:cs="Times New Roman"/>
          <w:b/>
          <w:sz w:val="21"/>
          <w:szCs w:val="21"/>
          <w:shd w:val="clear" w:color="auto" w:fill="FFFFFF"/>
        </w:rPr>
        <w:t xml:space="preserve">the 2nd and 3rd quarters of 2014, </w:t>
      </w:r>
      <w:r w:rsidRPr="004E7A10">
        <w:rPr>
          <w:rFonts w:ascii="Garamond" w:hAnsi="Garamond" w:cs="Times New Roman"/>
          <w:b/>
          <w:sz w:val="21"/>
          <w:szCs w:val="21"/>
        </w:rPr>
        <w:t xml:space="preserve">there was </w:t>
      </w:r>
      <w:r w:rsidR="009E7E61">
        <w:rPr>
          <w:rFonts w:ascii="Garamond" w:hAnsi="Garamond" w:cs="Times New Roman"/>
          <w:b/>
          <w:sz w:val="21"/>
          <w:szCs w:val="21"/>
        </w:rPr>
        <w:t>1</w:t>
      </w:r>
      <w:r w:rsidRPr="004E7A10">
        <w:rPr>
          <w:rFonts w:ascii="Garamond" w:hAnsi="Garamond" w:cs="Times New Roman"/>
          <w:b/>
          <w:sz w:val="21"/>
          <w:szCs w:val="21"/>
        </w:rPr>
        <w:t>.</w:t>
      </w:r>
      <w:r w:rsidR="009E7E61">
        <w:rPr>
          <w:rFonts w:ascii="Garamond" w:hAnsi="Garamond" w:cs="Times New Roman"/>
          <w:b/>
          <w:sz w:val="21"/>
          <w:szCs w:val="21"/>
        </w:rPr>
        <w:t>9</w:t>
      </w:r>
      <w:r w:rsidRPr="004E7A10">
        <w:rPr>
          <w:rFonts w:ascii="Garamond" w:hAnsi="Garamond" w:cs="Times New Roman"/>
          <w:b/>
          <w:sz w:val="21"/>
          <w:szCs w:val="21"/>
        </w:rPr>
        <w:t>% deflation</w:t>
      </w:r>
      <w:r w:rsidRPr="004E7A10">
        <w:rPr>
          <w:rFonts w:ascii="Garamond" w:hAnsi="Garamond" w:cs="Times New Roman"/>
          <w:sz w:val="21"/>
          <w:szCs w:val="21"/>
        </w:rPr>
        <w:t xml:space="preserve"> against </w:t>
      </w:r>
      <w:r w:rsidR="009E7E61">
        <w:rPr>
          <w:rFonts w:ascii="Garamond" w:hAnsi="Garamond" w:cs="Times New Roman"/>
          <w:b/>
          <w:sz w:val="21"/>
          <w:szCs w:val="21"/>
        </w:rPr>
        <w:t>0</w:t>
      </w:r>
      <w:r w:rsidRPr="004E7A10">
        <w:rPr>
          <w:rFonts w:ascii="Garamond" w:hAnsi="Garamond" w:cs="Times New Roman"/>
          <w:b/>
          <w:sz w:val="21"/>
          <w:szCs w:val="21"/>
        </w:rPr>
        <w:t>.</w:t>
      </w:r>
      <w:r w:rsidR="009E7E61">
        <w:rPr>
          <w:rFonts w:ascii="Garamond" w:hAnsi="Garamond" w:cs="Times New Roman"/>
          <w:b/>
          <w:sz w:val="21"/>
          <w:szCs w:val="21"/>
        </w:rPr>
        <w:t>3</w:t>
      </w:r>
      <w:r w:rsidRPr="004E7A10">
        <w:rPr>
          <w:rFonts w:ascii="Garamond" w:hAnsi="Garamond" w:cs="Times New Roman"/>
          <w:b/>
          <w:sz w:val="21"/>
          <w:szCs w:val="21"/>
        </w:rPr>
        <w:t>% inflation</w:t>
      </w:r>
      <w:r w:rsidRPr="004E7A10">
        <w:rPr>
          <w:rFonts w:ascii="Garamond" w:hAnsi="Garamond" w:cs="Times New Roman"/>
          <w:sz w:val="21"/>
          <w:szCs w:val="21"/>
        </w:rPr>
        <w:t xml:space="preserve"> of the same reference period last year. </w:t>
      </w:r>
      <w:r w:rsidR="00CC6B1E" w:rsidRPr="004E7A10">
        <w:rPr>
          <w:rFonts w:ascii="Garamond" w:hAnsi="Garamond" w:cs="Times New Roman"/>
          <w:sz w:val="21"/>
          <w:szCs w:val="21"/>
        </w:rPr>
        <w:t xml:space="preserve">Subdued gradually, the 12-month inflation rate reached </w:t>
      </w:r>
      <w:r w:rsidR="00CC6B1E" w:rsidRPr="004E7A10">
        <w:rPr>
          <w:rFonts w:ascii="Garamond" w:hAnsi="Garamond" w:cs="Times New Roman"/>
          <w:b/>
          <w:sz w:val="21"/>
          <w:szCs w:val="21"/>
        </w:rPr>
        <w:t>1.5%</w:t>
      </w:r>
      <w:r w:rsidR="00CC6B1E" w:rsidRPr="004E7A10">
        <w:rPr>
          <w:rFonts w:ascii="Garamond" w:hAnsi="Garamond" w:cs="Times New Roman"/>
          <w:sz w:val="21"/>
          <w:szCs w:val="21"/>
        </w:rPr>
        <w:t xml:space="preserve"> i</w:t>
      </w:r>
      <w:r w:rsidRPr="004E7A10">
        <w:rPr>
          <w:rFonts w:ascii="Garamond" w:hAnsi="Garamond" w:cs="Times New Roman"/>
          <w:sz w:val="21"/>
          <w:szCs w:val="21"/>
        </w:rPr>
        <w:t>n late September 2014</w:t>
      </w:r>
      <w:r w:rsidR="00CC6B1E" w:rsidRPr="004E7A10">
        <w:rPr>
          <w:rFonts w:ascii="Garamond" w:hAnsi="Garamond" w:cs="Times New Roman"/>
          <w:sz w:val="21"/>
          <w:szCs w:val="21"/>
        </w:rPr>
        <w:t>,</w:t>
      </w:r>
      <w:r w:rsidRPr="004E7A10">
        <w:rPr>
          <w:rFonts w:ascii="Garamond" w:hAnsi="Garamond" w:cs="Times New Roman"/>
          <w:sz w:val="21"/>
          <w:szCs w:val="21"/>
        </w:rPr>
        <w:t xml:space="preserve"> stepping below the lower bound of the </w:t>
      </w:r>
      <w:r w:rsidR="00AF38CF" w:rsidRPr="004E7A10">
        <w:rPr>
          <w:rFonts w:ascii="Garamond" w:hAnsi="Garamond" w:cs="Times New Roman"/>
          <w:sz w:val="21"/>
          <w:szCs w:val="21"/>
        </w:rPr>
        <w:t>confidence band</w:t>
      </w:r>
      <w:r w:rsidRPr="004E7A10">
        <w:rPr>
          <w:rFonts w:ascii="Garamond" w:hAnsi="Garamond" w:cs="Times New Roman"/>
          <w:sz w:val="21"/>
          <w:szCs w:val="21"/>
        </w:rPr>
        <w:t xml:space="preserve">. </w:t>
      </w:r>
      <w:r w:rsidR="00FC17E1">
        <w:rPr>
          <w:rFonts w:ascii="Garamond" w:hAnsi="Garamond" w:cs="Times New Roman"/>
          <w:sz w:val="21"/>
          <w:szCs w:val="21"/>
        </w:rPr>
        <w:t>T</w:t>
      </w:r>
      <w:r w:rsidR="00CC6B1E" w:rsidRPr="004E7A10">
        <w:rPr>
          <w:rFonts w:ascii="Garamond" w:hAnsi="Garamond" w:cs="Times New Roman"/>
          <w:sz w:val="21"/>
          <w:szCs w:val="21"/>
        </w:rPr>
        <w:t xml:space="preserve">he </w:t>
      </w:r>
      <w:r w:rsidR="00CC6B1E" w:rsidRPr="004E7A10">
        <w:rPr>
          <w:rFonts w:ascii="Garamond" w:hAnsi="Garamond" w:cs="Times New Roman"/>
          <w:b/>
          <w:sz w:val="21"/>
          <w:szCs w:val="21"/>
        </w:rPr>
        <w:t xml:space="preserve">12-month inflation </w:t>
      </w:r>
      <w:r w:rsidR="007817A8">
        <w:rPr>
          <w:rFonts w:ascii="Garamond" w:hAnsi="Garamond" w:cs="Times New Roman"/>
          <w:b/>
          <w:sz w:val="21"/>
          <w:szCs w:val="21"/>
        </w:rPr>
        <w:t xml:space="preserve">further </w:t>
      </w:r>
      <w:r w:rsidR="00CC6B1E" w:rsidRPr="007817A8">
        <w:rPr>
          <w:rFonts w:ascii="Garamond" w:hAnsi="Garamond" w:cs="Times New Roman"/>
          <w:b/>
          <w:sz w:val="21"/>
          <w:szCs w:val="21"/>
        </w:rPr>
        <w:t xml:space="preserve">declined </w:t>
      </w:r>
      <w:r w:rsidR="007C05D3" w:rsidRPr="007817A8">
        <w:rPr>
          <w:rFonts w:ascii="Garamond" w:hAnsi="Garamond" w:cs="Times New Roman"/>
          <w:b/>
          <w:sz w:val="21"/>
          <w:szCs w:val="21"/>
        </w:rPr>
        <w:t xml:space="preserve">due to </w:t>
      </w:r>
      <w:r w:rsidR="00CC6B1E" w:rsidRPr="007817A8">
        <w:rPr>
          <w:rFonts w:ascii="Garamond" w:hAnsi="Garamond" w:cs="Times New Roman"/>
          <w:b/>
          <w:sz w:val="21"/>
          <w:szCs w:val="21"/>
        </w:rPr>
        <w:t>sluggish</w:t>
      </w:r>
      <w:r w:rsidR="00CC6B1E" w:rsidRPr="004E7A10">
        <w:rPr>
          <w:rFonts w:ascii="Garamond" w:hAnsi="Garamond" w:cs="Times New Roman"/>
          <w:b/>
          <w:sz w:val="21"/>
          <w:szCs w:val="21"/>
        </w:rPr>
        <w:t xml:space="preserve"> economic growth</w:t>
      </w:r>
      <w:r w:rsidR="007817A8">
        <w:rPr>
          <w:rFonts w:ascii="Garamond" w:hAnsi="Garamond" w:cs="Times New Roman"/>
          <w:b/>
          <w:sz w:val="21"/>
          <w:szCs w:val="21"/>
        </w:rPr>
        <w:t xml:space="preserve"> and a</w:t>
      </w:r>
      <w:r w:rsidR="00CC6B1E" w:rsidRPr="004E7A10">
        <w:rPr>
          <w:rFonts w:ascii="Garamond" w:hAnsi="Garamond" w:cs="Times New Roman"/>
          <w:b/>
          <w:sz w:val="21"/>
          <w:szCs w:val="21"/>
        </w:rPr>
        <w:t xml:space="preserve"> </w:t>
      </w:r>
      <w:r w:rsidR="007817A8" w:rsidRPr="004E7A10">
        <w:rPr>
          <w:rFonts w:ascii="Garamond" w:hAnsi="Garamond" w:cs="Times New Roman"/>
          <w:b/>
          <w:sz w:val="21"/>
          <w:szCs w:val="21"/>
        </w:rPr>
        <w:t>notable decrease in some food prices</w:t>
      </w:r>
      <w:r w:rsidR="007817A8" w:rsidRPr="004E7A10">
        <w:rPr>
          <w:rFonts w:ascii="Garamond" w:hAnsi="Garamond" w:cs="Times New Roman"/>
          <w:sz w:val="21"/>
          <w:szCs w:val="21"/>
        </w:rPr>
        <w:t xml:space="preserve"> </w:t>
      </w:r>
      <w:r w:rsidR="00CC6B1E" w:rsidRPr="004E7A10">
        <w:rPr>
          <w:rFonts w:ascii="Garamond" w:hAnsi="Garamond" w:cs="Times New Roman"/>
          <w:sz w:val="21"/>
          <w:szCs w:val="21"/>
        </w:rPr>
        <w:t>amid a low level of investment and slowing private consumption growth rates.</w:t>
      </w:r>
      <w:r w:rsidR="00374714" w:rsidRPr="004E7A10">
        <w:rPr>
          <w:rFonts w:ascii="Garamond" w:hAnsi="Garamond" w:cs="Times New Roman"/>
          <w:sz w:val="21"/>
          <w:szCs w:val="21"/>
        </w:rPr>
        <w:t xml:space="preserve"> </w:t>
      </w:r>
      <w:r w:rsidR="00423EAE" w:rsidRPr="004E7A10">
        <w:rPr>
          <w:rFonts w:ascii="Garamond" w:hAnsi="Garamond" w:cs="Times New Roman"/>
          <w:sz w:val="21"/>
          <w:szCs w:val="21"/>
        </w:rPr>
        <w:t xml:space="preserve">In the meantime though, the </w:t>
      </w:r>
      <w:r w:rsidR="00423EAE" w:rsidRPr="004E7A10">
        <w:rPr>
          <w:rFonts w:ascii="Garamond" w:hAnsi="Garamond" w:cs="Times New Roman"/>
          <w:b/>
          <w:sz w:val="21"/>
          <w:szCs w:val="21"/>
        </w:rPr>
        <w:t>12-month core inflation rate</w:t>
      </w:r>
      <w:r w:rsidR="00423EAE" w:rsidRPr="004E7A10">
        <w:rPr>
          <w:rFonts w:ascii="Garamond" w:hAnsi="Garamond" w:cs="Times New Roman"/>
          <w:sz w:val="21"/>
          <w:szCs w:val="21"/>
        </w:rPr>
        <w:t xml:space="preserve"> </w:t>
      </w:r>
      <w:r w:rsidR="00374714" w:rsidRPr="004E7A10">
        <w:rPr>
          <w:rFonts w:ascii="Garamond" w:hAnsi="Garamond" w:cs="Times New Roman"/>
          <w:sz w:val="21"/>
          <w:szCs w:val="21"/>
        </w:rPr>
        <w:t xml:space="preserve">had </w:t>
      </w:r>
      <w:r w:rsidR="00423EAE" w:rsidRPr="004E7A10">
        <w:rPr>
          <w:rFonts w:ascii="Garamond" w:hAnsi="Garamond" w:cs="Times New Roman"/>
          <w:sz w:val="21"/>
          <w:szCs w:val="21"/>
        </w:rPr>
        <w:t xml:space="preserve">declined from </w:t>
      </w:r>
      <w:r w:rsidR="00FC17E1" w:rsidRPr="00FC17E1">
        <w:rPr>
          <w:rFonts w:ascii="Garamond" w:hAnsi="Garamond" w:cs="Times New Roman"/>
          <w:b/>
          <w:sz w:val="21"/>
          <w:szCs w:val="21"/>
        </w:rPr>
        <w:t>1</w:t>
      </w:r>
      <w:r w:rsidR="00423EAE" w:rsidRPr="00FC17E1">
        <w:rPr>
          <w:rFonts w:ascii="Garamond" w:hAnsi="Garamond" w:cs="Times New Roman"/>
          <w:b/>
          <w:sz w:val="21"/>
          <w:szCs w:val="21"/>
        </w:rPr>
        <w:t>.</w:t>
      </w:r>
      <w:r w:rsidR="00FC17E1" w:rsidRPr="00FC17E1">
        <w:rPr>
          <w:rFonts w:ascii="Garamond" w:hAnsi="Garamond" w:cs="Times New Roman"/>
          <w:b/>
          <w:sz w:val="21"/>
          <w:szCs w:val="21"/>
        </w:rPr>
        <w:t>8</w:t>
      </w:r>
      <w:r w:rsidR="00423EAE" w:rsidRPr="00FC17E1">
        <w:rPr>
          <w:rFonts w:ascii="Garamond" w:hAnsi="Garamond" w:cs="Times New Roman"/>
          <w:b/>
          <w:sz w:val="21"/>
          <w:szCs w:val="21"/>
        </w:rPr>
        <w:t>%</w:t>
      </w:r>
      <w:r w:rsidR="00423EAE" w:rsidRPr="004E7A10">
        <w:rPr>
          <w:rFonts w:ascii="Garamond" w:hAnsi="Garamond" w:cs="Times New Roman"/>
          <w:sz w:val="21"/>
          <w:szCs w:val="21"/>
        </w:rPr>
        <w:t xml:space="preserve"> </w:t>
      </w:r>
      <w:r w:rsidR="00FC17E1">
        <w:rPr>
          <w:rFonts w:ascii="Garamond" w:hAnsi="Garamond" w:cs="Times New Roman"/>
          <w:sz w:val="21"/>
          <w:szCs w:val="21"/>
        </w:rPr>
        <w:t xml:space="preserve">at the end of the 1st quarter </w:t>
      </w:r>
      <w:r w:rsidR="00423EAE" w:rsidRPr="004E7A10">
        <w:rPr>
          <w:rFonts w:ascii="Garamond" w:hAnsi="Garamond" w:cs="Times New Roman"/>
          <w:sz w:val="21"/>
          <w:szCs w:val="21"/>
        </w:rPr>
        <w:t xml:space="preserve">to </w:t>
      </w:r>
      <w:r w:rsidR="00423EAE" w:rsidRPr="004E7A10">
        <w:rPr>
          <w:rFonts w:ascii="Garamond" w:hAnsi="Garamond" w:cs="Times New Roman"/>
          <w:b/>
          <w:sz w:val="21"/>
          <w:szCs w:val="21"/>
        </w:rPr>
        <w:t>1.0%</w:t>
      </w:r>
      <w:r w:rsidR="00CC6B1E" w:rsidRPr="004E7A10">
        <w:rPr>
          <w:rFonts w:ascii="Garamond" w:hAnsi="Garamond" w:cs="Times New Roman"/>
          <w:sz w:val="21"/>
          <w:szCs w:val="21"/>
        </w:rPr>
        <w:t xml:space="preserve"> </w:t>
      </w:r>
      <w:r w:rsidR="00FC17E1">
        <w:rPr>
          <w:rFonts w:ascii="Garamond" w:hAnsi="Garamond" w:cs="Times New Roman"/>
          <w:sz w:val="21"/>
          <w:szCs w:val="21"/>
        </w:rPr>
        <w:t>at the e</w:t>
      </w:r>
      <w:r w:rsidR="00CC6B1E" w:rsidRPr="004E7A10">
        <w:rPr>
          <w:rFonts w:ascii="Garamond" w:hAnsi="Garamond" w:cs="Times New Roman"/>
          <w:sz w:val="21"/>
          <w:szCs w:val="21"/>
        </w:rPr>
        <w:t>n</w:t>
      </w:r>
      <w:r w:rsidR="00FC17E1">
        <w:rPr>
          <w:rFonts w:ascii="Garamond" w:hAnsi="Garamond" w:cs="Times New Roman"/>
          <w:sz w:val="21"/>
          <w:szCs w:val="21"/>
        </w:rPr>
        <w:t>d of the 3rd</w:t>
      </w:r>
      <w:r w:rsidR="00CC6B1E" w:rsidRPr="004E7A10">
        <w:rPr>
          <w:rFonts w:ascii="Garamond" w:hAnsi="Garamond" w:cs="Times New Roman"/>
          <w:sz w:val="21"/>
          <w:szCs w:val="21"/>
        </w:rPr>
        <w:t xml:space="preserve"> </w:t>
      </w:r>
      <w:r w:rsidR="00FC17E1">
        <w:rPr>
          <w:rFonts w:ascii="Garamond" w:hAnsi="Garamond" w:cs="Times New Roman"/>
          <w:sz w:val="21"/>
          <w:szCs w:val="21"/>
        </w:rPr>
        <w:t>quarter of</w:t>
      </w:r>
      <w:r w:rsidR="00CC6B1E" w:rsidRPr="004E7A10">
        <w:rPr>
          <w:rFonts w:ascii="Garamond" w:hAnsi="Garamond" w:cs="Times New Roman"/>
          <w:sz w:val="21"/>
          <w:szCs w:val="21"/>
        </w:rPr>
        <w:t xml:space="preserve"> </w:t>
      </w:r>
      <w:r w:rsidR="00423EAE" w:rsidRPr="004E7A10">
        <w:rPr>
          <w:rFonts w:ascii="Garamond" w:hAnsi="Garamond" w:cs="Times New Roman"/>
          <w:sz w:val="21"/>
          <w:szCs w:val="21"/>
        </w:rPr>
        <w:t xml:space="preserve">2014.  </w:t>
      </w:r>
    </w:p>
    <w:p w14:paraId="3F117C99" w14:textId="77777777" w:rsidR="005B0238" w:rsidRPr="004E7A10" w:rsidRDefault="00931C44" w:rsidP="00A9653E">
      <w:pPr>
        <w:spacing w:line="360" w:lineRule="auto"/>
        <w:jc w:val="both"/>
        <w:rPr>
          <w:rFonts w:ascii="Garamond" w:hAnsi="Garamond" w:cs="Times New Roman"/>
          <w:sz w:val="21"/>
          <w:szCs w:val="21"/>
        </w:rPr>
      </w:pPr>
      <w:r>
        <w:rPr>
          <w:rFonts w:ascii="Garamond" w:hAnsi="Garamond" w:cs="Times New Roman"/>
          <w:bCs/>
          <w:iCs/>
          <w:sz w:val="21"/>
          <w:szCs w:val="21"/>
        </w:rPr>
        <w:t xml:space="preserve">Given persisting low inflation environment and in anticipation of </w:t>
      </w:r>
      <w:r w:rsidR="005B0238" w:rsidRPr="004E7A10">
        <w:rPr>
          <w:rFonts w:ascii="Garamond" w:hAnsi="Garamond" w:cs="Times New Roman"/>
          <w:bCs/>
          <w:iCs/>
          <w:sz w:val="21"/>
          <w:szCs w:val="21"/>
        </w:rPr>
        <w:t xml:space="preserve">non-inflationary pressures from the external and domestic sectors in the medium run, </w:t>
      </w:r>
      <w:r w:rsidR="005B0238" w:rsidRPr="004E7A10">
        <w:rPr>
          <w:rFonts w:ascii="Garamond" w:hAnsi="Garamond" w:cs="Times New Roman"/>
          <w:sz w:val="21"/>
          <w:szCs w:val="21"/>
        </w:rPr>
        <w:t xml:space="preserve">the Central Bank further loosened the monetary conditions: </w:t>
      </w:r>
      <w:r w:rsidR="005B0238" w:rsidRPr="004E7A10">
        <w:rPr>
          <w:rFonts w:ascii="Garamond" w:hAnsi="Garamond" w:cs="Times New Roman"/>
          <w:b/>
          <w:sz w:val="21"/>
          <w:szCs w:val="21"/>
        </w:rPr>
        <w:t>in the p</w:t>
      </w:r>
      <w:r>
        <w:rPr>
          <w:rFonts w:ascii="Garamond" w:hAnsi="Garamond" w:cs="Times New Roman"/>
          <w:b/>
          <w:sz w:val="21"/>
          <w:szCs w:val="21"/>
        </w:rPr>
        <w:t>eriod April-September 2014</w:t>
      </w:r>
      <w:r w:rsidR="005B0238" w:rsidRPr="004E7A10">
        <w:rPr>
          <w:rFonts w:ascii="Garamond" w:hAnsi="Garamond" w:cs="Times New Roman"/>
          <w:sz w:val="21"/>
          <w:szCs w:val="21"/>
        </w:rPr>
        <w:t xml:space="preserve"> the refinancing rate </w:t>
      </w:r>
      <w:r>
        <w:rPr>
          <w:rFonts w:ascii="Garamond" w:hAnsi="Garamond" w:cs="Times New Roman"/>
          <w:sz w:val="21"/>
          <w:szCs w:val="21"/>
        </w:rPr>
        <w:t>h</w:t>
      </w:r>
      <w:r w:rsidR="005B0238" w:rsidRPr="004E7A10">
        <w:rPr>
          <w:rFonts w:ascii="Garamond" w:hAnsi="Garamond" w:cs="Times New Roman"/>
          <w:sz w:val="21"/>
          <w:szCs w:val="21"/>
        </w:rPr>
        <w:t xml:space="preserve">as </w:t>
      </w:r>
      <w:r>
        <w:rPr>
          <w:rFonts w:ascii="Garamond" w:hAnsi="Garamond" w:cs="Times New Roman"/>
          <w:sz w:val="21"/>
          <w:szCs w:val="21"/>
        </w:rPr>
        <w:t>reduced</w:t>
      </w:r>
      <w:r w:rsidR="005B0238" w:rsidRPr="004E7A10">
        <w:rPr>
          <w:rFonts w:ascii="Garamond" w:hAnsi="Garamond" w:cs="Times New Roman"/>
          <w:sz w:val="21"/>
          <w:szCs w:val="21"/>
        </w:rPr>
        <w:t xml:space="preserve"> a total of </w:t>
      </w:r>
      <w:r>
        <w:rPr>
          <w:rFonts w:ascii="Garamond" w:hAnsi="Garamond" w:cs="Times New Roman"/>
          <w:sz w:val="21"/>
          <w:szCs w:val="21"/>
        </w:rPr>
        <w:t>0</w:t>
      </w:r>
      <w:r w:rsidR="005B0238" w:rsidRPr="004E7A10">
        <w:rPr>
          <w:rFonts w:ascii="Garamond" w:hAnsi="Garamond" w:cs="Times New Roman"/>
          <w:sz w:val="21"/>
          <w:szCs w:val="21"/>
        </w:rPr>
        <w:t>.</w:t>
      </w:r>
      <w:r>
        <w:rPr>
          <w:rFonts w:ascii="Garamond" w:hAnsi="Garamond" w:cs="Times New Roman"/>
          <w:sz w:val="21"/>
          <w:szCs w:val="21"/>
        </w:rPr>
        <w:t>75</w:t>
      </w:r>
      <w:r w:rsidR="005B0238" w:rsidRPr="004E7A10">
        <w:rPr>
          <w:rFonts w:ascii="Garamond" w:hAnsi="Garamond" w:cs="Times New Roman"/>
          <w:sz w:val="21"/>
          <w:szCs w:val="21"/>
        </w:rPr>
        <w:t xml:space="preserve"> pp to </w:t>
      </w:r>
      <w:r w:rsidR="005B0238" w:rsidRPr="004E7A10">
        <w:rPr>
          <w:rFonts w:ascii="Garamond" w:hAnsi="Garamond" w:cs="Times New Roman"/>
          <w:b/>
          <w:sz w:val="21"/>
          <w:szCs w:val="21"/>
        </w:rPr>
        <w:t>6.75%</w:t>
      </w:r>
      <w:r w:rsidR="005B0238" w:rsidRPr="004E7A10">
        <w:rPr>
          <w:rFonts w:ascii="Garamond" w:hAnsi="Garamond" w:cs="Times New Roman"/>
          <w:sz w:val="21"/>
          <w:szCs w:val="21"/>
        </w:rPr>
        <w:t xml:space="preserve"> in late September.</w:t>
      </w:r>
      <w:r w:rsidR="00E66A03" w:rsidRPr="004E7A10">
        <w:rPr>
          <w:rFonts w:ascii="Garamond" w:hAnsi="Garamond" w:cs="Times New Roman"/>
          <w:sz w:val="21"/>
          <w:szCs w:val="21"/>
        </w:rPr>
        <w:t xml:space="preserve"> </w:t>
      </w:r>
    </w:p>
    <w:p w14:paraId="1CE5DB11" w14:textId="77777777" w:rsidR="002320C0" w:rsidRPr="004E7A10" w:rsidRDefault="00931C44" w:rsidP="00A9653E">
      <w:pPr>
        <w:spacing w:line="360" w:lineRule="auto"/>
        <w:jc w:val="both"/>
        <w:rPr>
          <w:rFonts w:ascii="Garamond" w:hAnsi="Garamond" w:cs="Times New Roman"/>
          <w:sz w:val="21"/>
          <w:szCs w:val="21"/>
        </w:rPr>
      </w:pPr>
      <w:r>
        <w:rPr>
          <w:rFonts w:ascii="Garamond" w:hAnsi="Garamond" w:cs="Times New Roman"/>
          <w:b/>
          <w:sz w:val="21"/>
          <w:szCs w:val="21"/>
        </w:rPr>
        <w:t>T</w:t>
      </w:r>
      <w:r w:rsidRPr="004E7A10">
        <w:rPr>
          <w:rFonts w:ascii="Garamond" w:hAnsi="Garamond" w:cs="Times New Roman"/>
          <w:b/>
          <w:sz w:val="21"/>
          <w:szCs w:val="21"/>
        </w:rPr>
        <w:t xml:space="preserve">he inflationary patterns </w:t>
      </w:r>
      <w:r>
        <w:rPr>
          <w:rFonts w:ascii="Garamond" w:hAnsi="Garamond" w:cs="Times New Roman"/>
          <w:b/>
          <w:sz w:val="21"/>
          <w:szCs w:val="21"/>
        </w:rPr>
        <w:t>v</w:t>
      </w:r>
      <w:r w:rsidR="002320C0" w:rsidRPr="004E7A10">
        <w:rPr>
          <w:rFonts w:ascii="Garamond" w:hAnsi="Garamond" w:cs="Times New Roman"/>
          <w:b/>
          <w:sz w:val="21"/>
          <w:szCs w:val="21"/>
        </w:rPr>
        <w:t>aried dramatically in the 4th quarter of 2014</w:t>
      </w:r>
      <w:r w:rsidR="002320C0" w:rsidRPr="004E7A10">
        <w:rPr>
          <w:rFonts w:ascii="Garamond" w:hAnsi="Garamond" w:cs="Times New Roman"/>
          <w:sz w:val="21"/>
          <w:szCs w:val="21"/>
        </w:rPr>
        <w:t xml:space="preserve"> in the light of escalated geopolitical issues globally and, particularly, at the regional level. On the other hand, </w:t>
      </w:r>
      <w:r>
        <w:rPr>
          <w:rFonts w:ascii="Garamond" w:hAnsi="Garamond" w:cs="Times New Roman"/>
          <w:sz w:val="21"/>
          <w:szCs w:val="21"/>
        </w:rPr>
        <w:t xml:space="preserve">many </w:t>
      </w:r>
      <w:r w:rsidRPr="004E7A10">
        <w:rPr>
          <w:rFonts w:ascii="Garamond" w:hAnsi="Garamond" w:cs="Times New Roman"/>
          <w:sz w:val="21"/>
          <w:szCs w:val="21"/>
        </w:rPr>
        <w:t xml:space="preserve">developed and developing countries </w:t>
      </w:r>
      <w:r>
        <w:rPr>
          <w:rFonts w:ascii="Garamond" w:hAnsi="Garamond" w:cs="Times New Roman"/>
          <w:sz w:val="21"/>
          <w:szCs w:val="21"/>
        </w:rPr>
        <w:t xml:space="preserve">saw their </w:t>
      </w:r>
      <w:r w:rsidRPr="004E7A10">
        <w:rPr>
          <w:rFonts w:ascii="Garamond" w:hAnsi="Garamond" w:cs="Times New Roman"/>
          <w:sz w:val="21"/>
          <w:szCs w:val="21"/>
        </w:rPr>
        <w:t>currenc</w:t>
      </w:r>
      <w:r>
        <w:rPr>
          <w:rFonts w:ascii="Garamond" w:hAnsi="Garamond" w:cs="Times New Roman"/>
          <w:sz w:val="21"/>
          <w:szCs w:val="21"/>
        </w:rPr>
        <w:t>ies</w:t>
      </w:r>
      <w:r w:rsidRPr="004E7A10">
        <w:rPr>
          <w:rFonts w:ascii="Garamond" w:hAnsi="Garamond" w:cs="Times New Roman"/>
          <w:sz w:val="21"/>
          <w:szCs w:val="21"/>
        </w:rPr>
        <w:t xml:space="preserve"> depreciati</w:t>
      </w:r>
      <w:r>
        <w:rPr>
          <w:rFonts w:ascii="Garamond" w:hAnsi="Garamond" w:cs="Times New Roman"/>
          <w:sz w:val="21"/>
          <w:szCs w:val="21"/>
        </w:rPr>
        <w:t xml:space="preserve">ng and inflation environment expanding further as </w:t>
      </w:r>
      <w:r w:rsidR="002320C0" w:rsidRPr="004E7A10">
        <w:rPr>
          <w:rFonts w:ascii="Garamond" w:hAnsi="Garamond" w:cs="Times New Roman"/>
          <w:sz w:val="21"/>
          <w:szCs w:val="21"/>
        </w:rPr>
        <w:t xml:space="preserve">the </w:t>
      </w:r>
      <w:r w:rsidR="002320C0" w:rsidRPr="00931C44">
        <w:rPr>
          <w:rFonts w:ascii="Garamond" w:hAnsi="Garamond" w:cs="Times New Roman"/>
          <w:sz w:val="21"/>
          <w:szCs w:val="21"/>
        </w:rPr>
        <w:t xml:space="preserve">U.S. economic growth </w:t>
      </w:r>
      <w:r w:rsidR="00487732">
        <w:rPr>
          <w:rFonts w:ascii="Garamond" w:hAnsi="Garamond" w:cs="Times New Roman"/>
          <w:sz w:val="21"/>
          <w:szCs w:val="21"/>
        </w:rPr>
        <w:t>a</w:t>
      </w:r>
      <w:r w:rsidR="002320C0" w:rsidRPr="00931C44">
        <w:rPr>
          <w:rFonts w:ascii="Garamond" w:hAnsi="Garamond" w:cs="Times New Roman"/>
          <w:sz w:val="21"/>
          <w:szCs w:val="21"/>
        </w:rPr>
        <w:t>ccelerat</w:t>
      </w:r>
      <w:r w:rsidR="00487732">
        <w:rPr>
          <w:rFonts w:ascii="Garamond" w:hAnsi="Garamond" w:cs="Times New Roman"/>
          <w:sz w:val="21"/>
          <w:szCs w:val="21"/>
        </w:rPr>
        <w:t xml:space="preserve">ed and </w:t>
      </w:r>
      <w:r w:rsidR="002320C0" w:rsidRPr="00931C44">
        <w:rPr>
          <w:rFonts w:ascii="Garamond" w:hAnsi="Garamond" w:cs="Times New Roman"/>
          <w:sz w:val="21"/>
          <w:szCs w:val="21"/>
        </w:rPr>
        <w:t>the dollar strengthen</w:t>
      </w:r>
      <w:r w:rsidR="00487732">
        <w:rPr>
          <w:rFonts w:ascii="Garamond" w:hAnsi="Garamond" w:cs="Times New Roman"/>
          <w:sz w:val="21"/>
          <w:szCs w:val="21"/>
        </w:rPr>
        <w:t xml:space="preserve">ed. </w:t>
      </w:r>
      <w:r w:rsidR="00AA6C77" w:rsidRPr="004E7A10">
        <w:rPr>
          <w:rFonts w:ascii="Garamond" w:hAnsi="Garamond" w:cs="Times New Roman"/>
          <w:sz w:val="21"/>
          <w:szCs w:val="21"/>
        </w:rPr>
        <w:t xml:space="preserve">The </w:t>
      </w:r>
      <w:r w:rsidR="002320C0" w:rsidRPr="004E7A10">
        <w:rPr>
          <w:rFonts w:ascii="Garamond" w:hAnsi="Garamond" w:cs="Times New Roman"/>
          <w:sz w:val="21"/>
          <w:szCs w:val="21"/>
        </w:rPr>
        <w:t>effect</w:t>
      </w:r>
      <w:r w:rsidR="00AA6C77" w:rsidRPr="004E7A10">
        <w:rPr>
          <w:rFonts w:ascii="Garamond" w:hAnsi="Garamond" w:cs="Times New Roman"/>
          <w:sz w:val="21"/>
          <w:szCs w:val="21"/>
        </w:rPr>
        <w:t xml:space="preserve"> of these events</w:t>
      </w:r>
      <w:r w:rsidR="002320C0" w:rsidRPr="004E7A10">
        <w:rPr>
          <w:rFonts w:ascii="Garamond" w:hAnsi="Garamond" w:cs="Times New Roman"/>
          <w:sz w:val="21"/>
          <w:szCs w:val="21"/>
        </w:rPr>
        <w:t xml:space="preserve"> was observed in the </w:t>
      </w:r>
      <w:r w:rsidR="00487732">
        <w:rPr>
          <w:rFonts w:ascii="Garamond" w:hAnsi="Garamond" w:cs="Times New Roman"/>
          <w:sz w:val="21"/>
          <w:szCs w:val="21"/>
        </w:rPr>
        <w:t xml:space="preserve">domestic </w:t>
      </w:r>
      <w:r w:rsidR="002320C0" w:rsidRPr="004E7A10">
        <w:rPr>
          <w:rFonts w:ascii="Garamond" w:hAnsi="Garamond" w:cs="Times New Roman"/>
          <w:sz w:val="21"/>
          <w:szCs w:val="21"/>
        </w:rPr>
        <w:t>currency market</w:t>
      </w:r>
      <w:r w:rsidR="00AA6C77" w:rsidRPr="004E7A10">
        <w:rPr>
          <w:rFonts w:ascii="Garamond" w:hAnsi="Garamond" w:cs="Times New Roman"/>
          <w:sz w:val="21"/>
          <w:szCs w:val="21"/>
        </w:rPr>
        <w:t xml:space="preserve"> </w:t>
      </w:r>
      <w:r w:rsidR="00487732">
        <w:rPr>
          <w:rFonts w:ascii="Garamond" w:hAnsi="Garamond" w:cs="Times New Roman"/>
          <w:sz w:val="21"/>
          <w:szCs w:val="21"/>
        </w:rPr>
        <w:t xml:space="preserve">in the first place, </w:t>
      </w:r>
      <w:r w:rsidR="00AA6C77" w:rsidRPr="004E7A10">
        <w:rPr>
          <w:rFonts w:ascii="Garamond" w:hAnsi="Garamond" w:cs="Times New Roman"/>
          <w:sz w:val="21"/>
          <w:szCs w:val="21"/>
        </w:rPr>
        <w:t xml:space="preserve">which reported a steep depreciation of the dram amidst notable reduction of foreign currency transfers from </w:t>
      </w:r>
      <w:r w:rsidR="00DA0716" w:rsidRPr="004E7A10">
        <w:rPr>
          <w:rFonts w:ascii="Garamond" w:hAnsi="Garamond" w:cs="Times New Roman"/>
          <w:sz w:val="21"/>
          <w:szCs w:val="21"/>
        </w:rPr>
        <w:t xml:space="preserve">abroad and Russia, </w:t>
      </w:r>
      <w:r w:rsidR="00487732">
        <w:rPr>
          <w:rFonts w:ascii="Garamond" w:hAnsi="Garamond" w:cs="Times New Roman"/>
          <w:sz w:val="21"/>
          <w:szCs w:val="21"/>
        </w:rPr>
        <w:t>a</w:t>
      </w:r>
      <w:r w:rsidR="002320C0" w:rsidRPr="004E7A10">
        <w:rPr>
          <w:rFonts w:ascii="Garamond" w:hAnsi="Garamond" w:cs="Times New Roman"/>
          <w:sz w:val="21"/>
          <w:szCs w:val="21"/>
        </w:rPr>
        <w:t xml:space="preserve"> main </w:t>
      </w:r>
      <w:r w:rsidR="00DA0716" w:rsidRPr="004E7A10">
        <w:rPr>
          <w:rFonts w:ascii="Garamond" w:hAnsi="Garamond" w:cs="Times New Roman"/>
          <w:sz w:val="21"/>
          <w:szCs w:val="21"/>
        </w:rPr>
        <w:t xml:space="preserve">trade </w:t>
      </w:r>
      <w:r w:rsidR="002320C0" w:rsidRPr="004E7A10">
        <w:rPr>
          <w:rFonts w:ascii="Garamond" w:hAnsi="Garamond" w:cs="Times New Roman"/>
          <w:sz w:val="21"/>
          <w:szCs w:val="21"/>
        </w:rPr>
        <w:t>partner</w:t>
      </w:r>
      <w:r w:rsidR="00DA0716" w:rsidRPr="004E7A10">
        <w:rPr>
          <w:rFonts w:ascii="Garamond" w:hAnsi="Garamond" w:cs="Times New Roman"/>
          <w:sz w:val="21"/>
          <w:szCs w:val="21"/>
        </w:rPr>
        <w:t>. This</w:t>
      </w:r>
      <w:r w:rsidR="002320C0" w:rsidRPr="004E7A10">
        <w:rPr>
          <w:rFonts w:ascii="Garamond" w:hAnsi="Garamond" w:cs="Times New Roman"/>
          <w:sz w:val="21"/>
          <w:szCs w:val="21"/>
        </w:rPr>
        <w:t xml:space="preserve"> </w:t>
      </w:r>
      <w:r w:rsidR="00F47A5B" w:rsidRPr="004E7A10">
        <w:rPr>
          <w:rFonts w:ascii="Garamond" w:hAnsi="Garamond" w:cs="Times New Roman"/>
          <w:sz w:val="21"/>
          <w:szCs w:val="21"/>
        </w:rPr>
        <w:t xml:space="preserve">was </w:t>
      </w:r>
      <w:r w:rsidR="002320C0" w:rsidRPr="004E7A10">
        <w:rPr>
          <w:rFonts w:ascii="Garamond" w:hAnsi="Garamond" w:cs="Times New Roman"/>
          <w:sz w:val="21"/>
          <w:szCs w:val="21"/>
        </w:rPr>
        <w:t>immediately reflected on the commodity market</w:t>
      </w:r>
      <w:r w:rsidR="00487732">
        <w:rPr>
          <w:rFonts w:ascii="Garamond" w:hAnsi="Garamond" w:cs="Times New Roman"/>
          <w:sz w:val="21"/>
          <w:szCs w:val="21"/>
        </w:rPr>
        <w:t>,</w:t>
      </w:r>
      <w:r w:rsidR="002320C0" w:rsidRPr="004E7A10">
        <w:rPr>
          <w:rFonts w:ascii="Garamond" w:hAnsi="Garamond" w:cs="Times New Roman"/>
          <w:sz w:val="21"/>
          <w:szCs w:val="21"/>
        </w:rPr>
        <w:t xml:space="preserve"> expanding </w:t>
      </w:r>
      <w:r w:rsidR="00F47A5B" w:rsidRPr="004E7A10">
        <w:rPr>
          <w:rFonts w:ascii="Garamond" w:hAnsi="Garamond" w:cs="Times New Roman"/>
          <w:sz w:val="21"/>
          <w:szCs w:val="21"/>
        </w:rPr>
        <w:t xml:space="preserve">the </w:t>
      </w:r>
      <w:r w:rsidR="002320C0" w:rsidRPr="004E7A10">
        <w:rPr>
          <w:rFonts w:ascii="Garamond" w:hAnsi="Garamond" w:cs="Times New Roman"/>
          <w:sz w:val="21"/>
          <w:szCs w:val="21"/>
        </w:rPr>
        <w:t xml:space="preserve">inflation environment and creating </w:t>
      </w:r>
      <w:r w:rsidR="002320C0" w:rsidRPr="004E7A10">
        <w:rPr>
          <w:rFonts w:ascii="Garamond" w:hAnsi="Garamond" w:cs="Times New Roman"/>
          <w:sz w:val="21"/>
          <w:szCs w:val="21"/>
        </w:rPr>
        <w:lastRenderedPageBreak/>
        <w:t xml:space="preserve">inflationary expectations. As a result, </w:t>
      </w:r>
      <w:r w:rsidR="002320C0" w:rsidRPr="004E7A10">
        <w:rPr>
          <w:rFonts w:ascii="Garamond" w:hAnsi="Garamond" w:cs="Times New Roman"/>
          <w:b/>
          <w:sz w:val="21"/>
          <w:szCs w:val="21"/>
        </w:rPr>
        <w:t xml:space="preserve">the 12-month inflation </w:t>
      </w:r>
      <w:r w:rsidR="00F47A5B" w:rsidRPr="004E7A10">
        <w:rPr>
          <w:rFonts w:ascii="Garamond" w:hAnsi="Garamond" w:cs="Times New Roman"/>
          <w:b/>
          <w:sz w:val="21"/>
          <w:szCs w:val="21"/>
        </w:rPr>
        <w:t xml:space="preserve">rate, expected to </w:t>
      </w:r>
      <w:r w:rsidR="002320C0" w:rsidRPr="004E7A10">
        <w:rPr>
          <w:rFonts w:ascii="Garamond" w:hAnsi="Garamond" w:cs="Times New Roman"/>
          <w:b/>
          <w:sz w:val="21"/>
          <w:szCs w:val="21"/>
        </w:rPr>
        <w:t xml:space="preserve">amount to 3.2% </w:t>
      </w:r>
      <w:r w:rsidR="00F47A5B" w:rsidRPr="004E7A10">
        <w:rPr>
          <w:rFonts w:ascii="Garamond" w:hAnsi="Garamond" w:cs="Times New Roman"/>
          <w:b/>
          <w:sz w:val="21"/>
          <w:szCs w:val="21"/>
        </w:rPr>
        <w:t xml:space="preserve">late in the year, reached 4.6%, staying </w:t>
      </w:r>
      <w:r w:rsidR="00487732">
        <w:rPr>
          <w:rFonts w:ascii="Garamond" w:hAnsi="Garamond" w:cs="Times New Roman"/>
          <w:b/>
          <w:sz w:val="21"/>
          <w:szCs w:val="21"/>
        </w:rPr>
        <w:t xml:space="preserve">near to </w:t>
      </w:r>
      <w:r w:rsidR="00F47A5B" w:rsidRPr="004E7A10">
        <w:rPr>
          <w:rFonts w:ascii="Garamond" w:hAnsi="Garamond" w:cs="Times New Roman"/>
          <w:b/>
          <w:sz w:val="21"/>
          <w:szCs w:val="21"/>
        </w:rPr>
        <w:t>the confidence band</w:t>
      </w:r>
      <w:r w:rsidR="00F47A5B" w:rsidRPr="004E7A10">
        <w:rPr>
          <w:rFonts w:ascii="Garamond" w:hAnsi="Garamond" w:cs="Times New Roman"/>
          <w:sz w:val="21"/>
          <w:szCs w:val="21"/>
        </w:rPr>
        <w:t>.</w:t>
      </w:r>
    </w:p>
    <w:p w14:paraId="3911DAB7" w14:textId="77777777" w:rsidR="00EA34A0" w:rsidRDefault="00F668FC" w:rsidP="00F668FC">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Central Bank responded to the situation </w:t>
      </w:r>
      <w:r w:rsidR="001D67A4" w:rsidRPr="004E7A10">
        <w:rPr>
          <w:rFonts w:ascii="Garamond" w:hAnsi="Garamond" w:cs="Times New Roman"/>
          <w:sz w:val="21"/>
          <w:szCs w:val="21"/>
        </w:rPr>
        <w:t xml:space="preserve">intensely: </w:t>
      </w:r>
      <w:r w:rsidRPr="004E7A10">
        <w:rPr>
          <w:rFonts w:ascii="Garamond" w:hAnsi="Garamond" w:cs="Times New Roman"/>
          <w:sz w:val="21"/>
          <w:szCs w:val="21"/>
        </w:rPr>
        <w:t xml:space="preserve">in late November the Bank raised the </w:t>
      </w:r>
      <w:r w:rsidRPr="004E7A10">
        <w:rPr>
          <w:rFonts w:ascii="Garamond" w:hAnsi="Garamond" w:cs="Times New Roman"/>
          <w:b/>
          <w:sz w:val="21"/>
          <w:szCs w:val="21"/>
        </w:rPr>
        <w:t>Lombard Repo Facility Rate from 8.25 to 21.0%</w:t>
      </w:r>
      <w:r w:rsidRPr="004E7A10">
        <w:rPr>
          <w:rFonts w:ascii="Garamond" w:hAnsi="Garamond" w:cs="Times New Roman"/>
          <w:sz w:val="21"/>
          <w:szCs w:val="21"/>
        </w:rPr>
        <w:t xml:space="preserve">, followed by a mid-December increase of the </w:t>
      </w:r>
      <w:r w:rsidRPr="004E7A10">
        <w:rPr>
          <w:rFonts w:ascii="Garamond" w:hAnsi="Garamond" w:cs="Times New Roman"/>
          <w:b/>
          <w:sz w:val="21"/>
          <w:szCs w:val="21"/>
        </w:rPr>
        <w:t xml:space="preserve">Reserve Requirement Ratio </w:t>
      </w:r>
      <w:r w:rsidR="00487732">
        <w:rPr>
          <w:rFonts w:ascii="Garamond" w:hAnsi="Garamond" w:cs="Times New Roman"/>
          <w:b/>
          <w:sz w:val="21"/>
          <w:szCs w:val="21"/>
        </w:rPr>
        <w:t xml:space="preserve">for </w:t>
      </w:r>
      <w:r w:rsidRPr="004E7A10">
        <w:rPr>
          <w:rFonts w:ascii="Garamond" w:hAnsi="Garamond" w:cs="Times New Roman"/>
          <w:b/>
          <w:sz w:val="21"/>
          <w:szCs w:val="21"/>
        </w:rPr>
        <w:t>funds attracted in foreign currency from 12.0 to 24.0%</w:t>
      </w:r>
      <w:r w:rsidRPr="004E7A10">
        <w:rPr>
          <w:rFonts w:ascii="Garamond" w:hAnsi="Garamond" w:cs="Times New Roman"/>
          <w:sz w:val="21"/>
          <w:szCs w:val="21"/>
        </w:rPr>
        <w:t xml:space="preserve">. </w:t>
      </w:r>
      <w:r w:rsidR="00283094" w:rsidRPr="004E7A10">
        <w:rPr>
          <w:rFonts w:ascii="Garamond" w:hAnsi="Garamond" w:cs="Times New Roman"/>
          <w:sz w:val="21"/>
          <w:szCs w:val="21"/>
        </w:rPr>
        <w:t>The</w:t>
      </w:r>
      <w:r w:rsidRPr="004E7A10">
        <w:rPr>
          <w:rFonts w:ascii="Garamond" w:hAnsi="Garamond" w:cs="Times New Roman"/>
          <w:sz w:val="21"/>
          <w:szCs w:val="21"/>
        </w:rPr>
        <w:t xml:space="preserve"> short-term dram market rates reacted to the Bank</w:t>
      </w:r>
      <w:r w:rsidR="00437253">
        <w:rPr>
          <w:rFonts w:ascii="Garamond" w:hAnsi="Garamond" w:cs="Times New Roman"/>
          <w:sz w:val="21"/>
          <w:szCs w:val="21"/>
        </w:rPr>
        <w:t>’</w:t>
      </w:r>
      <w:r w:rsidRPr="004E7A10">
        <w:rPr>
          <w:rFonts w:ascii="Garamond" w:hAnsi="Garamond" w:cs="Times New Roman"/>
          <w:sz w:val="21"/>
          <w:szCs w:val="21"/>
        </w:rPr>
        <w:t xml:space="preserve">s tightening of financial conditions in the financial market by rising and staying around the Lombard Repo Facility Rate. </w:t>
      </w:r>
      <w:r w:rsidR="00437253">
        <w:rPr>
          <w:rFonts w:ascii="Garamond" w:hAnsi="Garamond" w:cs="Times New Roman"/>
          <w:sz w:val="21"/>
          <w:szCs w:val="21"/>
        </w:rPr>
        <w:t>This drove</w:t>
      </w:r>
      <w:r w:rsidR="00283094" w:rsidRPr="004E7A10">
        <w:rPr>
          <w:rFonts w:ascii="Garamond" w:hAnsi="Garamond" w:cs="Times New Roman"/>
          <w:sz w:val="21"/>
          <w:szCs w:val="21"/>
        </w:rPr>
        <w:t xml:space="preserve"> </w:t>
      </w:r>
      <w:r w:rsidRPr="004E7A10">
        <w:rPr>
          <w:rFonts w:ascii="Garamond" w:hAnsi="Garamond" w:cs="Times New Roman"/>
          <w:sz w:val="21"/>
          <w:szCs w:val="21"/>
        </w:rPr>
        <w:t xml:space="preserve">the </w:t>
      </w:r>
      <w:r w:rsidRPr="004E7A10">
        <w:rPr>
          <w:rFonts w:ascii="Garamond" w:hAnsi="Garamond" w:cs="Times New Roman"/>
          <w:b/>
          <w:sz w:val="21"/>
          <w:szCs w:val="21"/>
        </w:rPr>
        <w:t>Lombard Repo Facility Rate</w:t>
      </w:r>
      <w:r w:rsidRPr="004E7A10">
        <w:rPr>
          <w:rFonts w:ascii="Garamond" w:hAnsi="Garamond" w:cs="Times New Roman"/>
          <w:sz w:val="21"/>
          <w:szCs w:val="21"/>
        </w:rPr>
        <w:t xml:space="preserve"> </w:t>
      </w:r>
      <w:r w:rsidR="00437253" w:rsidRPr="00437253">
        <w:rPr>
          <w:rFonts w:ascii="Garamond" w:hAnsi="Garamond" w:cs="Times New Roman"/>
          <w:b/>
          <w:sz w:val="21"/>
          <w:szCs w:val="21"/>
        </w:rPr>
        <w:t xml:space="preserve">to take </w:t>
      </w:r>
      <w:r w:rsidRPr="004E7A10">
        <w:rPr>
          <w:rFonts w:ascii="Garamond" w:hAnsi="Garamond" w:cs="Times New Roman"/>
          <w:b/>
          <w:sz w:val="21"/>
          <w:szCs w:val="21"/>
        </w:rPr>
        <w:t>the role of financial market</w:t>
      </w:r>
      <w:r w:rsidR="00437253">
        <w:rPr>
          <w:rFonts w:ascii="Garamond" w:hAnsi="Garamond" w:cs="Times New Roman"/>
          <w:b/>
          <w:sz w:val="21"/>
          <w:szCs w:val="21"/>
        </w:rPr>
        <w:t>’</w:t>
      </w:r>
      <w:r w:rsidRPr="004E7A10">
        <w:rPr>
          <w:rFonts w:ascii="Garamond" w:hAnsi="Garamond" w:cs="Times New Roman"/>
          <w:b/>
          <w:sz w:val="21"/>
          <w:szCs w:val="21"/>
        </w:rPr>
        <w:t xml:space="preserve">s </w:t>
      </w:r>
      <w:r w:rsidR="00C82A84" w:rsidRPr="004E7A10">
        <w:rPr>
          <w:rFonts w:ascii="Garamond" w:hAnsi="Garamond" w:cs="Times New Roman"/>
          <w:b/>
          <w:sz w:val="21"/>
          <w:szCs w:val="21"/>
        </w:rPr>
        <w:t xml:space="preserve">leading interest </w:t>
      </w:r>
      <w:r w:rsidRPr="004E7A10">
        <w:rPr>
          <w:rFonts w:ascii="Garamond" w:hAnsi="Garamond" w:cs="Times New Roman"/>
          <w:b/>
          <w:sz w:val="21"/>
          <w:szCs w:val="21"/>
        </w:rPr>
        <w:t>rate</w:t>
      </w:r>
      <w:r w:rsidRPr="004E7A10">
        <w:rPr>
          <w:rFonts w:ascii="Garamond" w:hAnsi="Garamond" w:cs="Times New Roman"/>
          <w:sz w:val="21"/>
          <w:szCs w:val="21"/>
        </w:rPr>
        <w:t xml:space="preserve">. </w:t>
      </w:r>
      <w:r w:rsidR="001C2E2D" w:rsidRPr="004E7A10">
        <w:rPr>
          <w:rFonts w:ascii="Garamond" w:hAnsi="Garamond" w:cs="Times New Roman"/>
          <w:sz w:val="21"/>
          <w:szCs w:val="21"/>
        </w:rPr>
        <w:t>In the meantime,</w:t>
      </w:r>
      <w:r w:rsidRPr="004E7A10">
        <w:rPr>
          <w:rFonts w:ascii="Garamond" w:hAnsi="Garamond" w:cs="Times New Roman"/>
          <w:sz w:val="21"/>
          <w:szCs w:val="21"/>
        </w:rPr>
        <w:t xml:space="preserve"> to </w:t>
      </w:r>
      <w:r w:rsidR="004B5FB5" w:rsidRPr="004E7A10">
        <w:rPr>
          <w:rFonts w:ascii="Garamond" w:hAnsi="Garamond" w:cs="Times New Roman"/>
          <w:sz w:val="21"/>
          <w:szCs w:val="21"/>
        </w:rPr>
        <w:t>moderate</w:t>
      </w:r>
      <w:r w:rsidR="001C2E2D" w:rsidRPr="004E7A10">
        <w:rPr>
          <w:rFonts w:ascii="Garamond" w:hAnsi="Garamond" w:cs="Times New Roman"/>
          <w:sz w:val="21"/>
          <w:szCs w:val="21"/>
        </w:rPr>
        <w:t xml:space="preserve"> </w:t>
      </w:r>
      <w:r w:rsidRPr="004E7A10">
        <w:rPr>
          <w:rFonts w:ascii="Garamond" w:hAnsi="Garamond" w:cs="Times New Roman"/>
          <w:sz w:val="21"/>
          <w:szCs w:val="21"/>
        </w:rPr>
        <w:t xml:space="preserve">future inflationary pressures and have the inflationary expectations anchored around the target, in late December the Central Bank raised the Refinancing Rate by 1.75 </w:t>
      </w:r>
      <w:r w:rsidR="00106258" w:rsidRPr="004E7A10">
        <w:rPr>
          <w:rFonts w:ascii="Garamond" w:hAnsi="Garamond" w:cs="Times New Roman"/>
          <w:sz w:val="21"/>
          <w:szCs w:val="21"/>
        </w:rPr>
        <w:t>pp</w:t>
      </w:r>
      <w:r w:rsidR="002A1AB0" w:rsidRPr="004E7A10">
        <w:rPr>
          <w:rFonts w:ascii="Garamond" w:hAnsi="Garamond" w:cs="Times New Roman"/>
          <w:sz w:val="21"/>
          <w:szCs w:val="21"/>
        </w:rPr>
        <w:t>.</w:t>
      </w:r>
      <w:r w:rsidRPr="004E7A10">
        <w:rPr>
          <w:rFonts w:ascii="Garamond" w:hAnsi="Garamond" w:cs="Times New Roman"/>
          <w:sz w:val="21"/>
          <w:szCs w:val="21"/>
        </w:rPr>
        <w:t xml:space="preserve"> </w:t>
      </w:r>
    </w:p>
    <w:p w14:paraId="7D007984" w14:textId="77777777" w:rsidR="00EA34A0" w:rsidRDefault="00EA34A0" w:rsidP="00F668FC">
      <w:pPr>
        <w:spacing w:line="360" w:lineRule="auto"/>
        <w:jc w:val="both"/>
        <w:rPr>
          <w:rFonts w:ascii="Garamond" w:hAnsi="Garamond" w:cs="Times New Roman"/>
          <w:sz w:val="21"/>
          <w:szCs w:val="21"/>
        </w:rPr>
      </w:pPr>
      <w:r w:rsidRPr="004E7A10">
        <w:rPr>
          <w:rFonts w:ascii="Garamond" w:hAnsi="Garamond" w:cs="Times New Roman"/>
          <w:sz w:val="21"/>
          <w:szCs w:val="21"/>
        </w:rPr>
        <w:t xml:space="preserve">Following these actions, the currency and product markets were able to see some signs of stabilization, which is why in late December the Central Bank lowered the </w:t>
      </w:r>
      <w:r w:rsidRPr="004E7A10">
        <w:rPr>
          <w:rFonts w:ascii="Garamond" w:hAnsi="Garamond" w:cs="Times New Roman"/>
          <w:b/>
          <w:sz w:val="21"/>
          <w:szCs w:val="21"/>
        </w:rPr>
        <w:t>Reserve Requirement Ratio</w:t>
      </w:r>
      <w:r w:rsidRPr="004E7A10">
        <w:rPr>
          <w:rFonts w:ascii="Garamond" w:hAnsi="Garamond" w:cs="Times New Roman"/>
          <w:sz w:val="21"/>
          <w:szCs w:val="21"/>
        </w:rPr>
        <w:t xml:space="preserve"> </w:t>
      </w:r>
      <w:r w:rsidRPr="00EA34A0">
        <w:rPr>
          <w:rFonts w:ascii="Garamond" w:hAnsi="Garamond" w:cs="Times New Roman"/>
          <w:b/>
          <w:sz w:val="21"/>
          <w:szCs w:val="21"/>
        </w:rPr>
        <w:t>for</w:t>
      </w:r>
      <w:r w:rsidRPr="004E7A10">
        <w:rPr>
          <w:rFonts w:ascii="Garamond" w:hAnsi="Garamond" w:cs="Times New Roman"/>
          <w:b/>
          <w:sz w:val="21"/>
          <w:szCs w:val="21"/>
        </w:rPr>
        <w:t xml:space="preserve"> funds attracted in foreign currency from 24.0 to 20.0% and the Lombard Repo Facility Rate from 21.0 to 20.0%.</w:t>
      </w:r>
      <w:r w:rsidRPr="004E7A10">
        <w:rPr>
          <w:rFonts w:ascii="Garamond" w:hAnsi="Garamond" w:cs="Times New Roman"/>
          <w:sz w:val="21"/>
          <w:szCs w:val="21"/>
        </w:rPr>
        <w:t xml:space="preserve"> </w:t>
      </w:r>
    </w:p>
    <w:p w14:paraId="1642B165" w14:textId="77777777" w:rsidR="003D1554" w:rsidRPr="003D1554" w:rsidRDefault="003D1554" w:rsidP="00F668FC">
      <w:pPr>
        <w:spacing w:line="360" w:lineRule="auto"/>
        <w:jc w:val="both"/>
        <w:rPr>
          <w:rFonts w:ascii="Garamond" w:hAnsi="Garamond" w:cs="Times New Roman"/>
          <w:b/>
          <w:color w:val="0070C0"/>
          <w:sz w:val="18"/>
          <w:szCs w:val="18"/>
        </w:rPr>
      </w:pPr>
      <w:r w:rsidRPr="003D1554">
        <w:rPr>
          <w:rFonts w:ascii="Garamond" w:hAnsi="Garamond" w:cs="Times New Roman"/>
          <w:b/>
          <w:color w:val="0070C0"/>
          <w:sz w:val="18"/>
          <w:szCs w:val="18"/>
        </w:rPr>
        <w:t>The Central Bank loosened the monetary conditions considerably in the 1st quarter of 2015</w:t>
      </w:r>
      <w:r>
        <w:rPr>
          <w:rFonts w:ascii="Garamond" w:hAnsi="Garamond" w:cs="Times New Roman"/>
          <w:b/>
          <w:color w:val="0070C0"/>
          <w:sz w:val="18"/>
          <w:szCs w:val="18"/>
        </w:rPr>
        <w:t>; starting early the year, it gradually reduced t</w:t>
      </w:r>
      <w:r w:rsidRPr="003D1554">
        <w:rPr>
          <w:rFonts w:ascii="Garamond" w:hAnsi="Garamond" w:cs="Times New Roman"/>
          <w:b/>
          <w:color w:val="0070C0"/>
          <w:sz w:val="18"/>
          <w:szCs w:val="18"/>
        </w:rPr>
        <w:t>he Lombard Repo Facility Rate from 20% to 12%...</w:t>
      </w:r>
    </w:p>
    <w:p w14:paraId="179C2DA9" w14:textId="77777777" w:rsidR="00500F60" w:rsidRDefault="00AA48D5" w:rsidP="00F668FC">
      <w:pPr>
        <w:spacing w:line="360" w:lineRule="auto"/>
        <w:jc w:val="both"/>
        <w:rPr>
          <w:rFonts w:ascii="Garamond" w:hAnsi="Garamond" w:cs="Times New Roman"/>
          <w:sz w:val="21"/>
          <w:szCs w:val="21"/>
        </w:rPr>
      </w:pPr>
      <w:r>
        <w:rPr>
          <w:rFonts w:ascii="Garamond" w:hAnsi="Garamond" w:cs="Times New Roman"/>
          <w:sz w:val="21"/>
          <w:szCs w:val="21"/>
        </w:rPr>
        <w:t>A strong response by the Central Bank later in 2014 secured anchor</w:t>
      </w:r>
      <w:r w:rsidR="00D16D6B">
        <w:rPr>
          <w:rFonts w:ascii="Garamond" w:hAnsi="Garamond" w:cs="Times New Roman"/>
          <w:sz w:val="21"/>
          <w:szCs w:val="21"/>
        </w:rPr>
        <w:t xml:space="preserve">ing of </w:t>
      </w:r>
      <w:r>
        <w:rPr>
          <w:rFonts w:ascii="Garamond" w:hAnsi="Garamond" w:cs="Times New Roman"/>
          <w:sz w:val="21"/>
          <w:szCs w:val="21"/>
        </w:rPr>
        <w:t xml:space="preserve">inflation expectations </w:t>
      </w:r>
      <w:r w:rsidRPr="00AA48D5">
        <w:rPr>
          <w:rFonts w:ascii="Garamond" w:hAnsi="Garamond" w:cs="Times New Roman"/>
          <w:b/>
          <w:sz w:val="21"/>
          <w:szCs w:val="21"/>
        </w:rPr>
        <w:t>in the 1st quarter of 2015</w:t>
      </w:r>
      <w:r>
        <w:rPr>
          <w:rFonts w:ascii="Garamond" w:hAnsi="Garamond" w:cs="Times New Roman"/>
          <w:sz w:val="21"/>
          <w:szCs w:val="21"/>
        </w:rPr>
        <w:t xml:space="preserve">, </w:t>
      </w:r>
      <w:r w:rsidR="00D16D6B">
        <w:rPr>
          <w:rFonts w:ascii="Garamond" w:hAnsi="Garamond" w:cs="Times New Roman"/>
          <w:sz w:val="21"/>
          <w:szCs w:val="21"/>
        </w:rPr>
        <w:t xml:space="preserve">which led to an easing of the tension in the domestic </w:t>
      </w:r>
      <w:r w:rsidR="00D16D6B" w:rsidRPr="00D16D6B">
        <w:rPr>
          <w:rFonts w:ascii="Garamond" w:hAnsi="Garamond" w:cs="Times New Roman"/>
          <w:sz w:val="21"/>
          <w:szCs w:val="21"/>
        </w:rPr>
        <w:t>financial and commodity markets</w:t>
      </w:r>
      <w:r w:rsidR="00D16D6B">
        <w:rPr>
          <w:rFonts w:ascii="Garamond" w:hAnsi="Garamond" w:cs="Times New Roman"/>
          <w:sz w:val="21"/>
          <w:szCs w:val="21"/>
        </w:rPr>
        <w:t>.</w:t>
      </w:r>
      <w:r>
        <w:rPr>
          <w:rFonts w:ascii="Garamond" w:hAnsi="Garamond" w:cs="Times New Roman"/>
          <w:sz w:val="21"/>
          <w:szCs w:val="21"/>
        </w:rPr>
        <w:t xml:space="preserve"> </w:t>
      </w:r>
      <w:r w:rsidRPr="002E46DA">
        <w:rPr>
          <w:rFonts w:ascii="Garamond" w:hAnsi="Garamond" w:cs="Times New Roman"/>
          <w:sz w:val="21"/>
          <w:szCs w:val="21"/>
        </w:rPr>
        <w:t>In view of</w:t>
      </w:r>
      <w:r>
        <w:rPr>
          <w:rFonts w:ascii="Garamond" w:hAnsi="Garamond" w:cs="Times New Roman"/>
          <w:sz w:val="21"/>
          <w:szCs w:val="21"/>
        </w:rPr>
        <w:t xml:space="preserve"> </w:t>
      </w:r>
      <w:r w:rsidR="00476C94">
        <w:rPr>
          <w:rFonts w:ascii="Garamond" w:hAnsi="Garamond" w:cs="Times New Roman"/>
          <w:sz w:val="21"/>
          <w:szCs w:val="21"/>
        </w:rPr>
        <w:t>this development</w:t>
      </w:r>
      <w:r>
        <w:rPr>
          <w:rFonts w:ascii="Garamond" w:hAnsi="Garamond" w:cs="Times New Roman"/>
          <w:sz w:val="21"/>
          <w:szCs w:val="21"/>
        </w:rPr>
        <w:t xml:space="preserve">, </w:t>
      </w:r>
      <w:r w:rsidRPr="004E7A10">
        <w:rPr>
          <w:rFonts w:ascii="Garamond" w:hAnsi="Garamond" w:cs="Times New Roman"/>
          <w:sz w:val="21"/>
          <w:szCs w:val="21"/>
        </w:rPr>
        <w:t xml:space="preserve">the </w:t>
      </w:r>
      <w:r w:rsidRPr="00476C94">
        <w:rPr>
          <w:rFonts w:ascii="Garamond" w:hAnsi="Garamond" w:cs="Times New Roman"/>
          <w:b/>
          <w:sz w:val="21"/>
          <w:szCs w:val="21"/>
        </w:rPr>
        <w:t xml:space="preserve">Central Bank </w:t>
      </w:r>
      <w:r w:rsidR="00476C94" w:rsidRPr="00476C94">
        <w:rPr>
          <w:rFonts w:ascii="Garamond" w:hAnsi="Garamond" w:cs="Times New Roman"/>
          <w:b/>
          <w:sz w:val="21"/>
          <w:szCs w:val="21"/>
        </w:rPr>
        <w:t xml:space="preserve">loosened the monetary conditions </w:t>
      </w:r>
      <w:r w:rsidR="003D1554">
        <w:rPr>
          <w:rFonts w:ascii="Garamond" w:hAnsi="Garamond" w:cs="Times New Roman"/>
          <w:b/>
          <w:sz w:val="21"/>
          <w:szCs w:val="21"/>
        </w:rPr>
        <w:t xml:space="preserve">considerably </w:t>
      </w:r>
      <w:r w:rsidR="00476C94" w:rsidRPr="00476C94">
        <w:rPr>
          <w:rFonts w:ascii="Garamond" w:hAnsi="Garamond" w:cs="Times New Roman"/>
          <w:b/>
          <w:sz w:val="21"/>
          <w:szCs w:val="21"/>
        </w:rPr>
        <w:t>in the 1st quarter of 2015</w:t>
      </w:r>
      <w:r w:rsidR="00476C94">
        <w:rPr>
          <w:rFonts w:ascii="Garamond" w:hAnsi="Garamond" w:cs="Times New Roman"/>
          <w:sz w:val="21"/>
          <w:szCs w:val="21"/>
        </w:rPr>
        <w:t xml:space="preserve"> </w:t>
      </w:r>
      <w:r w:rsidR="00476C94" w:rsidRPr="009E64C5">
        <w:rPr>
          <w:rFonts w:ascii="Garamond" w:hAnsi="Garamond" w:cs="Times New Roman"/>
          <w:b/>
          <w:sz w:val="21"/>
          <w:szCs w:val="21"/>
        </w:rPr>
        <w:t xml:space="preserve">by </w:t>
      </w:r>
      <w:r w:rsidRPr="009E64C5">
        <w:rPr>
          <w:rFonts w:ascii="Garamond" w:hAnsi="Garamond" w:cs="Times New Roman"/>
          <w:b/>
          <w:sz w:val="21"/>
          <w:szCs w:val="21"/>
        </w:rPr>
        <w:t xml:space="preserve">gradually </w:t>
      </w:r>
      <w:r w:rsidR="00476C94" w:rsidRPr="009E64C5">
        <w:rPr>
          <w:rFonts w:ascii="Garamond" w:hAnsi="Garamond" w:cs="Times New Roman"/>
          <w:b/>
          <w:sz w:val="21"/>
          <w:szCs w:val="21"/>
        </w:rPr>
        <w:t>cutting</w:t>
      </w:r>
      <w:r w:rsidRPr="009E64C5">
        <w:rPr>
          <w:rFonts w:ascii="Garamond" w:hAnsi="Garamond" w:cs="Times New Roman"/>
          <w:b/>
          <w:sz w:val="21"/>
          <w:szCs w:val="21"/>
        </w:rPr>
        <w:t xml:space="preserve"> the Lombard Repo Facility Rate from 20% to 12%</w:t>
      </w:r>
      <w:r w:rsidR="00476C94">
        <w:rPr>
          <w:rFonts w:ascii="Garamond" w:hAnsi="Garamond" w:cs="Times New Roman"/>
          <w:sz w:val="21"/>
          <w:szCs w:val="21"/>
        </w:rPr>
        <w:t>.</w:t>
      </w:r>
    </w:p>
    <w:p w14:paraId="5D906830" w14:textId="77777777" w:rsidR="00F668FC" w:rsidRDefault="00F668FC" w:rsidP="00F668FC">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w:t>
      </w:r>
      <w:r w:rsidR="00EA34A0">
        <w:rPr>
          <w:rFonts w:ascii="Garamond" w:hAnsi="Garamond" w:cs="Times New Roman"/>
          <w:sz w:val="21"/>
          <w:szCs w:val="21"/>
        </w:rPr>
        <w:t>the 1st</w:t>
      </w:r>
      <w:r w:rsidR="002A1AB0" w:rsidRPr="004E7A10">
        <w:rPr>
          <w:rFonts w:ascii="Garamond" w:hAnsi="Garamond" w:cs="Times New Roman"/>
          <w:sz w:val="21"/>
          <w:szCs w:val="21"/>
        </w:rPr>
        <w:t xml:space="preserve"> </w:t>
      </w:r>
      <w:r w:rsidR="00EA34A0">
        <w:rPr>
          <w:rFonts w:ascii="Garamond" w:hAnsi="Garamond" w:cs="Times New Roman"/>
          <w:sz w:val="21"/>
          <w:szCs w:val="21"/>
        </w:rPr>
        <w:t xml:space="preserve">quarter of </w:t>
      </w:r>
      <w:r w:rsidRPr="004E7A10">
        <w:rPr>
          <w:rFonts w:ascii="Garamond" w:hAnsi="Garamond" w:cs="Times New Roman"/>
          <w:sz w:val="21"/>
          <w:szCs w:val="21"/>
        </w:rPr>
        <w:t xml:space="preserve">2015, the </w:t>
      </w:r>
      <w:r w:rsidR="00EA34A0">
        <w:rPr>
          <w:rFonts w:ascii="Garamond" w:hAnsi="Garamond" w:cs="Times New Roman"/>
          <w:sz w:val="21"/>
          <w:szCs w:val="21"/>
        </w:rPr>
        <w:t xml:space="preserve">Central Bank lifted the </w:t>
      </w:r>
      <w:r w:rsidRPr="004E7A10">
        <w:rPr>
          <w:rFonts w:ascii="Garamond" w:hAnsi="Garamond" w:cs="Times New Roman"/>
          <w:sz w:val="21"/>
          <w:szCs w:val="21"/>
        </w:rPr>
        <w:t>Refinancing Rate to 10.5%</w:t>
      </w:r>
      <w:r w:rsidR="00EA34A0">
        <w:rPr>
          <w:rFonts w:ascii="Garamond" w:hAnsi="Garamond" w:cs="Times New Roman"/>
          <w:sz w:val="21"/>
          <w:szCs w:val="21"/>
        </w:rPr>
        <w:t xml:space="preserve"> with the aim to retain the monetary position of the Republic of Armenia </w:t>
      </w:r>
      <w:r w:rsidR="00895414" w:rsidRPr="004E7A10">
        <w:rPr>
          <w:rFonts w:ascii="Garamond" w:hAnsi="Garamond" w:cs="Times New Roman"/>
          <w:sz w:val="21"/>
          <w:szCs w:val="21"/>
        </w:rPr>
        <w:t xml:space="preserve">over a longer </w:t>
      </w:r>
      <w:r w:rsidR="00895414">
        <w:rPr>
          <w:rFonts w:ascii="Garamond" w:hAnsi="Garamond" w:cs="Times New Roman"/>
          <w:sz w:val="21"/>
          <w:szCs w:val="21"/>
        </w:rPr>
        <w:t xml:space="preserve">run, reflecting </w:t>
      </w:r>
      <w:r w:rsidR="004B5FB5" w:rsidRPr="004E7A10">
        <w:rPr>
          <w:rFonts w:ascii="Garamond" w:hAnsi="Garamond" w:cs="Times New Roman"/>
          <w:sz w:val="21"/>
          <w:szCs w:val="21"/>
        </w:rPr>
        <w:t xml:space="preserve">upward </w:t>
      </w:r>
      <w:r w:rsidRPr="004E7A10">
        <w:rPr>
          <w:rFonts w:ascii="Garamond" w:hAnsi="Garamond" w:cs="Times New Roman"/>
          <w:sz w:val="21"/>
          <w:szCs w:val="21"/>
        </w:rPr>
        <w:t>trends of</w:t>
      </w:r>
      <w:r w:rsidR="008564A1">
        <w:rPr>
          <w:rFonts w:ascii="Garamond" w:hAnsi="Garamond" w:cs="Times New Roman"/>
          <w:sz w:val="21"/>
          <w:szCs w:val="21"/>
        </w:rPr>
        <w:t xml:space="preserve"> </w:t>
      </w:r>
      <w:r w:rsidRPr="004E7A10">
        <w:rPr>
          <w:rFonts w:ascii="Garamond" w:hAnsi="Garamond" w:cs="Times New Roman"/>
          <w:sz w:val="21"/>
          <w:szCs w:val="21"/>
        </w:rPr>
        <w:t>investment risk and interest rate</w:t>
      </w:r>
      <w:r w:rsidR="004B5FB5" w:rsidRPr="004E7A10">
        <w:rPr>
          <w:rFonts w:ascii="Garamond" w:hAnsi="Garamond" w:cs="Times New Roman"/>
          <w:sz w:val="21"/>
          <w:szCs w:val="21"/>
        </w:rPr>
        <w:t>s</w:t>
      </w:r>
      <w:r w:rsidRPr="004E7A10">
        <w:rPr>
          <w:rFonts w:ascii="Garamond" w:hAnsi="Garamond" w:cs="Times New Roman"/>
          <w:sz w:val="21"/>
          <w:szCs w:val="21"/>
        </w:rPr>
        <w:t xml:space="preserve"> in developing countries</w:t>
      </w:r>
      <w:r w:rsidR="001C2E2D" w:rsidRPr="004E7A10">
        <w:rPr>
          <w:rFonts w:ascii="Garamond" w:hAnsi="Garamond" w:cs="Times New Roman"/>
          <w:sz w:val="21"/>
          <w:szCs w:val="21"/>
        </w:rPr>
        <w:t xml:space="preserve">. </w:t>
      </w:r>
    </w:p>
    <w:p w14:paraId="07F9D155" w14:textId="77777777" w:rsidR="008564A1" w:rsidRPr="00943F1B" w:rsidRDefault="00943F1B" w:rsidP="00F668FC">
      <w:pPr>
        <w:spacing w:line="360" w:lineRule="auto"/>
        <w:jc w:val="both"/>
        <w:rPr>
          <w:rFonts w:ascii="Garamond" w:hAnsi="Garamond" w:cs="Times New Roman"/>
          <w:b/>
          <w:color w:val="0070C0"/>
          <w:sz w:val="18"/>
          <w:szCs w:val="18"/>
        </w:rPr>
      </w:pPr>
      <w:r w:rsidRPr="00943F1B">
        <w:rPr>
          <w:rFonts w:ascii="Garamond" w:hAnsi="Garamond" w:cs="Times New Roman"/>
          <w:b/>
          <w:color w:val="0070C0"/>
          <w:sz w:val="18"/>
          <w:szCs w:val="18"/>
        </w:rPr>
        <w:t>In the 1st</w:t>
      </w:r>
      <w:r w:rsidR="008564A1" w:rsidRPr="00943F1B">
        <w:rPr>
          <w:rFonts w:ascii="Garamond" w:hAnsi="Garamond" w:cs="Times New Roman"/>
          <w:b/>
          <w:color w:val="0070C0"/>
          <w:sz w:val="18"/>
          <w:szCs w:val="18"/>
        </w:rPr>
        <w:t xml:space="preserve"> </w:t>
      </w:r>
      <w:r w:rsidRPr="00943F1B">
        <w:rPr>
          <w:rFonts w:ascii="Garamond" w:hAnsi="Garamond" w:cs="Times New Roman"/>
          <w:b/>
          <w:color w:val="0070C0"/>
          <w:sz w:val="18"/>
          <w:szCs w:val="18"/>
        </w:rPr>
        <w:t xml:space="preserve">quarter of 2015, the </w:t>
      </w:r>
      <w:r w:rsidR="008564A1" w:rsidRPr="00943F1B">
        <w:rPr>
          <w:rFonts w:ascii="Garamond" w:hAnsi="Garamond" w:cs="Times New Roman"/>
          <w:b/>
          <w:color w:val="0070C0"/>
          <w:sz w:val="18"/>
          <w:szCs w:val="18"/>
        </w:rPr>
        <w:t>Central Bank actions helped the Lombard Repo Facility Rate to again uphold an accepted 1.5 percentage point spread from the Refinancing Rate</w:t>
      </w:r>
      <w:r>
        <w:rPr>
          <w:rFonts w:ascii="Garamond" w:hAnsi="Garamond" w:cs="Times New Roman"/>
          <w:b/>
          <w:color w:val="0070C0"/>
          <w:sz w:val="18"/>
          <w:szCs w:val="18"/>
        </w:rPr>
        <w:t xml:space="preserve"> thus</w:t>
      </w:r>
      <w:r w:rsidR="008564A1" w:rsidRPr="00943F1B">
        <w:rPr>
          <w:rFonts w:ascii="Garamond" w:hAnsi="Garamond" w:cs="Times New Roman"/>
          <w:b/>
          <w:color w:val="0070C0"/>
          <w:sz w:val="18"/>
          <w:szCs w:val="18"/>
        </w:rPr>
        <w:t xml:space="preserve"> restoring the </w:t>
      </w:r>
      <w:r w:rsidRPr="00943F1B">
        <w:rPr>
          <w:rFonts w:ascii="Garamond" w:hAnsi="Garamond" w:cs="Times New Roman"/>
          <w:b/>
          <w:color w:val="0070C0"/>
          <w:sz w:val="18"/>
          <w:szCs w:val="18"/>
        </w:rPr>
        <w:t xml:space="preserve">latter’s </w:t>
      </w:r>
      <w:r w:rsidR="008564A1" w:rsidRPr="00943F1B">
        <w:rPr>
          <w:rFonts w:ascii="Garamond" w:hAnsi="Garamond" w:cs="Times New Roman"/>
          <w:b/>
          <w:color w:val="0070C0"/>
          <w:sz w:val="18"/>
          <w:szCs w:val="18"/>
        </w:rPr>
        <w:t xml:space="preserve">leading role </w:t>
      </w:r>
      <w:r w:rsidRPr="00943F1B">
        <w:rPr>
          <w:rFonts w:ascii="Garamond" w:hAnsi="Garamond" w:cs="Times New Roman"/>
          <w:b/>
          <w:color w:val="0070C0"/>
          <w:sz w:val="18"/>
          <w:szCs w:val="18"/>
        </w:rPr>
        <w:t>in the financial market…</w:t>
      </w:r>
    </w:p>
    <w:p w14:paraId="15E05FD5" w14:textId="77777777" w:rsidR="00895414" w:rsidRDefault="00895414" w:rsidP="00F668FC">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These actions helped </w:t>
      </w:r>
      <w:r w:rsidRPr="004E7A10">
        <w:rPr>
          <w:rFonts w:ascii="Garamond" w:hAnsi="Garamond" w:cs="Times New Roman"/>
          <w:color w:val="000000"/>
          <w:sz w:val="21"/>
          <w:szCs w:val="21"/>
        </w:rPr>
        <w:t xml:space="preserve">the Lombard Repo Facility Rate to again uphold an accepted 1.5 percentage point spread from the Refinancing Rate and pushed </w:t>
      </w:r>
      <w:r w:rsidRPr="004E7A10">
        <w:rPr>
          <w:rFonts w:ascii="Garamond" w:hAnsi="Garamond" w:cs="Times New Roman"/>
          <w:sz w:val="21"/>
          <w:szCs w:val="21"/>
        </w:rPr>
        <w:t xml:space="preserve">short-term market rates down. </w:t>
      </w:r>
    </w:p>
    <w:p w14:paraId="5BC91976" w14:textId="77777777" w:rsidR="00895414" w:rsidRDefault="00893787" w:rsidP="00F668FC">
      <w:pPr>
        <w:spacing w:line="360" w:lineRule="auto"/>
        <w:jc w:val="both"/>
        <w:rPr>
          <w:rFonts w:ascii="Garamond" w:hAnsi="Garamond" w:cs="Times New Roman"/>
          <w:color w:val="000000"/>
          <w:sz w:val="21"/>
          <w:szCs w:val="21"/>
        </w:rPr>
      </w:pPr>
      <w:r>
        <w:rPr>
          <w:rFonts w:ascii="Garamond" w:hAnsi="Garamond" w:cs="Times New Roman"/>
          <w:b/>
          <w:color w:val="000000"/>
          <w:sz w:val="21"/>
          <w:szCs w:val="21"/>
        </w:rPr>
        <w:t xml:space="preserve">A </w:t>
      </w:r>
      <w:r w:rsidRPr="004E7A10">
        <w:rPr>
          <w:rFonts w:ascii="Garamond" w:hAnsi="Garamond" w:cs="Times New Roman"/>
          <w:b/>
          <w:color w:val="000000"/>
          <w:sz w:val="21"/>
          <w:szCs w:val="21"/>
        </w:rPr>
        <w:t>zero or weak mechanism of reserve requirement</w:t>
      </w:r>
      <w:r>
        <w:rPr>
          <w:rFonts w:ascii="Garamond" w:hAnsi="Garamond" w:cs="Times New Roman"/>
          <w:b/>
          <w:color w:val="000000"/>
          <w:sz w:val="21"/>
          <w:szCs w:val="21"/>
        </w:rPr>
        <w:t>, e</w:t>
      </w:r>
      <w:r w:rsidR="00A27C0D">
        <w:rPr>
          <w:rFonts w:ascii="Garamond" w:hAnsi="Garamond" w:cs="Times New Roman"/>
          <w:b/>
          <w:color w:val="000000"/>
          <w:sz w:val="21"/>
          <w:szCs w:val="21"/>
        </w:rPr>
        <w:t>ffective from t</w:t>
      </w:r>
      <w:r w:rsidR="00895414">
        <w:rPr>
          <w:rFonts w:ascii="Garamond" w:hAnsi="Garamond" w:cs="Times New Roman"/>
          <w:b/>
          <w:color w:val="000000"/>
          <w:sz w:val="21"/>
          <w:szCs w:val="21"/>
        </w:rPr>
        <w:t>he 1st</w:t>
      </w:r>
      <w:r w:rsidR="00895414" w:rsidRPr="004E7A10">
        <w:rPr>
          <w:rFonts w:ascii="Garamond" w:hAnsi="Garamond" w:cs="Times New Roman"/>
          <w:b/>
          <w:color w:val="000000"/>
          <w:sz w:val="21"/>
          <w:szCs w:val="21"/>
        </w:rPr>
        <w:t xml:space="preserve"> </w:t>
      </w:r>
      <w:r w:rsidR="00895414">
        <w:rPr>
          <w:rFonts w:ascii="Garamond" w:hAnsi="Garamond" w:cs="Times New Roman"/>
          <w:b/>
          <w:color w:val="000000"/>
          <w:sz w:val="21"/>
          <w:szCs w:val="21"/>
        </w:rPr>
        <w:t xml:space="preserve">quarter of 2015, </w:t>
      </w:r>
      <w:r w:rsidRPr="00893787">
        <w:rPr>
          <w:rFonts w:ascii="Garamond" w:hAnsi="Garamond" w:cs="Times New Roman"/>
          <w:color w:val="000000"/>
          <w:sz w:val="21"/>
          <w:szCs w:val="21"/>
        </w:rPr>
        <w:t>means</w:t>
      </w:r>
      <w:r>
        <w:rPr>
          <w:rFonts w:ascii="Garamond" w:hAnsi="Garamond" w:cs="Times New Roman"/>
          <w:color w:val="000000"/>
          <w:sz w:val="21"/>
          <w:szCs w:val="21"/>
        </w:rPr>
        <w:t xml:space="preserve"> that the funds borrowed from international financial institutions as well as the 2-year and longer maturity funds borrowed through bonds issued by domestic banks </w:t>
      </w:r>
      <w:r w:rsidR="00BA1180">
        <w:rPr>
          <w:rFonts w:ascii="Garamond" w:hAnsi="Garamond" w:cs="Times New Roman"/>
          <w:color w:val="000000"/>
          <w:sz w:val="21"/>
          <w:szCs w:val="21"/>
        </w:rPr>
        <w:t xml:space="preserve">will be subject to reservation at a zero or reduced rate. </w:t>
      </w:r>
      <w:r w:rsidR="00BA1180" w:rsidRPr="00BA1180">
        <w:rPr>
          <w:rFonts w:ascii="Garamond" w:hAnsi="Garamond" w:cs="Times New Roman"/>
          <w:b/>
          <w:color w:val="000000"/>
          <w:sz w:val="21"/>
          <w:szCs w:val="21"/>
        </w:rPr>
        <w:t>O</w:t>
      </w:r>
      <w:r w:rsidR="00BA1180" w:rsidRPr="004E7A10">
        <w:rPr>
          <w:rFonts w:ascii="Garamond" w:hAnsi="Garamond" w:cs="Times New Roman"/>
          <w:b/>
          <w:color w:val="000000"/>
          <w:sz w:val="21"/>
          <w:szCs w:val="21"/>
        </w:rPr>
        <w:t>ther macro-prudential measures</w:t>
      </w:r>
      <w:r w:rsidR="00BA1180" w:rsidRPr="004E7A10">
        <w:rPr>
          <w:rFonts w:ascii="Garamond" w:hAnsi="Garamond" w:cs="Times New Roman"/>
          <w:color w:val="000000"/>
          <w:sz w:val="21"/>
          <w:szCs w:val="21"/>
        </w:rPr>
        <w:t xml:space="preserve"> </w:t>
      </w:r>
      <w:r w:rsidR="00BA1180">
        <w:rPr>
          <w:rFonts w:ascii="Garamond" w:hAnsi="Garamond" w:cs="Times New Roman"/>
          <w:color w:val="000000"/>
          <w:sz w:val="21"/>
          <w:szCs w:val="21"/>
        </w:rPr>
        <w:t>included mitigating the requirements to resident non-</w:t>
      </w:r>
      <w:r w:rsidR="00BA1180">
        <w:rPr>
          <w:rFonts w:ascii="Garamond" w:hAnsi="Garamond" w:cs="Times New Roman"/>
          <w:color w:val="000000"/>
          <w:sz w:val="21"/>
          <w:szCs w:val="21"/>
        </w:rPr>
        <w:lastRenderedPageBreak/>
        <w:t>financial corporations and reducing risk weight</w:t>
      </w:r>
      <w:r w:rsidR="00450F1F">
        <w:rPr>
          <w:rFonts w:ascii="Garamond" w:hAnsi="Garamond" w:cs="Times New Roman"/>
          <w:color w:val="000000"/>
          <w:sz w:val="21"/>
          <w:szCs w:val="21"/>
        </w:rPr>
        <w:t>s</w:t>
      </w:r>
      <w:r w:rsidR="00BA1180">
        <w:rPr>
          <w:rFonts w:ascii="Garamond" w:hAnsi="Garamond" w:cs="Times New Roman"/>
          <w:color w:val="000000"/>
          <w:sz w:val="21"/>
          <w:szCs w:val="21"/>
        </w:rPr>
        <w:t xml:space="preserve"> ascribed to foreign currency loans to borrowers active in export businesses</w:t>
      </w:r>
      <w:r w:rsidR="00450F1F">
        <w:rPr>
          <w:rFonts w:ascii="Garamond" w:hAnsi="Garamond" w:cs="Times New Roman"/>
          <w:color w:val="000000"/>
          <w:sz w:val="21"/>
          <w:szCs w:val="21"/>
        </w:rPr>
        <w:t>, if they have external credit rating</w:t>
      </w:r>
      <w:r w:rsidR="00BA1180">
        <w:rPr>
          <w:rFonts w:ascii="Garamond" w:hAnsi="Garamond" w:cs="Times New Roman"/>
          <w:color w:val="000000"/>
          <w:sz w:val="21"/>
          <w:szCs w:val="21"/>
        </w:rPr>
        <w:t>.</w:t>
      </w:r>
    </w:p>
    <w:p w14:paraId="4CE2AEB7" w14:textId="77777777" w:rsidR="00450F1F" w:rsidRDefault="00450F1F" w:rsidP="00F668FC">
      <w:pPr>
        <w:spacing w:line="360" w:lineRule="auto"/>
        <w:jc w:val="both"/>
        <w:rPr>
          <w:rFonts w:ascii="Garamond" w:hAnsi="Garamond" w:cs="Times New Roman"/>
          <w:sz w:val="21"/>
          <w:szCs w:val="21"/>
        </w:rPr>
      </w:pPr>
      <w:r>
        <w:rPr>
          <w:rFonts w:ascii="Garamond" w:hAnsi="Garamond" w:cs="Times New Roman"/>
          <w:sz w:val="21"/>
          <w:szCs w:val="21"/>
        </w:rPr>
        <w:t xml:space="preserve">It can be stated that the above </w:t>
      </w:r>
      <w:r w:rsidRPr="00450F1F">
        <w:rPr>
          <w:rFonts w:ascii="Garamond" w:hAnsi="Garamond" w:cs="Times New Roman"/>
          <w:sz w:val="21"/>
          <w:szCs w:val="21"/>
        </w:rPr>
        <w:t xml:space="preserve">measures </w:t>
      </w:r>
      <w:r>
        <w:rPr>
          <w:rFonts w:ascii="Garamond" w:hAnsi="Garamond" w:cs="Times New Roman"/>
          <w:sz w:val="21"/>
          <w:szCs w:val="21"/>
        </w:rPr>
        <w:t>taken on by</w:t>
      </w:r>
      <w:r w:rsidRPr="00450F1F">
        <w:rPr>
          <w:rFonts w:ascii="Garamond" w:hAnsi="Garamond" w:cs="Times New Roman"/>
          <w:sz w:val="21"/>
          <w:szCs w:val="21"/>
        </w:rPr>
        <w:t xml:space="preserve"> the </w:t>
      </w:r>
      <w:r>
        <w:rPr>
          <w:rFonts w:ascii="Garamond" w:hAnsi="Garamond" w:cs="Times New Roman"/>
          <w:sz w:val="21"/>
          <w:szCs w:val="21"/>
        </w:rPr>
        <w:t>C</w:t>
      </w:r>
      <w:r w:rsidRPr="00450F1F">
        <w:rPr>
          <w:rFonts w:ascii="Garamond" w:hAnsi="Garamond" w:cs="Times New Roman"/>
          <w:sz w:val="21"/>
          <w:szCs w:val="21"/>
        </w:rPr>
        <w:t xml:space="preserve">entral </w:t>
      </w:r>
      <w:r>
        <w:rPr>
          <w:rFonts w:ascii="Garamond" w:hAnsi="Garamond" w:cs="Times New Roman"/>
          <w:sz w:val="21"/>
          <w:szCs w:val="21"/>
        </w:rPr>
        <w:t>B</w:t>
      </w:r>
      <w:r w:rsidRPr="00450F1F">
        <w:rPr>
          <w:rFonts w:ascii="Garamond" w:hAnsi="Garamond" w:cs="Times New Roman"/>
          <w:sz w:val="21"/>
          <w:szCs w:val="21"/>
        </w:rPr>
        <w:t xml:space="preserve">ank </w:t>
      </w:r>
      <w:r>
        <w:rPr>
          <w:rFonts w:ascii="Garamond" w:hAnsi="Garamond" w:cs="Times New Roman"/>
          <w:sz w:val="21"/>
          <w:szCs w:val="21"/>
        </w:rPr>
        <w:t xml:space="preserve">were of </w:t>
      </w:r>
      <w:r w:rsidRPr="00450F1F">
        <w:rPr>
          <w:rFonts w:ascii="Garamond" w:hAnsi="Garamond" w:cs="Times New Roman"/>
          <w:sz w:val="21"/>
          <w:szCs w:val="21"/>
        </w:rPr>
        <w:t>expansionary</w:t>
      </w:r>
      <w:r>
        <w:rPr>
          <w:rFonts w:ascii="Garamond" w:hAnsi="Garamond" w:cs="Times New Roman"/>
          <w:sz w:val="21"/>
          <w:szCs w:val="21"/>
        </w:rPr>
        <w:t xml:space="preserve"> nature in general.</w:t>
      </w:r>
    </w:p>
    <w:p w14:paraId="2F557D12" w14:textId="77777777" w:rsidR="003751A7" w:rsidRPr="003751A7" w:rsidRDefault="003751A7" w:rsidP="00F668FC">
      <w:pPr>
        <w:spacing w:line="360" w:lineRule="auto"/>
        <w:jc w:val="both"/>
        <w:rPr>
          <w:rFonts w:ascii="Garamond" w:hAnsi="Garamond" w:cs="Times New Roman"/>
          <w:b/>
          <w:color w:val="0070C0"/>
          <w:sz w:val="18"/>
          <w:szCs w:val="18"/>
        </w:rPr>
      </w:pPr>
      <w:r w:rsidRPr="003751A7">
        <w:rPr>
          <w:rFonts w:ascii="Garamond" w:hAnsi="Garamond" w:cs="Times New Roman"/>
          <w:b/>
          <w:color w:val="0070C0"/>
          <w:sz w:val="18"/>
          <w:szCs w:val="18"/>
        </w:rPr>
        <w:t>Loosened monetary conditions and other macro-prudential measures will facilitate lending, thereby creating favorable conditions for a sound economic activity…</w:t>
      </w:r>
    </w:p>
    <w:p w14:paraId="7DABE62A" w14:textId="77777777" w:rsidR="00450F1F" w:rsidRDefault="00450F1F" w:rsidP="00F668FC">
      <w:pPr>
        <w:spacing w:line="360" w:lineRule="auto"/>
        <w:jc w:val="both"/>
        <w:rPr>
          <w:rFonts w:ascii="Garamond" w:hAnsi="Garamond" w:cs="Times New Roman"/>
          <w:sz w:val="21"/>
          <w:szCs w:val="21"/>
        </w:rPr>
      </w:pPr>
      <w:r>
        <w:rPr>
          <w:rFonts w:ascii="Garamond" w:hAnsi="Garamond" w:cs="Times New Roman"/>
          <w:sz w:val="21"/>
          <w:szCs w:val="21"/>
        </w:rPr>
        <w:t>The c</w:t>
      </w:r>
      <w:r w:rsidRPr="00450F1F">
        <w:rPr>
          <w:rFonts w:ascii="Garamond" w:hAnsi="Garamond" w:cs="Times New Roman"/>
          <w:sz w:val="21"/>
          <w:szCs w:val="21"/>
        </w:rPr>
        <w:t xml:space="preserve">hanges made </w:t>
      </w:r>
      <w:r>
        <w:rPr>
          <w:rFonts w:ascii="Garamond" w:hAnsi="Garamond" w:cs="Times New Roman"/>
          <w:sz w:val="21"/>
          <w:szCs w:val="21"/>
        </w:rPr>
        <w:t xml:space="preserve">will </w:t>
      </w:r>
      <w:r w:rsidRPr="00450F1F">
        <w:rPr>
          <w:rFonts w:ascii="Garamond" w:hAnsi="Garamond" w:cs="Times New Roman"/>
          <w:sz w:val="21"/>
          <w:szCs w:val="21"/>
        </w:rPr>
        <w:t xml:space="preserve">allow the effective rate </w:t>
      </w:r>
      <w:r>
        <w:rPr>
          <w:rFonts w:ascii="Garamond" w:hAnsi="Garamond" w:cs="Times New Roman"/>
          <w:sz w:val="21"/>
          <w:szCs w:val="21"/>
        </w:rPr>
        <w:t>o</w:t>
      </w:r>
      <w:r w:rsidR="001A4ED6">
        <w:rPr>
          <w:rFonts w:ascii="Garamond" w:hAnsi="Garamond" w:cs="Times New Roman"/>
          <w:sz w:val="21"/>
          <w:szCs w:val="21"/>
        </w:rPr>
        <w:t>f</w:t>
      </w:r>
      <w:r>
        <w:rPr>
          <w:rFonts w:ascii="Garamond" w:hAnsi="Garamond" w:cs="Times New Roman"/>
          <w:sz w:val="21"/>
          <w:szCs w:val="21"/>
        </w:rPr>
        <w:t xml:space="preserve"> </w:t>
      </w:r>
      <w:r w:rsidRPr="00450F1F">
        <w:rPr>
          <w:rFonts w:ascii="Garamond" w:hAnsi="Garamond" w:cs="Times New Roman"/>
          <w:sz w:val="21"/>
          <w:szCs w:val="21"/>
        </w:rPr>
        <w:t xml:space="preserve">the reserve requirement </w:t>
      </w:r>
      <w:r>
        <w:rPr>
          <w:rFonts w:ascii="Garamond" w:hAnsi="Garamond" w:cs="Times New Roman"/>
          <w:sz w:val="21"/>
          <w:szCs w:val="21"/>
        </w:rPr>
        <w:t>to reduce in</w:t>
      </w:r>
      <w:r w:rsidRPr="00450F1F">
        <w:rPr>
          <w:rFonts w:ascii="Garamond" w:hAnsi="Garamond" w:cs="Times New Roman"/>
          <w:sz w:val="21"/>
          <w:szCs w:val="21"/>
        </w:rPr>
        <w:t xml:space="preserve"> a short period of time </w:t>
      </w:r>
      <w:r>
        <w:rPr>
          <w:rFonts w:ascii="Garamond" w:hAnsi="Garamond" w:cs="Times New Roman"/>
          <w:sz w:val="21"/>
          <w:szCs w:val="21"/>
        </w:rPr>
        <w:t xml:space="preserve">while </w:t>
      </w:r>
      <w:r w:rsidRPr="00450F1F">
        <w:rPr>
          <w:rFonts w:ascii="Garamond" w:hAnsi="Garamond" w:cs="Times New Roman"/>
          <w:sz w:val="21"/>
          <w:szCs w:val="21"/>
        </w:rPr>
        <w:t xml:space="preserve">creating real incentives for </w:t>
      </w:r>
      <w:r>
        <w:rPr>
          <w:rFonts w:ascii="Garamond" w:hAnsi="Garamond" w:cs="Times New Roman"/>
          <w:sz w:val="21"/>
          <w:szCs w:val="21"/>
        </w:rPr>
        <w:t xml:space="preserve">banks to borrow </w:t>
      </w:r>
      <w:r w:rsidRPr="00450F1F">
        <w:rPr>
          <w:rFonts w:ascii="Garamond" w:hAnsi="Garamond" w:cs="Times New Roman"/>
          <w:sz w:val="21"/>
          <w:szCs w:val="21"/>
        </w:rPr>
        <w:t>long-term funds.</w:t>
      </w:r>
      <w:r w:rsidR="001A4ED6" w:rsidRPr="001A4ED6">
        <w:rPr>
          <w:rFonts w:ascii="Garamond" w:hAnsi="Garamond" w:cs="Times New Roman"/>
          <w:sz w:val="21"/>
          <w:szCs w:val="21"/>
        </w:rPr>
        <w:t xml:space="preserve"> This will expand lending opportunities </w:t>
      </w:r>
      <w:r w:rsidR="001A4ED6">
        <w:rPr>
          <w:rFonts w:ascii="Garamond" w:hAnsi="Garamond" w:cs="Times New Roman"/>
          <w:sz w:val="21"/>
          <w:szCs w:val="21"/>
        </w:rPr>
        <w:t xml:space="preserve">in the framework of </w:t>
      </w:r>
      <w:r w:rsidR="001A4ED6" w:rsidRPr="004E7A10">
        <w:rPr>
          <w:rFonts w:ascii="Garamond" w:hAnsi="Garamond" w:cs="Times New Roman"/>
          <w:sz w:val="21"/>
          <w:szCs w:val="21"/>
        </w:rPr>
        <w:t xml:space="preserve">various programs </w:t>
      </w:r>
      <w:r w:rsidR="007870E4">
        <w:rPr>
          <w:rFonts w:ascii="Garamond" w:hAnsi="Garamond" w:cs="Times New Roman"/>
          <w:sz w:val="21"/>
          <w:szCs w:val="21"/>
        </w:rPr>
        <w:t xml:space="preserve">of the </w:t>
      </w:r>
      <w:r w:rsidR="001A4ED6" w:rsidRPr="004E7A10">
        <w:rPr>
          <w:rFonts w:ascii="Garamond" w:hAnsi="Garamond" w:cs="Times New Roman"/>
          <w:sz w:val="21"/>
          <w:szCs w:val="21"/>
        </w:rPr>
        <w:t>World Bank, Asian Development Bank, KfW Bank, European Investment Bank</w:t>
      </w:r>
      <w:r w:rsidR="007870E4">
        <w:rPr>
          <w:rFonts w:ascii="Garamond" w:hAnsi="Garamond" w:cs="Times New Roman"/>
          <w:sz w:val="21"/>
          <w:szCs w:val="21"/>
        </w:rPr>
        <w:t>,</w:t>
      </w:r>
      <w:r w:rsidR="001A4ED6" w:rsidRPr="004E7A10">
        <w:rPr>
          <w:rFonts w:ascii="Garamond" w:hAnsi="Garamond" w:cs="Times New Roman"/>
          <w:sz w:val="21"/>
          <w:szCs w:val="21"/>
        </w:rPr>
        <w:t xml:space="preserve"> carried out through the Central Bank </w:t>
      </w:r>
      <w:r w:rsidR="007870E4">
        <w:rPr>
          <w:rFonts w:ascii="Garamond" w:hAnsi="Garamond" w:cs="Times New Roman"/>
          <w:sz w:val="21"/>
          <w:szCs w:val="21"/>
        </w:rPr>
        <w:t>and</w:t>
      </w:r>
      <w:r w:rsidR="001A4ED6" w:rsidRPr="004E7A10">
        <w:rPr>
          <w:rFonts w:ascii="Garamond" w:hAnsi="Garamond" w:cs="Times New Roman"/>
          <w:sz w:val="21"/>
          <w:szCs w:val="21"/>
        </w:rPr>
        <w:t xml:space="preserve"> the Armenian Government</w:t>
      </w:r>
      <w:r w:rsidR="007870E4">
        <w:rPr>
          <w:rFonts w:ascii="Garamond" w:hAnsi="Garamond" w:cs="Times New Roman"/>
          <w:sz w:val="21"/>
          <w:szCs w:val="21"/>
        </w:rPr>
        <w:t xml:space="preserve"> for </w:t>
      </w:r>
      <w:r w:rsidR="001A4ED6" w:rsidRPr="004E7A10">
        <w:rPr>
          <w:rFonts w:ascii="Garamond" w:hAnsi="Garamond" w:cs="Times New Roman"/>
          <w:sz w:val="21"/>
          <w:szCs w:val="21"/>
        </w:rPr>
        <w:t xml:space="preserve">a handful of social programs </w:t>
      </w:r>
      <w:r w:rsidR="007870E4">
        <w:rPr>
          <w:rFonts w:ascii="Garamond" w:hAnsi="Garamond" w:cs="Times New Roman"/>
          <w:sz w:val="21"/>
          <w:szCs w:val="21"/>
        </w:rPr>
        <w:t>in the field of SME support</w:t>
      </w:r>
      <w:r w:rsidR="007870E4" w:rsidRPr="007870E4">
        <w:rPr>
          <w:rFonts w:ascii="Garamond" w:hAnsi="Garamond" w:cs="Times New Roman"/>
          <w:sz w:val="21"/>
          <w:szCs w:val="21"/>
        </w:rPr>
        <w:t>, agriculture, renewable energy, housing, etc.</w:t>
      </w:r>
      <w:r w:rsidR="001A4ED6" w:rsidRPr="001A4ED6">
        <w:rPr>
          <w:rFonts w:ascii="Garamond" w:hAnsi="Garamond" w:cs="Times New Roman"/>
          <w:sz w:val="21"/>
          <w:szCs w:val="21"/>
        </w:rPr>
        <w:t xml:space="preserve">, thereby creating favorable conditions for </w:t>
      </w:r>
      <w:r w:rsidR="007870E4">
        <w:rPr>
          <w:rFonts w:ascii="Garamond" w:hAnsi="Garamond" w:cs="Times New Roman"/>
          <w:sz w:val="21"/>
          <w:szCs w:val="21"/>
        </w:rPr>
        <w:t>a</w:t>
      </w:r>
      <w:r w:rsidR="001A4ED6" w:rsidRPr="001A4ED6">
        <w:rPr>
          <w:rFonts w:ascii="Garamond" w:hAnsi="Garamond" w:cs="Times New Roman"/>
          <w:sz w:val="21"/>
          <w:szCs w:val="21"/>
        </w:rPr>
        <w:t xml:space="preserve"> healthy growth of economic activity.</w:t>
      </w:r>
      <w:r w:rsidR="007870E4">
        <w:rPr>
          <w:rFonts w:ascii="Garamond" w:hAnsi="Garamond" w:cs="Times New Roman"/>
          <w:sz w:val="21"/>
          <w:szCs w:val="21"/>
        </w:rPr>
        <w:t xml:space="preserve"> </w:t>
      </w:r>
    </w:p>
    <w:p w14:paraId="46A9D62A" w14:textId="77777777" w:rsidR="00A9653E" w:rsidRPr="004E7A10" w:rsidRDefault="00A9653E" w:rsidP="00A9653E">
      <w:pPr>
        <w:spacing w:line="360" w:lineRule="auto"/>
        <w:jc w:val="both"/>
        <w:rPr>
          <w:rStyle w:val="longtext"/>
          <w:rFonts w:ascii="Garamond" w:hAnsi="Garamond" w:cs="Times New Roman"/>
          <w:b/>
          <w:sz w:val="21"/>
          <w:szCs w:val="21"/>
          <w:shd w:val="clear" w:color="auto" w:fill="FFFFFF"/>
        </w:rPr>
      </w:pPr>
      <w:r w:rsidRPr="004E7A10">
        <w:rPr>
          <w:rStyle w:val="longtext"/>
          <w:rFonts w:ascii="Garamond" w:hAnsi="Garamond" w:cs="Times New Roman"/>
          <w:b/>
          <w:sz w:val="21"/>
          <w:szCs w:val="21"/>
          <w:shd w:val="clear" w:color="auto" w:fill="FFFFFF"/>
        </w:rPr>
        <w:t>3.1.2 Import prices and producer prices</w:t>
      </w:r>
    </w:p>
    <w:p w14:paraId="7C89DB4D" w14:textId="77777777" w:rsidR="00DA7111" w:rsidRPr="004E7A10" w:rsidRDefault="00A9653E" w:rsidP="00A9653E">
      <w:pPr>
        <w:spacing w:line="360" w:lineRule="auto"/>
        <w:jc w:val="both"/>
        <w:rPr>
          <w:rStyle w:val="longtext"/>
          <w:rFonts w:ascii="Garamond" w:hAnsi="Garamond" w:cs="Times New Roman"/>
          <w:sz w:val="21"/>
          <w:szCs w:val="21"/>
          <w:shd w:val="clear" w:color="auto" w:fill="FFFFFF"/>
        </w:rPr>
      </w:pPr>
      <w:r w:rsidRPr="004E7A10">
        <w:rPr>
          <w:rStyle w:val="longtext"/>
          <w:rFonts w:ascii="Garamond" w:hAnsi="Garamond" w:cs="Times New Roman"/>
          <w:b/>
          <w:sz w:val="21"/>
          <w:szCs w:val="21"/>
          <w:shd w:val="clear" w:color="auto" w:fill="FFFFFF"/>
        </w:rPr>
        <w:t xml:space="preserve">Import prices: </w:t>
      </w:r>
      <w:r w:rsidRPr="004E7A10">
        <w:rPr>
          <w:rStyle w:val="longtext"/>
          <w:rFonts w:ascii="Garamond" w:hAnsi="Garamond" w:cs="Times New Roman"/>
          <w:sz w:val="21"/>
          <w:szCs w:val="21"/>
          <w:shd w:val="clear" w:color="auto" w:fill="FFFFFF"/>
        </w:rPr>
        <w:t xml:space="preserve">in the </w:t>
      </w:r>
      <w:r w:rsidR="007870E4">
        <w:rPr>
          <w:rStyle w:val="longtext"/>
          <w:rFonts w:ascii="Garamond" w:hAnsi="Garamond" w:cs="Times New Roman"/>
          <w:sz w:val="21"/>
          <w:szCs w:val="21"/>
          <w:shd w:val="clear" w:color="auto" w:fill="FFFFFF"/>
        </w:rPr>
        <w:t>1st</w:t>
      </w:r>
      <w:r w:rsidRPr="004E7A10">
        <w:rPr>
          <w:rStyle w:val="longtext"/>
          <w:rFonts w:ascii="Garamond" w:hAnsi="Garamond" w:cs="Times New Roman"/>
          <w:sz w:val="21"/>
          <w:szCs w:val="21"/>
          <w:shd w:val="clear" w:color="auto" w:fill="FFFFFF"/>
        </w:rPr>
        <w:t xml:space="preserve"> quarter of 201</w:t>
      </w:r>
      <w:r w:rsidR="00392A16">
        <w:rPr>
          <w:rStyle w:val="longtext"/>
          <w:rFonts w:ascii="Garamond" w:hAnsi="Garamond" w:cs="Times New Roman"/>
          <w:sz w:val="21"/>
          <w:szCs w:val="21"/>
          <w:shd w:val="clear" w:color="auto" w:fill="FFFFFF"/>
        </w:rPr>
        <w:t>5</w:t>
      </w:r>
      <w:r w:rsidRPr="004E7A10">
        <w:rPr>
          <w:rStyle w:val="longtext"/>
          <w:rFonts w:ascii="Garamond" w:hAnsi="Garamond" w:cs="Times New Roman"/>
          <w:sz w:val="21"/>
          <w:szCs w:val="21"/>
          <w:shd w:val="clear" w:color="auto" w:fill="FFFFFF"/>
        </w:rPr>
        <w:t xml:space="preserve">, the dollar prices of import of goods and services </w:t>
      </w:r>
      <w:r w:rsidR="007C3C85">
        <w:rPr>
          <w:rStyle w:val="longtext"/>
          <w:rFonts w:ascii="Garamond" w:hAnsi="Garamond" w:cs="Times New Roman"/>
          <w:sz w:val="21"/>
          <w:szCs w:val="21"/>
          <w:shd w:val="clear" w:color="auto" w:fill="FFFFFF"/>
        </w:rPr>
        <w:t xml:space="preserve">fell </w:t>
      </w:r>
      <w:r w:rsidR="00653013" w:rsidRPr="004E7A10">
        <w:rPr>
          <w:rStyle w:val="longtext"/>
          <w:rFonts w:ascii="Garamond" w:hAnsi="Garamond" w:cs="Times New Roman"/>
          <w:sz w:val="21"/>
          <w:szCs w:val="21"/>
          <w:shd w:val="clear" w:color="auto" w:fill="FFFFFF"/>
        </w:rPr>
        <w:t>even faster,</w:t>
      </w:r>
      <w:r w:rsidR="004026FC">
        <w:rPr>
          <w:rStyle w:val="longtext"/>
          <w:rFonts w:ascii="Garamond" w:hAnsi="Garamond" w:cs="Times New Roman"/>
          <w:sz w:val="21"/>
          <w:szCs w:val="21"/>
          <w:shd w:val="clear" w:color="auto" w:fill="FFFFFF"/>
        </w:rPr>
        <w:t xml:space="preserve"> making up 8</w:t>
      </w:r>
      <w:r w:rsidRPr="004E7A10">
        <w:rPr>
          <w:rStyle w:val="longtext"/>
          <w:rFonts w:ascii="Garamond" w:hAnsi="Garamond" w:cs="Times New Roman"/>
          <w:sz w:val="21"/>
          <w:szCs w:val="21"/>
          <w:shd w:val="clear" w:color="auto" w:fill="FFFFFF"/>
        </w:rPr>
        <w:t>.</w:t>
      </w:r>
      <w:r w:rsidR="004026FC">
        <w:rPr>
          <w:rStyle w:val="longtext"/>
          <w:rFonts w:ascii="Garamond" w:hAnsi="Garamond" w:cs="Times New Roman"/>
          <w:sz w:val="21"/>
          <w:szCs w:val="21"/>
          <w:shd w:val="clear" w:color="auto" w:fill="FFFFFF"/>
        </w:rPr>
        <w:t>5</w:t>
      </w:r>
      <w:r w:rsidR="00820C54" w:rsidRPr="004E7A10">
        <w:rPr>
          <w:rStyle w:val="longtext"/>
          <w:rFonts w:ascii="Garamond" w:hAnsi="Garamond" w:cs="Times New Roman"/>
          <w:sz w:val="21"/>
          <w:szCs w:val="21"/>
          <w:shd w:val="clear" w:color="auto" w:fill="FFFFFF"/>
        </w:rPr>
        <w:t xml:space="preserve">% q/q, with </w:t>
      </w:r>
      <w:r w:rsidRPr="004E7A10">
        <w:rPr>
          <w:rStyle w:val="longtext"/>
          <w:rFonts w:ascii="Garamond" w:hAnsi="Garamond" w:cs="Times New Roman"/>
          <w:sz w:val="21"/>
          <w:szCs w:val="21"/>
          <w:shd w:val="clear" w:color="auto" w:fill="FFFFFF"/>
        </w:rPr>
        <w:t xml:space="preserve">y/y </w:t>
      </w:r>
      <w:r w:rsidR="00820C54" w:rsidRPr="004E7A10">
        <w:rPr>
          <w:rStyle w:val="longtext"/>
          <w:rFonts w:ascii="Garamond" w:hAnsi="Garamond" w:cs="Times New Roman"/>
          <w:sz w:val="21"/>
          <w:szCs w:val="21"/>
          <w:shd w:val="clear" w:color="auto" w:fill="FFFFFF"/>
        </w:rPr>
        <w:t xml:space="preserve">reduction of </w:t>
      </w:r>
      <w:r w:rsidR="004026FC">
        <w:rPr>
          <w:rStyle w:val="longtext"/>
          <w:rFonts w:ascii="Garamond" w:hAnsi="Garamond" w:cs="Times New Roman"/>
          <w:sz w:val="21"/>
          <w:szCs w:val="21"/>
          <w:shd w:val="clear" w:color="auto" w:fill="FFFFFF"/>
        </w:rPr>
        <w:t>15</w:t>
      </w:r>
      <w:r w:rsidR="00820C54" w:rsidRPr="004E7A10">
        <w:rPr>
          <w:rStyle w:val="longtext"/>
          <w:rFonts w:ascii="Garamond" w:hAnsi="Garamond" w:cs="Times New Roman"/>
          <w:sz w:val="21"/>
          <w:szCs w:val="21"/>
          <w:shd w:val="clear" w:color="auto" w:fill="FFFFFF"/>
        </w:rPr>
        <w:t>.</w:t>
      </w:r>
      <w:r w:rsidR="004026FC">
        <w:rPr>
          <w:rStyle w:val="longtext"/>
          <w:rFonts w:ascii="Garamond" w:hAnsi="Garamond" w:cs="Times New Roman"/>
          <w:sz w:val="21"/>
          <w:szCs w:val="21"/>
          <w:shd w:val="clear" w:color="auto" w:fill="FFFFFF"/>
        </w:rPr>
        <w:t>7</w:t>
      </w:r>
      <w:r w:rsidR="00820C54" w:rsidRPr="004E7A10">
        <w:rPr>
          <w:rStyle w:val="longtext"/>
          <w:rFonts w:ascii="Garamond" w:hAnsi="Garamond" w:cs="Times New Roman"/>
          <w:sz w:val="21"/>
          <w:szCs w:val="21"/>
          <w:shd w:val="clear" w:color="auto" w:fill="FFFFFF"/>
        </w:rPr>
        <w:t xml:space="preserve">%. </w:t>
      </w:r>
      <w:r w:rsidR="00DA7111" w:rsidRPr="004E7A10">
        <w:rPr>
          <w:rStyle w:val="longtext"/>
          <w:rFonts w:ascii="Garamond" w:hAnsi="Garamond" w:cs="Times New Roman"/>
          <w:sz w:val="21"/>
          <w:szCs w:val="21"/>
          <w:shd w:val="clear" w:color="auto" w:fill="FFFFFF"/>
        </w:rPr>
        <w:t>T</w:t>
      </w:r>
      <w:r w:rsidR="00653013" w:rsidRPr="004E7A10">
        <w:rPr>
          <w:rStyle w:val="longtext"/>
          <w:rFonts w:ascii="Garamond" w:hAnsi="Garamond" w:cs="Times New Roman"/>
          <w:sz w:val="21"/>
          <w:szCs w:val="21"/>
          <w:shd w:val="clear" w:color="auto" w:fill="FFFFFF"/>
        </w:rPr>
        <w:t>he d</w:t>
      </w:r>
      <w:r w:rsidR="00820C54" w:rsidRPr="004E7A10">
        <w:rPr>
          <w:rStyle w:val="longtext"/>
          <w:rFonts w:ascii="Garamond" w:hAnsi="Garamond" w:cs="Times New Roman"/>
          <w:sz w:val="21"/>
          <w:szCs w:val="21"/>
          <w:shd w:val="clear" w:color="auto" w:fill="FFFFFF"/>
        </w:rPr>
        <w:t>ecrement in dollar prices was</w:t>
      </w:r>
      <w:r w:rsidR="00653013" w:rsidRPr="004E7A10">
        <w:rPr>
          <w:rStyle w:val="longtext"/>
          <w:rFonts w:ascii="Garamond" w:hAnsi="Garamond" w:cs="Times New Roman"/>
          <w:sz w:val="21"/>
          <w:szCs w:val="21"/>
          <w:shd w:val="clear" w:color="auto" w:fill="FFFFFF"/>
        </w:rPr>
        <w:t xml:space="preserve"> attributable </w:t>
      </w:r>
      <w:r w:rsidR="001643FC">
        <w:rPr>
          <w:rStyle w:val="longtext"/>
          <w:rFonts w:ascii="Garamond" w:hAnsi="Garamond" w:cs="Times New Roman"/>
          <w:sz w:val="21"/>
          <w:szCs w:val="21"/>
          <w:shd w:val="clear" w:color="auto" w:fill="FFFFFF"/>
        </w:rPr>
        <w:t xml:space="preserve">in general </w:t>
      </w:r>
      <w:r w:rsidR="00653013" w:rsidRPr="004E7A10">
        <w:rPr>
          <w:rStyle w:val="longtext"/>
          <w:rFonts w:ascii="Garamond" w:hAnsi="Garamond" w:cs="Times New Roman"/>
          <w:sz w:val="21"/>
          <w:szCs w:val="21"/>
          <w:shd w:val="clear" w:color="auto" w:fill="FFFFFF"/>
        </w:rPr>
        <w:t xml:space="preserve">to the </w:t>
      </w:r>
      <w:r w:rsidR="00AE6CD9" w:rsidRPr="004E7A10">
        <w:rPr>
          <w:rStyle w:val="longtext"/>
          <w:rFonts w:ascii="Garamond" w:hAnsi="Garamond" w:cs="Times New Roman"/>
          <w:sz w:val="21"/>
          <w:szCs w:val="21"/>
          <w:shd w:val="clear" w:color="auto" w:fill="FFFFFF"/>
        </w:rPr>
        <w:t xml:space="preserve">U.S. dollar </w:t>
      </w:r>
      <w:r w:rsidR="00653013" w:rsidRPr="004E7A10">
        <w:rPr>
          <w:rStyle w:val="longtext"/>
          <w:rFonts w:ascii="Garamond" w:hAnsi="Garamond" w:cs="Times New Roman"/>
          <w:sz w:val="21"/>
          <w:szCs w:val="21"/>
          <w:shd w:val="clear" w:color="auto" w:fill="FFFFFF"/>
        </w:rPr>
        <w:t xml:space="preserve">having </w:t>
      </w:r>
      <w:r w:rsidR="00AE6CD9">
        <w:rPr>
          <w:rStyle w:val="longtext"/>
          <w:rFonts w:ascii="Garamond" w:hAnsi="Garamond" w:cs="Times New Roman"/>
          <w:sz w:val="21"/>
          <w:szCs w:val="21"/>
          <w:shd w:val="clear" w:color="auto" w:fill="FFFFFF"/>
        </w:rPr>
        <w:t xml:space="preserve">reported high appreciation rates at the end of 2014. </w:t>
      </w:r>
      <w:r w:rsidR="00DA7111" w:rsidRPr="004E7A10">
        <w:rPr>
          <w:rStyle w:val="longtext"/>
          <w:rFonts w:ascii="Garamond" w:hAnsi="Garamond" w:cs="Times New Roman"/>
          <w:sz w:val="21"/>
          <w:szCs w:val="21"/>
          <w:shd w:val="clear" w:color="auto" w:fill="FFFFFF"/>
        </w:rPr>
        <w:t>Overall, the y/y decrement in dollar prices was</w:t>
      </w:r>
      <w:r w:rsidR="00653013" w:rsidRPr="004E7A10">
        <w:rPr>
          <w:rStyle w:val="longtext"/>
          <w:rFonts w:ascii="Garamond" w:hAnsi="Garamond" w:cs="Times New Roman"/>
          <w:sz w:val="21"/>
          <w:szCs w:val="21"/>
          <w:shd w:val="clear" w:color="auto" w:fill="FFFFFF"/>
        </w:rPr>
        <w:t xml:space="preserve"> </w:t>
      </w:r>
      <w:r w:rsidR="005B4A18" w:rsidRPr="004E7A10">
        <w:rPr>
          <w:rStyle w:val="longtext"/>
          <w:rFonts w:ascii="Garamond" w:hAnsi="Garamond" w:cs="Times New Roman"/>
          <w:sz w:val="21"/>
          <w:szCs w:val="21"/>
          <w:shd w:val="clear" w:color="auto" w:fill="FFFFFF"/>
        </w:rPr>
        <w:t>driven</w:t>
      </w:r>
      <w:r w:rsidR="00820C54" w:rsidRPr="004E7A10">
        <w:rPr>
          <w:rStyle w:val="longtext"/>
          <w:rFonts w:ascii="Garamond" w:hAnsi="Garamond" w:cs="Times New Roman"/>
          <w:sz w:val="21"/>
          <w:szCs w:val="21"/>
          <w:shd w:val="clear" w:color="auto" w:fill="FFFFFF"/>
        </w:rPr>
        <w:t xml:space="preserve"> by </w:t>
      </w:r>
      <w:r w:rsidR="00030AA2">
        <w:rPr>
          <w:rStyle w:val="longtext"/>
          <w:rFonts w:ascii="Garamond" w:hAnsi="Garamond" w:cs="Times New Roman"/>
          <w:sz w:val="21"/>
          <w:szCs w:val="21"/>
          <w:shd w:val="clear" w:color="auto" w:fill="FFFFFF"/>
        </w:rPr>
        <w:t>12</w:t>
      </w:r>
      <w:r w:rsidR="00DA7111" w:rsidRPr="004E7A10">
        <w:rPr>
          <w:rStyle w:val="longtext"/>
          <w:rFonts w:ascii="Garamond" w:hAnsi="Garamond" w:cs="Times New Roman"/>
          <w:sz w:val="21"/>
          <w:szCs w:val="21"/>
          <w:shd w:val="clear" w:color="auto" w:fill="FFFFFF"/>
        </w:rPr>
        <w:t>.0</w:t>
      </w:r>
      <w:r w:rsidR="00820C54" w:rsidRPr="004E7A10">
        <w:rPr>
          <w:rStyle w:val="longtext"/>
          <w:rFonts w:ascii="Garamond" w:hAnsi="Garamond" w:cs="Times New Roman"/>
          <w:sz w:val="21"/>
          <w:szCs w:val="21"/>
          <w:shd w:val="clear" w:color="auto" w:fill="FFFFFF"/>
        </w:rPr>
        <w:t xml:space="preserve"> pp drop in prices of goods and </w:t>
      </w:r>
      <w:r w:rsidR="00030AA2">
        <w:rPr>
          <w:rStyle w:val="longtext"/>
          <w:rFonts w:ascii="Garamond" w:hAnsi="Garamond" w:cs="Times New Roman"/>
          <w:sz w:val="21"/>
          <w:szCs w:val="21"/>
          <w:shd w:val="clear" w:color="auto" w:fill="FFFFFF"/>
        </w:rPr>
        <w:t>3</w:t>
      </w:r>
      <w:r w:rsidR="00820C54" w:rsidRPr="004E7A10">
        <w:rPr>
          <w:rStyle w:val="longtext"/>
          <w:rFonts w:ascii="Garamond" w:hAnsi="Garamond" w:cs="Times New Roman"/>
          <w:sz w:val="21"/>
          <w:szCs w:val="21"/>
          <w:shd w:val="clear" w:color="auto" w:fill="FFFFFF"/>
        </w:rPr>
        <w:t>.</w:t>
      </w:r>
      <w:r w:rsidR="00030AA2">
        <w:rPr>
          <w:rStyle w:val="longtext"/>
          <w:rFonts w:ascii="Garamond" w:hAnsi="Garamond" w:cs="Times New Roman"/>
          <w:sz w:val="21"/>
          <w:szCs w:val="21"/>
          <w:shd w:val="clear" w:color="auto" w:fill="FFFFFF"/>
        </w:rPr>
        <w:t>7</w:t>
      </w:r>
      <w:r w:rsidR="00820C54" w:rsidRPr="004E7A10">
        <w:rPr>
          <w:rStyle w:val="longtext"/>
          <w:rFonts w:ascii="Garamond" w:hAnsi="Garamond" w:cs="Times New Roman"/>
          <w:sz w:val="21"/>
          <w:szCs w:val="21"/>
          <w:shd w:val="clear" w:color="auto" w:fill="FFFFFF"/>
        </w:rPr>
        <w:t xml:space="preserve"> pp </w:t>
      </w:r>
      <w:r w:rsidR="00030AA2">
        <w:rPr>
          <w:rStyle w:val="longtext"/>
          <w:rFonts w:ascii="Garamond" w:hAnsi="Garamond" w:cs="Times New Roman"/>
          <w:sz w:val="21"/>
          <w:szCs w:val="21"/>
          <w:shd w:val="clear" w:color="auto" w:fill="FFFFFF"/>
        </w:rPr>
        <w:t xml:space="preserve">falling in </w:t>
      </w:r>
      <w:r w:rsidR="00820C54" w:rsidRPr="004E7A10">
        <w:rPr>
          <w:rStyle w:val="longtext"/>
          <w:rFonts w:ascii="Garamond" w:hAnsi="Garamond" w:cs="Times New Roman"/>
          <w:sz w:val="21"/>
          <w:szCs w:val="21"/>
          <w:shd w:val="clear" w:color="auto" w:fill="FFFFFF"/>
        </w:rPr>
        <w:t xml:space="preserve">service </w:t>
      </w:r>
      <w:r w:rsidR="005B4A18" w:rsidRPr="004E7A10">
        <w:rPr>
          <w:rStyle w:val="longtext"/>
          <w:rFonts w:ascii="Garamond" w:hAnsi="Garamond" w:cs="Times New Roman"/>
          <w:sz w:val="21"/>
          <w:szCs w:val="21"/>
          <w:shd w:val="clear" w:color="auto" w:fill="FFFFFF"/>
        </w:rPr>
        <w:t>prices</w:t>
      </w:r>
      <w:r w:rsidR="00820C54" w:rsidRPr="004E7A10">
        <w:rPr>
          <w:rStyle w:val="longtext"/>
          <w:rFonts w:ascii="Garamond" w:hAnsi="Garamond" w:cs="Times New Roman"/>
          <w:sz w:val="21"/>
          <w:szCs w:val="21"/>
          <w:shd w:val="clear" w:color="auto" w:fill="FFFFFF"/>
        </w:rPr>
        <w:t xml:space="preserve"> (in the </w:t>
      </w:r>
      <w:r w:rsidR="00030AA2">
        <w:rPr>
          <w:rStyle w:val="longtext"/>
          <w:rFonts w:ascii="Garamond" w:hAnsi="Garamond" w:cs="Times New Roman"/>
          <w:sz w:val="21"/>
          <w:szCs w:val="21"/>
          <w:shd w:val="clear" w:color="auto" w:fill="FFFFFF"/>
        </w:rPr>
        <w:t>1st</w:t>
      </w:r>
      <w:r w:rsidR="00820C54" w:rsidRPr="004E7A10">
        <w:rPr>
          <w:rStyle w:val="longtext"/>
          <w:rFonts w:ascii="Garamond" w:hAnsi="Garamond" w:cs="Times New Roman"/>
          <w:sz w:val="21"/>
          <w:szCs w:val="21"/>
          <w:shd w:val="clear" w:color="auto" w:fill="FFFFFF"/>
        </w:rPr>
        <w:t xml:space="preserve"> quarter</w:t>
      </w:r>
      <w:r w:rsidR="00030AA2">
        <w:rPr>
          <w:rStyle w:val="longtext"/>
          <w:rFonts w:ascii="Garamond" w:hAnsi="Garamond" w:cs="Times New Roman"/>
          <w:sz w:val="21"/>
          <w:szCs w:val="21"/>
          <w:shd w:val="clear" w:color="auto" w:fill="FFFFFF"/>
        </w:rPr>
        <w:t xml:space="preserve"> of 2015</w:t>
      </w:r>
      <w:r w:rsidR="00820C54" w:rsidRPr="004E7A10">
        <w:rPr>
          <w:rStyle w:val="longtext"/>
          <w:rFonts w:ascii="Garamond" w:hAnsi="Garamond" w:cs="Times New Roman"/>
          <w:sz w:val="21"/>
          <w:szCs w:val="21"/>
          <w:shd w:val="clear" w:color="auto" w:fill="FFFFFF"/>
        </w:rPr>
        <w:t xml:space="preserve">, the dollar prices of import of services and </w:t>
      </w:r>
      <w:r w:rsidR="00030AA2">
        <w:rPr>
          <w:rStyle w:val="longtext"/>
          <w:rFonts w:ascii="Garamond" w:hAnsi="Garamond" w:cs="Times New Roman"/>
          <w:sz w:val="21"/>
          <w:szCs w:val="21"/>
          <w:shd w:val="clear" w:color="auto" w:fill="FFFFFF"/>
        </w:rPr>
        <w:t>impo</w:t>
      </w:r>
      <w:r w:rsidR="00D41063">
        <w:rPr>
          <w:rStyle w:val="longtext"/>
          <w:rFonts w:ascii="Garamond" w:hAnsi="Garamond" w:cs="Times New Roman"/>
          <w:sz w:val="21"/>
          <w:szCs w:val="21"/>
          <w:shd w:val="clear" w:color="auto" w:fill="FFFFFF"/>
        </w:rPr>
        <w:t>r</w:t>
      </w:r>
      <w:r w:rsidR="00030AA2">
        <w:rPr>
          <w:rStyle w:val="longtext"/>
          <w:rFonts w:ascii="Garamond" w:hAnsi="Garamond" w:cs="Times New Roman"/>
          <w:sz w:val="21"/>
          <w:szCs w:val="21"/>
          <w:shd w:val="clear" w:color="auto" w:fill="FFFFFF"/>
        </w:rPr>
        <w:t>t</w:t>
      </w:r>
      <w:r w:rsidR="00D41063">
        <w:rPr>
          <w:rStyle w:val="longtext"/>
          <w:rFonts w:ascii="Garamond" w:hAnsi="Garamond" w:cs="Times New Roman"/>
          <w:sz w:val="21"/>
          <w:szCs w:val="21"/>
          <w:shd w:val="clear" w:color="auto" w:fill="FFFFFF"/>
        </w:rPr>
        <w:t xml:space="preserve"> of </w:t>
      </w:r>
      <w:r w:rsidR="00820C54" w:rsidRPr="004E7A10">
        <w:rPr>
          <w:rStyle w:val="longtext"/>
          <w:rFonts w:ascii="Garamond" w:hAnsi="Garamond" w:cs="Times New Roman"/>
          <w:sz w:val="21"/>
          <w:szCs w:val="21"/>
          <w:shd w:val="clear" w:color="auto" w:fill="FFFFFF"/>
        </w:rPr>
        <w:t xml:space="preserve">goods </w:t>
      </w:r>
      <w:r w:rsidR="00030AA2">
        <w:rPr>
          <w:rStyle w:val="longtext"/>
          <w:rFonts w:ascii="Garamond" w:hAnsi="Garamond" w:cs="Times New Roman"/>
          <w:sz w:val="21"/>
          <w:szCs w:val="21"/>
          <w:shd w:val="clear" w:color="auto" w:fill="FFFFFF"/>
        </w:rPr>
        <w:t>plunged</w:t>
      </w:r>
      <w:r w:rsidR="00820C54" w:rsidRPr="004E7A10">
        <w:rPr>
          <w:rStyle w:val="longtext"/>
          <w:rFonts w:ascii="Garamond" w:hAnsi="Garamond" w:cs="Times New Roman"/>
          <w:sz w:val="21"/>
          <w:szCs w:val="21"/>
          <w:shd w:val="clear" w:color="auto" w:fill="FFFFFF"/>
        </w:rPr>
        <w:t xml:space="preserve"> by </w:t>
      </w:r>
      <w:r w:rsidR="00D41063">
        <w:rPr>
          <w:rStyle w:val="longtext"/>
          <w:rFonts w:ascii="Garamond" w:hAnsi="Garamond" w:cs="Times New Roman"/>
          <w:sz w:val="21"/>
          <w:szCs w:val="21"/>
          <w:shd w:val="clear" w:color="auto" w:fill="FFFFFF"/>
        </w:rPr>
        <w:t>9</w:t>
      </w:r>
      <w:r w:rsidR="00820C54" w:rsidRPr="004E7A10">
        <w:rPr>
          <w:rStyle w:val="longtext"/>
          <w:rFonts w:ascii="Garamond" w:hAnsi="Garamond" w:cs="Times New Roman"/>
          <w:sz w:val="21"/>
          <w:szCs w:val="21"/>
          <w:shd w:val="clear" w:color="auto" w:fill="FFFFFF"/>
        </w:rPr>
        <w:t>.</w:t>
      </w:r>
      <w:r w:rsidR="00D41063">
        <w:rPr>
          <w:rStyle w:val="longtext"/>
          <w:rFonts w:ascii="Garamond" w:hAnsi="Garamond" w:cs="Times New Roman"/>
          <w:sz w:val="21"/>
          <w:szCs w:val="21"/>
          <w:shd w:val="clear" w:color="auto" w:fill="FFFFFF"/>
        </w:rPr>
        <w:t>1</w:t>
      </w:r>
      <w:r w:rsidR="00820C54" w:rsidRPr="004E7A10">
        <w:rPr>
          <w:rStyle w:val="longtext"/>
          <w:rFonts w:ascii="Garamond" w:hAnsi="Garamond" w:cs="Times New Roman"/>
          <w:sz w:val="21"/>
          <w:szCs w:val="21"/>
          <w:shd w:val="clear" w:color="auto" w:fill="FFFFFF"/>
        </w:rPr>
        <w:t xml:space="preserve">% q/q and </w:t>
      </w:r>
      <w:r w:rsidR="00D41063">
        <w:rPr>
          <w:rStyle w:val="longtext"/>
          <w:rFonts w:ascii="Garamond" w:hAnsi="Garamond" w:cs="Times New Roman"/>
          <w:sz w:val="21"/>
          <w:szCs w:val="21"/>
          <w:shd w:val="clear" w:color="auto" w:fill="FFFFFF"/>
        </w:rPr>
        <w:t>8</w:t>
      </w:r>
      <w:r w:rsidR="00820C54" w:rsidRPr="004E7A10">
        <w:rPr>
          <w:rStyle w:val="longtext"/>
          <w:rFonts w:ascii="Garamond" w:hAnsi="Garamond" w:cs="Times New Roman"/>
          <w:sz w:val="21"/>
          <w:szCs w:val="21"/>
          <w:shd w:val="clear" w:color="auto" w:fill="FFFFFF"/>
        </w:rPr>
        <w:t>.</w:t>
      </w:r>
      <w:r w:rsidR="00DA7111" w:rsidRPr="004E7A10">
        <w:rPr>
          <w:rStyle w:val="longtext"/>
          <w:rFonts w:ascii="Garamond" w:hAnsi="Garamond" w:cs="Times New Roman"/>
          <w:sz w:val="21"/>
          <w:szCs w:val="21"/>
          <w:shd w:val="clear" w:color="auto" w:fill="FFFFFF"/>
        </w:rPr>
        <w:t>3</w:t>
      </w:r>
      <w:r w:rsidR="00820C54" w:rsidRPr="004E7A10">
        <w:rPr>
          <w:rStyle w:val="longtext"/>
          <w:rFonts w:ascii="Garamond" w:hAnsi="Garamond" w:cs="Times New Roman"/>
          <w:sz w:val="21"/>
          <w:szCs w:val="21"/>
          <w:shd w:val="clear" w:color="auto" w:fill="FFFFFF"/>
        </w:rPr>
        <w:t xml:space="preserve">% q/q, respectively). </w:t>
      </w:r>
      <w:r w:rsidR="00D41063">
        <w:rPr>
          <w:rStyle w:val="longtext"/>
          <w:rFonts w:ascii="Garamond" w:hAnsi="Garamond" w:cs="Times New Roman"/>
          <w:sz w:val="21"/>
          <w:szCs w:val="21"/>
          <w:shd w:val="clear" w:color="auto" w:fill="FFFFFF"/>
        </w:rPr>
        <w:t xml:space="preserve">Reduced </w:t>
      </w:r>
      <w:r w:rsidR="006D6B9D" w:rsidRPr="004E7A10">
        <w:rPr>
          <w:rStyle w:val="longtext"/>
          <w:rFonts w:ascii="Garamond" w:hAnsi="Garamond" w:cs="Times New Roman"/>
          <w:sz w:val="21"/>
          <w:szCs w:val="21"/>
          <w:shd w:val="clear" w:color="auto" w:fill="FFFFFF"/>
        </w:rPr>
        <w:t>prices of intermediate goods</w:t>
      </w:r>
      <w:r w:rsidR="00D41063">
        <w:rPr>
          <w:rStyle w:val="longtext"/>
          <w:rFonts w:ascii="Garamond" w:hAnsi="Garamond" w:cs="Times New Roman"/>
          <w:sz w:val="21"/>
          <w:szCs w:val="21"/>
          <w:shd w:val="clear" w:color="auto" w:fill="FFFFFF"/>
        </w:rPr>
        <w:t xml:space="preserve">, including food products and raw materials, </w:t>
      </w:r>
      <w:r w:rsidR="006D6B9D" w:rsidRPr="004E7A10">
        <w:rPr>
          <w:rStyle w:val="longtext"/>
          <w:rFonts w:ascii="Garamond" w:hAnsi="Garamond" w:cs="Times New Roman"/>
          <w:sz w:val="21"/>
          <w:szCs w:val="21"/>
          <w:shd w:val="clear" w:color="auto" w:fill="FFFFFF"/>
        </w:rPr>
        <w:t xml:space="preserve">was the main </w:t>
      </w:r>
      <w:r w:rsidR="00D41063">
        <w:rPr>
          <w:rStyle w:val="longtext"/>
          <w:rFonts w:ascii="Garamond" w:hAnsi="Garamond" w:cs="Times New Roman"/>
          <w:sz w:val="21"/>
          <w:szCs w:val="21"/>
          <w:shd w:val="clear" w:color="auto" w:fill="FFFFFF"/>
        </w:rPr>
        <w:t>contributor to the</w:t>
      </w:r>
      <w:r w:rsidR="006D6B9D" w:rsidRPr="004E7A10">
        <w:rPr>
          <w:rStyle w:val="longtext"/>
          <w:rFonts w:ascii="Garamond" w:hAnsi="Garamond" w:cs="Times New Roman"/>
          <w:sz w:val="21"/>
          <w:szCs w:val="21"/>
          <w:shd w:val="clear" w:color="auto" w:fill="FFFFFF"/>
        </w:rPr>
        <w:t xml:space="preserve"> </w:t>
      </w:r>
      <w:r w:rsidR="00D41063">
        <w:rPr>
          <w:rStyle w:val="longtext"/>
          <w:rFonts w:ascii="Garamond" w:hAnsi="Garamond" w:cs="Times New Roman"/>
          <w:sz w:val="21"/>
          <w:szCs w:val="21"/>
          <w:shd w:val="clear" w:color="auto" w:fill="FFFFFF"/>
        </w:rPr>
        <w:t xml:space="preserve">y/y </w:t>
      </w:r>
      <w:r w:rsidR="006D6B9D" w:rsidRPr="004E7A10">
        <w:rPr>
          <w:rStyle w:val="longtext"/>
          <w:rFonts w:ascii="Garamond" w:hAnsi="Garamond" w:cs="Times New Roman"/>
          <w:sz w:val="21"/>
          <w:szCs w:val="21"/>
          <w:shd w:val="clear" w:color="auto" w:fill="FFFFFF"/>
        </w:rPr>
        <w:t xml:space="preserve">falling </w:t>
      </w:r>
      <w:r w:rsidR="00D41063">
        <w:rPr>
          <w:rStyle w:val="longtext"/>
          <w:rFonts w:ascii="Garamond" w:hAnsi="Garamond" w:cs="Times New Roman"/>
          <w:sz w:val="21"/>
          <w:szCs w:val="21"/>
          <w:shd w:val="clear" w:color="auto" w:fill="FFFFFF"/>
        </w:rPr>
        <w:t xml:space="preserve">in </w:t>
      </w:r>
      <w:r w:rsidR="006D6B9D" w:rsidRPr="004E7A10">
        <w:rPr>
          <w:rStyle w:val="longtext"/>
          <w:rFonts w:ascii="Garamond" w:hAnsi="Garamond" w:cs="Times New Roman"/>
          <w:sz w:val="21"/>
          <w:szCs w:val="21"/>
          <w:shd w:val="clear" w:color="auto" w:fill="FFFFFF"/>
        </w:rPr>
        <w:t xml:space="preserve">dollar prices of import of goods. </w:t>
      </w:r>
    </w:p>
    <w:p w14:paraId="4FAF1534" w14:textId="77777777" w:rsidR="007D6EB9" w:rsidRPr="004E7A10" w:rsidRDefault="000A0A8A" w:rsidP="00A9653E">
      <w:pPr>
        <w:spacing w:line="360" w:lineRule="auto"/>
        <w:jc w:val="both"/>
        <w:rPr>
          <w:rStyle w:val="longtext"/>
          <w:rFonts w:ascii="Garamond" w:hAnsi="Garamond" w:cs="Times New Roman"/>
          <w:sz w:val="21"/>
          <w:szCs w:val="21"/>
          <w:shd w:val="clear" w:color="auto" w:fill="FFFFFF"/>
        </w:rPr>
      </w:pPr>
      <w:r w:rsidRPr="004E7A10">
        <w:rPr>
          <w:rStyle w:val="longtext"/>
          <w:rFonts w:ascii="Garamond" w:hAnsi="Garamond" w:cs="Times New Roman"/>
          <w:sz w:val="21"/>
          <w:szCs w:val="21"/>
          <w:shd w:val="clear" w:color="auto" w:fill="FFFFFF"/>
        </w:rPr>
        <w:t xml:space="preserve">The falling </w:t>
      </w:r>
      <w:r w:rsidR="00D41063">
        <w:rPr>
          <w:rStyle w:val="longtext"/>
          <w:rFonts w:ascii="Garamond" w:hAnsi="Garamond" w:cs="Times New Roman"/>
          <w:sz w:val="21"/>
          <w:szCs w:val="21"/>
          <w:shd w:val="clear" w:color="auto" w:fill="FFFFFF"/>
        </w:rPr>
        <w:t>in</w:t>
      </w:r>
      <w:r w:rsidRPr="004E7A10">
        <w:rPr>
          <w:rStyle w:val="longtext"/>
          <w:rFonts w:ascii="Garamond" w:hAnsi="Garamond" w:cs="Times New Roman"/>
          <w:sz w:val="21"/>
          <w:szCs w:val="21"/>
          <w:shd w:val="clear" w:color="auto" w:fill="FFFFFF"/>
        </w:rPr>
        <w:t xml:space="preserve"> dollar prices of consumer goods was fuelled by the y/y decrement in dollar prices in Russia, the European Union and Ukraine </w:t>
      </w:r>
      <w:r w:rsidR="007D6EB9" w:rsidRPr="004E7A10">
        <w:rPr>
          <w:rStyle w:val="longtext"/>
          <w:rFonts w:ascii="Garamond" w:hAnsi="Garamond" w:cs="Times New Roman"/>
          <w:sz w:val="21"/>
          <w:szCs w:val="21"/>
          <w:shd w:val="clear" w:color="auto" w:fill="FFFFFF"/>
        </w:rPr>
        <w:t xml:space="preserve">because of exchange rate </w:t>
      </w:r>
      <w:r w:rsidR="001643FC">
        <w:rPr>
          <w:rStyle w:val="longtext"/>
          <w:rFonts w:ascii="Garamond" w:hAnsi="Garamond" w:cs="Times New Roman"/>
          <w:sz w:val="21"/>
          <w:szCs w:val="21"/>
          <w:shd w:val="clear" w:color="auto" w:fill="FFFFFF"/>
        </w:rPr>
        <w:t xml:space="preserve">y/y </w:t>
      </w:r>
      <w:r w:rsidR="007D6EB9" w:rsidRPr="004E7A10">
        <w:rPr>
          <w:rStyle w:val="longtext"/>
          <w:rFonts w:ascii="Garamond" w:hAnsi="Garamond" w:cs="Times New Roman"/>
          <w:sz w:val="21"/>
          <w:szCs w:val="21"/>
          <w:shd w:val="clear" w:color="auto" w:fill="FFFFFF"/>
        </w:rPr>
        <w:t xml:space="preserve">depreciation there. As a result, consumer goods </w:t>
      </w:r>
      <w:r w:rsidR="009A0921">
        <w:rPr>
          <w:rStyle w:val="longtext"/>
          <w:rFonts w:ascii="Garamond" w:hAnsi="Garamond" w:cs="Times New Roman"/>
          <w:sz w:val="21"/>
          <w:szCs w:val="21"/>
          <w:shd w:val="clear" w:color="auto" w:fill="FFFFFF"/>
        </w:rPr>
        <w:t>made 3</w:t>
      </w:r>
      <w:r w:rsidR="007D6EB9" w:rsidRPr="004E7A10">
        <w:rPr>
          <w:rStyle w:val="longtext"/>
          <w:rFonts w:ascii="Garamond" w:hAnsi="Garamond" w:cs="Times New Roman"/>
          <w:sz w:val="21"/>
          <w:szCs w:val="21"/>
          <w:shd w:val="clear" w:color="auto" w:fill="FFFFFF"/>
        </w:rPr>
        <w:t>.</w:t>
      </w:r>
      <w:r w:rsidR="009A0921">
        <w:rPr>
          <w:rStyle w:val="longtext"/>
          <w:rFonts w:ascii="Garamond" w:hAnsi="Garamond" w:cs="Times New Roman"/>
          <w:sz w:val="21"/>
          <w:szCs w:val="21"/>
          <w:shd w:val="clear" w:color="auto" w:fill="FFFFFF"/>
        </w:rPr>
        <w:t>4</w:t>
      </w:r>
      <w:r w:rsidR="007D6EB9" w:rsidRPr="004E7A10">
        <w:rPr>
          <w:rStyle w:val="longtext"/>
          <w:rFonts w:ascii="Garamond" w:hAnsi="Garamond" w:cs="Times New Roman"/>
          <w:sz w:val="21"/>
          <w:szCs w:val="21"/>
          <w:shd w:val="clear" w:color="auto" w:fill="FFFFFF"/>
        </w:rPr>
        <w:t xml:space="preserve"> pp of negative contribution.</w:t>
      </w:r>
    </w:p>
    <w:p w14:paraId="0ACD4C07"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Producer prices</w:t>
      </w:r>
      <w:r w:rsidR="009A0921">
        <w:rPr>
          <w:rStyle w:val="FootnoteReference"/>
          <w:rFonts w:ascii="Garamond" w:hAnsi="Garamond" w:cs="Times New Roman"/>
          <w:sz w:val="21"/>
          <w:szCs w:val="21"/>
        </w:rPr>
        <w:footnoteReference w:customMarkFollows="1" w:id="9"/>
        <w:t>9</w:t>
      </w:r>
      <w:r w:rsidRPr="004E7A10">
        <w:rPr>
          <w:rFonts w:ascii="Garamond" w:hAnsi="Garamond" w:cs="Times New Roman"/>
          <w:sz w:val="21"/>
          <w:szCs w:val="21"/>
        </w:rPr>
        <w:t xml:space="preserve">: in the </w:t>
      </w:r>
      <w:r w:rsidR="009A0921">
        <w:rPr>
          <w:rFonts w:ascii="Garamond" w:hAnsi="Garamond" w:cs="Times New Roman"/>
          <w:sz w:val="21"/>
          <w:szCs w:val="21"/>
        </w:rPr>
        <w:t>1st</w:t>
      </w:r>
      <w:r w:rsidRPr="004E7A10">
        <w:rPr>
          <w:rFonts w:ascii="Garamond" w:hAnsi="Garamond" w:cs="Times New Roman"/>
          <w:sz w:val="21"/>
          <w:szCs w:val="21"/>
        </w:rPr>
        <w:t xml:space="preserve"> quarter of 201</w:t>
      </w:r>
      <w:r w:rsidR="009A0921">
        <w:rPr>
          <w:rFonts w:ascii="Garamond" w:hAnsi="Garamond" w:cs="Times New Roman"/>
          <w:sz w:val="21"/>
          <w:szCs w:val="21"/>
        </w:rPr>
        <w:t>5</w:t>
      </w:r>
      <w:r w:rsidRPr="004E7A10">
        <w:rPr>
          <w:rFonts w:ascii="Garamond" w:hAnsi="Garamond" w:cs="Times New Roman"/>
          <w:sz w:val="21"/>
          <w:szCs w:val="21"/>
        </w:rPr>
        <w:t xml:space="preserve">, all sectors of the economy posted increased price indices, </w:t>
      </w:r>
      <w:r w:rsidR="001A046A" w:rsidRPr="004E7A10">
        <w:rPr>
          <w:rFonts w:ascii="Garamond" w:hAnsi="Garamond" w:cs="Times New Roman"/>
          <w:sz w:val="21"/>
          <w:szCs w:val="21"/>
        </w:rPr>
        <w:t>with</w:t>
      </w:r>
      <w:r w:rsidRPr="004E7A10">
        <w:rPr>
          <w:rFonts w:ascii="Garamond" w:hAnsi="Garamond" w:cs="Times New Roman"/>
          <w:sz w:val="21"/>
          <w:szCs w:val="21"/>
        </w:rPr>
        <w:t xml:space="preserve"> the GDP deflator </w:t>
      </w:r>
      <w:r w:rsidR="009935AF" w:rsidRPr="004E7A10">
        <w:rPr>
          <w:rFonts w:ascii="Garamond" w:hAnsi="Garamond" w:cs="Times New Roman"/>
          <w:sz w:val="21"/>
          <w:szCs w:val="21"/>
        </w:rPr>
        <w:t xml:space="preserve">having reached </w:t>
      </w:r>
      <w:r w:rsidR="00E42230" w:rsidRPr="004E7A10">
        <w:rPr>
          <w:rFonts w:ascii="Garamond" w:hAnsi="Garamond" w:cs="Times New Roman"/>
          <w:sz w:val="21"/>
          <w:szCs w:val="21"/>
        </w:rPr>
        <w:t xml:space="preserve">y/y </w:t>
      </w:r>
      <w:r w:rsidR="009935AF" w:rsidRPr="004E7A10">
        <w:rPr>
          <w:rFonts w:ascii="Garamond" w:hAnsi="Garamond" w:cs="Times New Roman"/>
          <w:sz w:val="21"/>
          <w:szCs w:val="21"/>
        </w:rPr>
        <w:t>10</w:t>
      </w:r>
      <w:r w:rsidR="00E42230">
        <w:rPr>
          <w:rFonts w:ascii="Garamond" w:hAnsi="Garamond" w:cs="Times New Roman"/>
          <w:sz w:val="21"/>
          <w:szCs w:val="21"/>
        </w:rPr>
        <w:t xml:space="preserve">4 </w:t>
      </w:r>
      <w:r w:rsidRPr="004E7A10">
        <w:rPr>
          <w:rFonts w:ascii="Garamond" w:hAnsi="Garamond" w:cs="Times New Roman"/>
          <w:sz w:val="21"/>
          <w:szCs w:val="21"/>
        </w:rPr>
        <w:t>in the period January-</w:t>
      </w:r>
      <w:r w:rsidR="00E42230">
        <w:rPr>
          <w:rFonts w:ascii="Garamond" w:hAnsi="Garamond" w:cs="Times New Roman"/>
          <w:sz w:val="21"/>
          <w:szCs w:val="21"/>
        </w:rPr>
        <w:t>March</w:t>
      </w:r>
      <w:r w:rsidR="009935AF" w:rsidRPr="004E7A10">
        <w:rPr>
          <w:rFonts w:ascii="Garamond" w:hAnsi="Garamond" w:cs="Times New Roman"/>
          <w:sz w:val="21"/>
          <w:szCs w:val="21"/>
        </w:rPr>
        <w:t>, according to the Central Bank estimates</w:t>
      </w:r>
      <w:r w:rsidRPr="004E7A10">
        <w:rPr>
          <w:rFonts w:ascii="Garamond" w:hAnsi="Garamond" w:cs="Times New Roman"/>
          <w:sz w:val="21"/>
          <w:szCs w:val="21"/>
        </w:rPr>
        <w:t xml:space="preserve">. </w:t>
      </w:r>
      <w:r w:rsidR="00E42230">
        <w:rPr>
          <w:rFonts w:ascii="Garamond" w:hAnsi="Garamond" w:cs="Times New Roman"/>
          <w:sz w:val="21"/>
          <w:szCs w:val="21"/>
        </w:rPr>
        <w:t xml:space="preserve"> </w:t>
      </w:r>
    </w:p>
    <w:p w14:paraId="00EA5DBF"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 xml:space="preserve">Industry </w:t>
      </w:r>
      <w:r w:rsidRPr="004E7A10">
        <w:rPr>
          <w:rFonts w:ascii="Garamond" w:hAnsi="Garamond" w:cs="Times New Roman"/>
          <w:sz w:val="21"/>
          <w:szCs w:val="21"/>
        </w:rPr>
        <w:t xml:space="preserve">posted quarterly </w:t>
      </w:r>
      <w:r w:rsidR="006F5797" w:rsidRPr="004E7A10">
        <w:rPr>
          <w:rFonts w:ascii="Garamond" w:hAnsi="Garamond" w:cs="Times New Roman"/>
          <w:sz w:val="21"/>
          <w:szCs w:val="21"/>
        </w:rPr>
        <w:t>price</w:t>
      </w:r>
      <w:r w:rsidR="0004605B" w:rsidRPr="004E7A10">
        <w:rPr>
          <w:rFonts w:ascii="Garamond" w:hAnsi="Garamond" w:cs="Times New Roman"/>
          <w:sz w:val="21"/>
          <w:szCs w:val="21"/>
        </w:rPr>
        <w:t xml:space="preserve"> increases</w:t>
      </w:r>
      <w:r w:rsidR="006F5797" w:rsidRPr="004E7A10">
        <w:rPr>
          <w:rFonts w:ascii="Garamond" w:hAnsi="Garamond" w:cs="Times New Roman"/>
          <w:sz w:val="21"/>
          <w:szCs w:val="21"/>
        </w:rPr>
        <w:t xml:space="preserve"> </w:t>
      </w:r>
      <w:r w:rsidRPr="004E7A10">
        <w:rPr>
          <w:rFonts w:ascii="Garamond" w:hAnsi="Garamond" w:cs="Times New Roman"/>
          <w:sz w:val="21"/>
          <w:szCs w:val="21"/>
        </w:rPr>
        <w:t xml:space="preserve">of </w:t>
      </w:r>
      <w:r w:rsidR="00656AE7">
        <w:rPr>
          <w:rFonts w:ascii="Garamond" w:hAnsi="Garamond" w:cs="Times New Roman"/>
          <w:sz w:val="21"/>
          <w:szCs w:val="21"/>
        </w:rPr>
        <w:t>5.4</w:t>
      </w:r>
      <w:r w:rsidRPr="004E7A10">
        <w:rPr>
          <w:rFonts w:ascii="Garamond" w:hAnsi="Garamond" w:cs="Times New Roman"/>
          <w:sz w:val="21"/>
          <w:szCs w:val="21"/>
        </w:rPr>
        <w:t>% y/y</w:t>
      </w:r>
      <w:r w:rsidR="006A5EB8">
        <w:rPr>
          <w:rFonts w:ascii="Garamond" w:hAnsi="Garamond" w:cs="Times New Roman"/>
          <w:sz w:val="21"/>
          <w:szCs w:val="21"/>
        </w:rPr>
        <w:t xml:space="preserve"> during the 1st</w:t>
      </w:r>
      <w:r w:rsidRPr="004E7A10">
        <w:rPr>
          <w:rFonts w:ascii="Garamond" w:hAnsi="Garamond" w:cs="Times New Roman"/>
          <w:sz w:val="21"/>
          <w:szCs w:val="21"/>
        </w:rPr>
        <w:t xml:space="preserve"> </w:t>
      </w:r>
      <w:r w:rsidR="006A5EB8">
        <w:rPr>
          <w:rFonts w:ascii="Garamond" w:hAnsi="Garamond" w:cs="Times New Roman"/>
          <w:sz w:val="21"/>
          <w:szCs w:val="21"/>
        </w:rPr>
        <w:t xml:space="preserve">quarter, </w:t>
      </w:r>
      <w:r w:rsidRPr="004E7A10">
        <w:rPr>
          <w:rFonts w:ascii="Garamond" w:hAnsi="Garamond" w:cs="Times New Roman"/>
          <w:sz w:val="21"/>
          <w:szCs w:val="21"/>
        </w:rPr>
        <w:t>owing to growths in processing industry (</w:t>
      </w:r>
      <w:r w:rsidR="00656AE7">
        <w:rPr>
          <w:rFonts w:ascii="Garamond" w:hAnsi="Garamond" w:cs="Times New Roman"/>
          <w:sz w:val="21"/>
          <w:szCs w:val="21"/>
        </w:rPr>
        <w:t>6</w:t>
      </w:r>
      <w:r w:rsidRPr="004E7A10">
        <w:rPr>
          <w:rFonts w:ascii="Garamond" w:hAnsi="Garamond" w:cs="Times New Roman"/>
          <w:sz w:val="21"/>
          <w:szCs w:val="21"/>
        </w:rPr>
        <w:t>.</w:t>
      </w:r>
      <w:r w:rsidR="00656AE7">
        <w:rPr>
          <w:rFonts w:ascii="Garamond" w:hAnsi="Garamond" w:cs="Times New Roman"/>
          <w:sz w:val="21"/>
          <w:szCs w:val="21"/>
        </w:rPr>
        <w:t>7</w:t>
      </w:r>
      <w:r w:rsidRPr="004E7A10">
        <w:rPr>
          <w:rFonts w:ascii="Garamond" w:hAnsi="Garamond" w:cs="Times New Roman"/>
          <w:sz w:val="21"/>
          <w:szCs w:val="21"/>
        </w:rPr>
        <w:t>%) and energy and gas production and distribution (</w:t>
      </w:r>
      <w:r w:rsidR="00656AE7">
        <w:rPr>
          <w:rFonts w:ascii="Garamond" w:hAnsi="Garamond" w:cs="Times New Roman"/>
          <w:sz w:val="21"/>
          <w:szCs w:val="21"/>
        </w:rPr>
        <w:t>8</w:t>
      </w:r>
      <w:r w:rsidRPr="004E7A10">
        <w:rPr>
          <w:rFonts w:ascii="Garamond" w:hAnsi="Garamond" w:cs="Times New Roman"/>
          <w:sz w:val="21"/>
          <w:szCs w:val="21"/>
        </w:rPr>
        <w:t>.</w:t>
      </w:r>
      <w:r w:rsidR="00656AE7">
        <w:rPr>
          <w:rFonts w:ascii="Garamond" w:hAnsi="Garamond" w:cs="Times New Roman"/>
          <w:sz w:val="21"/>
          <w:szCs w:val="21"/>
        </w:rPr>
        <w:t>3</w:t>
      </w:r>
      <w:r w:rsidRPr="004E7A10">
        <w:rPr>
          <w:rFonts w:ascii="Garamond" w:hAnsi="Garamond" w:cs="Times New Roman"/>
          <w:sz w:val="21"/>
          <w:szCs w:val="21"/>
        </w:rPr>
        <w:t>%). Note that</w:t>
      </w:r>
      <w:r w:rsidR="002465BB" w:rsidRPr="002465BB">
        <w:rPr>
          <w:rFonts w:ascii="Garamond" w:hAnsi="Garamond" w:cs="Times New Roman"/>
          <w:sz w:val="21"/>
          <w:szCs w:val="21"/>
        </w:rPr>
        <w:t xml:space="preserve"> </w:t>
      </w:r>
      <w:r w:rsidR="002465BB">
        <w:rPr>
          <w:rFonts w:ascii="Garamond" w:hAnsi="Garamond" w:cs="Times New Roman"/>
          <w:sz w:val="21"/>
          <w:szCs w:val="21"/>
        </w:rPr>
        <w:t xml:space="preserve">a </w:t>
      </w:r>
      <w:r w:rsidR="002465BB" w:rsidRPr="00656AE7">
        <w:rPr>
          <w:rFonts w:ascii="Garamond" w:hAnsi="Garamond" w:cs="Times New Roman"/>
          <w:sz w:val="21"/>
          <w:szCs w:val="21"/>
        </w:rPr>
        <w:t>low</w:t>
      </w:r>
      <w:r w:rsidR="002465BB">
        <w:rPr>
          <w:rFonts w:ascii="Garamond" w:hAnsi="Garamond" w:cs="Times New Roman"/>
          <w:sz w:val="21"/>
          <w:szCs w:val="21"/>
        </w:rPr>
        <w:t>er</w:t>
      </w:r>
      <w:r w:rsidR="002465BB" w:rsidRPr="00656AE7">
        <w:rPr>
          <w:rFonts w:ascii="Garamond" w:hAnsi="Garamond" w:cs="Times New Roman"/>
          <w:sz w:val="21"/>
          <w:szCs w:val="21"/>
        </w:rPr>
        <w:t xml:space="preserve"> growth</w:t>
      </w:r>
      <w:r w:rsidR="002465BB">
        <w:rPr>
          <w:rFonts w:ascii="Garamond" w:hAnsi="Garamond" w:cs="Times New Roman"/>
          <w:sz w:val="21"/>
          <w:szCs w:val="21"/>
        </w:rPr>
        <w:t xml:space="preserve"> of the latter in comparison with </w:t>
      </w:r>
      <w:r w:rsidR="00656AE7" w:rsidRPr="00656AE7">
        <w:rPr>
          <w:rFonts w:ascii="Garamond" w:hAnsi="Garamond" w:cs="Times New Roman"/>
          <w:sz w:val="21"/>
          <w:szCs w:val="21"/>
        </w:rPr>
        <w:t>previous periods</w:t>
      </w:r>
      <w:r w:rsidR="002465BB">
        <w:rPr>
          <w:rFonts w:ascii="Garamond" w:hAnsi="Garamond" w:cs="Times New Roman"/>
          <w:sz w:val="21"/>
          <w:szCs w:val="21"/>
        </w:rPr>
        <w:t xml:space="preserve"> is a result of an increased share of </w:t>
      </w:r>
      <w:r w:rsidR="002465BB" w:rsidRPr="00656AE7">
        <w:rPr>
          <w:rFonts w:ascii="Garamond" w:hAnsi="Garamond" w:cs="Times New Roman"/>
          <w:sz w:val="21"/>
          <w:szCs w:val="21"/>
        </w:rPr>
        <w:t>electricity</w:t>
      </w:r>
      <w:r w:rsidR="00656AE7" w:rsidRPr="00656AE7">
        <w:rPr>
          <w:rFonts w:ascii="Garamond" w:hAnsi="Garamond" w:cs="Times New Roman"/>
          <w:sz w:val="21"/>
          <w:szCs w:val="21"/>
        </w:rPr>
        <w:t xml:space="preserve"> </w:t>
      </w:r>
      <w:r w:rsidR="002465BB">
        <w:rPr>
          <w:rFonts w:ascii="Garamond" w:hAnsi="Garamond" w:cs="Times New Roman"/>
          <w:sz w:val="21"/>
          <w:szCs w:val="21"/>
        </w:rPr>
        <w:lastRenderedPageBreak/>
        <w:t xml:space="preserve">(which is the </w:t>
      </w:r>
      <w:r w:rsidR="001C27D7">
        <w:rPr>
          <w:rFonts w:ascii="Garamond" w:hAnsi="Garamond" w:cs="Times New Roman"/>
          <w:sz w:val="21"/>
          <w:szCs w:val="21"/>
        </w:rPr>
        <w:t>lowest</w:t>
      </w:r>
      <w:r w:rsidR="002465BB">
        <w:rPr>
          <w:rFonts w:ascii="Garamond" w:hAnsi="Garamond" w:cs="Times New Roman"/>
          <w:sz w:val="21"/>
          <w:szCs w:val="21"/>
        </w:rPr>
        <w:t xml:space="preserve"> tariff</w:t>
      </w:r>
      <w:r w:rsidR="002465BB">
        <w:rPr>
          <w:rStyle w:val="FootnoteReference"/>
          <w:rFonts w:ascii="Garamond" w:hAnsi="Garamond" w:cs="Times New Roman"/>
          <w:sz w:val="21"/>
          <w:szCs w:val="21"/>
        </w:rPr>
        <w:footnoteReference w:customMarkFollows="1" w:id="10"/>
        <w:t>10</w:t>
      </w:r>
      <w:r w:rsidR="002465BB">
        <w:rPr>
          <w:rFonts w:ascii="Garamond" w:hAnsi="Garamond" w:cs="Times New Roman"/>
          <w:sz w:val="21"/>
          <w:szCs w:val="21"/>
        </w:rPr>
        <w:t>) used</w:t>
      </w:r>
      <w:r w:rsidR="002465BB" w:rsidRPr="00656AE7">
        <w:rPr>
          <w:rFonts w:ascii="Garamond" w:hAnsi="Garamond" w:cs="Times New Roman"/>
          <w:sz w:val="21"/>
          <w:szCs w:val="21"/>
        </w:rPr>
        <w:t xml:space="preserve"> by the nuclear </w:t>
      </w:r>
      <w:r w:rsidR="002465BB">
        <w:rPr>
          <w:rFonts w:ascii="Garamond" w:hAnsi="Garamond" w:cs="Times New Roman"/>
          <w:sz w:val="21"/>
          <w:szCs w:val="21"/>
        </w:rPr>
        <w:t xml:space="preserve">plant in the structure of </w:t>
      </w:r>
      <w:r w:rsidR="00656AE7" w:rsidRPr="00656AE7">
        <w:rPr>
          <w:rFonts w:ascii="Garamond" w:hAnsi="Garamond" w:cs="Times New Roman"/>
          <w:sz w:val="21"/>
          <w:szCs w:val="21"/>
        </w:rPr>
        <w:t xml:space="preserve">electricity </w:t>
      </w:r>
      <w:r w:rsidR="002465BB">
        <w:rPr>
          <w:rFonts w:ascii="Garamond" w:hAnsi="Garamond" w:cs="Times New Roman"/>
          <w:sz w:val="21"/>
          <w:szCs w:val="21"/>
        </w:rPr>
        <w:t xml:space="preserve">consumed by industrial enterprises. </w:t>
      </w:r>
    </w:p>
    <w:p w14:paraId="3A1B1A84"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Agriculture</w:t>
      </w:r>
      <w:r w:rsidRPr="004E7A10">
        <w:rPr>
          <w:rFonts w:ascii="Garamond" w:hAnsi="Garamond" w:cs="Times New Roman"/>
          <w:sz w:val="21"/>
          <w:szCs w:val="21"/>
        </w:rPr>
        <w:t xml:space="preserve"> reported </w:t>
      </w:r>
      <w:r w:rsidR="007970A3">
        <w:rPr>
          <w:rFonts w:ascii="Garamond" w:hAnsi="Garamond" w:cs="Times New Roman"/>
          <w:sz w:val="21"/>
          <w:szCs w:val="21"/>
        </w:rPr>
        <w:t>3</w:t>
      </w:r>
      <w:r w:rsidR="002465BB">
        <w:rPr>
          <w:rFonts w:ascii="Garamond" w:hAnsi="Garamond" w:cs="Times New Roman"/>
          <w:sz w:val="21"/>
          <w:szCs w:val="21"/>
        </w:rPr>
        <w:t>.7</w:t>
      </w:r>
      <w:r w:rsidRPr="004E7A10">
        <w:rPr>
          <w:rFonts w:ascii="Garamond" w:hAnsi="Garamond" w:cs="Times New Roman"/>
          <w:sz w:val="21"/>
          <w:szCs w:val="21"/>
        </w:rPr>
        <w:t xml:space="preserve">% y/y </w:t>
      </w:r>
      <w:r w:rsidR="00ED5613" w:rsidRPr="004E7A10">
        <w:rPr>
          <w:rFonts w:ascii="Garamond" w:hAnsi="Garamond" w:cs="Times New Roman"/>
          <w:sz w:val="21"/>
          <w:szCs w:val="21"/>
        </w:rPr>
        <w:t>in</w:t>
      </w:r>
      <w:r w:rsidRPr="004E7A10">
        <w:rPr>
          <w:rFonts w:ascii="Garamond" w:hAnsi="Garamond" w:cs="Times New Roman"/>
          <w:sz w:val="21"/>
          <w:szCs w:val="21"/>
        </w:rPr>
        <w:t>crease in prices</w:t>
      </w:r>
      <w:r w:rsidR="007970A3">
        <w:rPr>
          <w:rStyle w:val="FootnoteReference"/>
          <w:rFonts w:ascii="Garamond" w:hAnsi="Garamond" w:cs="Times New Roman"/>
          <w:sz w:val="21"/>
          <w:szCs w:val="21"/>
        </w:rPr>
        <w:footnoteReference w:customMarkFollows="1" w:id="11"/>
        <w:t>11</w:t>
      </w:r>
      <w:r w:rsidRPr="004E7A10">
        <w:rPr>
          <w:rFonts w:ascii="Garamond" w:hAnsi="Garamond" w:cs="Times New Roman"/>
          <w:sz w:val="21"/>
          <w:szCs w:val="21"/>
        </w:rPr>
        <w:t xml:space="preserve"> during the </w:t>
      </w:r>
      <w:r w:rsidR="006A5EB8">
        <w:rPr>
          <w:rFonts w:ascii="Garamond" w:hAnsi="Garamond" w:cs="Times New Roman"/>
          <w:sz w:val="21"/>
          <w:szCs w:val="21"/>
        </w:rPr>
        <w:t>1st</w:t>
      </w:r>
      <w:r w:rsidRPr="004E7A10">
        <w:rPr>
          <w:rFonts w:ascii="Garamond" w:hAnsi="Garamond" w:cs="Times New Roman"/>
          <w:sz w:val="21"/>
          <w:szCs w:val="21"/>
        </w:rPr>
        <w:t xml:space="preserve"> </w:t>
      </w:r>
      <w:r w:rsidR="006A5EB8">
        <w:rPr>
          <w:rFonts w:ascii="Garamond" w:hAnsi="Garamond" w:cs="Times New Roman"/>
          <w:sz w:val="21"/>
          <w:szCs w:val="21"/>
        </w:rPr>
        <w:t xml:space="preserve">quarter, </w:t>
      </w:r>
      <w:r w:rsidR="00ED5613" w:rsidRPr="004E7A10">
        <w:rPr>
          <w:rFonts w:ascii="Garamond" w:hAnsi="Garamond" w:cs="Times New Roman"/>
          <w:sz w:val="21"/>
          <w:szCs w:val="21"/>
        </w:rPr>
        <w:t xml:space="preserve">fuelled by </w:t>
      </w:r>
      <w:r w:rsidR="007970A3">
        <w:rPr>
          <w:rFonts w:ascii="Garamond" w:hAnsi="Garamond" w:cs="Times New Roman"/>
          <w:sz w:val="21"/>
          <w:szCs w:val="21"/>
        </w:rPr>
        <w:t>5</w:t>
      </w:r>
      <w:r w:rsidR="00DA230B" w:rsidRPr="004E7A10">
        <w:rPr>
          <w:rFonts w:ascii="Garamond" w:hAnsi="Garamond" w:cs="Times New Roman"/>
          <w:sz w:val="21"/>
          <w:szCs w:val="21"/>
        </w:rPr>
        <w:t>.</w:t>
      </w:r>
      <w:r w:rsidR="007970A3">
        <w:rPr>
          <w:rFonts w:ascii="Garamond" w:hAnsi="Garamond" w:cs="Times New Roman"/>
          <w:sz w:val="21"/>
          <w:szCs w:val="21"/>
        </w:rPr>
        <w:t>3</w:t>
      </w:r>
      <w:r w:rsidR="00DA230B" w:rsidRPr="004E7A10">
        <w:rPr>
          <w:rFonts w:ascii="Garamond" w:hAnsi="Garamond" w:cs="Times New Roman"/>
          <w:sz w:val="21"/>
          <w:szCs w:val="21"/>
        </w:rPr>
        <w:t xml:space="preserve">% y/y price increases in </w:t>
      </w:r>
      <w:r w:rsidRPr="004E7A10">
        <w:rPr>
          <w:rFonts w:ascii="Garamond" w:hAnsi="Garamond" w:cs="Times New Roman"/>
          <w:sz w:val="21"/>
          <w:szCs w:val="21"/>
        </w:rPr>
        <w:t>animal breeding</w:t>
      </w:r>
      <w:r w:rsidR="00DA230B" w:rsidRPr="004E7A10">
        <w:rPr>
          <w:rFonts w:ascii="Garamond" w:hAnsi="Garamond" w:cs="Times New Roman"/>
          <w:sz w:val="21"/>
          <w:szCs w:val="21"/>
        </w:rPr>
        <w:t>.</w:t>
      </w:r>
      <w:r w:rsidRPr="004E7A10">
        <w:rPr>
          <w:rFonts w:ascii="Garamond" w:hAnsi="Garamond" w:cs="Times New Roman"/>
          <w:sz w:val="21"/>
          <w:szCs w:val="21"/>
        </w:rPr>
        <w:t xml:space="preserve"> The </w:t>
      </w:r>
      <w:r w:rsidR="007970A3">
        <w:rPr>
          <w:rFonts w:ascii="Garamond" w:hAnsi="Garamond" w:cs="Times New Roman"/>
          <w:sz w:val="21"/>
          <w:szCs w:val="21"/>
        </w:rPr>
        <w:t>7</w:t>
      </w:r>
      <w:r w:rsidR="00BB71C6" w:rsidRPr="004E7A10">
        <w:rPr>
          <w:rFonts w:ascii="Garamond" w:hAnsi="Garamond" w:cs="Times New Roman"/>
          <w:sz w:val="21"/>
          <w:szCs w:val="21"/>
        </w:rPr>
        <w:t xml:space="preserve">.1% </w:t>
      </w:r>
      <w:r w:rsidR="00131467" w:rsidRPr="004E7A10">
        <w:rPr>
          <w:rFonts w:ascii="Garamond" w:hAnsi="Garamond" w:cs="Times New Roman"/>
          <w:sz w:val="21"/>
          <w:szCs w:val="21"/>
        </w:rPr>
        <w:t>drop</w:t>
      </w:r>
      <w:r w:rsidR="00BB71C6" w:rsidRPr="004E7A10">
        <w:rPr>
          <w:rFonts w:ascii="Garamond" w:hAnsi="Garamond" w:cs="Times New Roman"/>
          <w:sz w:val="21"/>
          <w:szCs w:val="21"/>
        </w:rPr>
        <w:t xml:space="preserve"> of prices </w:t>
      </w:r>
      <w:r w:rsidRPr="004E7A10">
        <w:rPr>
          <w:rFonts w:ascii="Garamond" w:hAnsi="Garamond" w:cs="Times New Roman"/>
          <w:sz w:val="21"/>
          <w:szCs w:val="21"/>
        </w:rPr>
        <w:t xml:space="preserve">in plant growing </w:t>
      </w:r>
      <w:r w:rsidR="00BB71C6" w:rsidRPr="004E7A10">
        <w:rPr>
          <w:rFonts w:ascii="Garamond" w:hAnsi="Garamond" w:cs="Times New Roman"/>
          <w:sz w:val="21"/>
          <w:szCs w:val="21"/>
        </w:rPr>
        <w:t>wa</w:t>
      </w:r>
      <w:r w:rsidRPr="004E7A10">
        <w:rPr>
          <w:rFonts w:ascii="Garamond" w:hAnsi="Garamond" w:cs="Times New Roman"/>
          <w:sz w:val="21"/>
          <w:szCs w:val="21"/>
        </w:rPr>
        <w:t xml:space="preserve">s due to </w:t>
      </w:r>
      <w:r w:rsidR="00131467" w:rsidRPr="004E7A10">
        <w:rPr>
          <w:rFonts w:ascii="Garamond" w:hAnsi="Garamond" w:cs="Times New Roman"/>
          <w:sz w:val="21"/>
          <w:szCs w:val="21"/>
        </w:rPr>
        <w:t>dec</w:t>
      </w:r>
      <w:r w:rsidRPr="004E7A10">
        <w:rPr>
          <w:rFonts w:ascii="Garamond" w:hAnsi="Garamond" w:cs="Times New Roman"/>
          <w:sz w:val="21"/>
          <w:szCs w:val="21"/>
        </w:rPr>
        <w:t xml:space="preserve">reased prices in </w:t>
      </w:r>
      <w:r w:rsidR="00131467" w:rsidRPr="004E7A10">
        <w:rPr>
          <w:rFonts w:ascii="Garamond" w:hAnsi="Garamond" w:cs="Times New Roman"/>
          <w:sz w:val="21"/>
          <w:szCs w:val="21"/>
        </w:rPr>
        <w:t>groups</w:t>
      </w:r>
      <w:r w:rsidRPr="004E7A10">
        <w:rPr>
          <w:rFonts w:ascii="Garamond" w:hAnsi="Garamond" w:cs="Times New Roman"/>
          <w:sz w:val="21"/>
          <w:szCs w:val="21"/>
        </w:rPr>
        <w:t xml:space="preserve"> </w:t>
      </w:r>
      <w:r w:rsidR="001C27D7">
        <w:rPr>
          <w:rFonts w:ascii="Garamond" w:hAnsi="Garamond" w:cs="Times New Roman"/>
          <w:sz w:val="21"/>
          <w:szCs w:val="21"/>
        </w:rPr>
        <w:t>“</w:t>
      </w:r>
      <w:r w:rsidRPr="004E7A10">
        <w:rPr>
          <w:rFonts w:ascii="Garamond" w:hAnsi="Garamond" w:cs="Times New Roman"/>
          <w:sz w:val="21"/>
          <w:szCs w:val="21"/>
        </w:rPr>
        <w:t xml:space="preserve">potato and </w:t>
      </w:r>
      <w:r w:rsidR="007970A3" w:rsidRPr="004E7A10">
        <w:rPr>
          <w:rFonts w:ascii="Garamond" w:hAnsi="Garamond" w:cs="Times New Roman"/>
          <w:sz w:val="21"/>
          <w:szCs w:val="21"/>
        </w:rPr>
        <w:t>gourds</w:t>
      </w:r>
      <w:r w:rsidR="001C27D7">
        <w:rPr>
          <w:rFonts w:ascii="Garamond" w:hAnsi="Garamond" w:cs="Times New Roman"/>
          <w:sz w:val="21"/>
          <w:szCs w:val="21"/>
        </w:rPr>
        <w:t>”</w:t>
      </w:r>
      <w:r w:rsidRPr="004E7A10">
        <w:rPr>
          <w:rFonts w:ascii="Garamond" w:hAnsi="Garamond" w:cs="Times New Roman"/>
          <w:sz w:val="21"/>
          <w:szCs w:val="21"/>
        </w:rPr>
        <w:t xml:space="preserve"> (</w:t>
      </w:r>
      <w:r w:rsidR="007970A3">
        <w:rPr>
          <w:rFonts w:ascii="Garamond" w:hAnsi="Garamond" w:cs="Times New Roman"/>
          <w:sz w:val="21"/>
          <w:szCs w:val="21"/>
        </w:rPr>
        <w:t>12</w:t>
      </w:r>
      <w:r w:rsidRPr="004E7A10">
        <w:rPr>
          <w:rFonts w:ascii="Garamond" w:hAnsi="Garamond" w:cs="Times New Roman"/>
          <w:sz w:val="21"/>
          <w:szCs w:val="21"/>
        </w:rPr>
        <w:t xml:space="preserve">%), </w:t>
      </w:r>
      <w:r w:rsidR="00BB71C6" w:rsidRPr="004E7A10">
        <w:rPr>
          <w:rFonts w:ascii="Garamond" w:hAnsi="Garamond" w:cs="Times New Roman"/>
          <w:sz w:val="21"/>
          <w:szCs w:val="21"/>
        </w:rPr>
        <w:t xml:space="preserve">and </w:t>
      </w:r>
      <w:r w:rsidR="001C27D7">
        <w:rPr>
          <w:rFonts w:ascii="Garamond" w:hAnsi="Garamond" w:cs="Times New Roman"/>
          <w:sz w:val="21"/>
          <w:szCs w:val="21"/>
        </w:rPr>
        <w:t>“</w:t>
      </w:r>
      <w:r w:rsidR="00131467" w:rsidRPr="004E7A10">
        <w:rPr>
          <w:rFonts w:ascii="Garamond" w:hAnsi="Garamond" w:cs="Times New Roman"/>
          <w:sz w:val="21"/>
          <w:szCs w:val="21"/>
        </w:rPr>
        <w:t>grains</w:t>
      </w:r>
      <w:r w:rsidR="001C27D7">
        <w:rPr>
          <w:rFonts w:ascii="Garamond" w:hAnsi="Garamond" w:cs="Times New Roman"/>
          <w:sz w:val="21"/>
          <w:szCs w:val="21"/>
        </w:rPr>
        <w:t>”</w:t>
      </w:r>
      <w:r w:rsidRPr="004E7A10">
        <w:rPr>
          <w:rFonts w:ascii="Garamond" w:hAnsi="Garamond" w:cs="Times New Roman"/>
          <w:sz w:val="21"/>
          <w:szCs w:val="21"/>
        </w:rPr>
        <w:t xml:space="preserve"> (</w:t>
      </w:r>
      <w:r w:rsidR="007970A3">
        <w:rPr>
          <w:rFonts w:ascii="Garamond" w:hAnsi="Garamond" w:cs="Times New Roman"/>
          <w:sz w:val="21"/>
          <w:szCs w:val="21"/>
        </w:rPr>
        <w:t>6</w:t>
      </w:r>
      <w:r w:rsidRPr="004E7A10">
        <w:rPr>
          <w:rFonts w:ascii="Garamond" w:hAnsi="Garamond" w:cs="Times New Roman"/>
          <w:sz w:val="21"/>
          <w:szCs w:val="21"/>
        </w:rPr>
        <w:t>.</w:t>
      </w:r>
      <w:r w:rsidR="007970A3">
        <w:rPr>
          <w:rFonts w:ascii="Garamond" w:hAnsi="Garamond" w:cs="Times New Roman"/>
          <w:sz w:val="21"/>
          <w:szCs w:val="21"/>
        </w:rPr>
        <w:t>5</w:t>
      </w:r>
      <w:r w:rsidRPr="004E7A10">
        <w:rPr>
          <w:rFonts w:ascii="Garamond" w:hAnsi="Garamond" w:cs="Times New Roman"/>
          <w:sz w:val="21"/>
          <w:szCs w:val="21"/>
        </w:rPr>
        <w:t>%)</w:t>
      </w:r>
      <w:r w:rsidR="00131467" w:rsidRPr="004E7A10">
        <w:rPr>
          <w:rFonts w:ascii="Garamond" w:hAnsi="Garamond" w:cs="Times New Roman"/>
          <w:sz w:val="21"/>
          <w:szCs w:val="21"/>
        </w:rPr>
        <w:t xml:space="preserve">, whereas </w:t>
      </w:r>
      <w:r w:rsidR="007970A3">
        <w:rPr>
          <w:rFonts w:ascii="Garamond" w:hAnsi="Garamond" w:cs="Times New Roman"/>
          <w:sz w:val="21"/>
          <w:szCs w:val="21"/>
        </w:rPr>
        <w:t xml:space="preserve">price inflation </w:t>
      </w:r>
      <w:r w:rsidRPr="004E7A10">
        <w:rPr>
          <w:rFonts w:ascii="Garamond" w:hAnsi="Garamond" w:cs="Times New Roman"/>
          <w:sz w:val="21"/>
          <w:szCs w:val="21"/>
        </w:rPr>
        <w:t>in animal breeding w</w:t>
      </w:r>
      <w:r w:rsidR="007970A3">
        <w:rPr>
          <w:rFonts w:ascii="Garamond" w:hAnsi="Garamond" w:cs="Times New Roman"/>
          <w:sz w:val="21"/>
          <w:szCs w:val="21"/>
        </w:rPr>
        <w:t>as</w:t>
      </w:r>
      <w:r w:rsidRPr="004E7A10">
        <w:rPr>
          <w:rFonts w:ascii="Garamond" w:hAnsi="Garamond" w:cs="Times New Roman"/>
          <w:sz w:val="21"/>
          <w:szCs w:val="21"/>
        </w:rPr>
        <w:t xml:space="preserve"> mainly attributable to </w:t>
      </w:r>
      <w:r w:rsidR="007970A3">
        <w:rPr>
          <w:rFonts w:ascii="Garamond" w:hAnsi="Garamond" w:cs="Times New Roman"/>
          <w:sz w:val="21"/>
          <w:szCs w:val="21"/>
        </w:rPr>
        <w:t xml:space="preserve">the increases in </w:t>
      </w:r>
      <w:r w:rsidR="007970A3" w:rsidRPr="004E7A10">
        <w:rPr>
          <w:rFonts w:ascii="Garamond" w:hAnsi="Garamond" w:cs="Times New Roman"/>
          <w:sz w:val="21"/>
          <w:szCs w:val="21"/>
        </w:rPr>
        <w:t>milk and dairy products</w:t>
      </w:r>
      <w:r w:rsidR="007970A3">
        <w:rPr>
          <w:rFonts w:ascii="Garamond" w:hAnsi="Garamond" w:cs="Times New Roman"/>
          <w:sz w:val="21"/>
          <w:szCs w:val="21"/>
        </w:rPr>
        <w:t>, egg and meat by 10.4%, 4</w:t>
      </w:r>
      <w:r w:rsidR="00BB71C6" w:rsidRPr="004E7A10">
        <w:rPr>
          <w:rFonts w:ascii="Garamond" w:hAnsi="Garamond" w:cs="Times New Roman"/>
          <w:sz w:val="21"/>
          <w:szCs w:val="21"/>
        </w:rPr>
        <w:t>.7</w:t>
      </w:r>
      <w:r w:rsidRPr="004E7A10">
        <w:rPr>
          <w:rFonts w:ascii="Garamond" w:hAnsi="Garamond" w:cs="Times New Roman"/>
          <w:sz w:val="21"/>
          <w:szCs w:val="21"/>
        </w:rPr>
        <w:t xml:space="preserve">% </w:t>
      </w:r>
      <w:r w:rsidR="007970A3">
        <w:rPr>
          <w:rFonts w:ascii="Garamond" w:hAnsi="Garamond" w:cs="Times New Roman"/>
          <w:sz w:val="21"/>
          <w:szCs w:val="21"/>
        </w:rPr>
        <w:t xml:space="preserve">and 2.6%, </w:t>
      </w:r>
      <w:r w:rsidRPr="004E7A10">
        <w:rPr>
          <w:rFonts w:ascii="Garamond" w:hAnsi="Garamond" w:cs="Times New Roman"/>
          <w:sz w:val="21"/>
          <w:szCs w:val="21"/>
        </w:rPr>
        <w:t xml:space="preserve">respectively. </w:t>
      </w:r>
      <w:r w:rsidR="00154D71" w:rsidRPr="004E7A10">
        <w:rPr>
          <w:rFonts w:ascii="Garamond" w:hAnsi="Garamond" w:cs="Times New Roman"/>
          <w:sz w:val="21"/>
          <w:szCs w:val="21"/>
        </w:rPr>
        <w:t xml:space="preserve"> </w:t>
      </w:r>
    </w:p>
    <w:p w14:paraId="3CD50149"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 xml:space="preserve">Construction </w:t>
      </w:r>
      <w:r w:rsidRPr="004E7A10">
        <w:rPr>
          <w:rFonts w:ascii="Garamond" w:hAnsi="Garamond" w:cs="Times New Roman"/>
          <w:sz w:val="21"/>
          <w:szCs w:val="21"/>
        </w:rPr>
        <w:t xml:space="preserve">reported </w:t>
      </w:r>
      <w:r w:rsidR="006A5EB8">
        <w:rPr>
          <w:rFonts w:ascii="Garamond" w:hAnsi="Garamond" w:cs="Times New Roman"/>
          <w:sz w:val="21"/>
          <w:szCs w:val="21"/>
        </w:rPr>
        <w:t>6</w:t>
      </w:r>
      <w:r w:rsidRPr="004E7A10">
        <w:rPr>
          <w:rFonts w:ascii="Garamond" w:hAnsi="Garamond" w:cs="Times New Roman"/>
          <w:sz w:val="21"/>
          <w:szCs w:val="21"/>
        </w:rPr>
        <w:t>.</w:t>
      </w:r>
      <w:r w:rsidR="006A5EB8">
        <w:rPr>
          <w:rFonts w:ascii="Garamond" w:hAnsi="Garamond" w:cs="Times New Roman"/>
          <w:sz w:val="21"/>
          <w:szCs w:val="21"/>
        </w:rPr>
        <w:t>1</w:t>
      </w:r>
      <w:r w:rsidRPr="004E7A10">
        <w:rPr>
          <w:rFonts w:ascii="Garamond" w:hAnsi="Garamond" w:cs="Times New Roman"/>
          <w:sz w:val="21"/>
          <w:szCs w:val="21"/>
        </w:rPr>
        <w:t xml:space="preserve">% y/y price </w:t>
      </w:r>
      <w:r w:rsidR="00716934" w:rsidRPr="004E7A10">
        <w:rPr>
          <w:rFonts w:ascii="Garamond" w:hAnsi="Garamond" w:cs="Times New Roman"/>
          <w:sz w:val="21"/>
          <w:szCs w:val="21"/>
        </w:rPr>
        <w:t>increase</w:t>
      </w:r>
      <w:r w:rsidR="001A6378" w:rsidRPr="004E7A10">
        <w:rPr>
          <w:rFonts w:ascii="Garamond" w:hAnsi="Garamond" w:cs="Times New Roman"/>
          <w:sz w:val="21"/>
          <w:szCs w:val="21"/>
        </w:rPr>
        <w:t>s</w:t>
      </w:r>
      <w:r w:rsidRPr="004E7A10">
        <w:rPr>
          <w:rFonts w:ascii="Garamond" w:hAnsi="Garamond" w:cs="Times New Roman"/>
          <w:sz w:val="21"/>
          <w:szCs w:val="21"/>
        </w:rPr>
        <w:t xml:space="preserve"> during the </w:t>
      </w:r>
      <w:r w:rsidR="006A5EB8">
        <w:rPr>
          <w:rFonts w:ascii="Garamond" w:hAnsi="Garamond" w:cs="Times New Roman"/>
          <w:sz w:val="21"/>
          <w:szCs w:val="21"/>
        </w:rPr>
        <w:t xml:space="preserve">1st </w:t>
      </w:r>
      <w:r w:rsidRPr="004E7A10">
        <w:rPr>
          <w:rFonts w:ascii="Garamond" w:hAnsi="Garamond" w:cs="Times New Roman"/>
          <w:sz w:val="21"/>
          <w:szCs w:val="21"/>
        </w:rPr>
        <w:t xml:space="preserve">quarter, </w:t>
      </w:r>
      <w:r w:rsidR="006A5EB8">
        <w:rPr>
          <w:rFonts w:ascii="Garamond" w:hAnsi="Garamond" w:cs="Times New Roman"/>
          <w:sz w:val="21"/>
          <w:szCs w:val="21"/>
        </w:rPr>
        <w:t xml:space="preserve">determined by </w:t>
      </w:r>
      <w:r w:rsidR="00D17F1F">
        <w:rPr>
          <w:rFonts w:ascii="Garamond" w:hAnsi="Garamond" w:cs="Times New Roman"/>
          <w:sz w:val="21"/>
          <w:szCs w:val="21"/>
        </w:rPr>
        <w:t>increased costs in construction works (4.8%), e</w:t>
      </w:r>
      <w:r w:rsidR="00D17F1F" w:rsidRPr="00D17F1F">
        <w:rPr>
          <w:rFonts w:ascii="Garamond" w:hAnsi="Garamond" w:cs="Times New Roman"/>
          <w:sz w:val="21"/>
          <w:szCs w:val="21"/>
        </w:rPr>
        <w:t>quipment</w:t>
      </w:r>
      <w:r w:rsidR="00D17F1F">
        <w:rPr>
          <w:rFonts w:ascii="Garamond" w:hAnsi="Garamond" w:cs="Times New Roman"/>
          <w:sz w:val="21"/>
          <w:szCs w:val="21"/>
        </w:rPr>
        <w:t xml:space="preserve"> &amp; </w:t>
      </w:r>
      <w:r w:rsidR="00D17F1F" w:rsidRPr="00D17F1F">
        <w:rPr>
          <w:rFonts w:ascii="Garamond" w:hAnsi="Garamond" w:cs="Times New Roman"/>
          <w:sz w:val="21"/>
          <w:szCs w:val="21"/>
        </w:rPr>
        <w:t>materials</w:t>
      </w:r>
      <w:r w:rsidR="00D17F1F">
        <w:rPr>
          <w:rFonts w:ascii="Garamond" w:hAnsi="Garamond" w:cs="Times New Roman"/>
          <w:sz w:val="21"/>
          <w:szCs w:val="21"/>
        </w:rPr>
        <w:t xml:space="preserve"> (</w:t>
      </w:r>
      <w:r w:rsidR="00D17F1F" w:rsidRPr="00D17F1F">
        <w:rPr>
          <w:rFonts w:ascii="Garamond" w:hAnsi="Garamond" w:cs="Times New Roman"/>
          <w:sz w:val="21"/>
          <w:szCs w:val="21"/>
        </w:rPr>
        <w:t>2.7%</w:t>
      </w:r>
      <w:r w:rsidR="00D17F1F">
        <w:rPr>
          <w:rFonts w:ascii="Garamond" w:hAnsi="Garamond" w:cs="Times New Roman"/>
          <w:sz w:val="21"/>
          <w:szCs w:val="21"/>
        </w:rPr>
        <w:t>)</w:t>
      </w:r>
      <w:r w:rsidR="00D17F1F" w:rsidRPr="00D17F1F">
        <w:rPr>
          <w:rFonts w:ascii="Garamond" w:hAnsi="Garamond" w:cs="Times New Roman"/>
          <w:sz w:val="21"/>
          <w:szCs w:val="21"/>
        </w:rPr>
        <w:t xml:space="preserve"> </w:t>
      </w:r>
      <w:r w:rsidR="00D17F1F">
        <w:rPr>
          <w:rFonts w:ascii="Garamond" w:hAnsi="Garamond" w:cs="Times New Roman"/>
          <w:sz w:val="21"/>
          <w:szCs w:val="21"/>
        </w:rPr>
        <w:t xml:space="preserve">and </w:t>
      </w:r>
      <w:r w:rsidR="00D17F1F" w:rsidRPr="00D17F1F">
        <w:rPr>
          <w:rFonts w:ascii="Garamond" w:hAnsi="Garamond" w:cs="Times New Roman"/>
          <w:sz w:val="21"/>
          <w:szCs w:val="21"/>
        </w:rPr>
        <w:t>other expenses</w:t>
      </w:r>
      <w:r w:rsidR="00D17F1F">
        <w:rPr>
          <w:rFonts w:ascii="Garamond" w:hAnsi="Garamond" w:cs="Times New Roman"/>
          <w:sz w:val="21"/>
          <w:szCs w:val="21"/>
        </w:rPr>
        <w:t xml:space="preserve"> (17.1%)</w:t>
      </w:r>
      <w:r w:rsidR="00D17F1F" w:rsidRPr="00D17F1F">
        <w:rPr>
          <w:rFonts w:ascii="Garamond" w:hAnsi="Garamond" w:cs="Times New Roman"/>
          <w:sz w:val="21"/>
          <w:szCs w:val="21"/>
        </w:rPr>
        <w:t xml:space="preserve">. </w:t>
      </w:r>
      <w:r w:rsidR="00D17F1F">
        <w:rPr>
          <w:rFonts w:ascii="Garamond" w:hAnsi="Garamond" w:cs="Times New Roman"/>
          <w:sz w:val="21"/>
          <w:szCs w:val="21"/>
        </w:rPr>
        <w:t xml:space="preserve">Note that the inflation on </w:t>
      </w:r>
      <w:r w:rsidR="00D17F1F" w:rsidRPr="00D17F1F">
        <w:rPr>
          <w:rFonts w:ascii="Garamond" w:hAnsi="Garamond" w:cs="Times New Roman"/>
          <w:sz w:val="21"/>
          <w:szCs w:val="21"/>
        </w:rPr>
        <w:t xml:space="preserve">other expenses is primarily </w:t>
      </w:r>
      <w:r w:rsidR="00D17F1F">
        <w:rPr>
          <w:rFonts w:ascii="Garamond" w:hAnsi="Garamond" w:cs="Times New Roman"/>
          <w:sz w:val="21"/>
          <w:szCs w:val="21"/>
        </w:rPr>
        <w:t xml:space="preserve">due to a </w:t>
      </w:r>
      <w:r w:rsidR="00D17F1F" w:rsidRPr="00D17F1F">
        <w:rPr>
          <w:rFonts w:ascii="Garamond" w:hAnsi="Garamond" w:cs="Times New Roman"/>
          <w:sz w:val="21"/>
          <w:szCs w:val="21"/>
        </w:rPr>
        <w:t>wage growth</w:t>
      </w:r>
      <w:r w:rsidRPr="004E7A10">
        <w:rPr>
          <w:rFonts w:ascii="Garamond" w:hAnsi="Garamond" w:cs="Times New Roman"/>
          <w:sz w:val="21"/>
          <w:szCs w:val="21"/>
        </w:rPr>
        <w:t xml:space="preserve">. </w:t>
      </w:r>
    </w:p>
    <w:p w14:paraId="529F2FD3" w14:textId="77777777" w:rsidR="00A9653E" w:rsidRPr="004E7A10" w:rsidRDefault="00A9653E" w:rsidP="00A9653E">
      <w:pPr>
        <w:spacing w:before="240" w:line="360" w:lineRule="auto"/>
        <w:jc w:val="both"/>
        <w:rPr>
          <w:rFonts w:ascii="Garamond" w:hAnsi="Garamond" w:cs="Times New Roman"/>
          <w:sz w:val="21"/>
          <w:szCs w:val="21"/>
        </w:rPr>
      </w:pPr>
      <w:r w:rsidRPr="004E7A10">
        <w:rPr>
          <w:rFonts w:ascii="Garamond" w:hAnsi="Garamond" w:cs="Times New Roman"/>
          <w:b/>
          <w:sz w:val="21"/>
          <w:szCs w:val="21"/>
        </w:rPr>
        <w:t>Carriage</w:t>
      </w:r>
      <w:r w:rsidR="00556859" w:rsidRPr="004E7A10">
        <w:rPr>
          <w:rFonts w:ascii="Garamond" w:hAnsi="Garamond" w:cs="Times New Roman"/>
          <w:b/>
          <w:sz w:val="21"/>
          <w:szCs w:val="21"/>
        </w:rPr>
        <w:t xml:space="preserve"> </w:t>
      </w:r>
      <w:r w:rsidR="00556859" w:rsidRPr="004E7A10">
        <w:rPr>
          <w:rFonts w:ascii="Garamond" w:hAnsi="Garamond" w:cs="Times New Roman"/>
          <w:sz w:val="21"/>
          <w:szCs w:val="21"/>
        </w:rPr>
        <w:t>posted</w:t>
      </w:r>
      <w:r w:rsidRPr="004E7A10">
        <w:rPr>
          <w:rFonts w:ascii="Garamond" w:hAnsi="Garamond" w:cs="Times New Roman"/>
          <w:sz w:val="21"/>
          <w:szCs w:val="21"/>
        </w:rPr>
        <w:t xml:space="preserve"> </w:t>
      </w:r>
      <w:r w:rsidR="00CC6AFE">
        <w:rPr>
          <w:rFonts w:ascii="Garamond" w:hAnsi="Garamond" w:cs="Times New Roman"/>
          <w:sz w:val="21"/>
          <w:szCs w:val="21"/>
        </w:rPr>
        <w:t>2</w:t>
      </w:r>
      <w:r w:rsidRPr="004E7A10">
        <w:rPr>
          <w:rFonts w:ascii="Garamond" w:hAnsi="Garamond" w:cs="Times New Roman"/>
          <w:sz w:val="21"/>
          <w:szCs w:val="21"/>
        </w:rPr>
        <w:t>.</w:t>
      </w:r>
      <w:r w:rsidR="00CC6AFE">
        <w:rPr>
          <w:rFonts w:ascii="Garamond" w:hAnsi="Garamond" w:cs="Times New Roman"/>
          <w:sz w:val="21"/>
          <w:szCs w:val="21"/>
        </w:rPr>
        <w:t>9</w:t>
      </w:r>
      <w:r w:rsidRPr="004E7A10">
        <w:rPr>
          <w:rFonts w:ascii="Garamond" w:hAnsi="Garamond" w:cs="Times New Roman"/>
          <w:sz w:val="21"/>
          <w:szCs w:val="21"/>
        </w:rPr>
        <w:t xml:space="preserve">% y/y rise in </w:t>
      </w:r>
      <w:r w:rsidR="00556859" w:rsidRPr="004E7A10">
        <w:rPr>
          <w:rFonts w:ascii="Garamond" w:hAnsi="Garamond" w:cs="Times New Roman"/>
          <w:sz w:val="21"/>
          <w:szCs w:val="21"/>
        </w:rPr>
        <w:t>tariffs</w:t>
      </w:r>
      <w:r w:rsidRPr="004E7A10">
        <w:rPr>
          <w:rFonts w:ascii="Garamond" w:hAnsi="Garamond" w:cs="Times New Roman"/>
          <w:sz w:val="21"/>
          <w:szCs w:val="21"/>
        </w:rPr>
        <w:t xml:space="preserve"> </w:t>
      </w:r>
      <w:r w:rsidR="00556859" w:rsidRPr="004E7A10">
        <w:rPr>
          <w:rFonts w:ascii="Garamond" w:hAnsi="Garamond" w:cs="Times New Roman"/>
          <w:sz w:val="21"/>
          <w:szCs w:val="21"/>
        </w:rPr>
        <w:t xml:space="preserve">during the </w:t>
      </w:r>
      <w:r w:rsidR="00CC6AFE">
        <w:rPr>
          <w:rFonts w:ascii="Garamond" w:hAnsi="Garamond" w:cs="Times New Roman"/>
          <w:sz w:val="21"/>
          <w:szCs w:val="21"/>
        </w:rPr>
        <w:t>1st</w:t>
      </w:r>
      <w:r w:rsidR="00556859" w:rsidRPr="004E7A10">
        <w:rPr>
          <w:rFonts w:ascii="Garamond" w:hAnsi="Garamond" w:cs="Times New Roman"/>
          <w:sz w:val="21"/>
          <w:szCs w:val="21"/>
        </w:rPr>
        <w:t xml:space="preserve"> quarter</w:t>
      </w:r>
      <w:r w:rsidRPr="004E7A10">
        <w:rPr>
          <w:rFonts w:ascii="Garamond" w:hAnsi="Garamond" w:cs="Times New Roman"/>
          <w:sz w:val="21"/>
          <w:szCs w:val="21"/>
        </w:rPr>
        <w:t xml:space="preserve">, owing to </w:t>
      </w:r>
      <w:r w:rsidR="006C5E46" w:rsidRPr="004E7A10">
        <w:rPr>
          <w:rFonts w:ascii="Garamond" w:hAnsi="Garamond" w:cs="Times New Roman"/>
          <w:sz w:val="21"/>
          <w:szCs w:val="21"/>
        </w:rPr>
        <w:t>increased</w:t>
      </w:r>
      <w:r w:rsidRPr="004E7A10">
        <w:rPr>
          <w:rFonts w:ascii="Garamond" w:hAnsi="Garamond" w:cs="Times New Roman"/>
          <w:sz w:val="21"/>
          <w:szCs w:val="21"/>
        </w:rPr>
        <w:t xml:space="preserve"> tariffs </w:t>
      </w:r>
      <w:r w:rsidR="006C5E46" w:rsidRPr="004E7A10">
        <w:rPr>
          <w:rFonts w:ascii="Garamond" w:hAnsi="Garamond" w:cs="Times New Roman"/>
          <w:sz w:val="21"/>
          <w:szCs w:val="21"/>
        </w:rPr>
        <w:t>for</w:t>
      </w:r>
      <w:r w:rsidR="00556859" w:rsidRPr="004E7A10">
        <w:rPr>
          <w:rFonts w:ascii="Garamond" w:hAnsi="Garamond" w:cs="Times New Roman"/>
          <w:sz w:val="21"/>
          <w:szCs w:val="21"/>
        </w:rPr>
        <w:t xml:space="preserve"> </w:t>
      </w:r>
      <w:r w:rsidRPr="004E7A10">
        <w:rPr>
          <w:rFonts w:ascii="Garamond" w:hAnsi="Garamond" w:cs="Times New Roman"/>
          <w:sz w:val="21"/>
          <w:szCs w:val="21"/>
        </w:rPr>
        <w:t>railroad transport (1</w:t>
      </w:r>
      <w:r w:rsidR="00CC6AFE">
        <w:rPr>
          <w:rFonts w:ascii="Garamond" w:hAnsi="Garamond" w:cs="Times New Roman"/>
          <w:sz w:val="21"/>
          <w:szCs w:val="21"/>
        </w:rPr>
        <w:t>3</w:t>
      </w:r>
      <w:r w:rsidRPr="004E7A10">
        <w:rPr>
          <w:rFonts w:ascii="Garamond" w:hAnsi="Garamond" w:cs="Times New Roman"/>
          <w:sz w:val="21"/>
          <w:szCs w:val="21"/>
        </w:rPr>
        <w:t>%)</w:t>
      </w:r>
      <w:r w:rsidR="00CC6AFE">
        <w:rPr>
          <w:rFonts w:ascii="Garamond" w:hAnsi="Garamond" w:cs="Times New Roman"/>
          <w:sz w:val="21"/>
          <w:szCs w:val="21"/>
        </w:rPr>
        <w:t xml:space="preserve"> and truck</w:t>
      </w:r>
      <w:r w:rsidRPr="004E7A10">
        <w:rPr>
          <w:rFonts w:ascii="Garamond" w:hAnsi="Garamond" w:cs="Times New Roman"/>
          <w:sz w:val="21"/>
          <w:szCs w:val="21"/>
        </w:rPr>
        <w:t xml:space="preserve"> transportation (</w:t>
      </w:r>
      <w:r w:rsidR="00556859" w:rsidRPr="004E7A10">
        <w:rPr>
          <w:rFonts w:ascii="Garamond" w:hAnsi="Garamond" w:cs="Times New Roman"/>
          <w:sz w:val="21"/>
          <w:szCs w:val="21"/>
        </w:rPr>
        <w:t>1</w:t>
      </w:r>
      <w:r w:rsidRPr="004E7A10">
        <w:rPr>
          <w:rFonts w:ascii="Garamond" w:hAnsi="Garamond" w:cs="Times New Roman"/>
          <w:sz w:val="21"/>
          <w:szCs w:val="21"/>
        </w:rPr>
        <w:t>.</w:t>
      </w:r>
      <w:r w:rsidR="00CC6AFE">
        <w:rPr>
          <w:rFonts w:ascii="Garamond" w:hAnsi="Garamond" w:cs="Times New Roman"/>
          <w:sz w:val="21"/>
          <w:szCs w:val="21"/>
        </w:rPr>
        <w:t>3</w:t>
      </w:r>
      <w:r w:rsidRPr="004E7A10">
        <w:rPr>
          <w:rFonts w:ascii="Garamond" w:hAnsi="Garamond" w:cs="Times New Roman"/>
          <w:sz w:val="21"/>
          <w:szCs w:val="21"/>
        </w:rPr>
        <w:t xml:space="preserve">%). Note that higher </w:t>
      </w:r>
      <w:r w:rsidR="00CC6AFE">
        <w:rPr>
          <w:rFonts w:ascii="Garamond" w:hAnsi="Garamond" w:cs="Times New Roman"/>
          <w:sz w:val="21"/>
          <w:szCs w:val="21"/>
        </w:rPr>
        <w:t xml:space="preserve">railroad </w:t>
      </w:r>
      <w:r w:rsidR="00556859" w:rsidRPr="004E7A10">
        <w:rPr>
          <w:rFonts w:ascii="Garamond" w:hAnsi="Garamond" w:cs="Times New Roman"/>
          <w:sz w:val="21"/>
          <w:szCs w:val="21"/>
        </w:rPr>
        <w:t xml:space="preserve">tariffs </w:t>
      </w:r>
      <w:r w:rsidR="001F3957">
        <w:rPr>
          <w:rFonts w:ascii="Garamond" w:hAnsi="Garamond" w:cs="Times New Roman"/>
          <w:sz w:val="21"/>
          <w:szCs w:val="21"/>
        </w:rPr>
        <w:t>are</w:t>
      </w:r>
      <w:r w:rsidRPr="004E7A10">
        <w:rPr>
          <w:rFonts w:ascii="Garamond" w:hAnsi="Garamond" w:cs="Times New Roman"/>
          <w:sz w:val="21"/>
          <w:szCs w:val="21"/>
        </w:rPr>
        <w:t xml:space="preserve"> mainly </w:t>
      </w:r>
      <w:r w:rsidR="001F3957">
        <w:rPr>
          <w:rFonts w:ascii="Garamond" w:hAnsi="Garamond" w:cs="Times New Roman"/>
          <w:sz w:val="21"/>
          <w:szCs w:val="21"/>
        </w:rPr>
        <w:t xml:space="preserve">attributable </w:t>
      </w:r>
      <w:r w:rsidRPr="004E7A10">
        <w:rPr>
          <w:rFonts w:ascii="Garamond" w:hAnsi="Garamond" w:cs="Times New Roman"/>
          <w:sz w:val="21"/>
          <w:szCs w:val="21"/>
        </w:rPr>
        <w:t xml:space="preserve">to </w:t>
      </w:r>
      <w:r w:rsidR="001F3957">
        <w:rPr>
          <w:rFonts w:ascii="Garamond" w:hAnsi="Garamond" w:cs="Times New Roman"/>
          <w:sz w:val="21"/>
          <w:szCs w:val="21"/>
        </w:rPr>
        <w:t>the</w:t>
      </w:r>
      <w:r w:rsidRPr="004E7A10">
        <w:rPr>
          <w:rFonts w:ascii="Garamond" w:hAnsi="Garamond" w:cs="Times New Roman"/>
          <w:sz w:val="21"/>
          <w:szCs w:val="21"/>
        </w:rPr>
        <w:t xml:space="preserve"> energy prices</w:t>
      </w:r>
      <w:r w:rsidR="001F3957">
        <w:rPr>
          <w:rFonts w:ascii="Garamond" w:hAnsi="Garamond" w:cs="Times New Roman"/>
          <w:sz w:val="21"/>
          <w:szCs w:val="21"/>
        </w:rPr>
        <w:t xml:space="preserve"> having risen since August 1, 2014</w:t>
      </w:r>
      <w:r w:rsidRPr="004E7A10">
        <w:rPr>
          <w:rFonts w:ascii="Garamond" w:hAnsi="Garamond" w:cs="Times New Roman"/>
          <w:sz w:val="21"/>
          <w:szCs w:val="21"/>
        </w:rPr>
        <w:t>.</w:t>
      </w:r>
    </w:p>
    <w:p w14:paraId="3FFA977B"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3.1.3 Inflation and interest rate expectations</w:t>
      </w:r>
    </w:p>
    <w:p w14:paraId="0B921DC2" w14:textId="77777777" w:rsidR="007335DB" w:rsidRPr="004E7A10" w:rsidRDefault="004142A3" w:rsidP="00A9653E">
      <w:pPr>
        <w:spacing w:line="360" w:lineRule="auto"/>
        <w:jc w:val="both"/>
        <w:rPr>
          <w:rFonts w:ascii="Garamond" w:hAnsi="Garamond" w:cs="Times New Roman"/>
          <w:sz w:val="21"/>
          <w:szCs w:val="21"/>
        </w:rPr>
      </w:pPr>
      <w:r w:rsidRPr="00FD6DDB">
        <w:rPr>
          <w:rFonts w:ascii="Garamond" w:hAnsi="Garamond" w:cs="Times New Roman"/>
          <w:sz w:val="21"/>
          <w:szCs w:val="21"/>
        </w:rPr>
        <w:t xml:space="preserve">The </w:t>
      </w:r>
      <w:r w:rsidR="00FD6DDB" w:rsidRPr="00FD6DDB">
        <w:rPr>
          <w:rFonts w:ascii="Garamond" w:hAnsi="Garamond" w:cs="Times New Roman"/>
          <w:sz w:val="21"/>
          <w:szCs w:val="21"/>
        </w:rPr>
        <w:t>Central Bank</w:t>
      </w:r>
      <w:r w:rsidR="00FD6DDB">
        <w:rPr>
          <w:rFonts w:ascii="Garamond" w:hAnsi="Garamond" w:cs="Times New Roman"/>
          <w:sz w:val="21"/>
          <w:szCs w:val="21"/>
        </w:rPr>
        <w:t>’s</w:t>
      </w:r>
      <w:r w:rsidR="00FD6DDB" w:rsidRPr="00FD6DDB">
        <w:rPr>
          <w:rFonts w:ascii="Garamond" w:hAnsi="Garamond" w:cs="Times New Roman"/>
          <w:sz w:val="21"/>
          <w:szCs w:val="21"/>
        </w:rPr>
        <w:t xml:space="preserve"> </w:t>
      </w:r>
      <w:r w:rsidR="00FD6DDB">
        <w:rPr>
          <w:rFonts w:ascii="Garamond" w:hAnsi="Garamond" w:cs="Times New Roman"/>
          <w:sz w:val="21"/>
          <w:szCs w:val="21"/>
        </w:rPr>
        <w:t xml:space="preserve">Q1 </w:t>
      </w:r>
      <w:r w:rsidR="00A9653E" w:rsidRPr="00FD6DDB">
        <w:rPr>
          <w:rFonts w:ascii="Garamond" w:hAnsi="Garamond" w:cs="Times New Roman"/>
          <w:sz w:val="21"/>
          <w:szCs w:val="21"/>
        </w:rPr>
        <w:t>201</w:t>
      </w:r>
      <w:r w:rsidR="00FD6DDB">
        <w:rPr>
          <w:rFonts w:ascii="Garamond" w:hAnsi="Garamond" w:cs="Times New Roman"/>
          <w:sz w:val="21"/>
          <w:szCs w:val="21"/>
        </w:rPr>
        <w:t>5</w:t>
      </w:r>
      <w:r w:rsidR="00A9653E" w:rsidRPr="00FD6DDB">
        <w:rPr>
          <w:rFonts w:ascii="Garamond" w:hAnsi="Garamond" w:cs="Times New Roman"/>
          <w:sz w:val="21"/>
          <w:szCs w:val="21"/>
        </w:rPr>
        <w:t xml:space="preserve"> survey on financial sector and household expectations of</w:t>
      </w:r>
      <w:r w:rsidR="00A9653E" w:rsidRPr="004E7A10">
        <w:rPr>
          <w:rFonts w:ascii="Garamond" w:hAnsi="Garamond" w:cs="Times New Roman"/>
          <w:sz w:val="21"/>
          <w:szCs w:val="21"/>
        </w:rPr>
        <w:t xml:space="preserve"> selected macroeconomic indicators suggest</w:t>
      </w:r>
      <w:r w:rsidR="00FD6DDB">
        <w:rPr>
          <w:rFonts w:ascii="Garamond" w:hAnsi="Garamond" w:cs="Times New Roman"/>
          <w:sz w:val="21"/>
          <w:szCs w:val="21"/>
        </w:rPr>
        <w:t>s</w:t>
      </w:r>
      <w:r w:rsidR="00A9653E" w:rsidRPr="004E7A10">
        <w:rPr>
          <w:rFonts w:ascii="Garamond" w:hAnsi="Garamond" w:cs="Times New Roman"/>
          <w:sz w:val="21"/>
          <w:szCs w:val="21"/>
        </w:rPr>
        <w:t xml:space="preserve"> that inflationary expectations for an upcoming one-year horizon</w:t>
      </w:r>
      <w:r w:rsidR="006C5E46" w:rsidRPr="004E7A10">
        <w:rPr>
          <w:rFonts w:ascii="Garamond" w:hAnsi="Garamond" w:cs="Times New Roman"/>
          <w:sz w:val="21"/>
          <w:szCs w:val="21"/>
        </w:rPr>
        <w:t xml:space="preserve"> have </w:t>
      </w:r>
      <w:r w:rsidR="00FD6DDB">
        <w:rPr>
          <w:rFonts w:ascii="Garamond" w:hAnsi="Garamond" w:cs="Times New Roman"/>
          <w:sz w:val="21"/>
          <w:szCs w:val="21"/>
        </w:rPr>
        <w:t>somewhat eased as the Bank succeeded in anchoring such expectations in the domestic financial market after a series of actions it took later in 2014 in response to geopolitical developments in the world and the region</w:t>
      </w:r>
      <w:r w:rsidR="000F7DC0" w:rsidRPr="004E7A10">
        <w:rPr>
          <w:rFonts w:ascii="Garamond" w:hAnsi="Garamond" w:cs="Times New Roman"/>
          <w:sz w:val="21"/>
          <w:szCs w:val="21"/>
        </w:rPr>
        <w:t xml:space="preserve">. </w:t>
      </w:r>
      <w:r w:rsidR="00016094">
        <w:rPr>
          <w:rFonts w:ascii="Garamond" w:hAnsi="Garamond" w:cs="Times New Roman"/>
          <w:sz w:val="21"/>
          <w:szCs w:val="21"/>
        </w:rPr>
        <w:t>Thus</w:t>
      </w:r>
      <w:r w:rsidR="000F7DC0" w:rsidRPr="004E7A10">
        <w:rPr>
          <w:rFonts w:ascii="Garamond" w:hAnsi="Garamond" w:cs="Times New Roman"/>
          <w:sz w:val="21"/>
          <w:szCs w:val="21"/>
        </w:rPr>
        <w:t xml:space="preserve">, </w:t>
      </w:r>
      <w:r w:rsidR="00A9653E" w:rsidRPr="004E7A10">
        <w:rPr>
          <w:rFonts w:ascii="Garamond" w:hAnsi="Garamond" w:cs="Times New Roman"/>
          <w:sz w:val="21"/>
          <w:szCs w:val="21"/>
        </w:rPr>
        <w:t xml:space="preserve">most banks </w:t>
      </w:r>
      <w:r w:rsidR="000F7DC0" w:rsidRPr="004E7A10">
        <w:rPr>
          <w:rFonts w:ascii="Garamond" w:hAnsi="Garamond" w:cs="Times New Roman"/>
          <w:sz w:val="21"/>
          <w:szCs w:val="21"/>
        </w:rPr>
        <w:t>ha</w:t>
      </w:r>
      <w:r w:rsidR="00016094">
        <w:rPr>
          <w:rFonts w:ascii="Garamond" w:hAnsi="Garamond" w:cs="Times New Roman"/>
          <w:sz w:val="21"/>
          <w:szCs w:val="21"/>
        </w:rPr>
        <w:t xml:space="preserve">ve </w:t>
      </w:r>
      <w:r w:rsidR="00A9653E" w:rsidRPr="004E7A10">
        <w:rPr>
          <w:rFonts w:ascii="Garamond" w:hAnsi="Garamond" w:cs="Times New Roman"/>
          <w:sz w:val="21"/>
          <w:szCs w:val="21"/>
        </w:rPr>
        <w:t xml:space="preserve">their expectations of the 12-month inflation </w:t>
      </w:r>
      <w:r w:rsidR="00473E52" w:rsidRPr="004E7A10">
        <w:rPr>
          <w:rFonts w:ascii="Garamond" w:hAnsi="Garamond" w:cs="Times New Roman"/>
          <w:sz w:val="21"/>
          <w:szCs w:val="21"/>
        </w:rPr>
        <w:t xml:space="preserve">rate </w:t>
      </w:r>
      <w:r w:rsidR="000F7DC0" w:rsidRPr="004E7A10">
        <w:rPr>
          <w:rFonts w:ascii="Garamond" w:hAnsi="Garamond" w:cs="Times New Roman"/>
          <w:sz w:val="21"/>
          <w:szCs w:val="21"/>
        </w:rPr>
        <w:t xml:space="preserve">anchored </w:t>
      </w:r>
      <w:r w:rsidR="00A9653E" w:rsidRPr="004E7A10">
        <w:rPr>
          <w:rFonts w:ascii="Garamond" w:hAnsi="Garamond" w:cs="Times New Roman"/>
          <w:sz w:val="21"/>
          <w:szCs w:val="21"/>
        </w:rPr>
        <w:t xml:space="preserve">around </w:t>
      </w:r>
      <w:r w:rsidR="000F7DC0" w:rsidRPr="004E7A10">
        <w:rPr>
          <w:rFonts w:ascii="Garamond" w:hAnsi="Garamond" w:cs="Times New Roman"/>
          <w:sz w:val="21"/>
          <w:szCs w:val="21"/>
        </w:rPr>
        <w:t xml:space="preserve">the </w:t>
      </w:r>
      <w:r w:rsidR="00016094">
        <w:rPr>
          <w:rFonts w:ascii="Garamond" w:hAnsi="Garamond" w:cs="Times New Roman"/>
          <w:sz w:val="21"/>
          <w:szCs w:val="21"/>
        </w:rPr>
        <w:t>4</w:t>
      </w:r>
      <w:r w:rsidR="000F7DC0" w:rsidRPr="004E7A10">
        <w:rPr>
          <w:rFonts w:ascii="Garamond" w:hAnsi="Garamond" w:cs="Times New Roman"/>
          <w:sz w:val="21"/>
          <w:szCs w:val="21"/>
        </w:rPr>
        <w:t>.8</w:t>
      </w:r>
      <w:r w:rsidR="00473E52" w:rsidRPr="004E7A10">
        <w:rPr>
          <w:rFonts w:ascii="Garamond" w:hAnsi="Garamond" w:cs="Times New Roman"/>
          <w:sz w:val="21"/>
          <w:szCs w:val="21"/>
        </w:rPr>
        <w:t>%</w:t>
      </w:r>
      <w:r w:rsidR="00A9653E" w:rsidRPr="004E7A10">
        <w:rPr>
          <w:rFonts w:ascii="Garamond" w:hAnsi="Garamond" w:cs="Times New Roman"/>
          <w:sz w:val="21"/>
          <w:szCs w:val="21"/>
        </w:rPr>
        <w:t xml:space="preserve"> </w:t>
      </w:r>
      <w:r w:rsidR="000F7DC0" w:rsidRPr="004E7A10">
        <w:rPr>
          <w:rFonts w:ascii="Garamond" w:hAnsi="Garamond" w:cs="Times New Roman"/>
          <w:sz w:val="21"/>
          <w:szCs w:val="21"/>
        </w:rPr>
        <w:t xml:space="preserve">level against </w:t>
      </w:r>
      <w:r w:rsidR="00016094">
        <w:rPr>
          <w:rFonts w:ascii="Garamond" w:hAnsi="Garamond" w:cs="Times New Roman"/>
          <w:sz w:val="21"/>
          <w:szCs w:val="21"/>
        </w:rPr>
        <w:t>the</w:t>
      </w:r>
      <w:r w:rsidR="000F7DC0" w:rsidRPr="004E7A10">
        <w:rPr>
          <w:rFonts w:ascii="Garamond" w:hAnsi="Garamond" w:cs="Times New Roman"/>
          <w:sz w:val="21"/>
          <w:szCs w:val="21"/>
        </w:rPr>
        <w:t xml:space="preserve"> 5.</w:t>
      </w:r>
      <w:r w:rsidR="00016094">
        <w:rPr>
          <w:rFonts w:ascii="Garamond" w:hAnsi="Garamond" w:cs="Times New Roman"/>
          <w:sz w:val="21"/>
          <w:szCs w:val="21"/>
        </w:rPr>
        <w:t>8</w:t>
      </w:r>
      <w:r w:rsidR="000F7DC0" w:rsidRPr="004E7A10">
        <w:rPr>
          <w:rFonts w:ascii="Garamond" w:hAnsi="Garamond" w:cs="Times New Roman"/>
          <w:sz w:val="21"/>
          <w:szCs w:val="21"/>
        </w:rPr>
        <w:t xml:space="preserve">% </w:t>
      </w:r>
      <w:r w:rsidR="00016094">
        <w:rPr>
          <w:rFonts w:ascii="Garamond" w:hAnsi="Garamond" w:cs="Times New Roman"/>
          <w:sz w:val="21"/>
          <w:szCs w:val="21"/>
        </w:rPr>
        <w:t xml:space="preserve">indicator reported in </w:t>
      </w:r>
      <w:r w:rsidR="000F7DC0" w:rsidRPr="004E7A10">
        <w:rPr>
          <w:rFonts w:ascii="Garamond" w:hAnsi="Garamond" w:cs="Times New Roman"/>
          <w:sz w:val="21"/>
          <w:szCs w:val="21"/>
        </w:rPr>
        <w:t>the previous survey</w:t>
      </w:r>
      <w:r w:rsidR="00A9653E" w:rsidRPr="004E7A10">
        <w:rPr>
          <w:rFonts w:ascii="Garamond" w:hAnsi="Garamond" w:cs="Times New Roman"/>
          <w:sz w:val="21"/>
          <w:szCs w:val="21"/>
        </w:rPr>
        <w:t xml:space="preserve"> </w:t>
      </w:r>
      <w:r w:rsidR="00473E52" w:rsidRPr="004E7A10">
        <w:rPr>
          <w:rFonts w:ascii="Garamond" w:hAnsi="Garamond" w:cs="Times New Roman"/>
          <w:sz w:val="21"/>
          <w:szCs w:val="21"/>
        </w:rPr>
        <w:t xml:space="preserve">and </w:t>
      </w:r>
      <w:r w:rsidR="00016094">
        <w:rPr>
          <w:rFonts w:ascii="Garamond" w:hAnsi="Garamond" w:cs="Times New Roman"/>
          <w:sz w:val="21"/>
          <w:szCs w:val="21"/>
        </w:rPr>
        <w:t xml:space="preserve">the households </w:t>
      </w:r>
      <w:r w:rsidR="00A9653E" w:rsidRPr="004E7A10">
        <w:rPr>
          <w:rFonts w:ascii="Garamond" w:hAnsi="Garamond" w:cs="Times New Roman"/>
          <w:sz w:val="21"/>
          <w:szCs w:val="21"/>
        </w:rPr>
        <w:t xml:space="preserve">in the region of </w:t>
      </w:r>
      <w:r w:rsidR="00016094">
        <w:rPr>
          <w:rFonts w:ascii="Garamond" w:hAnsi="Garamond" w:cs="Times New Roman"/>
          <w:sz w:val="21"/>
          <w:szCs w:val="21"/>
        </w:rPr>
        <w:t>3</w:t>
      </w:r>
      <w:r w:rsidR="00A9653E" w:rsidRPr="004E7A10">
        <w:rPr>
          <w:rFonts w:ascii="Garamond" w:hAnsi="Garamond" w:cs="Times New Roman"/>
          <w:sz w:val="21"/>
          <w:szCs w:val="21"/>
        </w:rPr>
        <w:t>.</w:t>
      </w:r>
      <w:r w:rsidR="00016094">
        <w:rPr>
          <w:rFonts w:ascii="Garamond" w:hAnsi="Garamond" w:cs="Times New Roman"/>
          <w:sz w:val="21"/>
          <w:szCs w:val="21"/>
        </w:rPr>
        <w:t>7</w:t>
      </w:r>
      <w:r w:rsidR="00A9653E" w:rsidRPr="004E7A10">
        <w:rPr>
          <w:rFonts w:ascii="Garamond" w:hAnsi="Garamond" w:cs="Times New Roman"/>
          <w:sz w:val="21"/>
          <w:szCs w:val="21"/>
        </w:rPr>
        <w:t>%</w:t>
      </w:r>
      <w:r w:rsidR="00016094">
        <w:rPr>
          <w:rFonts w:ascii="Garamond" w:hAnsi="Garamond" w:cs="Times New Roman"/>
          <w:sz w:val="21"/>
          <w:szCs w:val="21"/>
        </w:rPr>
        <w:t>, representing a downside adjustment relative to the previous indicator</w:t>
      </w:r>
      <w:r w:rsidR="000F7DC0" w:rsidRPr="004E7A10">
        <w:rPr>
          <w:rFonts w:ascii="Garamond" w:hAnsi="Garamond" w:cs="Times New Roman"/>
          <w:sz w:val="21"/>
          <w:szCs w:val="21"/>
        </w:rPr>
        <w:t xml:space="preserve">. </w:t>
      </w:r>
    </w:p>
    <w:p w14:paraId="7F8C474E" w14:textId="77777777" w:rsidR="00A9653E" w:rsidRPr="004E7A10" w:rsidRDefault="00473E52"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results of the survey </w:t>
      </w:r>
      <w:r w:rsidR="00AB68AE" w:rsidRPr="004E7A10">
        <w:rPr>
          <w:rFonts w:ascii="Garamond" w:hAnsi="Garamond" w:cs="Times New Roman"/>
          <w:sz w:val="21"/>
          <w:szCs w:val="21"/>
        </w:rPr>
        <w:t xml:space="preserve">predict a certain rise in </w:t>
      </w:r>
      <w:r w:rsidR="00C22893" w:rsidRPr="004E7A10">
        <w:rPr>
          <w:rFonts w:ascii="Garamond" w:hAnsi="Garamond" w:cs="Times New Roman"/>
          <w:sz w:val="21"/>
          <w:szCs w:val="21"/>
        </w:rPr>
        <w:t xml:space="preserve">interest rates of </w:t>
      </w:r>
      <w:r w:rsidR="00016094">
        <w:rPr>
          <w:rFonts w:ascii="Garamond" w:hAnsi="Garamond" w:cs="Times New Roman"/>
          <w:sz w:val="21"/>
          <w:szCs w:val="21"/>
        </w:rPr>
        <w:t xml:space="preserve">dram </w:t>
      </w:r>
      <w:r w:rsidR="00C22893" w:rsidRPr="004E7A10">
        <w:rPr>
          <w:rFonts w:ascii="Garamond" w:hAnsi="Garamond" w:cs="Times New Roman"/>
          <w:sz w:val="21"/>
          <w:szCs w:val="21"/>
        </w:rPr>
        <w:t>deposit</w:t>
      </w:r>
      <w:r w:rsidR="00016094">
        <w:rPr>
          <w:rFonts w:ascii="Garamond" w:hAnsi="Garamond" w:cs="Times New Roman"/>
          <w:sz w:val="21"/>
          <w:szCs w:val="21"/>
        </w:rPr>
        <w:t>s</w:t>
      </w:r>
      <w:r w:rsidR="00C22893" w:rsidRPr="004E7A10">
        <w:rPr>
          <w:rFonts w:ascii="Garamond" w:hAnsi="Garamond" w:cs="Times New Roman"/>
          <w:sz w:val="21"/>
          <w:szCs w:val="21"/>
        </w:rPr>
        <w:t xml:space="preserve"> </w:t>
      </w:r>
      <w:r w:rsidR="00016094">
        <w:rPr>
          <w:rFonts w:ascii="Garamond" w:hAnsi="Garamond" w:cs="Times New Roman"/>
          <w:sz w:val="21"/>
          <w:szCs w:val="21"/>
        </w:rPr>
        <w:t xml:space="preserve">in </w:t>
      </w:r>
      <w:r w:rsidR="00016094" w:rsidRPr="004E7A10">
        <w:rPr>
          <w:rFonts w:ascii="Garamond" w:hAnsi="Garamond" w:cs="Times New Roman"/>
          <w:sz w:val="21"/>
          <w:szCs w:val="21"/>
        </w:rPr>
        <w:t xml:space="preserve">a one-year horizon </w:t>
      </w:r>
      <w:r w:rsidR="00016094">
        <w:rPr>
          <w:rFonts w:ascii="Garamond" w:hAnsi="Garamond" w:cs="Times New Roman"/>
          <w:sz w:val="21"/>
          <w:szCs w:val="21"/>
        </w:rPr>
        <w:t xml:space="preserve">whereas interest rates of foreign currency deposits are expected to go a downward path, which is, again, explained by the end-year measures taken by the Central Bank. In the upcoming one-year horizon, </w:t>
      </w:r>
      <w:r w:rsidR="00DC432A">
        <w:rPr>
          <w:rFonts w:ascii="Garamond" w:hAnsi="Garamond" w:cs="Times New Roman"/>
          <w:sz w:val="21"/>
          <w:szCs w:val="21"/>
        </w:rPr>
        <w:t xml:space="preserve">interest rates of dram and foreign currency funds allocated by the financial sector are likely to increase, too. </w:t>
      </w:r>
    </w:p>
    <w:p w14:paraId="43988581"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3.2 Aggregate supply and Aggregate demand</w:t>
      </w:r>
    </w:p>
    <w:p w14:paraId="4D467D9B"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lastRenderedPageBreak/>
        <w:t>3.2.1 Aggregate supply</w:t>
      </w:r>
      <w:r w:rsidR="00DC432A">
        <w:rPr>
          <w:rStyle w:val="FootnoteReference"/>
          <w:rFonts w:ascii="Garamond" w:hAnsi="Garamond" w:cs="Times New Roman"/>
          <w:b/>
          <w:sz w:val="21"/>
          <w:szCs w:val="21"/>
        </w:rPr>
        <w:footnoteReference w:customMarkFollows="1" w:id="12"/>
        <w:t>12</w:t>
      </w:r>
    </w:p>
    <w:p w14:paraId="244D71B0" w14:textId="77777777" w:rsidR="008634F0" w:rsidRPr="004E7A10" w:rsidRDefault="00A9653E"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The </w:t>
      </w:r>
      <w:r w:rsidRPr="004E7A10">
        <w:rPr>
          <w:rStyle w:val="longtext"/>
          <w:rFonts w:ascii="Garamond" w:hAnsi="Garamond" w:cs="Times New Roman"/>
          <w:b/>
          <w:color w:val="000000"/>
          <w:sz w:val="21"/>
          <w:szCs w:val="21"/>
          <w:shd w:val="clear" w:color="auto" w:fill="FFFFFF"/>
        </w:rPr>
        <w:t>economic growth</w:t>
      </w:r>
      <w:r w:rsidR="00102D83">
        <w:rPr>
          <w:rStyle w:val="longtext"/>
          <w:rFonts w:ascii="Garamond" w:hAnsi="Garamond" w:cs="Times New Roman"/>
          <w:b/>
          <w:color w:val="000000"/>
          <w:sz w:val="21"/>
          <w:szCs w:val="21"/>
          <w:shd w:val="clear" w:color="auto" w:fill="FFFFFF"/>
        </w:rPr>
        <w:t xml:space="preserve"> indicator</w:t>
      </w:r>
      <w:r w:rsidRPr="004E7A10">
        <w:rPr>
          <w:rStyle w:val="longtext"/>
          <w:rFonts w:ascii="Garamond" w:hAnsi="Garamond" w:cs="Times New Roman"/>
          <w:b/>
          <w:color w:val="000000"/>
          <w:sz w:val="21"/>
          <w:szCs w:val="21"/>
          <w:shd w:val="clear" w:color="auto" w:fill="FFFFFF"/>
        </w:rPr>
        <w:t xml:space="preserve"> </w:t>
      </w:r>
      <w:r w:rsidR="00102D83" w:rsidRPr="00102D83">
        <w:rPr>
          <w:rStyle w:val="longtext"/>
          <w:rFonts w:ascii="Garamond" w:hAnsi="Garamond" w:cs="Times New Roman"/>
          <w:color w:val="000000"/>
          <w:sz w:val="21"/>
          <w:szCs w:val="21"/>
          <w:shd w:val="clear" w:color="auto" w:fill="FFFFFF"/>
        </w:rPr>
        <w:t>published by the National Statistics Service</w:t>
      </w:r>
      <w:r w:rsidR="00102D83">
        <w:rPr>
          <w:rStyle w:val="longtext"/>
          <w:rFonts w:ascii="Garamond" w:hAnsi="Garamond" w:cs="Times New Roman"/>
          <w:color w:val="000000"/>
          <w:sz w:val="21"/>
          <w:szCs w:val="21"/>
          <w:shd w:val="clear" w:color="auto" w:fill="FFFFFF"/>
        </w:rPr>
        <w:t xml:space="preserve"> for 2014 was 2</w:t>
      </w:r>
      <w:r w:rsidRPr="004E7A10">
        <w:rPr>
          <w:rStyle w:val="longtext"/>
          <w:rFonts w:ascii="Garamond" w:hAnsi="Garamond" w:cs="Times New Roman"/>
          <w:color w:val="000000"/>
          <w:sz w:val="21"/>
          <w:szCs w:val="21"/>
          <w:shd w:val="clear" w:color="auto" w:fill="FFFFFF"/>
        </w:rPr>
        <w:t>.</w:t>
      </w:r>
      <w:r w:rsidR="00102D83">
        <w:rPr>
          <w:rStyle w:val="longtext"/>
          <w:rFonts w:ascii="Garamond" w:hAnsi="Garamond" w:cs="Times New Roman"/>
          <w:color w:val="000000"/>
          <w:sz w:val="21"/>
          <w:szCs w:val="21"/>
          <w:shd w:val="clear" w:color="auto" w:fill="FFFFFF"/>
        </w:rPr>
        <w:t>7</w:t>
      </w:r>
      <w:r w:rsidRPr="004E7A10">
        <w:rPr>
          <w:rStyle w:val="longtext"/>
          <w:rFonts w:ascii="Garamond" w:hAnsi="Garamond" w:cs="Times New Roman"/>
          <w:color w:val="000000"/>
          <w:sz w:val="21"/>
          <w:szCs w:val="21"/>
          <w:shd w:val="clear" w:color="auto" w:fill="FFFFFF"/>
        </w:rPr>
        <w:t xml:space="preserve">% y/y, </w:t>
      </w:r>
      <w:r w:rsidR="00102D83">
        <w:rPr>
          <w:rStyle w:val="longtext"/>
          <w:rFonts w:ascii="Garamond" w:hAnsi="Garamond" w:cs="Times New Roman"/>
          <w:color w:val="000000"/>
          <w:sz w:val="21"/>
          <w:szCs w:val="21"/>
          <w:shd w:val="clear" w:color="auto" w:fill="FFFFFF"/>
        </w:rPr>
        <w:t xml:space="preserve">in </w:t>
      </w:r>
      <w:r w:rsidRPr="004E7A10">
        <w:rPr>
          <w:rStyle w:val="longtext"/>
          <w:rFonts w:ascii="Garamond" w:hAnsi="Garamond" w:cs="Times New Roman"/>
          <w:color w:val="000000"/>
          <w:sz w:val="21"/>
          <w:szCs w:val="21"/>
          <w:shd w:val="clear" w:color="auto" w:fill="FFFFFF"/>
        </w:rPr>
        <w:t>w</w:t>
      </w:r>
      <w:r w:rsidR="008634F0" w:rsidRPr="004E7A10">
        <w:rPr>
          <w:rStyle w:val="longtext"/>
          <w:rFonts w:ascii="Garamond" w:hAnsi="Garamond" w:cs="Times New Roman"/>
          <w:color w:val="000000"/>
          <w:sz w:val="21"/>
          <w:szCs w:val="21"/>
          <w:shd w:val="clear" w:color="auto" w:fill="FFFFFF"/>
        </w:rPr>
        <w:t xml:space="preserve">hich </w:t>
      </w:r>
      <w:r w:rsidR="00102D83">
        <w:rPr>
          <w:rStyle w:val="longtext"/>
          <w:rFonts w:ascii="Garamond" w:hAnsi="Garamond" w:cs="Times New Roman"/>
          <w:color w:val="000000"/>
          <w:sz w:val="21"/>
          <w:szCs w:val="21"/>
          <w:shd w:val="clear" w:color="auto" w:fill="FFFFFF"/>
        </w:rPr>
        <w:t xml:space="preserve">case the January-December </w:t>
      </w:r>
      <w:r w:rsidR="00102D83" w:rsidRPr="00102D83">
        <w:rPr>
          <w:rStyle w:val="longtext"/>
          <w:rFonts w:ascii="Garamond" w:hAnsi="Garamond" w:cs="Times New Roman"/>
          <w:b/>
          <w:color w:val="000000"/>
          <w:sz w:val="21"/>
          <w:szCs w:val="21"/>
          <w:shd w:val="clear" w:color="auto" w:fill="FFFFFF"/>
        </w:rPr>
        <w:t>growth</w:t>
      </w:r>
      <w:r w:rsidR="00102D83">
        <w:rPr>
          <w:rStyle w:val="longtext"/>
          <w:rFonts w:ascii="Garamond" w:hAnsi="Garamond" w:cs="Times New Roman"/>
          <w:color w:val="000000"/>
          <w:sz w:val="21"/>
          <w:szCs w:val="21"/>
          <w:shd w:val="clear" w:color="auto" w:fill="FFFFFF"/>
        </w:rPr>
        <w:t xml:space="preserve"> has been 3.4% y/y, consistent with the economic growth indicator as outlined in previous two forecasts of the Central Bank</w:t>
      </w:r>
      <w:r w:rsidR="008634F0" w:rsidRPr="004E7A10">
        <w:rPr>
          <w:rStyle w:val="longtext"/>
          <w:rFonts w:ascii="Garamond" w:hAnsi="Garamond" w:cs="Times New Roman"/>
          <w:color w:val="000000"/>
          <w:sz w:val="21"/>
          <w:szCs w:val="21"/>
          <w:shd w:val="clear" w:color="auto" w:fill="FFFFFF"/>
        </w:rPr>
        <w:t>.</w:t>
      </w:r>
      <w:r w:rsidR="00E7102B" w:rsidRPr="004E7A10">
        <w:rPr>
          <w:rStyle w:val="longtext"/>
          <w:rFonts w:ascii="Garamond" w:hAnsi="Garamond" w:cs="Times New Roman"/>
          <w:color w:val="000000"/>
          <w:sz w:val="21"/>
          <w:szCs w:val="21"/>
          <w:shd w:val="clear" w:color="auto" w:fill="FFFFFF"/>
        </w:rPr>
        <w:t xml:space="preserve"> </w:t>
      </w:r>
    </w:p>
    <w:p w14:paraId="4A0F2043" w14:textId="77777777" w:rsidR="00402F7E" w:rsidRDefault="008634F0"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In the </w:t>
      </w:r>
      <w:r w:rsidR="007E1197">
        <w:rPr>
          <w:rStyle w:val="longtext"/>
          <w:rFonts w:ascii="Garamond" w:hAnsi="Garamond" w:cs="Times New Roman"/>
          <w:color w:val="000000"/>
          <w:sz w:val="21"/>
          <w:szCs w:val="21"/>
          <w:shd w:val="clear" w:color="auto" w:fill="FFFFFF"/>
        </w:rPr>
        <w:t>1st</w:t>
      </w:r>
      <w:r w:rsidR="00E7102B" w:rsidRPr="004E7A10">
        <w:rPr>
          <w:rStyle w:val="longtext"/>
          <w:rFonts w:ascii="Garamond" w:hAnsi="Garamond" w:cs="Times New Roman"/>
          <w:color w:val="000000"/>
          <w:sz w:val="21"/>
          <w:szCs w:val="21"/>
          <w:shd w:val="clear" w:color="auto" w:fill="FFFFFF"/>
        </w:rPr>
        <w:t xml:space="preserve"> </w:t>
      </w:r>
      <w:r w:rsidRPr="004E7A10">
        <w:rPr>
          <w:rStyle w:val="longtext"/>
          <w:rFonts w:ascii="Garamond" w:hAnsi="Garamond" w:cs="Times New Roman"/>
          <w:color w:val="000000"/>
          <w:sz w:val="21"/>
          <w:szCs w:val="21"/>
          <w:shd w:val="clear" w:color="auto" w:fill="FFFFFF"/>
        </w:rPr>
        <w:t>quarter of 201</w:t>
      </w:r>
      <w:r w:rsidR="007E1197">
        <w:rPr>
          <w:rStyle w:val="longtext"/>
          <w:rFonts w:ascii="Garamond" w:hAnsi="Garamond" w:cs="Times New Roman"/>
          <w:color w:val="000000"/>
          <w:sz w:val="21"/>
          <w:szCs w:val="21"/>
          <w:shd w:val="clear" w:color="auto" w:fill="FFFFFF"/>
        </w:rPr>
        <w:t>5</w:t>
      </w:r>
      <w:r w:rsidRPr="004E7A10">
        <w:rPr>
          <w:rStyle w:val="longtext"/>
          <w:rFonts w:ascii="Garamond" w:hAnsi="Garamond" w:cs="Times New Roman"/>
          <w:color w:val="000000"/>
          <w:sz w:val="21"/>
          <w:szCs w:val="21"/>
          <w:shd w:val="clear" w:color="auto" w:fill="FFFFFF"/>
        </w:rPr>
        <w:t xml:space="preserve">, the economic activity </w:t>
      </w:r>
      <w:r w:rsidR="007E1197">
        <w:rPr>
          <w:rStyle w:val="longtext"/>
          <w:rFonts w:ascii="Garamond" w:hAnsi="Garamond" w:cs="Times New Roman"/>
          <w:color w:val="000000"/>
          <w:sz w:val="21"/>
          <w:szCs w:val="21"/>
          <w:shd w:val="clear" w:color="auto" w:fill="FFFFFF"/>
        </w:rPr>
        <w:t xml:space="preserve">indicator was 2.5% y/y, representing a slight increase </w:t>
      </w:r>
      <w:r w:rsidR="007E719C">
        <w:rPr>
          <w:rStyle w:val="longtext"/>
          <w:rFonts w:ascii="Garamond" w:hAnsi="Garamond" w:cs="Times New Roman"/>
          <w:color w:val="000000"/>
          <w:sz w:val="21"/>
          <w:szCs w:val="21"/>
          <w:shd w:val="clear" w:color="auto" w:fill="FFFFFF"/>
        </w:rPr>
        <w:t xml:space="preserve">against expectations as a result of </w:t>
      </w:r>
      <w:r w:rsidR="007E719C" w:rsidRPr="007E719C">
        <w:rPr>
          <w:rStyle w:val="longtext"/>
          <w:rFonts w:ascii="Garamond" w:hAnsi="Garamond" w:cs="Times New Roman"/>
          <w:color w:val="000000"/>
          <w:sz w:val="21"/>
          <w:szCs w:val="21"/>
          <w:shd w:val="clear" w:color="auto" w:fill="FFFFFF"/>
        </w:rPr>
        <w:t>higher</w:t>
      </w:r>
      <w:r w:rsidR="007E719C">
        <w:rPr>
          <w:rStyle w:val="longtext"/>
          <w:rFonts w:ascii="Garamond" w:hAnsi="Garamond" w:cs="Times New Roman"/>
          <w:color w:val="000000"/>
          <w:sz w:val="21"/>
          <w:szCs w:val="21"/>
          <w:shd w:val="clear" w:color="auto" w:fill="FFFFFF"/>
        </w:rPr>
        <w:t xml:space="preserve">-than expected </w:t>
      </w:r>
      <w:r w:rsidR="007E719C" w:rsidRPr="007E719C">
        <w:rPr>
          <w:rStyle w:val="longtext"/>
          <w:rFonts w:ascii="Garamond" w:hAnsi="Garamond" w:cs="Times New Roman"/>
          <w:color w:val="000000"/>
          <w:sz w:val="21"/>
          <w:szCs w:val="21"/>
          <w:shd w:val="clear" w:color="auto" w:fill="FFFFFF"/>
        </w:rPr>
        <w:t xml:space="preserve">output growth </w:t>
      </w:r>
      <w:r w:rsidR="007E719C">
        <w:rPr>
          <w:rStyle w:val="longtext"/>
          <w:rFonts w:ascii="Garamond" w:hAnsi="Garamond" w:cs="Times New Roman"/>
          <w:color w:val="000000"/>
          <w:sz w:val="21"/>
          <w:szCs w:val="21"/>
          <w:shd w:val="clear" w:color="auto" w:fill="FFFFFF"/>
        </w:rPr>
        <w:t xml:space="preserve">in </w:t>
      </w:r>
      <w:r w:rsidR="007E719C" w:rsidRPr="007E719C">
        <w:rPr>
          <w:rStyle w:val="longtext"/>
          <w:rFonts w:ascii="Garamond" w:hAnsi="Garamond" w:cs="Times New Roman"/>
          <w:color w:val="000000"/>
          <w:sz w:val="21"/>
          <w:szCs w:val="21"/>
          <w:shd w:val="clear" w:color="auto" w:fill="FFFFFF"/>
        </w:rPr>
        <w:t>agriculture and construction sectors</w:t>
      </w:r>
      <w:r w:rsidR="007E719C">
        <w:rPr>
          <w:rStyle w:val="longtext"/>
          <w:rFonts w:ascii="Garamond" w:hAnsi="Garamond" w:cs="Times New Roman"/>
          <w:color w:val="000000"/>
          <w:sz w:val="21"/>
          <w:szCs w:val="21"/>
          <w:shd w:val="clear" w:color="auto" w:fill="FFFFFF"/>
        </w:rPr>
        <w:t xml:space="preserve">. </w:t>
      </w:r>
    </w:p>
    <w:p w14:paraId="41559470" w14:textId="77777777" w:rsidR="00BE058A" w:rsidRPr="00BE058A" w:rsidRDefault="00BE058A" w:rsidP="00A9653E">
      <w:pPr>
        <w:spacing w:line="360" w:lineRule="auto"/>
        <w:jc w:val="both"/>
        <w:rPr>
          <w:rStyle w:val="longtext"/>
          <w:rFonts w:ascii="Garamond" w:hAnsi="Garamond" w:cs="Times New Roman"/>
          <w:b/>
          <w:color w:val="0070C0"/>
          <w:sz w:val="18"/>
          <w:szCs w:val="18"/>
          <w:shd w:val="clear" w:color="auto" w:fill="FFFFFF"/>
        </w:rPr>
      </w:pPr>
      <w:r w:rsidRPr="00BE058A">
        <w:rPr>
          <w:rStyle w:val="longtext"/>
          <w:rFonts w:ascii="Garamond" w:hAnsi="Garamond" w:cs="Times New Roman"/>
          <w:b/>
          <w:color w:val="0070C0"/>
          <w:sz w:val="18"/>
          <w:szCs w:val="18"/>
          <w:shd w:val="clear" w:color="auto" w:fill="FFFFFF"/>
        </w:rPr>
        <w:t>In the 1st quarter of 2015, the economic growth is estimated to be within 2.1%-2.5%...</w:t>
      </w:r>
    </w:p>
    <w:p w14:paraId="0B2C6E53" w14:textId="77777777" w:rsidR="00A9653E" w:rsidRPr="004E7A10" w:rsidRDefault="00402F7E" w:rsidP="00A9653E">
      <w:pPr>
        <w:spacing w:line="360" w:lineRule="auto"/>
        <w:jc w:val="both"/>
        <w:rPr>
          <w:rStyle w:val="longtext"/>
          <w:rFonts w:ascii="Garamond" w:hAnsi="Garamond" w:cs="Times New Roman"/>
          <w:color w:val="000000"/>
          <w:sz w:val="21"/>
          <w:szCs w:val="21"/>
          <w:shd w:val="clear" w:color="auto" w:fill="FFFFFF"/>
        </w:rPr>
      </w:pPr>
      <w:r>
        <w:rPr>
          <w:rStyle w:val="longtext"/>
          <w:rFonts w:ascii="Garamond" w:hAnsi="Garamond" w:cs="Times New Roman"/>
          <w:color w:val="000000"/>
          <w:sz w:val="21"/>
          <w:szCs w:val="21"/>
          <w:shd w:val="clear" w:color="auto" w:fill="FFFFFF"/>
        </w:rPr>
        <w:t>In the 1st</w:t>
      </w:r>
      <w:r w:rsidR="007E719C" w:rsidRPr="007E719C">
        <w:rPr>
          <w:rStyle w:val="longtext"/>
          <w:rFonts w:ascii="Garamond" w:hAnsi="Garamond" w:cs="Times New Roman"/>
          <w:color w:val="000000"/>
          <w:sz w:val="21"/>
          <w:szCs w:val="21"/>
          <w:shd w:val="clear" w:color="auto" w:fill="FFFFFF"/>
        </w:rPr>
        <w:t xml:space="preserve"> </w:t>
      </w:r>
      <w:r>
        <w:rPr>
          <w:rStyle w:val="longtext"/>
          <w:rFonts w:ascii="Garamond" w:hAnsi="Garamond" w:cs="Times New Roman"/>
          <w:color w:val="000000"/>
          <w:sz w:val="21"/>
          <w:szCs w:val="21"/>
          <w:shd w:val="clear" w:color="auto" w:fill="FFFFFF"/>
        </w:rPr>
        <w:t>quarter of 2015, the economic growth is estimated to be in the range of 2.1</w:t>
      </w:r>
      <w:r w:rsidR="00BE058A">
        <w:rPr>
          <w:rStyle w:val="longtext"/>
          <w:rFonts w:ascii="Garamond" w:hAnsi="Garamond" w:cs="Times New Roman"/>
          <w:color w:val="000000"/>
          <w:sz w:val="21"/>
          <w:szCs w:val="21"/>
          <w:shd w:val="clear" w:color="auto" w:fill="FFFFFF"/>
        </w:rPr>
        <w:t>%</w:t>
      </w:r>
      <w:r>
        <w:rPr>
          <w:rStyle w:val="longtext"/>
          <w:rFonts w:ascii="Garamond" w:hAnsi="Garamond" w:cs="Times New Roman"/>
          <w:color w:val="000000"/>
          <w:sz w:val="21"/>
          <w:szCs w:val="21"/>
          <w:shd w:val="clear" w:color="auto" w:fill="FFFFFF"/>
        </w:rPr>
        <w:t>-2.5%</w:t>
      </w:r>
      <w:r>
        <w:rPr>
          <w:rStyle w:val="FootnoteReference"/>
          <w:rFonts w:ascii="Garamond" w:hAnsi="Garamond" w:cs="Times New Roman"/>
          <w:color w:val="000000"/>
          <w:sz w:val="21"/>
          <w:szCs w:val="21"/>
          <w:shd w:val="clear" w:color="auto" w:fill="FFFFFF"/>
        </w:rPr>
        <w:footnoteReference w:customMarkFollows="1" w:id="13"/>
        <w:t>13</w:t>
      </w:r>
      <w:r w:rsidR="00E7130F" w:rsidRPr="004E7A10">
        <w:rPr>
          <w:rStyle w:val="longtext"/>
          <w:rFonts w:ascii="Garamond" w:hAnsi="Garamond" w:cs="Times New Roman"/>
          <w:color w:val="000000"/>
          <w:sz w:val="21"/>
          <w:szCs w:val="21"/>
          <w:shd w:val="clear" w:color="auto" w:fill="FFFFFF"/>
        </w:rPr>
        <w:t xml:space="preserve">. </w:t>
      </w:r>
    </w:p>
    <w:p w14:paraId="42910D44" w14:textId="77777777" w:rsidR="007779E6" w:rsidRDefault="00402F7E" w:rsidP="00A9653E">
      <w:pPr>
        <w:spacing w:line="360" w:lineRule="auto"/>
        <w:jc w:val="both"/>
        <w:rPr>
          <w:rFonts w:ascii="Garamond" w:hAnsi="Garamond" w:cs="Times New Roman"/>
          <w:sz w:val="21"/>
          <w:szCs w:val="21"/>
        </w:rPr>
      </w:pPr>
      <w:r>
        <w:rPr>
          <w:rFonts w:ascii="Garamond" w:hAnsi="Garamond" w:cs="Times New Roman"/>
          <w:sz w:val="21"/>
          <w:szCs w:val="21"/>
        </w:rPr>
        <w:t xml:space="preserve">Given </w:t>
      </w:r>
      <w:r w:rsidR="003531DC">
        <w:rPr>
          <w:rFonts w:ascii="Garamond" w:hAnsi="Garamond" w:cs="Times New Roman"/>
          <w:sz w:val="21"/>
          <w:szCs w:val="21"/>
        </w:rPr>
        <w:t>an</w:t>
      </w:r>
      <w:r>
        <w:rPr>
          <w:rFonts w:ascii="Garamond" w:hAnsi="Garamond" w:cs="Times New Roman"/>
          <w:sz w:val="21"/>
          <w:szCs w:val="21"/>
        </w:rPr>
        <w:t xml:space="preserve"> increased output of 2% y/y reported in </w:t>
      </w:r>
      <w:r w:rsidR="007A4242">
        <w:rPr>
          <w:rFonts w:ascii="Garamond" w:hAnsi="Garamond" w:cs="Times New Roman"/>
          <w:b/>
          <w:sz w:val="21"/>
          <w:szCs w:val="21"/>
        </w:rPr>
        <w:t>I</w:t>
      </w:r>
      <w:r w:rsidR="00A9653E" w:rsidRPr="004E7A10">
        <w:rPr>
          <w:rFonts w:ascii="Garamond" w:hAnsi="Garamond" w:cs="Times New Roman"/>
          <w:b/>
          <w:sz w:val="21"/>
          <w:szCs w:val="21"/>
        </w:rPr>
        <w:t xml:space="preserve">ndustry </w:t>
      </w:r>
      <w:r w:rsidR="00A9653E" w:rsidRPr="004E7A10">
        <w:rPr>
          <w:rFonts w:ascii="Garamond" w:hAnsi="Garamond" w:cs="Times New Roman"/>
          <w:sz w:val="21"/>
          <w:szCs w:val="21"/>
        </w:rPr>
        <w:t xml:space="preserve">in </w:t>
      </w:r>
      <w:r>
        <w:rPr>
          <w:rFonts w:ascii="Garamond" w:hAnsi="Garamond" w:cs="Times New Roman"/>
          <w:sz w:val="21"/>
          <w:szCs w:val="21"/>
        </w:rPr>
        <w:t>the 1st</w:t>
      </w:r>
      <w:r w:rsidR="00A9653E" w:rsidRPr="004E7A10">
        <w:rPr>
          <w:rFonts w:ascii="Garamond" w:hAnsi="Garamond" w:cs="Times New Roman"/>
          <w:sz w:val="21"/>
          <w:szCs w:val="21"/>
        </w:rPr>
        <w:t xml:space="preserve"> </w:t>
      </w:r>
      <w:r>
        <w:rPr>
          <w:rFonts w:ascii="Garamond" w:hAnsi="Garamond" w:cs="Times New Roman"/>
          <w:sz w:val="21"/>
          <w:szCs w:val="21"/>
        </w:rPr>
        <w:t xml:space="preserve">quarter of 2015, </w:t>
      </w:r>
      <w:r w:rsidR="00A9653E" w:rsidRPr="004E7A10">
        <w:rPr>
          <w:rFonts w:ascii="Garamond" w:hAnsi="Garamond" w:cs="Times New Roman"/>
          <w:sz w:val="21"/>
          <w:szCs w:val="21"/>
        </w:rPr>
        <w:t xml:space="preserve">the growth of value added is estimated in the range </w:t>
      </w:r>
      <w:r>
        <w:rPr>
          <w:rFonts w:ascii="Garamond" w:hAnsi="Garamond" w:cs="Times New Roman"/>
          <w:sz w:val="21"/>
          <w:szCs w:val="21"/>
        </w:rPr>
        <w:t xml:space="preserve">of </w:t>
      </w:r>
      <w:r w:rsidR="0031610B" w:rsidRPr="004E7A10">
        <w:rPr>
          <w:rFonts w:ascii="Garamond" w:hAnsi="Garamond" w:cs="Times New Roman"/>
          <w:sz w:val="21"/>
          <w:szCs w:val="21"/>
        </w:rPr>
        <w:t>0</w:t>
      </w:r>
      <w:r w:rsidR="00A9653E" w:rsidRPr="004E7A10">
        <w:rPr>
          <w:rFonts w:ascii="Garamond" w:hAnsi="Garamond" w:cs="Times New Roman"/>
          <w:sz w:val="21"/>
          <w:szCs w:val="21"/>
        </w:rPr>
        <w:t>.</w:t>
      </w:r>
      <w:r>
        <w:rPr>
          <w:rFonts w:ascii="Garamond" w:hAnsi="Garamond" w:cs="Times New Roman"/>
          <w:sz w:val="21"/>
          <w:szCs w:val="21"/>
        </w:rPr>
        <w:t>5</w:t>
      </w:r>
      <w:r w:rsidR="00B172F1">
        <w:rPr>
          <w:rFonts w:ascii="Garamond" w:hAnsi="Garamond" w:cs="Times New Roman"/>
          <w:sz w:val="21"/>
          <w:szCs w:val="21"/>
        </w:rPr>
        <w:t>%</w:t>
      </w:r>
      <w:r w:rsidR="00A9653E" w:rsidRPr="004E7A10">
        <w:rPr>
          <w:rFonts w:ascii="Garamond" w:hAnsi="Garamond" w:cs="Times New Roman"/>
          <w:sz w:val="21"/>
          <w:szCs w:val="21"/>
        </w:rPr>
        <w:t>-1</w:t>
      </w:r>
      <w:r w:rsidR="00C47110" w:rsidRPr="004E7A10">
        <w:rPr>
          <w:rFonts w:ascii="Garamond" w:hAnsi="Garamond" w:cs="Times New Roman"/>
          <w:sz w:val="21"/>
          <w:szCs w:val="21"/>
        </w:rPr>
        <w:t>.</w:t>
      </w:r>
      <w:r>
        <w:rPr>
          <w:rFonts w:ascii="Garamond" w:hAnsi="Garamond" w:cs="Times New Roman"/>
          <w:sz w:val="21"/>
          <w:szCs w:val="21"/>
        </w:rPr>
        <w:t>0</w:t>
      </w:r>
      <w:r w:rsidR="00A9653E" w:rsidRPr="004E7A10">
        <w:rPr>
          <w:rFonts w:ascii="Garamond" w:hAnsi="Garamond" w:cs="Times New Roman"/>
          <w:sz w:val="21"/>
          <w:szCs w:val="21"/>
        </w:rPr>
        <w:t xml:space="preserve">% y/y, mainly due to increased </w:t>
      </w:r>
      <w:r>
        <w:rPr>
          <w:rFonts w:ascii="Garamond" w:hAnsi="Garamond" w:cs="Times New Roman"/>
          <w:sz w:val="21"/>
          <w:szCs w:val="21"/>
        </w:rPr>
        <w:t xml:space="preserve">production </w:t>
      </w:r>
      <w:r w:rsidR="00A9653E" w:rsidRPr="004E7A10">
        <w:rPr>
          <w:rFonts w:ascii="Garamond" w:hAnsi="Garamond" w:cs="Times New Roman"/>
          <w:sz w:val="21"/>
          <w:szCs w:val="21"/>
        </w:rPr>
        <w:t>in</w:t>
      </w:r>
      <w:r w:rsidR="00EE4249">
        <w:rPr>
          <w:rFonts w:ascii="Garamond" w:hAnsi="Garamond" w:cs="Times New Roman"/>
          <w:sz w:val="21"/>
          <w:szCs w:val="21"/>
        </w:rPr>
        <w:t xml:space="preserve"> ore mining </w:t>
      </w:r>
      <w:r w:rsidR="00A9653E" w:rsidRPr="004E7A10">
        <w:rPr>
          <w:rFonts w:ascii="Garamond" w:hAnsi="Garamond" w:cs="Times New Roman"/>
          <w:sz w:val="21"/>
          <w:szCs w:val="21"/>
        </w:rPr>
        <w:t>(</w:t>
      </w:r>
      <w:r w:rsidR="00EE4249">
        <w:rPr>
          <w:rFonts w:ascii="Garamond" w:hAnsi="Garamond" w:cs="Times New Roman"/>
          <w:sz w:val="21"/>
          <w:szCs w:val="21"/>
        </w:rPr>
        <w:t>28</w:t>
      </w:r>
      <w:r w:rsidR="00A9653E" w:rsidRPr="004E7A10">
        <w:rPr>
          <w:rFonts w:ascii="Garamond" w:hAnsi="Garamond" w:cs="Times New Roman"/>
          <w:sz w:val="21"/>
          <w:szCs w:val="21"/>
        </w:rPr>
        <w:t xml:space="preserve">%), </w:t>
      </w:r>
      <w:r w:rsidR="00A9653E" w:rsidRPr="00EE4249">
        <w:rPr>
          <w:rFonts w:ascii="Garamond" w:hAnsi="Garamond" w:cs="Times New Roman"/>
          <w:sz w:val="21"/>
          <w:szCs w:val="21"/>
        </w:rPr>
        <w:t>metallurgy</w:t>
      </w:r>
      <w:r w:rsidR="00A9653E" w:rsidRPr="004E7A10">
        <w:rPr>
          <w:rFonts w:ascii="Garamond" w:hAnsi="Garamond" w:cs="Times New Roman"/>
          <w:i/>
          <w:sz w:val="21"/>
          <w:szCs w:val="21"/>
        </w:rPr>
        <w:t xml:space="preserve"> </w:t>
      </w:r>
      <w:r w:rsidR="00A9653E" w:rsidRPr="004E7A10">
        <w:rPr>
          <w:rFonts w:ascii="Garamond" w:hAnsi="Garamond" w:cs="Times New Roman"/>
          <w:sz w:val="21"/>
          <w:szCs w:val="21"/>
        </w:rPr>
        <w:t>(</w:t>
      </w:r>
      <w:r w:rsidR="00EE4249">
        <w:rPr>
          <w:rFonts w:ascii="Garamond" w:hAnsi="Garamond" w:cs="Times New Roman"/>
          <w:sz w:val="21"/>
          <w:szCs w:val="21"/>
        </w:rPr>
        <w:t>3</w:t>
      </w:r>
      <w:r w:rsidR="00A9653E" w:rsidRPr="004E7A10">
        <w:rPr>
          <w:rFonts w:ascii="Garamond" w:hAnsi="Garamond" w:cs="Times New Roman"/>
          <w:sz w:val="21"/>
          <w:szCs w:val="21"/>
        </w:rPr>
        <w:t>.</w:t>
      </w:r>
      <w:r w:rsidR="00EE4249">
        <w:rPr>
          <w:rFonts w:ascii="Garamond" w:hAnsi="Garamond" w:cs="Times New Roman"/>
          <w:sz w:val="21"/>
          <w:szCs w:val="21"/>
        </w:rPr>
        <w:t>5</w:t>
      </w:r>
      <w:r w:rsidR="00A9653E" w:rsidRPr="004E7A10">
        <w:rPr>
          <w:rFonts w:ascii="Garamond" w:hAnsi="Garamond" w:cs="Times New Roman"/>
          <w:sz w:val="21"/>
          <w:szCs w:val="21"/>
        </w:rPr>
        <w:t xml:space="preserve">%), </w:t>
      </w:r>
      <w:r w:rsidR="00A9653E" w:rsidRPr="00EE4249">
        <w:rPr>
          <w:rFonts w:ascii="Garamond" w:hAnsi="Garamond" w:cs="Times New Roman"/>
          <w:sz w:val="21"/>
          <w:szCs w:val="21"/>
        </w:rPr>
        <w:t>tobacco production</w:t>
      </w:r>
      <w:r w:rsidR="00A9653E" w:rsidRPr="004E7A10">
        <w:rPr>
          <w:rFonts w:ascii="Garamond" w:hAnsi="Garamond" w:cs="Times New Roman"/>
          <w:i/>
          <w:sz w:val="21"/>
          <w:szCs w:val="21"/>
        </w:rPr>
        <w:t xml:space="preserve"> </w:t>
      </w:r>
      <w:r w:rsidR="00A9653E" w:rsidRPr="004E7A10">
        <w:rPr>
          <w:rFonts w:ascii="Garamond" w:hAnsi="Garamond" w:cs="Times New Roman"/>
          <w:sz w:val="21"/>
          <w:szCs w:val="21"/>
        </w:rPr>
        <w:t>(</w:t>
      </w:r>
      <w:r w:rsidR="00EE4249">
        <w:rPr>
          <w:rFonts w:ascii="Garamond" w:hAnsi="Garamond" w:cs="Times New Roman"/>
          <w:sz w:val="21"/>
          <w:szCs w:val="21"/>
        </w:rPr>
        <w:t>48</w:t>
      </w:r>
      <w:r w:rsidR="00A9653E" w:rsidRPr="004E7A10">
        <w:rPr>
          <w:rFonts w:ascii="Garamond" w:hAnsi="Garamond" w:cs="Times New Roman"/>
          <w:sz w:val="21"/>
          <w:szCs w:val="21"/>
        </w:rPr>
        <w:t>.</w:t>
      </w:r>
      <w:r w:rsidR="00EE4249">
        <w:rPr>
          <w:rFonts w:ascii="Garamond" w:hAnsi="Garamond" w:cs="Times New Roman"/>
          <w:sz w:val="21"/>
          <w:szCs w:val="21"/>
        </w:rPr>
        <w:t>3</w:t>
      </w:r>
      <w:r w:rsidR="00A9653E" w:rsidRPr="004E7A10">
        <w:rPr>
          <w:rFonts w:ascii="Garamond" w:hAnsi="Garamond" w:cs="Times New Roman"/>
          <w:sz w:val="21"/>
          <w:szCs w:val="21"/>
        </w:rPr>
        <w:t>%)</w:t>
      </w:r>
      <w:r w:rsidR="0031610B" w:rsidRPr="004E7A10">
        <w:rPr>
          <w:rFonts w:ascii="Garamond" w:hAnsi="Garamond" w:cs="Times New Roman"/>
          <w:sz w:val="21"/>
          <w:szCs w:val="21"/>
        </w:rPr>
        <w:t xml:space="preserve">, </w:t>
      </w:r>
      <w:r w:rsidR="00EE4249" w:rsidRPr="00EE4249">
        <w:rPr>
          <w:rFonts w:ascii="Garamond" w:hAnsi="Garamond" w:cs="Times New Roman"/>
          <w:sz w:val="21"/>
          <w:szCs w:val="21"/>
        </w:rPr>
        <w:t>pharmaceutical</w:t>
      </w:r>
      <w:r w:rsidR="00EE4249">
        <w:rPr>
          <w:rFonts w:ascii="Garamond" w:hAnsi="Garamond" w:cs="Times New Roman"/>
          <w:sz w:val="21"/>
          <w:szCs w:val="21"/>
        </w:rPr>
        <w:t xml:space="preserve">s (46.5%), production of building materials (8.3%), </w:t>
      </w:r>
      <w:r w:rsidR="00A9653E" w:rsidRPr="004E7A10">
        <w:rPr>
          <w:rFonts w:ascii="Garamond" w:hAnsi="Garamond" w:cs="Times New Roman"/>
          <w:sz w:val="21"/>
          <w:szCs w:val="21"/>
        </w:rPr>
        <w:t xml:space="preserve">and </w:t>
      </w:r>
      <w:r w:rsidR="00A9653E" w:rsidRPr="00EE4249">
        <w:rPr>
          <w:rFonts w:ascii="Garamond" w:hAnsi="Garamond" w:cs="Times New Roman"/>
          <w:sz w:val="21"/>
          <w:szCs w:val="21"/>
        </w:rPr>
        <w:t>water supply</w:t>
      </w:r>
      <w:r w:rsidR="00A9653E" w:rsidRPr="004E7A10">
        <w:rPr>
          <w:rFonts w:ascii="Garamond" w:hAnsi="Garamond" w:cs="Times New Roman"/>
          <w:sz w:val="21"/>
          <w:szCs w:val="21"/>
        </w:rPr>
        <w:t xml:space="preserve"> (</w:t>
      </w:r>
      <w:r w:rsidR="00EE4249">
        <w:rPr>
          <w:rFonts w:ascii="Garamond" w:hAnsi="Garamond" w:cs="Times New Roman"/>
          <w:sz w:val="21"/>
          <w:szCs w:val="21"/>
        </w:rPr>
        <w:t>8.9</w:t>
      </w:r>
      <w:r w:rsidR="00A9653E" w:rsidRPr="004E7A10">
        <w:rPr>
          <w:rFonts w:ascii="Garamond" w:hAnsi="Garamond" w:cs="Times New Roman"/>
          <w:sz w:val="21"/>
          <w:szCs w:val="21"/>
        </w:rPr>
        <w:t xml:space="preserve">%). </w:t>
      </w:r>
      <w:r w:rsidR="003531DC">
        <w:rPr>
          <w:rFonts w:ascii="Garamond" w:hAnsi="Garamond" w:cs="Times New Roman"/>
          <w:sz w:val="21"/>
          <w:szCs w:val="21"/>
        </w:rPr>
        <w:t>High growth in ore mining is determined by the e</w:t>
      </w:r>
      <w:r w:rsidR="007779E6" w:rsidRPr="004E7A10">
        <w:rPr>
          <w:rFonts w:ascii="Garamond" w:hAnsi="Garamond" w:cs="Times New Roman"/>
          <w:bCs/>
          <w:iCs/>
          <w:color w:val="000000"/>
          <w:sz w:val="21"/>
          <w:szCs w:val="21"/>
        </w:rPr>
        <w:t>xploiting</w:t>
      </w:r>
      <w:r w:rsidR="003531DC">
        <w:rPr>
          <w:rFonts w:ascii="Garamond" w:hAnsi="Garamond" w:cs="Times New Roman"/>
          <w:bCs/>
          <w:iCs/>
          <w:color w:val="000000"/>
          <w:sz w:val="21"/>
          <w:szCs w:val="21"/>
        </w:rPr>
        <w:t xml:space="preserve"> of</w:t>
      </w:r>
      <w:r w:rsidR="007779E6" w:rsidRPr="004E7A10">
        <w:rPr>
          <w:rFonts w:ascii="Garamond" w:hAnsi="Garamond" w:cs="Times New Roman"/>
          <w:bCs/>
          <w:iCs/>
          <w:color w:val="000000"/>
          <w:sz w:val="21"/>
          <w:szCs w:val="21"/>
        </w:rPr>
        <w:t xml:space="preserve"> Teghout mine</w:t>
      </w:r>
      <w:r w:rsidR="003531DC">
        <w:rPr>
          <w:rFonts w:ascii="Garamond" w:hAnsi="Garamond" w:cs="Times New Roman"/>
          <w:bCs/>
          <w:iCs/>
          <w:color w:val="000000"/>
          <w:sz w:val="21"/>
          <w:szCs w:val="21"/>
        </w:rPr>
        <w:t>.</w:t>
      </w:r>
    </w:p>
    <w:p w14:paraId="51B6BC80" w14:textId="77777777" w:rsidR="00A9653E" w:rsidRPr="004E7A10" w:rsidRDefault="006C4223" w:rsidP="00A9653E">
      <w:pPr>
        <w:spacing w:before="240" w:line="360" w:lineRule="auto"/>
        <w:jc w:val="both"/>
        <w:rPr>
          <w:rFonts w:ascii="Garamond" w:hAnsi="Garamond" w:cs="Times New Roman"/>
          <w:sz w:val="21"/>
          <w:szCs w:val="21"/>
        </w:rPr>
      </w:pPr>
      <w:r w:rsidRPr="004E7A10">
        <w:rPr>
          <w:rFonts w:ascii="Garamond" w:hAnsi="Garamond" w:cs="Times New Roman"/>
          <w:sz w:val="21"/>
          <w:szCs w:val="21"/>
        </w:rPr>
        <w:t xml:space="preserve">Based on </w:t>
      </w:r>
      <w:r w:rsidR="003531DC">
        <w:rPr>
          <w:rFonts w:ascii="Garamond" w:hAnsi="Garamond" w:cs="Times New Roman"/>
          <w:sz w:val="21"/>
          <w:szCs w:val="21"/>
        </w:rPr>
        <w:t xml:space="preserve">an actually increased output of 0.8% y/y recorded in </w:t>
      </w:r>
      <w:r w:rsidR="007A4242">
        <w:rPr>
          <w:rFonts w:ascii="Garamond" w:hAnsi="Garamond" w:cs="Times New Roman"/>
          <w:b/>
          <w:sz w:val="21"/>
          <w:szCs w:val="21"/>
        </w:rPr>
        <w:t>C</w:t>
      </w:r>
      <w:r w:rsidR="00A9653E" w:rsidRPr="004E7A10">
        <w:rPr>
          <w:rFonts w:ascii="Garamond" w:hAnsi="Garamond" w:cs="Times New Roman"/>
          <w:b/>
          <w:sz w:val="21"/>
          <w:szCs w:val="21"/>
        </w:rPr>
        <w:t>onstruction</w:t>
      </w:r>
      <w:r w:rsidR="00A9653E" w:rsidRPr="004E7A10">
        <w:rPr>
          <w:rFonts w:ascii="Garamond" w:hAnsi="Garamond" w:cs="Times New Roman"/>
          <w:sz w:val="21"/>
          <w:szCs w:val="21"/>
        </w:rPr>
        <w:t xml:space="preserve"> </w:t>
      </w:r>
      <w:r w:rsidR="003531DC">
        <w:rPr>
          <w:rFonts w:ascii="Garamond" w:hAnsi="Garamond" w:cs="Times New Roman"/>
          <w:sz w:val="21"/>
          <w:szCs w:val="21"/>
        </w:rPr>
        <w:t>for the period January-March 2015</w:t>
      </w:r>
      <w:r w:rsidR="00A9653E" w:rsidRPr="004E7A10">
        <w:rPr>
          <w:rFonts w:ascii="Garamond" w:hAnsi="Garamond" w:cs="Times New Roman"/>
          <w:sz w:val="21"/>
          <w:szCs w:val="21"/>
        </w:rPr>
        <w:t xml:space="preserve">, the </w:t>
      </w:r>
      <w:r w:rsidR="003531DC">
        <w:rPr>
          <w:rFonts w:ascii="Garamond" w:hAnsi="Garamond" w:cs="Times New Roman"/>
          <w:sz w:val="21"/>
          <w:szCs w:val="21"/>
        </w:rPr>
        <w:t>growth</w:t>
      </w:r>
      <w:r w:rsidR="00A9653E" w:rsidRPr="004E7A10">
        <w:rPr>
          <w:rFonts w:ascii="Garamond" w:hAnsi="Garamond" w:cs="Times New Roman"/>
          <w:sz w:val="21"/>
          <w:szCs w:val="21"/>
        </w:rPr>
        <w:t xml:space="preserve"> of value added is estimated within </w:t>
      </w:r>
      <w:r w:rsidR="003531DC">
        <w:rPr>
          <w:rFonts w:ascii="Garamond" w:hAnsi="Garamond" w:cs="Times New Roman"/>
          <w:sz w:val="21"/>
          <w:szCs w:val="21"/>
        </w:rPr>
        <w:t>0</w:t>
      </w:r>
      <w:r w:rsidR="00A9653E" w:rsidRPr="004E7A10">
        <w:rPr>
          <w:rFonts w:ascii="Garamond" w:hAnsi="Garamond" w:cs="Times New Roman"/>
          <w:sz w:val="21"/>
          <w:szCs w:val="21"/>
        </w:rPr>
        <w:t>-</w:t>
      </w:r>
      <w:r w:rsidR="003531DC">
        <w:rPr>
          <w:rFonts w:ascii="Garamond" w:hAnsi="Garamond" w:cs="Times New Roman"/>
          <w:sz w:val="21"/>
          <w:szCs w:val="21"/>
        </w:rPr>
        <w:t>0</w:t>
      </w:r>
      <w:r w:rsidR="007E116F" w:rsidRPr="004E7A10">
        <w:rPr>
          <w:rFonts w:ascii="Garamond" w:hAnsi="Garamond" w:cs="Times New Roman"/>
          <w:sz w:val="21"/>
          <w:szCs w:val="21"/>
        </w:rPr>
        <w:t>.</w:t>
      </w:r>
      <w:r w:rsidRPr="004E7A10">
        <w:rPr>
          <w:rFonts w:ascii="Garamond" w:hAnsi="Garamond" w:cs="Times New Roman"/>
          <w:sz w:val="21"/>
          <w:szCs w:val="21"/>
        </w:rPr>
        <w:t>5</w:t>
      </w:r>
      <w:r w:rsidR="00A9653E" w:rsidRPr="004E7A10">
        <w:rPr>
          <w:rFonts w:ascii="Garamond" w:hAnsi="Garamond" w:cs="Times New Roman"/>
          <w:sz w:val="21"/>
          <w:szCs w:val="21"/>
        </w:rPr>
        <w:t xml:space="preserve">%. </w:t>
      </w:r>
      <w:r w:rsidR="00333FEC" w:rsidRPr="004E7A10">
        <w:rPr>
          <w:rFonts w:ascii="Garamond" w:hAnsi="Garamond" w:cs="Times New Roman"/>
          <w:sz w:val="21"/>
          <w:szCs w:val="21"/>
        </w:rPr>
        <w:t>Exclusive of</w:t>
      </w:r>
      <w:r w:rsidR="00A9653E" w:rsidRPr="004E7A10">
        <w:rPr>
          <w:rFonts w:ascii="Garamond" w:hAnsi="Garamond" w:cs="Times New Roman"/>
          <w:sz w:val="21"/>
          <w:szCs w:val="21"/>
        </w:rPr>
        <w:t xml:space="preserve"> reduced volumes of construction financed by </w:t>
      </w:r>
      <w:r w:rsidR="00A9653E" w:rsidRPr="00403CFC">
        <w:rPr>
          <w:rFonts w:ascii="Garamond" w:hAnsi="Garamond" w:cs="Times New Roman"/>
          <w:sz w:val="21"/>
          <w:szCs w:val="21"/>
        </w:rPr>
        <w:t>households</w:t>
      </w:r>
      <w:r w:rsidR="00A9653E" w:rsidRPr="004E7A10">
        <w:rPr>
          <w:rFonts w:ascii="Garamond" w:hAnsi="Garamond" w:cs="Times New Roman"/>
          <w:sz w:val="21"/>
          <w:szCs w:val="21"/>
        </w:rPr>
        <w:t xml:space="preserve"> (</w:t>
      </w:r>
      <w:r w:rsidR="00403CFC">
        <w:rPr>
          <w:rFonts w:ascii="Garamond" w:hAnsi="Garamond" w:cs="Times New Roman"/>
          <w:sz w:val="21"/>
          <w:szCs w:val="21"/>
        </w:rPr>
        <w:t>9</w:t>
      </w:r>
      <w:r w:rsidR="00A9653E" w:rsidRPr="004E7A10">
        <w:rPr>
          <w:rFonts w:ascii="Garamond" w:hAnsi="Garamond" w:cs="Times New Roman"/>
          <w:sz w:val="21"/>
          <w:szCs w:val="21"/>
        </w:rPr>
        <w:t>.</w:t>
      </w:r>
      <w:r w:rsidRPr="004E7A10">
        <w:rPr>
          <w:rFonts w:ascii="Garamond" w:hAnsi="Garamond" w:cs="Times New Roman"/>
          <w:sz w:val="21"/>
          <w:szCs w:val="21"/>
        </w:rPr>
        <w:t>9</w:t>
      </w:r>
      <w:r w:rsidR="00A9653E" w:rsidRPr="004E7A10">
        <w:rPr>
          <w:rFonts w:ascii="Garamond" w:hAnsi="Garamond" w:cs="Times New Roman"/>
          <w:sz w:val="21"/>
          <w:szCs w:val="21"/>
        </w:rPr>
        <w:t>%)</w:t>
      </w:r>
      <w:r w:rsidR="004514E6" w:rsidRPr="004E7A10">
        <w:rPr>
          <w:rFonts w:ascii="Garamond" w:hAnsi="Garamond" w:cs="Times New Roman"/>
          <w:sz w:val="21"/>
          <w:szCs w:val="21"/>
        </w:rPr>
        <w:t>,</w:t>
      </w:r>
      <w:r w:rsidRPr="004E7A10">
        <w:rPr>
          <w:rFonts w:ascii="Garamond" w:hAnsi="Garamond" w:cs="Times New Roman"/>
          <w:sz w:val="21"/>
          <w:szCs w:val="21"/>
        </w:rPr>
        <w:t xml:space="preserve"> </w:t>
      </w:r>
      <w:r w:rsidR="00403CFC">
        <w:rPr>
          <w:rFonts w:ascii="Garamond" w:hAnsi="Garamond" w:cs="Times New Roman"/>
          <w:sz w:val="21"/>
          <w:szCs w:val="21"/>
        </w:rPr>
        <w:t xml:space="preserve">organizations </w:t>
      </w:r>
      <w:r w:rsidR="004514E6" w:rsidRPr="004E7A10">
        <w:rPr>
          <w:rFonts w:ascii="Garamond" w:hAnsi="Garamond" w:cs="Times New Roman"/>
          <w:sz w:val="21"/>
          <w:szCs w:val="21"/>
        </w:rPr>
        <w:t>(</w:t>
      </w:r>
      <w:r w:rsidR="00403CFC">
        <w:rPr>
          <w:rFonts w:ascii="Garamond" w:hAnsi="Garamond" w:cs="Times New Roman"/>
          <w:sz w:val="21"/>
          <w:szCs w:val="21"/>
        </w:rPr>
        <w:t>0</w:t>
      </w:r>
      <w:r w:rsidR="004514E6" w:rsidRPr="004E7A10">
        <w:rPr>
          <w:rFonts w:ascii="Garamond" w:hAnsi="Garamond" w:cs="Times New Roman"/>
          <w:sz w:val="21"/>
          <w:szCs w:val="21"/>
        </w:rPr>
        <w:t>.</w:t>
      </w:r>
      <w:r w:rsidR="00403CFC">
        <w:rPr>
          <w:rFonts w:ascii="Garamond" w:hAnsi="Garamond" w:cs="Times New Roman"/>
          <w:sz w:val="21"/>
          <w:szCs w:val="21"/>
        </w:rPr>
        <w:t>7</w:t>
      </w:r>
      <w:r w:rsidR="004514E6" w:rsidRPr="004E7A10">
        <w:rPr>
          <w:rFonts w:ascii="Garamond" w:hAnsi="Garamond" w:cs="Times New Roman"/>
          <w:sz w:val="21"/>
          <w:szCs w:val="21"/>
        </w:rPr>
        <w:t xml:space="preserve">%) </w:t>
      </w:r>
      <w:r w:rsidR="00A9653E" w:rsidRPr="004E7A10">
        <w:rPr>
          <w:rFonts w:ascii="Garamond" w:hAnsi="Garamond" w:cs="Times New Roman"/>
          <w:sz w:val="21"/>
          <w:szCs w:val="21"/>
        </w:rPr>
        <w:t>and</w:t>
      </w:r>
      <w:r w:rsidR="00403CFC">
        <w:rPr>
          <w:rFonts w:ascii="Garamond" w:hAnsi="Garamond" w:cs="Times New Roman"/>
          <w:sz w:val="21"/>
          <w:szCs w:val="21"/>
        </w:rPr>
        <w:t xml:space="preserve"> local community budgets (28.2%), </w:t>
      </w:r>
      <w:r w:rsidR="00403CFC" w:rsidRPr="004E7A10">
        <w:rPr>
          <w:rFonts w:ascii="Garamond" w:hAnsi="Garamond" w:cs="Times New Roman"/>
          <w:sz w:val="21"/>
          <w:szCs w:val="21"/>
        </w:rPr>
        <w:t>all other sources of construction financing posted growths</w:t>
      </w:r>
      <w:r w:rsidR="00403CFC">
        <w:rPr>
          <w:rFonts w:ascii="Garamond" w:hAnsi="Garamond" w:cs="Times New Roman"/>
          <w:sz w:val="21"/>
          <w:szCs w:val="21"/>
        </w:rPr>
        <w:t xml:space="preserve"> as follows: state budget (12.3%),</w:t>
      </w:r>
      <w:r w:rsidR="00A9653E" w:rsidRPr="004E7A10">
        <w:rPr>
          <w:rFonts w:ascii="Garamond" w:hAnsi="Garamond" w:cs="Times New Roman"/>
          <w:i/>
          <w:sz w:val="21"/>
          <w:szCs w:val="21"/>
        </w:rPr>
        <w:t xml:space="preserve"> </w:t>
      </w:r>
      <w:r w:rsidR="00403CFC" w:rsidRPr="00403CFC">
        <w:rPr>
          <w:rFonts w:ascii="Garamond" w:hAnsi="Garamond" w:cs="Times New Roman"/>
          <w:sz w:val="21"/>
          <w:szCs w:val="21"/>
        </w:rPr>
        <w:t>international credit (</w:t>
      </w:r>
      <w:r w:rsidR="00403CFC">
        <w:rPr>
          <w:rFonts w:ascii="Garamond" w:hAnsi="Garamond" w:cs="Times New Roman"/>
          <w:sz w:val="21"/>
          <w:szCs w:val="21"/>
        </w:rPr>
        <w:t>5</w:t>
      </w:r>
      <w:r w:rsidR="00403CFC" w:rsidRPr="00403CFC">
        <w:rPr>
          <w:rFonts w:ascii="Garamond" w:hAnsi="Garamond" w:cs="Times New Roman"/>
          <w:sz w:val="21"/>
          <w:szCs w:val="21"/>
        </w:rPr>
        <w:t>7.</w:t>
      </w:r>
      <w:r w:rsidR="00403CFC">
        <w:rPr>
          <w:rFonts w:ascii="Garamond" w:hAnsi="Garamond" w:cs="Times New Roman"/>
          <w:sz w:val="21"/>
          <w:szCs w:val="21"/>
        </w:rPr>
        <w:t>1</w:t>
      </w:r>
      <w:r w:rsidR="00403CFC" w:rsidRPr="00403CFC">
        <w:rPr>
          <w:rFonts w:ascii="Garamond" w:hAnsi="Garamond" w:cs="Times New Roman"/>
          <w:sz w:val="21"/>
          <w:szCs w:val="21"/>
        </w:rPr>
        <w:t>%)</w:t>
      </w:r>
      <w:r w:rsidR="00403CFC">
        <w:rPr>
          <w:rFonts w:ascii="Garamond" w:hAnsi="Garamond" w:cs="Times New Roman"/>
          <w:sz w:val="21"/>
          <w:szCs w:val="21"/>
        </w:rPr>
        <w:t>, and</w:t>
      </w:r>
      <w:r w:rsidR="00403CFC" w:rsidRPr="00403CFC">
        <w:rPr>
          <w:rFonts w:ascii="Garamond" w:hAnsi="Garamond" w:cs="Times New Roman"/>
          <w:sz w:val="21"/>
          <w:szCs w:val="21"/>
        </w:rPr>
        <w:t xml:space="preserve"> </w:t>
      </w:r>
      <w:r w:rsidR="00A9653E" w:rsidRPr="00403CFC">
        <w:rPr>
          <w:rFonts w:ascii="Garamond" w:hAnsi="Garamond" w:cs="Times New Roman"/>
          <w:sz w:val="21"/>
          <w:szCs w:val="21"/>
        </w:rPr>
        <w:t>humanitarian aid</w:t>
      </w:r>
      <w:r w:rsidR="00A9653E" w:rsidRPr="004E7A10">
        <w:rPr>
          <w:rFonts w:ascii="Garamond" w:hAnsi="Garamond" w:cs="Times New Roman"/>
          <w:sz w:val="21"/>
          <w:szCs w:val="21"/>
        </w:rPr>
        <w:t xml:space="preserve"> (</w:t>
      </w:r>
      <w:r w:rsidR="004659BD">
        <w:rPr>
          <w:rFonts w:ascii="Garamond" w:hAnsi="Garamond" w:cs="Times New Roman"/>
          <w:sz w:val="21"/>
          <w:szCs w:val="21"/>
        </w:rPr>
        <w:t>8</w:t>
      </w:r>
      <w:r w:rsidR="00A9653E" w:rsidRPr="004E7A10">
        <w:rPr>
          <w:rFonts w:ascii="Garamond" w:hAnsi="Garamond" w:cs="Times New Roman"/>
          <w:sz w:val="21"/>
          <w:szCs w:val="21"/>
        </w:rPr>
        <w:t>.</w:t>
      </w:r>
      <w:r w:rsidRPr="004E7A10">
        <w:rPr>
          <w:rFonts w:ascii="Garamond" w:hAnsi="Garamond" w:cs="Times New Roman"/>
          <w:sz w:val="21"/>
          <w:szCs w:val="21"/>
        </w:rPr>
        <w:t>6</w:t>
      </w:r>
      <w:r w:rsidR="00A9653E" w:rsidRPr="004E7A10">
        <w:rPr>
          <w:rFonts w:ascii="Garamond" w:hAnsi="Garamond" w:cs="Times New Roman"/>
          <w:sz w:val="21"/>
          <w:szCs w:val="21"/>
        </w:rPr>
        <w:t xml:space="preserve">%).    </w:t>
      </w:r>
    </w:p>
    <w:p w14:paraId="6A6A4953" w14:textId="77777777" w:rsidR="00A9653E" w:rsidRPr="004E7A10" w:rsidRDefault="00A9653E" w:rsidP="00A9653E">
      <w:pPr>
        <w:spacing w:line="360" w:lineRule="auto"/>
        <w:jc w:val="both"/>
        <w:rPr>
          <w:rStyle w:val="longtext"/>
          <w:rFonts w:ascii="Garamond" w:hAnsi="Garamond" w:cs="Times New Roman"/>
          <w:color w:val="000000"/>
          <w:sz w:val="21"/>
          <w:szCs w:val="21"/>
        </w:rPr>
      </w:pPr>
      <w:r w:rsidRPr="004E7A10">
        <w:rPr>
          <w:rFonts w:ascii="Garamond" w:hAnsi="Garamond" w:cs="Times New Roman"/>
          <w:sz w:val="21"/>
          <w:szCs w:val="21"/>
        </w:rPr>
        <w:t xml:space="preserve">In </w:t>
      </w:r>
      <w:r w:rsidRPr="004E7A10">
        <w:rPr>
          <w:rFonts w:ascii="Garamond" w:hAnsi="Garamond" w:cs="Times New Roman"/>
          <w:b/>
          <w:sz w:val="21"/>
          <w:szCs w:val="21"/>
        </w:rPr>
        <w:t>Services</w:t>
      </w:r>
      <w:r w:rsidRPr="004E7A10">
        <w:rPr>
          <w:rFonts w:ascii="Garamond" w:hAnsi="Garamond" w:cs="Times New Roman"/>
          <w:sz w:val="21"/>
          <w:szCs w:val="21"/>
        </w:rPr>
        <w:t xml:space="preserve">, the growth of value added </w:t>
      </w:r>
      <w:r w:rsidR="004F6F44" w:rsidRPr="004E7A10">
        <w:rPr>
          <w:rFonts w:ascii="Garamond" w:hAnsi="Garamond" w:cs="Times New Roman"/>
          <w:sz w:val="21"/>
          <w:szCs w:val="21"/>
        </w:rPr>
        <w:t xml:space="preserve">in </w:t>
      </w:r>
      <w:r w:rsidR="00D8762B">
        <w:rPr>
          <w:rFonts w:ascii="Garamond" w:hAnsi="Garamond" w:cs="Times New Roman"/>
          <w:sz w:val="21"/>
          <w:szCs w:val="21"/>
        </w:rPr>
        <w:t>the 1st</w:t>
      </w:r>
      <w:r w:rsidR="004F6F44" w:rsidRPr="004E7A10">
        <w:rPr>
          <w:rFonts w:ascii="Garamond" w:hAnsi="Garamond" w:cs="Times New Roman"/>
          <w:sz w:val="21"/>
          <w:szCs w:val="21"/>
        </w:rPr>
        <w:t xml:space="preserve"> </w:t>
      </w:r>
      <w:r w:rsidR="00D8762B">
        <w:rPr>
          <w:rFonts w:ascii="Garamond" w:hAnsi="Garamond" w:cs="Times New Roman"/>
          <w:sz w:val="21"/>
          <w:szCs w:val="21"/>
        </w:rPr>
        <w:t xml:space="preserve">quarter of 2015 </w:t>
      </w:r>
      <w:r w:rsidRPr="004E7A10">
        <w:rPr>
          <w:rFonts w:ascii="Garamond" w:hAnsi="Garamond" w:cs="Times New Roman"/>
          <w:sz w:val="21"/>
          <w:szCs w:val="21"/>
        </w:rPr>
        <w:t>is estimated in the r</w:t>
      </w:r>
      <w:r w:rsidR="004F6F44" w:rsidRPr="004E7A10">
        <w:rPr>
          <w:rFonts w:ascii="Garamond" w:hAnsi="Garamond" w:cs="Times New Roman"/>
          <w:sz w:val="21"/>
          <w:szCs w:val="21"/>
        </w:rPr>
        <w:t>ange</w:t>
      </w:r>
      <w:r w:rsidR="00FC2E4A" w:rsidRPr="004E7A10">
        <w:rPr>
          <w:rFonts w:ascii="Garamond" w:hAnsi="Garamond" w:cs="Times New Roman"/>
          <w:sz w:val="21"/>
          <w:szCs w:val="21"/>
        </w:rPr>
        <w:t xml:space="preserve"> of</w:t>
      </w:r>
      <w:r w:rsidR="004F6F44" w:rsidRPr="004E7A10">
        <w:rPr>
          <w:rFonts w:ascii="Garamond" w:hAnsi="Garamond" w:cs="Times New Roman"/>
          <w:sz w:val="21"/>
          <w:szCs w:val="21"/>
        </w:rPr>
        <w:t xml:space="preserve"> </w:t>
      </w:r>
      <w:r w:rsidR="00D8762B">
        <w:rPr>
          <w:rFonts w:ascii="Garamond" w:hAnsi="Garamond" w:cs="Times New Roman"/>
          <w:sz w:val="21"/>
          <w:szCs w:val="21"/>
        </w:rPr>
        <w:t>0</w:t>
      </w:r>
      <w:r w:rsidRPr="004E7A10">
        <w:rPr>
          <w:rFonts w:ascii="Garamond" w:hAnsi="Garamond" w:cs="Times New Roman"/>
          <w:sz w:val="21"/>
          <w:szCs w:val="21"/>
        </w:rPr>
        <w:t>.</w:t>
      </w:r>
      <w:r w:rsidR="00D8762B">
        <w:rPr>
          <w:rFonts w:ascii="Garamond" w:hAnsi="Garamond" w:cs="Times New Roman"/>
          <w:sz w:val="21"/>
          <w:szCs w:val="21"/>
        </w:rPr>
        <w:t>7</w:t>
      </w:r>
      <w:r w:rsidR="00B172F1">
        <w:rPr>
          <w:rFonts w:ascii="Garamond" w:hAnsi="Garamond" w:cs="Times New Roman"/>
          <w:sz w:val="21"/>
          <w:szCs w:val="21"/>
        </w:rPr>
        <w:t>%</w:t>
      </w:r>
      <w:r w:rsidRPr="004E7A10">
        <w:rPr>
          <w:rFonts w:ascii="Garamond" w:hAnsi="Garamond" w:cs="Times New Roman"/>
          <w:sz w:val="21"/>
          <w:szCs w:val="21"/>
        </w:rPr>
        <w:t>-</w:t>
      </w:r>
      <w:r w:rsidR="00D8762B">
        <w:rPr>
          <w:rFonts w:ascii="Garamond" w:hAnsi="Garamond" w:cs="Times New Roman"/>
          <w:sz w:val="21"/>
          <w:szCs w:val="21"/>
        </w:rPr>
        <w:t>1</w:t>
      </w:r>
      <w:r w:rsidRPr="004E7A10">
        <w:rPr>
          <w:rFonts w:ascii="Garamond" w:hAnsi="Garamond" w:cs="Times New Roman"/>
          <w:sz w:val="21"/>
          <w:szCs w:val="21"/>
        </w:rPr>
        <w:t>.</w:t>
      </w:r>
      <w:r w:rsidR="00D8762B">
        <w:rPr>
          <w:rFonts w:ascii="Garamond" w:hAnsi="Garamond" w:cs="Times New Roman"/>
          <w:sz w:val="21"/>
          <w:szCs w:val="21"/>
        </w:rPr>
        <w:t xml:space="preserve">2% </w:t>
      </w:r>
      <w:r w:rsidRPr="004E7A10">
        <w:rPr>
          <w:rFonts w:ascii="Garamond" w:hAnsi="Garamond" w:cs="Times New Roman"/>
          <w:sz w:val="21"/>
          <w:szCs w:val="21"/>
        </w:rPr>
        <w:t>y/y</w:t>
      </w:r>
      <w:r w:rsidR="00D8762B">
        <w:rPr>
          <w:rFonts w:ascii="Garamond" w:hAnsi="Garamond" w:cs="Times New Roman"/>
          <w:sz w:val="21"/>
          <w:szCs w:val="21"/>
        </w:rPr>
        <w:t xml:space="preserve">, attributable to the </w:t>
      </w:r>
      <w:r w:rsidRPr="004E7A10">
        <w:rPr>
          <w:rFonts w:ascii="Garamond" w:hAnsi="Garamond" w:cs="Times New Roman"/>
          <w:sz w:val="21"/>
          <w:szCs w:val="21"/>
        </w:rPr>
        <w:t xml:space="preserve">volumes of services rendered and trade turnover having </w:t>
      </w:r>
      <w:r w:rsidR="00D8762B">
        <w:rPr>
          <w:rFonts w:ascii="Garamond" w:hAnsi="Garamond" w:cs="Times New Roman"/>
          <w:sz w:val="21"/>
          <w:szCs w:val="21"/>
        </w:rPr>
        <w:t>reduced</w:t>
      </w:r>
      <w:r w:rsidRPr="004E7A10">
        <w:rPr>
          <w:rFonts w:ascii="Garamond" w:hAnsi="Garamond" w:cs="Times New Roman"/>
          <w:sz w:val="21"/>
          <w:szCs w:val="21"/>
        </w:rPr>
        <w:t xml:space="preserve"> by </w:t>
      </w:r>
      <w:r w:rsidR="00D8762B">
        <w:rPr>
          <w:rFonts w:ascii="Garamond" w:hAnsi="Garamond" w:cs="Times New Roman"/>
          <w:sz w:val="21"/>
          <w:szCs w:val="21"/>
        </w:rPr>
        <w:t>3</w:t>
      </w:r>
      <w:r w:rsidR="004F6F44" w:rsidRPr="004E7A10">
        <w:rPr>
          <w:rFonts w:ascii="Garamond" w:hAnsi="Garamond" w:cs="Times New Roman"/>
          <w:sz w:val="21"/>
          <w:szCs w:val="21"/>
        </w:rPr>
        <w:t>.</w:t>
      </w:r>
      <w:r w:rsidR="00D8762B">
        <w:rPr>
          <w:rFonts w:ascii="Garamond" w:hAnsi="Garamond" w:cs="Times New Roman"/>
          <w:sz w:val="21"/>
          <w:szCs w:val="21"/>
        </w:rPr>
        <w:t>9</w:t>
      </w:r>
      <w:r w:rsidRPr="004E7A10">
        <w:rPr>
          <w:rFonts w:ascii="Garamond" w:hAnsi="Garamond" w:cs="Times New Roman"/>
          <w:sz w:val="21"/>
          <w:szCs w:val="21"/>
        </w:rPr>
        <w:t xml:space="preserve">% and </w:t>
      </w:r>
      <w:r w:rsidR="00D8762B">
        <w:rPr>
          <w:rFonts w:ascii="Garamond" w:hAnsi="Garamond" w:cs="Times New Roman"/>
          <w:sz w:val="21"/>
          <w:szCs w:val="21"/>
        </w:rPr>
        <w:t>6</w:t>
      </w:r>
      <w:r w:rsidRPr="004E7A10">
        <w:rPr>
          <w:rFonts w:ascii="Garamond" w:hAnsi="Garamond" w:cs="Times New Roman"/>
          <w:sz w:val="21"/>
          <w:szCs w:val="21"/>
        </w:rPr>
        <w:t>.</w:t>
      </w:r>
      <w:r w:rsidR="00D8762B">
        <w:rPr>
          <w:rFonts w:ascii="Garamond" w:hAnsi="Garamond" w:cs="Times New Roman"/>
          <w:sz w:val="21"/>
          <w:szCs w:val="21"/>
        </w:rPr>
        <w:t>3</w:t>
      </w:r>
      <w:r w:rsidRPr="004E7A10">
        <w:rPr>
          <w:rFonts w:ascii="Garamond" w:hAnsi="Garamond" w:cs="Times New Roman"/>
          <w:sz w:val="21"/>
          <w:szCs w:val="21"/>
        </w:rPr>
        <w:t xml:space="preserve">%, respectively. </w:t>
      </w:r>
      <w:r w:rsidR="00987B91">
        <w:rPr>
          <w:rFonts w:ascii="Garamond" w:hAnsi="Garamond" w:cs="Times New Roman"/>
          <w:sz w:val="21"/>
          <w:szCs w:val="21"/>
        </w:rPr>
        <w:t>Note that t</w:t>
      </w:r>
      <w:r w:rsidRPr="004E7A10">
        <w:rPr>
          <w:rFonts w:ascii="Garamond" w:hAnsi="Garamond" w:cs="Times New Roman"/>
          <w:sz w:val="21"/>
          <w:szCs w:val="21"/>
        </w:rPr>
        <w:t xml:space="preserve">he increase in the volume of services rendered was driven </w:t>
      </w:r>
      <w:r w:rsidR="004F6F44" w:rsidRPr="004E7A10">
        <w:rPr>
          <w:rFonts w:ascii="Garamond" w:hAnsi="Garamond" w:cs="Times New Roman"/>
          <w:sz w:val="21"/>
          <w:szCs w:val="21"/>
        </w:rPr>
        <w:t xml:space="preserve">largely </w:t>
      </w:r>
      <w:r w:rsidRPr="004E7A10">
        <w:rPr>
          <w:rFonts w:ascii="Garamond" w:hAnsi="Garamond" w:cs="Times New Roman"/>
          <w:sz w:val="21"/>
          <w:szCs w:val="21"/>
        </w:rPr>
        <w:t xml:space="preserve">by growth </w:t>
      </w:r>
      <w:r w:rsidR="00C93B47">
        <w:rPr>
          <w:rFonts w:ascii="Garamond" w:hAnsi="Garamond" w:cs="Times New Roman"/>
          <w:sz w:val="21"/>
          <w:szCs w:val="21"/>
        </w:rPr>
        <w:t xml:space="preserve">reported </w:t>
      </w:r>
      <w:r w:rsidRPr="004E7A10">
        <w:rPr>
          <w:rFonts w:ascii="Garamond" w:hAnsi="Garamond" w:cs="Times New Roman"/>
          <w:sz w:val="21"/>
          <w:szCs w:val="21"/>
        </w:rPr>
        <w:t xml:space="preserve">in </w:t>
      </w:r>
      <w:r w:rsidR="00C93B47" w:rsidRPr="004E7A10">
        <w:rPr>
          <w:rFonts w:ascii="Garamond" w:hAnsi="Garamond" w:cs="Times New Roman"/>
          <w:sz w:val="21"/>
          <w:szCs w:val="21"/>
        </w:rPr>
        <w:t>banking services (</w:t>
      </w:r>
      <w:r w:rsidR="00C93B47">
        <w:rPr>
          <w:rFonts w:ascii="Garamond" w:hAnsi="Garamond" w:cs="Times New Roman"/>
          <w:sz w:val="21"/>
          <w:szCs w:val="21"/>
        </w:rPr>
        <w:t>20.</w:t>
      </w:r>
      <w:r w:rsidR="00C93B47" w:rsidRPr="004E7A10">
        <w:rPr>
          <w:rFonts w:ascii="Garamond" w:hAnsi="Garamond" w:cs="Times New Roman"/>
          <w:sz w:val="21"/>
          <w:szCs w:val="21"/>
        </w:rPr>
        <w:t>9%), events, leisure and rest (</w:t>
      </w:r>
      <w:r w:rsidR="00C93B47">
        <w:rPr>
          <w:rFonts w:ascii="Garamond" w:hAnsi="Garamond" w:cs="Times New Roman"/>
          <w:sz w:val="21"/>
          <w:szCs w:val="21"/>
        </w:rPr>
        <w:t>88.3</w:t>
      </w:r>
      <w:r w:rsidR="00C93B47" w:rsidRPr="004E7A10">
        <w:rPr>
          <w:rFonts w:ascii="Garamond" w:hAnsi="Garamond" w:cs="Times New Roman"/>
          <w:sz w:val="21"/>
          <w:szCs w:val="21"/>
        </w:rPr>
        <w:t>%),</w:t>
      </w:r>
      <w:r w:rsidR="00C93B47">
        <w:rPr>
          <w:rFonts w:ascii="Garamond" w:hAnsi="Garamond" w:cs="Times New Roman"/>
          <w:sz w:val="21"/>
          <w:szCs w:val="21"/>
        </w:rPr>
        <w:t xml:space="preserve"> </w:t>
      </w:r>
      <w:r w:rsidR="00C93B47" w:rsidRPr="004E7A10">
        <w:rPr>
          <w:rFonts w:ascii="Garamond" w:hAnsi="Garamond" w:cs="Times New Roman"/>
          <w:sz w:val="21"/>
          <w:szCs w:val="21"/>
        </w:rPr>
        <w:t>information technologies (</w:t>
      </w:r>
      <w:r w:rsidR="00C93B47">
        <w:rPr>
          <w:rFonts w:ascii="Garamond" w:hAnsi="Garamond" w:cs="Times New Roman"/>
          <w:sz w:val="21"/>
          <w:szCs w:val="21"/>
        </w:rPr>
        <w:t>8</w:t>
      </w:r>
      <w:r w:rsidR="00C93B47" w:rsidRPr="004E7A10">
        <w:rPr>
          <w:rFonts w:ascii="Garamond" w:hAnsi="Garamond" w:cs="Times New Roman"/>
          <w:sz w:val="21"/>
          <w:szCs w:val="21"/>
        </w:rPr>
        <w:t>.</w:t>
      </w:r>
      <w:r w:rsidR="00C93B47">
        <w:rPr>
          <w:rFonts w:ascii="Garamond" w:hAnsi="Garamond" w:cs="Times New Roman"/>
          <w:sz w:val="21"/>
          <w:szCs w:val="21"/>
        </w:rPr>
        <w:t>3</w:t>
      </w:r>
      <w:r w:rsidR="00C93B47" w:rsidRPr="004E7A10">
        <w:rPr>
          <w:rFonts w:ascii="Garamond" w:hAnsi="Garamond" w:cs="Times New Roman"/>
          <w:sz w:val="21"/>
          <w:szCs w:val="21"/>
        </w:rPr>
        <w:t xml:space="preserve">%), </w:t>
      </w:r>
      <w:r w:rsidR="00C93B47">
        <w:rPr>
          <w:rFonts w:ascii="Garamond" w:hAnsi="Garamond" w:cs="Times New Roman"/>
          <w:sz w:val="21"/>
          <w:szCs w:val="21"/>
        </w:rPr>
        <w:t xml:space="preserve">hotel and accommodation </w:t>
      </w:r>
      <w:r w:rsidRPr="004E7A10">
        <w:rPr>
          <w:rFonts w:ascii="Garamond" w:hAnsi="Garamond" w:cs="Times New Roman"/>
          <w:sz w:val="21"/>
          <w:szCs w:val="21"/>
        </w:rPr>
        <w:t>(</w:t>
      </w:r>
      <w:r w:rsidR="00C93B47">
        <w:rPr>
          <w:rFonts w:ascii="Garamond" w:hAnsi="Garamond" w:cs="Times New Roman"/>
          <w:sz w:val="21"/>
          <w:szCs w:val="21"/>
        </w:rPr>
        <w:t>7</w:t>
      </w:r>
      <w:r w:rsidR="008E6173" w:rsidRPr="004E7A10">
        <w:rPr>
          <w:rFonts w:ascii="Garamond" w:hAnsi="Garamond" w:cs="Times New Roman"/>
          <w:sz w:val="21"/>
          <w:szCs w:val="21"/>
        </w:rPr>
        <w:t>.</w:t>
      </w:r>
      <w:r w:rsidR="00C93B47">
        <w:rPr>
          <w:rFonts w:ascii="Garamond" w:hAnsi="Garamond" w:cs="Times New Roman"/>
          <w:sz w:val="21"/>
          <w:szCs w:val="21"/>
        </w:rPr>
        <w:t>4</w:t>
      </w:r>
      <w:r w:rsidR="008E6173" w:rsidRPr="004E7A10">
        <w:rPr>
          <w:rFonts w:ascii="Garamond" w:hAnsi="Garamond" w:cs="Times New Roman"/>
          <w:sz w:val="21"/>
          <w:szCs w:val="21"/>
        </w:rPr>
        <w:t>%</w:t>
      </w:r>
      <w:r w:rsidR="004F6F44" w:rsidRPr="004E7A10">
        <w:rPr>
          <w:rFonts w:ascii="Garamond" w:hAnsi="Garamond" w:cs="Times New Roman"/>
          <w:sz w:val="21"/>
          <w:szCs w:val="21"/>
        </w:rPr>
        <w:t>)</w:t>
      </w:r>
      <w:r w:rsidRPr="004E7A10">
        <w:rPr>
          <w:rFonts w:ascii="Garamond" w:hAnsi="Garamond" w:cs="Times New Roman"/>
          <w:sz w:val="21"/>
          <w:szCs w:val="21"/>
        </w:rPr>
        <w:t xml:space="preserve">, </w:t>
      </w:r>
      <w:r w:rsidR="00C93B47">
        <w:rPr>
          <w:rFonts w:ascii="Garamond" w:hAnsi="Garamond" w:cs="Times New Roman"/>
          <w:sz w:val="21"/>
          <w:szCs w:val="21"/>
        </w:rPr>
        <w:t>and entrepreneurship</w:t>
      </w:r>
      <w:r w:rsidRPr="004E7A10">
        <w:rPr>
          <w:rFonts w:ascii="Garamond" w:hAnsi="Garamond" w:cs="Times New Roman"/>
          <w:sz w:val="21"/>
          <w:szCs w:val="21"/>
        </w:rPr>
        <w:t xml:space="preserve"> (</w:t>
      </w:r>
      <w:r w:rsidR="00C93B47">
        <w:rPr>
          <w:rFonts w:ascii="Garamond" w:hAnsi="Garamond" w:cs="Times New Roman"/>
          <w:sz w:val="21"/>
          <w:szCs w:val="21"/>
        </w:rPr>
        <w:t>0</w:t>
      </w:r>
      <w:r w:rsidR="008E6173" w:rsidRPr="004E7A10">
        <w:rPr>
          <w:rFonts w:ascii="Garamond" w:hAnsi="Garamond" w:cs="Times New Roman"/>
          <w:sz w:val="21"/>
          <w:szCs w:val="21"/>
        </w:rPr>
        <w:t>.</w:t>
      </w:r>
      <w:r w:rsidR="00C93B47">
        <w:rPr>
          <w:rFonts w:ascii="Garamond" w:hAnsi="Garamond" w:cs="Times New Roman"/>
          <w:sz w:val="21"/>
          <w:szCs w:val="21"/>
        </w:rPr>
        <w:t>6</w:t>
      </w:r>
      <w:r w:rsidRPr="004E7A10">
        <w:rPr>
          <w:rFonts w:ascii="Garamond" w:hAnsi="Garamond" w:cs="Times New Roman"/>
          <w:sz w:val="21"/>
          <w:szCs w:val="21"/>
        </w:rPr>
        <w:t>%).</w:t>
      </w:r>
      <w:r w:rsidR="004C5805" w:rsidRPr="004E7A10">
        <w:rPr>
          <w:rFonts w:ascii="Garamond" w:hAnsi="Garamond" w:cs="Times New Roman"/>
          <w:sz w:val="21"/>
          <w:szCs w:val="21"/>
        </w:rPr>
        <w:t xml:space="preserve"> The </w:t>
      </w:r>
      <w:r w:rsidR="00C95D9F">
        <w:rPr>
          <w:rFonts w:ascii="Garamond" w:hAnsi="Garamond" w:cs="Times New Roman"/>
          <w:sz w:val="21"/>
          <w:szCs w:val="21"/>
        </w:rPr>
        <w:t xml:space="preserve">decline in </w:t>
      </w:r>
      <w:r w:rsidR="004C5805" w:rsidRPr="004E7A10">
        <w:rPr>
          <w:rFonts w:ascii="Garamond" w:hAnsi="Garamond" w:cs="Times New Roman"/>
          <w:sz w:val="21"/>
          <w:szCs w:val="21"/>
        </w:rPr>
        <w:t xml:space="preserve">trade was </w:t>
      </w:r>
      <w:r w:rsidR="001A590E">
        <w:rPr>
          <w:rFonts w:ascii="Garamond" w:hAnsi="Garamond" w:cs="Times New Roman"/>
          <w:sz w:val="21"/>
          <w:szCs w:val="21"/>
        </w:rPr>
        <w:t>attributable to the</w:t>
      </w:r>
      <w:r w:rsidR="004C5805" w:rsidRPr="004E7A10">
        <w:rPr>
          <w:rFonts w:ascii="Garamond" w:hAnsi="Garamond" w:cs="Times New Roman"/>
          <w:sz w:val="21"/>
          <w:szCs w:val="21"/>
        </w:rPr>
        <w:t xml:space="preserve"> turnover in </w:t>
      </w:r>
      <w:r w:rsidR="001A590E">
        <w:rPr>
          <w:rFonts w:ascii="Garamond" w:hAnsi="Garamond" w:cs="Times New Roman"/>
          <w:sz w:val="21"/>
          <w:szCs w:val="21"/>
        </w:rPr>
        <w:t xml:space="preserve">retail, </w:t>
      </w:r>
      <w:r w:rsidR="004C5805" w:rsidRPr="004E7A10">
        <w:rPr>
          <w:rFonts w:ascii="Garamond" w:hAnsi="Garamond" w:cs="Times New Roman"/>
          <w:sz w:val="21"/>
          <w:szCs w:val="21"/>
        </w:rPr>
        <w:t xml:space="preserve">wholesale and passenger car </w:t>
      </w:r>
      <w:r w:rsidR="008E6173" w:rsidRPr="004E7A10">
        <w:rPr>
          <w:rFonts w:ascii="Garamond" w:hAnsi="Garamond" w:cs="Times New Roman"/>
          <w:sz w:val="21"/>
          <w:szCs w:val="21"/>
        </w:rPr>
        <w:t>trade</w:t>
      </w:r>
      <w:r w:rsidR="001A590E">
        <w:rPr>
          <w:rFonts w:ascii="Garamond" w:hAnsi="Garamond" w:cs="Times New Roman"/>
          <w:sz w:val="21"/>
          <w:szCs w:val="21"/>
        </w:rPr>
        <w:t xml:space="preserve"> having reduced by </w:t>
      </w:r>
      <w:r w:rsidR="00C95D9F">
        <w:rPr>
          <w:rFonts w:ascii="Garamond" w:hAnsi="Garamond" w:cs="Times New Roman"/>
          <w:sz w:val="21"/>
          <w:szCs w:val="21"/>
        </w:rPr>
        <w:t>6.4</w:t>
      </w:r>
      <w:r w:rsidR="004C5805" w:rsidRPr="004E7A10">
        <w:rPr>
          <w:rFonts w:ascii="Garamond" w:hAnsi="Garamond" w:cs="Times New Roman"/>
          <w:sz w:val="21"/>
          <w:szCs w:val="21"/>
        </w:rPr>
        <w:t>%</w:t>
      </w:r>
      <w:r w:rsidR="001A590E">
        <w:rPr>
          <w:rFonts w:ascii="Garamond" w:hAnsi="Garamond" w:cs="Times New Roman"/>
          <w:sz w:val="21"/>
          <w:szCs w:val="21"/>
        </w:rPr>
        <w:t>,</w:t>
      </w:r>
      <w:r w:rsidR="008E6173" w:rsidRPr="004E7A10">
        <w:rPr>
          <w:rFonts w:ascii="Garamond" w:hAnsi="Garamond" w:cs="Times New Roman"/>
          <w:sz w:val="21"/>
          <w:szCs w:val="21"/>
        </w:rPr>
        <w:t xml:space="preserve"> </w:t>
      </w:r>
      <w:r w:rsidR="00C95D9F">
        <w:rPr>
          <w:rFonts w:ascii="Garamond" w:hAnsi="Garamond" w:cs="Times New Roman"/>
          <w:sz w:val="21"/>
          <w:szCs w:val="21"/>
        </w:rPr>
        <w:t>5</w:t>
      </w:r>
      <w:r w:rsidR="004C5805" w:rsidRPr="004E7A10">
        <w:rPr>
          <w:rFonts w:ascii="Garamond" w:hAnsi="Garamond" w:cs="Times New Roman"/>
          <w:sz w:val="21"/>
          <w:szCs w:val="21"/>
        </w:rPr>
        <w:t>.</w:t>
      </w:r>
      <w:r w:rsidR="00C95D9F">
        <w:rPr>
          <w:rFonts w:ascii="Garamond" w:hAnsi="Garamond" w:cs="Times New Roman"/>
          <w:sz w:val="21"/>
          <w:szCs w:val="21"/>
        </w:rPr>
        <w:t>1</w:t>
      </w:r>
      <w:r w:rsidR="004C5805" w:rsidRPr="004E7A10">
        <w:rPr>
          <w:rFonts w:ascii="Garamond" w:hAnsi="Garamond" w:cs="Times New Roman"/>
          <w:sz w:val="21"/>
          <w:szCs w:val="21"/>
        </w:rPr>
        <w:t>%</w:t>
      </w:r>
      <w:r w:rsidR="001A590E">
        <w:rPr>
          <w:rFonts w:ascii="Garamond" w:hAnsi="Garamond" w:cs="Times New Roman"/>
          <w:sz w:val="21"/>
          <w:szCs w:val="21"/>
        </w:rPr>
        <w:t xml:space="preserve"> and 16.1%</w:t>
      </w:r>
      <w:r w:rsidR="004C5805" w:rsidRPr="004E7A10">
        <w:rPr>
          <w:rFonts w:ascii="Garamond" w:hAnsi="Garamond" w:cs="Times New Roman"/>
          <w:sz w:val="21"/>
          <w:szCs w:val="21"/>
        </w:rPr>
        <w:t>, respectively</w:t>
      </w:r>
      <w:r w:rsidR="001A590E">
        <w:rPr>
          <w:rFonts w:ascii="Garamond" w:hAnsi="Garamond" w:cs="Times New Roman"/>
          <w:sz w:val="21"/>
          <w:szCs w:val="21"/>
        </w:rPr>
        <w:t>, due to</w:t>
      </w:r>
      <w:r w:rsidR="00D66327" w:rsidRPr="004E7A10">
        <w:rPr>
          <w:rFonts w:ascii="Garamond" w:hAnsi="Garamond" w:cs="Times New Roman"/>
          <w:sz w:val="21"/>
          <w:szCs w:val="21"/>
        </w:rPr>
        <w:t xml:space="preserve"> real disposable household income </w:t>
      </w:r>
      <w:r w:rsidR="001A590E">
        <w:rPr>
          <w:rFonts w:ascii="Garamond" w:hAnsi="Garamond" w:cs="Times New Roman"/>
          <w:sz w:val="21"/>
          <w:szCs w:val="21"/>
        </w:rPr>
        <w:t xml:space="preserve">reduced largely </w:t>
      </w:r>
      <w:r w:rsidR="00D66327" w:rsidRPr="004E7A10">
        <w:rPr>
          <w:rFonts w:ascii="Garamond" w:hAnsi="Garamond" w:cs="Times New Roman"/>
          <w:sz w:val="21"/>
          <w:szCs w:val="21"/>
        </w:rPr>
        <w:t xml:space="preserve">as a result of an abruptly narrowed net inflow of private </w:t>
      </w:r>
      <w:r w:rsidR="001A590E">
        <w:rPr>
          <w:rFonts w:ascii="Garamond" w:hAnsi="Garamond" w:cs="Times New Roman"/>
          <w:sz w:val="21"/>
          <w:szCs w:val="21"/>
        </w:rPr>
        <w:t>transfers</w:t>
      </w:r>
      <w:r w:rsidR="00D66327" w:rsidRPr="004E7A10">
        <w:rPr>
          <w:rFonts w:ascii="Garamond" w:hAnsi="Garamond" w:cs="Times New Roman"/>
          <w:sz w:val="21"/>
          <w:szCs w:val="21"/>
        </w:rPr>
        <w:t>.</w:t>
      </w:r>
      <w:r w:rsidR="004C5805" w:rsidRPr="004E7A10">
        <w:rPr>
          <w:rFonts w:ascii="Garamond" w:hAnsi="Garamond" w:cs="Times New Roman"/>
          <w:sz w:val="21"/>
          <w:szCs w:val="21"/>
        </w:rPr>
        <w:t xml:space="preserve"> </w:t>
      </w:r>
    </w:p>
    <w:p w14:paraId="0A8BD24B"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w:t>
      </w:r>
      <w:r w:rsidRPr="004E7A10">
        <w:rPr>
          <w:rFonts w:ascii="Garamond" w:hAnsi="Garamond" w:cs="Times New Roman"/>
          <w:b/>
          <w:sz w:val="21"/>
          <w:szCs w:val="21"/>
        </w:rPr>
        <w:t>Agriculture</w:t>
      </w:r>
      <w:r w:rsidRPr="004E7A10">
        <w:rPr>
          <w:rFonts w:ascii="Garamond" w:hAnsi="Garamond" w:cs="Times New Roman"/>
          <w:sz w:val="21"/>
          <w:szCs w:val="21"/>
        </w:rPr>
        <w:t>,</w:t>
      </w:r>
      <w:r w:rsidR="00D66327" w:rsidRPr="004E7A10">
        <w:rPr>
          <w:rFonts w:ascii="Garamond" w:hAnsi="Garamond" w:cs="Times New Roman"/>
          <w:sz w:val="21"/>
          <w:szCs w:val="21"/>
        </w:rPr>
        <w:t xml:space="preserve"> </w:t>
      </w:r>
      <w:r w:rsidRPr="004E7A10">
        <w:rPr>
          <w:rFonts w:ascii="Garamond" w:hAnsi="Garamond" w:cs="Times New Roman"/>
          <w:sz w:val="21"/>
          <w:szCs w:val="21"/>
        </w:rPr>
        <w:t xml:space="preserve">the growth of value added for </w:t>
      </w:r>
      <w:r w:rsidR="00B40AB3">
        <w:rPr>
          <w:rFonts w:ascii="Garamond" w:hAnsi="Garamond" w:cs="Times New Roman"/>
          <w:sz w:val="21"/>
          <w:szCs w:val="21"/>
        </w:rPr>
        <w:t>the 1st</w:t>
      </w:r>
      <w:r w:rsidRPr="004E7A10">
        <w:rPr>
          <w:rFonts w:ascii="Garamond" w:hAnsi="Garamond" w:cs="Times New Roman"/>
          <w:sz w:val="21"/>
          <w:szCs w:val="21"/>
        </w:rPr>
        <w:t xml:space="preserve"> </w:t>
      </w:r>
      <w:r w:rsidR="00B40AB3">
        <w:rPr>
          <w:rFonts w:ascii="Garamond" w:hAnsi="Garamond" w:cs="Times New Roman"/>
          <w:sz w:val="21"/>
          <w:szCs w:val="21"/>
        </w:rPr>
        <w:t xml:space="preserve">quarter of 2015 </w:t>
      </w:r>
      <w:r w:rsidRPr="004E7A10">
        <w:rPr>
          <w:rFonts w:ascii="Garamond" w:hAnsi="Garamond" w:cs="Times New Roman"/>
          <w:sz w:val="21"/>
          <w:szCs w:val="21"/>
        </w:rPr>
        <w:t xml:space="preserve">is estimated in the range </w:t>
      </w:r>
      <w:r w:rsidR="00FC2E4A" w:rsidRPr="004E7A10">
        <w:rPr>
          <w:rFonts w:ascii="Garamond" w:hAnsi="Garamond" w:cs="Times New Roman"/>
          <w:sz w:val="21"/>
          <w:szCs w:val="21"/>
        </w:rPr>
        <w:t xml:space="preserve">of </w:t>
      </w:r>
      <w:r w:rsidR="00B40AB3">
        <w:rPr>
          <w:rFonts w:ascii="Garamond" w:hAnsi="Garamond" w:cs="Times New Roman"/>
          <w:sz w:val="21"/>
          <w:szCs w:val="21"/>
        </w:rPr>
        <w:t>6</w:t>
      </w:r>
      <w:r w:rsidR="006432D2" w:rsidRPr="004E7A10">
        <w:rPr>
          <w:rFonts w:ascii="Garamond" w:hAnsi="Garamond" w:cs="Times New Roman"/>
          <w:sz w:val="21"/>
          <w:szCs w:val="21"/>
        </w:rPr>
        <w:t>.</w:t>
      </w:r>
      <w:r w:rsidR="00B40AB3">
        <w:rPr>
          <w:rFonts w:ascii="Garamond" w:hAnsi="Garamond" w:cs="Times New Roman"/>
          <w:sz w:val="21"/>
          <w:szCs w:val="21"/>
        </w:rPr>
        <w:t>4</w:t>
      </w:r>
      <w:r w:rsidR="00B172F1">
        <w:rPr>
          <w:rFonts w:ascii="Garamond" w:hAnsi="Garamond" w:cs="Times New Roman"/>
          <w:sz w:val="21"/>
          <w:szCs w:val="21"/>
        </w:rPr>
        <w:t>%</w:t>
      </w:r>
      <w:r w:rsidRPr="004E7A10">
        <w:rPr>
          <w:rFonts w:ascii="Garamond" w:hAnsi="Garamond" w:cs="Times New Roman"/>
          <w:sz w:val="21"/>
          <w:szCs w:val="21"/>
        </w:rPr>
        <w:t>-</w:t>
      </w:r>
      <w:r w:rsidR="00B40AB3">
        <w:rPr>
          <w:rFonts w:ascii="Garamond" w:hAnsi="Garamond" w:cs="Times New Roman"/>
          <w:sz w:val="21"/>
          <w:szCs w:val="21"/>
        </w:rPr>
        <w:t>6</w:t>
      </w:r>
      <w:r w:rsidRPr="004E7A10">
        <w:rPr>
          <w:rFonts w:ascii="Garamond" w:hAnsi="Garamond" w:cs="Times New Roman"/>
          <w:sz w:val="21"/>
          <w:szCs w:val="21"/>
        </w:rPr>
        <w:t>.</w:t>
      </w:r>
      <w:r w:rsidR="00B40AB3">
        <w:rPr>
          <w:rFonts w:ascii="Garamond" w:hAnsi="Garamond" w:cs="Times New Roman"/>
          <w:sz w:val="21"/>
          <w:szCs w:val="21"/>
        </w:rPr>
        <w:t>9</w:t>
      </w:r>
      <w:r w:rsidRPr="004E7A10">
        <w:rPr>
          <w:rFonts w:ascii="Garamond" w:hAnsi="Garamond" w:cs="Times New Roman"/>
          <w:sz w:val="21"/>
          <w:szCs w:val="21"/>
        </w:rPr>
        <w:t xml:space="preserve">% y/y, </w:t>
      </w:r>
      <w:r w:rsidR="003C7912" w:rsidRPr="004E7A10">
        <w:rPr>
          <w:rFonts w:ascii="Garamond" w:hAnsi="Garamond" w:cs="Times New Roman"/>
          <w:sz w:val="21"/>
          <w:szCs w:val="21"/>
        </w:rPr>
        <w:t xml:space="preserve">fostered by </w:t>
      </w:r>
      <w:r w:rsidRPr="004E7A10">
        <w:rPr>
          <w:rFonts w:ascii="Garamond" w:hAnsi="Garamond" w:cs="Times New Roman"/>
          <w:sz w:val="21"/>
          <w:szCs w:val="21"/>
        </w:rPr>
        <w:t>increased outputs in animal breeding</w:t>
      </w:r>
      <w:r w:rsidR="006432D2" w:rsidRPr="004E7A10">
        <w:rPr>
          <w:rFonts w:ascii="Garamond" w:hAnsi="Garamond" w:cs="Times New Roman"/>
          <w:sz w:val="21"/>
          <w:szCs w:val="21"/>
        </w:rPr>
        <w:t>, plant growing</w:t>
      </w:r>
      <w:r w:rsidRPr="004E7A10">
        <w:rPr>
          <w:rFonts w:ascii="Garamond" w:hAnsi="Garamond" w:cs="Times New Roman"/>
          <w:sz w:val="21"/>
          <w:szCs w:val="21"/>
        </w:rPr>
        <w:t xml:space="preserve"> and fishing by </w:t>
      </w:r>
      <w:r w:rsidR="004B465A">
        <w:rPr>
          <w:rFonts w:ascii="Garamond" w:hAnsi="Garamond" w:cs="Times New Roman"/>
          <w:sz w:val="21"/>
          <w:szCs w:val="21"/>
        </w:rPr>
        <w:t>3</w:t>
      </w:r>
      <w:r w:rsidRPr="004E7A10">
        <w:rPr>
          <w:rFonts w:ascii="Garamond" w:hAnsi="Garamond" w:cs="Times New Roman"/>
          <w:sz w:val="21"/>
          <w:szCs w:val="21"/>
        </w:rPr>
        <w:t>.</w:t>
      </w:r>
      <w:r w:rsidR="004B465A">
        <w:rPr>
          <w:rFonts w:ascii="Garamond" w:hAnsi="Garamond" w:cs="Times New Roman"/>
          <w:sz w:val="21"/>
          <w:szCs w:val="21"/>
        </w:rPr>
        <w:t>5</w:t>
      </w:r>
      <w:r w:rsidRPr="004E7A10">
        <w:rPr>
          <w:rFonts w:ascii="Garamond" w:hAnsi="Garamond" w:cs="Times New Roman"/>
          <w:sz w:val="21"/>
          <w:szCs w:val="21"/>
        </w:rPr>
        <w:t xml:space="preserve">%, </w:t>
      </w:r>
      <w:r w:rsidR="004B465A">
        <w:rPr>
          <w:rFonts w:ascii="Garamond" w:hAnsi="Garamond" w:cs="Times New Roman"/>
          <w:sz w:val="21"/>
          <w:szCs w:val="21"/>
        </w:rPr>
        <w:t>28</w:t>
      </w:r>
      <w:r w:rsidRPr="004E7A10">
        <w:rPr>
          <w:rFonts w:ascii="Garamond" w:hAnsi="Garamond" w:cs="Times New Roman"/>
          <w:sz w:val="21"/>
          <w:szCs w:val="21"/>
        </w:rPr>
        <w:t>.</w:t>
      </w:r>
      <w:r w:rsidR="004B465A">
        <w:rPr>
          <w:rFonts w:ascii="Garamond" w:hAnsi="Garamond" w:cs="Times New Roman"/>
          <w:sz w:val="21"/>
          <w:szCs w:val="21"/>
        </w:rPr>
        <w:t>9</w:t>
      </w:r>
      <w:r w:rsidRPr="004E7A10">
        <w:rPr>
          <w:rFonts w:ascii="Garamond" w:hAnsi="Garamond" w:cs="Times New Roman"/>
          <w:sz w:val="21"/>
          <w:szCs w:val="21"/>
        </w:rPr>
        <w:t xml:space="preserve">% and </w:t>
      </w:r>
      <w:r w:rsidR="006432D2" w:rsidRPr="004E7A10">
        <w:rPr>
          <w:rFonts w:ascii="Garamond" w:hAnsi="Garamond" w:cs="Times New Roman"/>
          <w:sz w:val="21"/>
          <w:szCs w:val="21"/>
        </w:rPr>
        <w:lastRenderedPageBreak/>
        <w:t>2</w:t>
      </w:r>
      <w:r w:rsidR="004B465A">
        <w:rPr>
          <w:rFonts w:ascii="Garamond" w:hAnsi="Garamond" w:cs="Times New Roman"/>
          <w:sz w:val="21"/>
          <w:szCs w:val="21"/>
        </w:rPr>
        <w:t>3</w:t>
      </w:r>
      <w:r w:rsidRPr="004E7A10">
        <w:rPr>
          <w:rFonts w:ascii="Garamond" w:hAnsi="Garamond" w:cs="Times New Roman"/>
          <w:sz w:val="21"/>
          <w:szCs w:val="21"/>
        </w:rPr>
        <w:t>.</w:t>
      </w:r>
      <w:r w:rsidR="004B465A">
        <w:rPr>
          <w:rFonts w:ascii="Garamond" w:hAnsi="Garamond" w:cs="Times New Roman"/>
          <w:sz w:val="21"/>
          <w:szCs w:val="21"/>
        </w:rPr>
        <w:t>1</w:t>
      </w:r>
      <w:r w:rsidRPr="004E7A10">
        <w:rPr>
          <w:rFonts w:ascii="Garamond" w:hAnsi="Garamond" w:cs="Times New Roman"/>
          <w:sz w:val="21"/>
          <w:szCs w:val="21"/>
        </w:rPr>
        <w:t xml:space="preserve">%, respectively. Reported increases in </w:t>
      </w:r>
      <w:r w:rsidRPr="004B465A">
        <w:rPr>
          <w:rFonts w:ascii="Garamond" w:hAnsi="Garamond" w:cs="Times New Roman"/>
          <w:sz w:val="21"/>
          <w:szCs w:val="21"/>
        </w:rPr>
        <w:t xml:space="preserve">milk production and slaughtered animal and poultry production </w:t>
      </w:r>
      <w:r w:rsidRPr="004E7A10">
        <w:rPr>
          <w:rFonts w:ascii="Garamond" w:hAnsi="Garamond" w:cs="Times New Roman"/>
          <w:sz w:val="21"/>
          <w:szCs w:val="21"/>
        </w:rPr>
        <w:t xml:space="preserve">by </w:t>
      </w:r>
      <w:r w:rsidR="004B465A">
        <w:rPr>
          <w:rFonts w:ascii="Garamond" w:hAnsi="Garamond" w:cs="Times New Roman"/>
          <w:sz w:val="21"/>
          <w:szCs w:val="21"/>
        </w:rPr>
        <w:t>5</w:t>
      </w:r>
      <w:r w:rsidRPr="004E7A10">
        <w:rPr>
          <w:rFonts w:ascii="Garamond" w:hAnsi="Garamond" w:cs="Times New Roman"/>
          <w:sz w:val="21"/>
          <w:szCs w:val="21"/>
        </w:rPr>
        <w:t>%</w:t>
      </w:r>
      <w:r w:rsidR="004B465A">
        <w:rPr>
          <w:rFonts w:ascii="Garamond" w:hAnsi="Garamond" w:cs="Times New Roman"/>
          <w:sz w:val="21"/>
          <w:szCs w:val="21"/>
        </w:rPr>
        <w:t xml:space="preserve"> </w:t>
      </w:r>
      <w:r w:rsidRPr="004E7A10">
        <w:rPr>
          <w:rFonts w:ascii="Garamond" w:hAnsi="Garamond" w:cs="Times New Roman"/>
          <w:sz w:val="21"/>
          <w:szCs w:val="21"/>
        </w:rPr>
        <w:t xml:space="preserve">and </w:t>
      </w:r>
      <w:r w:rsidR="004B465A">
        <w:rPr>
          <w:rFonts w:ascii="Garamond" w:hAnsi="Garamond" w:cs="Times New Roman"/>
          <w:sz w:val="21"/>
          <w:szCs w:val="21"/>
        </w:rPr>
        <w:t>4</w:t>
      </w:r>
      <w:r w:rsidRPr="004E7A10">
        <w:rPr>
          <w:rFonts w:ascii="Garamond" w:hAnsi="Garamond" w:cs="Times New Roman"/>
          <w:sz w:val="21"/>
          <w:szCs w:val="21"/>
        </w:rPr>
        <w:t>.</w:t>
      </w:r>
      <w:r w:rsidR="004B465A">
        <w:rPr>
          <w:rFonts w:ascii="Garamond" w:hAnsi="Garamond" w:cs="Times New Roman"/>
          <w:sz w:val="21"/>
          <w:szCs w:val="21"/>
        </w:rPr>
        <w:t>5</w:t>
      </w:r>
      <w:r w:rsidRPr="004E7A10">
        <w:rPr>
          <w:rFonts w:ascii="Garamond" w:hAnsi="Garamond" w:cs="Times New Roman"/>
          <w:sz w:val="21"/>
          <w:szCs w:val="21"/>
        </w:rPr>
        <w:t>%, respectively, contributed to the overall growth in</w:t>
      </w:r>
      <w:r w:rsidRPr="004B465A">
        <w:rPr>
          <w:rFonts w:ascii="Garamond" w:hAnsi="Garamond" w:cs="Times New Roman"/>
          <w:sz w:val="21"/>
          <w:szCs w:val="21"/>
        </w:rPr>
        <w:t xml:space="preserve"> animal breeding.</w:t>
      </w:r>
      <w:r w:rsidRPr="004E7A10">
        <w:rPr>
          <w:rFonts w:ascii="Garamond" w:hAnsi="Garamond" w:cs="Times New Roman"/>
          <w:sz w:val="21"/>
          <w:szCs w:val="21"/>
        </w:rPr>
        <w:t xml:space="preserve"> </w:t>
      </w:r>
      <w:r w:rsidR="007B2DDE" w:rsidRPr="004E7A10">
        <w:rPr>
          <w:rFonts w:ascii="Garamond" w:hAnsi="Garamond" w:cs="Times New Roman"/>
          <w:sz w:val="21"/>
          <w:szCs w:val="21"/>
        </w:rPr>
        <w:t xml:space="preserve">Similarly, </w:t>
      </w:r>
      <w:r w:rsidR="004B465A">
        <w:rPr>
          <w:rFonts w:ascii="Garamond" w:hAnsi="Garamond" w:cs="Times New Roman"/>
          <w:sz w:val="21"/>
          <w:szCs w:val="21"/>
        </w:rPr>
        <w:t xml:space="preserve">as much as a 2.3-fold </w:t>
      </w:r>
      <w:r w:rsidR="007B2DDE" w:rsidRPr="004E7A10">
        <w:rPr>
          <w:rFonts w:ascii="Garamond" w:hAnsi="Garamond" w:cs="Times New Roman"/>
          <w:sz w:val="21"/>
          <w:szCs w:val="21"/>
        </w:rPr>
        <w:t>increase</w:t>
      </w:r>
      <w:r w:rsidR="004B465A">
        <w:rPr>
          <w:rFonts w:ascii="Garamond" w:hAnsi="Garamond" w:cs="Times New Roman"/>
          <w:sz w:val="21"/>
          <w:szCs w:val="21"/>
        </w:rPr>
        <w:t xml:space="preserve"> in the </w:t>
      </w:r>
      <w:r w:rsidR="007B2DDE" w:rsidRPr="004E7A10">
        <w:rPr>
          <w:rFonts w:ascii="Garamond" w:hAnsi="Garamond" w:cs="Times New Roman"/>
          <w:sz w:val="21"/>
          <w:szCs w:val="21"/>
        </w:rPr>
        <w:t>production of vegetables</w:t>
      </w:r>
      <w:r w:rsidR="004B465A">
        <w:rPr>
          <w:rFonts w:ascii="Garamond" w:hAnsi="Garamond" w:cs="Times New Roman"/>
          <w:sz w:val="21"/>
          <w:szCs w:val="21"/>
        </w:rPr>
        <w:t xml:space="preserve"> </w:t>
      </w:r>
      <w:r w:rsidR="007E59CF" w:rsidRPr="004E7A10">
        <w:rPr>
          <w:rFonts w:ascii="Garamond" w:hAnsi="Garamond" w:cs="Times New Roman"/>
          <w:sz w:val="21"/>
          <w:szCs w:val="21"/>
        </w:rPr>
        <w:t>contributed positively to</w:t>
      </w:r>
      <w:r w:rsidR="007E59CF" w:rsidRPr="004B465A">
        <w:rPr>
          <w:rFonts w:ascii="Garamond" w:hAnsi="Garamond" w:cs="Times New Roman"/>
          <w:sz w:val="21"/>
          <w:szCs w:val="21"/>
        </w:rPr>
        <w:t xml:space="preserve"> plant growing</w:t>
      </w:r>
      <w:r w:rsidR="007E59CF" w:rsidRPr="004E7A10">
        <w:rPr>
          <w:rFonts w:ascii="Garamond" w:hAnsi="Garamond" w:cs="Times New Roman"/>
          <w:sz w:val="21"/>
          <w:szCs w:val="21"/>
        </w:rPr>
        <w:t>.</w:t>
      </w:r>
    </w:p>
    <w:p w14:paraId="310F3242"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3.2.2 Aggregate demand</w:t>
      </w:r>
      <w:r w:rsidR="00BC7955">
        <w:rPr>
          <w:rStyle w:val="FootnoteReference"/>
          <w:rFonts w:ascii="Garamond" w:hAnsi="Garamond" w:cs="Times New Roman"/>
          <w:b/>
          <w:sz w:val="21"/>
          <w:szCs w:val="21"/>
        </w:rPr>
        <w:footnoteReference w:customMarkFollows="1" w:id="14"/>
        <w:t>14</w:t>
      </w:r>
    </w:p>
    <w:p w14:paraId="2F07CB7E" w14:textId="77777777" w:rsidR="00C83007" w:rsidRPr="004E7A10" w:rsidRDefault="00DA5EA7"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t xml:space="preserve">In the </w:t>
      </w:r>
      <w:r w:rsidR="00BC7955">
        <w:rPr>
          <w:rFonts w:ascii="Garamond" w:hAnsi="Garamond" w:cs="Times New Roman"/>
          <w:bCs/>
          <w:iCs/>
          <w:sz w:val="21"/>
          <w:szCs w:val="21"/>
        </w:rPr>
        <w:t>1st</w:t>
      </w:r>
      <w:r w:rsidRPr="004E7A10">
        <w:rPr>
          <w:rFonts w:ascii="Garamond" w:hAnsi="Garamond" w:cs="Times New Roman"/>
          <w:bCs/>
          <w:iCs/>
          <w:sz w:val="21"/>
          <w:szCs w:val="21"/>
        </w:rPr>
        <w:t xml:space="preserve"> quarter of 201</w:t>
      </w:r>
      <w:r w:rsidR="00BC7955">
        <w:rPr>
          <w:rFonts w:ascii="Garamond" w:hAnsi="Garamond" w:cs="Times New Roman"/>
          <w:bCs/>
          <w:iCs/>
          <w:sz w:val="21"/>
          <w:szCs w:val="21"/>
        </w:rPr>
        <w:t>5</w:t>
      </w:r>
      <w:r w:rsidRPr="004E7A10">
        <w:rPr>
          <w:rFonts w:ascii="Garamond" w:hAnsi="Garamond" w:cs="Times New Roman"/>
          <w:bCs/>
          <w:iCs/>
          <w:sz w:val="21"/>
          <w:szCs w:val="21"/>
        </w:rPr>
        <w:t xml:space="preserve">, </w:t>
      </w:r>
      <w:r w:rsidR="00BC7955">
        <w:rPr>
          <w:rFonts w:ascii="Garamond" w:hAnsi="Garamond" w:cs="Times New Roman"/>
          <w:bCs/>
          <w:iCs/>
          <w:sz w:val="21"/>
          <w:szCs w:val="21"/>
        </w:rPr>
        <w:t>t</w:t>
      </w:r>
      <w:r w:rsidR="00BC7955" w:rsidRPr="00BC7955">
        <w:rPr>
          <w:rFonts w:ascii="Garamond" w:hAnsi="Garamond" w:cs="Times New Roman"/>
          <w:bCs/>
          <w:iCs/>
          <w:sz w:val="21"/>
          <w:szCs w:val="21"/>
        </w:rPr>
        <w:t xml:space="preserve">he </w:t>
      </w:r>
      <w:r w:rsidR="00BC7955">
        <w:rPr>
          <w:rFonts w:ascii="Garamond" w:hAnsi="Garamond" w:cs="Times New Roman"/>
          <w:bCs/>
          <w:iCs/>
          <w:sz w:val="21"/>
          <w:szCs w:val="21"/>
        </w:rPr>
        <w:t>decline</w:t>
      </w:r>
      <w:r w:rsidR="00BC7955" w:rsidRPr="00BC7955">
        <w:rPr>
          <w:rFonts w:ascii="Garamond" w:hAnsi="Garamond" w:cs="Times New Roman"/>
          <w:bCs/>
          <w:iCs/>
          <w:sz w:val="21"/>
          <w:szCs w:val="21"/>
        </w:rPr>
        <w:t xml:space="preserve"> in private spending is estimated to be </w:t>
      </w:r>
      <w:r w:rsidR="00BC7955">
        <w:rPr>
          <w:rFonts w:ascii="Garamond" w:hAnsi="Garamond" w:cs="Times New Roman"/>
          <w:bCs/>
          <w:iCs/>
          <w:sz w:val="21"/>
          <w:szCs w:val="21"/>
        </w:rPr>
        <w:t xml:space="preserve">slower </w:t>
      </w:r>
      <w:r w:rsidR="00BC7955" w:rsidRPr="00BC7955">
        <w:rPr>
          <w:rFonts w:ascii="Garamond" w:hAnsi="Garamond" w:cs="Times New Roman"/>
          <w:bCs/>
          <w:iCs/>
          <w:sz w:val="21"/>
          <w:szCs w:val="21"/>
        </w:rPr>
        <w:t xml:space="preserve">compared with </w:t>
      </w:r>
      <w:r w:rsidR="00552ED3">
        <w:rPr>
          <w:rFonts w:ascii="Garamond" w:hAnsi="Garamond" w:cs="Times New Roman"/>
          <w:bCs/>
          <w:iCs/>
          <w:sz w:val="21"/>
          <w:szCs w:val="21"/>
        </w:rPr>
        <w:t>forecasts</w:t>
      </w:r>
      <w:r w:rsidR="00BC7955" w:rsidRPr="00BC7955">
        <w:rPr>
          <w:rFonts w:ascii="Garamond" w:hAnsi="Garamond" w:cs="Times New Roman"/>
          <w:bCs/>
          <w:iCs/>
          <w:sz w:val="21"/>
          <w:szCs w:val="21"/>
        </w:rPr>
        <w:t xml:space="preserve"> and </w:t>
      </w:r>
      <w:r w:rsidR="00BC7955">
        <w:rPr>
          <w:rFonts w:ascii="Garamond" w:hAnsi="Garamond" w:cs="Times New Roman"/>
          <w:bCs/>
          <w:iCs/>
          <w:sz w:val="21"/>
          <w:szCs w:val="21"/>
        </w:rPr>
        <w:t xml:space="preserve">amounts to </w:t>
      </w:r>
      <w:r w:rsidR="00BC7955" w:rsidRPr="00BC7955">
        <w:rPr>
          <w:rFonts w:ascii="Garamond" w:hAnsi="Garamond" w:cs="Times New Roman"/>
          <w:bCs/>
          <w:iCs/>
          <w:sz w:val="21"/>
          <w:szCs w:val="21"/>
        </w:rPr>
        <w:t>1.3%. The revi</w:t>
      </w:r>
      <w:r w:rsidR="00552ED3">
        <w:rPr>
          <w:rFonts w:ascii="Garamond" w:hAnsi="Garamond" w:cs="Times New Roman"/>
          <w:bCs/>
          <w:iCs/>
          <w:sz w:val="21"/>
          <w:szCs w:val="21"/>
        </w:rPr>
        <w:t xml:space="preserve">sion </w:t>
      </w:r>
      <w:r w:rsidR="00BC7955" w:rsidRPr="00BC7955">
        <w:rPr>
          <w:rFonts w:ascii="Garamond" w:hAnsi="Garamond" w:cs="Times New Roman"/>
          <w:bCs/>
          <w:iCs/>
          <w:sz w:val="21"/>
          <w:szCs w:val="21"/>
        </w:rPr>
        <w:t>is based on the</w:t>
      </w:r>
      <w:r w:rsidR="00552ED3">
        <w:rPr>
          <w:rFonts w:ascii="Garamond" w:hAnsi="Garamond" w:cs="Times New Roman"/>
          <w:bCs/>
          <w:iCs/>
          <w:sz w:val="21"/>
          <w:szCs w:val="21"/>
        </w:rPr>
        <w:t xml:space="preserve"> lagged </w:t>
      </w:r>
      <w:r w:rsidR="00BC7955" w:rsidRPr="00BC7955">
        <w:rPr>
          <w:rFonts w:ascii="Garamond" w:hAnsi="Garamond" w:cs="Times New Roman"/>
          <w:bCs/>
          <w:iCs/>
          <w:sz w:val="21"/>
          <w:szCs w:val="21"/>
        </w:rPr>
        <w:t xml:space="preserve">effect of expansionary monetary and fiscal policies </w:t>
      </w:r>
      <w:r w:rsidR="00552ED3">
        <w:rPr>
          <w:rFonts w:ascii="Garamond" w:hAnsi="Garamond" w:cs="Times New Roman"/>
          <w:bCs/>
          <w:iCs/>
          <w:sz w:val="21"/>
          <w:szCs w:val="21"/>
        </w:rPr>
        <w:t xml:space="preserve">carried out in 2014 as well as a more stimulating </w:t>
      </w:r>
      <w:r w:rsidR="00552ED3" w:rsidRPr="00BC7955">
        <w:rPr>
          <w:rFonts w:ascii="Garamond" w:hAnsi="Garamond" w:cs="Times New Roman"/>
          <w:bCs/>
          <w:iCs/>
          <w:sz w:val="21"/>
          <w:szCs w:val="21"/>
        </w:rPr>
        <w:t xml:space="preserve">fiscal policy </w:t>
      </w:r>
      <w:r w:rsidR="00552ED3">
        <w:rPr>
          <w:rFonts w:ascii="Garamond" w:hAnsi="Garamond" w:cs="Times New Roman"/>
          <w:bCs/>
          <w:iCs/>
          <w:sz w:val="21"/>
          <w:szCs w:val="21"/>
        </w:rPr>
        <w:t>the G</w:t>
      </w:r>
      <w:r w:rsidR="00552ED3" w:rsidRPr="00BC7955">
        <w:rPr>
          <w:rFonts w:ascii="Garamond" w:hAnsi="Garamond" w:cs="Times New Roman"/>
          <w:bCs/>
          <w:iCs/>
          <w:sz w:val="21"/>
          <w:szCs w:val="21"/>
        </w:rPr>
        <w:t>overnment</w:t>
      </w:r>
      <w:r w:rsidR="00552ED3">
        <w:rPr>
          <w:rFonts w:ascii="Garamond" w:hAnsi="Garamond" w:cs="Times New Roman"/>
          <w:bCs/>
          <w:iCs/>
          <w:sz w:val="21"/>
          <w:szCs w:val="21"/>
        </w:rPr>
        <w:t xml:space="preserve"> implemented in the reporting period.</w:t>
      </w:r>
      <w:r w:rsidR="004A6D50" w:rsidRPr="004E7A10">
        <w:rPr>
          <w:rFonts w:ascii="Garamond" w:hAnsi="Garamond" w:cs="Times New Roman"/>
          <w:bCs/>
          <w:iCs/>
          <w:sz w:val="21"/>
          <w:szCs w:val="21"/>
        </w:rPr>
        <w:t xml:space="preserve"> </w:t>
      </w:r>
      <w:r w:rsidR="00C83007" w:rsidRPr="004E7A10">
        <w:rPr>
          <w:rFonts w:ascii="Garamond" w:hAnsi="Garamond" w:cs="Times New Roman"/>
          <w:bCs/>
          <w:iCs/>
          <w:sz w:val="21"/>
          <w:szCs w:val="21"/>
        </w:rPr>
        <w:t xml:space="preserve"> </w:t>
      </w:r>
    </w:p>
    <w:p w14:paraId="59167F7B" w14:textId="77777777" w:rsidR="00A72422" w:rsidRPr="004E7A10" w:rsidRDefault="00060A6C" w:rsidP="00A9653E">
      <w:pPr>
        <w:spacing w:line="360" w:lineRule="auto"/>
        <w:jc w:val="both"/>
        <w:rPr>
          <w:rFonts w:ascii="Garamond" w:hAnsi="Garamond" w:cs="Times New Roman"/>
          <w:bCs/>
          <w:iCs/>
          <w:sz w:val="21"/>
          <w:szCs w:val="21"/>
        </w:rPr>
      </w:pPr>
      <w:r>
        <w:rPr>
          <w:rFonts w:ascii="Garamond" w:hAnsi="Garamond" w:cs="Times New Roman"/>
          <w:bCs/>
          <w:iCs/>
          <w:sz w:val="21"/>
          <w:szCs w:val="21"/>
        </w:rPr>
        <w:t xml:space="preserve">Reduced </w:t>
      </w:r>
      <w:r w:rsidR="00A72422" w:rsidRPr="004E7A10">
        <w:rPr>
          <w:rFonts w:ascii="Garamond" w:hAnsi="Garamond" w:cs="Times New Roman"/>
          <w:bCs/>
          <w:iCs/>
          <w:sz w:val="21"/>
          <w:szCs w:val="21"/>
        </w:rPr>
        <w:t>private remittances from Russia ha</w:t>
      </w:r>
      <w:r>
        <w:rPr>
          <w:rFonts w:ascii="Garamond" w:hAnsi="Garamond" w:cs="Times New Roman"/>
          <w:bCs/>
          <w:iCs/>
          <w:sz w:val="21"/>
          <w:szCs w:val="21"/>
        </w:rPr>
        <w:t>ve</w:t>
      </w:r>
      <w:r w:rsidR="00A72422" w:rsidRPr="004E7A10">
        <w:rPr>
          <w:rFonts w:ascii="Garamond" w:hAnsi="Garamond" w:cs="Times New Roman"/>
          <w:bCs/>
          <w:iCs/>
          <w:sz w:val="21"/>
          <w:szCs w:val="21"/>
        </w:rPr>
        <w:t xml:space="preserve"> </w:t>
      </w:r>
      <w:r>
        <w:rPr>
          <w:rFonts w:ascii="Garamond" w:hAnsi="Garamond" w:cs="Times New Roman"/>
          <w:bCs/>
          <w:iCs/>
          <w:sz w:val="21"/>
          <w:szCs w:val="21"/>
        </w:rPr>
        <w:t>notably</w:t>
      </w:r>
      <w:r w:rsidR="00A72422" w:rsidRPr="004E7A10">
        <w:rPr>
          <w:rFonts w:ascii="Garamond" w:hAnsi="Garamond" w:cs="Times New Roman"/>
          <w:bCs/>
          <w:iCs/>
          <w:sz w:val="21"/>
          <w:szCs w:val="21"/>
        </w:rPr>
        <w:t xml:space="preserve"> diminished the households</w:t>
      </w:r>
      <w:r>
        <w:rPr>
          <w:rFonts w:ascii="Garamond" w:hAnsi="Garamond" w:cs="Times New Roman"/>
          <w:bCs/>
          <w:iCs/>
          <w:sz w:val="21"/>
          <w:szCs w:val="21"/>
        </w:rPr>
        <w:t>’</w:t>
      </w:r>
      <w:r w:rsidR="00A72422" w:rsidRPr="004E7A10">
        <w:rPr>
          <w:rFonts w:ascii="Garamond" w:hAnsi="Garamond" w:cs="Times New Roman"/>
          <w:bCs/>
          <w:iCs/>
          <w:sz w:val="21"/>
          <w:szCs w:val="21"/>
        </w:rPr>
        <w:t xml:space="preserve"> disposable income, which, in turn, led to the </w:t>
      </w:r>
      <w:r>
        <w:rPr>
          <w:rFonts w:ascii="Garamond" w:hAnsi="Garamond" w:cs="Times New Roman"/>
          <w:bCs/>
          <w:iCs/>
          <w:sz w:val="21"/>
          <w:szCs w:val="21"/>
        </w:rPr>
        <w:t xml:space="preserve">shrinkage of </w:t>
      </w:r>
      <w:r w:rsidR="00A72422" w:rsidRPr="004E7A10">
        <w:rPr>
          <w:rFonts w:ascii="Garamond" w:hAnsi="Garamond" w:cs="Times New Roman"/>
          <w:bCs/>
          <w:iCs/>
          <w:sz w:val="21"/>
          <w:szCs w:val="21"/>
        </w:rPr>
        <w:t xml:space="preserve">private spending </w:t>
      </w:r>
      <w:r w:rsidRPr="004E7A10">
        <w:rPr>
          <w:rFonts w:ascii="Garamond" w:hAnsi="Garamond" w:cs="Times New Roman"/>
          <w:bCs/>
          <w:iCs/>
          <w:sz w:val="21"/>
          <w:szCs w:val="21"/>
        </w:rPr>
        <w:t xml:space="preserve">in the </w:t>
      </w:r>
      <w:r>
        <w:rPr>
          <w:rFonts w:ascii="Garamond" w:hAnsi="Garamond" w:cs="Times New Roman"/>
          <w:bCs/>
          <w:iCs/>
          <w:sz w:val="21"/>
          <w:szCs w:val="21"/>
        </w:rPr>
        <w:t>1st</w:t>
      </w:r>
      <w:r w:rsidRPr="004E7A10">
        <w:rPr>
          <w:rFonts w:ascii="Garamond" w:hAnsi="Garamond" w:cs="Times New Roman"/>
          <w:bCs/>
          <w:iCs/>
          <w:sz w:val="21"/>
          <w:szCs w:val="21"/>
        </w:rPr>
        <w:t xml:space="preserve"> quarter of 201</w:t>
      </w:r>
      <w:r>
        <w:rPr>
          <w:rFonts w:ascii="Garamond" w:hAnsi="Garamond" w:cs="Times New Roman"/>
          <w:bCs/>
          <w:iCs/>
          <w:sz w:val="21"/>
          <w:szCs w:val="21"/>
        </w:rPr>
        <w:t>5.</w:t>
      </w:r>
      <w:r w:rsidRPr="004E7A10">
        <w:rPr>
          <w:rFonts w:ascii="Garamond" w:hAnsi="Garamond" w:cs="Times New Roman"/>
          <w:bCs/>
          <w:iCs/>
          <w:sz w:val="21"/>
          <w:szCs w:val="21"/>
        </w:rPr>
        <w:t xml:space="preserve"> </w:t>
      </w:r>
      <w:r>
        <w:rPr>
          <w:rFonts w:ascii="Garamond" w:hAnsi="Garamond" w:cs="Times New Roman"/>
          <w:bCs/>
          <w:iCs/>
          <w:sz w:val="21"/>
          <w:szCs w:val="21"/>
        </w:rPr>
        <w:t>Nonetheless, t</w:t>
      </w:r>
      <w:r w:rsidRPr="00060A6C">
        <w:rPr>
          <w:rFonts w:ascii="Garamond" w:hAnsi="Garamond" w:cs="Times New Roman"/>
          <w:bCs/>
          <w:iCs/>
          <w:sz w:val="21"/>
          <w:szCs w:val="21"/>
        </w:rPr>
        <w:t xml:space="preserve">he first quarter contraction of private consumption </w:t>
      </w:r>
      <w:r>
        <w:rPr>
          <w:rFonts w:ascii="Garamond" w:hAnsi="Garamond" w:cs="Times New Roman"/>
          <w:bCs/>
          <w:iCs/>
          <w:sz w:val="21"/>
          <w:szCs w:val="21"/>
        </w:rPr>
        <w:t xml:space="preserve">was mitigated </w:t>
      </w:r>
      <w:r w:rsidR="00836354">
        <w:rPr>
          <w:rFonts w:ascii="Garamond" w:hAnsi="Garamond" w:cs="Times New Roman"/>
          <w:bCs/>
          <w:iCs/>
          <w:sz w:val="21"/>
          <w:szCs w:val="21"/>
        </w:rPr>
        <w:t xml:space="preserve">by </w:t>
      </w:r>
      <w:r w:rsidRPr="00060A6C">
        <w:rPr>
          <w:rFonts w:ascii="Garamond" w:hAnsi="Garamond" w:cs="Times New Roman"/>
          <w:bCs/>
          <w:iCs/>
          <w:sz w:val="21"/>
          <w:szCs w:val="21"/>
        </w:rPr>
        <w:t>the above-mentioned factors.</w:t>
      </w:r>
      <w:r w:rsidR="00836354">
        <w:rPr>
          <w:rFonts w:ascii="Garamond" w:hAnsi="Garamond" w:cs="Times New Roman"/>
          <w:bCs/>
          <w:iCs/>
          <w:sz w:val="21"/>
          <w:szCs w:val="21"/>
        </w:rPr>
        <w:t xml:space="preserve"> </w:t>
      </w:r>
    </w:p>
    <w:p w14:paraId="4F25824D" w14:textId="77777777" w:rsidR="00FE307C" w:rsidRPr="00FE307C" w:rsidRDefault="00FE307C" w:rsidP="00A9653E">
      <w:pPr>
        <w:spacing w:line="360" w:lineRule="auto"/>
        <w:jc w:val="both"/>
        <w:rPr>
          <w:rFonts w:ascii="Garamond" w:hAnsi="Garamond" w:cs="Times New Roman"/>
          <w:b/>
          <w:bCs/>
          <w:iCs/>
          <w:color w:val="0070C0"/>
          <w:sz w:val="18"/>
          <w:szCs w:val="18"/>
        </w:rPr>
      </w:pPr>
      <w:r>
        <w:rPr>
          <w:rFonts w:ascii="Garamond" w:hAnsi="Garamond" w:cs="Times New Roman"/>
          <w:b/>
          <w:bCs/>
          <w:iCs/>
          <w:color w:val="0070C0"/>
          <w:sz w:val="18"/>
          <w:szCs w:val="18"/>
        </w:rPr>
        <w:t xml:space="preserve">In the 1st quarter of 2015, private consumption will </w:t>
      </w:r>
      <w:r w:rsidR="00536A93">
        <w:rPr>
          <w:rFonts w:ascii="Garamond" w:hAnsi="Garamond" w:cs="Times New Roman"/>
          <w:b/>
          <w:bCs/>
          <w:iCs/>
          <w:color w:val="0070C0"/>
          <w:sz w:val="18"/>
          <w:szCs w:val="18"/>
        </w:rPr>
        <w:t>slow down by 1.3% and private investment, by 7.4%...</w:t>
      </w:r>
      <w:r>
        <w:rPr>
          <w:rFonts w:ascii="Garamond" w:hAnsi="Garamond" w:cs="Times New Roman"/>
          <w:b/>
          <w:bCs/>
          <w:iCs/>
          <w:color w:val="0070C0"/>
          <w:sz w:val="18"/>
          <w:szCs w:val="18"/>
        </w:rPr>
        <w:t xml:space="preserve"> </w:t>
      </w:r>
    </w:p>
    <w:p w14:paraId="6D049E09" w14:textId="77777777" w:rsidR="00912A65" w:rsidRPr="004E7A10" w:rsidRDefault="00912A65" w:rsidP="00A9653E">
      <w:pPr>
        <w:spacing w:line="360" w:lineRule="auto"/>
        <w:jc w:val="both"/>
        <w:rPr>
          <w:rFonts w:ascii="Garamond" w:hAnsi="Garamond" w:cs="Times New Roman"/>
          <w:sz w:val="21"/>
          <w:szCs w:val="21"/>
        </w:rPr>
      </w:pPr>
      <w:r w:rsidRPr="004E7A10">
        <w:rPr>
          <w:rFonts w:ascii="Garamond" w:hAnsi="Garamond" w:cs="Times New Roman"/>
          <w:bCs/>
          <w:iCs/>
          <w:sz w:val="21"/>
          <w:szCs w:val="21"/>
        </w:rPr>
        <w:t>The results of the Central Bank surveys</w:t>
      </w:r>
      <w:r w:rsidR="00836354">
        <w:rPr>
          <w:rStyle w:val="FootnoteReference"/>
          <w:rFonts w:ascii="Garamond" w:hAnsi="Garamond" w:cs="Times New Roman"/>
          <w:bCs/>
          <w:iCs/>
          <w:sz w:val="21"/>
          <w:szCs w:val="21"/>
        </w:rPr>
        <w:footnoteReference w:customMarkFollows="1" w:id="15"/>
        <w:t>15</w:t>
      </w:r>
      <w:r w:rsidRPr="004E7A10">
        <w:rPr>
          <w:rFonts w:ascii="Garamond" w:hAnsi="Garamond" w:cs="Times New Roman"/>
          <w:bCs/>
          <w:iCs/>
          <w:sz w:val="21"/>
          <w:szCs w:val="21"/>
        </w:rPr>
        <w:t xml:space="preserve"> </w:t>
      </w:r>
      <w:r w:rsidR="00FD2B4E" w:rsidRPr="004E7A10">
        <w:rPr>
          <w:rFonts w:ascii="Garamond" w:hAnsi="Garamond" w:cs="Times New Roman"/>
          <w:bCs/>
          <w:iCs/>
          <w:sz w:val="21"/>
          <w:szCs w:val="21"/>
        </w:rPr>
        <w:t xml:space="preserve">as well as trade turnover </w:t>
      </w:r>
      <w:r w:rsidR="00836354">
        <w:rPr>
          <w:rFonts w:ascii="Garamond" w:hAnsi="Garamond" w:cs="Times New Roman"/>
          <w:bCs/>
          <w:iCs/>
          <w:sz w:val="21"/>
          <w:szCs w:val="21"/>
        </w:rPr>
        <w:t>indi</w:t>
      </w:r>
      <w:r w:rsidR="006A4E1E" w:rsidRPr="004E7A10">
        <w:rPr>
          <w:rFonts w:ascii="Garamond" w:hAnsi="Garamond" w:cs="Times New Roman"/>
          <w:bCs/>
          <w:iCs/>
          <w:sz w:val="21"/>
          <w:szCs w:val="21"/>
        </w:rPr>
        <w:t>ces</w:t>
      </w:r>
      <w:r w:rsidR="00FD2B4E" w:rsidRPr="004E7A10">
        <w:rPr>
          <w:rFonts w:ascii="Garamond" w:hAnsi="Garamond" w:cs="Times New Roman"/>
          <w:bCs/>
          <w:iCs/>
          <w:sz w:val="21"/>
          <w:szCs w:val="21"/>
        </w:rPr>
        <w:t xml:space="preserve">, as calculated by the National Statistics Service, </w:t>
      </w:r>
      <w:r w:rsidRPr="004E7A10">
        <w:rPr>
          <w:rFonts w:ascii="Garamond" w:hAnsi="Garamond" w:cs="Times New Roman"/>
          <w:bCs/>
          <w:iCs/>
          <w:sz w:val="21"/>
          <w:szCs w:val="21"/>
        </w:rPr>
        <w:t xml:space="preserve">also point to the </w:t>
      </w:r>
      <w:r w:rsidR="00836354">
        <w:rPr>
          <w:rFonts w:ascii="Garamond" w:hAnsi="Garamond" w:cs="Times New Roman"/>
          <w:bCs/>
          <w:iCs/>
          <w:sz w:val="21"/>
          <w:szCs w:val="21"/>
        </w:rPr>
        <w:t xml:space="preserve">contracted </w:t>
      </w:r>
      <w:r w:rsidRPr="004E7A10">
        <w:rPr>
          <w:rFonts w:ascii="Garamond" w:hAnsi="Garamond" w:cs="Times New Roman"/>
          <w:bCs/>
          <w:iCs/>
          <w:sz w:val="21"/>
          <w:szCs w:val="21"/>
        </w:rPr>
        <w:t xml:space="preserve">private consumption. </w:t>
      </w:r>
      <w:r w:rsidR="00655418" w:rsidRPr="004E7A10">
        <w:rPr>
          <w:rFonts w:ascii="Garamond" w:hAnsi="Garamond" w:cs="Times New Roman"/>
          <w:bCs/>
          <w:iCs/>
          <w:sz w:val="21"/>
          <w:szCs w:val="21"/>
        </w:rPr>
        <w:t xml:space="preserve">Thus, in </w:t>
      </w:r>
      <w:r w:rsidR="00655418" w:rsidRPr="004E7A10">
        <w:rPr>
          <w:rFonts w:ascii="Garamond" w:hAnsi="Garamond" w:cs="Times New Roman"/>
          <w:sz w:val="21"/>
          <w:szCs w:val="21"/>
        </w:rPr>
        <w:t xml:space="preserve">the </w:t>
      </w:r>
      <w:r w:rsidR="00836354">
        <w:rPr>
          <w:rFonts w:ascii="Garamond" w:hAnsi="Garamond" w:cs="Times New Roman"/>
          <w:sz w:val="21"/>
          <w:szCs w:val="21"/>
        </w:rPr>
        <w:t>1st</w:t>
      </w:r>
      <w:r w:rsidR="00655418" w:rsidRPr="004E7A10">
        <w:rPr>
          <w:rFonts w:ascii="Garamond" w:hAnsi="Garamond" w:cs="Times New Roman"/>
          <w:sz w:val="21"/>
          <w:szCs w:val="21"/>
        </w:rPr>
        <w:t xml:space="preserve"> quarter of 201</w:t>
      </w:r>
      <w:r w:rsidR="00836354">
        <w:rPr>
          <w:rFonts w:ascii="Garamond" w:hAnsi="Garamond" w:cs="Times New Roman"/>
          <w:sz w:val="21"/>
          <w:szCs w:val="21"/>
        </w:rPr>
        <w:t>5</w:t>
      </w:r>
      <w:r w:rsidR="00655418" w:rsidRPr="004E7A10">
        <w:rPr>
          <w:rFonts w:ascii="Garamond" w:hAnsi="Garamond" w:cs="Times New Roman"/>
          <w:sz w:val="21"/>
          <w:szCs w:val="21"/>
        </w:rPr>
        <w:t xml:space="preserve"> </w:t>
      </w:r>
      <w:r w:rsidR="006A4E1E" w:rsidRPr="004E7A10">
        <w:rPr>
          <w:rFonts w:ascii="Garamond" w:hAnsi="Garamond" w:cs="Times New Roman"/>
          <w:sz w:val="21"/>
          <w:szCs w:val="21"/>
        </w:rPr>
        <w:t xml:space="preserve">the Consumer Confidence Index </w:t>
      </w:r>
      <w:r w:rsidR="008C0806">
        <w:rPr>
          <w:rFonts w:ascii="Garamond" w:hAnsi="Garamond" w:cs="Times New Roman"/>
          <w:sz w:val="21"/>
          <w:szCs w:val="21"/>
        </w:rPr>
        <w:t>was 41.4 – below its stability range – ref</w:t>
      </w:r>
      <w:r w:rsidR="008C0806" w:rsidRPr="004E7A10">
        <w:rPr>
          <w:rFonts w:ascii="Garamond" w:hAnsi="Garamond" w:cs="Times New Roman"/>
          <w:sz w:val="21"/>
          <w:szCs w:val="21"/>
        </w:rPr>
        <w:t>lecting a declined consumer spending</w:t>
      </w:r>
      <w:r w:rsidR="008C0806">
        <w:rPr>
          <w:rFonts w:ascii="Garamond" w:hAnsi="Garamond" w:cs="Times New Roman"/>
          <w:sz w:val="21"/>
          <w:szCs w:val="21"/>
        </w:rPr>
        <w:t>.</w:t>
      </w:r>
      <w:r w:rsidR="008C0806" w:rsidRPr="004E7A10">
        <w:rPr>
          <w:rFonts w:ascii="Garamond" w:hAnsi="Garamond" w:cs="Times New Roman"/>
          <w:sz w:val="21"/>
          <w:szCs w:val="21"/>
        </w:rPr>
        <w:t xml:space="preserve"> </w:t>
      </w:r>
      <w:r w:rsidR="008C0806" w:rsidRPr="008C0806">
        <w:rPr>
          <w:rFonts w:ascii="Garamond" w:hAnsi="Garamond" w:cs="Times New Roman"/>
          <w:sz w:val="21"/>
          <w:szCs w:val="21"/>
        </w:rPr>
        <w:t xml:space="preserve">In the first quarter, compared to the same </w:t>
      </w:r>
      <w:r w:rsidR="008C0806">
        <w:rPr>
          <w:rFonts w:ascii="Garamond" w:hAnsi="Garamond" w:cs="Times New Roman"/>
          <w:sz w:val="21"/>
          <w:szCs w:val="21"/>
        </w:rPr>
        <w:t xml:space="preserve">reference </w:t>
      </w:r>
      <w:r w:rsidR="008C0806" w:rsidRPr="008C0806">
        <w:rPr>
          <w:rFonts w:ascii="Garamond" w:hAnsi="Garamond" w:cs="Times New Roman"/>
          <w:sz w:val="21"/>
          <w:szCs w:val="21"/>
        </w:rPr>
        <w:t xml:space="preserve">period last year, the </w:t>
      </w:r>
      <w:r w:rsidR="008C0806">
        <w:rPr>
          <w:rFonts w:ascii="Garamond" w:hAnsi="Garamond" w:cs="Times New Roman"/>
          <w:sz w:val="21"/>
          <w:szCs w:val="21"/>
        </w:rPr>
        <w:t>trade has s</w:t>
      </w:r>
      <w:r w:rsidR="008C0806" w:rsidRPr="008C0806">
        <w:rPr>
          <w:rFonts w:ascii="Garamond" w:hAnsi="Garamond" w:cs="Times New Roman"/>
          <w:sz w:val="21"/>
          <w:szCs w:val="21"/>
        </w:rPr>
        <w:t>hr</w:t>
      </w:r>
      <w:r w:rsidR="008C0806">
        <w:rPr>
          <w:rFonts w:ascii="Garamond" w:hAnsi="Garamond" w:cs="Times New Roman"/>
          <w:sz w:val="21"/>
          <w:szCs w:val="21"/>
        </w:rPr>
        <w:t>u</w:t>
      </w:r>
      <w:r w:rsidR="008C0806" w:rsidRPr="008C0806">
        <w:rPr>
          <w:rFonts w:ascii="Garamond" w:hAnsi="Garamond" w:cs="Times New Roman"/>
          <w:sz w:val="21"/>
          <w:szCs w:val="21"/>
        </w:rPr>
        <w:t>nk by 6.3%</w:t>
      </w:r>
      <w:r w:rsidR="008C0806">
        <w:rPr>
          <w:rFonts w:ascii="Garamond" w:hAnsi="Garamond" w:cs="Times New Roman"/>
          <w:sz w:val="21"/>
          <w:szCs w:val="21"/>
        </w:rPr>
        <w:t xml:space="preserve">, with </w:t>
      </w:r>
      <w:r w:rsidR="008C0806" w:rsidRPr="008C0806">
        <w:rPr>
          <w:rFonts w:ascii="Garamond" w:hAnsi="Garamond" w:cs="Times New Roman"/>
          <w:sz w:val="21"/>
          <w:szCs w:val="21"/>
        </w:rPr>
        <w:t xml:space="preserve">the decline </w:t>
      </w:r>
      <w:r w:rsidR="008C0806">
        <w:rPr>
          <w:rFonts w:ascii="Garamond" w:hAnsi="Garamond" w:cs="Times New Roman"/>
          <w:sz w:val="21"/>
          <w:szCs w:val="21"/>
        </w:rPr>
        <w:t xml:space="preserve">reported in </w:t>
      </w:r>
      <w:r w:rsidR="008C0806" w:rsidRPr="008C0806">
        <w:rPr>
          <w:rFonts w:ascii="Garamond" w:hAnsi="Garamond" w:cs="Times New Roman"/>
          <w:sz w:val="21"/>
          <w:szCs w:val="21"/>
        </w:rPr>
        <w:t>wholesale</w:t>
      </w:r>
      <w:r w:rsidR="008C0806">
        <w:rPr>
          <w:rFonts w:ascii="Garamond" w:hAnsi="Garamond" w:cs="Times New Roman"/>
          <w:sz w:val="21"/>
          <w:szCs w:val="21"/>
        </w:rPr>
        <w:t xml:space="preserve"> and</w:t>
      </w:r>
      <w:r w:rsidR="008C0806" w:rsidRPr="008C0806">
        <w:rPr>
          <w:rFonts w:ascii="Garamond" w:hAnsi="Garamond" w:cs="Times New Roman"/>
          <w:sz w:val="21"/>
          <w:szCs w:val="21"/>
        </w:rPr>
        <w:t xml:space="preserve"> retail</w:t>
      </w:r>
      <w:r w:rsidR="008C0806">
        <w:rPr>
          <w:rFonts w:ascii="Garamond" w:hAnsi="Garamond" w:cs="Times New Roman"/>
          <w:sz w:val="21"/>
          <w:szCs w:val="21"/>
        </w:rPr>
        <w:t xml:space="preserve"> trade as well as m</w:t>
      </w:r>
      <w:r w:rsidR="008C0806" w:rsidRPr="008C0806">
        <w:rPr>
          <w:rFonts w:ascii="Garamond" w:hAnsi="Garamond" w:cs="Times New Roman"/>
          <w:sz w:val="21"/>
          <w:szCs w:val="21"/>
        </w:rPr>
        <w:t>otor</w:t>
      </w:r>
      <w:r w:rsidR="008C0806">
        <w:rPr>
          <w:rFonts w:ascii="Garamond" w:hAnsi="Garamond" w:cs="Times New Roman"/>
          <w:sz w:val="21"/>
          <w:szCs w:val="21"/>
        </w:rPr>
        <w:t xml:space="preserve"> vehicle trade.</w:t>
      </w:r>
      <w:r w:rsidR="00C57C3E" w:rsidRPr="004E7A10">
        <w:rPr>
          <w:rFonts w:ascii="Garamond" w:hAnsi="Garamond" w:cs="Times New Roman"/>
          <w:sz w:val="21"/>
          <w:szCs w:val="21"/>
        </w:rPr>
        <w:t xml:space="preserve">  </w:t>
      </w:r>
    </w:p>
    <w:p w14:paraId="652FA5D8" w14:textId="77777777" w:rsidR="005314B0" w:rsidRDefault="00A9653E"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t xml:space="preserve">In the </w:t>
      </w:r>
      <w:r w:rsidR="005314B0">
        <w:rPr>
          <w:rFonts w:ascii="Garamond" w:hAnsi="Garamond" w:cs="Times New Roman"/>
          <w:bCs/>
          <w:iCs/>
          <w:sz w:val="21"/>
          <w:szCs w:val="21"/>
        </w:rPr>
        <w:t>1st</w:t>
      </w:r>
      <w:r w:rsidRPr="004E7A10">
        <w:rPr>
          <w:rFonts w:ascii="Garamond" w:hAnsi="Garamond" w:cs="Times New Roman"/>
          <w:bCs/>
          <w:iCs/>
          <w:sz w:val="21"/>
          <w:szCs w:val="21"/>
        </w:rPr>
        <w:t xml:space="preserve"> quarter of 201</w:t>
      </w:r>
      <w:r w:rsidR="005314B0">
        <w:rPr>
          <w:rFonts w:ascii="Garamond" w:hAnsi="Garamond" w:cs="Times New Roman"/>
          <w:bCs/>
          <w:iCs/>
          <w:sz w:val="21"/>
          <w:szCs w:val="21"/>
        </w:rPr>
        <w:t>5</w:t>
      </w:r>
      <w:r w:rsidRPr="004E7A10">
        <w:rPr>
          <w:rFonts w:ascii="Garamond" w:hAnsi="Garamond" w:cs="Times New Roman"/>
          <w:bCs/>
          <w:iCs/>
          <w:sz w:val="21"/>
          <w:szCs w:val="21"/>
        </w:rPr>
        <w:t xml:space="preserve">, </w:t>
      </w:r>
      <w:r w:rsidRPr="005314B0">
        <w:rPr>
          <w:rFonts w:ascii="Garamond" w:hAnsi="Garamond" w:cs="Times New Roman"/>
          <w:bCs/>
          <w:iCs/>
          <w:sz w:val="21"/>
          <w:szCs w:val="21"/>
        </w:rPr>
        <w:t>the investment climate</w:t>
      </w:r>
      <w:r w:rsidRPr="004E7A10">
        <w:rPr>
          <w:rFonts w:ascii="Garamond" w:hAnsi="Garamond" w:cs="Times New Roman"/>
          <w:bCs/>
          <w:iCs/>
          <w:sz w:val="21"/>
          <w:szCs w:val="21"/>
        </w:rPr>
        <w:t xml:space="preserve"> in the economy was weak</w:t>
      </w:r>
      <w:r w:rsidR="002A2990" w:rsidRPr="004E7A10">
        <w:rPr>
          <w:rFonts w:ascii="Garamond" w:hAnsi="Garamond" w:cs="Times New Roman"/>
          <w:bCs/>
          <w:iCs/>
          <w:sz w:val="21"/>
          <w:szCs w:val="21"/>
        </w:rPr>
        <w:t>er</w:t>
      </w:r>
      <w:r w:rsidR="008E42F2">
        <w:rPr>
          <w:rFonts w:ascii="Garamond" w:hAnsi="Garamond" w:cs="Times New Roman"/>
          <w:bCs/>
          <w:iCs/>
          <w:sz w:val="21"/>
          <w:szCs w:val="21"/>
        </w:rPr>
        <w:t xml:space="preserve">, just in line with </w:t>
      </w:r>
      <w:r w:rsidR="002A2990" w:rsidRPr="004E7A10">
        <w:rPr>
          <w:rFonts w:ascii="Garamond" w:hAnsi="Garamond" w:cs="Times New Roman"/>
          <w:bCs/>
          <w:iCs/>
          <w:sz w:val="21"/>
          <w:szCs w:val="21"/>
        </w:rPr>
        <w:t>anticipat</w:t>
      </w:r>
      <w:r w:rsidR="008E42F2">
        <w:rPr>
          <w:rFonts w:ascii="Garamond" w:hAnsi="Garamond" w:cs="Times New Roman"/>
          <w:bCs/>
          <w:iCs/>
          <w:sz w:val="21"/>
          <w:szCs w:val="21"/>
        </w:rPr>
        <w:t>ion</w:t>
      </w:r>
      <w:r w:rsidR="00AA51B2" w:rsidRPr="004E7A10">
        <w:rPr>
          <w:rFonts w:ascii="Garamond" w:hAnsi="Garamond" w:cs="Times New Roman"/>
          <w:bCs/>
          <w:iCs/>
          <w:sz w:val="21"/>
          <w:szCs w:val="21"/>
        </w:rPr>
        <w:t xml:space="preserve">, </w:t>
      </w:r>
      <w:r w:rsidR="005314B0">
        <w:rPr>
          <w:rFonts w:ascii="Garamond" w:hAnsi="Garamond" w:cs="Times New Roman"/>
          <w:bCs/>
          <w:iCs/>
          <w:sz w:val="21"/>
          <w:szCs w:val="21"/>
        </w:rPr>
        <w:t xml:space="preserve">with </w:t>
      </w:r>
      <w:r w:rsidR="005314B0" w:rsidRPr="004E7A10">
        <w:rPr>
          <w:rFonts w:ascii="Garamond" w:hAnsi="Garamond" w:cs="Times New Roman"/>
          <w:bCs/>
          <w:iCs/>
          <w:sz w:val="21"/>
          <w:szCs w:val="21"/>
        </w:rPr>
        <w:t xml:space="preserve">an estimated </w:t>
      </w:r>
      <w:r w:rsidR="005314B0">
        <w:rPr>
          <w:rFonts w:ascii="Garamond" w:hAnsi="Garamond" w:cs="Times New Roman"/>
          <w:bCs/>
          <w:iCs/>
          <w:sz w:val="21"/>
          <w:szCs w:val="21"/>
        </w:rPr>
        <w:t>7</w:t>
      </w:r>
      <w:r w:rsidR="005314B0" w:rsidRPr="004E7A10">
        <w:rPr>
          <w:rFonts w:ascii="Garamond" w:hAnsi="Garamond" w:cs="Times New Roman"/>
          <w:bCs/>
          <w:iCs/>
          <w:sz w:val="21"/>
          <w:szCs w:val="21"/>
        </w:rPr>
        <w:t>.</w:t>
      </w:r>
      <w:r w:rsidR="005314B0">
        <w:rPr>
          <w:rFonts w:ascii="Garamond" w:hAnsi="Garamond" w:cs="Times New Roman"/>
          <w:bCs/>
          <w:iCs/>
          <w:sz w:val="21"/>
          <w:szCs w:val="21"/>
        </w:rPr>
        <w:t>4</w:t>
      </w:r>
      <w:r w:rsidR="005314B0" w:rsidRPr="004E7A10">
        <w:rPr>
          <w:rFonts w:ascii="Garamond" w:hAnsi="Garamond" w:cs="Times New Roman"/>
          <w:bCs/>
          <w:iCs/>
          <w:sz w:val="21"/>
          <w:szCs w:val="21"/>
        </w:rPr>
        <w:t xml:space="preserve">% </w:t>
      </w:r>
      <w:r w:rsidR="002A2990" w:rsidRPr="004E7A10">
        <w:rPr>
          <w:rFonts w:ascii="Garamond" w:hAnsi="Garamond" w:cs="Times New Roman"/>
          <w:bCs/>
          <w:iCs/>
          <w:sz w:val="21"/>
          <w:szCs w:val="21"/>
        </w:rPr>
        <w:t xml:space="preserve">decline in the </w:t>
      </w:r>
      <w:r w:rsidR="00BB7280" w:rsidRPr="004E7A10">
        <w:rPr>
          <w:rFonts w:ascii="Garamond" w:hAnsi="Garamond" w:cs="Times New Roman"/>
          <w:bCs/>
          <w:iCs/>
          <w:sz w:val="21"/>
          <w:szCs w:val="21"/>
        </w:rPr>
        <w:t xml:space="preserve">private investment in relation to the same </w:t>
      </w:r>
      <w:r w:rsidR="005314B0">
        <w:rPr>
          <w:rFonts w:ascii="Garamond" w:hAnsi="Garamond" w:cs="Times New Roman"/>
          <w:bCs/>
          <w:iCs/>
          <w:sz w:val="21"/>
          <w:szCs w:val="21"/>
        </w:rPr>
        <w:t xml:space="preserve">reference </w:t>
      </w:r>
      <w:r w:rsidR="00BB7280" w:rsidRPr="004E7A10">
        <w:rPr>
          <w:rFonts w:ascii="Garamond" w:hAnsi="Garamond" w:cs="Times New Roman"/>
          <w:bCs/>
          <w:iCs/>
          <w:sz w:val="21"/>
          <w:szCs w:val="21"/>
        </w:rPr>
        <w:t xml:space="preserve">period last year. </w:t>
      </w:r>
      <w:r w:rsidR="005314B0">
        <w:rPr>
          <w:rFonts w:ascii="Garamond" w:hAnsi="Garamond" w:cs="Times New Roman"/>
          <w:bCs/>
          <w:iCs/>
          <w:sz w:val="21"/>
          <w:szCs w:val="21"/>
        </w:rPr>
        <w:t>The decline i</w:t>
      </w:r>
      <w:r w:rsidR="00BB7280" w:rsidRPr="004E7A10">
        <w:rPr>
          <w:rFonts w:ascii="Garamond" w:hAnsi="Garamond" w:cs="Times New Roman"/>
          <w:bCs/>
          <w:iCs/>
          <w:sz w:val="21"/>
          <w:szCs w:val="21"/>
        </w:rPr>
        <w:t xml:space="preserve">s </w:t>
      </w:r>
      <w:r w:rsidR="005314B0">
        <w:rPr>
          <w:rFonts w:ascii="Garamond" w:hAnsi="Garamond" w:cs="Times New Roman"/>
          <w:bCs/>
          <w:iCs/>
          <w:sz w:val="21"/>
          <w:szCs w:val="21"/>
        </w:rPr>
        <w:t xml:space="preserve">determined by weak activity </w:t>
      </w:r>
      <w:r w:rsidRPr="004E7A10">
        <w:rPr>
          <w:rFonts w:ascii="Garamond" w:hAnsi="Garamond" w:cs="Times New Roman"/>
          <w:bCs/>
          <w:iCs/>
          <w:sz w:val="21"/>
          <w:szCs w:val="21"/>
        </w:rPr>
        <w:t>in construction</w:t>
      </w:r>
      <w:r w:rsidR="005314B0">
        <w:rPr>
          <w:rFonts w:ascii="Garamond" w:hAnsi="Garamond" w:cs="Times New Roman"/>
          <w:bCs/>
          <w:iCs/>
          <w:sz w:val="21"/>
          <w:szCs w:val="21"/>
        </w:rPr>
        <w:t xml:space="preserve">, slower growth rates in company lending as well as a sluggish business environment in general. </w:t>
      </w:r>
    </w:p>
    <w:p w14:paraId="6FFA42EE" w14:textId="77777777" w:rsidR="008B318A" w:rsidRDefault="008B318A" w:rsidP="00A9653E">
      <w:pPr>
        <w:spacing w:line="360" w:lineRule="auto"/>
        <w:jc w:val="both"/>
        <w:rPr>
          <w:rFonts w:ascii="Garamond" w:hAnsi="Garamond" w:cs="Times New Roman"/>
          <w:bCs/>
          <w:iCs/>
          <w:sz w:val="21"/>
          <w:szCs w:val="21"/>
        </w:rPr>
      </w:pPr>
      <w:r>
        <w:rPr>
          <w:rFonts w:ascii="Garamond" w:hAnsi="Garamond" w:cs="Times New Roman"/>
          <w:bCs/>
          <w:iCs/>
          <w:sz w:val="21"/>
          <w:szCs w:val="21"/>
        </w:rPr>
        <w:t>The results of the Central Bank’s investment survey on Armenian companies point to the decline in investment in t period under review. Thus, only 16</w:t>
      </w:r>
      <w:r w:rsidR="0076293E" w:rsidRPr="004E7A10">
        <w:rPr>
          <w:rFonts w:ascii="Garamond" w:hAnsi="Garamond" w:cs="Times New Roman"/>
          <w:bCs/>
          <w:iCs/>
          <w:sz w:val="21"/>
          <w:szCs w:val="21"/>
        </w:rPr>
        <w:t xml:space="preserve">% of </w:t>
      </w:r>
      <w:r>
        <w:rPr>
          <w:rFonts w:ascii="Garamond" w:hAnsi="Garamond" w:cs="Times New Roman"/>
          <w:bCs/>
          <w:iCs/>
          <w:sz w:val="21"/>
          <w:szCs w:val="21"/>
        </w:rPr>
        <w:t xml:space="preserve">the </w:t>
      </w:r>
      <w:r w:rsidR="0076293E" w:rsidRPr="004E7A10">
        <w:rPr>
          <w:rFonts w:ascii="Garamond" w:hAnsi="Garamond" w:cs="Times New Roman"/>
          <w:bCs/>
          <w:iCs/>
          <w:sz w:val="21"/>
          <w:szCs w:val="21"/>
        </w:rPr>
        <w:t xml:space="preserve">companies </w:t>
      </w:r>
      <w:r>
        <w:rPr>
          <w:rFonts w:ascii="Garamond" w:hAnsi="Garamond" w:cs="Times New Roman"/>
          <w:bCs/>
          <w:iCs/>
          <w:sz w:val="21"/>
          <w:szCs w:val="21"/>
        </w:rPr>
        <w:t>surveyed inve</w:t>
      </w:r>
      <w:r w:rsidR="004E31BD" w:rsidRPr="004E7A10">
        <w:rPr>
          <w:rFonts w:ascii="Garamond" w:hAnsi="Garamond" w:cs="Times New Roman"/>
          <w:bCs/>
          <w:iCs/>
          <w:sz w:val="21"/>
          <w:szCs w:val="21"/>
        </w:rPr>
        <w:t xml:space="preserve">sted </w:t>
      </w:r>
      <w:r>
        <w:rPr>
          <w:rFonts w:ascii="Garamond" w:hAnsi="Garamond" w:cs="Times New Roman"/>
          <w:bCs/>
          <w:iCs/>
          <w:sz w:val="21"/>
          <w:szCs w:val="21"/>
        </w:rPr>
        <w:t>during the 1st</w:t>
      </w:r>
      <w:r w:rsidR="004E31BD" w:rsidRPr="004E7A10">
        <w:rPr>
          <w:rFonts w:ascii="Garamond" w:hAnsi="Garamond" w:cs="Times New Roman"/>
          <w:bCs/>
          <w:iCs/>
          <w:sz w:val="21"/>
          <w:szCs w:val="21"/>
        </w:rPr>
        <w:t xml:space="preserve"> </w:t>
      </w:r>
      <w:r>
        <w:rPr>
          <w:rFonts w:ascii="Garamond" w:hAnsi="Garamond" w:cs="Times New Roman"/>
          <w:bCs/>
          <w:iCs/>
          <w:sz w:val="21"/>
          <w:szCs w:val="21"/>
        </w:rPr>
        <w:t xml:space="preserve">quarter of 2015, which is 2 pp smaller than the indicator reported in the same reference period last year. </w:t>
      </w:r>
    </w:p>
    <w:p w14:paraId="6EE6A124" w14:textId="77777777" w:rsidR="004E31BD" w:rsidRPr="004E7A10" w:rsidRDefault="004E31BD"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t xml:space="preserve">With private consumption and investment developments described above, private spending </w:t>
      </w:r>
      <w:r w:rsidR="008B318A">
        <w:rPr>
          <w:rFonts w:ascii="Garamond" w:hAnsi="Garamond" w:cs="Times New Roman"/>
          <w:bCs/>
          <w:iCs/>
          <w:sz w:val="21"/>
          <w:szCs w:val="21"/>
        </w:rPr>
        <w:t>contracted by 2.1</w:t>
      </w:r>
      <w:r w:rsidRPr="004E7A10">
        <w:rPr>
          <w:rFonts w:ascii="Garamond" w:hAnsi="Garamond" w:cs="Times New Roman"/>
          <w:bCs/>
          <w:iCs/>
          <w:sz w:val="21"/>
          <w:szCs w:val="21"/>
        </w:rPr>
        <w:t xml:space="preserve">% in the </w:t>
      </w:r>
      <w:r w:rsidR="008B318A">
        <w:rPr>
          <w:rFonts w:ascii="Garamond" w:hAnsi="Garamond" w:cs="Times New Roman"/>
          <w:bCs/>
          <w:iCs/>
          <w:sz w:val="21"/>
          <w:szCs w:val="21"/>
        </w:rPr>
        <w:t>1st</w:t>
      </w:r>
      <w:r w:rsidRPr="004E7A10">
        <w:rPr>
          <w:rFonts w:ascii="Garamond" w:hAnsi="Garamond" w:cs="Times New Roman"/>
          <w:bCs/>
          <w:iCs/>
          <w:sz w:val="21"/>
          <w:szCs w:val="21"/>
        </w:rPr>
        <w:t xml:space="preserve"> quarter, which, coupled with </w:t>
      </w:r>
      <w:r w:rsidR="00CB4B81" w:rsidRPr="004E7A10">
        <w:rPr>
          <w:rFonts w:ascii="Garamond" w:hAnsi="Garamond" w:cs="Times New Roman"/>
          <w:bCs/>
          <w:iCs/>
          <w:sz w:val="21"/>
          <w:szCs w:val="21"/>
        </w:rPr>
        <w:t xml:space="preserve">a </w:t>
      </w:r>
      <w:r w:rsidRPr="004E7A10">
        <w:rPr>
          <w:rFonts w:ascii="Garamond" w:hAnsi="Garamond" w:cs="Times New Roman"/>
          <w:bCs/>
          <w:iCs/>
          <w:sz w:val="21"/>
          <w:szCs w:val="21"/>
        </w:rPr>
        <w:t>2.</w:t>
      </w:r>
      <w:r w:rsidR="008B318A">
        <w:rPr>
          <w:rFonts w:ascii="Garamond" w:hAnsi="Garamond" w:cs="Times New Roman"/>
          <w:bCs/>
          <w:iCs/>
          <w:sz w:val="21"/>
          <w:szCs w:val="21"/>
        </w:rPr>
        <w:t>2</w:t>
      </w:r>
      <w:r w:rsidRPr="004E7A10">
        <w:rPr>
          <w:rFonts w:ascii="Garamond" w:hAnsi="Garamond" w:cs="Times New Roman"/>
          <w:bCs/>
          <w:iCs/>
          <w:sz w:val="21"/>
          <w:szCs w:val="21"/>
        </w:rPr>
        <w:t xml:space="preserve">% </w:t>
      </w:r>
      <w:r w:rsidR="00CB4B81" w:rsidRPr="004E7A10">
        <w:rPr>
          <w:rFonts w:ascii="Garamond" w:hAnsi="Garamond" w:cs="Times New Roman"/>
          <w:bCs/>
          <w:iCs/>
          <w:sz w:val="21"/>
          <w:szCs w:val="21"/>
        </w:rPr>
        <w:t>increase in</w:t>
      </w:r>
      <w:r w:rsidRPr="004E7A10">
        <w:rPr>
          <w:rFonts w:ascii="Garamond" w:hAnsi="Garamond" w:cs="Times New Roman"/>
          <w:bCs/>
          <w:iCs/>
          <w:sz w:val="21"/>
          <w:szCs w:val="21"/>
        </w:rPr>
        <w:t xml:space="preserve"> public expenditure</w:t>
      </w:r>
      <w:r w:rsidR="00CB4B81" w:rsidRPr="004E7A10">
        <w:rPr>
          <w:rFonts w:ascii="Garamond" w:hAnsi="Garamond" w:cs="Times New Roman"/>
          <w:bCs/>
          <w:iCs/>
          <w:sz w:val="21"/>
          <w:szCs w:val="21"/>
        </w:rPr>
        <w:t>s, pushed the</w:t>
      </w:r>
      <w:r w:rsidRPr="004E7A10">
        <w:rPr>
          <w:rFonts w:ascii="Garamond" w:hAnsi="Garamond" w:cs="Times New Roman"/>
          <w:bCs/>
          <w:iCs/>
          <w:sz w:val="21"/>
          <w:szCs w:val="21"/>
        </w:rPr>
        <w:t xml:space="preserve"> domestic demand </w:t>
      </w:r>
      <w:r w:rsidR="008B318A">
        <w:rPr>
          <w:rFonts w:ascii="Garamond" w:hAnsi="Garamond" w:cs="Times New Roman"/>
          <w:bCs/>
          <w:iCs/>
          <w:sz w:val="21"/>
          <w:szCs w:val="21"/>
        </w:rPr>
        <w:t>down</w:t>
      </w:r>
      <w:r w:rsidR="00CB4B81" w:rsidRPr="004E7A10">
        <w:rPr>
          <w:rFonts w:ascii="Garamond" w:hAnsi="Garamond" w:cs="Times New Roman"/>
          <w:bCs/>
          <w:iCs/>
          <w:sz w:val="21"/>
          <w:szCs w:val="21"/>
        </w:rPr>
        <w:t xml:space="preserve"> by </w:t>
      </w:r>
      <w:r w:rsidRPr="004E7A10">
        <w:rPr>
          <w:rFonts w:ascii="Garamond" w:hAnsi="Garamond" w:cs="Times New Roman"/>
          <w:bCs/>
          <w:iCs/>
          <w:sz w:val="21"/>
          <w:szCs w:val="21"/>
        </w:rPr>
        <w:t>1.</w:t>
      </w:r>
      <w:r w:rsidR="008B318A">
        <w:rPr>
          <w:rFonts w:ascii="Garamond" w:hAnsi="Garamond" w:cs="Times New Roman"/>
          <w:bCs/>
          <w:iCs/>
          <w:sz w:val="21"/>
          <w:szCs w:val="21"/>
        </w:rPr>
        <w:t>4</w:t>
      </w:r>
      <w:r w:rsidRPr="004E7A10">
        <w:rPr>
          <w:rFonts w:ascii="Garamond" w:hAnsi="Garamond" w:cs="Times New Roman"/>
          <w:bCs/>
          <w:iCs/>
          <w:sz w:val="21"/>
          <w:szCs w:val="21"/>
        </w:rPr>
        <w:t>%.</w:t>
      </w:r>
    </w:p>
    <w:p w14:paraId="20C0C583" w14:textId="77777777" w:rsidR="00A9653E" w:rsidRPr="004E7A10" w:rsidRDefault="004053BD" w:rsidP="00A9653E">
      <w:pPr>
        <w:spacing w:line="360" w:lineRule="auto"/>
        <w:jc w:val="both"/>
        <w:rPr>
          <w:rFonts w:ascii="Garamond" w:hAnsi="Garamond" w:cs="Times New Roman"/>
          <w:bCs/>
          <w:iCs/>
          <w:sz w:val="21"/>
          <w:szCs w:val="21"/>
        </w:rPr>
      </w:pPr>
      <w:r>
        <w:rPr>
          <w:rFonts w:ascii="Garamond" w:hAnsi="Garamond" w:cs="Times New Roman"/>
          <w:sz w:val="21"/>
          <w:szCs w:val="21"/>
        </w:rPr>
        <w:lastRenderedPageBreak/>
        <w:t>I</w:t>
      </w:r>
      <w:r w:rsidRPr="004E7A10">
        <w:rPr>
          <w:rFonts w:ascii="Garamond" w:hAnsi="Garamond" w:cs="Times New Roman"/>
          <w:sz w:val="21"/>
          <w:szCs w:val="21"/>
        </w:rPr>
        <w:t xml:space="preserve">n the </w:t>
      </w:r>
      <w:r>
        <w:rPr>
          <w:rFonts w:ascii="Garamond" w:hAnsi="Garamond" w:cs="Times New Roman"/>
          <w:sz w:val="21"/>
          <w:szCs w:val="21"/>
        </w:rPr>
        <w:t xml:space="preserve">1st </w:t>
      </w:r>
      <w:r w:rsidRPr="004E7A10">
        <w:rPr>
          <w:rFonts w:ascii="Garamond" w:hAnsi="Garamond" w:cs="Times New Roman"/>
          <w:sz w:val="21"/>
          <w:szCs w:val="21"/>
        </w:rPr>
        <w:t>quarter of 201</w:t>
      </w:r>
      <w:r>
        <w:rPr>
          <w:rFonts w:ascii="Garamond" w:hAnsi="Garamond" w:cs="Times New Roman"/>
          <w:sz w:val="21"/>
          <w:szCs w:val="21"/>
        </w:rPr>
        <w:t>5,</w:t>
      </w:r>
      <w:r w:rsidRPr="004E7A10">
        <w:rPr>
          <w:rFonts w:ascii="Garamond" w:hAnsi="Garamond" w:cs="Times New Roman"/>
          <w:sz w:val="21"/>
          <w:szCs w:val="21"/>
        </w:rPr>
        <w:t xml:space="preserve"> </w:t>
      </w:r>
      <w:r>
        <w:rPr>
          <w:rFonts w:ascii="Garamond" w:hAnsi="Garamond" w:cs="Times New Roman"/>
          <w:sz w:val="21"/>
          <w:szCs w:val="21"/>
        </w:rPr>
        <w:t>t</w:t>
      </w:r>
      <w:r w:rsidR="00E96F5D" w:rsidRPr="004E7A10">
        <w:rPr>
          <w:rFonts w:ascii="Garamond" w:hAnsi="Garamond" w:cs="Times New Roman"/>
          <w:sz w:val="21"/>
          <w:szCs w:val="21"/>
        </w:rPr>
        <w:t xml:space="preserve">he private spending gap is estimated negative, </w:t>
      </w:r>
      <w:r>
        <w:rPr>
          <w:rFonts w:ascii="Garamond" w:hAnsi="Garamond" w:cs="Times New Roman"/>
          <w:sz w:val="21"/>
          <w:szCs w:val="21"/>
        </w:rPr>
        <w:t xml:space="preserve">and it </w:t>
      </w:r>
      <w:r w:rsidR="00E96F5D" w:rsidRPr="004E7A10">
        <w:rPr>
          <w:rFonts w:ascii="Garamond" w:hAnsi="Garamond" w:cs="Times New Roman"/>
          <w:sz w:val="21"/>
          <w:szCs w:val="21"/>
        </w:rPr>
        <w:t xml:space="preserve">left </w:t>
      </w:r>
      <w:r w:rsidR="00E96F5D" w:rsidRPr="004E7A10">
        <w:rPr>
          <w:rFonts w:ascii="Garamond" w:hAnsi="Garamond" w:cs="Times New Roman"/>
          <w:b/>
          <w:sz w:val="21"/>
          <w:szCs w:val="21"/>
        </w:rPr>
        <w:t>1.</w:t>
      </w:r>
      <w:r>
        <w:rPr>
          <w:rFonts w:ascii="Garamond" w:hAnsi="Garamond" w:cs="Times New Roman"/>
          <w:b/>
          <w:sz w:val="21"/>
          <w:szCs w:val="21"/>
        </w:rPr>
        <w:t>0</w:t>
      </w:r>
      <w:r w:rsidR="00FC2E4A" w:rsidRPr="004E7A10">
        <w:rPr>
          <w:rFonts w:ascii="Garamond" w:hAnsi="Garamond" w:cs="Times New Roman"/>
          <w:b/>
          <w:sz w:val="21"/>
          <w:szCs w:val="21"/>
        </w:rPr>
        <w:t xml:space="preserve"> pp </w:t>
      </w:r>
      <w:r w:rsidR="00E96F5D" w:rsidRPr="004E7A10">
        <w:rPr>
          <w:rFonts w:ascii="Garamond" w:hAnsi="Garamond" w:cs="Times New Roman"/>
          <w:b/>
          <w:sz w:val="21"/>
          <w:szCs w:val="21"/>
        </w:rPr>
        <w:t>-</w:t>
      </w:r>
      <w:r w:rsidR="00FC2E4A" w:rsidRPr="004E7A10">
        <w:rPr>
          <w:rFonts w:ascii="Garamond" w:hAnsi="Garamond" w:cs="Times New Roman"/>
          <w:b/>
          <w:sz w:val="21"/>
          <w:szCs w:val="21"/>
        </w:rPr>
        <w:t xml:space="preserve"> </w:t>
      </w:r>
      <w:r w:rsidR="00E96F5D" w:rsidRPr="004E7A10">
        <w:rPr>
          <w:rFonts w:ascii="Garamond" w:hAnsi="Garamond" w:cs="Times New Roman"/>
          <w:b/>
          <w:sz w:val="21"/>
          <w:szCs w:val="21"/>
        </w:rPr>
        <w:t>1.</w:t>
      </w:r>
      <w:r>
        <w:rPr>
          <w:rFonts w:ascii="Garamond" w:hAnsi="Garamond" w:cs="Times New Roman"/>
          <w:b/>
          <w:sz w:val="21"/>
          <w:szCs w:val="21"/>
        </w:rPr>
        <w:t>2</w:t>
      </w:r>
      <w:r w:rsidR="00E96F5D" w:rsidRPr="004E7A10">
        <w:rPr>
          <w:rFonts w:ascii="Garamond" w:hAnsi="Garamond" w:cs="Times New Roman"/>
          <w:b/>
          <w:sz w:val="21"/>
          <w:szCs w:val="21"/>
        </w:rPr>
        <w:t xml:space="preserve"> pp of contractionary impact</w:t>
      </w:r>
      <w:r w:rsidR="00E96F5D" w:rsidRPr="004E7A10">
        <w:rPr>
          <w:rFonts w:ascii="Garamond" w:hAnsi="Garamond" w:cs="Times New Roman"/>
          <w:sz w:val="21"/>
          <w:szCs w:val="21"/>
        </w:rPr>
        <w:t xml:space="preserve"> on the inflation. </w:t>
      </w:r>
    </w:p>
    <w:p w14:paraId="46716943" w14:textId="0BC128EF" w:rsidR="00A9653E" w:rsidRDefault="008D7CD8" w:rsidP="00A9653E">
      <w:pPr>
        <w:spacing w:line="360" w:lineRule="auto"/>
        <w:jc w:val="both"/>
        <w:rPr>
          <w:rFonts w:ascii="Garamond" w:hAnsi="Garamond" w:cs="Times New Roman"/>
          <w:bCs/>
          <w:iCs/>
          <w:sz w:val="21"/>
          <w:szCs w:val="21"/>
        </w:rPr>
      </w:pPr>
      <w:r w:rsidRPr="00F53181">
        <w:t>The information on developments in foreign trade during the 1st quarter of 2015 is not complete due to shortage in compiling of trade indicators</w:t>
      </w:r>
      <w:r w:rsidR="00C70768" w:rsidRPr="004E7A10">
        <w:rPr>
          <w:rFonts w:ascii="Garamond" w:hAnsi="Garamond" w:cs="Times New Roman"/>
          <w:bCs/>
          <w:iCs/>
          <w:sz w:val="21"/>
          <w:szCs w:val="21"/>
        </w:rPr>
        <w:t xml:space="preserve">In the </w:t>
      </w:r>
      <w:r w:rsidR="00B37FCA">
        <w:rPr>
          <w:rFonts w:ascii="Garamond" w:hAnsi="Garamond" w:cs="Times New Roman"/>
          <w:bCs/>
          <w:iCs/>
          <w:sz w:val="21"/>
          <w:szCs w:val="21"/>
        </w:rPr>
        <w:t>1st</w:t>
      </w:r>
      <w:r w:rsidR="008D5F4B" w:rsidRPr="004E7A10">
        <w:rPr>
          <w:rFonts w:ascii="Garamond" w:hAnsi="Garamond" w:cs="Times New Roman"/>
          <w:bCs/>
          <w:iCs/>
          <w:sz w:val="21"/>
          <w:szCs w:val="21"/>
        </w:rPr>
        <w:t xml:space="preserve"> </w:t>
      </w:r>
      <w:r w:rsidR="00A9653E" w:rsidRPr="004E7A10">
        <w:rPr>
          <w:rFonts w:ascii="Garamond" w:hAnsi="Garamond" w:cs="Times New Roman"/>
          <w:bCs/>
          <w:iCs/>
          <w:sz w:val="21"/>
          <w:szCs w:val="21"/>
        </w:rPr>
        <w:t>quarter of 201</w:t>
      </w:r>
      <w:r w:rsidR="00B37FCA">
        <w:rPr>
          <w:rFonts w:ascii="Garamond" w:hAnsi="Garamond" w:cs="Times New Roman"/>
          <w:bCs/>
          <w:iCs/>
          <w:sz w:val="21"/>
          <w:szCs w:val="21"/>
        </w:rPr>
        <w:t>5</w:t>
      </w:r>
      <w:r w:rsidR="00A9653E" w:rsidRPr="004E7A10">
        <w:rPr>
          <w:rFonts w:ascii="Garamond" w:hAnsi="Garamond" w:cs="Times New Roman"/>
          <w:bCs/>
          <w:iCs/>
          <w:sz w:val="21"/>
          <w:szCs w:val="21"/>
        </w:rPr>
        <w:t xml:space="preserve">, </w:t>
      </w:r>
      <w:r w:rsidR="008D5F4B" w:rsidRPr="004E7A10">
        <w:rPr>
          <w:rFonts w:ascii="Garamond" w:hAnsi="Garamond" w:cs="Times New Roman"/>
          <w:bCs/>
          <w:iCs/>
          <w:sz w:val="21"/>
          <w:szCs w:val="21"/>
        </w:rPr>
        <w:t>the n</w:t>
      </w:r>
      <w:r w:rsidR="00A9653E" w:rsidRPr="004E7A10">
        <w:rPr>
          <w:rFonts w:ascii="Garamond" w:hAnsi="Garamond" w:cs="Times New Roman"/>
          <w:bCs/>
          <w:iCs/>
          <w:sz w:val="21"/>
          <w:szCs w:val="21"/>
        </w:rPr>
        <w:t xml:space="preserve">et inflow of non-commercial remittances of individuals via the banking system slowed down </w:t>
      </w:r>
      <w:r w:rsidR="00C70768" w:rsidRPr="004E7A10">
        <w:rPr>
          <w:rFonts w:ascii="Garamond" w:hAnsi="Garamond" w:cs="Times New Roman"/>
          <w:bCs/>
          <w:iCs/>
          <w:sz w:val="21"/>
          <w:szCs w:val="21"/>
        </w:rPr>
        <w:t xml:space="preserve">by </w:t>
      </w:r>
      <w:r w:rsidR="008D5F4B" w:rsidRPr="004E7A10">
        <w:rPr>
          <w:rFonts w:ascii="Garamond" w:hAnsi="Garamond" w:cs="Times New Roman"/>
          <w:bCs/>
          <w:iCs/>
          <w:sz w:val="21"/>
          <w:szCs w:val="21"/>
        </w:rPr>
        <w:t xml:space="preserve">as much as </w:t>
      </w:r>
      <w:r w:rsidR="00B37FCA">
        <w:rPr>
          <w:rFonts w:ascii="Garamond" w:hAnsi="Garamond" w:cs="Times New Roman"/>
          <w:bCs/>
          <w:iCs/>
          <w:sz w:val="21"/>
          <w:szCs w:val="21"/>
        </w:rPr>
        <w:t>48</w:t>
      </w:r>
      <w:r w:rsidR="00C70768" w:rsidRPr="004E7A10">
        <w:rPr>
          <w:rFonts w:ascii="Garamond" w:hAnsi="Garamond" w:cs="Times New Roman"/>
          <w:bCs/>
          <w:iCs/>
          <w:sz w:val="21"/>
          <w:szCs w:val="21"/>
        </w:rPr>
        <w:t>.</w:t>
      </w:r>
      <w:r w:rsidR="00B37FCA">
        <w:rPr>
          <w:rFonts w:ascii="Garamond" w:hAnsi="Garamond" w:cs="Times New Roman"/>
          <w:bCs/>
          <w:iCs/>
          <w:sz w:val="21"/>
          <w:szCs w:val="21"/>
        </w:rPr>
        <w:t>0</w:t>
      </w:r>
      <w:r w:rsidR="00A9653E" w:rsidRPr="004E7A10">
        <w:rPr>
          <w:rFonts w:ascii="Garamond" w:hAnsi="Garamond" w:cs="Times New Roman"/>
          <w:bCs/>
          <w:iCs/>
          <w:sz w:val="21"/>
          <w:szCs w:val="21"/>
        </w:rPr>
        <w:t xml:space="preserve">% </w:t>
      </w:r>
      <w:r w:rsidR="00B37FCA">
        <w:rPr>
          <w:rFonts w:ascii="Garamond" w:hAnsi="Garamond" w:cs="Times New Roman"/>
          <w:bCs/>
          <w:iCs/>
          <w:sz w:val="21"/>
          <w:szCs w:val="21"/>
        </w:rPr>
        <w:t xml:space="preserve">against the same reference period last year </w:t>
      </w:r>
      <w:r w:rsidR="00C70768" w:rsidRPr="004E7A10">
        <w:rPr>
          <w:rFonts w:ascii="Garamond" w:hAnsi="Garamond" w:cs="Times New Roman"/>
          <w:bCs/>
          <w:iCs/>
          <w:sz w:val="21"/>
          <w:szCs w:val="21"/>
        </w:rPr>
        <w:t>due to a</w:t>
      </w:r>
      <w:r w:rsidR="008D5F4B" w:rsidRPr="004E7A10">
        <w:rPr>
          <w:rFonts w:ascii="Garamond" w:hAnsi="Garamond" w:cs="Times New Roman"/>
          <w:bCs/>
          <w:iCs/>
          <w:sz w:val="21"/>
          <w:szCs w:val="21"/>
        </w:rPr>
        <w:t>n abrupt depreciation of the Russian ruble against the U.S. dollar</w:t>
      </w:r>
      <w:r w:rsidR="00B37FCA">
        <w:rPr>
          <w:rFonts w:ascii="Garamond" w:hAnsi="Garamond" w:cs="Times New Roman"/>
          <w:bCs/>
          <w:iCs/>
          <w:sz w:val="21"/>
          <w:szCs w:val="21"/>
        </w:rPr>
        <w:t xml:space="preserve"> amid unfavorable developments in the Russian economy</w:t>
      </w:r>
      <w:r w:rsidR="00A9653E" w:rsidRPr="004E7A10">
        <w:rPr>
          <w:rFonts w:ascii="Garamond" w:hAnsi="Garamond" w:cs="Times New Roman"/>
          <w:bCs/>
          <w:iCs/>
          <w:sz w:val="21"/>
          <w:szCs w:val="21"/>
        </w:rPr>
        <w:t>.</w:t>
      </w:r>
    </w:p>
    <w:p w14:paraId="07E0030A" w14:textId="77777777" w:rsidR="00A9653E" w:rsidRPr="004E7A10" w:rsidRDefault="00A9653E" w:rsidP="00A9653E">
      <w:pPr>
        <w:tabs>
          <w:tab w:val="left" w:pos="600"/>
        </w:tabs>
        <w:spacing w:after="120" w:line="270" w:lineRule="atLeast"/>
        <w:jc w:val="both"/>
        <w:rPr>
          <w:rFonts w:ascii="Garamond" w:hAnsi="Garamond" w:cs="Times New Roman"/>
          <w:b/>
          <w:iCs/>
          <w:sz w:val="21"/>
          <w:szCs w:val="21"/>
        </w:rPr>
      </w:pPr>
      <w:r w:rsidRPr="004E7A10">
        <w:rPr>
          <w:rFonts w:ascii="Garamond" w:hAnsi="Garamond" w:cs="Times New Roman"/>
          <w:b/>
          <w:bCs/>
          <w:iCs/>
          <w:sz w:val="21"/>
          <w:szCs w:val="21"/>
        </w:rPr>
        <w:t>3.2.3. Labor market</w:t>
      </w:r>
      <w:r w:rsidR="00B37FCA">
        <w:rPr>
          <w:rStyle w:val="FootnoteReference"/>
          <w:rFonts w:ascii="Garamond" w:hAnsi="Garamond" w:cs="Times New Roman"/>
          <w:b/>
          <w:iCs/>
          <w:sz w:val="21"/>
          <w:szCs w:val="21"/>
        </w:rPr>
        <w:footnoteReference w:customMarkFollows="1" w:id="16"/>
        <w:t>16</w:t>
      </w:r>
    </w:p>
    <w:p w14:paraId="37E145FD" w14:textId="77777777" w:rsidR="00C5755C" w:rsidRPr="004E7A10" w:rsidRDefault="00D60711" w:rsidP="00A9653E">
      <w:pPr>
        <w:spacing w:line="360" w:lineRule="auto"/>
        <w:jc w:val="both"/>
        <w:rPr>
          <w:rFonts w:ascii="Garamond" w:hAnsi="Garamond" w:cs="Times New Roman"/>
          <w:bCs/>
          <w:iCs/>
          <w:sz w:val="21"/>
          <w:szCs w:val="21"/>
        </w:rPr>
      </w:pPr>
      <w:r w:rsidRPr="004E7A10">
        <w:rPr>
          <w:rStyle w:val="longtext"/>
          <w:rFonts w:ascii="Garamond" w:hAnsi="Garamond" w:cs="Times New Roman"/>
          <w:sz w:val="21"/>
          <w:szCs w:val="21"/>
          <w:shd w:val="clear" w:color="auto" w:fill="FFFFFF"/>
        </w:rPr>
        <w:t xml:space="preserve">In the </w:t>
      </w:r>
      <w:r w:rsidR="00B37FCA">
        <w:rPr>
          <w:rStyle w:val="longtext"/>
          <w:rFonts w:ascii="Garamond" w:hAnsi="Garamond" w:cs="Times New Roman"/>
          <w:sz w:val="21"/>
          <w:szCs w:val="21"/>
          <w:shd w:val="clear" w:color="auto" w:fill="FFFFFF"/>
        </w:rPr>
        <w:t>1st</w:t>
      </w:r>
      <w:r w:rsidR="00C5755C" w:rsidRPr="004E7A10">
        <w:rPr>
          <w:rStyle w:val="longtext"/>
          <w:rFonts w:ascii="Garamond" w:hAnsi="Garamond" w:cs="Times New Roman"/>
          <w:sz w:val="21"/>
          <w:szCs w:val="21"/>
          <w:shd w:val="clear" w:color="auto" w:fill="FFFFFF"/>
        </w:rPr>
        <w:t xml:space="preserve"> </w:t>
      </w:r>
      <w:r w:rsidRPr="004E7A10">
        <w:rPr>
          <w:rStyle w:val="longtext"/>
          <w:rFonts w:ascii="Garamond" w:hAnsi="Garamond" w:cs="Times New Roman"/>
          <w:sz w:val="21"/>
          <w:szCs w:val="21"/>
          <w:shd w:val="clear" w:color="auto" w:fill="FFFFFF"/>
        </w:rPr>
        <w:t xml:space="preserve">quarter of </w:t>
      </w:r>
      <w:r w:rsidR="00A9653E" w:rsidRPr="004E7A10">
        <w:rPr>
          <w:rStyle w:val="longtext"/>
          <w:rFonts w:ascii="Garamond" w:hAnsi="Garamond" w:cs="Times New Roman"/>
          <w:sz w:val="21"/>
          <w:szCs w:val="21"/>
          <w:shd w:val="clear" w:color="auto" w:fill="FFFFFF"/>
        </w:rPr>
        <w:t>201</w:t>
      </w:r>
      <w:r w:rsidR="00B37FCA">
        <w:rPr>
          <w:rStyle w:val="longtext"/>
          <w:rFonts w:ascii="Garamond" w:hAnsi="Garamond" w:cs="Times New Roman"/>
          <w:sz w:val="21"/>
          <w:szCs w:val="21"/>
          <w:shd w:val="clear" w:color="auto" w:fill="FFFFFF"/>
        </w:rPr>
        <w:t>5</w:t>
      </w:r>
      <w:r w:rsidRPr="004E7A10">
        <w:rPr>
          <w:rStyle w:val="longtext"/>
          <w:rFonts w:ascii="Garamond" w:hAnsi="Garamond" w:cs="Times New Roman"/>
          <w:sz w:val="21"/>
          <w:szCs w:val="21"/>
          <w:shd w:val="clear" w:color="auto" w:fill="FFFFFF"/>
        </w:rPr>
        <w:t>,</w:t>
      </w:r>
      <w:r w:rsidR="00C5755C" w:rsidRPr="004E7A10">
        <w:rPr>
          <w:rStyle w:val="longtext"/>
          <w:rFonts w:ascii="Garamond" w:hAnsi="Garamond" w:cs="Times New Roman"/>
          <w:sz w:val="21"/>
          <w:szCs w:val="21"/>
          <w:shd w:val="clear" w:color="auto" w:fill="FFFFFF"/>
        </w:rPr>
        <w:t xml:space="preserve"> </w:t>
      </w:r>
      <w:r w:rsidRPr="004E7A10">
        <w:rPr>
          <w:rStyle w:val="longtext"/>
          <w:rFonts w:ascii="Garamond" w:hAnsi="Garamond" w:cs="Times New Roman"/>
          <w:sz w:val="21"/>
          <w:szCs w:val="21"/>
          <w:shd w:val="clear" w:color="auto" w:fill="FFFFFF"/>
        </w:rPr>
        <w:t xml:space="preserve">the </w:t>
      </w:r>
      <w:r w:rsidR="00EA0237" w:rsidRPr="004E7A10">
        <w:rPr>
          <w:rStyle w:val="longtext"/>
          <w:rFonts w:ascii="Garamond" w:hAnsi="Garamond" w:cs="Times New Roman"/>
          <w:b/>
          <w:sz w:val="21"/>
          <w:szCs w:val="21"/>
          <w:shd w:val="clear" w:color="auto" w:fill="FFFFFF"/>
        </w:rPr>
        <w:t xml:space="preserve">average nominal wage </w:t>
      </w:r>
      <w:r w:rsidR="00A9653E" w:rsidRPr="004E7A10">
        <w:rPr>
          <w:rFonts w:ascii="Garamond" w:hAnsi="Garamond" w:cs="Times New Roman"/>
          <w:b/>
          <w:bCs/>
          <w:iCs/>
          <w:sz w:val="21"/>
          <w:szCs w:val="21"/>
        </w:rPr>
        <w:t xml:space="preserve">growth rate </w:t>
      </w:r>
      <w:r w:rsidR="00B37FCA" w:rsidRPr="00B37FCA">
        <w:rPr>
          <w:rFonts w:ascii="Garamond" w:hAnsi="Garamond" w:cs="Times New Roman"/>
          <w:bCs/>
          <w:iCs/>
          <w:sz w:val="21"/>
          <w:szCs w:val="21"/>
        </w:rPr>
        <w:t xml:space="preserve">run slightly above </w:t>
      </w:r>
      <w:r w:rsidR="00B37FCA">
        <w:rPr>
          <w:rFonts w:ascii="Garamond" w:hAnsi="Garamond" w:cs="Times New Roman"/>
          <w:bCs/>
          <w:iCs/>
          <w:sz w:val="21"/>
          <w:szCs w:val="21"/>
        </w:rPr>
        <w:t>former forecasts of the Central Bank</w:t>
      </w:r>
      <w:r w:rsidR="00F606B7">
        <w:rPr>
          <w:rFonts w:ascii="Garamond" w:hAnsi="Garamond" w:cs="Times New Roman"/>
          <w:bCs/>
          <w:iCs/>
          <w:sz w:val="21"/>
          <w:szCs w:val="21"/>
        </w:rPr>
        <w:t>, amounting to 10</w:t>
      </w:r>
      <w:r w:rsidR="00A9653E" w:rsidRPr="004E7A10">
        <w:rPr>
          <w:rFonts w:ascii="Garamond" w:hAnsi="Garamond" w:cs="Times New Roman"/>
          <w:bCs/>
          <w:iCs/>
          <w:sz w:val="21"/>
          <w:szCs w:val="21"/>
        </w:rPr>
        <w:t>.</w:t>
      </w:r>
      <w:r w:rsidR="00F606B7">
        <w:rPr>
          <w:rFonts w:ascii="Garamond" w:hAnsi="Garamond" w:cs="Times New Roman"/>
          <w:bCs/>
          <w:iCs/>
          <w:sz w:val="21"/>
          <w:szCs w:val="21"/>
        </w:rPr>
        <w:t>6</w:t>
      </w:r>
      <w:r w:rsidR="00A9653E" w:rsidRPr="004E7A10">
        <w:rPr>
          <w:rFonts w:ascii="Garamond" w:hAnsi="Garamond" w:cs="Times New Roman"/>
          <w:bCs/>
          <w:iCs/>
          <w:sz w:val="21"/>
          <w:szCs w:val="21"/>
        </w:rPr>
        <w:t>%.</w:t>
      </w:r>
      <w:r w:rsidR="00EA0237" w:rsidRPr="004E7A10">
        <w:rPr>
          <w:rFonts w:ascii="Garamond" w:hAnsi="Garamond" w:cs="Times New Roman"/>
          <w:bCs/>
          <w:iCs/>
          <w:sz w:val="21"/>
          <w:szCs w:val="21"/>
        </w:rPr>
        <w:t xml:space="preserve"> </w:t>
      </w:r>
      <w:r w:rsidR="00C5755C" w:rsidRPr="004E7A10">
        <w:rPr>
          <w:rFonts w:ascii="Garamond" w:hAnsi="Garamond" w:cs="Times New Roman"/>
          <w:bCs/>
          <w:iCs/>
          <w:sz w:val="21"/>
          <w:szCs w:val="21"/>
        </w:rPr>
        <w:t xml:space="preserve">In the period </w:t>
      </w:r>
      <w:r w:rsidR="00F606B7">
        <w:rPr>
          <w:rFonts w:ascii="Garamond" w:hAnsi="Garamond" w:cs="Times New Roman"/>
          <w:bCs/>
          <w:iCs/>
          <w:sz w:val="21"/>
          <w:szCs w:val="21"/>
        </w:rPr>
        <w:t xml:space="preserve">under review, </w:t>
      </w:r>
      <w:r w:rsidR="00C5755C" w:rsidRPr="004E7A10">
        <w:rPr>
          <w:rFonts w:ascii="Garamond" w:hAnsi="Garamond" w:cs="Times New Roman"/>
          <w:bCs/>
          <w:iCs/>
          <w:sz w:val="21"/>
          <w:szCs w:val="21"/>
        </w:rPr>
        <w:t xml:space="preserve">the growth rate in wages of public sector has been slightly faster than the wage growth in the private sector.   </w:t>
      </w:r>
    </w:p>
    <w:p w14:paraId="5846CCF5" w14:textId="77777777" w:rsidR="00A9653E" w:rsidRPr="004E7A10" w:rsidRDefault="00EF6F8E" w:rsidP="00A9653E">
      <w:pPr>
        <w:spacing w:line="360" w:lineRule="auto"/>
        <w:jc w:val="both"/>
        <w:rPr>
          <w:rFonts w:ascii="Garamond" w:hAnsi="Garamond" w:cs="Times New Roman"/>
          <w:bCs/>
          <w:iCs/>
          <w:sz w:val="21"/>
          <w:szCs w:val="21"/>
        </w:rPr>
      </w:pPr>
      <w:r w:rsidRPr="004E7A10">
        <w:rPr>
          <w:rFonts w:ascii="Garamond" w:hAnsi="Garamond" w:cs="Times New Roman"/>
          <w:sz w:val="21"/>
          <w:szCs w:val="21"/>
        </w:rPr>
        <w:t xml:space="preserve">The </w:t>
      </w:r>
      <w:r w:rsidR="00A8779F" w:rsidRPr="004E7A10">
        <w:rPr>
          <w:rFonts w:ascii="Garamond" w:hAnsi="Garamond" w:cs="Times New Roman"/>
          <w:sz w:val="21"/>
          <w:szCs w:val="21"/>
        </w:rPr>
        <w:t xml:space="preserve">wage </w:t>
      </w:r>
      <w:r w:rsidRPr="004E7A10">
        <w:rPr>
          <w:rFonts w:ascii="Garamond" w:hAnsi="Garamond" w:cs="Times New Roman"/>
          <w:sz w:val="21"/>
          <w:szCs w:val="21"/>
        </w:rPr>
        <w:t xml:space="preserve">increase in some areas of </w:t>
      </w:r>
      <w:r w:rsidR="00A8779F">
        <w:rPr>
          <w:rFonts w:ascii="Garamond" w:hAnsi="Garamond" w:cs="Times New Roman"/>
          <w:sz w:val="21"/>
          <w:szCs w:val="21"/>
        </w:rPr>
        <w:t xml:space="preserve">the </w:t>
      </w:r>
      <w:r w:rsidRPr="004E7A10">
        <w:rPr>
          <w:rFonts w:ascii="Garamond" w:hAnsi="Garamond" w:cs="Times New Roman"/>
          <w:sz w:val="21"/>
          <w:szCs w:val="21"/>
        </w:rPr>
        <w:t xml:space="preserve">public sector </w:t>
      </w:r>
      <w:r w:rsidR="00C5755C" w:rsidRPr="004E7A10">
        <w:rPr>
          <w:rFonts w:ascii="Garamond" w:hAnsi="Garamond" w:cs="Times New Roman"/>
          <w:sz w:val="21"/>
          <w:szCs w:val="21"/>
        </w:rPr>
        <w:t>since</w:t>
      </w:r>
      <w:r w:rsidRPr="004E7A10">
        <w:rPr>
          <w:rFonts w:ascii="Garamond" w:hAnsi="Garamond" w:cs="Times New Roman"/>
          <w:sz w:val="21"/>
          <w:szCs w:val="21"/>
        </w:rPr>
        <w:t xml:space="preserve"> July of 2014 </w:t>
      </w:r>
      <w:r w:rsidR="00A8779F">
        <w:rPr>
          <w:rFonts w:ascii="Garamond" w:hAnsi="Garamond" w:cs="Times New Roman"/>
          <w:sz w:val="21"/>
          <w:szCs w:val="21"/>
        </w:rPr>
        <w:t xml:space="preserve">has </w:t>
      </w:r>
      <w:r w:rsidRPr="004E7A10">
        <w:rPr>
          <w:rFonts w:ascii="Garamond" w:hAnsi="Garamond" w:cs="Times New Roman"/>
          <w:sz w:val="21"/>
          <w:szCs w:val="21"/>
        </w:rPr>
        <w:t xml:space="preserve">pushed the average </w:t>
      </w:r>
      <w:r w:rsidR="00C5755C" w:rsidRPr="004E7A10">
        <w:rPr>
          <w:rFonts w:ascii="Garamond" w:hAnsi="Garamond" w:cs="Times New Roman"/>
          <w:sz w:val="21"/>
          <w:szCs w:val="21"/>
        </w:rPr>
        <w:t xml:space="preserve">public sector </w:t>
      </w:r>
      <w:r w:rsidRPr="004E7A10">
        <w:rPr>
          <w:rFonts w:ascii="Garamond" w:hAnsi="Garamond" w:cs="Times New Roman"/>
          <w:sz w:val="21"/>
          <w:szCs w:val="21"/>
        </w:rPr>
        <w:t xml:space="preserve">wage up </w:t>
      </w:r>
      <w:r w:rsidR="00A8779F">
        <w:rPr>
          <w:rFonts w:ascii="Garamond" w:hAnsi="Garamond" w:cs="Times New Roman"/>
          <w:sz w:val="21"/>
          <w:szCs w:val="21"/>
        </w:rPr>
        <w:t>to persist above the post-crisis level over th</w:t>
      </w:r>
      <w:r w:rsidRPr="004E7A10">
        <w:rPr>
          <w:rFonts w:ascii="Garamond" w:hAnsi="Garamond" w:cs="Times New Roman"/>
          <w:sz w:val="21"/>
          <w:szCs w:val="21"/>
        </w:rPr>
        <w:t xml:space="preserve">e </w:t>
      </w:r>
      <w:r w:rsidR="00C5755C" w:rsidRPr="004E7A10">
        <w:rPr>
          <w:rFonts w:ascii="Garamond" w:hAnsi="Garamond" w:cs="Times New Roman"/>
          <w:sz w:val="21"/>
          <w:szCs w:val="21"/>
        </w:rPr>
        <w:t xml:space="preserve">second half of </w:t>
      </w:r>
      <w:r w:rsidR="00A8779F">
        <w:rPr>
          <w:rFonts w:ascii="Garamond" w:hAnsi="Garamond" w:cs="Times New Roman"/>
          <w:sz w:val="21"/>
          <w:szCs w:val="21"/>
        </w:rPr>
        <w:t>2014 and the 1st</w:t>
      </w:r>
      <w:r w:rsidR="00C5755C" w:rsidRPr="004E7A10">
        <w:rPr>
          <w:rFonts w:ascii="Garamond" w:hAnsi="Garamond" w:cs="Times New Roman"/>
          <w:sz w:val="21"/>
          <w:szCs w:val="21"/>
        </w:rPr>
        <w:t xml:space="preserve"> </w:t>
      </w:r>
      <w:r w:rsidR="00A8779F">
        <w:rPr>
          <w:rFonts w:ascii="Garamond" w:hAnsi="Garamond" w:cs="Times New Roman"/>
          <w:sz w:val="21"/>
          <w:szCs w:val="21"/>
        </w:rPr>
        <w:t>quarter of 2015.</w:t>
      </w:r>
      <w:r w:rsidR="0012560E" w:rsidRPr="004E7A10">
        <w:rPr>
          <w:rFonts w:ascii="Garamond" w:hAnsi="Garamond" w:cs="Times New Roman"/>
          <w:sz w:val="21"/>
          <w:szCs w:val="21"/>
        </w:rPr>
        <w:t xml:space="preserve"> As a result, the average annual wage growth </w:t>
      </w:r>
      <w:r w:rsidR="00A8779F">
        <w:rPr>
          <w:rFonts w:ascii="Garamond" w:hAnsi="Garamond" w:cs="Times New Roman"/>
          <w:sz w:val="21"/>
          <w:szCs w:val="21"/>
        </w:rPr>
        <w:t xml:space="preserve">in the public sector in the 1st quarter </w:t>
      </w:r>
      <w:r w:rsidR="0012560E" w:rsidRPr="004E7A10">
        <w:rPr>
          <w:rFonts w:ascii="Garamond" w:hAnsi="Garamond" w:cs="Times New Roman"/>
          <w:sz w:val="21"/>
          <w:szCs w:val="21"/>
        </w:rPr>
        <w:t xml:space="preserve">was </w:t>
      </w:r>
      <w:r w:rsidR="00A8779F">
        <w:rPr>
          <w:rFonts w:ascii="Garamond" w:hAnsi="Garamond" w:cs="Times New Roman"/>
          <w:sz w:val="21"/>
          <w:szCs w:val="21"/>
        </w:rPr>
        <w:t>13</w:t>
      </w:r>
      <w:r w:rsidR="0012560E" w:rsidRPr="004E7A10">
        <w:rPr>
          <w:rFonts w:ascii="Garamond" w:hAnsi="Garamond" w:cs="Times New Roman"/>
          <w:sz w:val="21"/>
          <w:szCs w:val="21"/>
        </w:rPr>
        <w:t>.</w:t>
      </w:r>
      <w:r w:rsidR="00E8689D">
        <w:rPr>
          <w:rFonts w:ascii="Garamond" w:hAnsi="Garamond" w:cs="Times New Roman"/>
          <w:sz w:val="21"/>
          <w:szCs w:val="21"/>
        </w:rPr>
        <w:t>7</w:t>
      </w:r>
      <w:r w:rsidR="0012560E" w:rsidRPr="004E7A10">
        <w:rPr>
          <w:rFonts w:ascii="Garamond" w:hAnsi="Garamond" w:cs="Times New Roman"/>
          <w:sz w:val="21"/>
          <w:szCs w:val="21"/>
        </w:rPr>
        <w:t>%.</w:t>
      </w:r>
    </w:p>
    <w:p w14:paraId="2F31A8E0" w14:textId="77777777" w:rsidR="00100F38"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Cs/>
          <w:iCs/>
          <w:sz w:val="21"/>
          <w:szCs w:val="21"/>
        </w:rPr>
        <w:t xml:space="preserve">In the </w:t>
      </w:r>
      <w:r w:rsidR="004A21D0">
        <w:rPr>
          <w:rFonts w:ascii="Garamond" w:hAnsi="Garamond" w:cs="Times New Roman"/>
          <w:bCs/>
          <w:iCs/>
          <w:sz w:val="21"/>
          <w:szCs w:val="21"/>
        </w:rPr>
        <w:t>1</w:t>
      </w:r>
      <w:r w:rsidR="00100F38" w:rsidRPr="004E7A10">
        <w:rPr>
          <w:rFonts w:ascii="Garamond" w:hAnsi="Garamond" w:cs="Times New Roman"/>
          <w:bCs/>
          <w:iCs/>
          <w:sz w:val="21"/>
          <w:szCs w:val="21"/>
        </w:rPr>
        <w:t xml:space="preserve">st </w:t>
      </w:r>
      <w:r w:rsidR="004A21D0">
        <w:rPr>
          <w:rFonts w:ascii="Garamond" w:hAnsi="Garamond" w:cs="Times New Roman"/>
          <w:bCs/>
          <w:iCs/>
          <w:sz w:val="21"/>
          <w:szCs w:val="21"/>
        </w:rPr>
        <w:t>quarter</w:t>
      </w:r>
      <w:r w:rsidR="00100F38" w:rsidRPr="004E7A10">
        <w:rPr>
          <w:rFonts w:ascii="Garamond" w:hAnsi="Garamond" w:cs="Times New Roman"/>
          <w:bCs/>
          <w:iCs/>
          <w:sz w:val="21"/>
          <w:szCs w:val="21"/>
        </w:rPr>
        <w:t xml:space="preserve"> </w:t>
      </w:r>
      <w:r w:rsidR="008B47E2" w:rsidRPr="004E7A10">
        <w:rPr>
          <w:rFonts w:ascii="Garamond" w:hAnsi="Garamond" w:cs="Times New Roman"/>
          <w:bCs/>
          <w:iCs/>
          <w:sz w:val="21"/>
          <w:szCs w:val="21"/>
        </w:rPr>
        <w:t>of 201</w:t>
      </w:r>
      <w:r w:rsidR="004A21D0">
        <w:rPr>
          <w:rFonts w:ascii="Garamond" w:hAnsi="Garamond" w:cs="Times New Roman"/>
          <w:bCs/>
          <w:iCs/>
          <w:sz w:val="21"/>
          <w:szCs w:val="21"/>
        </w:rPr>
        <w:t>5</w:t>
      </w:r>
      <w:r w:rsidRPr="004E7A10">
        <w:rPr>
          <w:rFonts w:ascii="Garamond" w:hAnsi="Garamond" w:cs="Times New Roman"/>
          <w:bCs/>
          <w:iCs/>
          <w:sz w:val="21"/>
          <w:szCs w:val="21"/>
        </w:rPr>
        <w:t xml:space="preserve">, the </w:t>
      </w:r>
      <w:r w:rsidR="00100F38" w:rsidRPr="004E7A10">
        <w:rPr>
          <w:rFonts w:ascii="Garamond" w:hAnsi="Garamond" w:cs="Times New Roman"/>
          <w:bCs/>
          <w:iCs/>
          <w:sz w:val="21"/>
          <w:szCs w:val="21"/>
        </w:rPr>
        <w:t xml:space="preserve">average nominal </w:t>
      </w:r>
      <w:r w:rsidRPr="004E7A10">
        <w:rPr>
          <w:rFonts w:ascii="Garamond" w:hAnsi="Garamond" w:cs="Times New Roman"/>
          <w:bCs/>
          <w:iCs/>
          <w:sz w:val="21"/>
          <w:szCs w:val="21"/>
        </w:rPr>
        <w:t>wage grow</w:t>
      </w:r>
      <w:r w:rsidR="008B47E2" w:rsidRPr="004E7A10">
        <w:rPr>
          <w:rFonts w:ascii="Garamond" w:hAnsi="Garamond" w:cs="Times New Roman"/>
          <w:bCs/>
          <w:iCs/>
          <w:sz w:val="21"/>
          <w:szCs w:val="21"/>
        </w:rPr>
        <w:t xml:space="preserve">th </w:t>
      </w:r>
      <w:r w:rsidR="00100F38" w:rsidRPr="004E7A10">
        <w:rPr>
          <w:rFonts w:ascii="Garamond" w:hAnsi="Garamond" w:cs="Times New Roman"/>
          <w:bCs/>
          <w:iCs/>
          <w:sz w:val="21"/>
          <w:szCs w:val="21"/>
        </w:rPr>
        <w:t>rate in the private sector</w:t>
      </w:r>
      <w:r w:rsidR="004A21D0">
        <w:rPr>
          <w:rFonts w:ascii="Garamond" w:hAnsi="Garamond" w:cs="Times New Roman"/>
          <w:bCs/>
          <w:iCs/>
          <w:sz w:val="21"/>
          <w:szCs w:val="21"/>
        </w:rPr>
        <w:t xml:space="preserve"> was</w:t>
      </w:r>
      <w:r w:rsidR="00100F38" w:rsidRPr="004E7A10">
        <w:rPr>
          <w:rFonts w:ascii="Garamond" w:hAnsi="Garamond" w:cs="Times New Roman"/>
          <w:bCs/>
          <w:iCs/>
          <w:sz w:val="21"/>
          <w:szCs w:val="21"/>
        </w:rPr>
        <w:t xml:space="preserve"> </w:t>
      </w:r>
      <w:r w:rsidR="004A21D0">
        <w:rPr>
          <w:rFonts w:ascii="Garamond" w:hAnsi="Garamond" w:cs="Times New Roman"/>
          <w:bCs/>
          <w:iCs/>
          <w:sz w:val="21"/>
          <w:szCs w:val="21"/>
        </w:rPr>
        <w:t>7</w:t>
      </w:r>
      <w:r w:rsidR="004A21D0" w:rsidRPr="004E7A10">
        <w:rPr>
          <w:rFonts w:ascii="Garamond" w:hAnsi="Garamond" w:cs="Times New Roman"/>
          <w:bCs/>
          <w:iCs/>
          <w:sz w:val="21"/>
          <w:szCs w:val="21"/>
        </w:rPr>
        <w:t>.</w:t>
      </w:r>
      <w:r w:rsidR="004A21D0">
        <w:rPr>
          <w:rFonts w:ascii="Garamond" w:hAnsi="Garamond" w:cs="Times New Roman"/>
          <w:bCs/>
          <w:iCs/>
          <w:sz w:val="21"/>
          <w:szCs w:val="21"/>
        </w:rPr>
        <w:t>1</w:t>
      </w:r>
      <w:r w:rsidR="004A21D0" w:rsidRPr="004E7A10">
        <w:rPr>
          <w:rFonts w:ascii="Garamond" w:hAnsi="Garamond" w:cs="Times New Roman"/>
          <w:bCs/>
          <w:iCs/>
          <w:sz w:val="21"/>
          <w:szCs w:val="21"/>
        </w:rPr>
        <w:t>%</w:t>
      </w:r>
      <w:r w:rsidR="004A21D0">
        <w:rPr>
          <w:rFonts w:ascii="Garamond" w:hAnsi="Garamond" w:cs="Times New Roman"/>
          <w:bCs/>
          <w:iCs/>
          <w:sz w:val="21"/>
          <w:szCs w:val="21"/>
        </w:rPr>
        <w:t xml:space="preserve">, somewhat slower than the wage growth of 7.4% recorded in the previous year, due to </w:t>
      </w:r>
      <w:r w:rsidR="004A21D0" w:rsidRPr="004E7A10">
        <w:rPr>
          <w:rFonts w:ascii="Garamond" w:hAnsi="Garamond" w:cs="Times New Roman"/>
          <w:sz w:val="21"/>
          <w:szCs w:val="21"/>
        </w:rPr>
        <w:t>a relatively weak economic activity</w:t>
      </w:r>
      <w:r w:rsidR="004A21D0">
        <w:rPr>
          <w:rFonts w:ascii="Garamond" w:hAnsi="Garamond" w:cs="Times New Roman"/>
          <w:bCs/>
          <w:iCs/>
          <w:sz w:val="21"/>
          <w:szCs w:val="21"/>
        </w:rPr>
        <w:t xml:space="preserve">.  </w:t>
      </w:r>
    </w:p>
    <w:p w14:paraId="1F2852FF" w14:textId="77777777" w:rsidR="00A9653E" w:rsidRPr="004E7A10" w:rsidRDefault="004C524D" w:rsidP="00A9653E">
      <w:pPr>
        <w:spacing w:line="360" w:lineRule="auto"/>
        <w:jc w:val="both"/>
        <w:rPr>
          <w:rFonts w:ascii="Garamond" w:hAnsi="Garamond" w:cs="Times New Roman"/>
          <w:sz w:val="21"/>
          <w:szCs w:val="21"/>
        </w:rPr>
      </w:pPr>
      <w:r>
        <w:rPr>
          <w:rFonts w:ascii="Garamond" w:hAnsi="Garamond" w:cs="Times New Roman"/>
          <w:sz w:val="21"/>
          <w:szCs w:val="21"/>
        </w:rPr>
        <w:t>A</w:t>
      </w:r>
      <w:r w:rsidR="00DE7064" w:rsidRPr="004E7A10">
        <w:rPr>
          <w:rFonts w:ascii="Garamond" w:hAnsi="Garamond" w:cs="Times New Roman"/>
          <w:sz w:val="21"/>
          <w:szCs w:val="21"/>
        </w:rPr>
        <w:t xml:space="preserve"> </w:t>
      </w:r>
      <w:r>
        <w:rPr>
          <w:rFonts w:ascii="Garamond" w:hAnsi="Garamond" w:cs="Times New Roman"/>
          <w:sz w:val="21"/>
          <w:szCs w:val="21"/>
        </w:rPr>
        <w:t>sluggish</w:t>
      </w:r>
      <w:r w:rsidR="00DE7064" w:rsidRPr="004E7A10">
        <w:rPr>
          <w:rFonts w:ascii="Garamond" w:hAnsi="Garamond" w:cs="Times New Roman"/>
          <w:sz w:val="21"/>
          <w:szCs w:val="21"/>
        </w:rPr>
        <w:t xml:space="preserve"> economic activity recorded in </w:t>
      </w:r>
      <w:r>
        <w:rPr>
          <w:rFonts w:ascii="Garamond" w:hAnsi="Garamond" w:cs="Times New Roman"/>
          <w:sz w:val="21"/>
          <w:szCs w:val="21"/>
        </w:rPr>
        <w:t>the 4th</w:t>
      </w:r>
      <w:r w:rsidR="00DE7064" w:rsidRPr="004E7A10">
        <w:rPr>
          <w:rFonts w:ascii="Garamond" w:hAnsi="Garamond" w:cs="Times New Roman"/>
          <w:sz w:val="21"/>
          <w:szCs w:val="21"/>
        </w:rPr>
        <w:t xml:space="preserve"> </w:t>
      </w:r>
      <w:r>
        <w:rPr>
          <w:rFonts w:ascii="Garamond" w:hAnsi="Garamond" w:cs="Times New Roman"/>
          <w:sz w:val="21"/>
          <w:szCs w:val="21"/>
        </w:rPr>
        <w:t xml:space="preserve">quarter of 2014 and the 1st quarter of 2015 dragged </w:t>
      </w:r>
      <w:r w:rsidRPr="004E7A10">
        <w:rPr>
          <w:rFonts w:ascii="Garamond" w:hAnsi="Garamond" w:cs="Times New Roman"/>
          <w:sz w:val="21"/>
          <w:szCs w:val="21"/>
        </w:rPr>
        <w:t xml:space="preserve">the demand for labor market </w:t>
      </w:r>
      <w:r>
        <w:rPr>
          <w:rFonts w:ascii="Garamond" w:hAnsi="Garamond" w:cs="Times New Roman"/>
          <w:sz w:val="21"/>
          <w:szCs w:val="21"/>
        </w:rPr>
        <w:t xml:space="preserve">behind </w:t>
      </w:r>
      <w:r w:rsidR="00DE7064" w:rsidRPr="004E7A10">
        <w:rPr>
          <w:rFonts w:ascii="Garamond" w:hAnsi="Garamond" w:cs="Times New Roman"/>
          <w:sz w:val="21"/>
          <w:szCs w:val="21"/>
        </w:rPr>
        <w:t xml:space="preserve">the supply for </w:t>
      </w:r>
      <w:r>
        <w:rPr>
          <w:rFonts w:ascii="Garamond" w:hAnsi="Garamond" w:cs="Times New Roman"/>
          <w:sz w:val="21"/>
          <w:szCs w:val="21"/>
        </w:rPr>
        <w:t>t</w:t>
      </w:r>
      <w:r w:rsidR="00DE7064" w:rsidRPr="004E7A10">
        <w:rPr>
          <w:rFonts w:ascii="Garamond" w:hAnsi="Garamond" w:cs="Times New Roman"/>
          <w:sz w:val="21"/>
          <w:szCs w:val="21"/>
        </w:rPr>
        <w:t>h</w:t>
      </w:r>
      <w:r w:rsidR="00D93E6E" w:rsidRPr="004E7A10">
        <w:rPr>
          <w:rFonts w:ascii="Garamond" w:hAnsi="Garamond" w:cs="Times New Roman"/>
          <w:sz w:val="21"/>
          <w:szCs w:val="21"/>
        </w:rPr>
        <w:t>at</w:t>
      </w:r>
      <w:r w:rsidR="00DE7064" w:rsidRPr="004E7A10">
        <w:rPr>
          <w:rFonts w:ascii="Garamond" w:hAnsi="Garamond" w:cs="Times New Roman"/>
          <w:sz w:val="21"/>
          <w:szCs w:val="21"/>
        </w:rPr>
        <w:t xml:space="preserve"> market</w:t>
      </w:r>
      <w:r>
        <w:rPr>
          <w:rFonts w:ascii="Garamond" w:hAnsi="Garamond" w:cs="Times New Roman"/>
          <w:sz w:val="21"/>
          <w:szCs w:val="21"/>
        </w:rPr>
        <w:t xml:space="preserve">. </w:t>
      </w:r>
      <w:r w:rsidR="007832F0" w:rsidRPr="004E7A10">
        <w:rPr>
          <w:rFonts w:ascii="Garamond" w:hAnsi="Garamond" w:cs="Times New Roman"/>
          <w:sz w:val="21"/>
          <w:szCs w:val="21"/>
        </w:rPr>
        <w:t>This trend has been observ</w:t>
      </w:r>
      <w:r>
        <w:rPr>
          <w:rFonts w:ascii="Garamond" w:hAnsi="Garamond" w:cs="Times New Roman"/>
          <w:sz w:val="21"/>
          <w:szCs w:val="21"/>
        </w:rPr>
        <w:t xml:space="preserve">able </w:t>
      </w:r>
      <w:r w:rsidR="007832F0" w:rsidRPr="004E7A10">
        <w:rPr>
          <w:rFonts w:ascii="Garamond" w:hAnsi="Garamond" w:cs="Times New Roman"/>
          <w:sz w:val="21"/>
          <w:szCs w:val="21"/>
        </w:rPr>
        <w:t xml:space="preserve">since the </w:t>
      </w:r>
      <w:r>
        <w:rPr>
          <w:rFonts w:ascii="Garamond" w:hAnsi="Garamond" w:cs="Times New Roman"/>
          <w:sz w:val="21"/>
          <w:szCs w:val="21"/>
        </w:rPr>
        <w:t>1</w:t>
      </w:r>
      <w:r w:rsidR="007832F0" w:rsidRPr="004E7A10">
        <w:rPr>
          <w:rFonts w:ascii="Garamond" w:hAnsi="Garamond" w:cs="Times New Roman"/>
          <w:sz w:val="21"/>
          <w:szCs w:val="21"/>
        </w:rPr>
        <w:t xml:space="preserve">st quarter and grown deeper </w:t>
      </w:r>
      <w:r>
        <w:rPr>
          <w:rFonts w:ascii="Garamond" w:hAnsi="Garamond" w:cs="Times New Roman"/>
          <w:sz w:val="21"/>
          <w:szCs w:val="21"/>
        </w:rPr>
        <w:t>later in 2014 and the 1st</w:t>
      </w:r>
      <w:r w:rsidR="007832F0" w:rsidRPr="004E7A10">
        <w:rPr>
          <w:rFonts w:ascii="Garamond" w:hAnsi="Garamond" w:cs="Times New Roman"/>
          <w:sz w:val="21"/>
          <w:szCs w:val="21"/>
        </w:rPr>
        <w:t xml:space="preserve"> </w:t>
      </w:r>
      <w:r>
        <w:rPr>
          <w:rFonts w:ascii="Garamond" w:hAnsi="Garamond" w:cs="Times New Roman"/>
          <w:sz w:val="21"/>
          <w:szCs w:val="21"/>
        </w:rPr>
        <w:t>quarter of 2015</w:t>
      </w:r>
      <w:r w:rsidR="007832F0" w:rsidRPr="004E7A10">
        <w:rPr>
          <w:rFonts w:ascii="Garamond" w:hAnsi="Garamond" w:cs="Times New Roman"/>
          <w:sz w:val="21"/>
          <w:szCs w:val="21"/>
        </w:rPr>
        <w:t xml:space="preserve">. </w:t>
      </w:r>
      <w:r w:rsidR="00991DF8" w:rsidRPr="004E7A10">
        <w:rPr>
          <w:rFonts w:ascii="Garamond" w:hAnsi="Garamond" w:cs="Times New Roman"/>
          <w:sz w:val="21"/>
          <w:szCs w:val="21"/>
        </w:rPr>
        <w:t>As a result, i</w:t>
      </w:r>
      <w:r w:rsidR="00A9653E" w:rsidRPr="004E7A10">
        <w:rPr>
          <w:rFonts w:ascii="Garamond" w:hAnsi="Garamond" w:cs="Times New Roman"/>
          <w:sz w:val="21"/>
          <w:szCs w:val="21"/>
        </w:rPr>
        <w:t xml:space="preserve">n the </w:t>
      </w:r>
      <w:r w:rsidR="00CB0579">
        <w:rPr>
          <w:rFonts w:ascii="Garamond" w:hAnsi="Garamond" w:cs="Times New Roman"/>
          <w:sz w:val="21"/>
          <w:szCs w:val="21"/>
        </w:rPr>
        <w:t>1st</w:t>
      </w:r>
      <w:r w:rsidR="00A9653E" w:rsidRPr="004E7A10">
        <w:rPr>
          <w:rFonts w:ascii="Garamond" w:hAnsi="Garamond" w:cs="Times New Roman"/>
          <w:sz w:val="21"/>
          <w:szCs w:val="21"/>
        </w:rPr>
        <w:t xml:space="preserve"> quarter of 201</w:t>
      </w:r>
      <w:r w:rsidR="00CB0579">
        <w:rPr>
          <w:rFonts w:ascii="Garamond" w:hAnsi="Garamond" w:cs="Times New Roman"/>
          <w:sz w:val="21"/>
          <w:szCs w:val="21"/>
        </w:rPr>
        <w:t>5</w:t>
      </w:r>
      <w:r w:rsidR="00A9653E" w:rsidRPr="004E7A10">
        <w:rPr>
          <w:rFonts w:ascii="Garamond" w:hAnsi="Garamond" w:cs="Times New Roman"/>
          <w:sz w:val="21"/>
          <w:szCs w:val="21"/>
        </w:rPr>
        <w:t xml:space="preserve">, relative to the same </w:t>
      </w:r>
      <w:r w:rsidR="002F051B" w:rsidRPr="004E7A10">
        <w:rPr>
          <w:rFonts w:ascii="Garamond" w:hAnsi="Garamond" w:cs="Times New Roman"/>
          <w:sz w:val="21"/>
          <w:szCs w:val="21"/>
        </w:rPr>
        <w:t xml:space="preserve">reference </w:t>
      </w:r>
      <w:r w:rsidR="00A9653E" w:rsidRPr="004E7A10">
        <w:rPr>
          <w:rFonts w:ascii="Garamond" w:hAnsi="Garamond" w:cs="Times New Roman"/>
          <w:sz w:val="21"/>
          <w:szCs w:val="21"/>
        </w:rPr>
        <w:t xml:space="preserve">period </w:t>
      </w:r>
      <w:r w:rsidR="002F051B" w:rsidRPr="004E7A10">
        <w:rPr>
          <w:rFonts w:ascii="Garamond" w:hAnsi="Garamond" w:cs="Times New Roman"/>
          <w:sz w:val="21"/>
          <w:szCs w:val="21"/>
        </w:rPr>
        <w:t xml:space="preserve">last </w:t>
      </w:r>
      <w:r w:rsidR="00A9653E" w:rsidRPr="004E7A10">
        <w:rPr>
          <w:rFonts w:ascii="Garamond" w:hAnsi="Garamond" w:cs="Times New Roman"/>
          <w:sz w:val="21"/>
          <w:szCs w:val="21"/>
        </w:rPr>
        <w:t xml:space="preserve">year, the </w:t>
      </w:r>
      <w:r w:rsidR="00A9653E" w:rsidRPr="004E7A10">
        <w:rPr>
          <w:rFonts w:ascii="Garamond" w:hAnsi="Garamond" w:cs="Times New Roman"/>
          <w:b/>
          <w:sz w:val="21"/>
          <w:szCs w:val="21"/>
        </w:rPr>
        <w:t>unemployment rate</w:t>
      </w:r>
      <w:r w:rsidR="00A9653E" w:rsidRPr="004E7A10">
        <w:rPr>
          <w:rFonts w:ascii="Garamond" w:hAnsi="Garamond" w:cs="Times New Roman"/>
          <w:sz w:val="21"/>
          <w:szCs w:val="21"/>
        </w:rPr>
        <w:t xml:space="preserve"> has </w:t>
      </w:r>
      <w:r w:rsidR="00CB0579">
        <w:rPr>
          <w:rFonts w:ascii="Garamond" w:hAnsi="Garamond" w:cs="Times New Roman"/>
          <w:sz w:val="21"/>
          <w:szCs w:val="21"/>
        </w:rPr>
        <w:t>grown</w:t>
      </w:r>
      <w:r w:rsidR="00A9653E" w:rsidRPr="004E7A10">
        <w:rPr>
          <w:rFonts w:ascii="Garamond" w:hAnsi="Garamond" w:cs="Times New Roman"/>
          <w:sz w:val="21"/>
          <w:szCs w:val="21"/>
        </w:rPr>
        <w:t xml:space="preserve"> by </w:t>
      </w:r>
      <w:r w:rsidR="002F051B" w:rsidRPr="004E7A10">
        <w:rPr>
          <w:rFonts w:ascii="Garamond" w:hAnsi="Garamond" w:cs="Times New Roman"/>
          <w:sz w:val="21"/>
          <w:szCs w:val="21"/>
        </w:rPr>
        <w:t>1</w:t>
      </w:r>
      <w:r w:rsidR="00A9653E" w:rsidRPr="004E7A10">
        <w:rPr>
          <w:rFonts w:ascii="Garamond" w:hAnsi="Garamond" w:cs="Times New Roman"/>
          <w:sz w:val="21"/>
          <w:szCs w:val="21"/>
        </w:rPr>
        <w:t>.</w:t>
      </w:r>
      <w:r w:rsidR="00CB0579">
        <w:rPr>
          <w:rFonts w:ascii="Garamond" w:hAnsi="Garamond" w:cs="Times New Roman"/>
          <w:sz w:val="21"/>
          <w:szCs w:val="21"/>
        </w:rPr>
        <w:t>4</w:t>
      </w:r>
      <w:r w:rsidR="00A9653E" w:rsidRPr="004E7A10">
        <w:rPr>
          <w:rFonts w:ascii="Garamond" w:hAnsi="Garamond" w:cs="Times New Roman"/>
          <w:sz w:val="21"/>
          <w:szCs w:val="21"/>
        </w:rPr>
        <w:t xml:space="preserve"> pp to 1</w:t>
      </w:r>
      <w:r w:rsidR="00CB0579">
        <w:rPr>
          <w:rFonts w:ascii="Garamond" w:hAnsi="Garamond" w:cs="Times New Roman"/>
          <w:sz w:val="21"/>
          <w:szCs w:val="21"/>
        </w:rPr>
        <w:t>9</w:t>
      </w:r>
      <w:r w:rsidR="00A9653E" w:rsidRPr="004E7A10">
        <w:rPr>
          <w:rFonts w:ascii="Garamond" w:hAnsi="Garamond" w:cs="Times New Roman"/>
          <w:sz w:val="21"/>
          <w:szCs w:val="21"/>
        </w:rPr>
        <w:t>.</w:t>
      </w:r>
      <w:r w:rsidR="00CB0579">
        <w:rPr>
          <w:rFonts w:ascii="Garamond" w:hAnsi="Garamond" w:cs="Times New Roman"/>
          <w:sz w:val="21"/>
          <w:szCs w:val="21"/>
        </w:rPr>
        <w:t>2</w:t>
      </w:r>
      <w:r w:rsidR="00A9653E" w:rsidRPr="004E7A10">
        <w:rPr>
          <w:rFonts w:ascii="Garamond" w:hAnsi="Garamond" w:cs="Times New Roman"/>
          <w:sz w:val="21"/>
          <w:szCs w:val="21"/>
        </w:rPr>
        <w:t>%.</w:t>
      </w:r>
      <w:r w:rsidR="00D91AF9" w:rsidRPr="004E7A10">
        <w:rPr>
          <w:rFonts w:ascii="Garamond" w:hAnsi="Garamond" w:cs="Times New Roman"/>
          <w:sz w:val="21"/>
          <w:szCs w:val="21"/>
        </w:rPr>
        <w:t xml:space="preserve"> </w:t>
      </w:r>
      <w:r w:rsidR="008B294D" w:rsidRPr="004E7A10">
        <w:rPr>
          <w:rFonts w:ascii="Garamond" w:hAnsi="Garamond" w:cs="Times New Roman"/>
          <w:sz w:val="21"/>
          <w:szCs w:val="21"/>
        </w:rPr>
        <w:t>Compared to previous forecasts, the</w:t>
      </w:r>
      <w:r w:rsidR="00D91AF9" w:rsidRPr="004E7A10">
        <w:rPr>
          <w:rFonts w:ascii="Garamond" w:hAnsi="Garamond" w:cs="Times New Roman"/>
          <w:sz w:val="21"/>
          <w:szCs w:val="21"/>
        </w:rPr>
        <w:t xml:space="preserve"> unemployment rate </w:t>
      </w:r>
      <w:r w:rsidR="00CB0579">
        <w:rPr>
          <w:rFonts w:ascii="Garamond" w:hAnsi="Garamond" w:cs="Times New Roman"/>
          <w:sz w:val="21"/>
          <w:szCs w:val="21"/>
        </w:rPr>
        <w:t>is somewhat lower in the 1st</w:t>
      </w:r>
      <w:r w:rsidR="008B294D" w:rsidRPr="004E7A10">
        <w:rPr>
          <w:rFonts w:ascii="Garamond" w:hAnsi="Garamond" w:cs="Times New Roman"/>
          <w:sz w:val="21"/>
          <w:szCs w:val="21"/>
        </w:rPr>
        <w:t xml:space="preserve"> </w:t>
      </w:r>
      <w:r w:rsidR="00CB0579">
        <w:rPr>
          <w:rFonts w:ascii="Garamond" w:hAnsi="Garamond" w:cs="Times New Roman"/>
          <w:sz w:val="21"/>
          <w:szCs w:val="21"/>
        </w:rPr>
        <w:t xml:space="preserve">quarter </w:t>
      </w:r>
      <w:r w:rsidR="006B71FA">
        <w:rPr>
          <w:rFonts w:ascii="Garamond" w:hAnsi="Garamond" w:cs="Times New Roman"/>
          <w:sz w:val="21"/>
          <w:szCs w:val="21"/>
        </w:rPr>
        <w:t>as the economic activity is slightly higher from the expectations.</w:t>
      </w:r>
      <w:r w:rsidR="00D91AF9" w:rsidRPr="004E7A10">
        <w:rPr>
          <w:rFonts w:ascii="Garamond" w:hAnsi="Garamond" w:cs="Times New Roman"/>
          <w:sz w:val="21"/>
          <w:szCs w:val="21"/>
        </w:rPr>
        <w:t xml:space="preserve">   </w:t>
      </w:r>
    </w:p>
    <w:p w14:paraId="6904CE43" w14:textId="77777777" w:rsidR="005A4C65" w:rsidRPr="004E7A10" w:rsidRDefault="0052389F" w:rsidP="00A9653E">
      <w:pPr>
        <w:spacing w:line="360" w:lineRule="auto"/>
        <w:jc w:val="both"/>
        <w:rPr>
          <w:rStyle w:val="longtext"/>
          <w:rFonts w:ascii="Garamond" w:hAnsi="Garamond" w:cs="Times New Roman"/>
          <w:sz w:val="21"/>
          <w:szCs w:val="21"/>
          <w:shd w:val="clear" w:color="auto" w:fill="FFFFFF"/>
        </w:rPr>
      </w:pPr>
      <w:r w:rsidRPr="004E7A10">
        <w:rPr>
          <w:rStyle w:val="longtext"/>
          <w:rFonts w:ascii="Garamond" w:hAnsi="Garamond" w:cs="Times New Roman"/>
          <w:sz w:val="21"/>
          <w:szCs w:val="21"/>
          <w:shd w:val="clear" w:color="auto" w:fill="FFFFFF"/>
        </w:rPr>
        <w:t xml:space="preserve">In the </w:t>
      </w:r>
      <w:r w:rsidR="009619F4" w:rsidRPr="004E7A10">
        <w:rPr>
          <w:rStyle w:val="longtext"/>
          <w:rFonts w:ascii="Garamond" w:hAnsi="Garamond" w:cs="Times New Roman"/>
          <w:sz w:val="21"/>
          <w:szCs w:val="21"/>
          <w:shd w:val="clear" w:color="auto" w:fill="FFFFFF"/>
        </w:rPr>
        <w:t xml:space="preserve">period under review, </w:t>
      </w:r>
      <w:r w:rsidRPr="004E7A10">
        <w:rPr>
          <w:rStyle w:val="longtext"/>
          <w:rFonts w:ascii="Garamond" w:hAnsi="Garamond" w:cs="Times New Roman"/>
          <w:sz w:val="21"/>
          <w:szCs w:val="21"/>
          <w:shd w:val="clear" w:color="auto" w:fill="FFFFFF"/>
        </w:rPr>
        <w:t>th</w:t>
      </w:r>
      <w:r w:rsidR="00A9653E" w:rsidRPr="004E7A10">
        <w:rPr>
          <w:rStyle w:val="longtext"/>
          <w:rFonts w:ascii="Garamond" w:hAnsi="Garamond" w:cs="Times New Roman"/>
          <w:sz w:val="21"/>
          <w:szCs w:val="21"/>
          <w:shd w:val="clear" w:color="auto" w:fill="FFFFFF"/>
        </w:rPr>
        <w:t>e</w:t>
      </w:r>
      <w:r w:rsidR="006B71FA">
        <w:rPr>
          <w:rStyle w:val="longtext"/>
          <w:rFonts w:ascii="Garamond" w:hAnsi="Garamond" w:cs="Times New Roman"/>
          <w:sz w:val="21"/>
          <w:szCs w:val="21"/>
          <w:shd w:val="clear" w:color="auto" w:fill="FFFFFF"/>
        </w:rPr>
        <w:t xml:space="preserve"> wage growth has been in line with the </w:t>
      </w:r>
      <w:r w:rsidR="009619F4" w:rsidRPr="004E7A10">
        <w:rPr>
          <w:rStyle w:val="longtext"/>
          <w:rFonts w:ascii="Garamond" w:hAnsi="Garamond" w:cs="Times New Roman"/>
          <w:sz w:val="21"/>
          <w:szCs w:val="21"/>
          <w:shd w:val="clear" w:color="auto" w:fill="FFFFFF"/>
        </w:rPr>
        <w:t xml:space="preserve">productivity </w:t>
      </w:r>
      <w:r w:rsidR="006B71FA">
        <w:rPr>
          <w:rStyle w:val="longtext"/>
          <w:rFonts w:ascii="Garamond" w:hAnsi="Garamond" w:cs="Times New Roman"/>
          <w:sz w:val="21"/>
          <w:szCs w:val="21"/>
          <w:shd w:val="clear" w:color="auto" w:fill="FFFFFF"/>
        </w:rPr>
        <w:t xml:space="preserve">indictor, so the labor market’s impact on the inflation during the 1st quarter of 2015 is estimated neutral. </w:t>
      </w:r>
    </w:p>
    <w:p w14:paraId="7869C112" w14:textId="77777777" w:rsidR="00A9653E" w:rsidRPr="004E7A10" w:rsidRDefault="005A4C65" w:rsidP="00A9653E">
      <w:pPr>
        <w:spacing w:line="360" w:lineRule="auto"/>
        <w:jc w:val="both"/>
        <w:rPr>
          <w:rFonts w:ascii="Garamond" w:hAnsi="Garamond" w:cs="Times New Roman"/>
          <w:b/>
          <w:sz w:val="21"/>
          <w:szCs w:val="21"/>
        </w:rPr>
      </w:pPr>
      <w:r w:rsidRPr="004E7A10">
        <w:rPr>
          <w:rStyle w:val="longtext"/>
          <w:rFonts w:ascii="Garamond" w:hAnsi="Garamond" w:cs="Times New Roman"/>
          <w:b/>
          <w:sz w:val="21"/>
          <w:szCs w:val="21"/>
          <w:shd w:val="clear" w:color="auto" w:fill="FFFFFF"/>
        </w:rPr>
        <w:t>3</w:t>
      </w:r>
      <w:r w:rsidR="00A9653E" w:rsidRPr="004E7A10">
        <w:rPr>
          <w:rFonts w:ascii="Garamond" w:hAnsi="Garamond" w:cs="Times New Roman"/>
          <w:b/>
          <w:sz w:val="21"/>
          <w:szCs w:val="21"/>
        </w:rPr>
        <w:t>.2.4 Fiscal policy</w:t>
      </w:r>
      <w:r w:rsidR="006B71FA">
        <w:rPr>
          <w:rStyle w:val="FootnoteReference"/>
          <w:rFonts w:ascii="Garamond" w:hAnsi="Garamond" w:cs="Times New Roman"/>
          <w:b/>
          <w:sz w:val="21"/>
          <w:szCs w:val="21"/>
        </w:rPr>
        <w:footnoteReference w:customMarkFollows="1" w:id="17"/>
        <w:t>17</w:t>
      </w:r>
    </w:p>
    <w:p w14:paraId="0C20BC7D" w14:textId="77777777" w:rsidR="00A9653E" w:rsidRPr="004E7A10" w:rsidRDefault="00A9653E" w:rsidP="00A9653E">
      <w:pPr>
        <w:spacing w:line="360" w:lineRule="auto"/>
        <w:jc w:val="both"/>
        <w:rPr>
          <w:rStyle w:val="longtext"/>
          <w:rFonts w:ascii="Garamond" w:hAnsi="Garamond" w:cs="Times New Roman"/>
          <w:sz w:val="21"/>
          <w:szCs w:val="21"/>
          <w:shd w:val="clear" w:color="auto" w:fill="FFFFFF"/>
        </w:rPr>
      </w:pPr>
      <w:r w:rsidRPr="006B71FA">
        <w:rPr>
          <w:rStyle w:val="longtext"/>
          <w:rFonts w:ascii="Garamond" w:hAnsi="Garamond" w:cs="Times New Roman"/>
          <w:sz w:val="21"/>
          <w:szCs w:val="21"/>
          <w:shd w:val="clear" w:color="auto" w:fill="FFFFFF"/>
        </w:rPr>
        <w:lastRenderedPageBreak/>
        <w:t xml:space="preserve">In the </w:t>
      </w:r>
      <w:r w:rsidR="006B71FA">
        <w:rPr>
          <w:rStyle w:val="longtext"/>
          <w:rFonts w:ascii="Garamond" w:hAnsi="Garamond" w:cs="Times New Roman"/>
          <w:sz w:val="21"/>
          <w:szCs w:val="21"/>
          <w:shd w:val="clear" w:color="auto" w:fill="FFFFFF"/>
        </w:rPr>
        <w:t>1st</w:t>
      </w:r>
      <w:r w:rsidRPr="006B71FA">
        <w:rPr>
          <w:rStyle w:val="longtext"/>
          <w:rFonts w:ascii="Garamond" w:hAnsi="Garamond" w:cs="Times New Roman"/>
          <w:sz w:val="21"/>
          <w:szCs w:val="21"/>
          <w:shd w:val="clear" w:color="auto" w:fill="FFFFFF"/>
        </w:rPr>
        <w:t xml:space="preserve"> quarter of 201</w:t>
      </w:r>
      <w:r w:rsidR="006B71FA">
        <w:rPr>
          <w:rStyle w:val="longtext"/>
          <w:rFonts w:ascii="Garamond" w:hAnsi="Garamond" w:cs="Times New Roman"/>
          <w:sz w:val="21"/>
          <w:szCs w:val="21"/>
          <w:shd w:val="clear" w:color="auto" w:fill="FFFFFF"/>
        </w:rPr>
        <w:t>5</w:t>
      </w:r>
      <w:r w:rsidRPr="006B71FA">
        <w:rPr>
          <w:rStyle w:val="longtext"/>
          <w:rFonts w:ascii="Garamond" w:hAnsi="Garamond" w:cs="Times New Roman"/>
          <w:sz w:val="21"/>
          <w:szCs w:val="21"/>
          <w:shd w:val="clear" w:color="auto" w:fill="FFFFFF"/>
        </w:rPr>
        <w:t xml:space="preserve">, </w:t>
      </w:r>
      <w:r w:rsidR="00A0590B" w:rsidRPr="006B71FA">
        <w:rPr>
          <w:rStyle w:val="longtext"/>
          <w:rFonts w:ascii="Garamond" w:hAnsi="Garamond" w:cs="Times New Roman"/>
          <w:sz w:val="21"/>
          <w:szCs w:val="21"/>
          <w:shd w:val="clear" w:color="auto" w:fill="FFFFFF"/>
        </w:rPr>
        <w:t xml:space="preserve">the </w:t>
      </w:r>
      <w:r w:rsidRPr="006B71FA">
        <w:rPr>
          <w:rFonts w:ascii="Garamond" w:hAnsi="Garamond" w:cs="Times New Roman"/>
          <w:bCs/>
          <w:iCs/>
          <w:sz w:val="21"/>
          <w:szCs w:val="21"/>
        </w:rPr>
        <w:t xml:space="preserve">State Budget </w:t>
      </w:r>
      <w:r w:rsidR="00997CE8" w:rsidRPr="006B71FA">
        <w:rPr>
          <w:rFonts w:ascii="Garamond" w:hAnsi="Garamond" w:cs="Times New Roman"/>
          <w:bCs/>
          <w:iCs/>
          <w:sz w:val="21"/>
          <w:szCs w:val="21"/>
        </w:rPr>
        <w:t xml:space="preserve">performed with revenues collected </w:t>
      </w:r>
      <w:r w:rsidR="00E05CDD">
        <w:rPr>
          <w:rFonts w:ascii="Garamond" w:hAnsi="Garamond" w:cs="Times New Roman"/>
          <w:bCs/>
          <w:iCs/>
          <w:sz w:val="21"/>
          <w:szCs w:val="21"/>
        </w:rPr>
        <w:t>in proportion to</w:t>
      </w:r>
      <w:r w:rsidR="006B71FA">
        <w:rPr>
          <w:rFonts w:ascii="Garamond" w:hAnsi="Garamond" w:cs="Times New Roman"/>
          <w:bCs/>
          <w:iCs/>
          <w:sz w:val="21"/>
          <w:szCs w:val="21"/>
        </w:rPr>
        <w:t xml:space="preserve"> quarterly pro</w:t>
      </w:r>
      <w:r w:rsidR="00E05CDD">
        <w:rPr>
          <w:rFonts w:ascii="Garamond" w:hAnsi="Garamond" w:cs="Times New Roman"/>
          <w:bCs/>
          <w:iCs/>
          <w:sz w:val="21"/>
          <w:szCs w:val="21"/>
        </w:rPr>
        <w:t>jections and resources saved on certain expenditure items. T</w:t>
      </w:r>
      <w:r w:rsidRPr="004E7A10">
        <w:rPr>
          <w:rFonts w:ascii="Garamond" w:hAnsi="Garamond" w:cs="Times New Roman"/>
          <w:sz w:val="21"/>
          <w:szCs w:val="21"/>
        </w:rPr>
        <w:t>he fiscal sector</w:t>
      </w:r>
      <w:r w:rsidR="00E05CDD">
        <w:rPr>
          <w:rFonts w:ascii="Garamond" w:hAnsi="Garamond" w:cs="Times New Roman"/>
          <w:sz w:val="21"/>
          <w:szCs w:val="21"/>
        </w:rPr>
        <w:t>’</w:t>
      </w:r>
      <w:r w:rsidRPr="004E7A10">
        <w:rPr>
          <w:rFonts w:ascii="Garamond" w:hAnsi="Garamond" w:cs="Times New Roman"/>
          <w:sz w:val="21"/>
          <w:szCs w:val="21"/>
        </w:rPr>
        <w:t xml:space="preserve">s impact on aggregate demand </w:t>
      </w:r>
      <w:r w:rsidR="00E05CDD">
        <w:rPr>
          <w:rFonts w:ascii="Garamond" w:hAnsi="Garamond" w:cs="Times New Roman"/>
          <w:sz w:val="21"/>
          <w:szCs w:val="21"/>
        </w:rPr>
        <w:t>was slightly more than projected, making up 2.4 expansionary. T</w:t>
      </w:r>
      <w:r w:rsidR="00E43576" w:rsidRPr="004E7A10">
        <w:rPr>
          <w:rFonts w:ascii="Garamond" w:hAnsi="Garamond" w:cs="Times New Roman"/>
          <w:sz w:val="21"/>
          <w:szCs w:val="21"/>
        </w:rPr>
        <w:t xml:space="preserve">he </w:t>
      </w:r>
      <w:r w:rsidR="00E05CDD" w:rsidRPr="004E7A10">
        <w:rPr>
          <w:rFonts w:ascii="Garamond" w:hAnsi="Garamond" w:cs="Times New Roman"/>
          <w:bCs/>
          <w:iCs/>
          <w:sz w:val="21"/>
          <w:szCs w:val="21"/>
        </w:rPr>
        <w:t>revenue impulse</w:t>
      </w:r>
      <w:r w:rsidR="00E05CDD" w:rsidRPr="004E7A10">
        <w:rPr>
          <w:rFonts w:ascii="Garamond" w:hAnsi="Garamond" w:cs="Times New Roman"/>
          <w:sz w:val="21"/>
          <w:szCs w:val="21"/>
        </w:rPr>
        <w:t xml:space="preserve"> </w:t>
      </w:r>
      <w:r w:rsidR="00E05CDD">
        <w:rPr>
          <w:rFonts w:ascii="Garamond" w:hAnsi="Garamond" w:cs="Times New Roman"/>
          <w:sz w:val="21"/>
          <w:szCs w:val="21"/>
        </w:rPr>
        <w:t>was 0.4 expansionary and the expenditure impulse, 2.0 expansionary.</w:t>
      </w:r>
      <w:r w:rsidR="00D653AD" w:rsidRPr="004E7A10">
        <w:rPr>
          <w:rFonts w:ascii="Garamond" w:hAnsi="Garamond" w:cs="Times New Roman"/>
          <w:bCs/>
          <w:iCs/>
          <w:sz w:val="21"/>
          <w:szCs w:val="21"/>
        </w:rPr>
        <w:t xml:space="preserve"> </w:t>
      </w:r>
    </w:p>
    <w:p w14:paraId="5EEBBF15" w14:textId="77777777" w:rsidR="004B6F9E" w:rsidRDefault="00E03DF9" w:rsidP="00A9653E">
      <w:pPr>
        <w:spacing w:line="360" w:lineRule="auto"/>
        <w:jc w:val="both"/>
        <w:rPr>
          <w:rFonts w:ascii="Garamond" w:hAnsi="Garamond" w:cs="Times New Roman"/>
          <w:sz w:val="21"/>
          <w:szCs w:val="21"/>
        </w:rPr>
      </w:pPr>
      <w:r>
        <w:rPr>
          <w:rFonts w:ascii="Garamond" w:hAnsi="Garamond" w:cs="Times New Roman"/>
          <w:sz w:val="21"/>
          <w:szCs w:val="21"/>
        </w:rPr>
        <w:t>In the period under review, relative to the same reference period last year, r</w:t>
      </w:r>
      <w:r w:rsidR="00A9653E" w:rsidRPr="004E7A10">
        <w:rPr>
          <w:rFonts w:ascii="Garamond" w:hAnsi="Garamond" w:cs="Times New Roman"/>
          <w:sz w:val="21"/>
          <w:szCs w:val="21"/>
        </w:rPr>
        <w:t xml:space="preserve">evenues </w:t>
      </w:r>
      <w:r w:rsidR="00CE1A0E" w:rsidRPr="004E7A10">
        <w:rPr>
          <w:rFonts w:ascii="Garamond" w:hAnsi="Garamond" w:cs="Times New Roman"/>
          <w:sz w:val="21"/>
          <w:szCs w:val="21"/>
        </w:rPr>
        <w:t>o</w:t>
      </w:r>
      <w:r w:rsidR="00A9653E" w:rsidRPr="004E7A10">
        <w:rPr>
          <w:rFonts w:ascii="Garamond" w:hAnsi="Garamond" w:cs="Times New Roman"/>
          <w:sz w:val="21"/>
          <w:szCs w:val="21"/>
        </w:rPr>
        <w:t xml:space="preserve">f the consolidated budget have grown by </w:t>
      </w:r>
      <w:r>
        <w:rPr>
          <w:rFonts w:ascii="Garamond" w:hAnsi="Garamond" w:cs="Times New Roman"/>
          <w:sz w:val="21"/>
          <w:szCs w:val="21"/>
        </w:rPr>
        <w:t>3</w:t>
      </w:r>
      <w:r w:rsidR="00A9653E" w:rsidRPr="004E7A10">
        <w:rPr>
          <w:rFonts w:ascii="Garamond" w:hAnsi="Garamond" w:cs="Times New Roman"/>
          <w:sz w:val="21"/>
          <w:szCs w:val="21"/>
        </w:rPr>
        <w:t>.</w:t>
      </w:r>
      <w:r>
        <w:rPr>
          <w:rFonts w:ascii="Garamond" w:hAnsi="Garamond" w:cs="Times New Roman"/>
          <w:sz w:val="21"/>
          <w:szCs w:val="21"/>
        </w:rPr>
        <w:t>5</w:t>
      </w:r>
      <w:r w:rsidR="00A9653E" w:rsidRPr="004E7A10">
        <w:rPr>
          <w:rFonts w:ascii="Garamond" w:hAnsi="Garamond" w:cs="Times New Roman"/>
          <w:sz w:val="21"/>
          <w:szCs w:val="21"/>
        </w:rPr>
        <w:t xml:space="preserve">% </w:t>
      </w:r>
      <w:r>
        <w:rPr>
          <w:rFonts w:ascii="Garamond" w:hAnsi="Garamond" w:cs="Times New Roman"/>
          <w:sz w:val="21"/>
          <w:szCs w:val="21"/>
        </w:rPr>
        <w:t xml:space="preserve">mainly owing to tax receipts. </w:t>
      </w:r>
      <w:r w:rsidR="0068514C">
        <w:rPr>
          <w:rFonts w:ascii="Garamond" w:hAnsi="Garamond" w:cs="Times New Roman"/>
          <w:sz w:val="21"/>
          <w:szCs w:val="21"/>
        </w:rPr>
        <w:t xml:space="preserve">Compared </w:t>
      </w:r>
      <w:r w:rsidR="007E2A45" w:rsidRPr="004E7A10">
        <w:rPr>
          <w:rFonts w:ascii="Garamond" w:hAnsi="Garamond" w:cs="Times New Roman"/>
          <w:sz w:val="21"/>
          <w:szCs w:val="21"/>
        </w:rPr>
        <w:t xml:space="preserve">to the </w:t>
      </w:r>
      <w:r w:rsidR="0068514C">
        <w:rPr>
          <w:rFonts w:ascii="Garamond" w:hAnsi="Garamond" w:cs="Times New Roman"/>
          <w:sz w:val="21"/>
          <w:szCs w:val="21"/>
        </w:rPr>
        <w:t>1st</w:t>
      </w:r>
      <w:r w:rsidR="007E2A45" w:rsidRPr="004E7A10">
        <w:rPr>
          <w:rFonts w:ascii="Garamond" w:hAnsi="Garamond" w:cs="Times New Roman"/>
          <w:sz w:val="21"/>
          <w:szCs w:val="21"/>
        </w:rPr>
        <w:t xml:space="preserve"> quarter of </w:t>
      </w:r>
      <w:r w:rsidR="0068514C">
        <w:rPr>
          <w:rFonts w:ascii="Garamond" w:hAnsi="Garamond" w:cs="Times New Roman"/>
          <w:sz w:val="21"/>
          <w:szCs w:val="21"/>
        </w:rPr>
        <w:t>2014</w:t>
      </w:r>
      <w:r w:rsidR="007E2A45" w:rsidRPr="004E7A10">
        <w:rPr>
          <w:rFonts w:ascii="Garamond" w:hAnsi="Garamond" w:cs="Times New Roman"/>
          <w:sz w:val="21"/>
          <w:szCs w:val="21"/>
        </w:rPr>
        <w:t xml:space="preserve">, </w:t>
      </w:r>
      <w:r w:rsidR="0068514C" w:rsidRPr="0068514C">
        <w:rPr>
          <w:rFonts w:ascii="Garamond" w:hAnsi="Garamond" w:cs="Times New Roman"/>
          <w:sz w:val="21"/>
          <w:szCs w:val="21"/>
        </w:rPr>
        <w:t xml:space="preserve">tax revenue and state </w:t>
      </w:r>
      <w:r w:rsidR="0068514C">
        <w:rPr>
          <w:rFonts w:ascii="Garamond" w:hAnsi="Garamond" w:cs="Times New Roman"/>
          <w:sz w:val="21"/>
          <w:szCs w:val="21"/>
        </w:rPr>
        <w:t>duty have grown by 3.</w:t>
      </w:r>
      <w:r w:rsidR="0068514C" w:rsidRPr="0068514C">
        <w:rPr>
          <w:rFonts w:ascii="Garamond" w:hAnsi="Garamond" w:cs="Times New Roman"/>
          <w:sz w:val="21"/>
          <w:szCs w:val="21"/>
        </w:rPr>
        <w:t xml:space="preserve">8% </w:t>
      </w:r>
      <w:r w:rsidR="0068514C">
        <w:rPr>
          <w:rFonts w:ascii="Garamond" w:hAnsi="Garamond" w:cs="Times New Roman"/>
          <w:sz w:val="21"/>
          <w:szCs w:val="21"/>
        </w:rPr>
        <w:t>largely due to in</w:t>
      </w:r>
      <w:r w:rsidR="0068514C" w:rsidRPr="0068514C">
        <w:rPr>
          <w:rFonts w:ascii="Garamond" w:hAnsi="Garamond" w:cs="Times New Roman"/>
          <w:sz w:val="21"/>
          <w:szCs w:val="21"/>
        </w:rPr>
        <w:t>come tax and customs dut</w:t>
      </w:r>
      <w:r w:rsidR="0068514C">
        <w:rPr>
          <w:rFonts w:ascii="Garamond" w:hAnsi="Garamond" w:cs="Times New Roman"/>
          <w:sz w:val="21"/>
          <w:szCs w:val="21"/>
        </w:rPr>
        <w:t xml:space="preserve">y. </w:t>
      </w:r>
      <w:r w:rsidR="0068514C" w:rsidRPr="0068514C">
        <w:rPr>
          <w:rFonts w:ascii="Garamond" w:hAnsi="Garamond" w:cs="Times New Roman"/>
          <w:sz w:val="21"/>
          <w:szCs w:val="21"/>
        </w:rPr>
        <w:t xml:space="preserve">As a result, the state budget </w:t>
      </w:r>
      <w:r w:rsidR="0068514C">
        <w:rPr>
          <w:rFonts w:ascii="Garamond" w:hAnsi="Garamond" w:cs="Times New Roman"/>
          <w:sz w:val="21"/>
          <w:szCs w:val="21"/>
        </w:rPr>
        <w:t xml:space="preserve">over-performed the quarterly projection by </w:t>
      </w:r>
      <w:r w:rsidR="0068514C" w:rsidRPr="0068514C">
        <w:rPr>
          <w:rFonts w:ascii="Garamond" w:hAnsi="Garamond" w:cs="Times New Roman"/>
          <w:sz w:val="21"/>
          <w:szCs w:val="21"/>
        </w:rPr>
        <w:t xml:space="preserve">0.3% </w:t>
      </w:r>
      <w:r w:rsidR="0068514C">
        <w:rPr>
          <w:rFonts w:ascii="Garamond" w:hAnsi="Garamond" w:cs="Times New Roman"/>
          <w:sz w:val="21"/>
          <w:szCs w:val="21"/>
        </w:rPr>
        <w:t>for t</w:t>
      </w:r>
      <w:r w:rsidR="0068514C" w:rsidRPr="0068514C">
        <w:rPr>
          <w:rFonts w:ascii="Garamond" w:hAnsi="Garamond" w:cs="Times New Roman"/>
          <w:sz w:val="21"/>
          <w:szCs w:val="21"/>
        </w:rPr>
        <w:t>ax and state dut</w:t>
      </w:r>
      <w:r w:rsidR="0068514C">
        <w:rPr>
          <w:rFonts w:ascii="Garamond" w:hAnsi="Garamond" w:cs="Times New Roman"/>
          <w:sz w:val="21"/>
          <w:szCs w:val="21"/>
        </w:rPr>
        <w:t>y. In the 1</w:t>
      </w:r>
      <w:r w:rsidR="0068514C" w:rsidRPr="0068514C">
        <w:rPr>
          <w:rFonts w:ascii="Garamond" w:hAnsi="Garamond" w:cs="Times New Roman"/>
          <w:sz w:val="21"/>
          <w:szCs w:val="21"/>
        </w:rPr>
        <w:t>st quarter</w:t>
      </w:r>
      <w:r w:rsidR="0068514C">
        <w:rPr>
          <w:rFonts w:ascii="Garamond" w:hAnsi="Garamond" w:cs="Times New Roman"/>
          <w:sz w:val="21"/>
          <w:szCs w:val="21"/>
        </w:rPr>
        <w:t xml:space="preserve"> of 2015, </w:t>
      </w:r>
      <w:r w:rsidR="004B6F9E">
        <w:rPr>
          <w:rFonts w:ascii="Garamond" w:hAnsi="Garamond" w:cs="Times New Roman"/>
          <w:sz w:val="21"/>
          <w:szCs w:val="21"/>
        </w:rPr>
        <w:t xml:space="preserve">relative to the same reference period last year, </w:t>
      </w:r>
      <w:r w:rsidR="004B6F9E" w:rsidRPr="0068514C">
        <w:rPr>
          <w:rFonts w:ascii="Garamond" w:hAnsi="Garamond" w:cs="Times New Roman"/>
          <w:sz w:val="21"/>
          <w:szCs w:val="21"/>
        </w:rPr>
        <w:t>indirect taxes</w:t>
      </w:r>
      <w:r w:rsidR="004B6F9E">
        <w:rPr>
          <w:rFonts w:ascii="Garamond" w:hAnsi="Garamond" w:cs="Times New Roman"/>
          <w:sz w:val="21"/>
          <w:szCs w:val="21"/>
        </w:rPr>
        <w:t xml:space="preserve"> and</w:t>
      </w:r>
      <w:r w:rsidR="004B6F9E" w:rsidRPr="0068514C">
        <w:rPr>
          <w:rFonts w:ascii="Garamond" w:hAnsi="Garamond" w:cs="Times New Roman"/>
          <w:sz w:val="21"/>
          <w:szCs w:val="21"/>
        </w:rPr>
        <w:t xml:space="preserve"> direct taxes </w:t>
      </w:r>
      <w:r w:rsidR="004B6F9E">
        <w:rPr>
          <w:rFonts w:ascii="Garamond" w:hAnsi="Garamond" w:cs="Times New Roman"/>
          <w:sz w:val="21"/>
          <w:szCs w:val="21"/>
        </w:rPr>
        <w:t xml:space="preserve">have grown by </w:t>
      </w:r>
      <w:r w:rsidR="0068514C" w:rsidRPr="0068514C">
        <w:rPr>
          <w:rFonts w:ascii="Garamond" w:hAnsi="Garamond" w:cs="Times New Roman"/>
          <w:sz w:val="21"/>
          <w:szCs w:val="21"/>
        </w:rPr>
        <w:t xml:space="preserve">3.5% </w:t>
      </w:r>
      <w:r w:rsidR="004B6F9E">
        <w:rPr>
          <w:rFonts w:ascii="Garamond" w:hAnsi="Garamond" w:cs="Times New Roman"/>
          <w:sz w:val="21"/>
          <w:szCs w:val="21"/>
        </w:rPr>
        <w:t xml:space="preserve">and </w:t>
      </w:r>
      <w:r w:rsidR="0068514C" w:rsidRPr="0068514C">
        <w:rPr>
          <w:rFonts w:ascii="Garamond" w:hAnsi="Garamond" w:cs="Times New Roman"/>
          <w:sz w:val="21"/>
          <w:szCs w:val="21"/>
        </w:rPr>
        <w:t>4.3%</w:t>
      </w:r>
      <w:r w:rsidR="004B6F9E">
        <w:rPr>
          <w:rFonts w:ascii="Garamond" w:hAnsi="Garamond" w:cs="Times New Roman"/>
          <w:sz w:val="21"/>
          <w:szCs w:val="21"/>
        </w:rPr>
        <w:t xml:space="preserve"> but </w:t>
      </w:r>
      <w:r w:rsidR="004B6F9E" w:rsidRPr="0068514C">
        <w:rPr>
          <w:rFonts w:ascii="Garamond" w:hAnsi="Garamond" w:cs="Times New Roman"/>
          <w:sz w:val="21"/>
          <w:szCs w:val="21"/>
        </w:rPr>
        <w:t>other tax revenues</w:t>
      </w:r>
      <w:r w:rsidR="004B6F9E">
        <w:rPr>
          <w:rFonts w:ascii="Garamond" w:hAnsi="Garamond" w:cs="Times New Roman"/>
          <w:sz w:val="21"/>
          <w:szCs w:val="21"/>
        </w:rPr>
        <w:t xml:space="preserve"> decreased by </w:t>
      </w:r>
      <w:r w:rsidR="004B6F9E" w:rsidRPr="0068514C">
        <w:rPr>
          <w:rFonts w:ascii="Garamond" w:hAnsi="Garamond" w:cs="Times New Roman"/>
          <w:sz w:val="21"/>
          <w:szCs w:val="21"/>
        </w:rPr>
        <w:t>2.7%</w:t>
      </w:r>
      <w:r w:rsidR="004B6F9E">
        <w:rPr>
          <w:rFonts w:ascii="Garamond" w:hAnsi="Garamond" w:cs="Times New Roman"/>
          <w:sz w:val="21"/>
          <w:szCs w:val="21"/>
        </w:rPr>
        <w:t xml:space="preserve">, respectively, in the tax and duty portfolio of the consolidated budget. </w:t>
      </w:r>
      <w:r w:rsidR="0068514C" w:rsidRPr="0068514C">
        <w:rPr>
          <w:rFonts w:ascii="Garamond" w:hAnsi="Garamond" w:cs="Times New Roman"/>
          <w:sz w:val="21"/>
          <w:szCs w:val="21"/>
        </w:rPr>
        <w:t>M</w:t>
      </w:r>
      <w:r w:rsidR="004B6F9E">
        <w:rPr>
          <w:rFonts w:ascii="Garamond" w:hAnsi="Garamond" w:cs="Times New Roman"/>
          <w:sz w:val="21"/>
          <w:szCs w:val="21"/>
        </w:rPr>
        <w:t>oreover</w:t>
      </w:r>
      <w:r w:rsidR="0068514C" w:rsidRPr="0068514C">
        <w:rPr>
          <w:rFonts w:ascii="Garamond" w:hAnsi="Garamond" w:cs="Times New Roman"/>
          <w:sz w:val="21"/>
          <w:szCs w:val="21"/>
        </w:rPr>
        <w:t xml:space="preserve">, the </w:t>
      </w:r>
      <w:r w:rsidR="004B6F9E">
        <w:rPr>
          <w:rFonts w:ascii="Garamond" w:hAnsi="Garamond" w:cs="Times New Roman"/>
          <w:sz w:val="21"/>
          <w:szCs w:val="21"/>
        </w:rPr>
        <w:t xml:space="preserve">share of </w:t>
      </w:r>
      <w:r w:rsidR="004B6F9E" w:rsidRPr="0068514C">
        <w:rPr>
          <w:rFonts w:ascii="Garamond" w:hAnsi="Garamond" w:cs="Times New Roman"/>
          <w:sz w:val="21"/>
          <w:szCs w:val="21"/>
        </w:rPr>
        <w:t xml:space="preserve">indirect taxes </w:t>
      </w:r>
      <w:r w:rsidR="004B6F9E">
        <w:rPr>
          <w:rFonts w:ascii="Garamond" w:hAnsi="Garamond" w:cs="Times New Roman"/>
          <w:sz w:val="21"/>
          <w:szCs w:val="21"/>
        </w:rPr>
        <w:t xml:space="preserve">and direct taxes has grown by </w:t>
      </w:r>
      <w:r w:rsidR="0068514C" w:rsidRPr="0068514C">
        <w:rPr>
          <w:rFonts w:ascii="Garamond" w:hAnsi="Garamond" w:cs="Times New Roman"/>
          <w:sz w:val="21"/>
          <w:szCs w:val="21"/>
        </w:rPr>
        <w:t>0.1 p</w:t>
      </w:r>
      <w:r w:rsidR="004B6F9E">
        <w:rPr>
          <w:rFonts w:ascii="Garamond" w:hAnsi="Garamond" w:cs="Times New Roman"/>
          <w:sz w:val="21"/>
          <w:szCs w:val="21"/>
        </w:rPr>
        <w:t>p</w:t>
      </w:r>
      <w:r w:rsidR="0068514C" w:rsidRPr="0068514C">
        <w:rPr>
          <w:rFonts w:ascii="Garamond" w:hAnsi="Garamond" w:cs="Times New Roman"/>
          <w:sz w:val="21"/>
          <w:szCs w:val="21"/>
        </w:rPr>
        <w:t xml:space="preserve"> </w:t>
      </w:r>
      <w:r w:rsidR="004B6F9E">
        <w:rPr>
          <w:rFonts w:ascii="Garamond" w:hAnsi="Garamond" w:cs="Times New Roman"/>
          <w:sz w:val="21"/>
          <w:szCs w:val="21"/>
        </w:rPr>
        <w:t>and 0.4 pp t</w:t>
      </w:r>
      <w:r w:rsidR="0068514C" w:rsidRPr="0068514C">
        <w:rPr>
          <w:rFonts w:ascii="Garamond" w:hAnsi="Garamond" w:cs="Times New Roman"/>
          <w:sz w:val="21"/>
          <w:szCs w:val="21"/>
        </w:rPr>
        <w:t>o 52.8%</w:t>
      </w:r>
      <w:r w:rsidR="004B6F9E">
        <w:rPr>
          <w:rFonts w:ascii="Garamond" w:hAnsi="Garamond" w:cs="Times New Roman"/>
          <w:sz w:val="21"/>
          <w:szCs w:val="21"/>
        </w:rPr>
        <w:t xml:space="preserve"> and</w:t>
      </w:r>
      <w:r w:rsidR="0068514C" w:rsidRPr="0068514C">
        <w:rPr>
          <w:rFonts w:ascii="Garamond" w:hAnsi="Garamond" w:cs="Times New Roman"/>
          <w:sz w:val="21"/>
          <w:szCs w:val="21"/>
        </w:rPr>
        <w:t xml:space="preserve"> </w:t>
      </w:r>
      <w:r w:rsidR="004B6F9E" w:rsidRPr="0068514C">
        <w:rPr>
          <w:rFonts w:ascii="Garamond" w:hAnsi="Garamond" w:cs="Times New Roman"/>
          <w:sz w:val="21"/>
          <w:szCs w:val="21"/>
        </w:rPr>
        <w:t>39.4%</w:t>
      </w:r>
      <w:r w:rsidR="005B1FD3">
        <w:rPr>
          <w:rFonts w:ascii="Garamond" w:hAnsi="Garamond" w:cs="Times New Roman"/>
          <w:sz w:val="21"/>
          <w:szCs w:val="21"/>
        </w:rPr>
        <w:t xml:space="preserve"> but</w:t>
      </w:r>
      <w:r w:rsidR="004B6F9E">
        <w:rPr>
          <w:rFonts w:ascii="Garamond" w:hAnsi="Garamond" w:cs="Times New Roman"/>
          <w:sz w:val="21"/>
          <w:szCs w:val="21"/>
        </w:rPr>
        <w:t xml:space="preserve"> the share of</w:t>
      </w:r>
      <w:r w:rsidR="004B6F9E" w:rsidRPr="0068514C">
        <w:rPr>
          <w:rFonts w:ascii="Garamond" w:hAnsi="Garamond" w:cs="Times New Roman"/>
          <w:sz w:val="21"/>
          <w:szCs w:val="21"/>
        </w:rPr>
        <w:t xml:space="preserve"> other taxes </w:t>
      </w:r>
      <w:r w:rsidR="004B6F9E">
        <w:rPr>
          <w:rFonts w:ascii="Garamond" w:hAnsi="Garamond" w:cs="Times New Roman"/>
          <w:sz w:val="21"/>
          <w:szCs w:val="21"/>
        </w:rPr>
        <w:t xml:space="preserve">reduced by </w:t>
      </w:r>
      <w:r w:rsidR="0068514C" w:rsidRPr="0068514C">
        <w:rPr>
          <w:rFonts w:ascii="Garamond" w:hAnsi="Garamond" w:cs="Times New Roman"/>
          <w:sz w:val="21"/>
          <w:szCs w:val="21"/>
        </w:rPr>
        <w:t>0.4 pp to 7.8%</w:t>
      </w:r>
      <w:r w:rsidR="005B1FD3">
        <w:rPr>
          <w:rFonts w:ascii="Garamond" w:hAnsi="Garamond" w:cs="Times New Roman"/>
          <w:sz w:val="21"/>
          <w:szCs w:val="21"/>
        </w:rPr>
        <w:t>, respectively.</w:t>
      </w:r>
    </w:p>
    <w:p w14:paraId="150E60E6" w14:textId="77777777" w:rsidR="00C23C32" w:rsidRDefault="00C23C32" w:rsidP="00A9653E">
      <w:pPr>
        <w:spacing w:line="360" w:lineRule="auto"/>
        <w:jc w:val="both"/>
        <w:rPr>
          <w:rFonts w:ascii="Garamond" w:hAnsi="Garamond" w:cs="Times New Roman"/>
          <w:sz w:val="21"/>
          <w:szCs w:val="21"/>
        </w:rPr>
      </w:pPr>
      <w:r w:rsidRPr="00C23C32">
        <w:rPr>
          <w:rFonts w:ascii="Garamond" w:hAnsi="Garamond" w:cs="Times New Roman"/>
          <w:sz w:val="21"/>
          <w:szCs w:val="21"/>
        </w:rPr>
        <w:t>Other revenues</w:t>
      </w:r>
      <w:r>
        <w:rPr>
          <w:rFonts w:ascii="Garamond" w:hAnsi="Garamond" w:cs="Times New Roman"/>
          <w:sz w:val="21"/>
          <w:szCs w:val="21"/>
        </w:rPr>
        <w:t xml:space="preserve"> posted a </w:t>
      </w:r>
      <w:r w:rsidRPr="00C23C32">
        <w:rPr>
          <w:rFonts w:ascii="Garamond" w:hAnsi="Garamond" w:cs="Times New Roman"/>
          <w:sz w:val="21"/>
          <w:szCs w:val="21"/>
        </w:rPr>
        <w:t>40.1</w:t>
      </w:r>
      <w:r>
        <w:rPr>
          <w:rFonts w:ascii="Garamond" w:hAnsi="Garamond" w:cs="Times New Roman"/>
          <w:sz w:val="21"/>
          <w:szCs w:val="21"/>
        </w:rPr>
        <w:t xml:space="preserve">% increase in </w:t>
      </w:r>
      <w:r w:rsidRPr="00C23C32">
        <w:rPr>
          <w:rFonts w:ascii="Garamond" w:hAnsi="Garamond" w:cs="Times New Roman"/>
          <w:sz w:val="21"/>
          <w:szCs w:val="21"/>
        </w:rPr>
        <w:t>compar</w:t>
      </w:r>
      <w:r>
        <w:rPr>
          <w:rFonts w:ascii="Garamond" w:hAnsi="Garamond" w:cs="Times New Roman"/>
          <w:sz w:val="21"/>
          <w:szCs w:val="21"/>
        </w:rPr>
        <w:t xml:space="preserve">ison with </w:t>
      </w:r>
      <w:r w:rsidRPr="00C23C32">
        <w:rPr>
          <w:rFonts w:ascii="Garamond" w:hAnsi="Garamond" w:cs="Times New Roman"/>
          <w:sz w:val="21"/>
          <w:szCs w:val="21"/>
        </w:rPr>
        <w:t xml:space="preserve">the same </w:t>
      </w:r>
      <w:r>
        <w:rPr>
          <w:rFonts w:ascii="Garamond" w:hAnsi="Garamond" w:cs="Times New Roman"/>
          <w:sz w:val="21"/>
          <w:szCs w:val="21"/>
        </w:rPr>
        <w:t xml:space="preserve">reference </w:t>
      </w:r>
      <w:r w:rsidRPr="00C23C32">
        <w:rPr>
          <w:rFonts w:ascii="Garamond" w:hAnsi="Garamond" w:cs="Times New Roman"/>
          <w:sz w:val="21"/>
          <w:szCs w:val="21"/>
        </w:rPr>
        <w:t>period last year</w:t>
      </w:r>
      <w:r>
        <w:rPr>
          <w:rFonts w:ascii="Garamond" w:hAnsi="Garamond" w:cs="Times New Roman"/>
          <w:sz w:val="21"/>
          <w:szCs w:val="21"/>
        </w:rPr>
        <w:t xml:space="preserve"> thus outstripping the quarterly projection. </w:t>
      </w:r>
    </w:p>
    <w:p w14:paraId="63A809FB" w14:textId="77777777" w:rsidR="008B59A2" w:rsidRPr="008B59A2" w:rsidRDefault="008B59A2" w:rsidP="00A9653E">
      <w:pPr>
        <w:spacing w:line="360" w:lineRule="auto"/>
        <w:jc w:val="both"/>
        <w:rPr>
          <w:rFonts w:ascii="Garamond" w:hAnsi="Garamond" w:cs="Times New Roman"/>
          <w:b/>
          <w:color w:val="0070C0"/>
          <w:sz w:val="18"/>
          <w:szCs w:val="18"/>
        </w:rPr>
      </w:pPr>
      <w:r w:rsidRPr="008B59A2">
        <w:rPr>
          <w:rFonts w:ascii="Garamond" w:hAnsi="Garamond" w:cs="Times New Roman"/>
          <w:b/>
          <w:color w:val="0070C0"/>
          <w:sz w:val="18"/>
          <w:szCs w:val="18"/>
        </w:rPr>
        <w:t xml:space="preserve">In the 1st quarter of 2015, the fiscal policy’s impact on aggregate demand was 2.4 expansionary… </w:t>
      </w:r>
    </w:p>
    <w:p w14:paraId="4093C564" w14:textId="77777777" w:rsidR="006025FA" w:rsidRDefault="00ED1099" w:rsidP="00A9653E">
      <w:pPr>
        <w:spacing w:line="360" w:lineRule="auto"/>
        <w:jc w:val="both"/>
        <w:rPr>
          <w:rFonts w:ascii="Garamond" w:hAnsi="Garamond" w:cs="Times New Roman"/>
          <w:sz w:val="21"/>
          <w:szCs w:val="21"/>
        </w:rPr>
      </w:pPr>
      <w:r>
        <w:rPr>
          <w:rFonts w:ascii="Garamond" w:hAnsi="Garamond" w:cs="Times New Roman"/>
          <w:sz w:val="21"/>
          <w:szCs w:val="21"/>
        </w:rPr>
        <w:t>In the 1st</w:t>
      </w:r>
      <w:r w:rsidRPr="004E7A10">
        <w:rPr>
          <w:rFonts w:ascii="Garamond" w:hAnsi="Garamond" w:cs="Times New Roman"/>
          <w:sz w:val="21"/>
          <w:szCs w:val="21"/>
        </w:rPr>
        <w:t xml:space="preserve"> quarter of 201</w:t>
      </w:r>
      <w:r>
        <w:rPr>
          <w:rFonts w:ascii="Garamond" w:hAnsi="Garamond" w:cs="Times New Roman"/>
          <w:sz w:val="21"/>
          <w:szCs w:val="21"/>
        </w:rPr>
        <w:t>5,</w:t>
      </w:r>
      <w:r w:rsidRPr="00ED1099">
        <w:rPr>
          <w:rFonts w:ascii="Garamond" w:hAnsi="Garamond" w:cs="Times New Roman"/>
          <w:sz w:val="21"/>
          <w:szCs w:val="21"/>
        </w:rPr>
        <w:t xml:space="preserve"> actual expenditures amounted to 89.9% of the </w:t>
      </w:r>
      <w:r w:rsidR="00571A29" w:rsidRPr="00ED1099">
        <w:rPr>
          <w:rFonts w:ascii="Garamond" w:hAnsi="Garamond" w:cs="Times New Roman"/>
          <w:sz w:val="21"/>
          <w:szCs w:val="21"/>
        </w:rPr>
        <w:t xml:space="preserve">program </w:t>
      </w:r>
      <w:r w:rsidRPr="00ED1099">
        <w:rPr>
          <w:rFonts w:ascii="Garamond" w:hAnsi="Garamond" w:cs="Times New Roman"/>
          <w:sz w:val="21"/>
          <w:szCs w:val="21"/>
        </w:rPr>
        <w:t>specified</w:t>
      </w:r>
      <w:r w:rsidR="00571A29">
        <w:rPr>
          <w:rFonts w:ascii="Garamond" w:hAnsi="Garamond" w:cs="Times New Roman"/>
          <w:sz w:val="21"/>
          <w:szCs w:val="21"/>
        </w:rPr>
        <w:t xml:space="preserve"> for the quarter</w:t>
      </w:r>
      <w:r w:rsidRPr="00ED1099">
        <w:rPr>
          <w:rFonts w:ascii="Garamond" w:hAnsi="Garamond" w:cs="Times New Roman"/>
          <w:sz w:val="21"/>
          <w:szCs w:val="21"/>
        </w:rPr>
        <w:t xml:space="preserve">. However, compared to the same </w:t>
      </w:r>
      <w:r w:rsidR="001020A4">
        <w:rPr>
          <w:rFonts w:ascii="Garamond" w:hAnsi="Garamond" w:cs="Times New Roman"/>
          <w:sz w:val="21"/>
          <w:szCs w:val="21"/>
        </w:rPr>
        <w:t xml:space="preserve">reference </w:t>
      </w:r>
      <w:r w:rsidRPr="00ED1099">
        <w:rPr>
          <w:rFonts w:ascii="Garamond" w:hAnsi="Garamond" w:cs="Times New Roman"/>
          <w:sz w:val="21"/>
          <w:szCs w:val="21"/>
        </w:rPr>
        <w:t xml:space="preserve">period last year, consolidated budget </w:t>
      </w:r>
      <w:r w:rsidR="001020A4">
        <w:rPr>
          <w:rFonts w:ascii="Garamond" w:hAnsi="Garamond" w:cs="Times New Roman"/>
          <w:sz w:val="21"/>
          <w:szCs w:val="21"/>
        </w:rPr>
        <w:t>posted</w:t>
      </w:r>
      <w:r w:rsidRPr="00ED1099">
        <w:rPr>
          <w:rFonts w:ascii="Garamond" w:hAnsi="Garamond" w:cs="Times New Roman"/>
          <w:sz w:val="21"/>
          <w:szCs w:val="21"/>
        </w:rPr>
        <w:t xml:space="preserve"> a 14.2%</w:t>
      </w:r>
      <w:r w:rsidR="001020A4">
        <w:rPr>
          <w:rFonts w:ascii="Garamond" w:hAnsi="Garamond" w:cs="Times New Roman"/>
          <w:sz w:val="21"/>
          <w:szCs w:val="21"/>
        </w:rPr>
        <w:t xml:space="preserve"> growth of expenditures </w:t>
      </w:r>
      <w:r w:rsidRPr="00ED1099">
        <w:rPr>
          <w:rFonts w:ascii="Garamond" w:hAnsi="Garamond" w:cs="Times New Roman"/>
          <w:sz w:val="21"/>
          <w:szCs w:val="21"/>
        </w:rPr>
        <w:t xml:space="preserve">mainly due to current expenditures. </w:t>
      </w:r>
      <w:r w:rsidR="001020A4">
        <w:rPr>
          <w:rFonts w:ascii="Garamond" w:hAnsi="Garamond" w:cs="Times New Roman"/>
          <w:sz w:val="21"/>
          <w:szCs w:val="21"/>
        </w:rPr>
        <w:t xml:space="preserve">In the current expenditures structure, </w:t>
      </w:r>
      <w:r w:rsidR="001020A4" w:rsidRPr="004E7A10">
        <w:rPr>
          <w:rFonts w:ascii="Garamond" w:hAnsi="Garamond" w:cs="Times New Roman"/>
          <w:b/>
          <w:sz w:val="21"/>
          <w:szCs w:val="21"/>
        </w:rPr>
        <w:t>public consumption</w:t>
      </w:r>
      <w:r w:rsidR="001020A4" w:rsidRPr="004E7A10">
        <w:rPr>
          <w:rFonts w:ascii="Garamond" w:hAnsi="Garamond" w:cs="Times New Roman"/>
          <w:sz w:val="21"/>
          <w:szCs w:val="21"/>
        </w:rPr>
        <w:t xml:space="preserve"> ha</w:t>
      </w:r>
      <w:r w:rsidR="001020A4">
        <w:rPr>
          <w:rFonts w:ascii="Garamond" w:hAnsi="Garamond" w:cs="Times New Roman"/>
          <w:sz w:val="21"/>
          <w:szCs w:val="21"/>
        </w:rPr>
        <w:t>s grown by 24</w:t>
      </w:r>
      <w:r w:rsidR="001020A4" w:rsidRPr="004E7A10">
        <w:rPr>
          <w:rFonts w:ascii="Garamond" w:hAnsi="Garamond" w:cs="Times New Roman"/>
          <w:sz w:val="21"/>
          <w:szCs w:val="21"/>
        </w:rPr>
        <w:t xml:space="preserve">.4% </w:t>
      </w:r>
      <w:r w:rsidRPr="00ED1099">
        <w:rPr>
          <w:rFonts w:ascii="Garamond" w:hAnsi="Garamond" w:cs="Times New Roman"/>
          <w:sz w:val="21"/>
          <w:szCs w:val="21"/>
        </w:rPr>
        <w:t xml:space="preserve">compared to the same </w:t>
      </w:r>
      <w:r w:rsidR="001020A4">
        <w:rPr>
          <w:rFonts w:ascii="Garamond" w:hAnsi="Garamond" w:cs="Times New Roman"/>
          <w:sz w:val="21"/>
          <w:szCs w:val="21"/>
        </w:rPr>
        <w:t xml:space="preserve">reference </w:t>
      </w:r>
      <w:r w:rsidRPr="00ED1099">
        <w:rPr>
          <w:rFonts w:ascii="Garamond" w:hAnsi="Garamond" w:cs="Times New Roman"/>
          <w:sz w:val="21"/>
          <w:szCs w:val="21"/>
        </w:rPr>
        <w:t>period last year</w:t>
      </w:r>
      <w:r w:rsidR="001020A4">
        <w:rPr>
          <w:rFonts w:ascii="Garamond" w:hAnsi="Garamond" w:cs="Times New Roman"/>
          <w:sz w:val="21"/>
          <w:szCs w:val="21"/>
        </w:rPr>
        <w:t>.</w:t>
      </w:r>
      <w:r w:rsidR="007B16B1" w:rsidRPr="004E7A10">
        <w:rPr>
          <w:rFonts w:ascii="Garamond" w:hAnsi="Garamond" w:cs="Times New Roman"/>
          <w:sz w:val="21"/>
          <w:szCs w:val="21"/>
        </w:rPr>
        <w:t xml:space="preserve"> The </w:t>
      </w:r>
      <w:r w:rsidR="007B16B1" w:rsidRPr="004E7A10">
        <w:rPr>
          <w:rFonts w:ascii="Garamond" w:hAnsi="Garamond" w:cs="Times New Roman"/>
          <w:b/>
          <w:sz w:val="21"/>
          <w:szCs w:val="21"/>
        </w:rPr>
        <w:t xml:space="preserve">item </w:t>
      </w:r>
      <w:r w:rsidR="001020A4">
        <w:rPr>
          <w:rFonts w:ascii="Garamond" w:hAnsi="Garamond" w:cs="Times New Roman"/>
          <w:b/>
          <w:sz w:val="21"/>
          <w:szCs w:val="21"/>
        </w:rPr>
        <w:t>“</w:t>
      </w:r>
      <w:r w:rsidR="007B16B1" w:rsidRPr="004E7A10">
        <w:rPr>
          <w:rFonts w:ascii="Garamond" w:hAnsi="Garamond" w:cs="Times New Roman"/>
          <w:b/>
          <w:sz w:val="21"/>
          <w:szCs w:val="21"/>
        </w:rPr>
        <w:t>transactions with non-financial assets</w:t>
      </w:r>
      <w:r w:rsidR="001020A4">
        <w:rPr>
          <w:rFonts w:ascii="Garamond" w:hAnsi="Garamond" w:cs="Times New Roman"/>
          <w:b/>
          <w:sz w:val="21"/>
          <w:szCs w:val="21"/>
        </w:rPr>
        <w:t>”</w:t>
      </w:r>
      <w:r w:rsidR="007B16B1" w:rsidRPr="004E7A10">
        <w:rPr>
          <w:rFonts w:ascii="Garamond" w:hAnsi="Garamond" w:cs="Times New Roman"/>
          <w:sz w:val="21"/>
          <w:szCs w:val="21"/>
        </w:rPr>
        <w:t xml:space="preserve"> posted a </w:t>
      </w:r>
      <w:r w:rsidR="006025FA">
        <w:rPr>
          <w:rFonts w:ascii="Garamond" w:hAnsi="Garamond" w:cs="Times New Roman"/>
          <w:sz w:val="21"/>
          <w:szCs w:val="21"/>
        </w:rPr>
        <w:t>7.5</w:t>
      </w:r>
      <w:r w:rsidR="007B16B1" w:rsidRPr="004E7A10">
        <w:rPr>
          <w:rFonts w:ascii="Garamond" w:hAnsi="Garamond" w:cs="Times New Roman"/>
          <w:sz w:val="21"/>
          <w:szCs w:val="21"/>
        </w:rPr>
        <w:t xml:space="preserve">% </w:t>
      </w:r>
      <w:r w:rsidR="006025FA">
        <w:rPr>
          <w:rFonts w:ascii="Garamond" w:hAnsi="Garamond" w:cs="Times New Roman"/>
          <w:sz w:val="21"/>
          <w:szCs w:val="21"/>
        </w:rPr>
        <w:t>de</w:t>
      </w:r>
      <w:r w:rsidR="007B16B1" w:rsidRPr="004E7A10">
        <w:rPr>
          <w:rFonts w:ascii="Garamond" w:hAnsi="Garamond" w:cs="Times New Roman"/>
          <w:sz w:val="21"/>
          <w:szCs w:val="21"/>
        </w:rPr>
        <w:t xml:space="preserve">crease </w:t>
      </w:r>
      <w:r w:rsidR="006025FA">
        <w:rPr>
          <w:rFonts w:ascii="Garamond" w:hAnsi="Garamond" w:cs="Times New Roman"/>
          <w:sz w:val="21"/>
          <w:szCs w:val="21"/>
        </w:rPr>
        <w:t>d</w:t>
      </w:r>
      <w:r w:rsidR="006025FA" w:rsidRPr="006025FA">
        <w:rPr>
          <w:rFonts w:ascii="Garamond" w:hAnsi="Garamond" w:cs="Times New Roman"/>
          <w:sz w:val="21"/>
          <w:szCs w:val="21"/>
        </w:rPr>
        <w:t xml:space="preserve">ue to </w:t>
      </w:r>
      <w:r w:rsidR="006025FA">
        <w:rPr>
          <w:rFonts w:ascii="Garamond" w:hAnsi="Garamond" w:cs="Times New Roman"/>
          <w:sz w:val="21"/>
          <w:szCs w:val="21"/>
        </w:rPr>
        <w:t xml:space="preserve">reduced spending under both </w:t>
      </w:r>
      <w:r w:rsidR="006025FA" w:rsidRPr="006025FA">
        <w:rPr>
          <w:rFonts w:ascii="Garamond" w:hAnsi="Garamond" w:cs="Times New Roman"/>
          <w:sz w:val="21"/>
          <w:szCs w:val="21"/>
        </w:rPr>
        <w:t xml:space="preserve">foreign-funded </w:t>
      </w:r>
      <w:r w:rsidR="006025FA">
        <w:rPr>
          <w:rFonts w:ascii="Garamond" w:hAnsi="Garamond" w:cs="Times New Roman"/>
          <w:sz w:val="21"/>
          <w:szCs w:val="21"/>
        </w:rPr>
        <w:t>and domestic projects.</w:t>
      </w:r>
    </w:p>
    <w:p w14:paraId="000853B1" w14:textId="77777777" w:rsidR="00BF0068" w:rsidRPr="004E7A10" w:rsidRDefault="00BF0068"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With revenues and expenditures figures </w:t>
      </w:r>
      <w:r w:rsidR="006025FA">
        <w:rPr>
          <w:rFonts w:ascii="Garamond" w:hAnsi="Garamond" w:cs="Times New Roman"/>
          <w:sz w:val="21"/>
          <w:szCs w:val="21"/>
        </w:rPr>
        <w:t>shown above</w:t>
      </w:r>
      <w:r w:rsidR="00A9653E" w:rsidRPr="004E7A10">
        <w:rPr>
          <w:rFonts w:ascii="Garamond" w:hAnsi="Garamond" w:cs="Times New Roman"/>
          <w:sz w:val="21"/>
          <w:szCs w:val="21"/>
        </w:rPr>
        <w:t xml:space="preserve">, the </w:t>
      </w:r>
      <w:r w:rsidR="006025FA">
        <w:rPr>
          <w:rFonts w:ascii="Garamond" w:hAnsi="Garamond" w:cs="Times New Roman"/>
          <w:sz w:val="21"/>
          <w:szCs w:val="21"/>
        </w:rPr>
        <w:t xml:space="preserve">state </w:t>
      </w:r>
      <w:r w:rsidR="00A9653E" w:rsidRPr="004E7A10">
        <w:rPr>
          <w:rFonts w:ascii="Garamond" w:hAnsi="Garamond" w:cs="Times New Roman"/>
          <w:sz w:val="21"/>
          <w:szCs w:val="21"/>
        </w:rPr>
        <w:t xml:space="preserve">budget </w:t>
      </w:r>
      <w:r w:rsidR="00354F55" w:rsidRPr="004E7A10">
        <w:rPr>
          <w:rFonts w:ascii="Garamond" w:hAnsi="Garamond" w:cs="Times New Roman"/>
          <w:sz w:val="21"/>
          <w:szCs w:val="21"/>
        </w:rPr>
        <w:t xml:space="preserve">reported </w:t>
      </w:r>
      <w:r w:rsidRPr="004E7A10">
        <w:rPr>
          <w:rFonts w:ascii="Garamond" w:hAnsi="Garamond" w:cs="Times New Roman"/>
          <w:sz w:val="21"/>
          <w:szCs w:val="21"/>
        </w:rPr>
        <w:t xml:space="preserve">a </w:t>
      </w:r>
      <w:r w:rsidR="00354F55" w:rsidRPr="004E7A10">
        <w:rPr>
          <w:rFonts w:ascii="Garamond" w:hAnsi="Garamond" w:cs="Times New Roman"/>
          <w:sz w:val="21"/>
          <w:szCs w:val="21"/>
        </w:rPr>
        <w:t xml:space="preserve">deficit of </w:t>
      </w:r>
      <w:r w:rsidR="00A9653E" w:rsidRPr="004E7A10">
        <w:rPr>
          <w:rFonts w:ascii="Garamond" w:hAnsi="Garamond" w:cs="Times New Roman"/>
          <w:sz w:val="21"/>
          <w:szCs w:val="21"/>
        </w:rPr>
        <w:t xml:space="preserve">AMD </w:t>
      </w:r>
      <w:r w:rsidR="006025FA">
        <w:rPr>
          <w:rFonts w:ascii="Garamond" w:hAnsi="Garamond" w:cs="Times New Roman"/>
          <w:sz w:val="21"/>
          <w:szCs w:val="21"/>
        </w:rPr>
        <w:t>22</w:t>
      </w:r>
      <w:r w:rsidR="00A9653E" w:rsidRPr="004E7A10">
        <w:rPr>
          <w:rFonts w:ascii="Garamond" w:hAnsi="Garamond" w:cs="Times New Roman"/>
          <w:sz w:val="21"/>
          <w:szCs w:val="21"/>
        </w:rPr>
        <w:t>.</w:t>
      </w:r>
      <w:r w:rsidR="006025FA">
        <w:rPr>
          <w:rFonts w:ascii="Garamond" w:hAnsi="Garamond" w:cs="Times New Roman"/>
          <w:sz w:val="21"/>
          <w:szCs w:val="21"/>
        </w:rPr>
        <w:t>2</w:t>
      </w:r>
      <w:r w:rsidR="00A9653E" w:rsidRPr="004E7A10">
        <w:rPr>
          <w:rFonts w:ascii="Garamond" w:hAnsi="Garamond" w:cs="Times New Roman"/>
          <w:sz w:val="21"/>
          <w:szCs w:val="21"/>
        </w:rPr>
        <w:t xml:space="preserve"> billion</w:t>
      </w:r>
      <w:r w:rsidR="006025FA" w:rsidRPr="006025FA">
        <w:rPr>
          <w:rFonts w:ascii="Garamond" w:hAnsi="Garamond" w:cs="Times New Roman"/>
          <w:sz w:val="21"/>
          <w:szCs w:val="21"/>
        </w:rPr>
        <w:t xml:space="preserve"> </w:t>
      </w:r>
      <w:r w:rsidR="006025FA">
        <w:rPr>
          <w:rFonts w:ascii="Garamond" w:hAnsi="Garamond" w:cs="Times New Roman"/>
          <w:sz w:val="21"/>
          <w:szCs w:val="21"/>
        </w:rPr>
        <w:t>for the 1st</w:t>
      </w:r>
      <w:r w:rsidR="006025FA" w:rsidRPr="004E7A10">
        <w:rPr>
          <w:rFonts w:ascii="Garamond" w:hAnsi="Garamond" w:cs="Times New Roman"/>
          <w:sz w:val="21"/>
          <w:szCs w:val="21"/>
        </w:rPr>
        <w:t xml:space="preserve"> quarter of 201</w:t>
      </w:r>
      <w:r w:rsidR="006025FA">
        <w:rPr>
          <w:rFonts w:ascii="Garamond" w:hAnsi="Garamond" w:cs="Times New Roman"/>
          <w:sz w:val="21"/>
          <w:szCs w:val="21"/>
        </w:rPr>
        <w:t>5</w:t>
      </w:r>
      <w:r w:rsidR="0033532F">
        <w:rPr>
          <w:rFonts w:ascii="Garamond" w:hAnsi="Garamond" w:cs="Times New Roman"/>
          <w:sz w:val="21"/>
          <w:szCs w:val="21"/>
        </w:rPr>
        <w:t xml:space="preserve"> instead of AMD 51.3 billion projected for the quarter under an adjusted plan. T</w:t>
      </w:r>
      <w:r w:rsidRPr="004E7A10">
        <w:rPr>
          <w:rFonts w:ascii="Garamond" w:hAnsi="Garamond" w:cs="Times New Roman"/>
          <w:sz w:val="21"/>
          <w:szCs w:val="21"/>
        </w:rPr>
        <w:t xml:space="preserve">he deficit has been </w:t>
      </w:r>
      <w:r w:rsidR="0033532F">
        <w:rPr>
          <w:rFonts w:ascii="Garamond" w:hAnsi="Garamond" w:cs="Times New Roman"/>
          <w:sz w:val="21"/>
          <w:szCs w:val="21"/>
        </w:rPr>
        <w:t xml:space="preserve">fully financed by </w:t>
      </w:r>
      <w:r w:rsidRPr="004E7A10">
        <w:rPr>
          <w:rFonts w:ascii="Garamond" w:hAnsi="Garamond" w:cs="Times New Roman"/>
          <w:sz w:val="21"/>
          <w:szCs w:val="21"/>
        </w:rPr>
        <w:t xml:space="preserve">external sources. </w:t>
      </w:r>
      <w:r w:rsidR="006025FA">
        <w:rPr>
          <w:rFonts w:ascii="Garamond" w:hAnsi="Garamond" w:cs="Times New Roman"/>
          <w:sz w:val="21"/>
          <w:szCs w:val="21"/>
        </w:rPr>
        <w:t xml:space="preserve"> </w:t>
      </w:r>
    </w:p>
    <w:p w14:paraId="5A7F4FEB" w14:textId="77777777" w:rsidR="005E2498" w:rsidRPr="005E2498" w:rsidRDefault="005E2498" w:rsidP="005E2498">
      <w:pPr>
        <w:spacing w:line="360" w:lineRule="auto"/>
        <w:jc w:val="both"/>
        <w:rPr>
          <w:rFonts w:ascii="Garamond" w:hAnsi="Garamond" w:cs="Times New Roman"/>
          <w:sz w:val="21"/>
          <w:szCs w:val="21"/>
        </w:rPr>
      </w:pPr>
      <w:r>
        <w:rPr>
          <w:rFonts w:ascii="Garamond" w:hAnsi="Garamond" w:cs="Times New Roman"/>
          <w:sz w:val="21"/>
          <w:szCs w:val="21"/>
        </w:rPr>
        <w:t xml:space="preserve">The placement of foreign currency </w:t>
      </w:r>
      <w:r w:rsidRPr="005E2498">
        <w:rPr>
          <w:rFonts w:ascii="Garamond" w:hAnsi="Garamond" w:cs="Times New Roman"/>
          <w:sz w:val="21"/>
          <w:szCs w:val="21"/>
        </w:rPr>
        <w:t xml:space="preserve">government bonds </w:t>
      </w:r>
      <w:r w:rsidR="00B50D96">
        <w:rPr>
          <w:rFonts w:ascii="Garamond" w:hAnsi="Garamond" w:cs="Times New Roman"/>
          <w:sz w:val="21"/>
          <w:szCs w:val="21"/>
        </w:rPr>
        <w:t xml:space="preserve">brought in AMD </w:t>
      </w:r>
      <w:r w:rsidR="00B50D96" w:rsidRPr="005E2498">
        <w:rPr>
          <w:rFonts w:ascii="Garamond" w:hAnsi="Garamond" w:cs="Times New Roman"/>
          <w:sz w:val="21"/>
          <w:szCs w:val="21"/>
        </w:rPr>
        <w:t>229.9 billion</w:t>
      </w:r>
      <w:r w:rsidR="00B50D96">
        <w:rPr>
          <w:rFonts w:ascii="Garamond" w:hAnsi="Garamond" w:cs="Times New Roman"/>
          <w:sz w:val="21"/>
          <w:szCs w:val="21"/>
        </w:rPr>
        <w:t xml:space="preserve"> worth of proceeds for the state budget in the 1st</w:t>
      </w:r>
      <w:r w:rsidRPr="005E2498">
        <w:rPr>
          <w:rFonts w:ascii="Garamond" w:hAnsi="Garamond" w:cs="Times New Roman"/>
          <w:sz w:val="21"/>
          <w:szCs w:val="21"/>
        </w:rPr>
        <w:t xml:space="preserve"> quarter</w:t>
      </w:r>
      <w:r w:rsidR="00B50D96">
        <w:rPr>
          <w:rFonts w:ascii="Garamond" w:hAnsi="Garamond" w:cs="Times New Roman"/>
          <w:sz w:val="21"/>
          <w:szCs w:val="21"/>
        </w:rPr>
        <w:t xml:space="preserve"> of 2015</w:t>
      </w:r>
      <w:r w:rsidRPr="005E2498">
        <w:rPr>
          <w:rFonts w:ascii="Garamond" w:hAnsi="Garamond" w:cs="Times New Roman"/>
          <w:sz w:val="21"/>
          <w:szCs w:val="21"/>
        </w:rPr>
        <w:t xml:space="preserve">, of which </w:t>
      </w:r>
      <w:r w:rsidR="00B50D96">
        <w:rPr>
          <w:rFonts w:ascii="Garamond" w:hAnsi="Garamond" w:cs="Times New Roman"/>
          <w:sz w:val="21"/>
          <w:szCs w:val="21"/>
        </w:rPr>
        <w:t xml:space="preserve">AMD </w:t>
      </w:r>
      <w:r w:rsidRPr="005E2498">
        <w:rPr>
          <w:rFonts w:ascii="Garamond" w:hAnsi="Garamond" w:cs="Times New Roman"/>
          <w:sz w:val="21"/>
          <w:szCs w:val="21"/>
        </w:rPr>
        <w:t xml:space="preserve">94.2 billion was spent </w:t>
      </w:r>
      <w:r w:rsidR="00B50D96">
        <w:rPr>
          <w:rFonts w:ascii="Garamond" w:hAnsi="Garamond" w:cs="Times New Roman"/>
          <w:sz w:val="21"/>
          <w:szCs w:val="21"/>
        </w:rPr>
        <w:t xml:space="preserve">to repurchase the foreign currency </w:t>
      </w:r>
      <w:r w:rsidR="00B50D96" w:rsidRPr="005E2498">
        <w:rPr>
          <w:rFonts w:ascii="Garamond" w:hAnsi="Garamond" w:cs="Times New Roman"/>
          <w:sz w:val="21"/>
          <w:szCs w:val="21"/>
        </w:rPr>
        <w:t xml:space="preserve">government bonds </w:t>
      </w:r>
      <w:r w:rsidR="00B50D96">
        <w:rPr>
          <w:rFonts w:ascii="Garamond" w:hAnsi="Garamond" w:cs="Times New Roman"/>
          <w:sz w:val="21"/>
          <w:szCs w:val="21"/>
        </w:rPr>
        <w:t xml:space="preserve">issued back </w:t>
      </w:r>
      <w:r w:rsidRPr="005E2498">
        <w:rPr>
          <w:rFonts w:ascii="Garamond" w:hAnsi="Garamond" w:cs="Times New Roman"/>
          <w:sz w:val="21"/>
          <w:szCs w:val="21"/>
        </w:rPr>
        <w:t xml:space="preserve">in 2013. </w:t>
      </w:r>
      <w:r w:rsidR="00B50D96">
        <w:rPr>
          <w:rFonts w:ascii="Garamond" w:hAnsi="Garamond" w:cs="Times New Roman"/>
          <w:sz w:val="21"/>
          <w:szCs w:val="21"/>
        </w:rPr>
        <w:t>The said placement and repurchase of government bonds have generated free domestic resources</w:t>
      </w:r>
      <w:r w:rsidRPr="005E2498">
        <w:rPr>
          <w:rFonts w:ascii="Garamond" w:hAnsi="Garamond" w:cs="Times New Roman"/>
          <w:sz w:val="21"/>
          <w:szCs w:val="21"/>
        </w:rPr>
        <w:t>.</w:t>
      </w:r>
    </w:p>
    <w:p w14:paraId="6129C110" w14:textId="77777777" w:rsidR="0033532F" w:rsidRDefault="00B50D96" w:rsidP="005E2498">
      <w:pPr>
        <w:spacing w:line="360" w:lineRule="auto"/>
        <w:jc w:val="both"/>
        <w:rPr>
          <w:rFonts w:ascii="Garamond" w:hAnsi="Garamond" w:cs="Times New Roman"/>
          <w:sz w:val="21"/>
          <w:szCs w:val="21"/>
        </w:rPr>
      </w:pPr>
      <w:r>
        <w:rPr>
          <w:rFonts w:ascii="Garamond" w:hAnsi="Garamond" w:cs="Times New Roman"/>
          <w:sz w:val="21"/>
          <w:szCs w:val="21"/>
        </w:rPr>
        <w:t>In the</w:t>
      </w:r>
      <w:r w:rsidR="005E2498" w:rsidRPr="005E2498">
        <w:rPr>
          <w:rFonts w:ascii="Garamond" w:hAnsi="Garamond" w:cs="Times New Roman"/>
          <w:sz w:val="21"/>
          <w:szCs w:val="21"/>
        </w:rPr>
        <w:t xml:space="preserve"> </w:t>
      </w:r>
      <w:r>
        <w:rPr>
          <w:rFonts w:ascii="Garamond" w:hAnsi="Garamond" w:cs="Times New Roman"/>
          <w:sz w:val="21"/>
          <w:szCs w:val="21"/>
        </w:rPr>
        <w:t>1</w:t>
      </w:r>
      <w:r w:rsidR="005E2498" w:rsidRPr="005E2498">
        <w:rPr>
          <w:rFonts w:ascii="Garamond" w:hAnsi="Garamond" w:cs="Times New Roman"/>
          <w:sz w:val="21"/>
          <w:szCs w:val="21"/>
        </w:rPr>
        <w:t xml:space="preserve">st quarter of </w:t>
      </w:r>
      <w:r>
        <w:rPr>
          <w:rFonts w:ascii="Garamond" w:hAnsi="Garamond" w:cs="Times New Roman"/>
          <w:sz w:val="21"/>
          <w:szCs w:val="21"/>
        </w:rPr>
        <w:t xml:space="preserve">2015, the </w:t>
      </w:r>
      <w:r w:rsidR="005E2498" w:rsidRPr="005E2498">
        <w:rPr>
          <w:rFonts w:ascii="Garamond" w:hAnsi="Garamond" w:cs="Times New Roman"/>
          <w:sz w:val="21"/>
          <w:szCs w:val="21"/>
        </w:rPr>
        <w:t xml:space="preserve">fiscal policy </w:t>
      </w:r>
      <w:r w:rsidRPr="005E2498">
        <w:rPr>
          <w:rFonts w:ascii="Garamond" w:hAnsi="Garamond" w:cs="Times New Roman"/>
          <w:sz w:val="21"/>
          <w:szCs w:val="21"/>
        </w:rPr>
        <w:t xml:space="preserve">had an expansionary impact </w:t>
      </w:r>
      <w:r w:rsidR="005E2498" w:rsidRPr="005E2498">
        <w:rPr>
          <w:rFonts w:ascii="Garamond" w:hAnsi="Garamond" w:cs="Times New Roman"/>
          <w:sz w:val="21"/>
          <w:szCs w:val="21"/>
        </w:rPr>
        <w:t>on aggregate demand due primarily to increased costs.</w:t>
      </w:r>
    </w:p>
    <w:p w14:paraId="19E0705C" w14:textId="77777777" w:rsidR="00D95604" w:rsidRPr="004E7A10" w:rsidRDefault="00D95604" w:rsidP="00D95604">
      <w:pPr>
        <w:spacing w:line="360" w:lineRule="auto"/>
        <w:jc w:val="both"/>
        <w:rPr>
          <w:rFonts w:ascii="Garamond" w:hAnsi="Garamond" w:cs="Times New Roman"/>
          <w:b/>
          <w:sz w:val="21"/>
          <w:szCs w:val="21"/>
        </w:rPr>
      </w:pPr>
      <w:r w:rsidRPr="004E7A10">
        <w:rPr>
          <w:rFonts w:ascii="Garamond" w:hAnsi="Garamond" w:cs="Times New Roman"/>
          <w:b/>
          <w:sz w:val="21"/>
          <w:szCs w:val="21"/>
        </w:rPr>
        <w:t>Summary: reduced private transfers from Russia</w:t>
      </w:r>
      <w:r w:rsidR="00ED428B">
        <w:rPr>
          <w:rFonts w:ascii="Garamond" w:hAnsi="Garamond" w:cs="Times New Roman"/>
          <w:b/>
          <w:sz w:val="21"/>
          <w:szCs w:val="21"/>
        </w:rPr>
        <w:t xml:space="preserve"> as well as</w:t>
      </w:r>
      <w:r w:rsidRPr="004E7A10">
        <w:rPr>
          <w:rFonts w:ascii="Garamond" w:hAnsi="Garamond" w:cs="Times New Roman"/>
          <w:b/>
          <w:sz w:val="21"/>
          <w:szCs w:val="21"/>
        </w:rPr>
        <w:t xml:space="preserve"> sluggish investment activity </w:t>
      </w:r>
      <w:r w:rsidR="00ED428B">
        <w:rPr>
          <w:rFonts w:ascii="Garamond" w:hAnsi="Garamond" w:cs="Times New Roman"/>
          <w:b/>
          <w:sz w:val="21"/>
          <w:szCs w:val="21"/>
        </w:rPr>
        <w:t xml:space="preserve">in the domestic economy pushed private </w:t>
      </w:r>
      <w:r w:rsidRPr="004E7A10">
        <w:rPr>
          <w:rFonts w:ascii="Garamond" w:hAnsi="Garamond" w:cs="Times New Roman"/>
          <w:b/>
          <w:sz w:val="21"/>
          <w:szCs w:val="21"/>
        </w:rPr>
        <w:t xml:space="preserve">spending </w:t>
      </w:r>
      <w:r w:rsidR="00ED428B">
        <w:rPr>
          <w:rFonts w:ascii="Garamond" w:hAnsi="Garamond" w:cs="Times New Roman"/>
          <w:b/>
          <w:sz w:val="21"/>
          <w:szCs w:val="21"/>
        </w:rPr>
        <w:t xml:space="preserve">down </w:t>
      </w:r>
      <w:r w:rsidRPr="004E7A10">
        <w:rPr>
          <w:rFonts w:ascii="Garamond" w:hAnsi="Garamond" w:cs="Times New Roman"/>
          <w:b/>
          <w:sz w:val="21"/>
          <w:szCs w:val="21"/>
        </w:rPr>
        <w:t xml:space="preserve">in the </w:t>
      </w:r>
      <w:r w:rsidR="00ED428B">
        <w:rPr>
          <w:rFonts w:ascii="Garamond" w:hAnsi="Garamond" w:cs="Times New Roman"/>
          <w:b/>
          <w:sz w:val="21"/>
          <w:szCs w:val="21"/>
        </w:rPr>
        <w:t>1st</w:t>
      </w:r>
      <w:r w:rsidRPr="004E7A10">
        <w:rPr>
          <w:rFonts w:ascii="Garamond" w:hAnsi="Garamond" w:cs="Times New Roman"/>
          <w:b/>
          <w:sz w:val="21"/>
          <w:szCs w:val="21"/>
        </w:rPr>
        <w:t xml:space="preserve"> quarter of 201</w:t>
      </w:r>
      <w:r w:rsidR="00ED428B">
        <w:rPr>
          <w:rFonts w:ascii="Garamond" w:hAnsi="Garamond" w:cs="Times New Roman"/>
          <w:b/>
          <w:sz w:val="21"/>
          <w:szCs w:val="21"/>
        </w:rPr>
        <w:t>5</w:t>
      </w:r>
      <w:r w:rsidRPr="004E7A10">
        <w:rPr>
          <w:rFonts w:ascii="Garamond" w:hAnsi="Garamond" w:cs="Times New Roman"/>
          <w:b/>
          <w:sz w:val="21"/>
          <w:szCs w:val="21"/>
        </w:rPr>
        <w:t xml:space="preserve">. </w:t>
      </w:r>
      <w:r w:rsidR="00ED428B">
        <w:rPr>
          <w:rFonts w:ascii="Garamond" w:hAnsi="Garamond" w:cs="Times New Roman"/>
          <w:b/>
          <w:sz w:val="21"/>
          <w:szCs w:val="21"/>
        </w:rPr>
        <w:t>However, t</w:t>
      </w:r>
      <w:r w:rsidRPr="004E7A10">
        <w:rPr>
          <w:rFonts w:ascii="Garamond" w:hAnsi="Garamond" w:cs="Times New Roman"/>
          <w:b/>
          <w:sz w:val="21"/>
          <w:szCs w:val="21"/>
        </w:rPr>
        <w:t>he</w:t>
      </w:r>
      <w:r w:rsidR="00ED428B">
        <w:rPr>
          <w:rFonts w:ascii="Garamond" w:hAnsi="Garamond" w:cs="Times New Roman"/>
          <w:b/>
          <w:sz w:val="21"/>
          <w:szCs w:val="21"/>
        </w:rPr>
        <w:t xml:space="preserve"> </w:t>
      </w:r>
      <w:r w:rsidR="00ED428B">
        <w:rPr>
          <w:rFonts w:ascii="Garamond" w:hAnsi="Garamond" w:cs="Times New Roman"/>
          <w:b/>
          <w:sz w:val="21"/>
          <w:szCs w:val="21"/>
        </w:rPr>
        <w:lastRenderedPageBreak/>
        <w:t>contraction of expenditures in private sector</w:t>
      </w:r>
      <w:r w:rsidRPr="004E7A10">
        <w:rPr>
          <w:rFonts w:ascii="Garamond" w:hAnsi="Garamond" w:cs="Times New Roman"/>
          <w:b/>
          <w:sz w:val="21"/>
          <w:szCs w:val="21"/>
        </w:rPr>
        <w:t xml:space="preserve"> </w:t>
      </w:r>
      <w:r w:rsidR="00ED428B">
        <w:rPr>
          <w:rFonts w:ascii="Garamond" w:hAnsi="Garamond" w:cs="Times New Roman"/>
          <w:b/>
          <w:sz w:val="21"/>
          <w:szCs w:val="21"/>
        </w:rPr>
        <w:t xml:space="preserve">has </w:t>
      </w:r>
      <w:r w:rsidRPr="004E7A10">
        <w:rPr>
          <w:rFonts w:ascii="Garamond" w:hAnsi="Garamond" w:cs="Times New Roman"/>
          <w:b/>
          <w:sz w:val="21"/>
          <w:szCs w:val="21"/>
        </w:rPr>
        <w:t xml:space="preserve">diminished </w:t>
      </w:r>
      <w:r w:rsidR="00ED428B">
        <w:rPr>
          <w:rFonts w:ascii="Garamond" w:hAnsi="Garamond" w:cs="Times New Roman"/>
          <w:b/>
          <w:sz w:val="21"/>
          <w:szCs w:val="21"/>
        </w:rPr>
        <w:t xml:space="preserve">owing to lagged impact of the </w:t>
      </w:r>
      <w:r w:rsidRPr="004E7A10">
        <w:rPr>
          <w:rFonts w:ascii="Garamond" w:hAnsi="Garamond" w:cs="Times New Roman"/>
          <w:b/>
          <w:sz w:val="21"/>
          <w:szCs w:val="21"/>
        </w:rPr>
        <w:t xml:space="preserve">expansionary monetary and fiscal policies </w:t>
      </w:r>
      <w:r w:rsidR="00063196" w:rsidRPr="004E7A10">
        <w:rPr>
          <w:rFonts w:ascii="Garamond" w:hAnsi="Garamond" w:cs="Times New Roman"/>
          <w:b/>
          <w:sz w:val="21"/>
          <w:szCs w:val="21"/>
        </w:rPr>
        <w:t xml:space="preserve">implemented </w:t>
      </w:r>
      <w:r w:rsidR="00ED428B">
        <w:rPr>
          <w:rFonts w:ascii="Garamond" w:hAnsi="Garamond" w:cs="Times New Roman"/>
          <w:b/>
          <w:sz w:val="21"/>
          <w:szCs w:val="21"/>
        </w:rPr>
        <w:t>in the course of 2014 and, particularly, new fiscal and monetary incentives provided to the domestic economy in the 1st quarter of 2015, which, in</w:t>
      </w:r>
      <w:r w:rsidR="00C967F7" w:rsidRPr="004E7A10">
        <w:rPr>
          <w:rFonts w:ascii="Garamond" w:hAnsi="Garamond" w:cs="Times New Roman"/>
          <w:b/>
          <w:sz w:val="21"/>
          <w:szCs w:val="21"/>
        </w:rPr>
        <w:t xml:space="preserve"> turn</w:t>
      </w:r>
      <w:r w:rsidR="00ED428B">
        <w:rPr>
          <w:rFonts w:ascii="Garamond" w:hAnsi="Garamond" w:cs="Times New Roman"/>
          <w:b/>
          <w:sz w:val="21"/>
          <w:szCs w:val="21"/>
        </w:rPr>
        <w:t>,</w:t>
      </w:r>
      <w:r w:rsidR="00C967F7" w:rsidRPr="004E7A10">
        <w:rPr>
          <w:rFonts w:ascii="Garamond" w:hAnsi="Garamond" w:cs="Times New Roman"/>
          <w:b/>
          <w:sz w:val="21"/>
          <w:szCs w:val="21"/>
        </w:rPr>
        <w:t xml:space="preserve"> </w:t>
      </w:r>
      <w:r w:rsidR="00063196" w:rsidRPr="004E7A10">
        <w:rPr>
          <w:rFonts w:ascii="Garamond" w:hAnsi="Garamond" w:cs="Times New Roman"/>
          <w:b/>
          <w:sz w:val="21"/>
          <w:szCs w:val="21"/>
        </w:rPr>
        <w:t>mitigated the domestic econom</w:t>
      </w:r>
      <w:r w:rsidR="00BC00AE">
        <w:rPr>
          <w:rFonts w:ascii="Garamond" w:hAnsi="Garamond" w:cs="Times New Roman"/>
          <w:b/>
          <w:sz w:val="21"/>
          <w:szCs w:val="21"/>
        </w:rPr>
        <w:t>ic</w:t>
      </w:r>
      <w:r w:rsidR="00063196" w:rsidRPr="004E7A10">
        <w:rPr>
          <w:rFonts w:ascii="Garamond" w:hAnsi="Garamond" w:cs="Times New Roman"/>
          <w:b/>
          <w:sz w:val="21"/>
          <w:szCs w:val="21"/>
        </w:rPr>
        <w:t xml:space="preserve"> slowdown </w:t>
      </w:r>
      <w:r w:rsidRPr="004E7A10">
        <w:rPr>
          <w:rFonts w:ascii="Garamond" w:hAnsi="Garamond" w:cs="Times New Roman"/>
          <w:b/>
          <w:sz w:val="21"/>
          <w:szCs w:val="21"/>
        </w:rPr>
        <w:t xml:space="preserve">and </w:t>
      </w:r>
      <w:r w:rsidR="00063196" w:rsidRPr="004E7A10">
        <w:rPr>
          <w:rFonts w:ascii="Garamond" w:hAnsi="Garamond" w:cs="Times New Roman"/>
          <w:b/>
          <w:sz w:val="21"/>
          <w:szCs w:val="21"/>
        </w:rPr>
        <w:t xml:space="preserve">the </w:t>
      </w:r>
      <w:r w:rsidRPr="004E7A10">
        <w:rPr>
          <w:rFonts w:ascii="Garamond" w:hAnsi="Garamond" w:cs="Times New Roman"/>
          <w:b/>
          <w:sz w:val="21"/>
          <w:szCs w:val="21"/>
        </w:rPr>
        <w:t>deflationary environment.</w:t>
      </w:r>
    </w:p>
    <w:p w14:paraId="52434254" w14:textId="77777777" w:rsidR="00BF35CB" w:rsidRPr="004E7A10" w:rsidRDefault="00D95604"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In the </w:t>
      </w:r>
      <w:r w:rsidR="005151CC">
        <w:rPr>
          <w:rFonts w:ascii="Garamond" w:hAnsi="Garamond" w:cs="Times New Roman"/>
          <w:b/>
          <w:sz w:val="21"/>
          <w:szCs w:val="21"/>
        </w:rPr>
        <w:t>1st</w:t>
      </w:r>
      <w:r w:rsidRPr="004E7A10">
        <w:rPr>
          <w:rFonts w:ascii="Garamond" w:hAnsi="Garamond" w:cs="Times New Roman"/>
          <w:b/>
          <w:sz w:val="21"/>
          <w:szCs w:val="21"/>
        </w:rPr>
        <w:t xml:space="preserve"> quarter of 201</w:t>
      </w:r>
      <w:r w:rsidR="005151CC">
        <w:rPr>
          <w:rFonts w:ascii="Garamond" w:hAnsi="Garamond" w:cs="Times New Roman"/>
          <w:b/>
          <w:sz w:val="21"/>
          <w:szCs w:val="21"/>
        </w:rPr>
        <w:t>5</w:t>
      </w:r>
      <w:r w:rsidR="00BF35CB" w:rsidRPr="004E7A10">
        <w:rPr>
          <w:rFonts w:ascii="Garamond" w:hAnsi="Garamond" w:cs="Times New Roman"/>
          <w:b/>
          <w:sz w:val="21"/>
          <w:szCs w:val="21"/>
        </w:rPr>
        <w:t>,</w:t>
      </w:r>
      <w:r w:rsidRPr="004E7A10">
        <w:rPr>
          <w:rFonts w:ascii="Garamond" w:hAnsi="Garamond" w:cs="Times New Roman"/>
          <w:b/>
          <w:sz w:val="21"/>
          <w:szCs w:val="21"/>
        </w:rPr>
        <w:t xml:space="preserve"> </w:t>
      </w:r>
      <w:r w:rsidR="00BF35CB" w:rsidRPr="004E7A10">
        <w:rPr>
          <w:rFonts w:ascii="Garamond" w:hAnsi="Garamond" w:cs="Times New Roman"/>
          <w:b/>
          <w:sz w:val="21"/>
          <w:szCs w:val="21"/>
        </w:rPr>
        <w:t xml:space="preserve">the private </w:t>
      </w:r>
      <w:r w:rsidRPr="004E7A10">
        <w:rPr>
          <w:rFonts w:ascii="Garamond" w:hAnsi="Garamond" w:cs="Times New Roman"/>
          <w:b/>
          <w:sz w:val="21"/>
          <w:szCs w:val="21"/>
        </w:rPr>
        <w:t xml:space="preserve">spending gap is estimated to be negative. Given </w:t>
      </w:r>
      <w:r w:rsidR="00C967F7" w:rsidRPr="004E7A10">
        <w:rPr>
          <w:rFonts w:ascii="Garamond" w:hAnsi="Garamond" w:cs="Times New Roman"/>
          <w:b/>
          <w:sz w:val="21"/>
          <w:szCs w:val="21"/>
        </w:rPr>
        <w:t xml:space="preserve">also </w:t>
      </w:r>
      <w:r w:rsidRPr="004E7A10">
        <w:rPr>
          <w:rFonts w:ascii="Garamond" w:hAnsi="Garamond" w:cs="Times New Roman"/>
          <w:b/>
          <w:sz w:val="21"/>
          <w:szCs w:val="21"/>
        </w:rPr>
        <w:t xml:space="preserve">the </w:t>
      </w:r>
      <w:r w:rsidR="00BF35CB" w:rsidRPr="004E7A10">
        <w:rPr>
          <w:rFonts w:ascii="Garamond" w:hAnsi="Garamond" w:cs="Times New Roman"/>
          <w:b/>
          <w:sz w:val="21"/>
          <w:szCs w:val="21"/>
        </w:rPr>
        <w:t xml:space="preserve">behavior of the </w:t>
      </w:r>
      <w:r w:rsidRPr="004E7A10">
        <w:rPr>
          <w:rFonts w:ascii="Garamond" w:hAnsi="Garamond" w:cs="Times New Roman"/>
          <w:b/>
          <w:sz w:val="21"/>
          <w:szCs w:val="21"/>
        </w:rPr>
        <w:t xml:space="preserve">labor market and </w:t>
      </w:r>
      <w:r w:rsidR="00BF35CB" w:rsidRPr="004E7A10">
        <w:rPr>
          <w:rFonts w:ascii="Garamond" w:hAnsi="Garamond" w:cs="Times New Roman"/>
          <w:b/>
          <w:sz w:val="21"/>
          <w:szCs w:val="21"/>
        </w:rPr>
        <w:t xml:space="preserve">public expenditures, it is </w:t>
      </w:r>
      <w:r w:rsidRPr="004E7A10">
        <w:rPr>
          <w:rFonts w:ascii="Garamond" w:hAnsi="Garamond" w:cs="Times New Roman"/>
          <w:b/>
          <w:sz w:val="21"/>
          <w:szCs w:val="21"/>
        </w:rPr>
        <w:t xml:space="preserve">estimated </w:t>
      </w:r>
      <w:r w:rsidR="00BF35CB" w:rsidRPr="004E7A10">
        <w:rPr>
          <w:rFonts w:ascii="Garamond" w:hAnsi="Garamond" w:cs="Times New Roman"/>
          <w:b/>
          <w:sz w:val="21"/>
          <w:szCs w:val="21"/>
        </w:rPr>
        <w:t xml:space="preserve">that </w:t>
      </w:r>
      <w:r w:rsidRPr="004E7A10">
        <w:rPr>
          <w:rFonts w:ascii="Garamond" w:hAnsi="Garamond" w:cs="Times New Roman"/>
          <w:b/>
          <w:sz w:val="21"/>
          <w:szCs w:val="21"/>
        </w:rPr>
        <w:t xml:space="preserve">the above factors </w:t>
      </w:r>
      <w:r w:rsidR="00C967F7" w:rsidRPr="004E7A10">
        <w:rPr>
          <w:rFonts w:ascii="Garamond" w:hAnsi="Garamond" w:cs="Times New Roman"/>
          <w:b/>
          <w:sz w:val="21"/>
          <w:szCs w:val="21"/>
        </w:rPr>
        <w:t xml:space="preserve">combined </w:t>
      </w:r>
      <w:r w:rsidRPr="004E7A10">
        <w:rPr>
          <w:rFonts w:ascii="Garamond" w:hAnsi="Garamond" w:cs="Times New Roman"/>
          <w:b/>
          <w:sz w:val="21"/>
          <w:szCs w:val="21"/>
        </w:rPr>
        <w:t xml:space="preserve">created </w:t>
      </w:r>
      <w:r w:rsidR="00BF35CB" w:rsidRPr="004E7A10">
        <w:rPr>
          <w:rFonts w:ascii="Garamond" w:hAnsi="Garamond" w:cs="Times New Roman"/>
          <w:b/>
          <w:sz w:val="21"/>
          <w:szCs w:val="21"/>
        </w:rPr>
        <w:t>0.</w:t>
      </w:r>
      <w:r w:rsidR="00450EA2">
        <w:rPr>
          <w:rFonts w:ascii="Garamond" w:hAnsi="Garamond" w:cs="Times New Roman"/>
          <w:b/>
          <w:sz w:val="21"/>
          <w:szCs w:val="21"/>
        </w:rPr>
        <w:t>4</w:t>
      </w:r>
      <w:r w:rsidR="00173515" w:rsidRPr="004E7A10">
        <w:rPr>
          <w:rFonts w:ascii="Garamond" w:hAnsi="Garamond" w:cs="Times New Roman"/>
          <w:b/>
          <w:sz w:val="21"/>
          <w:szCs w:val="21"/>
        </w:rPr>
        <w:t xml:space="preserve"> pp </w:t>
      </w:r>
      <w:r w:rsidR="00BF35CB" w:rsidRPr="004E7A10">
        <w:rPr>
          <w:rFonts w:ascii="Garamond" w:hAnsi="Garamond" w:cs="Times New Roman"/>
          <w:b/>
          <w:sz w:val="21"/>
          <w:szCs w:val="21"/>
        </w:rPr>
        <w:t>-</w:t>
      </w:r>
      <w:r w:rsidR="00173515" w:rsidRPr="004E7A10">
        <w:rPr>
          <w:rFonts w:ascii="Garamond" w:hAnsi="Garamond" w:cs="Times New Roman"/>
          <w:b/>
          <w:sz w:val="21"/>
          <w:szCs w:val="21"/>
        </w:rPr>
        <w:t xml:space="preserve"> </w:t>
      </w:r>
      <w:r w:rsidR="00BF35CB" w:rsidRPr="004E7A10">
        <w:rPr>
          <w:rFonts w:ascii="Garamond" w:hAnsi="Garamond" w:cs="Times New Roman"/>
          <w:b/>
          <w:sz w:val="21"/>
          <w:szCs w:val="21"/>
        </w:rPr>
        <w:t>0.</w:t>
      </w:r>
      <w:r w:rsidR="00450EA2">
        <w:rPr>
          <w:rFonts w:ascii="Garamond" w:hAnsi="Garamond" w:cs="Times New Roman"/>
          <w:b/>
          <w:sz w:val="21"/>
          <w:szCs w:val="21"/>
        </w:rPr>
        <w:t>5</w:t>
      </w:r>
      <w:r w:rsidR="00BF35CB" w:rsidRPr="004E7A10">
        <w:rPr>
          <w:rFonts w:ascii="Garamond" w:hAnsi="Garamond" w:cs="Times New Roman"/>
          <w:b/>
          <w:sz w:val="21"/>
          <w:szCs w:val="21"/>
        </w:rPr>
        <w:t xml:space="preserve"> pp of deflationary pressures in the</w:t>
      </w:r>
      <w:r w:rsidRPr="004E7A10">
        <w:rPr>
          <w:rFonts w:ascii="Garamond" w:hAnsi="Garamond" w:cs="Times New Roman"/>
          <w:b/>
          <w:sz w:val="21"/>
          <w:szCs w:val="21"/>
        </w:rPr>
        <w:t xml:space="preserve"> consumer market in the </w:t>
      </w:r>
      <w:r w:rsidR="00450EA2">
        <w:rPr>
          <w:rFonts w:ascii="Garamond" w:hAnsi="Garamond" w:cs="Times New Roman"/>
          <w:b/>
          <w:sz w:val="21"/>
          <w:szCs w:val="21"/>
        </w:rPr>
        <w:t>1st</w:t>
      </w:r>
      <w:r w:rsidR="00BF35CB" w:rsidRPr="004E7A10">
        <w:rPr>
          <w:rFonts w:ascii="Garamond" w:hAnsi="Garamond" w:cs="Times New Roman"/>
          <w:b/>
          <w:sz w:val="21"/>
          <w:szCs w:val="21"/>
        </w:rPr>
        <w:t xml:space="preserve"> </w:t>
      </w:r>
      <w:r w:rsidR="00450EA2">
        <w:rPr>
          <w:rFonts w:ascii="Garamond" w:hAnsi="Garamond" w:cs="Times New Roman"/>
          <w:b/>
          <w:sz w:val="21"/>
          <w:szCs w:val="21"/>
        </w:rPr>
        <w:t>quarter of 2015</w:t>
      </w:r>
      <w:r w:rsidR="00BF35CB" w:rsidRPr="004E7A10">
        <w:rPr>
          <w:rFonts w:ascii="Garamond" w:hAnsi="Garamond" w:cs="Times New Roman"/>
          <w:b/>
          <w:sz w:val="21"/>
          <w:szCs w:val="21"/>
        </w:rPr>
        <w:t>.</w:t>
      </w:r>
    </w:p>
    <w:p w14:paraId="7954603C"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3.3 Money and financial market developments</w:t>
      </w:r>
    </w:p>
    <w:p w14:paraId="34FCE831"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3.3.1 Financial market, money and credit</w:t>
      </w:r>
    </w:p>
    <w:p w14:paraId="65646628" w14:textId="0C4C0ACE" w:rsidR="00CA3C92" w:rsidRDefault="00CA3C92" w:rsidP="00A9653E">
      <w:pPr>
        <w:spacing w:line="360" w:lineRule="auto"/>
        <w:jc w:val="both"/>
        <w:rPr>
          <w:rFonts w:ascii="Garamond" w:hAnsi="Garamond" w:cs="Times New Roman"/>
          <w:sz w:val="21"/>
          <w:szCs w:val="21"/>
        </w:rPr>
      </w:pPr>
      <w:r>
        <w:rPr>
          <w:rFonts w:ascii="Garamond" w:hAnsi="Garamond" w:cs="Times New Roman"/>
          <w:sz w:val="21"/>
          <w:szCs w:val="21"/>
        </w:rPr>
        <w:t>I</w:t>
      </w:r>
      <w:r w:rsidRPr="00CA3C92">
        <w:rPr>
          <w:rFonts w:ascii="Garamond" w:hAnsi="Garamond" w:cs="Times New Roman"/>
          <w:sz w:val="21"/>
          <w:szCs w:val="21"/>
        </w:rPr>
        <w:t xml:space="preserve">n pursuit of </w:t>
      </w:r>
      <w:r>
        <w:rPr>
          <w:rFonts w:ascii="Garamond" w:hAnsi="Garamond" w:cs="Times New Roman"/>
          <w:sz w:val="21"/>
          <w:szCs w:val="21"/>
        </w:rPr>
        <w:t>it</w:t>
      </w:r>
      <w:r w:rsidRPr="00CA3C92">
        <w:rPr>
          <w:rFonts w:ascii="Garamond" w:hAnsi="Garamond" w:cs="Times New Roman"/>
          <w:sz w:val="21"/>
          <w:szCs w:val="21"/>
        </w:rPr>
        <w:t>s statements</w:t>
      </w:r>
      <w:r w:rsidR="00A82238">
        <w:rPr>
          <w:rFonts w:ascii="Garamond" w:hAnsi="Garamond" w:cs="Times New Roman"/>
          <w:sz w:val="21"/>
          <w:szCs w:val="21"/>
        </w:rPr>
        <w:t xml:space="preserve"> made with the aim to ease the </w:t>
      </w:r>
      <w:r w:rsidR="00A82238" w:rsidRPr="00CA3C92">
        <w:rPr>
          <w:rFonts w:ascii="Garamond" w:hAnsi="Garamond" w:cs="Times New Roman"/>
          <w:sz w:val="21"/>
          <w:szCs w:val="21"/>
        </w:rPr>
        <w:t>tension and stabilize the situation</w:t>
      </w:r>
      <w:r w:rsidR="00A82238">
        <w:rPr>
          <w:rFonts w:ascii="Garamond" w:hAnsi="Garamond" w:cs="Times New Roman"/>
          <w:sz w:val="21"/>
          <w:szCs w:val="21"/>
        </w:rPr>
        <w:t xml:space="preserve"> in the domestic financial market resulted from the events in late 2014, the Central Bank looked to change the interest rates more often during the 1st quarter of 2015. </w:t>
      </w:r>
      <w:r w:rsidR="00A82238" w:rsidRPr="002E46DA">
        <w:rPr>
          <w:rFonts w:ascii="Garamond" w:hAnsi="Garamond" w:cs="Times New Roman"/>
          <w:b/>
          <w:sz w:val="21"/>
          <w:szCs w:val="21"/>
        </w:rPr>
        <w:t>The financial market saw at the time high interest rates closer to the Lombard Repo Facility Rate</w:t>
      </w:r>
      <w:r w:rsidR="002E46DA" w:rsidRPr="002E46DA">
        <w:rPr>
          <w:rFonts w:ascii="Garamond" w:hAnsi="Garamond" w:cs="Times New Roman"/>
          <w:b/>
          <w:sz w:val="21"/>
          <w:szCs w:val="21"/>
        </w:rPr>
        <w:t xml:space="preserve"> of the Central Bank</w:t>
      </w:r>
      <w:r w:rsidR="002E46DA">
        <w:rPr>
          <w:rFonts w:ascii="Garamond" w:hAnsi="Garamond" w:cs="Times New Roman"/>
          <w:b/>
          <w:sz w:val="21"/>
          <w:szCs w:val="21"/>
        </w:rPr>
        <w:t xml:space="preserve">. </w:t>
      </w:r>
      <w:r w:rsidR="002E46DA" w:rsidRPr="002E46DA">
        <w:rPr>
          <w:rFonts w:ascii="Garamond" w:hAnsi="Garamond" w:cs="Times New Roman"/>
          <w:sz w:val="21"/>
          <w:szCs w:val="21"/>
        </w:rPr>
        <w:t>In view of</w:t>
      </w:r>
      <w:r w:rsidR="002E46DA">
        <w:rPr>
          <w:rFonts w:ascii="Garamond" w:hAnsi="Garamond" w:cs="Times New Roman"/>
          <w:sz w:val="21"/>
          <w:szCs w:val="21"/>
        </w:rPr>
        <w:t xml:space="preserve"> achieving lower interest rates along with financial market stabilization, </w:t>
      </w:r>
      <w:r w:rsidR="002E46DA" w:rsidRPr="004E7A10">
        <w:rPr>
          <w:rFonts w:ascii="Garamond" w:hAnsi="Garamond" w:cs="Times New Roman"/>
          <w:sz w:val="21"/>
          <w:szCs w:val="21"/>
        </w:rPr>
        <w:t xml:space="preserve">the Central Bank gradually </w:t>
      </w:r>
      <w:r w:rsidR="002E46DA">
        <w:rPr>
          <w:rFonts w:ascii="Garamond" w:hAnsi="Garamond" w:cs="Times New Roman"/>
          <w:sz w:val="21"/>
          <w:szCs w:val="21"/>
        </w:rPr>
        <w:t>reduced</w:t>
      </w:r>
      <w:r w:rsidR="002E46DA" w:rsidRPr="004E7A10">
        <w:rPr>
          <w:rFonts w:ascii="Garamond" w:hAnsi="Garamond" w:cs="Times New Roman"/>
          <w:sz w:val="21"/>
          <w:szCs w:val="21"/>
        </w:rPr>
        <w:t xml:space="preserve"> the</w:t>
      </w:r>
      <w:r w:rsidR="002E46DA" w:rsidRPr="007213A9">
        <w:rPr>
          <w:rFonts w:ascii="Garamond" w:hAnsi="Garamond" w:cs="Times New Roman"/>
          <w:sz w:val="21"/>
          <w:szCs w:val="21"/>
        </w:rPr>
        <w:t xml:space="preserve"> Lombard Repo Facility Rate from 20% to 12% during the 1st quarter of 2015</w:t>
      </w:r>
      <w:r w:rsidR="002E46DA" w:rsidRPr="004E7A10">
        <w:rPr>
          <w:rFonts w:ascii="Garamond" w:hAnsi="Garamond" w:cs="Times New Roman"/>
          <w:sz w:val="21"/>
          <w:szCs w:val="21"/>
        </w:rPr>
        <w:t xml:space="preserve">. However, </w:t>
      </w:r>
      <w:r w:rsidR="007213A9">
        <w:rPr>
          <w:rFonts w:ascii="Garamond" w:hAnsi="Garamond" w:cs="Times New Roman"/>
          <w:sz w:val="21"/>
          <w:szCs w:val="21"/>
        </w:rPr>
        <w:t xml:space="preserve">driven by </w:t>
      </w:r>
      <w:r w:rsidR="002E46DA" w:rsidRPr="004E7A10">
        <w:rPr>
          <w:rFonts w:ascii="Garamond" w:hAnsi="Garamond" w:cs="Times New Roman"/>
          <w:sz w:val="21"/>
          <w:szCs w:val="21"/>
        </w:rPr>
        <w:t xml:space="preserve">investment risks and growing interest rate trends in developing countries, the Central Bank raised the Refinancing Rate </w:t>
      </w:r>
      <w:r w:rsidR="007213A9">
        <w:rPr>
          <w:rFonts w:ascii="Garamond" w:hAnsi="Garamond" w:cs="Times New Roman"/>
          <w:sz w:val="21"/>
          <w:szCs w:val="21"/>
        </w:rPr>
        <w:t xml:space="preserve">in January and February each time by 1 pp </w:t>
      </w:r>
      <w:r w:rsidR="002E46DA" w:rsidRPr="004E7A10">
        <w:rPr>
          <w:rFonts w:ascii="Garamond" w:hAnsi="Garamond" w:cs="Times New Roman"/>
          <w:sz w:val="21"/>
          <w:szCs w:val="21"/>
        </w:rPr>
        <w:t>to 10.5%</w:t>
      </w:r>
      <w:r w:rsidR="007213A9">
        <w:rPr>
          <w:rFonts w:ascii="Garamond" w:hAnsi="Garamond" w:cs="Times New Roman"/>
          <w:sz w:val="21"/>
          <w:szCs w:val="21"/>
        </w:rPr>
        <w:t xml:space="preserve">. This action helped </w:t>
      </w:r>
      <w:r w:rsidR="002E46DA" w:rsidRPr="004E7A10">
        <w:rPr>
          <w:rFonts w:ascii="Garamond" w:hAnsi="Garamond" w:cs="Times New Roman"/>
          <w:color w:val="000000"/>
          <w:sz w:val="21"/>
          <w:szCs w:val="21"/>
        </w:rPr>
        <w:t xml:space="preserve">the Lombard Repo Facility Rate </w:t>
      </w:r>
      <w:r w:rsidR="007213A9">
        <w:rPr>
          <w:rFonts w:ascii="Garamond" w:hAnsi="Garamond" w:cs="Times New Roman"/>
          <w:color w:val="000000"/>
          <w:sz w:val="21"/>
          <w:szCs w:val="21"/>
        </w:rPr>
        <w:t xml:space="preserve">to </w:t>
      </w:r>
      <w:r w:rsidR="002E46DA" w:rsidRPr="004E7A10">
        <w:rPr>
          <w:rFonts w:ascii="Garamond" w:hAnsi="Garamond" w:cs="Times New Roman"/>
          <w:color w:val="000000"/>
          <w:sz w:val="21"/>
          <w:szCs w:val="21"/>
        </w:rPr>
        <w:t>again uphold an accepted 1.5 percentage point spread from the Refinancing Rate</w:t>
      </w:r>
      <w:r w:rsidR="007213A9" w:rsidRPr="007213A9">
        <w:rPr>
          <w:rFonts w:ascii="Garamond" w:hAnsi="Garamond" w:cs="Times New Roman"/>
          <w:sz w:val="21"/>
          <w:szCs w:val="21"/>
        </w:rPr>
        <w:t xml:space="preserve"> </w:t>
      </w:r>
      <w:r w:rsidR="007213A9">
        <w:rPr>
          <w:rFonts w:ascii="Garamond" w:hAnsi="Garamond" w:cs="Times New Roman"/>
          <w:sz w:val="21"/>
          <w:szCs w:val="21"/>
        </w:rPr>
        <w:t>and reduce</w:t>
      </w:r>
      <w:r w:rsidR="007213A9" w:rsidRPr="004E7A10">
        <w:rPr>
          <w:rFonts w:ascii="Garamond" w:hAnsi="Garamond" w:cs="Times New Roman"/>
          <w:sz w:val="21"/>
          <w:szCs w:val="21"/>
        </w:rPr>
        <w:t xml:space="preserve"> </w:t>
      </w:r>
      <w:r w:rsidR="007213A9">
        <w:rPr>
          <w:rFonts w:ascii="Garamond" w:hAnsi="Garamond" w:cs="Times New Roman"/>
          <w:sz w:val="21"/>
          <w:szCs w:val="21"/>
        </w:rPr>
        <w:t xml:space="preserve">the </w:t>
      </w:r>
      <w:r w:rsidR="007213A9" w:rsidRPr="004E7A10">
        <w:rPr>
          <w:rFonts w:ascii="Garamond" w:hAnsi="Garamond" w:cs="Times New Roman"/>
          <w:sz w:val="21"/>
          <w:szCs w:val="21"/>
        </w:rPr>
        <w:t>spread between the policy rate and short-term market rates</w:t>
      </w:r>
      <w:r w:rsidR="005D1A6C">
        <w:rPr>
          <w:rFonts w:ascii="Garamond" w:hAnsi="Garamond" w:cs="Times New Roman"/>
          <w:sz w:val="21"/>
          <w:szCs w:val="21"/>
        </w:rPr>
        <w:t xml:space="preserve"> </w:t>
      </w:r>
      <w:r w:rsidR="005D1A6C" w:rsidRPr="00723379">
        <w:rPr>
          <w:rFonts w:ascii="Garamond" w:hAnsi="Garamond" w:cs="Times New Roman"/>
          <w:b/>
          <w:sz w:val="21"/>
          <w:szCs w:val="21"/>
        </w:rPr>
        <w:t xml:space="preserve">in order to </w:t>
      </w:r>
      <w:r w:rsidR="007213A9" w:rsidRPr="00723379">
        <w:rPr>
          <w:rFonts w:ascii="Garamond" w:hAnsi="Garamond" w:cs="Times New Roman"/>
          <w:b/>
          <w:sz w:val="21"/>
          <w:szCs w:val="21"/>
        </w:rPr>
        <w:t>restor</w:t>
      </w:r>
      <w:r w:rsidR="005D1A6C" w:rsidRPr="00723379">
        <w:rPr>
          <w:rFonts w:ascii="Garamond" w:hAnsi="Garamond" w:cs="Times New Roman"/>
          <w:b/>
          <w:sz w:val="21"/>
          <w:szCs w:val="21"/>
        </w:rPr>
        <w:t>e</w:t>
      </w:r>
      <w:r w:rsidR="007213A9" w:rsidRPr="00723379">
        <w:rPr>
          <w:rFonts w:ascii="Garamond" w:hAnsi="Garamond" w:cs="Times New Roman"/>
          <w:b/>
          <w:sz w:val="21"/>
          <w:szCs w:val="21"/>
        </w:rPr>
        <w:t xml:space="preserve"> the leading role of the Refinancing Rate in the market</w:t>
      </w:r>
      <w:r w:rsidR="007213A9" w:rsidRPr="004E7A10">
        <w:rPr>
          <w:rFonts w:ascii="Garamond" w:hAnsi="Garamond" w:cs="Times New Roman"/>
          <w:sz w:val="21"/>
          <w:szCs w:val="21"/>
        </w:rPr>
        <w:t xml:space="preserve"> thus contributing to the stabilization of the financial market and fulfillment of the inflation target in the medium run.</w:t>
      </w:r>
    </w:p>
    <w:p w14:paraId="57AFFBE0" w14:textId="77777777" w:rsidR="00D33774" w:rsidRPr="00CA3C92" w:rsidRDefault="00D33774" w:rsidP="00A9653E">
      <w:pPr>
        <w:spacing w:line="360" w:lineRule="auto"/>
        <w:jc w:val="both"/>
        <w:rPr>
          <w:rFonts w:ascii="Garamond" w:hAnsi="Garamond" w:cs="Times New Roman"/>
          <w:sz w:val="21"/>
          <w:szCs w:val="21"/>
        </w:rPr>
      </w:pPr>
      <w:r>
        <w:rPr>
          <w:rFonts w:ascii="Garamond" w:hAnsi="Garamond" w:cs="Times New Roman"/>
          <w:sz w:val="21"/>
          <w:szCs w:val="21"/>
        </w:rPr>
        <w:t>T</w:t>
      </w:r>
      <w:r w:rsidRPr="00D33774">
        <w:rPr>
          <w:rFonts w:ascii="Garamond" w:hAnsi="Garamond" w:cs="Times New Roman"/>
          <w:sz w:val="21"/>
          <w:szCs w:val="21"/>
        </w:rPr>
        <w:t xml:space="preserve">he actions </w:t>
      </w:r>
      <w:r>
        <w:rPr>
          <w:rFonts w:ascii="Garamond" w:hAnsi="Garamond" w:cs="Times New Roman"/>
          <w:sz w:val="21"/>
          <w:szCs w:val="21"/>
        </w:rPr>
        <w:t xml:space="preserve">successfully </w:t>
      </w:r>
      <w:r w:rsidRPr="00D33774">
        <w:rPr>
          <w:rFonts w:ascii="Garamond" w:hAnsi="Garamond" w:cs="Times New Roman"/>
          <w:sz w:val="21"/>
          <w:szCs w:val="21"/>
        </w:rPr>
        <w:t xml:space="preserve">taken by the Central Bank </w:t>
      </w:r>
      <w:r>
        <w:rPr>
          <w:rFonts w:ascii="Garamond" w:hAnsi="Garamond" w:cs="Times New Roman"/>
          <w:sz w:val="21"/>
          <w:szCs w:val="21"/>
        </w:rPr>
        <w:t xml:space="preserve">during the quarter to </w:t>
      </w:r>
      <w:r w:rsidRPr="00D33774">
        <w:rPr>
          <w:rFonts w:ascii="Garamond" w:hAnsi="Garamond" w:cs="Times New Roman"/>
          <w:sz w:val="21"/>
          <w:szCs w:val="21"/>
        </w:rPr>
        <w:t>wea</w:t>
      </w:r>
      <w:r>
        <w:rPr>
          <w:rFonts w:ascii="Garamond" w:hAnsi="Garamond" w:cs="Times New Roman"/>
          <w:sz w:val="21"/>
          <w:szCs w:val="21"/>
        </w:rPr>
        <w:t xml:space="preserve">ther the tension spilled over from the </w:t>
      </w:r>
      <w:r w:rsidRPr="00D33774">
        <w:rPr>
          <w:rFonts w:ascii="Garamond" w:hAnsi="Garamond" w:cs="Times New Roman"/>
          <w:sz w:val="21"/>
          <w:szCs w:val="21"/>
        </w:rPr>
        <w:t xml:space="preserve">outside world </w:t>
      </w:r>
      <w:r>
        <w:rPr>
          <w:rFonts w:ascii="Garamond" w:hAnsi="Garamond" w:cs="Times New Roman"/>
          <w:sz w:val="21"/>
          <w:szCs w:val="21"/>
        </w:rPr>
        <w:t xml:space="preserve">in </w:t>
      </w:r>
      <w:r w:rsidRPr="00D33774">
        <w:rPr>
          <w:rFonts w:ascii="Garamond" w:hAnsi="Garamond" w:cs="Times New Roman"/>
          <w:sz w:val="21"/>
          <w:szCs w:val="21"/>
        </w:rPr>
        <w:t>November-December</w:t>
      </w:r>
      <w:r>
        <w:rPr>
          <w:rFonts w:ascii="Garamond" w:hAnsi="Garamond" w:cs="Times New Roman"/>
          <w:sz w:val="21"/>
          <w:szCs w:val="21"/>
        </w:rPr>
        <w:t xml:space="preserve"> 2014</w:t>
      </w:r>
      <w:r w:rsidRPr="00D33774">
        <w:rPr>
          <w:rFonts w:ascii="Garamond" w:hAnsi="Garamond" w:cs="Times New Roman"/>
          <w:sz w:val="21"/>
          <w:szCs w:val="21"/>
        </w:rPr>
        <w:t xml:space="preserve"> </w:t>
      </w:r>
      <w:r>
        <w:rPr>
          <w:rFonts w:ascii="Garamond" w:hAnsi="Garamond" w:cs="Times New Roman"/>
          <w:sz w:val="21"/>
          <w:szCs w:val="21"/>
        </w:rPr>
        <w:t xml:space="preserve">brought about reduced </w:t>
      </w:r>
      <w:r w:rsidRPr="00D33774">
        <w:rPr>
          <w:rFonts w:ascii="Garamond" w:hAnsi="Garamond" w:cs="Times New Roman"/>
          <w:sz w:val="21"/>
          <w:szCs w:val="21"/>
        </w:rPr>
        <w:t>short-term interest rates</w:t>
      </w:r>
      <w:r w:rsidR="00BC72DB">
        <w:rPr>
          <w:rFonts w:ascii="Garamond" w:hAnsi="Garamond" w:cs="Times New Roman"/>
          <w:sz w:val="21"/>
          <w:szCs w:val="21"/>
        </w:rPr>
        <w:t xml:space="preserve">, on the one hand, and </w:t>
      </w:r>
      <w:r w:rsidR="00BC72DB" w:rsidRPr="00D33774">
        <w:rPr>
          <w:rFonts w:ascii="Garamond" w:hAnsi="Garamond" w:cs="Times New Roman"/>
          <w:sz w:val="21"/>
          <w:szCs w:val="21"/>
        </w:rPr>
        <w:t xml:space="preserve">relatively </w:t>
      </w:r>
      <w:r w:rsidR="00BC72DB">
        <w:rPr>
          <w:rFonts w:ascii="Garamond" w:hAnsi="Garamond" w:cs="Times New Roman"/>
          <w:sz w:val="21"/>
          <w:szCs w:val="21"/>
        </w:rPr>
        <w:t xml:space="preserve">a </w:t>
      </w:r>
      <w:r w:rsidR="00BC72DB" w:rsidRPr="00D33774">
        <w:rPr>
          <w:rFonts w:ascii="Garamond" w:hAnsi="Garamond" w:cs="Times New Roman"/>
          <w:sz w:val="21"/>
          <w:szCs w:val="21"/>
        </w:rPr>
        <w:t>stable</w:t>
      </w:r>
      <w:r w:rsidR="00BC72DB" w:rsidRPr="00BC72DB">
        <w:rPr>
          <w:rFonts w:ascii="Garamond" w:hAnsi="Garamond" w:cs="Times New Roman"/>
          <w:sz w:val="21"/>
          <w:szCs w:val="21"/>
        </w:rPr>
        <w:t xml:space="preserve"> </w:t>
      </w:r>
      <w:r w:rsidR="00BC72DB">
        <w:rPr>
          <w:rFonts w:ascii="Garamond" w:hAnsi="Garamond" w:cs="Times New Roman"/>
          <w:sz w:val="21"/>
          <w:szCs w:val="21"/>
        </w:rPr>
        <w:t xml:space="preserve">domestic </w:t>
      </w:r>
      <w:r w:rsidR="00BC72DB" w:rsidRPr="00D33774">
        <w:rPr>
          <w:rFonts w:ascii="Garamond" w:hAnsi="Garamond" w:cs="Times New Roman"/>
          <w:sz w:val="21"/>
          <w:szCs w:val="21"/>
        </w:rPr>
        <w:t>exchange rate</w:t>
      </w:r>
      <w:r w:rsidRPr="00D33774">
        <w:rPr>
          <w:rFonts w:ascii="Garamond" w:hAnsi="Garamond" w:cs="Times New Roman"/>
          <w:sz w:val="21"/>
          <w:szCs w:val="21"/>
        </w:rPr>
        <w:t xml:space="preserve"> behavior</w:t>
      </w:r>
      <w:r w:rsidR="00BC72DB">
        <w:rPr>
          <w:rFonts w:ascii="Garamond" w:hAnsi="Garamond" w:cs="Times New Roman"/>
          <w:sz w:val="21"/>
          <w:szCs w:val="21"/>
        </w:rPr>
        <w:t>, on the other</w:t>
      </w:r>
      <w:r w:rsidRPr="00D33774">
        <w:rPr>
          <w:rFonts w:ascii="Garamond" w:hAnsi="Garamond" w:cs="Times New Roman"/>
          <w:sz w:val="21"/>
          <w:szCs w:val="21"/>
        </w:rPr>
        <w:t>.</w:t>
      </w:r>
    </w:p>
    <w:p w14:paraId="155E9712" w14:textId="77777777" w:rsidR="00CD3C39" w:rsidRPr="004E7A10" w:rsidRDefault="002A4469" w:rsidP="00A9653E">
      <w:pPr>
        <w:spacing w:line="360" w:lineRule="auto"/>
        <w:jc w:val="both"/>
        <w:rPr>
          <w:rStyle w:val="longtext"/>
          <w:rFonts w:ascii="Garamond" w:hAnsi="Garamond" w:cs="Times New Roman"/>
          <w:color w:val="000000"/>
          <w:sz w:val="21"/>
          <w:szCs w:val="21"/>
          <w:shd w:val="clear" w:color="auto" w:fill="FFFFFF"/>
        </w:rPr>
      </w:pPr>
      <w:r>
        <w:rPr>
          <w:rStyle w:val="longtext"/>
          <w:rFonts w:ascii="Garamond" w:hAnsi="Garamond" w:cs="Times New Roman"/>
          <w:color w:val="000000"/>
          <w:sz w:val="21"/>
          <w:szCs w:val="21"/>
          <w:shd w:val="clear" w:color="auto" w:fill="FFFFFF"/>
        </w:rPr>
        <w:t>In the 1st</w:t>
      </w:r>
      <w:r w:rsidR="00981DDB" w:rsidRPr="004E7A10">
        <w:rPr>
          <w:rStyle w:val="longtext"/>
          <w:rFonts w:ascii="Garamond" w:hAnsi="Garamond" w:cs="Times New Roman"/>
          <w:color w:val="000000"/>
          <w:sz w:val="21"/>
          <w:szCs w:val="21"/>
          <w:shd w:val="clear" w:color="auto" w:fill="FFFFFF"/>
        </w:rPr>
        <w:t xml:space="preserve"> quarter</w:t>
      </w:r>
      <w:r>
        <w:rPr>
          <w:rStyle w:val="longtext"/>
          <w:rFonts w:ascii="Garamond" w:hAnsi="Garamond" w:cs="Times New Roman"/>
          <w:color w:val="000000"/>
          <w:sz w:val="21"/>
          <w:szCs w:val="21"/>
          <w:shd w:val="clear" w:color="auto" w:fill="FFFFFF"/>
        </w:rPr>
        <w:t xml:space="preserve"> of 2015</w:t>
      </w:r>
      <w:r w:rsidR="00981DDB" w:rsidRPr="004E7A10">
        <w:rPr>
          <w:rStyle w:val="longtext"/>
          <w:rFonts w:ascii="Garamond" w:hAnsi="Garamond" w:cs="Times New Roman"/>
          <w:color w:val="000000"/>
          <w:sz w:val="21"/>
          <w:szCs w:val="21"/>
          <w:shd w:val="clear" w:color="auto" w:fill="FFFFFF"/>
        </w:rPr>
        <w:t xml:space="preserve">, the </w:t>
      </w:r>
      <w:r w:rsidR="00981DDB" w:rsidRPr="003C473C">
        <w:rPr>
          <w:rStyle w:val="longtext"/>
          <w:rFonts w:ascii="Garamond" w:hAnsi="Garamond" w:cs="Times New Roman"/>
          <w:color w:val="000000"/>
          <w:sz w:val="21"/>
          <w:szCs w:val="21"/>
          <w:shd w:val="clear" w:color="auto" w:fill="FFFFFF"/>
        </w:rPr>
        <w:t>7-day R</w:t>
      </w:r>
      <w:r w:rsidR="00A9653E" w:rsidRPr="003C473C">
        <w:rPr>
          <w:rStyle w:val="longtext"/>
          <w:rFonts w:ascii="Garamond" w:hAnsi="Garamond" w:cs="Times New Roman"/>
          <w:color w:val="000000"/>
          <w:sz w:val="21"/>
          <w:szCs w:val="21"/>
          <w:shd w:val="clear" w:color="auto" w:fill="FFFFFF"/>
        </w:rPr>
        <w:t xml:space="preserve">epo </w:t>
      </w:r>
      <w:r w:rsidR="00981DDB" w:rsidRPr="003C473C">
        <w:rPr>
          <w:rStyle w:val="longtext"/>
          <w:rFonts w:ascii="Garamond" w:hAnsi="Garamond" w:cs="Times New Roman"/>
          <w:color w:val="000000"/>
          <w:sz w:val="21"/>
          <w:szCs w:val="21"/>
          <w:shd w:val="clear" w:color="auto" w:fill="FFFFFF"/>
        </w:rPr>
        <w:t>R</w:t>
      </w:r>
      <w:r w:rsidR="00A9653E" w:rsidRPr="003C473C">
        <w:rPr>
          <w:rStyle w:val="longtext"/>
          <w:rFonts w:ascii="Garamond" w:hAnsi="Garamond" w:cs="Times New Roman"/>
          <w:color w:val="000000"/>
          <w:sz w:val="21"/>
          <w:szCs w:val="21"/>
          <w:shd w:val="clear" w:color="auto" w:fill="FFFFFF"/>
        </w:rPr>
        <w:t xml:space="preserve">ate, </w:t>
      </w:r>
      <w:r w:rsidR="00CD3C39" w:rsidRPr="003C473C">
        <w:rPr>
          <w:rStyle w:val="longtext"/>
          <w:rFonts w:ascii="Garamond" w:hAnsi="Garamond" w:cs="Times New Roman"/>
          <w:color w:val="000000"/>
          <w:sz w:val="21"/>
          <w:szCs w:val="21"/>
          <w:shd w:val="clear" w:color="auto" w:fill="FFFFFF"/>
        </w:rPr>
        <w:t>the</w:t>
      </w:r>
      <w:r w:rsidR="00CD3C39" w:rsidRPr="004E7A10">
        <w:rPr>
          <w:rStyle w:val="longtext"/>
          <w:rFonts w:ascii="Garamond" w:hAnsi="Garamond" w:cs="Times New Roman"/>
          <w:color w:val="000000"/>
          <w:sz w:val="21"/>
          <w:szCs w:val="21"/>
          <w:shd w:val="clear" w:color="auto" w:fill="FFFFFF"/>
        </w:rPr>
        <w:t xml:space="preserve"> </w:t>
      </w:r>
      <w:r w:rsidR="00A9653E" w:rsidRPr="004E7A10">
        <w:rPr>
          <w:rStyle w:val="longtext"/>
          <w:rFonts w:ascii="Garamond" w:hAnsi="Garamond" w:cs="Times New Roman"/>
          <w:color w:val="000000"/>
          <w:sz w:val="21"/>
          <w:szCs w:val="21"/>
          <w:shd w:val="clear" w:color="auto" w:fill="FFFFFF"/>
        </w:rPr>
        <w:t xml:space="preserve">main </w:t>
      </w:r>
      <w:r w:rsidR="00CD3C39" w:rsidRPr="004E7A10">
        <w:rPr>
          <w:rStyle w:val="longtext"/>
          <w:rFonts w:ascii="Garamond" w:hAnsi="Garamond" w:cs="Times New Roman"/>
          <w:color w:val="000000"/>
          <w:sz w:val="21"/>
          <w:szCs w:val="21"/>
          <w:shd w:val="clear" w:color="auto" w:fill="FFFFFF"/>
        </w:rPr>
        <w:t xml:space="preserve">policy </w:t>
      </w:r>
      <w:r w:rsidR="00A9653E" w:rsidRPr="004E7A10">
        <w:rPr>
          <w:rStyle w:val="longtext"/>
          <w:rFonts w:ascii="Garamond" w:hAnsi="Garamond" w:cs="Times New Roman"/>
          <w:color w:val="000000"/>
          <w:sz w:val="21"/>
          <w:szCs w:val="21"/>
          <w:shd w:val="clear" w:color="auto" w:fill="FFFFFF"/>
        </w:rPr>
        <w:t xml:space="preserve">instrument of the Central Bank, </w:t>
      </w:r>
      <w:r w:rsidR="003C473C">
        <w:rPr>
          <w:rStyle w:val="longtext"/>
          <w:rFonts w:ascii="Garamond" w:hAnsi="Garamond" w:cs="Times New Roman"/>
          <w:color w:val="000000"/>
          <w:sz w:val="21"/>
          <w:szCs w:val="21"/>
          <w:shd w:val="clear" w:color="auto" w:fill="FFFFFF"/>
        </w:rPr>
        <w:t xml:space="preserve">floated around </w:t>
      </w:r>
      <w:r w:rsidR="003C473C" w:rsidRPr="004E7A10">
        <w:rPr>
          <w:rFonts w:ascii="Garamond" w:hAnsi="Garamond" w:cs="Times New Roman"/>
          <w:sz w:val="21"/>
          <w:szCs w:val="21"/>
        </w:rPr>
        <w:t>the Lombard Repo Facility Rate</w:t>
      </w:r>
      <w:r w:rsidR="003C473C">
        <w:rPr>
          <w:rFonts w:ascii="Garamond" w:hAnsi="Garamond" w:cs="Times New Roman"/>
          <w:sz w:val="21"/>
          <w:szCs w:val="21"/>
        </w:rPr>
        <w:t xml:space="preserve"> of the Central Bank. </w:t>
      </w:r>
      <w:r w:rsidR="006F415E" w:rsidRPr="004E7A10">
        <w:rPr>
          <w:rFonts w:ascii="Garamond" w:hAnsi="Garamond" w:cs="Times New Roman"/>
          <w:sz w:val="21"/>
          <w:szCs w:val="21"/>
        </w:rPr>
        <w:t xml:space="preserve">As a result, </w:t>
      </w:r>
      <w:r w:rsidR="00A9653E" w:rsidRPr="004E7A10">
        <w:rPr>
          <w:rStyle w:val="longtext"/>
          <w:rFonts w:ascii="Garamond" w:hAnsi="Garamond" w:cs="Times New Roman"/>
          <w:color w:val="000000"/>
          <w:sz w:val="21"/>
          <w:szCs w:val="21"/>
          <w:shd w:val="clear" w:color="auto" w:fill="FFFFFF"/>
        </w:rPr>
        <w:t xml:space="preserve">the average </w:t>
      </w:r>
      <w:r w:rsidR="003C473C">
        <w:rPr>
          <w:rStyle w:val="longtext"/>
          <w:rFonts w:ascii="Garamond" w:hAnsi="Garamond" w:cs="Times New Roman"/>
          <w:color w:val="000000"/>
          <w:sz w:val="21"/>
          <w:szCs w:val="21"/>
          <w:shd w:val="clear" w:color="auto" w:fill="FFFFFF"/>
        </w:rPr>
        <w:t>March</w:t>
      </w:r>
      <w:r w:rsidR="006F415E" w:rsidRPr="004E7A10">
        <w:rPr>
          <w:rStyle w:val="longtext"/>
          <w:rFonts w:ascii="Garamond" w:hAnsi="Garamond" w:cs="Times New Roman"/>
          <w:color w:val="000000"/>
          <w:sz w:val="21"/>
          <w:szCs w:val="21"/>
          <w:shd w:val="clear" w:color="auto" w:fill="FFFFFF"/>
        </w:rPr>
        <w:t xml:space="preserve"> </w:t>
      </w:r>
      <w:r w:rsidR="00A9653E" w:rsidRPr="004E7A10">
        <w:rPr>
          <w:rStyle w:val="longtext"/>
          <w:rFonts w:ascii="Garamond" w:hAnsi="Garamond" w:cs="Times New Roman"/>
          <w:color w:val="000000"/>
          <w:sz w:val="21"/>
          <w:szCs w:val="21"/>
          <w:shd w:val="clear" w:color="auto" w:fill="FFFFFF"/>
        </w:rPr>
        <w:t xml:space="preserve">rate </w:t>
      </w:r>
      <w:r w:rsidR="006F415E" w:rsidRPr="004E7A10">
        <w:rPr>
          <w:rStyle w:val="longtext"/>
          <w:rFonts w:ascii="Garamond" w:hAnsi="Garamond" w:cs="Times New Roman"/>
          <w:color w:val="000000"/>
          <w:sz w:val="21"/>
          <w:szCs w:val="21"/>
          <w:shd w:val="clear" w:color="auto" w:fill="FFFFFF"/>
        </w:rPr>
        <w:t xml:space="preserve">has </w:t>
      </w:r>
      <w:r w:rsidR="003C473C">
        <w:rPr>
          <w:rStyle w:val="longtext"/>
          <w:rFonts w:ascii="Garamond" w:hAnsi="Garamond" w:cs="Times New Roman"/>
          <w:color w:val="000000"/>
          <w:sz w:val="21"/>
          <w:szCs w:val="21"/>
          <w:shd w:val="clear" w:color="auto" w:fill="FFFFFF"/>
        </w:rPr>
        <w:t xml:space="preserve">reduced </w:t>
      </w:r>
      <w:r w:rsidR="006F415E" w:rsidRPr="004E7A10">
        <w:rPr>
          <w:rStyle w:val="longtext"/>
          <w:rFonts w:ascii="Garamond" w:hAnsi="Garamond" w:cs="Times New Roman"/>
          <w:color w:val="000000"/>
          <w:sz w:val="21"/>
          <w:szCs w:val="21"/>
          <w:shd w:val="clear" w:color="auto" w:fill="FFFFFF"/>
        </w:rPr>
        <w:t xml:space="preserve">by </w:t>
      </w:r>
      <w:r w:rsidR="003C473C">
        <w:rPr>
          <w:rStyle w:val="longtext"/>
          <w:rFonts w:ascii="Garamond" w:hAnsi="Garamond" w:cs="Times New Roman"/>
          <w:color w:val="000000"/>
          <w:sz w:val="21"/>
          <w:szCs w:val="21"/>
          <w:shd w:val="clear" w:color="auto" w:fill="FFFFFF"/>
        </w:rPr>
        <w:t>7</w:t>
      </w:r>
      <w:r w:rsidR="006F415E" w:rsidRPr="004E7A10">
        <w:rPr>
          <w:rStyle w:val="longtext"/>
          <w:rFonts w:ascii="Garamond" w:hAnsi="Garamond" w:cs="Times New Roman"/>
          <w:color w:val="000000"/>
          <w:sz w:val="21"/>
          <w:szCs w:val="21"/>
          <w:shd w:val="clear" w:color="auto" w:fill="FFFFFF"/>
        </w:rPr>
        <w:t>.</w:t>
      </w:r>
      <w:r w:rsidR="003C473C">
        <w:rPr>
          <w:rStyle w:val="longtext"/>
          <w:rFonts w:ascii="Garamond" w:hAnsi="Garamond" w:cs="Times New Roman"/>
          <w:color w:val="000000"/>
          <w:sz w:val="21"/>
          <w:szCs w:val="21"/>
          <w:shd w:val="clear" w:color="auto" w:fill="FFFFFF"/>
        </w:rPr>
        <w:t>4</w:t>
      </w:r>
      <w:r w:rsidR="006F415E" w:rsidRPr="004E7A10">
        <w:rPr>
          <w:rStyle w:val="longtext"/>
          <w:rFonts w:ascii="Garamond" w:hAnsi="Garamond" w:cs="Times New Roman"/>
          <w:color w:val="000000"/>
          <w:sz w:val="21"/>
          <w:szCs w:val="21"/>
          <w:shd w:val="clear" w:color="auto" w:fill="FFFFFF"/>
        </w:rPr>
        <w:t xml:space="preserve"> pp </w:t>
      </w:r>
      <w:r w:rsidR="00173515" w:rsidRPr="004E7A10">
        <w:rPr>
          <w:rStyle w:val="longtext"/>
          <w:rFonts w:ascii="Garamond" w:hAnsi="Garamond" w:cs="Times New Roman"/>
          <w:color w:val="000000"/>
          <w:sz w:val="21"/>
          <w:szCs w:val="21"/>
          <w:shd w:val="clear" w:color="auto" w:fill="FFFFFF"/>
        </w:rPr>
        <w:t xml:space="preserve">against </w:t>
      </w:r>
      <w:r w:rsidR="003C473C">
        <w:rPr>
          <w:rStyle w:val="longtext"/>
          <w:rFonts w:ascii="Garamond" w:hAnsi="Garamond" w:cs="Times New Roman"/>
          <w:color w:val="000000"/>
          <w:sz w:val="21"/>
          <w:szCs w:val="21"/>
          <w:shd w:val="clear" w:color="auto" w:fill="FFFFFF"/>
        </w:rPr>
        <w:t>December</w:t>
      </w:r>
      <w:r w:rsidR="006F415E" w:rsidRPr="004E7A10">
        <w:rPr>
          <w:rStyle w:val="longtext"/>
          <w:rFonts w:ascii="Garamond" w:hAnsi="Garamond" w:cs="Times New Roman"/>
          <w:color w:val="000000"/>
          <w:sz w:val="21"/>
          <w:szCs w:val="21"/>
          <w:shd w:val="clear" w:color="auto" w:fill="FFFFFF"/>
        </w:rPr>
        <w:t xml:space="preserve"> and amounted to </w:t>
      </w:r>
      <w:r w:rsidR="003C473C">
        <w:rPr>
          <w:rStyle w:val="longtext"/>
          <w:rFonts w:ascii="Garamond" w:hAnsi="Garamond" w:cs="Times New Roman"/>
          <w:color w:val="000000"/>
          <w:sz w:val="21"/>
          <w:szCs w:val="21"/>
          <w:shd w:val="clear" w:color="auto" w:fill="FFFFFF"/>
        </w:rPr>
        <w:t>13</w:t>
      </w:r>
      <w:r w:rsidR="006F415E" w:rsidRPr="004E7A10">
        <w:rPr>
          <w:rStyle w:val="longtext"/>
          <w:rFonts w:ascii="Garamond" w:hAnsi="Garamond" w:cs="Times New Roman"/>
          <w:color w:val="000000"/>
          <w:sz w:val="21"/>
          <w:szCs w:val="21"/>
          <w:shd w:val="clear" w:color="auto" w:fill="FFFFFF"/>
        </w:rPr>
        <w:t>.1</w:t>
      </w:r>
      <w:r w:rsidR="003C473C">
        <w:rPr>
          <w:rStyle w:val="longtext"/>
          <w:rFonts w:ascii="Garamond" w:hAnsi="Garamond" w:cs="Times New Roman"/>
          <w:color w:val="000000"/>
          <w:sz w:val="21"/>
          <w:szCs w:val="21"/>
          <w:shd w:val="clear" w:color="auto" w:fill="FFFFFF"/>
        </w:rPr>
        <w:t>6</w:t>
      </w:r>
      <w:r w:rsidR="006F415E" w:rsidRPr="004E7A10">
        <w:rPr>
          <w:rStyle w:val="longtext"/>
          <w:rFonts w:ascii="Garamond" w:hAnsi="Garamond" w:cs="Times New Roman"/>
          <w:color w:val="000000"/>
          <w:sz w:val="21"/>
          <w:szCs w:val="21"/>
          <w:shd w:val="clear" w:color="auto" w:fill="FFFFFF"/>
        </w:rPr>
        <w:t xml:space="preserve">%. </w:t>
      </w:r>
    </w:p>
    <w:tbl>
      <w:tblPr>
        <w:tblW w:w="6230" w:type="dxa"/>
        <w:tblInd w:w="13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1109"/>
        <w:gridCol w:w="993"/>
        <w:gridCol w:w="799"/>
        <w:gridCol w:w="902"/>
        <w:gridCol w:w="735"/>
        <w:gridCol w:w="937"/>
        <w:gridCol w:w="755"/>
      </w:tblGrid>
      <w:tr w:rsidR="00AD6187" w:rsidRPr="004E7A10" w14:paraId="7F71DDA5" w14:textId="77777777" w:rsidTr="00640360">
        <w:trPr>
          <w:trHeight w:val="20"/>
        </w:trPr>
        <w:tc>
          <w:tcPr>
            <w:tcW w:w="6230" w:type="dxa"/>
            <w:gridSpan w:val="7"/>
            <w:shd w:val="clear" w:color="auto" w:fill="auto"/>
          </w:tcPr>
          <w:p w14:paraId="68D64715" w14:textId="77777777" w:rsidR="00AD6187" w:rsidRPr="004E7A10" w:rsidRDefault="00AD6187" w:rsidP="00AD6187">
            <w:pPr>
              <w:spacing w:before="40" w:after="40"/>
              <w:ind w:left="-57" w:right="-57"/>
              <w:jc w:val="center"/>
              <w:rPr>
                <w:rFonts w:ascii="Garamond" w:hAnsi="Garamond" w:cs="Times New Roman"/>
                <w:b/>
                <w:sz w:val="18"/>
                <w:szCs w:val="18"/>
                <w:lang w:val="hy-AM"/>
              </w:rPr>
            </w:pPr>
            <w:r w:rsidRPr="004E7A10">
              <w:rPr>
                <w:rFonts w:ascii="Garamond" w:hAnsi="Garamond" w:cs="Times New Roman"/>
                <w:b/>
                <w:sz w:val="18"/>
                <w:szCs w:val="18"/>
                <w:lang w:val="es-AR"/>
              </w:rPr>
              <w:t>Operations carried out by the Central Bank (average value)</w:t>
            </w:r>
          </w:p>
        </w:tc>
      </w:tr>
      <w:tr w:rsidR="00AD6187" w:rsidRPr="004E7A10" w14:paraId="6CD00E8D" w14:textId="77777777" w:rsidTr="00640360">
        <w:trPr>
          <w:trHeight w:val="20"/>
        </w:trPr>
        <w:tc>
          <w:tcPr>
            <w:tcW w:w="1109" w:type="dxa"/>
            <w:vMerge w:val="restart"/>
            <w:shd w:val="clear" w:color="auto" w:fill="auto"/>
          </w:tcPr>
          <w:p w14:paraId="4E510E28" w14:textId="77777777" w:rsidR="00AD6187" w:rsidRPr="004E7A10" w:rsidRDefault="00AD6187" w:rsidP="00640360">
            <w:pPr>
              <w:spacing w:before="40" w:after="40"/>
              <w:ind w:left="-57" w:right="-57"/>
              <w:rPr>
                <w:rFonts w:ascii="Garamond" w:hAnsi="Garamond" w:cs="Times New Roman"/>
                <w:sz w:val="18"/>
                <w:szCs w:val="18"/>
              </w:rPr>
            </w:pPr>
            <w:r w:rsidRPr="004E7A10">
              <w:rPr>
                <w:rFonts w:ascii="Garamond" w:hAnsi="Garamond" w:cs="Times New Roman"/>
                <w:sz w:val="18"/>
                <w:szCs w:val="18"/>
              </w:rPr>
              <w:t>Period</w:t>
            </w:r>
          </w:p>
        </w:tc>
        <w:tc>
          <w:tcPr>
            <w:tcW w:w="1792" w:type="dxa"/>
            <w:gridSpan w:val="2"/>
            <w:shd w:val="clear" w:color="auto" w:fill="auto"/>
          </w:tcPr>
          <w:p w14:paraId="16990141" w14:textId="77777777" w:rsidR="00AD6187" w:rsidRPr="004E7A10" w:rsidRDefault="00AD6187" w:rsidP="00640360">
            <w:pPr>
              <w:spacing w:before="40" w:after="40"/>
              <w:ind w:left="-57" w:right="-57"/>
              <w:jc w:val="center"/>
              <w:rPr>
                <w:rFonts w:ascii="Garamond" w:hAnsi="Garamond" w:cs="Times New Roman"/>
                <w:sz w:val="18"/>
                <w:szCs w:val="18"/>
              </w:rPr>
            </w:pPr>
            <w:r w:rsidRPr="004E7A10">
              <w:rPr>
                <w:rFonts w:ascii="Garamond" w:hAnsi="Garamond" w:cs="Times New Roman"/>
                <w:sz w:val="18"/>
                <w:szCs w:val="18"/>
              </w:rPr>
              <w:t>Repo (up to 7 days)</w:t>
            </w:r>
          </w:p>
        </w:tc>
        <w:tc>
          <w:tcPr>
            <w:tcW w:w="1637" w:type="dxa"/>
            <w:gridSpan w:val="2"/>
            <w:shd w:val="clear" w:color="auto" w:fill="auto"/>
          </w:tcPr>
          <w:p w14:paraId="06D1E399" w14:textId="77777777" w:rsidR="00AD6187" w:rsidRPr="004E7A10" w:rsidRDefault="00AD6187" w:rsidP="00640360">
            <w:pPr>
              <w:spacing w:before="20" w:after="20"/>
              <w:jc w:val="center"/>
              <w:rPr>
                <w:rFonts w:ascii="Garamond" w:hAnsi="Garamond" w:cs="Times New Roman"/>
                <w:sz w:val="18"/>
                <w:szCs w:val="18"/>
              </w:rPr>
            </w:pPr>
            <w:r w:rsidRPr="004E7A10">
              <w:rPr>
                <w:rFonts w:ascii="Garamond" w:hAnsi="Garamond" w:cs="Times New Roman"/>
                <w:sz w:val="18"/>
                <w:szCs w:val="18"/>
              </w:rPr>
              <w:t>Funds attracted</w:t>
            </w:r>
          </w:p>
        </w:tc>
        <w:tc>
          <w:tcPr>
            <w:tcW w:w="1692" w:type="dxa"/>
            <w:gridSpan w:val="2"/>
            <w:shd w:val="clear" w:color="auto" w:fill="auto"/>
          </w:tcPr>
          <w:p w14:paraId="3D1514E9" w14:textId="77777777" w:rsidR="00AD6187" w:rsidRPr="004E7A10" w:rsidRDefault="00AD6187" w:rsidP="00640360">
            <w:pPr>
              <w:spacing w:before="20" w:after="20"/>
              <w:jc w:val="center"/>
              <w:rPr>
                <w:rFonts w:ascii="Garamond" w:hAnsi="Garamond" w:cs="Times New Roman"/>
                <w:sz w:val="18"/>
                <w:szCs w:val="18"/>
              </w:rPr>
            </w:pPr>
            <w:r w:rsidRPr="004E7A10">
              <w:rPr>
                <w:rFonts w:ascii="Garamond" w:hAnsi="Garamond" w:cs="Times New Roman"/>
                <w:sz w:val="18"/>
                <w:szCs w:val="18"/>
              </w:rPr>
              <w:t>Lombard repo</w:t>
            </w:r>
          </w:p>
        </w:tc>
      </w:tr>
      <w:tr w:rsidR="00AD6187" w:rsidRPr="004E7A10" w14:paraId="04DA571F" w14:textId="77777777" w:rsidTr="00640360">
        <w:trPr>
          <w:trHeight w:val="20"/>
        </w:trPr>
        <w:tc>
          <w:tcPr>
            <w:tcW w:w="1109" w:type="dxa"/>
            <w:vMerge/>
            <w:tcBorders>
              <w:bottom w:val="single" w:sz="4" w:space="0" w:color="auto"/>
            </w:tcBorders>
            <w:shd w:val="clear" w:color="auto" w:fill="auto"/>
          </w:tcPr>
          <w:p w14:paraId="04CB243F" w14:textId="77777777" w:rsidR="00AD6187" w:rsidRPr="004E7A10" w:rsidRDefault="00AD6187" w:rsidP="00640360">
            <w:pPr>
              <w:spacing w:before="40" w:after="40"/>
              <w:ind w:left="-57" w:right="-57"/>
              <w:rPr>
                <w:rFonts w:ascii="Garamond" w:hAnsi="Garamond" w:cs="Times New Roman"/>
                <w:sz w:val="18"/>
                <w:szCs w:val="18"/>
              </w:rPr>
            </w:pPr>
          </w:p>
        </w:tc>
        <w:tc>
          <w:tcPr>
            <w:tcW w:w="993" w:type="dxa"/>
            <w:tcBorders>
              <w:bottom w:val="single" w:sz="4" w:space="0" w:color="auto"/>
            </w:tcBorders>
            <w:shd w:val="clear" w:color="auto" w:fill="auto"/>
            <w:vAlign w:val="bottom"/>
          </w:tcPr>
          <w:p w14:paraId="003A4375"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Value</w:t>
            </w:r>
            <w:r w:rsidRPr="004E7A10">
              <w:rPr>
                <w:rFonts w:ascii="Garamond" w:hAnsi="Garamond" w:cs="Times New Roman"/>
                <w:sz w:val="16"/>
                <w:szCs w:val="16"/>
              </w:rPr>
              <w:br/>
              <w:t xml:space="preserve"> (million AMD)</w:t>
            </w:r>
          </w:p>
        </w:tc>
        <w:tc>
          <w:tcPr>
            <w:tcW w:w="799" w:type="dxa"/>
            <w:tcBorders>
              <w:bottom w:val="single" w:sz="4" w:space="0" w:color="auto"/>
            </w:tcBorders>
            <w:shd w:val="clear" w:color="auto" w:fill="auto"/>
            <w:vAlign w:val="bottom"/>
          </w:tcPr>
          <w:p w14:paraId="563A8651"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Weighted average %</w:t>
            </w:r>
          </w:p>
        </w:tc>
        <w:tc>
          <w:tcPr>
            <w:tcW w:w="902" w:type="dxa"/>
            <w:tcBorders>
              <w:bottom w:val="single" w:sz="4" w:space="0" w:color="auto"/>
            </w:tcBorders>
            <w:shd w:val="clear" w:color="auto" w:fill="auto"/>
            <w:vAlign w:val="bottom"/>
          </w:tcPr>
          <w:p w14:paraId="1E3FAEB7"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Value</w:t>
            </w:r>
            <w:r w:rsidRPr="004E7A10">
              <w:rPr>
                <w:rFonts w:ascii="Garamond" w:hAnsi="Garamond" w:cs="Times New Roman"/>
                <w:sz w:val="16"/>
                <w:szCs w:val="16"/>
              </w:rPr>
              <w:br/>
              <w:t xml:space="preserve"> (million AMD)</w:t>
            </w:r>
          </w:p>
        </w:tc>
        <w:tc>
          <w:tcPr>
            <w:tcW w:w="735" w:type="dxa"/>
            <w:tcBorders>
              <w:bottom w:val="single" w:sz="4" w:space="0" w:color="auto"/>
            </w:tcBorders>
            <w:shd w:val="clear" w:color="auto" w:fill="auto"/>
            <w:vAlign w:val="bottom"/>
          </w:tcPr>
          <w:p w14:paraId="0C1E69D1"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Weighted average %</w:t>
            </w:r>
          </w:p>
        </w:tc>
        <w:tc>
          <w:tcPr>
            <w:tcW w:w="937" w:type="dxa"/>
            <w:tcBorders>
              <w:bottom w:val="single" w:sz="4" w:space="0" w:color="auto"/>
            </w:tcBorders>
            <w:shd w:val="clear" w:color="auto" w:fill="auto"/>
            <w:vAlign w:val="bottom"/>
          </w:tcPr>
          <w:p w14:paraId="05CE2769"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Value</w:t>
            </w:r>
            <w:r w:rsidRPr="004E7A10">
              <w:rPr>
                <w:rFonts w:ascii="Garamond" w:hAnsi="Garamond" w:cs="Times New Roman"/>
                <w:sz w:val="16"/>
                <w:szCs w:val="16"/>
              </w:rPr>
              <w:br/>
              <w:t xml:space="preserve"> (million AMD)</w:t>
            </w:r>
          </w:p>
        </w:tc>
        <w:tc>
          <w:tcPr>
            <w:tcW w:w="755" w:type="dxa"/>
            <w:tcBorders>
              <w:bottom w:val="single" w:sz="4" w:space="0" w:color="auto"/>
            </w:tcBorders>
            <w:shd w:val="clear" w:color="auto" w:fill="auto"/>
            <w:vAlign w:val="bottom"/>
          </w:tcPr>
          <w:p w14:paraId="50CA8843" w14:textId="77777777" w:rsidR="00AD6187" w:rsidRPr="004E7A10" w:rsidRDefault="00AD6187" w:rsidP="00640360">
            <w:pPr>
              <w:spacing w:before="60" w:after="60"/>
              <w:ind w:left="-57" w:right="-57"/>
              <w:jc w:val="center"/>
              <w:rPr>
                <w:rFonts w:ascii="Garamond" w:hAnsi="Garamond" w:cs="Times New Roman"/>
                <w:sz w:val="16"/>
                <w:szCs w:val="16"/>
              </w:rPr>
            </w:pPr>
            <w:r w:rsidRPr="004E7A10">
              <w:rPr>
                <w:rFonts w:ascii="Garamond" w:hAnsi="Garamond" w:cs="Times New Roman"/>
                <w:sz w:val="16"/>
                <w:szCs w:val="16"/>
              </w:rPr>
              <w:t>Weighted average %</w:t>
            </w:r>
          </w:p>
        </w:tc>
      </w:tr>
      <w:tr w:rsidR="003C473C" w:rsidRPr="004E7A10" w14:paraId="2BD91A72" w14:textId="77777777" w:rsidTr="00640360">
        <w:trPr>
          <w:trHeight w:val="20"/>
        </w:trPr>
        <w:tc>
          <w:tcPr>
            <w:tcW w:w="1109" w:type="dxa"/>
            <w:shd w:val="clear" w:color="auto" w:fill="auto"/>
            <w:vAlign w:val="bottom"/>
          </w:tcPr>
          <w:p w14:paraId="474CFF80" w14:textId="77777777" w:rsidR="003C473C" w:rsidRPr="004E7A10" w:rsidRDefault="003C473C" w:rsidP="00AD6187">
            <w:pPr>
              <w:spacing w:before="40" w:after="40"/>
              <w:ind w:right="-57"/>
              <w:rPr>
                <w:rFonts w:ascii="Garamond" w:hAnsi="Garamond" w:cs="Times New Roman"/>
                <w:sz w:val="18"/>
                <w:szCs w:val="18"/>
              </w:rPr>
            </w:pPr>
            <w:r w:rsidRPr="004E7A10">
              <w:rPr>
                <w:rFonts w:ascii="Garamond" w:hAnsi="Garamond" w:cs="Times New Roman"/>
                <w:sz w:val="18"/>
                <w:szCs w:val="18"/>
              </w:rPr>
              <w:lastRenderedPageBreak/>
              <w:t xml:space="preserve">Q1 2013 </w:t>
            </w:r>
          </w:p>
        </w:tc>
        <w:tc>
          <w:tcPr>
            <w:tcW w:w="993" w:type="dxa"/>
            <w:shd w:val="clear" w:color="auto" w:fill="auto"/>
          </w:tcPr>
          <w:p w14:paraId="6FF2B70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63652.16 </w:t>
            </w:r>
          </w:p>
        </w:tc>
        <w:tc>
          <w:tcPr>
            <w:tcW w:w="799" w:type="dxa"/>
            <w:shd w:val="clear" w:color="auto" w:fill="auto"/>
            <w:vAlign w:val="bottom"/>
          </w:tcPr>
          <w:p w14:paraId="4D64661A"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8.09</w:t>
            </w:r>
          </w:p>
        </w:tc>
        <w:tc>
          <w:tcPr>
            <w:tcW w:w="902" w:type="dxa"/>
            <w:shd w:val="clear" w:color="auto" w:fill="auto"/>
          </w:tcPr>
          <w:p w14:paraId="1FADD647"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2518.46 </w:t>
            </w:r>
          </w:p>
        </w:tc>
        <w:tc>
          <w:tcPr>
            <w:tcW w:w="735" w:type="dxa"/>
            <w:shd w:val="clear" w:color="auto" w:fill="auto"/>
            <w:vAlign w:val="bottom"/>
          </w:tcPr>
          <w:p w14:paraId="6B022BAC"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6.50</w:t>
            </w:r>
          </w:p>
        </w:tc>
        <w:tc>
          <w:tcPr>
            <w:tcW w:w="937" w:type="dxa"/>
            <w:shd w:val="clear" w:color="auto" w:fill="auto"/>
          </w:tcPr>
          <w:p w14:paraId="4D524312"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14.53 </w:t>
            </w:r>
          </w:p>
        </w:tc>
        <w:tc>
          <w:tcPr>
            <w:tcW w:w="755" w:type="dxa"/>
            <w:shd w:val="clear" w:color="auto" w:fill="auto"/>
            <w:vAlign w:val="bottom"/>
          </w:tcPr>
          <w:p w14:paraId="67E3DE6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9.50</w:t>
            </w:r>
          </w:p>
        </w:tc>
      </w:tr>
      <w:tr w:rsidR="003C473C" w:rsidRPr="004E7A10" w14:paraId="542A69E9" w14:textId="77777777" w:rsidTr="00640360">
        <w:trPr>
          <w:trHeight w:val="20"/>
        </w:trPr>
        <w:tc>
          <w:tcPr>
            <w:tcW w:w="1109" w:type="dxa"/>
            <w:shd w:val="clear" w:color="auto" w:fill="auto"/>
            <w:vAlign w:val="bottom"/>
          </w:tcPr>
          <w:p w14:paraId="42D86440"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Q2</w:t>
            </w:r>
          </w:p>
        </w:tc>
        <w:tc>
          <w:tcPr>
            <w:tcW w:w="993" w:type="dxa"/>
            <w:shd w:val="clear" w:color="auto" w:fill="auto"/>
          </w:tcPr>
          <w:p w14:paraId="028AC71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71467.51 </w:t>
            </w:r>
          </w:p>
        </w:tc>
        <w:tc>
          <w:tcPr>
            <w:tcW w:w="799" w:type="dxa"/>
            <w:shd w:val="clear" w:color="auto" w:fill="auto"/>
            <w:vAlign w:val="bottom"/>
          </w:tcPr>
          <w:p w14:paraId="2105718A"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8.19</w:t>
            </w:r>
          </w:p>
        </w:tc>
        <w:tc>
          <w:tcPr>
            <w:tcW w:w="902" w:type="dxa"/>
            <w:shd w:val="clear" w:color="auto" w:fill="auto"/>
          </w:tcPr>
          <w:p w14:paraId="68E171FB"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2712.31 </w:t>
            </w:r>
          </w:p>
        </w:tc>
        <w:tc>
          <w:tcPr>
            <w:tcW w:w="735" w:type="dxa"/>
            <w:shd w:val="clear" w:color="auto" w:fill="auto"/>
            <w:vAlign w:val="bottom"/>
          </w:tcPr>
          <w:p w14:paraId="2BDE9987"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6.50</w:t>
            </w:r>
          </w:p>
        </w:tc>
        <w:tc>
          <w:tcPr>
            <w:tcW w:w="937" w:type="dxa"/>
            <w:shd w:val="clear" w:color="auto" w:fill="auto"/>
          </w:tcPr>
          <w:p w14:paraId="15B4A6BD"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45.74 </w:t>
            </w:r>
          </w:p>
        </w:tc>
        <w:tc>
          <w:tcPr>
            <w:tcW w:w="755" w:type="dxa"/>
            <w:shd w:val="clear" w:color="auto" w:fill="auto"/>
            <w:vAlign w:val="bottom"/>
          </w:tcPr>
          <w:p w14:paraId="4E6D5A34"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9.50</w:t>
            </w:r>
          </w:p>
        </w:tc>
      </w:tr>
      <w:tr w:rsidR="003C473C" w:rsidRPr="004E7A10" w14:paraId="07282742" w14:textId="77777777" w:rsidTr="00640360">
        <w:trPr>
          <w:trHeight w:val="20"/>
        </w:trPr>
        <w:tc>
          <w:tcPr>
            <w:tcW w:w="1109" w:type="dxa"/>
            <w:shd w:val="clear" w:color="auto" w:fill="auto"/>
            <w:vAlign w:val="bottom"/>
          </w:tcPr>
          <w:p w14:paraId="7A2DF47F"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Q3</w:t>
            </w:r>
          </w:p>
        </w:tc>
        <w:tc>
          <w:tcPr>
            <w:tcW w:w="993" w:type="dxa"/>
            <w:shd w:val="clear" w:color="auto" w:fill="auto"/>
          </w:tcPr>
          <w:p w14:paraId="500998B5"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86238.94 </w:t>
            </w:r>
          </w:p>
        </w:tc>
        <w:tc>
          <w:tcPr>
            <w:tcW w:w="799" w:type="dxa"/>
            <w:shd w:val="clear" w:color="auto" w:fill="auto"/>
            <w:vAlign w:val="bottom"/>
          </w:tcPr>
          <w:p w14:paraId="1B34393D"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8.42</w:t>
            </w:r>
          </w:p>
        </w:tc>
        <w:tc>
          <w:tcPr>
            <w:tcW w:w="902" w:type="dxa"/>
            <w:shd w:val="clear" w:color="auto" w:fill="auto"/>
          </w:tcPr>
          <w:p w14:paraId="3D8498B3"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2712.31 </w:t>
            </w:r>
          </w:p>
        </w:tc>
        <w:tc>
          <w:tcPr>
            <w:tcW w:w="735" w:type="dxa"/>
            <w:shd w:val="clear" w:color="auto" w:fill="auto"/>
            <w:vAlign w:val="bottom"/>
          </w:tcPr>
          <w:p w14:paraId="22E2E611"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6.75</w:t>
            </w:r>
          </w:p>
        </w:tc>
        <w:tc>
          <w:tcPr>
            <w:tcW w:w="937" w:type="dxa"/>
            <w:shd w:val="clear" w:color="auto" w:fill="auto"/>
          </w:tcPr>
          <w:p w14:paraId="75A0E840"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20.30 </w:t>
            </w:r>
          </w:p>
        </w:tc>
        <w:tc>
          <w:tcPr>
            <w:tcW w:w="755" w:type="dxa"/>
            <w:shd w:val="clear" w:color="auto" w:fill="auto"/>
            <w:vAlign w:val="bottom"/>
          </w:tcPr>
          <w:p w14:paraId="38FAC36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9.50</w:t>
            </w:r>
          </w:p>
        </w:tc>
      </w:tr>
      <w:tr w:rsidR="003C473C" w:rsidRPr="004E7A10" w14:paraId="21193668" w14:textId="77777777" w:rsidTr="00640360">
        <w:trPr>
          <w:trHeight w:val="20"/>
        </w:trPr>
        <w:tc>
          <w:tcPr>
            <w:tcW w:w="1109" w:type="dxa"/>
            <w:shd w:val="clear" w:color="auto" w:fill="auto"/>
            <w:vAlign w:val="bottom"/>
          </w:tcPr>
          <w:p w14:paraId="2A76CFB7"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Q4</w:t>
            </w:r>
          </w:p>
        </w:tc>
        <w:tc>
          <w:tcPr>
            <w:tcW w:w="993" w:type="dxa"/>
            <w:shd w:val="clear" w:color="auto" w:fill="auto"/>
          </w:tcPr>
          <w:p w14:paraId="2B0B76EC"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76070.53 </w:t>
            </w:r>
          </w:p>
        </w:tc>
        <w:tc>
          <w:tcPr>
            <w:tcW w:w="799" w:type="dxa"/>
            <w:shd w:val="clear" w:color="auto" w:fill="auto"/>
            <w:vAlign w:val="bottom"/>
          </w:tcPr>
          <w:p w14:paraId="71DE149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8.31</w:t>
            </w:r>
          </w:p>
        </w:tc>
        <w:tc>
          <w:tcPr>
            <w:tcW w:w="902" w:type="dxa"/>
            <w:shd w:val="clear" w:color="auto" w:fill="auto"/>
          </w:tcPr>
          <w:p w14:paraId="6FC91BC1"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6035.38 </w:t>
            </w:r>
          </w:p>
        </w:tc>
        <w:tc>
          <w:tcPr>
            <w:tcW w:w="735" w:type="dxa"/>
            <w:shd w:val="clear" w:color="auto" w:fill="auto"/>
            <w:vAlign w:val="bottom"/>
          </w:tcPr>
          <w:p w14:paraId="113AA3CB"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6.71</w:t>
            </w:r>
          </w:p>
        </w:tc>
        <w:tc>
          <w:tcPr>
            <w:tcW w:w="937" w:type="dxa"/>
            <w:shd w:val="clear" w:color="auto" w:fill="auto"/>
          </w:tcPr>
          <w:p w14:paraId="11AA4CC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7.69 </w:t>
            </w:r>
          </w:p>
        </w:tc>
        <w:tc>
          <w:tcPr>
            <w:tcW w:w="755" w:type="dxa"/>
            <w:shd w:val="clear" w:color="auto" w:fill="auto"/>
            <w:vAlign w:val="bottom"/>
          </w:tcPr>
          <w:p w14:paraId="4D506AAC"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10.0</w:t>
            </w:r>
          </w:p>
        </w:tc>
      </w:tr>
      <w:tr w:rsidR="003C473C" w:rsidRPr="004E7A10" w14:paraId="4D77C839" w14:textId="77777777" w:rsidTr="00640360">
        <w:trPr>
          <w:trHeight w:val="20"/>
        </w:trPr>
        <w:tc>
          <w:tcPr>
            <w:tcW w:w="1109" w:type="dxa"/>
            <w:shd w:val="clear" w:color="auto" w:fill="auto"/>
            <w:vAlign w:val="bottom"/>
          </w:tcPr>
          <w:p w14:paraId="5F48F92A"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Q1 2014</w:t>
            </w:r>
          </w:p>
        </w:tc>
        <w:tc>
          <w:tcPr>
            <w:tcW w:w="993" w:type="dxa"/>
            <w:shd w:val="clear" w:color="auto" w:fill="auto"/>
          </w:tcPr>
          <w:p w14:paraId="0D8BA1B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58769.52 </w:t>
            </w:r>
          </w:p>
        </w:tc>
        <w:tc>
          <w:tcPr>
            <w:tcW w:w="799" w:type="dxa"/>
            <w:shd w:val="clear" w:color="auto" w:fill="auto"/>
            <w:vAlign w:val="bottom"/>
          </w:tcPr>
          <w:p w14:paraId="40C8B590"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7.80</w:t>
            </w:r>
          </w:p>
        </w:tc>
        <w:tc>
          <w:tcPr>
            <w:tcW w:w="902" w:type="dxa"/>
            <w:shd w:val="clear" w:color="auto" w:fill="auto"/>
          </w:tcPr>
          <w:p w14:paraId="6EEA305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8230.77 </w:t>
            </w:r>
          </w:p>
        </w:tc>
        <w:tc>
          <w:tcPr>
            <w:tcW w:w="735" w:type="dxa"/>
            <w:shd w:val="clear" w:color="auto" w:fill="auto"/>
            <w:vAlign w:val="bottom"/>
          </w:tcPr>
          <w:p w14:paraId="294DBAC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6.17</w:t>
            </w:r>
          </w:p>
        </w:tc>
        <w:tc>
          <w:tcPr>
            <w:tcW w:w="937" w:type="dxa"/>
            <w:shd w:val="clear" w:color="auto" w:fill="auto"/>
          </w:tcPr>
          <w:p w14:paraId="2602FBE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297.76 </w:t>
            </w:r>
          </w:p>
        </w:tc>
        <w:tc>
          <w:tcPr>
            <w:tcW w:w="755" w:type="dxa"/>
            <w:shd w:val="clear" w:color="auto" w:fill="auto"/>
            <w:vAlign w:val="bottom"/>
          </w:tcPr>
          <w:p w14:paraId="5B86625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9.05</w:t>
            </w:r>
          </w:p>
        </w:tc>
      </w:tr>
      <w:tr w:rsidR="003C473C" w:rsidRPr="004E7A10" w14:paraId="5CD2B35A" w14:textId="77777777" w:rsidTr="00640360">
        <w:trPr>
          <w:trHeight w:val="20"/>
        </w:trPr>
        <w:tc>
          <w:tcPr>
            <w:tcW w:w="1109" w:type="dxa"/>
            <w:shd w:val="clear" w:color="auto" w:fill="auto"/>
            <w:vAlign w:val="bottom"/>
          </w:tcPr>
          <w:p w14:paraId="07490F06"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Q2</w:t>
            </w:r>
          </w:p>
        </w:tc>
        <w:tc>
          <w:tcPr>
            <w:tcW w:w="993" w:type="dxa"/>
            <w:shd w:val="clear" w:color="auto" w:fill="auto"/>
          </w:tcPr>
          <w:p w14:paraId="18D20444"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41619.24 </w:t>
            </w:r>
          </w:p>
        </w:tc>
        <w:tc>
          <w:tcPr>
            <w:tcW w:w="799" w:type="dxa"/>
            <w:shd w:val="clear" w:color="auto" w:fill="auto"/>
            <w:vAlign w:val="bottom"/>
          </w:tcPr>
          <w:p w14:paraId="4BFA6930"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7.79</w:t>
            </w:r>
          </w:p>
        </w:tc>
        <w:tc>
          <w:tcPr>
            <w:tcW w:w="902" w:type="dxa"/>
            <w:shd w:val="clear" w:color="auto" w:fill="auto"/>
          </w:tcPr>
          <w:p w14:paraId="60A2310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9908.46 </w:t>
            </w:r>
          </w:p>
        </w:tc>
        <w:tc>
          <w:tcPr>
            <w:tcW w:w="735" w:type="dxa"/>
            <w:shd w:val="clear" w:color="auto" w:fill="auto"/>
            <w:vAlign w:val="bottom"/>
          </w:tcPr>
          <w:p w14:paraId="493FA42C"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5.88</w:t>
            </w:r>
          </w:p>
        </w:tc>
        <w:tc>
          <w:tcPr>
            <w:tcW w:w="937" w:type="dxa"/>
            <w:shd w:val="clear" w:color="auto" w:fill="auto"/>
          </w:tcPr>
          <w:p w14:paraId="298A0287"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41.38 </w:t>
            </w:r>
          </w:p>
        </w:tc>
        <w:tc>
          <w:tcPr>
            <w:tcW w:w="755" w:type="dxa"/>
            <w:shd w:val="clear" w:color="auto" w:fill="auto"/>
            <w:vAlign w:val="bottom"/>
          </w:tcPr>
          <w:p w14:paraId="2E8FC704"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8.75</w:t>
            </w:r>
          </w:p>
        </w:tc>
      </w:tr>
      <w:tr w:rsidR="003C473C" w:rsidRPr="004E7A10" w14:paraId="773BAB1B" w14:textId="77777777" w:rsidTr="00640360">
        <w:trPr>
          <w:trHeight w:val="20"/>
        </w:trPr>
        <w:tc>
          <w:tcPr>
            <w:tcW w:w="1109" w:type="dxa"/>
            <w:shd w:val="clear" w:color="auto" w:fill="auto"/>
            <w:vAlign w:val="bottom"/>
          </w:tcPr>
          <w:p w14:paraId="1A3767CD"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Q3</w:t>
            </w:r>
          </w:p>
        </w:tc>
        <w:tc>
          <w:tcPr>
            <w:tcW w:w="993" w:type="dxa"/>
            <w:shd w:val="clear" w:color="auto" w:fill="auto"/>
          </w:tcPr>
          <w:p w14:paraId="5A95F0B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37331.05 </w:t>
            </w:r>
          </w:p>
        </w:tc>
        <w:tc>
          <w:tcPr>
            <w:tcW w:w="799" w:type="dxa"/>
            <w:shd w:val="clear" w:color="auto" w:fill="auto"/>
            <w:vAlign w:val="bottom"/>
          </w:tcPr>
          <w:p w14:paraId="4540CD7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7.16</w:t>
            </w:r>
          </w:p>
        </w:tc>
        <w:tc>
          <w:tcPr>
            <w:tcW w:w="902" w:type="dxa"/>
            <w:shd w:val="clear" w:color="auto" w:fill="auto"/>
          </w:tcPr>
          <w:p w14:paraId="6217030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3270.00 </w:t>
            </w:r>
          </w:p>
        </w:tc>
        <w:tc>
          <w:tcPr>
            <w:tcW w:w="735" w:type="dxa"/>
            <w:shd w:val="clear" w:color="auto" w:fill="auto"/>
            <w:vAlign w:val="bottom"/>
          </w:tcPr>
          <w:p w14:paraId="27DD0C1A"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5.47</w:t>
            </w:r>
          </w:p>
        </w:tc>
        <w:tc>
          <w:tcPr>
            <w:tcW w:w="937" w:type="dxa"/>
            <w:shd w:val="clear" w:color="auto" w:fill="auto"/>
          </w:tcPr>
          <w:p w14:paraId="6625F704"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 xml:space="preserve">16.08 </w:t>
            </w:r>
          </w:p>
        </w:tc>
        <w:tc>
          <w:tcPr>
            <w:tcW w:w="755" w:type="dxa"/>
            <w:shd w:val="clear" w:color="auto" w:fill="auto"/>
            <w:vAlign w:val="bottom"/>
          </w:tcPr>
          <w:p w14:paraId="59824FC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8.43</w:t>
            </w:r>
          </w:p>
        </w:tc>
      </w:tr>
      <w:tr w:rsidR="003C473C" w:rsidRPr="004E7A10" w14:paraId="336E7FCE" w14:textId="77777777" w:rsidTr="00640360">
        <w:trPr>
          <w:trHeight w:val="20"/>
        </w:trPr>
        <w:tc>
          <w:tcPr>
            <w:tcW w:w="1109" w:type="dxa"/>
            <w:shd w:val="clear" w:color="auto" w:fill="auto"/>
            <w:vAlign w:val="bottom"/>
          </w:tcPr>
          <w:p w14:paraId="472029E3"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Q4</w:t>
            </w:r>
          </w:p>
        </w:tc>
        <w:tc>
          <w:tcPr>
            <w:tcW w:w="993" w:type="dxa"/>
            <w:shd w:val="clear" w:color="auto" w:fill="auto"/>
          </w:tcPr>
          <w:p w14:paraId="37F3C5B4"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34048.94</w:t>
            </w:r>
          </w:p>
        </w:tc>
        <w:tc>
          <w:tcPr>
            <w:tcW w:w="799" w:type="dxa"/>
            <w:shd w:val="clear" w:color="auto" w:fill="auto"/>
            <w:vAlign w:val="bottom"/>
          </w:tcPr>
          <w:p w14:paraId="1DF454DF"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10.60</w:t>
            </w:r>
          </w:p>
        </w:tc>
        <w:tc>
          <w:tcPr>
            <w:tcW w:w="902" w:type="dxa"/>
            <w:shd w:val="clear" w:color="auto" w:fill="auto"/>
          </w:tcPr>
          <w:p w14:paraId="4168B79E"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1765.67</w:t>
            </w:r>
          </w:p>
        </w:tc>
        <w:tc>
          <w:tcPr>
            <w:tcW w:w="735" w:type="dxa"/>
            <w:shd w:val="clear" w:color="auto" w:fill="auto"/>
            <w:vAlign w:val="bottom"/>
          </w:tcPr>
          <w:p w14:paraId="6959029C"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5.25</w:t>
            </w:r>
          </w:p>
        </w:tc>
        <w:tc>
          <w:tcPr>
            <w:tcW w:w="937" w:type="dxa"/>
            <w:shd w:val="clear" w:color="auto" w:fill="auto"/>
          </w:tcPr>
          <w:p w14:paraId="16C60F30"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41550.14</w:t>
            </w:r>
          </w:p>
        </w:tc>
        <w:tc>
          <w:tcPr>
            <w:tcW w:w="755" w:type="dxa"/>
            <w:shd w:val="clear" w:color="auto" w:fill="auto"/>
            <w:vAlign w:val="bottom"/>
          </w:tcPr>
          <w:p w14:paraId="4741693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19.69</w:t>
            </w:r>
          </w:p>
        </w:tc>
      </w:tr>
      <w:tr w:rsidR="003C473C" w:rsidRPr="004E7A10" w14:paraId="746903F4" w14:textId="77777777" w:rsidTr="00640360">
        <w:trPr>
          <w:trHeight w:val="20"/>
        </w:trPr>
        <w:tc>
          <w:tcPr>
            <w:tcW w:w="1109" w:type="dxa"/>
            <w:shd w:val="clear" w:color="auto" w:fill="auto"/>
            <w:vAlign w:val="bottom"/>
          </w:tcPr>
          <w:p w14:paraId="3129E258" w14:textId="77777777" w:rsidR="003C473C" w:rsidRPr="004E7A10" w:rsidRDefault="003C473C" w:rsidP="00640360">
            <w:pPr>
              <w:spacing w:before="40" w:after="40"/>
              <w:ind w:right="-57"/>
              <w:rPr>
                <w:rFonts w:ascii="Garamond" w:hAnsi="Garamond" w:cs="Times New Roman"/>
                <w:sz w:val="18"/>
                <w:szCs w:val="18"/>
              </w:rPr>
            </w:pPr>
            <w:r w:rsidRPr="004E7A10">
              <w:rPr>
                <w:rFonts w:ascii="Garamond" w:hAnsi="Garamond" w:cs="Times New Roman"/>
                <w:sz w:val="18"/>
                <w:szCs w:val="18"/>
              </w:rPr>
              <w:t>Q1 201</w:t>
            </w:r>
            <w:r>
              <w:rPr>
                <w:rFonts w:ascii="Garamond" w:hAnsi="Garamond" w:cs="Times New Roman"/>
                <w:sz w:val="18"/>
                <w:szCs w:val="18"/>
              </w:rPr>
              <w:t>5</w:t>
            </w:r>
          </w:p>
        </w:tc>
        <w:tc>
          <w:tcPr>
            <w:tcW w:w="993" w:type="dxa"/>
            <w:shd w:val="clear" w:color="auto" w:fill="auto"/>
          </w:tcPr>
          <w:p w14:paraId="2EDD2203"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95454.55</w:t>
            </w:r>
          </w:p>
        </w:tc>
        <w:tc>
          <w:tcPr>
            <w:tcW w:w="799" w:type="dxa"/>
            <w:shd w:val="clear" w:color="auto" w:fill="auto"/>
            <w:vAlign w:val="bottom"/>
          </w:tcPr>
          <w:p w14:paraId="746E90F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14.25</w:t>
            </w:r>
          </w:p>
        </w:tc>
        <w:tc>
          <w:tcPr>
            <w:tcW w:w="902" w:type="dxa"/>
            <w:shd w:val="clear" w:color="auto" w:fill="auto"/>
          </w:tcPr>
          <w:p w14:paraId="50BC900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63.75</w:t>
            </w:r>
          </w:p>
        </w:tc>
        <w:tc>
          <w:tcPr>
            <w:tcW w:w="735" w:type="dxa"/>
            <w:shd w:val="clear" w:color="auto" w:fill="auto"/>
            <w:vAlign w:val="bottom"/>
          </w:tcPr>
          <w:p w14:paraId="6CEE21D9"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8.04</w:t>
            </w:r>
          </w:p>
        </w:tc>
        <w:tc>
          <w:tcPr>
            <w:tcW w:w="937" w:type="dxa"/>
            <w:shd w:val="clear" w:color="auto" w:fill="auto"/>
          </w:tcPr>
          <w:p w14:paraId="069582B6"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104521.49</w:t>
            </w:r>
          </w:p>
        </w:tc>
        <w:tc>
          <w:tcPr>
            <w:tcW w:w="755" w:type="dxa"/>
            <w:shd w:val="clear" w:color="auto" w:fill="auto"/>
            <w:vAlign w:val="bottom"/>
          </w:tcPr>
          <w:p w14:paraId="30C443C7" w14:textId="77777777" w:rsidR="003C473C" w:rsidRPr="003C473C" w:rsidRDefault="003C473C" w:rsidP="00F81792">
            <w:pPr>
              <w:spacing w:before="50" w:after="50"/>
              <w:ind w:left="-57" w:right="-57"/>
              <w:jc w:val="center"/>
              <w:rPr>
                <w:rFonts w:ascii="Garamond" w:hAnsi="Garamond" w:cs="Calibri"/>
                <w:sz w:val="18"/>
                <w:szCs w:val="18"/>
              </w:rPr>
            </w:pPr>
            <w:r w:rsidRPr="003C473C">
              <w:rPr>
                <w:rFonts w:ascii="Garamond" w:hAnsi="Garamond" w:cs="Calibri"/>
                <w:sz w:val="18"/>
                <w:szCs w:val="18"/>
              </w:rPr>
              <w:t>16.27</w:t>
            </w:r>
          </w:p>
        </w:tc>
      </w:tr>
    </w:tbl>
    <w:p w14:paraId="7BC99F99" w14:textId="77777777" w:rsidR="00AD6187" w:rsidRPr="004E7A10" w:rsidRDefault="00AD6187" w:rsidP="00AD6187">
      <w:pPr>
        <w:spacing w:line="260" w:lineRule="atLeast"/>
        <w:ind w:firstLine="284"/>
        <w:jc w:val="both"/>
        <w:rPr>
          <w:rFonts w:ascii="Garamond" w:hAnsi="Garamond" w:cs="Sylfaen"/>
          <w:color w:val="FF0000"/>
          <w:sz w:val="20"/>
          <w:szCs w:val="20"/>
          <w:lang w:val="es-AR"/>
        </w:rPr>
      </w:pPr>
    </w:p>
    <w:p w14:paraId="00FCA972" w14:textId="77777777" w:rsidR="00E041FC" w:rsidRDefault="00E041FC" w:rsidP="00A9653E">
      <w:pPr>
        <w:spacing w:line="360" w:lineRule="auto"/>
        <w:jc w:val="both"/>
        <w:rPr>
          <w:rStyle w:val="longtext"/>
          <w:rFonts w:ascii="Garamond" w:hAnsi="Garamond" w:cs="Times New Roman"/>
          <w:color w:val="000000"/>
          <w:sz w:val="21"/>
          <w:szCs w:val="21"/>
          <w:shd w:val="clear" w:color="auto" w:fill="FFFFFF"/>
        </w:rPr>
      </w:pPr>
      <w:r w:rsidRPr="004E7A10">
        <w:rPr>
          <w:rStyle w:val="longtext"/>
          <w:rFonts w:ascii="Garamond" w:hAnsi="Garamond" w:cs="Times New Roman"/>
          <w:color w:val="000000"/>
          <w:sz w:val="21"/>
          <w:szCs w:val="21"/>
          <w:shd w:val="clear" w:color="auto" w:fill="FFFFFF"/>
        </w:rPr>
        <w:t xml:space="preserve">The situation in the financial market in the </w:t>
      </w:r>
      <w:r>
        <w:rPr>
          <w:rStyle w:val="longtext"/>
          <w:rFonts w:ascii="Garamond" w:hAnsi="Garamond" w:cs="Times New Roman"/>
          <w:color w:val="000000"/>
          <w:sz w:val="21"/>
          <w:szCs w:val="21"/>
          <w:shd w:val="clear" w:color="auto" w:fill="FFFFFF"/>
        </w:rPr>
        <w:t xml:space="preserve">1st quarter of </w:t>
      </w:r>
      <w:r w:rsidRPr="00E041FC">
        <w:rPr>
          <w:rStyle w:val="longtext"/>
          <w:rFonts w:ascii="Garamond" w:hAnsi="Garamond" w:cs="Times New Roman"/>
          <w:color w:val="000000"/>
          <w:sz w:val="21"/>
          <w:szCs w:val="21"/>
          <w:shd w:val="clear" w:color="auto" w:fill="FFFFFF"/>
        </w:rPr>
        <w:t>2015</w:t>
      </w:r>
      <w:r>
        <w:rPr>
          <w:rStyle w:val="longtext"/>
          <w:rFonts w:ascii="Garamond" w:hAnsi="Garamond" w:cs="Times New Roman"/>
          <w:color w:val="000000"/>
          <w:sz w:val="21"/>
          <w:szCs w:val="21"/>
          <w:shd w:val="clear" w:color="auto" w:fill="FFFFFF"/>
        </w:rPr>
        <w:t xml:space="preserve"> was consistent with </w:t>
      </w:r>
      <w:r w:rsidR="00F81792">
        <w:rPr>
          <w:rStyle w:val="longtext"/>
          <w:rFonts w:ascii="Garamond" w:hAnsi="Garamond" w:cs="Times New Roman"/>
          <w:color w:val="000000"/>
          <w:sz w:val="21"/>
          <w:szCs w:val="21"/>
          <w:shd w:val="clear" w:color="auto" w:fill="FFFFFF"/>
        </w:rPr>
        <w:t>the policy of the Central Bank</w:t>
      </w:r>
      <w:r w:rsidRPr="00E041FC">
        <w:rPr>
          <w:rStyle w:val="longtext"/>
          <w:rFonts w:ascii="Garamond" w:hAnsi="Garamond" w:cs="Times New Roman"/>
          <w:color w:val="000000"/>
          <w:sz w:val="21"/>
          <w:szCs w:val="21"/>
          <w:shd w:val="clear" w:color="auto" w:fill="FFFFFF"/>
        </w:rPr>
        <w:t xml:space="preserve">. </w:t>
      </w:r>
      <w:r w:rsidR="00F81792">
        <w:rPr>
          <w:rStyle w:val="longtext"/>
          <w:rFonts w:ascii="Garamond" w:hAnsi="Garamond" w:cs="Times New Roman"/>
          <w:color w:val="000000"/>
          <w:sz w:val="21"/>
          <w:szCs w:val="21"/>
          <w:shd w:val="clear" w:color="auto" w:fill="FFFFFF"/>
        </w:rPr>
        <w:t xml:space="preserve">There were only </w:t>
      </w:r>
      <w:r w:rsidRPr="00E041FC">
        <w:rPr>
          <w:rStyle w:val="longtext"/>
          <w:rFonts w:ascii="Garamond" w:hAnsi="Garamond" w:cs="Times New Roman"/>
          <w:color w:val="000000"/>
          <w:sz w:val="21"/>
          <w:szCs w:val="21"/>
          <w:shd w:val="clear" w:color="auto" w:fill="FFFFFF"/>
        </w:rPr>
        <w:t xml:space="preserve">few transactions </w:t>
      </w:r>
      <w:r w:rsidR="00F81792">
        <w:rPr>
          <w:rStyle w:val="longtext"/>
          <w:rFonts w:ascii="Garamond" w:hAnsi="Garamond" w:cs="Times New Roman"/>
          <w:color w:val="000000"/>
          <w:sz w:val="21"/>
          <w:szCs w:val="21"/>
          <w:shd w:val="clear" w:color="auto" w:fill="FFFFFF"/>
        </w:rPr>
        <w:t>executed in</w:t>
      </w:r>
      <w:r w:rsidRPr="00E041FC">
        <w:rPr>
          <w:rStyle w:val="longtext"/>
          <w:rFonts w:ascii="Garamond" w:hAnsi="Garamond" w:cs="Times New Roman"/>
          <w:color w:val="000000"/>
          <w:sz w:val="21"/>
          <w:szCs w:val="21"/>
          <w:shd w:val="clear" w:color="auto" w:fill="FFFFFF"/>
        </w:rPr>
        <w:t xml:space="preserve"> the interbank market </w:t>
      </w:r>
      <w:r w:rsidR="00F81792">
        <w:rPr>
          <w:rStyle w:val="longtext"/>
          <w:rFonts w:ascii="Garamond" w:hAnsi="Garamond" w:cs="Times New Roman"/>
          <w:color w:val="000000"/>
          <w:sz w:val="21"/>
          <w:szCs w:val="21"/>
          <w:shd w:val="clear" w:color="auto" w:fill="FFFFFF"/>
        </w:rPr>
        <w:t xml:space="preserve">at the time, </w:t>
      </w:r>
      <w:r w:rsidRPr="00E041FC">
        <w:rPr>
          <w:rStyle w:val="longtext"/>
          <w:rFonts w:ascii="Garamond" w:hAnsi="Garamond" w:cs="Times New Roman"/>
          <w:color w:val="000000"/>
          <w:sz w:val="21"/>
          <w:szCs w:val="21"/>
          <w:shd w:val="clear" w:color="auto" w:fill="FFFFFF"/>
        </w:rPr>
        <w:t xml:space="preserve">and </w:t>
      </w:r>
      <w:r w:rsidR="00F81792">
        <w:rPr>
          <w:rStyle w:val="longtext"/>
          <w:rFonts w:ascii="Garamond" w:hAnsi="Garamond" w:cs="Times New Roman"/>
          <w:color w:val="000000"/>
          <w:sz w:val="21"/>
          <w:szCs w:val="21"/>
          <w:shd w:val="clear" w:color="auto" w:fill="FFFFFF"/>
        </w:rPr>
        <w:t xml:space="preserve">it was difficult for the Central Bank to identify the </w:t>
      </w:r>
      <w:r w:rsidRPr="00E041FC">
        <w:rPr>
          <w:rStyle w:val="longtext"/>
          <w:rFonts w:ascii="Garamond" w:hAnsi="Garamond" w:cs="Times New Roman"/>
          <w:color w:val="000000"/>
          <w:sz w:val="21"/>
          <w:szCs w:val="21"/>
          <w:shd w:val="clear" w:color="auto" w:fill="FFFFFF"/>
        </w:rPr>
        <w:t>short-term interest rate</w:t>
      </w:r>
      <w:r w:rsidR="00F81792">
        <w:rPr>
          <w:rStyle w:val="longtext"/>
          <w:rFonts w:ascii="Garamond" w:hAnsi="Garamond" w:cs="Times New Roman"/>
          <w:color w:val="000000"/>
          <w:sz w:val="21"/>
          <w:szCs w:val="21"/>
          <w:shd w:val="clear" w:color="auto" w:fill="FFFFFF"/>
        </w:rPr>
        <w:t xml:space="preserve">. </w:t>
      </w:r>
      <w:r w:rsidRPr="00E041FC">
        <w:rPr>
          <w:rStyle w:val="longtext"/>
          <w:rFonts w:ascii="Garamond" w:hAnsi="Garamond" w:cs="Times New Roman"/>
          <w:color w:val="000000"/>
          <w:sz w:val="21"/>
          <w:szCs w:val="21"/>
          <w:shd w:val="clear" w:color="auto" w:fill="FFFFFF"/>
        </w:rPr>
        <w:t xml:space="preserve">However, the volume of transactions in the interbank repo market </w:t>
      </w:r>
      <w:r w:rsidR="002D605B">
        <w:rPr>
          <w:rStyle w:val="longtext"/>
          <w:rFonts w:ascii="Garamond" w:hAnsi="Garamond" w:cs="Times New Roman"/>
          <w:color w:val="000000"/>
          <w:sz w:val="21"/>
          <w:szCs w:val="21"/>
          <w:shd w:val="clear" w:color="auto" w:fill="FFFFFF"/>
        </w:rPr>
        <w:t>was maintained,</w:t>
      </w:r>
      <w:r w:rsidRPr="00E041FC">
        <w:rPr>
          <w:rStyle w:val="longtext"/>
          <w:rFonts w:ascii="Garamond" w:hAnsi="Garamond" w:cs="Times New Roman"/>
          <w:color w:val="000000"/>
          <w:sz w:val="21"/>
          <w:szCs w:val="21"/>
          <w:shd w:val="clear" w:color="auto" w:fill="FFFFFF"/>
        </w:rPr>
        <w:t xml:space="preserve"> and gradual lowering of interest rate</w:t>
      </w:r>
      <w:r w:rsidR="002D605B">
        <w:rPr>
          <w:rStyle w:val="longtext"/>
          <w:rFonts w:ascii="Garamond" w:hAnsi="Garamond" w:cs="Times New Roman"/>
          <w:color w:val="000000"/>
          <w:sz w:val="21"/>
          <w:szCs w:val="21"/>
          <w:shd w:val="clear" w:color="auto" w:fill="FFFFFF"/>
        </w:rPr>
        <w:t xml:space="preserve"> of the Lombard Repo Facility </w:t>
      </w:r>
      <w:r w:rsidRPr="00E041FC">
        <w:rPr>
          <w:rStyle w:val="longtext"/>
          <w:rFonts w:ascii="Garamond" w:hAnsi="Garamond" w:cs="Times New Roman"/>
          <w:color w:val="000000"/>
          <w:sz w:val="21"/>
          <w:szCs w:val="21"/>
          <w:shd w:val="clear" w:color="auto" w:fill="FFFFFF"/>
        </w:rPr>
        <w:t xml:space="preserve">by </w:t>
      </w:r>
      <w:r w:rsidR="002D605B">
        <w:rPr>
          <w:rStyle w:val="longtext"/>
          <w:rFonts w:ascii="Garamond" w:hAnsi="Garamond" w:cs="Times New Roman"/>
          <w:color w:val="000000"/>
          <w:sz w:val="21"/>
          <w:szCs w:val="21"/>
          <w:shd w:val="clear" w:color="auto" w:fill="FFFFFF"/>
        </w:rPr>
        <w:t>the Central B</w:t>
      </w:r>
      <w:r w:rsidRPr="00E041FC">
        <w:rPr>
          <w:rStyle w:val="longtext"/>
          <w:rFonts w:ascii="Garamond" w:hAnsi="Garamond" w:cs="Times New Roman"/>
          <w:color w:val="000000"/>
          <w:sz w:val="21"/>
          <w:szCs w:val="21"/>
          <w:shd w:val="clear" w:color="auto" w:fill="FFFFFF"/>
        </w:rPr>
        <w:t xml:space="preserve">ank </w:t>
      </w:r>
      <w:r w:rsidR="002D605B">
        <w:rPr>
          <w:rStyle w:val="longtext"/>
          <w:rFonts w:ascii="Garamond" w:hAnsi="Garamond" w:cs="Times New Roman"/>
          <w:color w:val="000000"/>
          <w:sz w:val="21"/>
          <w:szCs w:val="21"/>
          <w:shd w:val="clear" w:color="auto" w:fill="FFFFFF"/>
        </w:rPr>
        <w:t xml:space="preserve">prompted a phase by phase </w:t>
      </w:r>
      <w:r w:rsidRPr="00E041FC">
        <w:rPr>
          <w:rStyle w:val="longtext"/>
          <w:rFonts w:ascii="Garamond" w:hAnsi="Garamond" w:cs="Times New Roman"/>
          <w:color w:val="000000"/>
          <w:sz w:val="21"/>
          <w:szCs w:val="21"/>
          <w:shd w:val="clear" w:color="auto" w:fill="FFFFFF"/>
        </w:rPr>
        <w:t xml:space="preserve">reduction of interest rates in the interbank market. The average monthly rate decline in March </w:t>
      </w:r>
      <w:r w:rsidR="002D605B">
        <w:rPr>
          <w:rStyle w:val="longtext"/>
          <w:rFonts w:ascii="Garamond" w:hAnsi="Garamond" w:cs="Times New Roman"/>
          <w:color w:val="000000"/>
          <w:sz w:val="21"/>
          <w:szCs w:val="21"/>
          <w:shd w:val="clear" w:color="auto" w:fill="FFFFFF"/>
        </w:rPr>
        <w:t xml:space="preserve">was </w:t>
      </w:r>
      <w:r w:rsidR="002D605B" w:rsidRPr="00E041FC">
        <w:rPr>
          <w:rStyle w:val="longtext"/>
          <w:rFonts w:ascii="Garamond" w:hAnsi="Garamond" w:cs="Times New Roman"/>
          <w:color w:val="000000"/>
          <w:sz w:val="21"/>
          <w:szCs w:val="21"/>
          <w:shd w:val="clear" w:color="auto" w:fill="FFFFFF"/>
        </w:rPr>
        <w:t xml:space="preserve">nearly </w:t>
      </w:r>
      <w:r w:rsidR="002D605B">
        <w:rPr>
          <w:rStyle w:val="longtext"/>
          <w:rFonts w:ascii="Garamond" w:hAnsi="Garamond" w:cs="Times New Roman"/>
          <w:color w:val="000000"/>
          <w:sz w:val="21"/>
          <w:szCs w:val="21"/>
          <w:shd w:val="clear" w:color="auto" w:fill="FFFFFF"/>
        </w:rPr>
        <w:t xml:space="preserve">7 pp against </w:t>
      </w:r>
      <w:r w:rsidRPr="00E041FC">
        <w:rPr>
          <w:rStyle w:val="longtext"/>
          <w:rFonts w:ascii="Garamond" w:hAnsi="Garamond" w:cs="Times New Roman"/>
          <w:color w:val="000000"/>
          <w:sz w:val="21"/>
          <w:szCs w:val="21"/>
          <w:shd w:val="clear" w:color="auto" w:fill="FFFFFF"/>
        </w:rPr>
        <w:t>December.</w:t>
      </w:r>
    </w:p>
    <w:tbl>
      <w:tblPr>
        <w:tblStyle w:val="TableGrid"/>
        <w:tblW w:w="0" w:type="auto"/>
        <w:tblLook w:val="04A0" w:firstRow="1" w:lastRow="0" w:firstColumn="1" w:lastColumn="0" w:noHBand="0" w:noVBand="1"/>
      </w:tblPr>
      <w:tblGrid>
        <w:gridCol w:w="8856"/>
      </w:tblGrid>
      <w:tr w:rsidR="00C020D7" w14:paraId="309428CA" w14:textId="77777777" w:rsidTr="00C020D7">
        <w:tc>
          <w:tcPr>
            <w:tcW w:w="8856" w:type="dxa"/>
          </w:tcPr>
          <w:p w14:paraId="77FD2D70" w14:textId="77777777" w:rsidR="00C020D7" w:rsidRPr="004E7A10" w:rsidRDefault="00C020D7" w:rsidP="00C020D7">
            <w:pPr>
              <w:spacing w:line="360" w:lineRule="auto"/>
              <w:jc w:val="both"/>
              <w:rPr>
                <w:rFonts w:ascii="Garamond" w:hAnsi="Garamond"/>
                <w:b/>
                <w:sz w:val="21"/>
                <w:szCs w:val="21"/>
              </w:rPr>
            </w:pPr>
            <w:r w:rsidRPr="004E7A10">
              <w:rPr>
                <w:rFonts w:ascii="Garamond" w:hAnsi="Garamond"/>
                <w:b/>
                <w:sz w:val="21"/>
                <w:szCs w:val="21"/>
              </w:rPr>
              <w:t>Box 2</w:t>
            </w:r>
          </w:p>
          <w:p w14:paraId="46C51647" w14:textId="77777777" w:rsidR="00C020D7" w:rsidRPr="004E7A10" w:rsidRDefault="00C020D7" w:rsidP="00C020D7">
            <w:pPr>
              <w:spacing w:line="360" w:lineRule="auto"/>
              <w:jc w:val="both"/>
              <w:rPr>
                <w:rFonts w:ascii="Garamond" w:hAnsi="Garamond"/>
                <w:b/>
                <w:sz w:val="21"/>
                <w:szCs w:val="21"/>
              </w:rPr>
            </w:pPr>
            <w:r w:rsidRPr="004E7A10">
              <w:rPr>
                <w:rFonts w:ascii="Garamond" w:hAnsi="Garamond"/>
                <w:b/>
                <w:sz w:val="21"/>
                <w:szCs w:val="21"/>
              </w:rPr>
              <w:t>Government securities market</w:t>
            </w:r>
          </w:p>
          <w:p w14:paraId="11F47916" w14:textId="77777777" w:rsidR="00C020D7" w:rsidRPr="00C020D7" w:rsidRDefault="00C020D7" w:rsidP="00C020D7">
            <w:pPr>
              <w:spacing w:line="360" w:lineRule="auto"/>
              <w:jc w:val="both"/>
              <w:rPr>
                <w:rFonts w:ascii="Garamond" w:hAnsi="Garamond"/>
                <w:sz w:val="21"/>
                <w:szCs w:val="21"/>
              </w:rPr>
            </w:pPr>
            <w:r w:rsidRPr="00C020D7">
              <w:rPr>
                <w:rFonts w:ascii="Garamond" w:hAnsi="Garamond"/>
                <w:sz w:val="21"/>
                <w:szCs w:val="21"/>
              </w:rPr>
              <w:t xml:space="preserve">The situation in the financial market certainly affected the government bonds’ market. The average quarterly yield of short-term t-bills has grown by 7.6 pp to 14.7% in relation to the previous quarter and the March yield of mid-term notes and long-term bonds has increased by about 2.0 pp against the December yield. </w:t>
            </w:r>
          </w:p>
          <w:p w14:paraId="6AD60BEB" w14:textId="77777777" w:rsidR="00C020D7" w:rsidRDefault="00C020D7" w:rsidP="00C020D7">
            <w:pPr>
              <w:spacing w:line="360" w:lineRule="auto"/>
              <w:jc w:val="both"/>
              <w:rPr>
                <w:rFonts w:ascii="Garamond" w:hAnsi="Garamond"/>
                <w:b/>
                <w:sz w:val="21"/>
                <w:szCs w:val="21"/>
              </w:rPr>
            </w:pPr>
            <w:r w:rsidRPr="00C020D7">
              <w:rPr>
                <w:rFonts w:ascii="Garamond" w:hAnsi="Garamond"/>
                <w:sz w:val="21"/>
                <w:szCs w:val="21"/>
                <w:lang w:val="hy-AM"/>
              </w:rPr>
              <w:t>T</w:t>
            </w:r>
            <w:r w:rsidRPr="00C020D7">
              <w:rPr>
                <w:rFonts w:ascii="Garamond" w:hAnsi="Garamond"/>
                <w:sz w:val="21"/>
                <w:szCs w:val="21"/>
              </w:rPr>
              <w:t xml:space="preserve">he financial market turmoil </w:t>
            </w:r>
            <w:r w:rsidRPr="00C020D7">
              <w:rPr>
                <w:rFonts w:ascii="Garamond" w:hAnsi="Garamond"/>
                <w:sz w:val="21"/>
                <w:szCs w:val="21"/>
                <w:lang w:val="hy-AM"/>
              </w:rPr>
              <w:t>i</w:t>
            </w:r>
            <w:r w:rsidRPr="00C020D7">
              <w:rPr>
                <w:rFonts w:ascii="Garamond" w:hAnsi="Garamond"/>
                <w:sz w:val="21"/>
                <w:szCs w:val="21"/>
              </w:rPr>
              <w:t>n November-December 2014 did not have a significant impact on the secondary market of government bonds on the market perhaps due to the lack of transactions in the market. Though in December, compared to November, the yield curve rose by around 2.0 pp the entire length, it did not, however, reflect the developments in the financial markets. The situation changed in January and February when the curve came in inverted as a result of new issues of short-term bonds, reflecting market participants’ high risks to the current uncertainties in the short term segment. Along with stabilizing financial market, the situation normalized in the bonds market, as in the end of the quarter the yield curve got back to its original shape of upslope. In late March, compared to December, the total yield curve indicator has grown: the long-term interest rate reached 14.9%, up by 0.5 pp, while the long-term and short-term interest rates spread narrowed in March by 4.0 pp to 1.6 pp.</w:t>
            </w:r>
          </w:p>
        </w:tc>
      </w:tr>
    </w:tbl>
    <w:p w14:paraId="3EED8EF2" w14:textId="77777777" w:rsidR="00C020D7" w:rsidRDefault="00AE4DAA" w:rsidP="00057C44">
      <w:pPr>
        <w:spacing w:line="360" w:lineRule="auto"/>
        <w:jc w:val="both"/>
        <w:rPr>
          <w:rFonts w:ascii="Garamond" w:hAnsi="Garamond" w:cs="Times New Roman"/>
          <w:i/>
          <w:sz w:val="21"/>
          <w:szCs w:val="21"/>
        </w:rPr>
      </w:pPr>
      <w:r w:rsidRPr="00AE4DAA">
        <w:rPr>
          <w:rFonts w:ascii="Garamond" w:hAnsi="Garamond" w:cs="Times New Roman"/>
          <w:i/>
          <w:sz w:val="21"/>
          <w:szCs w:val="21"/>
        </w:rPr>
        <w:t xml:space="preserve"> </w:t>
      </w:r>
    </w:p>
    <w:p w14:paraId="3A91B148" w14:textId="77777777" w:rsidR="00F275A5" w:rsidRDefault="00AE4DAA" w:rsidP="00057C44">
      <w:pPr>
        <w:spacing w:line="360" w:lineRule="auto"/>
        <w:jc w:val="both"/>
        <w:rPr>
          <w:rFonts w:ascii="Garamond" w:hAnsi="Garamond" w:cs="Times New Roman"/>
          <w:sz w:val="21"/>
          <w:szCs w:val="21"/>
        </w:rPr>
      </w:pPr>
      <w:r>
        <w:rPr>
          <w:rFonts w:ascii="Garamond" w:hAnsi="Garamond" w:cs="Times New Roman"/>
          <w:sz w:val="21"/>
          <w:szCs w:val="21"/>
        </w:rPr>
        <w:t>In the</w:t>
      </w:r>
      <w:r w:rsidRPr="00AE4DAA">
        <w:rPr>
          <w:rFonts w:ascii="Garamond" w:hAnsi="Garamond" w:cs="Times New Roman"/>
          <w:sz w:val="21"/>
          <w:szCs w:val="21"/>
        </w:rPr>
        <w:t xml:space="preserve"> 4th quarter </w:t>
      </w:r>
      <w:r>
        <w:rPr>
          <w:rFonts w:ascii="Garamond" w:hAnsi="Garamond" w:cs="Times New Roman"/>
          <w:sz w:val="21"/>
          <w:szCs w:val="21"/>
        </w:rPr>
        <w:t xml:space="preserve">of 2014, </w:t>
      </w:r>
      <w:r w:rsidR="00227C2E">
        <w:rPr>
          <w:rFonts w:ascii="Garamond" w:hAnsi="Garamond" w:cs="Times New Roman"/>
          <w:sz w:val="21"/>
          <w:szCs w:val="21"/>
        </w:rPr>
        <w:t xml:space="preserve">the interest rate rise in </w:t>
      </w:r>
      <w:r w:rsidRPr="00AE4DAA">
        <w:rPr>
          <w:rFonts w:ascii="Garamond" w:hAnsi="Garamond" w:cs="Times New Roman"/>
          <w:sz w:val="21"/>
          <w:szCs w:val="21"/>
        </w:rPr>
        <w:t xml:space="preserve">the financial market also meant an increase in interest rates </w:t>
      </w:r>
      <w:r w:rsidR="00227C2E">
        <w:rPr>
          <w:rFonts w:ascii="Garamond" w:hAnsi="Garamond" w:cs="Times New Roman"/>
          <w:sz w:val="21"/>
          <w:szCs w:val="21"/>
        </w:rPr>
        <w:t xml:space="preserve">of funds </w:t>
      </w:r>
      <w:r w:rsidRPr="00AE4DAA">
        <w:rPr>
          <w:rFonts w:ascii="Garamond" w:hAnsi="Garamond" w:cs="Times New Roman"/>
          <w:sz w:val="21"/>
          <w:szCs w:val="21"/>
        </w:rPr>
        <w:t xml:space="preserve">attracted by banks. It </w:t>
      </w:r>
      <w:r w:rsidR="00227C2E">
        <w:rPr>
          <w:rFonts w:ascii="Garamond" w:hAnsi="Garamond" w:cs="Times New Roman"/>
          <w:sz w:val="21"/>
          <w:szCs w:val="21"/>
        </w:rPr>
        <w:t>was only observed in respect of dram deposits (</w:t>
      </w:r>
      <w:r w:rsidRPr="00AE4DAA">
        <w:rPr>
          <w:rFonts w:ascii="Garamond" w:hAnsi="Garamond" w:cs="Times New Roman"/>
          <w:sz w:val="21"/>
          <w:szCs w:val="21"/>
        </w:rPr>
        <w:t xml:space="preserve">mainly </w:t>
      </w:r>
      <w:r w:rsidR="00227C2E">
        <w:rPr>
          <w:rFonts w:ascii="Garamond" w:hAnsi="Garamond" w:cs="Times New Roman"/>
          <w:sz w:val="21"/>
          <w:szCs w:val="21"/>
        </w:rPr>
        <w:t xml:space="preserve">with </w:t>
      </w:r>
      <w:r w:rsidRPr="00AE4DAA">
        <w:rPr>
          <w:rFonts w:ascii="Garamond" w:hAnsi="Garamond" w:cs="Times New Roman"/>
          <w:sz w:val="21"/>
          <w:szCs w:val="21"/>
        </w:rPr>
        <w:t>short-</w:t>
      </w:r>
      <w:r w:rsidRPr="00AE4DAA">
        <w:rPr>
          <w:rFonts w:ascii="Garamond" w:hAnsi="Garamond" w:cs="Times New Roman"/>
          <w:sz w:val="21"/>
          <w:szCs w:val="21"/>
        </w:rPr>
        <w:lastRenderedPageBreak/>
        <w:t>term m</w:t>
      </w:r>
      <w:r w:rsidR="00227C2E">
        <w:rPr>
          <w:rFonts w:ascii="Garamond" w:hAnsi="Garamond" w:cs="Times New Roman"/>
          <w:sz w:val="21"/>
          <w:szCs w:val="21"/>
        </w:rPr>
        <w:t>aturities</w:t>
      </w:r>
      <w:r w:rsidRPr="00AE4DAA">
        <w:rPr>
          <w:rFonts w:ascii="Garamond" w:hAnsi="Garamond" w:cs="Times New Roman"/>
          <w:sz w:val="21"/>
          <w:szCs w:val="21"/>
        </w:rPr>
        <w:t xml:space="preserve">, </w:t>
      </w:r>
      <w:r w:rsidR="00227C2E">
        <w:rPr>
          <w:rFonts w:ascii="Garamond" w:hAnsi="Garamond" w:cs="Times New Roman"/>
          <w:sz w:val="21"/>
          <w:szCs w:val="21"/>
        </w:rPr>
        <w:t xml:space="preserve">while the reserve requirement ratio for funds attracted in </w:t>
      </w:r>
      <w:r w:rsidRPr="00AE4DAA">
        <w:rPr>
          <w:rFonts w:ascii="Garamond" w:hAnsi="Garamond" w:cs="Times New Roman"/>
          <w:sz w:val="21"/>
          <w:szCs w:val="21"/>
        </w:rPr>
        <w:t>foreign currency</w:t>
      </w:r>
      <w:r w:rsidR="00227C2E">
        <w:rPr>
          <w:rFonts w:ascii="Garamond" w:hAnsi="Garamond" w:cs="Times New Roman"/>
          <w:sz w:val="21"/>
          <w:szCs w:val="21"/>
        </w:rPr>
        <w:t xml:space="preserve">, increased in December, has </w:t>
      </w:r>
      <w:r w:rsidRPr="00AE4DAA">
        <w:rPr>
          <w:rFonts w:ascii="Garamond" w:hAnsi="Garamond" w:cs="Times New Roman"/>
          <w:sz w:val="21"/>
          <w:szCs w:val="21"/>
        </w:rPr>
        <w:t xml:space="preserve">led to a </w:t>
      </w:r>
      <w:r w:rsidR="00227C2E">
        <w:rPr>
          <w:rFonts w:ascii="Garamond" w:hAnsi="Garamond" w:cs="Times New Roman"/>
          <w:sz w:val="21"/>
          <w:szCs w:val="21"/>
        </w:rPr>
        <w:t>contracted volume of fore</w:t>
      </w:r>
      <w:r w:rsidRPr="00AE4DAA">
        <w:rPr>
          <w:rFonts w:ascii="Garamond" w:hAnsi="Garamond" w:cs="Times New Roman"/>
          <w:sz w:val="21"/>
          <w:szCs w:val="21"/>
        </w:rPr>
        <w:t xml:space="preserve">ign currency deposits </w:t>
      </w:r>
      <w:r w:rsidR="00227C2E">
        <w:rPr>
          <w:rFonts w:ascii="Garamond" w:hAnsi="Garamond" w:cs="Times New Roman"/>
          <w:sz w:val="21"/>
          <w:szCs w:val="21"/>
        </w:rPr>
        <w:t>and lower interest rates</w:t>
      </w:r>
      <w:r w:rsidR="0075400B">
        <w:rPr>
          <w:rFonts w:ascii="Garamond" w:hAnsi="Garamond" w:cs="Times New Roman"/>
          <w:sz w:val="21"/>
          <w:szCs w:val="21"/>
        </w:rPr>
        <w:t xml:space="preserve"> of such deposits</w:t>
      </w:r>
      <w:r w:rsidRPr="00AE4DAA">
        <w:rPr>
          <w:rFonts w:ascii="Garamond" w:hAnsi="Garamond" w:cs="Times New Roman"/>
          <w:sz w:val="21"/>
          <w:szCs w:val="21"/>
        </w:rPr>
        <w:t>.</w:t>
      </w:r>
      <w:r w:rsidR="00F167BC">
        <w:rPr>
          <w:rFonts w:ascii="Garamond" w:hAnsi="Garamond" w:cs="Times New Roman"/>
          <w:sz w:val="21"/>
          <w:szCs w:val="21"/>
        </w:rPr>
        <w:t xml:space="preserve"> </w:t>
      </w:r>
      <w:r w:rsidR="00057C44" w:rsidRPr="004E7A10">
        <w:rPr>
          <w:rFonts w:ascii="Garamond" w:hAnsi="Garamond" w:cs="Times New Roman"/>
          <w:sz w:val="21"/>
          <w:szCs w:val="21"/>
        </w:rPr>
        <w:t xml:space="preserve">In </w:t>
      </w:r>
      <w:r w:rsidR="00F167BC">
        <w:rPr>
          <w:rFonts w:ascii="Garamond" w:hAnsi="Garamond" w:cs="Times New Roman"/>
          <w:sz w:val="21"/>
          <w:szCs w:val="21"/>
        </w:rPr>
        <w:t>March</w:t>
      </w:r>
      <w:r w:rsidR="00057C44" w:rsidRPr="004E7A10">
        <w:rPr>
          <w:rFonts w:ascii="Garamond" w:hAnsi="Garamond" w:cs="Times New Roman"/>
          <w:sz w:val="21"/>
          <w:szCs w:val="21"/>
        </w:rPr>
        <w:t>, the average monthly dram deposit rate was 1</w:t>
      </w:r>
      <w:r w:rsidR="00F167BC">
        <w:rPr>
          <w:rFonts w:ascii="Garamond" w:hAnsi="Garamond" w:cs="Times New Roman"/>
          <w:sz w:val="21"/>
          <w:szCs w:val="21"/>
        </w:rPr>
        <w:t>5</w:t>
      </w:r>
      <w:r w:rsidR="00057C44" w:rsidRPr="004E7A10">
        <w:rPr>
          <w:rFonts w:ascii="Garamond" w:hAnsi="Garamond" w:cs="Times New Roman"/>
          <w:sz w:val="21"/>
          <w:szCs w:val="21"/>
        </w:rPr>
        <w:t xml:space="preserve">.9%, up by </w:t>
      </w:r>
      <w:r w:rsidR="00F167BC">
        <w:rPr>
          <w:rFonts w:ascii="Garamond" w:hAnsi="Garamond" w:cs="Times New Roman"/>
          <w:sz w:val="21"/>
          <w:szCs w:val="21"/>
        </w:rPr>
        <w:t>4</w:t>
      </w:r>
      <w:r w:rsidR="00057C44" w:rsidRPr="004E7A10">
        <w:rPr>
          <w:rFonts w:ascii="Garamond" w:hAnsi="Garamond" w:cs="Times New Roman"/>
          <w:sz w:val="21"/>
          <w:szCs w:val="21"/>
        </w:rPr>
        <w:t>.</w:t>
      </w:r>
      <w:r w:rsidR="00F167BC">
        <w:rPr>
          <w:rFonts w:ascii="Garamond" w:hAnsi="Garamond" w:cs="Times New Roman"/>
          <w:sz w:val="21"/>
          <w:szCs w:val="21"/>
        </w:rPr>
        <w:t>0</w:t>
      </w:r>
      <w:r w:rsidR="00057C44" w:rsidRPr="004E7A10">
        <w:rPr>
          <w:rFonts w:ascii="Garamond" w:hAnsi="Garamond" w:cs="Times New Roman"/>
          <w:sz w:val="21"/>
          <w:szCs w:val="21"/>
        </w:rPr>
        <w:t xml:space="preserve"> pp </w:t>
      </w:r>
      <w:r w:rsidR="00F167BC">
        <w:rPr>
          <w:rFonts w:ascii="Garamond" w:hAnsi="Garamond" w:cs="Times New Roman"/>
          <w:sz w:val="21"/>
          <w:szCs w:val="21"/>
        </w:rPr>
        <w:t>against December</w:t>
      </w:r>
      <w:r w:rsidR="00D37B06">
        <w:rPr>
          <w:rFonts w:ascii="Garamond" w:hAnsi="Garamond" w:cs="Times New Roman"/>
          <w:sz w:val="21"/>
          <w:szCs w:val="21"/>
        </w:rPr>
        <w:t xml:space="preserve">, with the average quarterly indicator having grown by 2.5 pp to 14.4% relative to the previous quarter. </w:t>
      </w:r>
      <w:r w:rsidR="00CC10B1" w:rsidRPr="004E7A10">
        <w:rPr>
          <w:rFonts w:ascii="Garamond" w:hAnsi="Garamond" w:cs="Times New Roman"/>
          <w:sz w:val="21"/>
          <w:szCs w:val="21"/>
        </w:rPr>
        <w:t>The average foreign currency deposit rate was</w:t>
      </w:r>
      <w:r w:rsidR="00057C44" w:rsidRPr="004E7A10">
        <w:rPr>
          <w:rFonts w:ascii="Garamond" w:hAnsi="Garamond" w:cs="Times New Roman"/>
          <w:sz w:val="21"/>
          <w:szCs w:val="21"/>
        </w:rPr>
        <w:t xml:space="preserve"> </w:t>
      </w:r>
      <w:r w:rsidR="00F275A5">
        <w:rPr>
          <w:rFonts w:ascii="Garamond" w:hAnsi="Garamond" w:cs="Times New Roman"/>
          <w:sz w:val="21"/>
          <w:szCs w:val="21"/>
        </w:rPr>
        <w:t>6</w:t>
      </w:r>
      <w:r w:rsidR="00057C44" w:rsidRPr="004E7A10">
        <w:rPr>
          <w:rFonts w:ascii="Garamond" w:hAnsi="Garamond" w:cs="Times New Roman"/>
          <w:sz w:val="21"/>
          <w:szCs w:val="21"/>
        </w:rPr>
        <w:t>.</w:t>
      </w:r>
      <w:r w:rsidR="00F275A5">
        <w:rPr>
          <w:rFonts w:ascii="Garamond" w:hAnsi="Garamond" w:cs="Times New Roman"/>
          <w:sz w:val="21"/>
          <w:szCs w:val="21"/>
        </w:rPr>
        <w:t>7</w:t>
      </w:r>
      <w:r w:rsidR="00057C44" w:rsidRPr="004E7A10">
        <w:rPr>
          <w:rFonts w:ascii="Garamond" w:hAnsi="Garamond" w:cs="Times New Roman"/>
          <w:sz w:val="21"/>
          <w:szCs w:val="21"/>
        </w:rPr>
        <w:t>%</w:t>
      </w:r>
      <w:r w:rsidR="00CC10B1" w:rsidRPr="004E7A10">
        <w:rPr>
          <w:rFonts w:ascii="Garamond" w:hAnsi="Garamond" w:cs="Times New Roman"/>
          <w:sz w:val="21"/>
          <w:szCs w:val="21"/>
        </w:rPr>
        <w:t xml:space="preserve">, </w:t>
      </w:r>
      <w:r w:rsidR="00F275A5">
        <w:rPr>
          <w:rFonts w:ascii="Garamond" w:hAnsi="Garamond" w:cs="Times New Roman"/>
          <w:sz w:val="21"/>
          <w:szCs w:val="21"/>
        </w:rPr>
        <w:t xml:space="preserve">down </w:t>
      </w:r>
      <w:r w:rsidR="00CC10B1" w:rsidRPr="004E7A10">
        <w:rPr>
          <w:rFonts w:ascii="Garamond" w:hAnsi="Garamond" w:cs="Times New Roman"/>
          <w:sz w:val="21"/>
          <w:szCs w:val="21"/>
        </w:rPr>
        <w:t>by 1.</w:t>
      </w:r>
      <w:r w:rsidR="00F275A5">
        <w:rPr>
          <w:rFonts w:ascii="Garamond" w:hAnsi="Garamond" w:cs="Times New Roman"/>
          <w:sz w:val="21"/>
          <w:szCs w:val="21"/>
        </w:rPr>
        <w:t>5</w:t>
      </w:r>
      <w:r w:rsidR="00CC10B1" w:rsidRPr="004E7A10">
        <w:rPr>
          <w:rFonts w:ascii="Garamond" w:hAnsi="Garamond" w:cs="Times New Roman"/>
          <w:sz w:val="21"/>
          <w:szCs w:val="21"/>
        </w:rPr>
        <w:t xml:space="preserve"> pp against </w:t>
      </w:r>
      <w:r w:rsidR="00F275A5">
        <w:rPr>
          <w:rFonts w:ascii="Garamond" w:hAnsi="Garamond" w:cs="Times New Roman"/>
          <w:sz w:val="21"/>
          <w:szCs w:val="21"/>
        </w:rPr>
        <w:t>Dece</w:t>
      </w:r>
      <w:r w:rsidR="00057C44" w:rsidRPr="004E7A10">
        <w:rPr>
          <w:rFonts w:ascii="Garamond" w:hAnsi="Garamond" w:cs="Times New Roman"/>
          <w:sz w:val="21"/>
          <w:szCs w:val="21"/>
        </w:rPr>
        <w:t>mber</w:t>
      </w:r>
      <w:r w:rsidR="00CC10B1" w:rsidRPr="004E7A10">
        <w:rPr>
          <w:rFonts w:ascii="Garamond" w:hAnsi="Garamond" w:cs="Times New Roman"/>
          <w:sz w:val="21"/>
          <w:szCs w:val="21"/>
        </w:rPr>
        <w:t xml:space="preserve">, with </w:t>
      </w:r>
      <w:r w:rsidR="00F275A5">
        <w:rPr>
          <w:rFonts w:ascii="Garamond" w:hAnsi="Garamond" w:cs="Times New Roman"/>
          <w:sz w:val="21"/>
          <w:szCs w:val="21"/>
        </w:rPr>
        <w:t xml:space="preserve">the </w:t>
      </w:r>
      <w:r w:rsidR="00CC10B1" w:rsidRPr="004E7A10">
        <w:rPr>
          <w:rFonts w:ascii="Garamond" w:hAnsi="Garamond" w:cs="Times New Roman"/>
          <w:sz w:val="21"/>
          <w:szCs w:val="21"/>
        </w:rPr>
        <w:t xml:space="preserve">average quarterly interest rate having </w:t>
      </w:r>
      <w:r w:rsidR="00F275A5">
        <w:rPr>
          <w:rFonts w:ascii="Garamond" w:hAnsi="Garamond" w:cs="Times New Roman"/>
          <w:sz w:val="21"/>
          <w:szCs w:val="21"/>
        </w:rPr>
        <w:t>fallen</w:t>
      </w:r>
      <w:r w:rsidR="00CC10B1" w:rsidRPr="004E7A10">
        <w:rPr>
          <w:rFonts w:ascii="Garamond" w:hAnsi="Garamond" w:cs="Times New Roman"/>
          <w:sz w:val="21"/>
          <w:szCs w:val="21"/>
        </w:rPr>
        <w:t xml:space="preserve"> by 0.</w:t>
      </w:r>
      <w:r w:rsidR="00F275A5">
        <w:rPr>
          <w:rFonts w:ascii="Garamond" w:hAnsi="Garamond" w:cs="Times New Roman"/>
          <w:sz w:val="21"/>
          <w:szCs w:val="21"/>
        </w:rPr>
        <w:t>4</w:t>
      </w:r>
      <w:r w:rsidR="00CC10B1" w:rsidRPr="004E7A10">
        <w:rPr>
          <w:rFonts w:ascii="Garamond" w:hAnsi="Garamond" w:cs="Times New Roman"/>
          <w:sz w:val="21"/>
          <w:szCs w:val="21"/>
        </w:rPr>
        <w:t xml:space="preserve"> pp to </w:t>
      </w:r>
      <w:r w:rsidR="00F275A5">
        <w:rPr>
          <w:rFonts w:ascii="Garamond" w:hAnsi="Garamond" w:cs="Times New Roman"/>
          <w:sz w:val="21"/>
          <w:szCs w:val="21"/>
        </w:rPr>
        <w:t>6</w:t>
      </w:r>
      <w:r w:rsidR="00CC10B1" w:rsidRPr="004E7A10">
        <w:rPr>
          <w:rFonts w:ascii="Garamond" w:hAnsi="Garamond" w:cs="Times New Roman"/>
          <w:sz w:val="21"/>
          <w:szCs w:val="21"/>
        </w:rPr>
        <w:t>.</w:t>
      </w:r>
      <w:r w:rsidR="00F275A5">
        <w:rPr>
          <w:rFonts w:ascii="Garamond" w:hAnsi="Garamond" w:cs="Times New Roman"/>
          <w:sz w:val="21"/>
          <w:szCs w:val="21"/>
        </w:rPr>
        <w:t>8</w:t>
      </w:r>
      <w:r w:rsidR="00CC10B1" w:rsidRPr="004E7A10">
        <w:rPr>
          <w:rFonts w:ascii="Garamond" w:hAnsi="Garamond" w:cs="Times New Roman"/>
          <w:sz w:val="21"/>
          <w:szCs w:val="21"/>
        </w:rPr>
        <w:t xml:space="preserve">% </w:t>
      </w:r>
      <w:r w:rsidR="00F275A5">
        <w:rPr>
          <w:rFonts w:ascii="Garamond" w:hAnsi="Garamond" w:cs="Times New Roman"/>
          <w:sz w:val="21"/>
          <w:szCs w:val="21"/>
        </w:rPr>
        <w:t>compared</w:t>
      </w:r>
      <w:r w:rsidR="00CC10B1" w:rsidRPr="004E7A10">
        <w:rPr>
          <w:rFonts w:ascii="Garamond" w:hAnsi="Garamond" w:cs="Times New Roman"/>
          <w:sz w:val="21"/>
          <w:szCs w:val="21"/>
        </w:rPr>
        <w:t xml:space="preserve"> to the previous quarter. </w:t>
      </w:r>
    </w:p>
    <w:p w14:paraId="024AE90F" w14:textId="77777777" w:rsidR="00A0184C" w:rsidRDefault="00A0184C" w:rsidP="00057C44">
      <w:pPr>
        <w:spacing w:line="360" w:lineRule="auto"/>
        <w:jc w:val="both"/>
        <w:rPr>
          <w:rFonts w:ascii="Garamond" w:hAnsi="Garamond" w:cs="Times New Roman"/>
          <w:sz w:val="21"/>
          <w:szCs w:val="21"/>
        </w:rPr>
      </w:pPr>
      <w:r>
        <w:rPr>
          <w:rFonts w:ascii="Garamond" w:hAnsi="Garamond" w:cs="Times New Roman"/>
          <w:sz w:val="21"/>
          <w:szCs w:val="21"/>
        </w:rPr>
        <w:t xml:space="preserve">The </w:t>
      </w:r>
      <w:r w:rsidRPr="00A0184C">
        <w:rPr>
          <w:rFonts w:ascii="Garamond" w:hAnsi="Garamond" w:cs="Times New Roman"/>
          <w:sz w:val="21"/>
          <w:szCs w:val="21"/>
        </w:rPr>
        <w:t>uncertaint</w:t>
      </w:r>
      <w:r>
        <w:rPr>
          <w:rFonts w:ascii="Garamond" w:hAnsi="Garamond" w:cs="Times New Roman"/>
          <w:sz w:val="21"/>
          <w:szCs w:val="21"/>
        </w:rPr>
        <w:t>ies in the f</w:t>
      </w:r>
      <w:r w:rsidRPr="00A0184C">
        <w:rPr>
          <w:rFonts w:ascii="Garamond" w:hAnsi="Garamond" w:cs="Times New Roman"/>
          <w:sz w:val="21"/>
          <w:szCs w:val="21"/>
        </w:rPr>
        <w:t xml:space="preserve">inancial market </w:t>
      </w:r>
      <w:r>
        <w:rPr>
          <w:rFonts w:ascii="Garamond" w:hAnsi="Garamond" w:cs="Times New Roman"/>
          <w:sz w:val="21"/>
          <w:szCs w:val="21"/>
        </w:rPr>
        <w:t xml:space="preserve">in </w:t>
      </w:r>
      <w:r w:rsidRPr="00A0184C">
        <w:rPr>
          <w:rFonts w:ascii="Garamond" w:hAnsi="Garamond" w:cs="Times New Roman"/>
          <w:sz w:val="21"/>
          <w:szCs w:val="21"/>
        </w:rPr>
        <w:t xml:space="preserve">December </w:t>
      </w:r>
      <w:r>
        <w:rPr>
          <w:rFonts w:ascii="Garamond" w:hAnsi="Garamond" w:cs="Times New Roman"/>
          <w:sz w:val="21"/>
          <w:szCs w:val="21"/>
        </w:rPr>
        <w:t xml:space="preserve">2014 </w:t>
      </w:r>
      <w:r w:rsidRPr="00A0184C">
        <w:rPr>
          <w:rFonts w:ascii="Garamond" w:hAnsi="Garamond" w:cs="Times New Roman"/>
          <w:sz w:val="21"/>
          <w:szCs w:val="21"/>
        </w:rPr>
        <w:t xml:space="preserve">left their mark </w:t>
      </w:r>
      <w:r>
        <w:rPr>
          <w:rFonts w:ascii="Garamond" w:hAnsi="Garamond" w:cs="Times New Roman"/>
          <w:sz w:val="21"/>
          <w:szCs w:val="21"/>
        </w:rPr>
        <w:t xml:space="preserve">on </w:t>
      </w:r>
      <w:r w:rsidRPr="00A0184C">
        <w:rPr>
          <w:rFonts w:ascii="Garamond" w:hAnsi="Garamond" w:cs="Times New Roman"/>
          <w:sz w:val="21"/>
          <w:szCs w:val="21"/>
        </w:rPr>
        <w:t xml:space="preserve">the volume of </w:t>
      </w:r>
      <w:r>
        <w:rPr>
          <w:rFonts w:ascii="Garamond" w:hAnsi="Garamond" w:cs="Times New Roman"/>
          <w:sz w:val="21"/>
          <w:szCs w:val="21"/>
        </w:rPr>
        <w:t xml:space="preserve">funds </w:t>
      </w:r>
      <w:r w:rsidRPr="00A0184C">
        <w:rPr>
          <w:rFonts w:ascii="Garamond" w:hAnsi="Garamond" w:cs="Times New Roman"/>
          <w:sz w:val="21"/>
          <w:szCs w:val="21"/>
        </w:rPr>
        <w:t xml:space="preserve">attracted </w:t>
      </w:r>
      <w:r>
        <w:rPr>
          <w:rFonts w:ascii="Garamond" w:hAnsi="Garamond" w:cs="Times New Roman"/>
          <w:sz w:val="21"/>
          <w:szCs w:val="21"/>
        </w:rPr>
        <w:t>during the 1st</w:t>
      </w:r>
      <w:r w:rsidRPr="00A0184C">
        <w:rPr>
          <w:rFonts w:ascii="Garamond" w:hAnsi="Garamond" w:cs="Times New Roman"/>
          <w:sz w:val="21"/>
          <w:szCs w:val="21"/>
        </w:rPr>
        <w:t xml:space="preserve"> </w:t>
      </w:r>
      <w:r>
        <w:rPr>
          <w:rFonts w:ascii="Garamond" w:hAnsi="Garamond" w:cs="Times New Roman"/>
          <w:sz w:val="21"/>
          <w:szCs w:val="21"/>
        </w:rPr>
        <w:t xml:space="preserve">quarter of </w:t>
      </w:r>
      <w:r w:rsidRPr="00A0184C">
        <w:rPr>
          <w:rFonts w:ascii="Garamond" w:hAnsi="Garamond" w:cs="Times New Roman"/>
          <w:sz w:val="21"/>
          <w:szCs w:val="21"/>
        </w:rPr>
        <w:t xml:space="preserve">2015. </w:t>
      </w:r>
      <w:r>
        <w:rPr>
          <w:rFonts w:ascii="Garamond" w:hAnsi="Garamond" w:cs="Times New Roman"/>
          <w:sz w:val="21"/>
          <w:szCs w:val="21"/>
        </w:rPr>
        <w:t>The volume of funds attracted in both Armenian dram and foreign currency has shrunk. The contraction was remarkable for both demand and time deposits attracted from enterprises</w:t>
      </w:r>
      <w:r w:rsidRPr="00A0184C">
        <w:rPr>
          <w:rFonts w:ascii="Garamond" w:hAnsi="Garamond" w:cs="Times New Roman"/>
          <w:sz w:val="21"/>
          <w:szCs w:val="21"/>
        </w:rPr>
        <w:t>. During the quarter, deposits</w:t>
      </w:r>
      <w:r>
        <w:rPr>
          <w:rFonts w:ascii="Garamond" w:hAnsi="Garamond" w:cs="Times New Roman"/>
          <w:sz w:val="21"/>
          <w:szCs w:val="21"/>
        </w:rPr>
        <w:t xml:space="preserve"> in Armenian dram</w:t>
      </w:r>
      <w:r w:rsidRPr="00A0184C">
        <w:rPr>
          <w:rFonts w:ascii="Garamond" w:hAnsi="Garamond" w:cs="Times New Roman"/>
          <w:sz w:val="21"/>
          <w:szCs w:val="21"/>
        </w:rPr>
        <w:t xml:space="preserve"> decreased by 2.0% </w:t>
      </w:r>
      <w:r>
        <w:rPr>
          <w:rFonts w:ascii="Garamond" w:hAnsi="Garamond" w:cs="Times New Roman"/>
          <w:sz w:val="21"/>
          <w:szCs w:val="21"/>
        </w:rPr>
        <w:t xml:space="preserve">and </w:t>
      </w:r>
      <w:r w:rsidRPr="00A0184C">
        <w:rPr>
          <w:rFonts w:ascii="Garamond" w:hAnsi="Garamond" w:cs="Times New Roman"/>
          <w:sz w:val="21"/>
          <w:szCs w:val="21"/>
        </w:rPr>
        <w:t xml:space="preserve">foreign currency </w:t>
      </w:r>
      <w:r>
        <w:rPr>
          <w:rFonts w:ascii="Garamond" w:hAnsi="Garamond" w:cs="Times New Roman"/>
          <w:sz w:val="21"/>
          <w:szCs w:val="21"/>
        </w:rPr>
        <w:t xml:space="preserve">deposits, by </w:t>
      </w:r>
      <w:r w:rsidRPr="00A0184C">
        <w:rPr>
          <w:rFonts w:ascii="Garamond" w:hAnsi="Garamond" w:cs="Times New Roman"/>
          <w:sz w:val="21"/>
          <w:szCs w:val="21"/>
        </w:rPr>
        <w:t>1.3</w:t>
      </w:r>
      <w:r>
        <w:rPr>
          <w:rFonts w:ascii="Garamond" w:hAnsi="Garamond" w:cs="Times New Roman"/>
          <w:sz w:val="21"/>
          <w:szCs w:val="21"/>
        </w:rPr>
        <w:t>%</w:t>
      </w:r>
      <w:r w:rsidRPr="00A0184C">
        <w:rPr>
          <w:rFonts w:ascii="Garamond" w:hAnsi="Garamond" w:cs="Times New Roman"/>
          <w:sz w:val="21"/>
          <w:szCs w:val="21"/>
        </w:rPr>
        <w:t>.</w:t>
      </w:r>
    </w:p>
    <w:p w14:paraId="0EDB8605" w14:textId="77777777" w:rsidR="009C2369" w:rsidRDefault="009C2369" w:rsidP="00057C44">
      <w:pPr>
        <w:spacing w:line="360" w:lineRule="auto"/>
        <w:jc w:val="both"/>
        <w:rPr>
          <w:rFonts w:ascii="Garamond" w:hAnsi="Garamond" w:cs="Times New Roman"/>
          <w:sz w:val="21"/>
          <w:szCs w:val="21"/>
        </w:rPr>
      </w:pPr>
      <w:r w:rsidRPr="009C2369">
        <w:rPr>
          <w:rFonts w:ascii="Garamond" w:hAnsi="Garamond" w:cs="Times New Roman"/>
          <w:sz w:val="21"/>
          <w:szCs w:val="21"/>
        </w:rPr>
        <w:t xml:space="preserve">The </w:t>
      </w:r>
      <w:r>
        <w:rPr>
          <w:rFonts w:ascii="Garamond" w:hAnsi="Garamond" w:cs="Times New Roman"/>
          <w:sz w:val="21"/>
          <w:szCs w:val="21"/>
        </w:rPr>
        <w:t xml:space="preserve">dram </w:t>
      </w:r>
      <w:r w:rsidRPr="009C2369">
        <w:rPr>
          <w:rFonts w:ascii="Garamond" w:hAnsi="Garamond" w:cs="Times New Roman"/>
          <w:sz w:val="21"/>
          <w:szCs w:val="21"/>
        </w:rPr>
        <w:t xml:space="preserve">lending rates </w:t>
      </w:r>
      <w:r>
        <w:rPr>
          <w:rFonts w:ascii="Garamond" w:hAnsi="Garamond" w:cs="Times New Roman"/>
          <w:sz w:val="21"/>
          <w:szCs w:val="21"/>
        </w:rPr>
        <w:t>were</w:t>
      </w:r>
      <w:r w:rsidRPr="009C2369">
        <w:rPr>
          <w:rFonts w:ascii="Garamond" w:hAnsi="Garamond" w:cs="Times New Roman"/>
          <w:sz w:val="21"/>
          <w:szCs w:val="21"/>
        </w:rPr>
        <w:t xml:space="preserve"> relatively stable during the quarter</w:t>
      </w:r>
      <w:r>
        <w:rPr>
          <w:rFonts w:ascii="Garamond" w:hAnsi="Garamond" w:cs="Times New Roman"/>
          <w:sz w:val="21"/>
          <w:szCs w:val="21"/>
        </w:rPr>
        <w:t>. The interest rates even posted a slight decline in some cases. The average quarterly dram lending rate has dipped by 0.3 pp in relation to the previous quarter to 17.7%. Th</w:t>
      </w:r>
      <w:r w:rsidR="00A83832">
        <w:rPr>
          <w:rFonts w:ascii="Garamond" w:hAnsi="Garamond" w:cs="Times New Roman"/>
          <w:sz w:val="21"/>
          <w:szCs w:val="21"/>
        </w:rPr>
        <w:t xml:space="preserve">e </w:t>
      </w:r>
      <w:r>
        <w:rPr>
          <w:rFonts w:ascii="Garamond" w:hAnsi="Garamond" w:cs="Times New Roman"/>
          <w:sz w:val="21"/>
          <w:szCs w:val="21"/>
        </w:rPr>
        <w:t xml:space="preserve">trend </w:t>
      </w:r>
      <w:r w:rsidR="00A83832">
        <w:rPr>
          <w:rFonts w:ascii="Garamond" w:hAnsi="Garamond" w:cs="Times New Roman"/>
          <w:sz w:val="21"/>
          <w:szCs w:val="21"/>
        </w:rPr>
        <w:t xml:space="preserve">of decline </w:t>
      </w:r>
      <w:r>
        <w:rPr>
          <w:rFonts w:ascii="Garamond" w:hAnsi="Garamond" w:cs="Times New Roman"/>
          <w:sz w:val="21"/>
          <w:szCs w:val="21"/>
        </w:rPr>
        <w:t xml:space="preserve">was observable in interest rates of </w:t>
      </w:r>
      <w:r w:rsidR="00A83832" w:rsidRPr="009C2369">
        <w:rPr>
          <w:rFonts w:ascii="Garamond" w:hAnsi="Garamond" w:cs="Times New Roman"/>
          <w:sz w:val="21"/>
          <w:szCs w:val="21"/>
        </w:rPr>
        <w:t>more than 1</w:t>
      </w:r>
      <w:r w:rsidR="007F46DB">
        <w:rPr>
          <w:rFonts w:ascii="Garamond" w:hAnsi="Garamond" w:cs="Times New Roman"/>
          <w:sz w:val="21"/>
          <w:szCs w:val="21"/>
        </w:rPr>
        <w:t>-</w:t>
      </w:r>
      <w:r w:rsidR="00A83832" w:rsidRPr="009C2369">
        <w:rPr>
          <w:rFonts w:ascii="Garamond" w:hAnsi="Garamond" w:cs="Times New Roman"/>
          <w:sz w:val="21"/>
          <w:szCs w:val="21"/>
        </w:rPr>
        <w:t>year loans</w:t>
      </w:r>
      <w:r w:rsidR="00A83832">
        <w:rPr>
          <w:rFonts w:ascii="Garamond" w:hAnsi="Garamond" w:cs="Times New Roman"/>
          <w:sz w:val="21"/>
          <w:szCs w:val="21"/>
        </w:rPr>
        <w:t xml:space="preserve"> </w:t>
      </w:r>
      <w:r>
        <w:rPr>
          <w:rFonts w:ascii="Garamond" w:hAnsi="Garamond" w:cs="Times New Roman"/>
          <w:sz w:val="21"/>
          <w:szCs w:val="21"/>
        </w:rPr>
        <w:t xml:space="preserve">to </w:t>
      </w:r>
      <w:r w:rsidR="00A83832" w:rsidRPr="009C2369">
        <w:rPr>
          <w:rFonts w:ascii="Garamond" w:hAnsi="Garamond" w:cs="Times New Roman"/>
          <w:sz w:val="21"/>
          <w:szCs w:val="21"/>
        </w:rPr>
        <w:t>individuals</w:t>
      </w:r>
      <w:r w:rsidR="00A83832">
        <w:rPr>
          <w:rFonts w:ascii="Garamond" w:hAnsi="Garamond" w:cs="Times New Roman"/>
          <w:sz w:val="21"/>
          <w:szCs w:val="21"/>
        </w:rPr>
        <w:t xml:space="preserve"> and companies: t</w:t>
      </w:r>
      <w:r w:rsidRPr="009C2369">
        <w:rPr>
          <w:rFonts w:ascii="Garamond" w:hAnsi="Garamond" w:cs="Times New Roman"/>
          <w:sz w:val="21"/>
          <w:szCs w:val="21"/>
        </w:rPr>
        <w:t>he average figure for the quarter d</w:t>
      </w:r>
      <w:r w:rsidR="00A83832">
        <w:rPr>
          <w:rFonts w:ascii="Garamond" w:hAnsi="Garamond" w:cs="Times New Roman"/>
          <w:sz w:val="21"/>
          <w:szCs w:val="21"/>
        </w:rPr>
        <w:t>ipped by</w:t>
      </w:r>
      <w:r w:rsidRPr="009C2369">
        <w:rPr>
          <w:rFonts w:ascii="Garamond" w:hAnsi="Garamond" w:cs="Times New Roman"/>
          <w:sz w:val="21"/>
          <w:szCs w:val="21"/>
        </w:rPr>
        <w:t xml:space="preserve"> 0.9 pp.</w:t>
      </w:r>
    </w:p>
    <w:p w14:paraId="16B12FAF" w14:textId="77777777" w:rsidR="00945E09"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007F46DB">
        <w:rPr>
          <w:rFonts w:ascii="Garamond" w:hAnsi="Garamond" w:cs="Times New Roman"/>
          <w:sz w:val="21"/>
          <w:szCs w:val="21"/>
        </w:rPr>
        <w:t>1st</w:t>
      </w:r>
      <w:r w:rsidRPr="004E7A10">
        <w:rPr>
          <w:rFonts w:ascii="Garamond" w:hAnsi="Garamond" w:cs="Times New Roman"/>
          <w:sz w:val="21"/>
          <w:szCs w:val="21"/>
        </w:rPr>
        <w:t xml:space="preserve"> quarter of 201</w:t>
      </w:r>
      <w:r w:rsidR="007F46DB">
        <w:rPr>
          <w:rFonts w:ascii="Garamond" w:hAnsi="Garamond" w:cs="Times New Roman"/>
          <w:sz w:val="21"/>
          <w:szCs w:val="21"/>
        </w:rPr>
        <w:t>5</w:t>
      </w:r>
      <w:r w:rsidRPr="004E7A10">
        <w:rPr>
          <w:rFonts w:ascii="Garamond" w:hAnsi="Garamond" w:cs="Times New Roman"/>
          <w:sz w:val="21"/>
          <w:szCs w:val="21"/>
        </w:rPr>
        <w:t>, foreign currency lending rates d</w:t>
      </w:r>
      <w:r w:rsidR="007F46DB">
        <w:rPr>
          <w:rFonts w:ascii="Garamond" w:hAnsi="Garamond" w:cs="Times New Roman"/>
          <w:sz w:val="21"/>
          <w:szCs w:val="21"/>
        </w:rPr>
        <w:t>id not report a notable change</w:t>
      </w:r>
      <w:r w:rsidRPr="004E7A10">
        <w:rPr>
          <w:rFonts w:ascii="Garamond" w:hAnsi="Garamond" w:cs="Times New Roman"/>
          <w:sz w:val="21"/>
          <w:szCs w:val="21"/>
        </w:rPr>
        <w:t xml:space="preserve">. </w:t>
      </w:r>
    </w:p>
    <w:p w14:paraId="267F0A18" w14:textId="77777777" w:rsidR="00E661A4" w:rsidRDefault="00E661A4" w:rsidP="00A9653E">
      <w:pPr>
        <w:spacing w:line="360" w:lineRule="auto"/>
        <w:jc w:val="both"/>
        <w:rPr>
          <w:rFonts w:ascii="Garamond" w:hAnsi="Garamond" w:cs="Times New Roman"/>
          <w:sz w:val="21"/>
          <w:szCs w:val="21"/>
        </w:rPr>
      </w:pPr>
      <w:r>
        <w:rPr>
          <w:rFonts w:ascii="Garamond" w:hAnsi="Garamond" w:cs="Times New Roman"/>
          <w:sz w:val="21"/>
          <w:szCs w:val="21"/>
        </w:rPr>
        <w:t xml:space="preserve">The </w:t>
      </w:r>
      <w:r w:rsidRPr="00E661A4">
        <w:rPr>
          <w:rFonts w:ascii="Garamond" w:hAnsi="Garamond" w:cs="Times New Roman"/>
          <w:sz w:val="21"/>
          <w:szCs w:val="21"/>
        </w:rPr>
        <w:t xml:space="preserve">slowing </w:t>
      </w:r>
      <w:r>
        <w:rPr>
          <w:rFonts w:ascii="Garamond" w:hAnsi="Garamond" w:cs="Times New Roman"/>
          <w:sz w:val="21"/>
          <w:szCs w:val="21"/>
        </w:rPr>
        <w:t>e</w:t>
      </w:r>
      <w:r w:rsidRPr="00E661A4">
        <w:rPr>
          <w:rFonts w:ascii="Garamond" w:hAnsi="Garamond" w:cs="Times New Roman"/>
          <w:sz w:val="21"/>
          <w:szCs w:val="21"/>
        </w:rPr>
        <w:t>conomic growth</w:t>
      </w:r>
      <w:r w:rsidR="00961B47">
        <w:rPr>
          <w:rFonts w:ascii="Garamond" w:hAnsi="Garamond" w:cs="Times New Roman"/>
          <w:sz w:val="21"/>
          <w:szCs w:val="21"/>
        </w:rPr>
        <w:t>,</w:t>
      </w:r>
      <w:r w:rsidRPr="00E661A4">
        <w:rPr>
          <w:rFonts w:ascii="Garamond" w:hAnsi="Garamond" w:cs="Times New Roman"/>
          <w:sz w:val="21"/>
          <w:szCs w:val="21"/>
        </w:rPr>
        <w:t xml:space="preserve"> reduc</w:t>
      </w:r>
      <w:r>
        <w:rPr>
          <w:rFonts w:ascii="Garamond" w:hAnsi="Garamond" w:cs="Times New Roman"/>
          <w:sz w:val="21"/>
          <w:szCs w:val="21"/>
        </w:rPr>
        <w:t>ed</w:t>
      </w:r>
      <w:r w:rsidRPr="00E661A4">
        <w:rPr>
          <w:rFonts w:ascii="Garamond" w:hAnsi="Garamond" w:cs="Times New Roman"/>
          <w:sz w:val="21"/>
          <w:szCs w:val="21"/>
        </w:rPr>
        <w:t xml:space="preserve"> household savings, </w:t>
      </w:r>
      <w:r w:rsidR="00961B47">
        <w:rPr>
          <w:rFonts w:ascii="Garamond" w:hAnsi="Garamond" w:cs="Times New Roman"/>
          <w:sz w:val="21"/>
          <w:szCs w:val="21"/>
        </w:rPr>
        <w:t xml:space="preserve">and </w:t>
      </w:r>
      <w:r>
        <w:rPr>
          <w:rFonts w:ascii="Garamond" w:hAnsi="Garamond" w:cs="Times New Roman"/>
          <w:sz w:val="21"/>
          <w:szCs w:val="21"/>
        </w:rPr>
        <w:t xml:space="preserve">expensive </w:t>
      </w:r>
      <w:r w:rsidRPr="00E661A4">
        <w:rPr>
          <w:rFonts w:ascii="Garamond" w:hAnsi="Garamond" w:cs="Times New Roman"/>
          <w:sz w:val="21"/>
          <w:szCs w:val="21"/>
        </w:rPr>
        <w:t xml:space="preserve">financing </w:t>
      </w:r>
      <w:r>
        <w:rPr>
          <w:rFonts w:ascii="Garamond" w:hAnsi="Garamond" w:cs="Times New Roman"/>
          <w:sz w:val="21"/>
          <w:szCs w:val="21"/>
        </w:rPr>
        <w:t xml:space="preserve">all </w:t>
      </w:r>
      <w:r w:rsidRPr="00E661A4">
        <w:rPr>
          <w:rFonts w:ascii="Garamond" w:hAnsi="Garamond" w:cs="Times New Roman"/>
          <w:sz w:val="21"/>
          <w:szCs w:val="21"/>
        </w:rPr>
        <w:t xml:space="preserve">have influenced </w:t>
      </w:r>
      <w:r>
        <w:rPr>
          <w:rFonts w:ascii="Garamond" w:hAnsi="Garamond" w:cs="Times New Roman"/>
          <w:sz w:val="21"/>
          <w:szCs w:val="21"/>
        </w:rPr>
        <w:t xml:space="preserve">the </w:t>
      </w:r>
      <w:r w:rsidRPr="00E661A4">
        <w:rPr>
          <w:rFonts w:ascii="Garamond" w:hAnsi="Garamond" w:cs="Times New Roman"/>
          <w:sz w:val="21"/>
          <w:szCs w:val="21"/>
        </w:rPr>
        <w:t xml:space="preserve">lending volumes. This is evidenced by </w:t>
      </w:r>
      <w:r w:rsidR="00961B47">
        <w:rPr>
          <w:rFonts w:ascii="Garamond" w:hAnsi="Garamond" w:cs="Times New Roman"/>
          <w:sz w:val="21"/>
          <w:szCs w:val="21"/>
        </w:rPr>
        <w:t>t</w:t>
      </w:r>
      <w:r w:rsidRPr="00E661A4">
        <w:rPr>
          <w:rFonts w:ascii="Garamond" w:hAnsi="Garamond" w:cs="Times New Roman"/>
          <w:sz w:val="21"/>
          <w:szCs w:val="21"/>
        </w:rPr>
        <w:t xml:space="preserve">he </w:t>
      </w:r>
      <w:r w:rsidR="00961B47">
        <w:rPr>
          <w:rFonts w:ascii="Garamond" w:hAnsi="Garamond" w:cs="Times New Roman"/>
          <w:sz w:val="21"/>
          <w:szCs w:val="21"/>
        </w:rPr>
        <w:t>Central Bank’s s</w:t>
      </w:r>
      <w:r w:rsidRPr="00E661A4">
        <w:rPr>
          <w:rFonts w:ascii="Garamond" w:hAnsi="Garamond" w:cs="Times New Roman"/>
          <w:sz w:val="21"/>
          <w:szCs w:val="21"/>
        </w:rPr>
        <w:t xml:space="preserve">urvey on terms of lending by Armenian banks and credit organizations. During the quarter, </w:t>
      </w:r>
      <w:r w:rsidR="00961B47">
        <w:rPr>
          <w:rFonts w:ascii="Garamond" w:hAnsi="Garamond" w:cs="Times New Roman"/>
          <w:sz w:val="21"/>
          <w:szCs w:val="21"/>
        </w:rPr>
        <w:t xml:space="preserve">at the time of </w:t>
      </w:r>
      <w:r w:rsidR="00961B47" w:rsidRPr="00E661A4">
        <w:rPr>
          <w:rFonts w:ascii="Garamond" w:hAnsi="Garamond" w:cs="Times New Roman"/>
          <w:sz w:val="21"/>
          <w:szCs w:val="21"/>
        </w:rPr>
        <w:t xml:space="preserve">structural changes in </w:t>
      </w:r>
      <w:r w:rsidRPr="00E661A4">
        <w:rPr>
          <w:rFonts w:ascii="Garamond" w:hAnsi="Garamond" w:cs="Times New Roman"/>
          <w:sz w:val="21"/>
          <w:szCs w:val="21"/>
        </w:rPr>
        <w:t xml:space="preserve">the </w:t>
      </w:r>
      <w:r w:rsidR="00961B47">
        <w:rPr>
          <w:rFonts w:ascii="Garamond" w:hAnsi="Garamond" w:cs="Times New Roman"/>
          <w:sz w:val="21"/>
          <w:szCs w:val="21"/>
        </w:rPr>
        <w:t xml:space="preserve">economy, </w:t>
      </w:r>
      <w:r w:rsidRPr="00E661A4">
        <w:rPr>
          <w:rFonts w:ascii="Garamond" w:hAnsi="Garamond" w:cs="Times New Roman"/>
          <w:sz w:val="21"/>
          <w:szCs w:val="21"/>
        </w:rPr>
        <w:t xml:space="preserve">banks </w:t>
      </w:r>
      <w:r w:rsidR="00961B47">
        <w:rPr>
          <w:rFonts w:ascii="Garamond" w:hAnsi="Garamond" w:cs="Times New Roman"/>
          <w:sz w:val="21"/>
          <w:szCs w:val="21"/>
        </w:rPr>
        <w:t>re</w:t>
      </w:r>
      <w:r w:rsidRPr="00E661A4">
        <w:rPr>
          <w:rFonts w:ascii="Garamond" w:hAnsi="Garamond" w:cs="Times New Roman"/>
          <w:sz w:val="21"/>
          <w:szCs w:val="21"/>
        </w:rPr>
        <w:t>assess</w:t>
      </w:r>
      <w:r w:rsidR="00961B47">
        <w:rPr>
          <w:rFonts w:ascii="Garamond" w:hAnsi="Garamond" w:cs="Times New Roman"/>
          <w:sz w:val="21"/>
          <w:szCs w:val="21"/>
        </w:rPr>
        <w:t>ed</w:t>
      </w:r>
      <w:r w:rsidRPr="00E661A4">
        <w:rPr>
          <w:rFonts w:ascii="Garamond" w:hAnsi="Garamond" w:cs="Times New Roman"/>
          <w:sz w:val="21"/>
          <w:szCs w:val="21"/>
        </w:rPr>
        <w:t xml:space="preserve"> the</w:t>
      </w:r>
      <w:r w:rsidR="00961B47">
        <w:rPr>
          <w:rFonts w:ascii="Garamond" w:hAnsi="Garamond" w:cs="Times New Roman"/>
          <w:sz w:val="21"/>
          <w:szCs w:val="21"/>
        </w:rPr>
        <w:t>ir</w:t>
      </w:r>
      <w:r w:rsidRPr="00E661A4">
        <w:rPr>
          <w:rFonts w:ascii="Garamond" w:hAnsi="Garamond" w:cs="Times New Roman"/>
          <w:sz w:val="21"/>
          <w:szCs w:val="21"/>
        </w:rPr>
        <w:t xml:space="preserve"> risks, adjust</w:t>
      </w:r>
      <w:r w:rsidR="00961B47">
        <w:rPr>
          <w:rFonts w:ascii="Garamond" w:hAnsi="Garamond" w:cs="Times New Roman"/>
          <w:sz w:val="21"/>
          <w:szCs w:val="21"/>
        </w:rPr>
        <w:t>ed</w:t>
      </w:r>
      <w:r w:rsidRPr="00E661A4">
        <w:rPr>
          <w:rFonts w:ascii="Garamond" w:hAnsi="Garamond" w:cs="Times New Roman"/>
          <w:sz w:val="21"/>
          <w:szCs w:val="21"/>
        </w:rPr>
        <w:t xml:space="preserve"> </w:t>
      </w:r>
      <w:r w:rsidR="00961B47">
        <w:rPr>
          <w:rFonts w:ascii="Garamond" w:hAnsi="Garamond" w:cs="Times New Roman"/>
          <w:sz w:val="21"/>
          <w:szCs w:val="21"/>
        </w:rPr>
        <w:t xml:space="preserve">their </w:t>
      </w:r>
      <w:r w:rsidRPr="00E661A4">
        <w:rPr>
          <w:rFonts w:ascii="Garamond" w:hAnsi="Garamond" w:cs="Times New Roman"/>
          <w:sz w:val="21"/>
          <w:szCs w:val="21"/>
        </w:rPr>
        <w:t>credit policies in order to maintain the quality of the loan portfolio</w:t>
      </w:r>
      <w:r w:rsidR="00961B47">
        <w:rPr>
          <w:rFonts w:ascii="Garamond" w:hAnsi="Garamond" w:cs="Times New Roman"/>
          <w:sz w:val="21"/>
          <w:szCs w:val="21"/>
        </w:rPr>
        <w:t>.</w:t>
      </w:r>
    </w:p>
    <w:p w14:paraId="72B2F310" w14:textId="4C97C29C" w:rsidR="00945E09" w:rsidRPr="00611D2D" w:rsidRDefault="00611D2D" w:rsidP="00A9653E">
      <w:pPr>
        <w:spacing w:line="360" w:lineRule="auto"/>
        <w:jc w:val="both"/>
        <w:rPr>
          <w:rFonts w:ascii="Sylfaen" w:hAnsi="Sylfaen" w:cs="Times New Roman"/>
          <w:color w:val="FF0000"/>
          <w:sz w:val="21"/>
          <w:szCs w:val="21"/>
        </w:rPr>
      </w:pPr>
      <w:r>
        <w:rPr>
          <w:rFonts w:ascii="Sylfaen" w:hAnsi="Sylfaen" w:cs="Times New Roman"/>
          <w:color w:val="FF0000"/>
          <w:sz w:val="21"/>
          <w:szCs w:val="21"/>
        </w:rPr>
        <w:t>հանել պարբերությունը</w:t>
      </w:r>
    </w:p>
    <w:tbl>
      <w:tblPr>
        <w:tblStyle w:val="TableGrid"/>
        <w:tblW w:w="0" w:type="auto"/>
        <w:tblLook w:val="04A0" w:firstRow="1" w:lastRow="0" w:firstColumn="1" w:lastColumn="0" w:noHBand="0" w:noVBand="1"/>
      </w:tblPr>
      <w:tblGrid>
        <w:gridCol w:w="8856"/>
      </w:tblGrid>
      <w:tr w:rsidR="00C020D7" w14:paraId="712E7E6A" w14:textId="77777777" w:rsidTr="00C020D7">
        <w:tc>
          <w:tcPr>
            <w:tcW w:w="8856" w:type="dxa"/>
          </w:tcPr>
          <w:p w14:paraId="56239D6E" w14:textId="77777777" w:rsidR="00C020D7" w:rsidRPr="004E7A10" w:rsidRDefault="00C020D7" w:rsidP="00C020D7">
            <w:pPr>
              <w:spacing w:line="360" w:lineRule="auto"/>
              <w:jc w:val="both"/>
              <w:rPr>
                <w:rFonts w:ascii="Garamond" w:hAnsi="Garamond"/>
                <w:b/>
                <w:sz w:val="21"/>
                <w:szCs w:val="21"/>
              </w:rPr>
            </w:pPr>
            <w:r w:rsidRPr="004E7A10">
              <w:rPr>
                <w:rFonts w:ascii="Garamond" w:hAnsi="Garamond"/>
                <w:b/>
                <w:color w:val="000000"/>
                <w:sz w:val="21"/>
                <w:szCs w:val="21"/>
              </w:rPr>
              <w:t>Box 3</w:t>
            </w:r>
          </w:p>
          <w:p w14:paraId="2F5B5F1A" w14:textId="77777777" w:rsidR="00C020D7" w:rsidRPr="00B134E3" w:rsidRDefault="00611D2D" w:rsidP="00C020D7">
            <w:pPr>
              <w:spacing w:line="360" w:lineRule="auto"/>
              <w:jc w:val="both"/>
              <w:rPr>
                <w:rFonts w:ascii="Garamond" w:hAnsi="Garamond"/>
                <w:color w:val="FF0000"/>
                <w:sz w:val="21"/>
                <w:szCs w:val="21"/>
              </w:rPr>
            </w:pPr>
            <w:r>
              <w:rPr>
                <w:rFonts w:ascii="Garamond" w:hAnsi="Garamond"/>
                <w:color w:val="FF0000"/>
                <w:sz w:val="21"/>
                <w:szCs w:val="21"/>
              </w:rPr>
              <w:t xml:space="preserve"> </w:t>
            </w:r>
            <w:r>
              <w:rPr>
                <w:rFonts w:ascii="Sylfaen" w:hAnsi="Sylfaen"/>
                <w:color w:val="FF0000"/>
                <w:sz w:val="21"/>
                <w:szCs w:val="21"/>
              </w:rPr>
              <w:t xml:space="preserve">Նախորդ եռամսյակի  տվյալներն են </w:t>
            </w:r>
            <w:r w:rsidR="00C020D7" w:rsidRPr="00B134E3">
              <w:rPr>
                <w:rFonts w:ascii="Garamond" w:hAnsi="Garamond"/>
                <w:color w:val="FF0000"/>
                <w:sz w:val="21"/>
                <w:szCs w:val="21"/>
              </w:rPr>
              <w:t xml:space="preserve">The results of Q4 2014 survey on terms of lending by Armenian banks and credit organizations suggest that the terms of lending came in much tightened. The factors in support of the tightening included restricted liquidity, borrower creditworthiness, accessibility to the money markets, slowing of the economic activity. </w:t>
            </w:r>
          </w:p>
          <w:p w14:paraId="5F5C2FA0" w14:textId="77777777" w:rsidR="00C020D7" w:rsidRPr="00B134E3" w:rsidRDefault="00C020D7" w:rsidP="00C020D7">
            <w:pPr>
              <w:spacing w:line="360" w:lineRule="auto"/>
              <w:jc w:val="both"/>
              <w:rPr>
                <w:rFonts w:ascii="Garamond" w:hAnsi="Garamond"/>
                <w:color w:val="FF0000"/>
                <w:sz w:val="21"/>
                <w:szCs w:val="21"/>
              </w:rPr>
            </w:pPr>
            <w:r w:rsidRPr="00B134E3">
              <w:rPr>
                <w:rFonts w:ascii="Garamond" w:hAnsi="Garamond"/>
                <w:color w:val="FF0000"/>
                <w:sz w:val="21"/>
                <w:szCs w:val="21"/>
              </w:rPr>
              <w:t xml:space="preserve">During the 4th quarter, one could see the demand growing for consumer loans, staying unchanged for mortgage loans and declining for business loans, with the planned low level of capital investment as the principal factor for the decline.  </w:t>
            </w:r>
          </w:p>
          <w:p w14:paraId="6E9BFC64" w14:textId="77777777" w:rsidR="00C020D7" w:rsidRDefault="00C020D7" w:rsidP="00C020D7">
            <w:pPr>
              <w:spacing w:line="360" w:lineRule="auto"/>
              <w:jc w:val="both"/>
              <w:rPr>
                <w:rFonts w:ascii="Garamond" w:hAnsi="Garamond"/>
                <w:b/>
                <w:color w:val="000000"/>
                <w:sz w:val="21"/>
                <w:szCs w:val="21"/>
              </w:rPr>
            </w:pPr>
            <w:r w:rsidRPr="00B134E3">
              <w:rPr>
                <w:rFonts w:ascii="Garamond" w:hAnsi="Garamond"/>
                <w:color w:val="FF0000"/>
                <w:sz w:val="21"/>
                <w:szCs w:val="21"/>
              </w:rPr>
              <w:t xml:space="preserve">The terms of lending will continue to be tightened during the 4th quarter with regard to all types of loan products. The demand for business loans and consumer loans is expected to somewhat grow while the </w:t>
            </w:r>
            <w:r w:rsidRPr="00B134E3">
              <w:rPr>
                <w:rFonts w:ascii="Garamond" w:hAnsi="Garamond"/>
                <w:color w:val="FF0000"/>
                <w:sz w:val="21"/>
                <w:szCs w:val="21"/>
              </w:rPr>
              <w:lastRenderedPageBreak/>
              <w:t>demand for mortgage loans will be more or less the same.</w:t>
            </w:r>
          </w:p>
        </w:tc>
      </w:tr>
    </w:tbl>
    <w:p w14:paraId="1FB48C8A" w14:textId="77777777" w:rsidR="00A9653E" w:rsidRPr="004E7A10" w:rsidRDefault="00B80AFB" w:rsidP="00A9653E">
      <w:pPr>
        <w:spacing w:line="360" w:lineRule="auto"/>
        <w:jc w:val="both"/>
        <w:rPr>
          <w:rFonts w:ascii="Garamond" w:hAnsi="Garamond" w:cs="Times New Roman"/>
          <w:sz w:val="21"/>
          <w:szCs w:val="21"/>
        </w:rPr>
      </w:pPr>
      <w:r w:rsidRPr="004E7A10">
        <w:rPr>
          <w:rFonts w:ascii="Garamond" w:hAnsi="Garamond" w:cs="Times New Roman"/>
          <w:sz w:val="21"/>
          <w:szCs w:val="21"/>
        </w:rPr>
        <w:lastRenderedPageBreak/>
        <w:t xml:space="preserve"> </w:t>
      </w:r>
    </w:p>
    <w:p w14:paraId="6C80507D" w14:textId="77777777" w:rsidR="005728D3" w:rsidRPr="00B134E3" w:rsidRDefault="00AA10B7" w:rsidP="00A9653E">
      <w:pPr>
        <w:spacing w:line="360" w:lineRule="auto"/>
        <w:jc w:val="both"/>
        <w:rPr>
          <w:rFonts w:ascii="Garamond" w:hAnsi="Garamond" w:cs="Times New Roman"/>
          <w:color w:val="FF0000"/>
          <w:sz w:val="21"/>
          <w:szCs w:val="21"/>
        </w:rPr>
      </w:pPr>
      <w:r w:rsidRPr="00B134E3">
        <w:rPr>
          <w:rFonts w:ascii="Garamond" w:hAnsi="Garamond" w:cs="Times New Roman"/>
          <w:color w:val="FF0000"/>
          <w:sz w:val="21"/>
          <w:szCs w:val="21"/>
        </w:rPr>
        <w:t>T</w:t>
      </w:r>
      <w:r w:rsidR="00B80AFB" w:rsidRPr="00B134E3">
        <w:rPr>
          <w:rFonts w:ascii="Garamond" w:hAnsi="Garamond" w:cs="Times New Roman"/>
          <w:color w:val="FF0000"/>
          <w:sz w:val="21"/>
          <w:szCs w:val="21"/>
        </w:rPr>
        <w:t xml:space="preserve">he </w:t>
      </w:r>
      <w:r w:rsidR="00891164" w:rsidRPr="00B134E3">
        <w:rPr>
          <w:rFonts w:ascii="Garamond" w:hAnsi="Garamond" w:cs="Times New Roman"/>
          <w:color w:val="FF0000"/>
          <w:sz w:val="21"/>
          <w:szCs w:val="21"/>
        </w:rPr>
        <w:t xml:space="preserve">narrowing </w:t>
      </w:r>
      <w:r w:rsidRPr="00B134E3">
        <w:rPr>
          <w:rFonts w:ascii="Garamond" w:hAnsi="Garamond" w:cs="Times New Roman"/>
          <w:color w:val="FF0000"/>
          <w:sz w:val="21"/>
          <w:szCs w:val="21"/>
        </w:rPr>
        <w:t>spread of interest rates of loans and deposits</w:t>
      </w:r>
      <w:r w:rsidR="00891164" w:rsidRPr="00B134E3">
        <w:rPr>
          <w:rFonts w:ascii="Garamond" w:hAnsi="Garamond" w:cs="Times New Roman"/>
          <w:color w:val="FF0000"/>
          <w:sz w:val="21"/>
          <w:szCs w:val="21"/>
          <w:lang w:val="hy-AM"/>
        </w:rPr>
        <w:t xml:space="preserve"> in foreign currency</w:t>
      </w:r>
      <w:r w:rsidR="00FD4314" w:rsidRPr="00B134E3">
        <w:rPr>
          <w:rFonts w:ascii="Garamond" w:hAnsi="Garamond" w:cs="Times New Roman"/>
          <w:color w:val="FF0000"/>
          <w:sz w:val="21"/>
          <w:szCs w:val="21"/>
        </w:rPr>
        <w:t xml:space="preserve"> remained a trend during the 4th quarter of 2014. </w:t>
      </w:r>
      <w:r w:rsidR="008A4DCA" w:rsidRPr="00B134E3">
        <w:rPr>
          <w:rFonts w:ascii="Garamond" w:hAnsi="Garamond" w:cs="Times New Roman"/>
          <w:color w:val="FF0000"/>
          <w:sz w:val="21"/>
          <w:szCs w:val="21"/>
          <w:lang w:val="hy-AM"/>
        </w:rPr>
        <w:t xml:space="preserve">The </w:t>
      </w:r>
      <w:r w:rsidR="00FD4314" w:rsidRPr="00B134E3">
        <w:rPr>
          <w:rFonts w:ascii="Garamond" w:hAnsi="Garamond" w:cs="Times New Roman"/>
          <w:color w:val="FF0000"/>
          <w:sz w:val="21"/>
          <w:szCs w:val="21"/>
        </w:rPr>
        <w:t xml:space="preserve">average quarterly indicator of </w:t>
      </w:r>
      <w:r w:rsidR="008A4DCA" w:rsidRPr="00B134E3">
        <w:rPr>
          <w:rFonts w:ascii="Garamond" w:hAnsi="Garamond" w:cs="Times New Roman"/>
          <w:color w:val="FF0000"/>
          <w:sz w:val="21"/>
          <w:szCs w:val="21"/>
          <w:lang w:val="hy-AM"/>
        </w:rPr>
        <w:t xml:space="preserve">spread </w:t>
      </w:r>
      <w:r w:rsidR="00FD4314" w:rsidRPr="00B134E3">
        <w:rPr>
          <w:rFonts w:ascii="Garamond" w:hAnsi="Garamond" w:cs="Times New Roman"/>
          <w:color w:val="FF0000"/>
          <w:sz w:val="21"/>
          <w:szCs w:val="21"/>
        </w:rPr>
        <w:t xml:space="preserve">has </w:t>
      </w:r>
      <w:r w:rsidR="008A4DCA" w:rsidRPr="00B134E3">
        <w:rPr>
          <w:rFonts w:ascii="Garamond" w:hAnsi="Garamond" w:cs="Times New Roman"/>
          <w:color w:val="FF0000"/>
          <w:sz w:val="21"/>
          <w:szCs w:val="21"/>
          <w:lang w:val="hy-AM"/>
        </w:rPr>
        <w:t xml:space="preserve">reduced by 0.4 pp to </w:t>
      </w:r>
      <w:r w:rsidR="00FD4314" w:rsidRPr="00B134E3">
        <w:rPr>
          <w:rFonts w:ascii="Garamond" w:hAnsi="Garamond" w:cs="Times New Roman"/>
          <w:color w:val="FF0000"/>
          <w:sz w:val="21"/>
          <w:szCs w:val="21"/>
        </w:rPr>
        <w:t>3</w:t>
      </w:r>
      <w:r w:rsidR="008A4DCA" w:rsidRPr="00B134E3">
        <w:rPr>
          <w:rFonts w:ascii="Garamond" w:hAnsi="Garamond" w:cs="Times New Roman"/>
          <w:color w:val="FF0000"/>
          <w:sz w:val="21"/>
          <w:szCs w:val="21"/>
          <w:lang w:val="hy-AM"/>
        </w:rPr>
        <w:t>.</w:t>
      </w:r>
      <w:r w:rsidR="00FD4314" w:rsidRPr="00B134E3">
        <w:rPr>
          <w:rFonts w:ascii="Garamond" w:hAnsi="Garamond" w:cs="Times New Roman"/>
          <w:color w:val="FF0000"/>
          <w:sz w:val="21"/>
          <w:szCs w:val="21"/>
        </w:rPr>
        <w:t>7</w:t>
      </w:r>
      <w:r w:rsidR="008A4DCA" w:rsidRPr="00B134E3">
        <w:rPr>
          <w:rFonts w:ascii="Garamond" w:hAnsi="Garamond" w:cs="Times New Roman"/>
          <w:color w:val="FF0000"/>
          <w:sz w:val="21"/>
          <w:szCs w:val="21"/>
          <w:lang w:val="hy-AM"/>
        </w:rPr>
        <w:t xml:space="preserve">% </w:t>
      </w:r>
      <w:r w:rsidR="00FD4314" w:rsidRPr="00B134E3">
        <w:rPr>
          <w:rFonts w:ascii="Garamond" w:hAnsi="Garamond" w:cs="Times New Roman"/>
          <w:color w:val="FF0000"/>
          <w:sz w:val="21"/>
          <w:szCs w:val="21"/>
        </w:rPr>
        <w:t>relative to the previous quarter. On the contrary, the spread of interest rates of loans and deposits</w:t>
      </w:r>
      <w:r w:rsidR="00FD4314" w:rsidRPr="00B134E3">
        <w:rPr>
          <w:rFonts w:ascii="Garamond" w:hAnsi="Garamond" w:cs="Times New Roman"/>
          <w:color w:val="FF0000"/>
          <w:sz w:val="21"/>
          <w:szCs w:val="21"/>
          <w:lang w:val="hy-AM"/>
        </w:rPr>
        <w:t xml:space="preserve"> in </w:t>
      </w:r>
      <w:r w:rsidR="00FD4314" w:rsidRPr="00B134E3">
        <w:rPr>
          <w:rFonts w:ascii="Garamond" w:hAnsi="Garamond" w:cs="Times New Roman"/>
          <w:color w:val="FF0000"/>
          <w:sz w:val="21"/>
          <w:szCs w:val="21"/>
        </w:rPr>
        <w:t xml:space="preserve">the Armenian dram has grown </w:t>
      </w:r>
      <w:r w:rsidR="008A4DCA" w:rsidRPr="00B134E3">
        <w:rPr>
          <w:rFonts w:ascii="Garamond" w:hAnsi="Garamond" w:cs="Times New Roman"/>
          <w:color w:val="FF0000"/>
          <w:sz w:val="21"/>
          <w:szCs w:val="21"/>
        </w:rPr>
        <w:t>by 0.</w:t>
      </w:r>
      <w:r w:rsidR="00FD4314" w:rsidRPr="00B134E3">
        <w:rPr>
          <w:rFonts w:ascii="Garamond" w:hAnsi="Garamond" w:cs="Times New Roman"/>
          <w:color w:val="FF0000"/>
          <w:sz w:val="21"/>
          <w:szCs w:val="21"/>
        </w:rPr>
        <w:t>1</w:t>
      </w:r>
      <w:r w:rsidR="008A4DCA" w:rsidRPr="00B134E3">
        <w:rPr>
          <w:rFonts w:ascii="Garamond" w:hAnsi="Garamond" w:cs="Times New Roman"/>
          <w:color w:val="FF0000"/>
          <w:sz w:val="21"/>
          <w:szCs w:val="21"/>
        </w:rPr>
        <w:t xml:space="preserve"> </w:t>
      </w:r>
      <w:r w:rsidR="00106258" w:rsidRPr="00B134E3">
        <w:rPr>
          <w:rFonts w:ascii="Garamond" w:hAnsi="Garamond" w:cs="Times New Roman"/>
          <w:color w:val="FF0000"/>
          <w:sz w:val="21"/>
          <w:szCs w:val="21"/>
        </w:rPr>
        <w:t>pp</w:t>
      </w:r>
      <w:r w:rsidR="008A4DCA" w:rsidRPr="00B134E3">
        <w:rPr>
          <w:rFonts w:ascii="Garamond" w:hAnsi="Garamond" w:cs="Times New Roman"/>
          <w:color w:val="FF0000"/>
          <w:sz w:val="21"/>
          <w:szCs w:val="21"/>
        </w:rPr>
        <w:t xml:space="preserve"> </w:t>
      </w:r>
      <w:r w:rsidR="00FD4314" w:rsidRPr="00B134E3">
        <w:rPr>
          <w:rFonts w:ascii="Garamond" w:hAnsi="Garamond" w:cs="Times New Roman"/>
          <w:color w:val="FF0000"/>
          <w:sz w:val="21"/>
          <w:szCs w:val="21"/>
        </w:rPr>
        <w:t xml:space="preserve">to </w:t>
      </w:r>
      <w:r w:rsidR="00876D80" w:rsidRPr="00B134E3">
        <w:rPr>
          <w:rFonts w:ascii="Garamond" w:hAnsi="Garamond" w:cs="Times New Roman"/>
          <w:color w:val="FF0000"/>
          <w:sz w:val="21"/>
          <w:szCs w:val="21"/>
        </w:rPr>
        <w:t xml:space="preserve">6.05%. </w:t>
      </w:r>
      <w:r w:rsidR="006A6AD9" w:rsidRPr="00B134E3">
        <w:rPr>
          <w:rFonts w:ascii="Garamond" w:hAnsi="Garamond" w:cs="Times New Roman"/>
          <w:color w:val="FF0000"/>
          <w:sz w:val="21"/>
          <w:szCs w:val="21"/>
        </w:rPr>
        <w:t>I</w:t>
      </w:r>
      <w:r w:rsidR="008A4DCA" w:rsidRPr="00B134E3">
        <w:rPr>
          <w:rFonts w:ascii="Garamond" w:hAnsi="Garamond" w:cs="Times New Roman"/>
          <w:color w:val="FF0000"/>
          <w:sz w:val="21"/>
          <w:szCs w:val="21"/>
        </w:rPr>
        <w:t xml:space="preserve">n </w:t>
      </w:r>
      <w:r w:rsidR="00876D80" w:rsidRPr="00B134E3">
        <w:rPr>
          <w:rFonts w:ascii="Garamond" w:hAnsi="Garamond" w:cs="Times New Roman"/>
          <w:color w:val="FF0000"/>
          <w:sz w:val="21"/>
          <w:szCs w:val="21"/>
        </w:rPr>
        <w:t>December</w:t>
      </w:r>
      <w:r w:rsidR="008A4DCA" w:rsidRPr="00B134E3">
        <w:rPr>
          <w:rFonts w:ascii="Garamond" w:hAnsi="Garamond" w:cs="Times New Roman"/>
          <w:color w:val="FF0000"/>
          <w:sz w:val="21"/>
          <w:szCs w:val="21"/>
        </w:rPr>
        <w:t xml:space="preserve">, against </w:t>
      </w:r>
      <w:r w:rsidR="00876D80" w:rsidRPr="00B134E3">
        <w:rPr>
          <w:rFonts w:ascii="Garamond" w:hAnsi="Garamond" w:cs="Times New Roman"/>
          <w:color w:val="FF0000"/>
          <w:sz w:val="21"/>
          <w:szCs w:val="21"/>
        </w:rPr>
        <w:t>September</w:t>
      </w:r>
      <w:r w:rsidR="008A4DCA" w:rsidRPr="00B134E3">
        <w:rPr>
          <w:rFonts w:ascii="Garamond" w:hAnsi="Garamond" w:cs="Times New Roman"/>
          <w:color w:val="FF0000"/>
          <w:sz w:val="21"/>
          <w:szCs w:val="21"/>
        </w:rPr>
        <w:t xml:space="preserve">, the spread </w:t>
      </w:r>
      <w:r w:rsidR="00876D80" w:rsidRPr="00B134E3">
        <w:rPr>
          <w:rFonts w:ascii="Garamond" w:hAnsi="Garamond" w:cs="Times New Roman"/>
          <w:color w:val="FF0000"/>
          <w:sz w:val="21"/>
          <w:szCs w:val="21"/>
        </w:rPr>
        <w:t>had narrowed</w:t>
      </w:r>
      <w:r w:rsidR="00611725" w:rsidRPr="00B134E3">
        <w:rPr>
          <w:rFonts w:ascii="Garamond" w:hAnsi="Garamond" w:cs="Times New Roman"/>
          <w:color w:val="FF0000"/>
          <w:sz w:val="21"/>
          <w:szCs w:val="21"/>
        </w:rPr>
        <w:t xml:space="preserve"> by </w:t>
      </w:r>
      <w:r w:rsidR="008A4DCA" w:rsidRPr="00B134E3">
        <w:rPr>
          <w:rFonts w:ascii="Garamond" w:hAnsi="Garamond" w:cs="Times New Roman"/>
          <w:color w:val="FF0000"/>
          <w:sz w:val="21"/>
          <w:szCs w:val="21"/>
        </w:rPr>
        <w:t>0.</w:t>
      </w:r>
      <w:r w:rsidR="00876D80" w:rsidRPr="00B134E3">
        <w:rPr>
          <w:rFonts w:ascii="Garamond" w:hAnsi="Garamond" w:cs="Times New Roman"/>
          <w:color w:val="FF0000"/>
          <w:sz w:val="21"/>
          <w:szCs w:val="21"/>
        </w:rPr>
        <w:t>3</w:t>
      </w:r>
      <w:r w:rsidR="008A4DCA" w:rsidRPr="00B134E3">
        <w:rPr>
          <w:rFonts w:ascii="Garamond" w:hAnsi="Garamond" w:cs="Times New Roman"/>
          <w:color w:val="FF0000"/>
          <w:sz w:val="21"/>
          <w:szCs w:val="21"/>
        </w:rPr>
        <w:t xml:space="preserve"> pp to </w:t>
      </w:r>
      <w:r w:rsidR="00876D80" w:rsidRPr="00B134E3">
        <w:rPr>
          <w:rFonts w:ascii="Garamond" w:hAnsi="Garamond" w:cs="Times New Roman"/>
          <w:color w:val="FF0000"/>
          <w:sz w:val="21"/>
          <w:szCs w:val="21"/>
        </w:rPr>
        <w:t>5</w:t>
      </w:r>
      <w:r w:rsidR="008A4DCA" w:rsidRPr="00B134E3">
        <w:rPr>
          <w:rFonts w:ascii="Garamond" w:hAnsi="Garamond" w:cs="Times New Roman"/>
          <w:color w:val="FF0000"/>
          <w:sz w:val="21"/>
          <w:szCs w:val="21"/>
        </w:rPr>
        <w:t>.9%.</w:t>
      </w:r>
      <w:r w:rsidR="00611D2D">
        <w:rPr>
          <w:rFonts w:ascii="Garamond" w:hAnsi="Garamond" w:cs="Times New Roman"/>
          <w:color w:val="FF0000"/>
          <w:sz w:val="21"/>
          <w:szCs w:val="21"/>
        </w:rPr>
        <w:t xml:space="preserve"> </w:t>
      </w:r>
      <w:r w:rsidR="00611D2D">
        <w:rPr>
          <w:rFonts w:ascii="Sylfaen" w:hAnsi="Sylfaen" w:cs="Times New Roman"/>
          <w:color w:val="FF0000"/>
          <w:sz w:val="21"/>
          <w:szCs w:val="21"/>
        </w:rPr>
        <w:t xml:space="preserve">նախորդ </w:t>
      </w:r>
      <w:proofErr w:type="gramStart"/>
      <w:r w:rsidR="00611D2D">
        <w:rPr>
          <w:rFonts w:ascii="Sylfaen" w:hAnsi="Sylfaen" w:cs="Times New Roman"/>
          <w:color w:val="FF0000"/>
          <w:sz w:val="21"/>
          <w:szCs w:val="21"/>
        </w:rPr>
        <w:t>եռամսյակի  տվյալներն</w:t>
      </w:r>
      <w:proofErr w:type="gramEnd"/>
      <w:r w:rsidR="00611D2D">
        <w:rPr>
          <w:rFonts w:ascii="Sylfaen" w:hAnsi="Sylfaen" w:cs="Times New Roman"/>
          <w:color w:val="FF0000"/>
          <w:sz w:val="21"/>
          <w:szCs w:val="21"/>
        </w:rPr>
        <w:t xml:space="preserve"> են</w:t>
      </w:r>
      <w:r w:rsidR="008A4DCA" w:rsidRPr="00B134E3">
        <w:rPr>
          <w:rFonts w:ascii="Garamond" w:hAnsi="Garamond" w:cs="Times New Roman"/>
          <w:color w:val="FF0000"/>
          <w:sz w:val="21"/>
          <w:szCs w:val="21"/>
        </w:rPr>
        <w:t xml:space="preserve">  </w:t>
      </w:r>
    </w:p>
    <w:p w14:paraId="119CBAC2" w14:textId="77777777" w:rsidR="00317CEA" w:rsidRDefault="00035887" w:rsidP="00A9653E">
      <w:pPr>
        <w:spacing w:line="360" w:lineRule="auto"/>
        <w:jc w:val="both"/>
        <w:rPr>
          <w:rFonts w:ascii="Garamond" w:hAnsi="Garamond" w:cs="Times New Roman"/>
          <w:color w:val="000000"/>
          <w:sz w:val="21"/>
          <w:szCs w:val="21"/>
        </w:rPr>
      </w:pPr>
      <w:r>
        <w:rPr>
          <w:rFonts w:ascii="Garamond" w:hAnsi="Garamond" w:cs="Times New Roman"/>
          <w:color w:val="000000"/>
          <w:sz w:val="21"/>
          <w:szCs w:val="21"/>
        </w:rPr>
        <w:t>In the 1st</w:t>
      </w:r>
      <w:r w:rsidR="00DB4E78" w:rsidRPr="004E7A10">
        <w:rPr>
          <w:rFonts w:ascii="Garamond" w:hAnsi="Garamond" w:cs="Times New Roman"/>
          <w:color w:val="000000"/>
          <w:sz w:val="21"/>
          <w:szCs w:val="21"/>
        </w:rPr>
        <w:t xml:space="preserve"> </w:t>
      </w:r>
      <w:r>
        <w:rPr>
          <w:rFonts w:ascii="Garamond" w:hAnsi="Garamond" w:cs="Times New Roman"/>
          <w:color w:val="000000"/>
          <w:sz w:val="21"/>
          <w:szCs w:val="21"/>
        </w:rPr>
        <w:t xml:space="preserve">quarter of 2015, the </w:t>
      </w:r>
      <w:r w:rsidR="00DB4E78" w:rsidRPr="004E7A10">
        <w:rPr>
          <w:rFonts w:ascii="Garamond" w:hAnsi="Garamond" w:cs="Times New Roman"/>
          <w:color w:val="000000"/>
          <w:sz w:val="21"/>
          <w:szCs w:val="21"/>
        </w:rPr>
        <w:t xml:space="preserve">indicator of </w:t>
      </w:r>
      <w:r w:rsidR="00317CEA" w:rsidRPr="004E7A10">
        <w:rPr>
          <w:rFonts w:ascii="Garamond" w:hAnsi="Garamond" w:cs="Times New Roman"/>
          <w:color w:val="000000"/>
          <w:sz w:val="21"/>
          <w:szCs w:val="21"/>
        </w:rPr>
        <w:t>dollarization (</w:t>
      </w:r>
      <w:r w:rsidR="00DB4E78" w:rsidRPr="004E7A10">
        <w:rPr>
          <w:rFonts w:ascii="Garamond" w:hAnsi="Garamond" w:cs="Times New Roman"/>
          <w:color w:val="000000"/>
          <w:sz w:val="21"/>
          <w:szCs w:val="21"/>
        </w:rPr>
        <w:t>the</w:t>
      </w:r>
      <w:r w:rsidR="00317CEA" w:rsidRPr="004E7A10">
        <w:rPr>
          <w:rFonts w:ascii="Garamond" w:hAnsi="Garamond" w:cs="Times New Roman"/>
          <w:color w:val="000000"/>
          <w:sz w:val="21"/>
          <w:szCs w:val="21"/>
        </w:rPr>
        <w:t xml:space="preserve"> </w:t>
      </w:r>
      <w:r w:rsidR="004F116D" w:rsidRPr="004E7A10">
        <w:rPr>
          <w:rFonts w:ascii="Garamond" w:hAnsi="Garamond" w:cs="Times New Roman"/>
          <w:color w:val="000000"/>
          <w:sz w:val="21"/>
          <w:szCs w:val="21"/>
        </w:rPr>
        <w:t>F</w:t>
      </w:r>
      <w:r w:rsidR="00317CEA" w:rsidRPr="004E7A10">
        <w:rPr>
          <w:rFonts w:ascii="Garamond" w:hAnsi="Garamond" w:cs="Times New Roman"/>
          <w:color w:val="000000"/>
          <w:sz w:val="21"/>
          <w:szCs w:val="21"/>
        </w:rPr>
        <w:t xml:space="preserve">oreign </w:t>
      </w:r>
      <w:r w:rsidR="004F116D" w:rsidRPr="004E7A10">
        <w:rPr>
          <w:rFonts w:ascii="Garamond" w:hAnsi="Garamond" w:cs="Times New Roman"/>
          <w:color w:val="000000"/>
          <w:sz w:val="21"/>
          <w:szCs w:val="21"/>
        </w:rPr>
        <w:t>C</w:t>
      </w:r>
      <w:r w:rsidR="00317CEA" w:rsidRPr="004E7A10">
        <w:rPr>
          <w:rFonts w:ascii="Garamond" w:hAnsi="Garamond" w:cs="Times New Roman"/>
          <w:color w:val="000000"/>
          <w:sz w:val="21"/>
          <w:szCs w:val="21"/>
        </w:rPr>
        <w:t xml:space="preserve">urrency </w:t>
      </w:r>
      <w:r w:rsidR="004F116D" w:rsidRPr="004E7A10">
        <w:rPr>
          <w:rFonts w:ascii="Garamond" w:hAnsi="Garamond" w:cs="Times New Roman"/>
          <w:color w:val="000000"/>
          <w:sz w:val="21"/>
          <w:szCs w:val="21"/>
        </w:rPr>
        <w:t>D</w:t>
      </w:r>
      <w:r w:rsidR="00317CEA" w:rsidRPr="004E7A10">
        <w:rPr>
          <w:rFonts w:ascii="Garamond" w:hAnsi="Garamond" w:cs="Times New Roman"/>
          <w:color w:val="000000"/>
          <w:sz w:val="21"/>
          <w:szCs w:val="21"/>
        </w:rPr>
        <w:t>eposits</w:t>
      </w:r>
      <w:r w:rsidR="00DB4E78" w:rsidRPr="004E7A10">
        <w:rPr>
          <w:rFonts w:ascii="Garamond" w:hAnsi="Garamond" w:cs="Times New Roman"/>
          <w:color w:val="000000"/>
          <w:sz w:val="21"/>
          <w:szCs w:val="21"/>
        </w:rPr>
        <w:t>-</w:t>
      </w:r>
      <w:r w:rsidR="00317CEA" w:rsidRPr="004E7A10">
        <w:rPr>
          <w:rFonts w:ascii="Garamond" w:hAnsi="Garamond" w:cs="Times New Roman"/>
          <w:color w:val="000000"/>
          <w:sz w:val="21"/>
          <w:szCs w:val="21"/>
        </w:rPr>
        <w:t>to</w:t>
      </w:r>
      <w:r w:rsidR="00DB4E78" w:rsidRPr="004E7A10">
        <w:rPr>
          <w:rFonts w:ascii="Garamond" w:hAnsi="Garamond" w:cs="Times New Roman"/>
          <w:color w:val="000000"/>
          <w:sz w:val="21"/>
          <w:szCs w:val="21"/>
        </w:rPr>
        <w:t>-</w:t>
      </w:r>
      <w:r w:rsidR="004F116D" w:rsidRPr="004E7A10">
        <w:rPr>
          <w:rFonts w:ascii="Garamond" w:hAnsi="Garamond" w:cs="Times New Roman"/>
          <w:color w:val="000000"/>
          <w:sz w:val="21"/>
          <w:szCs w:val="21"/>
        </w:rPr>
        <w:t>B</w:t>
      </w:r>
      <w:r w:rsidR="00317CEA" w:rsidRPr="004E7A10">
        <w:rPr>
          <w:rFonts w:ascii="Garamond" w:hAnsi="Garamond" w:cs="Times New Roman"/>
          <w:color w:val="000000"/>
          <w:sz w:val="21"/>
          <w:szCs w:val="21"/>
        </w:rPr>
        <w:t xml:space="preserve">road </w:t>
      </w:r>
      <w:r w:rsidR="004F116D" w:rsidRPr="004E7A10">
        <w:rPr>
          <w:rFonts w:ascii="Garamond" w:hAnsi="Garamond" w:cs="Times New Roman"/>
          <w:color w:val="000000"/>
          <w:sz w:val="21"/>
          <w:szCs w:val="21"/>
        </w:rPr>
        <w:t>M</w:t>
      </w:r>
      <w:r w:rsidR="00317CEA" w:rsidRPr="004E7A10">
        <w:rPr>
          <w:rFonts w:ascii="Garamond" w:hAnsi="Garamond" w:cs="Times New Roman"/>
          <w:color w:val="000000"/>
          <w:sz w:val="21"/>
          <w:szCs w:val="21"/>
        </w:rPr>
        <w:t>oney</w:t>
      </w:r>
      <w:r w:rsidR="00DB4E78" w:rsidRPr="004E7A10">
        <w:rPr>
          <w:rFonts w:ascii="Garamond" w:hAnsi="Garamond" w:cs="Times New Roman"/>
          <w:color w:val="000000"/>
          <w:sz w:val="21"/>
          <w:szCs w:val="21"/>
        </w:rPr>
        <w:t xml:space="preserve"> ratio</w:t>
      </w:r>
      <w:r w:rsidR="00317CEA" w:rsidRPr="004E7A10">
        <w:rPr>
          <w:rFonts w:ascii="Garamond" w:hAnsi="Garamond" w:cs="Times New Roman"/>
          <w:color w:val="000000"/>
          <w:sz w:val="21"/>
          <w:szCs w:val="21"/>
        </w:rPr>
        <w:t>)</w:t>
      </w:r>
      <w:r w:rsidR="00DB4E78" w:rsidRPr="004E7A10">
        <w:rPr>
          <w:rFonts w:ascii="Garamond" w:hAnsi="Garamond" w:cs="Times New Roman"/>
          <w:color w:val="000000"/>
          <w:sz w:val="21"/>
          <w:szCs w:val="21"/>
        </w:rPr>
        <w:t xml:space="preserve"> </w:t>
      </w:r>
      <w:r w:rsidR="00317CEA" w:rsidRPr="004E7A10">
        <w:rPr>
          <w:rFonts w:ascii="Garamond" w:hAnsi="Garamond" w:cs="Times New Roman"/>
          <w:color w:val="000000"/>
          <w:sz w:val="21"/>
          <w:szCs w:val="21"/>
        </w:rPr>
        <w:t>post</w:t>
      </w:r>
      <w:r w:rsidR="00DB4E78" w:rsidRPr="004E7A10">
        <w:rPr>
          <w:rFonts w:ascii="Garamond" w:hAnsi="Garamond" w:cs="Times New Roman"/>
          <w:color w:val="000000"/>
          <w:sz w:val="21"/>
          <w:szCs w:val="21"/>
        </w:rPr>
        <w:t>ed a</w:t>
      </w:r>
      <w:r w:rsidR="00317CEA" w:rsidRPr="004E7A10">
        <w:rPr>
          <w:rFonts w:ascii="Garamond" w:hAnsi="Garamond" w:cs="Times New Roman"/>
          <w:color w:val="000000"/>
          <w:sz w:val="21"/>
          <w:szCs w:val="21"/>
        </w:rPr>
        <w:t xml:space="preserve"> </w:t>
      </w:r>
      <w:r>
        <w:rPr>
          <w:rFonts w:ascii="Garamond" w:hAnsi="Garamond" w:cs="Times New Roman"/>
          <w:color w:val="000000"/>
          <w:sz w:val="21"/>
          <w:szCs w:val="21"/>
        </w:rPr>
        <w:t>1</w:t>
      </w:r>
      <w:r w:rsidR="00317CEA" w:rsidRPr="004E7A10">
        <w:rPr>
          <w:rFonts w:ascii="Garamond" w:hAnsi="Garamond" w:cs="Times New Roman"/>
          <w:color w:val="000000"/>
          <w:sz w:val="21"/>
          <w:szCs w:val="21"/>
        </w:rPr>
        <w:t>.</w:t>
      </w:r>
      <w:r>
        <w:rPr>
          <w:rFonts w:ascii="Garamond" w:hAnsi="Garamond" w:cs="Times New Roman"/>
          <w:color w:val="000000"/>
          <w:sz w:val="21"/>
          <w:szCs w:val="21"/>
        </w:rPr>
        <w:t>6</w:t>
      </w:r>
      <w:r w:rsidR="00317CEA" w:rsidRPr="004E7A10">
        <w:rPr>
          <w:rFonts w:ascii="Garamond" w:hAnsi="Garamond" w:cs="Times New Roman"/>
          <w:color w:val="000000"/>
          <w:sz w:val="21"/>
          <w:szCs w:val="21"/>
        </w:rPr>
        <w:t xml:space="preserve"> pp </w:t>
      </w:r>
      <w:r w:rsidR="00DB4E78" w:rsidRPr="004E7A10">
        <w:rPr>
          <w:rFonts w:ascii="Garamond" w:hAnsi="Garamond" w:cs="Times New Roman"/>
          <w:color w:val="000000"/>
          <w:sz w:val="21"/>
          <w:szCs w:val="21"/>
        </w:rPr>
        <w:t xml:space="preserve">increase in relation to </w:t>
      </w:r>
      <w:r w:rsidR="00317CEA" w:rsidRPr="004E7A10">
        <w:rPr>
          <w:rFonts w:ascii="Garamond" w:hAnsi="Garamond" w:cs="Times New Roman"/>
          <w:color w:val="000000"/>
          <w:sz w:val="21"/>
          <w:szCs w:val="21"/>
        </w:rPr>
        <w:t xml:space="preserve">the previous quarter. </w:t>
      </w:r>
    </w:p>
    <w:tbl>
      <w:tblPr>
        <w:tblW w:w="6283" w:type="dxa"/>
        <w:tblInd w:w="108"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739"/>
        <w:gridCol w:w="708"/>
        <w:gridCol w:w="709"/>
        <w:gridCol w:w="709"/>
        <w:gridCol w:w="709"/>
        <w:gridCol w:w="709"/>
      </w:tblGrid>
      <w:tr w:rsidR="00035887" w:rsidRPr="00360FE6" w14:paraId="22D1292D" w14:textId="77777777" w:rsidTr="00C019D3">
        <w:trPr>
          <w:cantSplit/>
          <w:trHeight w:val="1433"/>
        </w:trPr>
        <w:tc>
          <w:tcPr>
            <w:tcW w:w="2739" w:type="dxa"/>
            <w:tcBorders>
              <w:bottom w:val="single" w:sz="4" w:space="0" w:color="auto"/>
            </w:tcBorders>
            <w:shd w:val="clear" w:color="auto" w:fill="auto"/>
            <w:vAlign w:val="center"/>
          </w:tcPr>
          <w:p w14:paraId="44B554F5" w14:textId="77777777" w:rsidR="00035887" w:rsidRPr="00035887" w:rsidRDefault="00035887" w:rsidP="00C019D3">
            <w:pPr>
              <w:rPr>
                <w:rFonts w:ascii="Garamond" w:eastAsia="Calibri" w:hAnsi="Garamond"/>
                <w:b/>
                <w:sz w:val="16"/>
                <w:szCs w:val="16"/>
                <w:lang w:val="es-AR"/>
              </w:rPr>
            </w:pPr>
            <w:r w:rsidRPr="00035887">
              <w:rPr>
                <w:rFonts w:ascii="Garamond" w:eastAsia="Calibri" w:hAnsi="Garamond"/>
                <w:b/>
                <w:sz w:val="16"/>
                <w:szCs w:val="16"/>
                <w:lang w:val="es-AR"/>
              </w:rPr>
              <w:t>Monetary indicators</w:t>
            </w:r>
          </w:p>
        </w:tc>
        <w:tc>
          <w:tcPr>
            <w:tcW w:w="708" w:type="dxa"/>
            <w:tcBorders>
              <w:bottom w:val="single" w:sz="4" w:space="0" w:color="auto"/>
            </w:tcBorders>
            <w:shd w:val="clear" w:color="auto" w:fill="auto"/>
            <w:textDirection w:val="btLr"/>
            <w:vAlign w:val="center"/>
          </w:tcPr>
          <w:p w14:paraId="7B89027B" w14:textId="77777777" w:rsidR="00035887" w:rsidRPr="00035887" w:rsidRDefault="00035887" w:rsidP="00C019D3">
            <w:pPr>
              <w:ind w:left="113" w:right="113"/>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March</w:t>
            </w:r>
            <w:r w:rsidRPr="00035887">
              <w:rPr>
                <w:rFonts w:ascii="Garamond" w:eastAsia="Calibri" w:hAnsi="Garamond"/>
                <w:color w:val="000000"/>
                <w:sz w:val="16"/>
                <w:szCs w:val="16"/>
              </w:rPr>
              <w:t xml:space="preserve"> 14</w:t>
            </w:r>
            <w:r w:rsidRPr="00035887">
              <w:rPr>
                <w:rFonts w:ascii="Garamond" w:eastAsia="Calibri" w:hAnsi="Garamond" w:cs="Times New Roman"/>
                <w:color w:val="000000"/>
                <w:sz w:val="16"/>
                <w:szCs w:val="16"/>
              </w:rPr>
              <w:t>, 12-month growth</w:t>
            </w:r>
          </w:p>
        </w:tc>
        <w:tc>
          <w:tcPr>
            <w:tcW w:w="709" w:type="dxa"/>
            <w:tcBorders>
              <w:bottom w:val="single" w:sz="4" w:space="0" w:color="auto"/>
            </w:tcBorders>
            <w:shd w:val="clear" w:color="auto" w:fill="auto"/>
            <w:textDirection w:val="btLr"/>
            <w:vAlign w:val="center"/>
          </w:tcPr>
          <w:p w14:paraId="523133D3" w14:textId="77777777" w:rsidR="00035887" w:rsidRPr="00035887" w:rsidRDefault="00035887" w:rsidP="00C019D3">
            <w:pPr>
              <w:ind w:left="113" w:right="113"/>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June</w:t>
            </w:r>
            <w:r w:rsidRPr="00035887">
              <w:rPr>
                <w:rFonts w:ascii="Garamond" w:eastAsia="Calibri" w:hAnsi="Garamond"/>
                <w:color w:val="000000"/>
                <w:sz w:val="16"/>
                <w:szCs w:val="16"/>
              </w:rPr>
              <w:t xml:space="preserve"> 14</w:t>
            </w:r>
            <w:r w:rsidRPr="00035887">
              <w:rPr>
                <w:rFonts w:ascii="Garamond" w:eastAsia="Calibri" w:hAnsi="Garamond" w:cs="Times New Roman"/>
                <w:color w:val="000000"/>
                <w:sz w:val="16"/>
                <w:szCs w:val="16"/>
              </w:rPr>
              <w:t>, 12-month growth</w:t>
            </w:r>
          </w:p>
        </w:tc>
        <w:tc>
          <w:tcPr>
            <w:tcW w:w="709" w:type="dxa"/>
            <w:tcBorders>
              <w:bottom w:val="single" w:sz="4" w:space="0" w:color="auto"/>
            </w:tcBorders>
            <w:shd w:val="clear" w:color="auto" w:fill="auto"/>
            <w:textDirection w:val="btLr"/>
            <w:vAlign w:val="center"/>
          </w:tcPr>
          <w:p w14:paraId="449E0B55" w14:textId="77777777" w:rsidR="00035887" w:rsidRPr="00035887" w:rsidRDefault="00035887" w:rsidP="00C019D3">
            <w:pPr>
              <w:ind w:left="113" w:right="113"/>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September</w:t>
            </w:r>
            <w:r w:rsidRPr="00035887">
              <w:rPr>
                <w:rFonts w:ascii="Garamond" w:eastAsia="Calibri" w:hAnsi="Garamond"/>
                <w:color w:val="000000"/>
                <w:sz w:val="16"/>
                <w:szCs w:val="16"/>
              </w:rPr>
              <w:t xml:space="preserve"> 14</w:t>
            </w:r>
            <w:r w:rsidRPr="00035887">
              <w:rPr>
                <w:rFonts w:ascii="Garamond" w:eastAsia="Calibri" w:hAnsi="Garamond" w:cs="Times New Roman"/>
                <w:color w:val="000000"/>
                <w:sz w:val="16"/>
                <w:szCs w:val="16"/>
              </w:rPr>
              <w:t>, 12-month growth</w:t>
            </w:r>
          </w:p>
        </w:tc>
        <w:tc>
          <w:tcPr>
            <w:tcW w:w="709" w:type="dxa"/>
            <w:tcBorders>
              <w:bottom w:val="single" w:sz="4" w:space="0" w:color="auto"/>
            </w:tcBorders>
            <w:shd w:val="clear" w:color="auto" w:fill="auto"/>
            <w:textDirection w:val="btLr"/>
            <w:vAlign w:val="center"/>
          </w:tcPr>
          <w:p w14:paraId="7E258202" w14:textId="77777777" w:rsidR="00035887" w:rsidRPr="00035887" w:rsidRDefault="00035887" w:rsidP="00C019D3">
            <w:pPr>
              <w:ind w:left="113" w:right="113"/>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December</w:t>
            </w:r>
            <w:r w:rsidRPr="00035887">
              <w:rPr>
                <w:rFonts w:ascii="Garamond" w:eastAsia="Calibri" w:hAnsi="Garamond"/>
                <w:color w:val="000000"/>
                <w:sz w:val="16"/>
                <w:szCs w:val="16"/>
              </w:rPr>
              <w:t xml:space="preserve"> 14</w:t>
            </w:r>
            <w:r w:rsidRPr="00035887">
              <w:rPr>
                <w:rFonts w:ascii="Garamond" w:eastAsia="Calibri" w:hAnsi="Garamond" w:cs="Times New Roman"/>
                <w:color w:val="000000"/>
                <w:sz w:val="16"/>
                <w:szCs w:val="16"/>
              </w:rPr>
              <w:t>, 12-month growth</w:t>
            </w:r>
          </w:p>
        </w:tc>
        <w:tc>
          <w:tcPr>
            <w:tcW w:w="709" w:type="dxa"/>
            <w:tcBorders>
              <w:bottom w:val="single" w:sz="4" w:space="0" w:color="auto"/>
            </w:tcBorders>
            <w:shd w:val="clear" w:color="auto" w:fill="auto"/>
            <w:textDirection w:val="btLr"/>
            <w:vAlign w:val="center"/>
          </w:tcPr>
          <w:p w14:paraId="7FF98786" w14:textId="77777777" w:rsidR="00035887" w:rsidRPr="00035887" w:rsidRDefault="00035887" w:rsidP="00C019D3">
            <w:pPr>
              <w:ind w:left="113" w:right="113"/>
              <w:rPr>
                <w:rFonts w:ascii="Garamond" w:eastAsia="Calibri" w:hAnsi="Garamond"/>
                <w:b/>
                <w:sz w:val="16"/>
                <w:szCs w:val="16"/>
              </w:rPr>
            </w:pPr>
            <w:r w:rsidRPr="00035887">
              <w:rPr>
                <w:rFonts w:ascii="Garamond" w:eastAsia="Calibri" w:hAnsi="Garamond" w:cs="Times New Roman"/>
                <w:color w:val="000000"/>
                <w:sz w:val="16"/>
                <w:szCs w:val="16"/>
              </w:rPr>
              <w:t>March</w:t>
            </w:r>
            <w:r w:rsidRPr="00035887">
              <w:rPr>
                <w:rFonts w:ascii="Garamond" w:eastAsia="Calibri" w:hAnsi="Garamond"/>
                <w:color w:val="000000"/>
                <w:sz w:val="16"/>
                <w:szCs w:val="16"/>
              </w:rPr>
              <w:t xml:space="preserve"> 15</w:t>
            </w:r>
            <w:r w:rsidRPr="00035887">
              <w:rPr>
                <w:rFonts w:ascii="Garamond" w:eastAsia="Calibri" w:hAnsi="Garamond" w:cs="Times New Roman"/>
                <w:color w:val="000000"/>
                <w:sz w:val="16"/>
                <w:szCs w:val="16"/>
              </w:rPr>
              <w:t>, 12-month growth</w:t>
            </w:r>
          </w:p>
        </w:tc>
      </w:tr>
      <w:tr w:rsidR="00035887" w:rsidRPr="00360FE6" w14:paraId="379B0B91" w14:textId="77777777" w:rsidTr="00C019D3">
        <w:trPr>
          <w:trHeight w:val="20"/>
        </w:trPr>
        <w:tc>
          <w:tcPr>
            <w:tcW w:w="2739" w:type="dxa"/>
            <w:tcBorders>
              <w:top w:val="single" w:sz="4" w:space="0" w:color="auto"/>
              <w:bottom w:val="dashed" w:sz="4" w:space="0" w:color="auto"/>
            </w:tcBorders>
            <w:shd w:val="clear" w:color="auto" w:fill="auto"/>
          </w:tcPr>
          <w:p w14:paraId="4D2562D0"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Broad money (%)</w:t>
            </w:r>
          </w:p>
        </w:tc>
        <w:tc>
          <w:tcPr>
            <w:tcW w:w="708" w:type="dxa"/>
            <w:tcBorders>
              <w:top w:val="single" w:sz="4" w:space="0" w:color="auto"/>
              <w:bottom w:val="dashed" w:sz="4" w:space="0" w:color="auto"/>
            </w:tcBorders>
            <w:shd w:val="clear" w:color="auto" w:fill="auto"/>
            <w:vAlign w:val="bottom"/>
          </w:tcPr>
          <w:p w14:paraId="2E4C99A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12.84</w:t>
            </w:r>
          </w:p>
        </w:tc>
        <w:tc>
          <w:tcPr>
            <w:tcW w:w="709" w:type="dxa"/>
            <w:tcBorders>
              <w:top w:val="single" w:sz="4" w:space="0" w:color="auto"/>
              <w:bottom w:val="dashed" w:sz="4" w:space="0" w:color="auto"/>
            </w:tcBorders>
            <w:shd w:val="clear" w:color="auto" w:fill="auto"/>
            <w:vAlign w:val="bottom"/>
          </w:tcPr>
          <w:p w14:paraId="4BAEAE0C"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14.78</w:t>
            </w:r>
          </w:p>
        </w:tc>
        <w:tc>
          <w:tcPr>
            <w:tcW w:w="709" w:type="dxa"/>
            <w:tcBorders>
              <w:top w:val="single" w:sz="4" w:space="0" w:color="auto"/>
              <w:bottom w:val="dashed" w:sz="4" w:space="0" w:color="auto"/>
            </w:tcBorders>
            <w:shd w:val="clear" w:color="auto" w:fill="auto"/>
            <w:vAlign w:val="bottom"/>
          </w:tcPr>
          <w:p w14:paraId="0757E62B"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9.64</w:t>
            </w:r>
          </w:p>
        </w:tc>
        <w:tc>
          <w:tcPr>
            <w:tcW w:w="709" w:type="dxa"/>
            <w:tcBorders>
              <w:top w:val="single" w:sz="4" w:space="0" w:color="auto"/>
              <w:bottom w:val="dashed" w:sz="4" w:space="0" w:color="auto"/>
            </w:tcBorders>
            <w:shd w:val="clear" w:color="auto" w:fill="auto"/>
            <w:vAlign w:val="bottom"/>
          </w:tcPr>
          <w:p w14:paraId="5225B100"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8.34</w:t>
            </w:r>
          </w:p>
        </w:tc>
        <w:tc>
          <w:tcPr>
            <w:tcW w:w="709" w:type="dxa"/>
            <w:tcBorders>
              <w:top w:val="single" w:sz="4" w:space="0" w:color="auto"/>
              <w:bottom w:val="dashed" w:sz="4" w:space="0" w:color="auto"/>
            </w:tcBorders>
            <w:shd w:val="clear" w:color="auto" w:fill="auto"/>
            <w:vAlign w:val="bottom"/>
          </w:tcPr>
          <w:p w14:paraId="0B041B61"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4.1</w:t>
            </w:r>
          </w:p>
        </w:tc>
      </w:tr>
      <w:tr w:rsidR="00035887" w:rsidRPr="00360FE6" w14:paraId="56A64292" w14:textId="77777777" w:rsidTr="00C019D3">
        <w:trPr>
          <w:trHeight w:val="20"/>
        </w:trPr>
        <w:tc>
          <w:tcPr>
            <w:tcW w:w="2739" w:type="dxa"/>
            <w:tcBorders>
              <w:top w:val="dashed" w:sz="4" w:space="0" w:color="auto"/>
            </w:tcBorders>
            <w:shd w:val="clear" w:color="auto" w:fill="auto"/>
          </w:tcPr>
          <w:p w14:paraId="52177D69"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Dram broad money (% )</w:t>
            </w:r>
          </w:p>
        </w:tc>
        <w:tc>
          <w:tcPr>
            <w:tcW w:w="708" w:type="dxa"/>
            <w:tcBorders>
              <w:top w:val="dashed" w:sz="4" w:space="0" w:color="auto"/>
            </w:tcBorders>
            <w:shd w:val="clear" w:color="auto" w:fill="auto"/>
            <w:vAlign w:val="bottom"/>
          </w:tcPr>
          <w:p w14:paraId="6A3306C6"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10.92</w:t>
            </w:r>
          </w:p>
        </w:tc>
        <w:tc>
          <w:tcPr>
            <w:tcW w:w="709" w:type="dxa"/>
            <w:tcBorders>
              <w:top w:val="dashed" w:sz="4" w:space="0" w:color="auto"/>
            </w:tcBorders>
            <w:shd w:val="clear" w:color="auto" w:fill="auto"/>
            <w:vAlign w:val="bottom"/>
          </w:tcPr>
          <w:p w14:paraId="4297CDC5"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14.26</w:t>
            </w:r>
          </w:p>
        </w:tc>
        <w:tc>
          <w:tcPr>
            <w:tcW w:w="709" w:type="dxa"/>
            <w:tcBorders>
              <w:top w:val="dashed" w:sz="4" w:space="0" w:color="auto"/>
            </w:tcBorders>
            <w:shd w:val="clear" w:color="auto" w:fill="auto"/>
            <w:vAlign w:val="bottom"/>
          </w:tcPr>
          <w:p w14:paraId="54BDD15C"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14.15</w:t>
            </w:r>
          </w:p>
        </w:tc>
        <w:tc>
          <w:tcPr>
            <w:tcW w:w="709" w:type="dxa"/>
            <w:tcBorders>
              <w:top w:val="dashed" w:sz="4" w:space="0" w:color="auto"/>
            </w:tcBorders>
            <w:shd w:val="clear" w:color="auto" w:fill="auto"/>
            <w:vAlign w:val="bottom"/>
          </w:tcPr>
          <w:p w14:paraId="1115AB9D"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-3.51</w:t>
            </w:r>
          </w:p>
        </w:tc>
        <w:tc>
          <w:tcPr>
            <w:tcW w:w="709" w:type="dxa"/>
            <w:tcBorders>
              <w:top w:val="dashed" w:sz="4" w:space="0" w:color="auto"/>
            </w:tcBorders>
            <w:shd w:val="clear" w:color="auto" w:fill="auto"/>
            <w:vAlign w:val="bottom"/>
          </w:tcPr>
          <w:p w14:paraId="07655CD0"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-4.4</w:t>
            </w:r>
          </w:p>
        </w:tc>
      </w:tr>
      <w:tr w:rsidR="00035887" w:rsidRPr="00360FE6" w14:paraId="43D116EA" w14:textId="77777777" w:rsidTr="00C019D3">
        <w:trPr>
          <w:trHeight w:val="20"/>
        </w:trPr>
        <w:tc>
          <w:tcPr>
            <w:tcW w:w="2739" w:type="dxa"/>
            <w:shd w:val="clear" w:color="auto" w:fill="auto"/>
          </w:tcPr>
          <w:p w14:paraId="4354BEEB"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Base money (%)</w:t>
            </w:r>
          </w:p>
        </w:tc>
        <w:tc>
          <w:tcPr>
            <w:tcW w:w="708" w:type="dxa"/>
            <w:shd w:val="clear" w:color="auto" w:fill="auto"/>
            <w:vAlign w:val="bottom"/>
          </w:tcPr>
          <w:p w14:paraId="252D1C15"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20.84</w:t>
            </w:r>
          </w:p>
        </w:tc>
        <w:tc>
          <w:tcPr>
            <w:tcW w:w="709" w:type="dxa"/>
            <w:shd w:val="clear" w:color="auto" w:fill="auto"/>
            <w:vAlign w:val="bottom"/>
          </w:tcPr>
          <w:p w14:paraId="4E9B1BE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8.21</w:t>
            </w:r>
          </w:p>
        </w:tc>
        <w:tc>
          <w:tcPr>
            <w:tcW w:w="709" w:type="dxa"/>
            <w:shd w:val="clear" w:color="auto" w:fill="auto"/>
            <w:vAlign w:val="bottom"/>
          </w:tcPr>
          <w:p w14:paraId="2F89872B"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-0.52</w:t>
            </w:r>
          </w:p>
        </w:tc>
        <w:tc>
          <w:tcPr>
            <w:tcW w:w="709" w:type="dxa"/>
            <w:shd w:val="clear" w:color="auto" w:fill="auto"/>
            <w:vAlign w:val="bottom"/>
          </w:tcPr>
          <w:p w14:paraId="4A133CD6"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-0.15</w:t>
            </w:r>
          </w:p>
        </w:tc>
        <w:tc>
          <w:tcPr>
            <w:tcW w:w="709" w:type="dxa"/>
            <w:shd w:val="clear" w:color="auto" w:fill="auto"/>
            <w:vAlign w:val="bottom"/>
          </w:tcPr>
          <w:p w14:paraId="5F11AAC4"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1.61</w:t>
            </w:r>
          </w:p>
        </w:tc>
      </w:tr>
      <w:tr w:rsidR="00035887" w:rsidRPr="00360FE6" w14:paraId="42D471B4" w14:textId="77777777" w:rsidTr="00C019D3">
        <w:trPr>
          <w:trHeight w:val="20"/>
        </w:trPr>
        <w:tc>
          <w:tcPr>
            <w:tcW w:w="2739" w:type="dxa"/>
            <w:shd w:val="clear" w:color="auto" w:fill="auto"/>
          </w:tcPr>
          <w:p w14:paraId="4768F68F"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Dram base money (%)</w:t>
            </w:r>
          </w:p>
        </w:tc>
        <w:tc>
          <w:tcPr>
            <w:tcW w:w="708" w:type="dxa"/>
            <w:shd w:val="clear" w:color="auto" w:fill="auto"/>
            <w:vAlign w:val="bottom"/>
          </w:tcPr>
          <w:p w14:paraId="20C7A6D7"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1.67</w:t>
            </w:r>
          </w:p>
        </w:tc>
        <w:tc>
          <w:tcPr>
            <w:tcW w:w="709" w:type="dxa"/>
            <w:shd w:val="clear" w:color="auto" w:fill="auto"/>
            <w:vAlign w:val="bottom"/>
          </w:tcPr>
          <w:p w14:paraId="2658463F"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4.49</w:t>
            </w:r>
          </w:p>
        </w:tc>
        <w:tc>
          <w:tcPr>
            <w:tcW w:w="709" w:type="dxa"/>
            <w:shd w:val="clear" w:color="auto" w:fill="auto"/>
            <w:vAlign w:val="bottom"/>
          </w:tcPr>
          <w:p w14:paraId="238BA4F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0.63</w:t>
            </w:r>
          </w:p>
        </w:tc>
        <w:tc>
          <w:tcPr>
            <w:tcW w:w="709" w:type="dxa"/>
            <w:shd w:val="clear" w:color="auto" w:fill="auto"/>
            <w:vAlign w:val="bottom"/>
          </w:tcPr>
          <w:p w14:paraId="3F43AB6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15.53</w:t>
            </w:r>
          </w:p>
        </w:tc>
        <w:tc>
          <w:tcPr>
            <w:tcW w:w="709" w:type="dxa"/>
            <w:shd w:val="clear" w:color="auto" w:fill="auto"/>
            <w:vAlign w:val="bottom"/>
          </w:tcPr>
          <w:p w14:paraId="2212B5C8"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19.6</w:t>
            </w:r>
          </w:p>
        </w:tc>
      </w:tr>
      <w:tr w:rsidR="00035887" w:rsidRPr="00360FE6" w14:paraId="0AD7ED41" w14:textId="77777777" w:rsidTr="00C019D3">
        <w:trPr>
          <w:trHeight w:val="20"/>
        </w:trPr>
        <w:tc>
          <w:tcPr>
            <w:tcW w:w="2739" w:type="dxa"/>
            <w:shd w:val="clear" w:color="auto" w:fill="auto"/>
          </w:tcPr>
          <w:p w14:paraId="6B1ADB22"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Currency (% )</w:t>
            </w:r>
          </w:p>
        </w:tc>
        <w:tc>
          <w:tcPr>
            <w:tcW w:w="708" w:type="dxa"/>
            <w:shd w:val="clear" w:color="auto" w:fill="auto"/>
            <w:vAlign w:val="bottom"/>
          </w:tcPr>
          <w:p w14:paraId="005591E7"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-4.49</w:t>
            </w:r>
          </w:p>
        </w:tc>
        <w:tc>
          <w:tcPr>
            <w:tcW w:w="709" w:type="dxa"/>
            <w:shd w:val="clear" w:color="auto" w:fill="auto"/>
            <w:vAlign w:val="bottom"/>
          </w:tcPr>
          <w:p w14:paraId="6DCB09C8"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-1.19</w:t>
            </w:r>
          </w:p>
        </w:tc>
        <w:tc>
          <w:tcPr>
            <w:tcW w:w="709" w:type="dxa"/>
            <w:shd w:val="clear" w:color="auto" w:fill="auto"/>
            <w:vAlign w:val="bottom"/>
          </w:tcPr>
          <w:p w14:paraId="214326B6"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1.44</w:t>
            </w:r>
          </w:p>
        </w:tc>
        <w:tc>
          <w:tcPr>
            <w:tcW w:w="709" w:type="dxa"/>
            <w:shd w:val="clear" w:color="auto" w:fill="auto"/>
            <w:vAlign w:val="bottom"/>
          </w:tcPr>
          <w:p w14:paraId="2830C8F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-9.39</w:t>
            </w:r>
          </w:p>
        </w:tc>
        <w:tc>
          <w:tcPr>
            <w:tcW w:w="709" w:type="dxa"/>
            <w:shd w:val="clear" w:color="auto" w:fill="auto"/>
            <w:vAlign w:val="bottom"/>
          </w:tcPr>
          <w:p w14:paraId="7299A18F"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-9.8</w:t>
            </w:r>
          </w:p>
        </w:tc>
      </w:tr>
      <w:tr w:rsidR="00035887" w:rsidRPr="00360FE6" w14:paraId="62832A9B" w14:textId="77777777" w:rsidTr="00C019D3">
        <w:trPr>
          <w:trHeight w:val="20"/>
        </w:trPr>
        <w:tc>
          <w:tcPr>
            <w:tcW w:w="2739" w:type="dxa"/>
            <w:shd w:val="clear" w:color="auto" w:fill="auto"/>
          </w:tcPr>
          <w:p w14:paraId="18B5854C" w14:textId="77777777" w:rsidR="00035887" w:rsidRPr="00035887" w:rsidRDefault="00035887" w:rsidP="00C019D3">
            <w:pPr>
              <w:spacing w:before="60" w:after="60"/>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Deposits in local currency (% )</w:t>
            </w:r>
          </w:p>
        </w:tc>
        <w:tc>
          <w:tcPr>
            <w:tcW w:w="708" w:type="dxa"/>
            <w:shd w:val="clear" w:color="auto" w:fill="auto"/>
            <w:vAlign w:val="bottom"/>
          </w:tcPr>
          <w:p w14:paraId="06C76E4F"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25.27</w:t>
            </w:r>
          </w:p>
        </w:tc>
        <w:tc>
          <w:tcPr>
            <w:tcW w:w="709" w:type="dxa"/>
            <w:shd w:val="clear" w:color="auto" w:fill="auto"/>
            <w:vAlign w:val="bottom"/>
          </w:tcPr>
          <w:p w14:paraId="2BDF7AEE"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28.59</w:t>
            </w:r>
          </w:p>
        </w:tc>
        <w:tc>
          <w:tcPr>
            <w:tcW w:w="709" w:type="dxa"/>
            <w:shd w:val="clear" w:color="auto" w:fill="auto"/>
            <w:vAlign w:val="bottom"/>
          </w:tcPr>
          <w:p w14:paraId="377BD913"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25.31</w:t>
            </w:r>
          </w:p>
        </w:tc>
        <w:tc>
          <w:tcPr>
            <w:tcW w:w="709" w:type="dxa"/>
            <w:shd w:val="clear" w:color="auto" w:fill="auto"/>
            <w:vAlign w:val="bottom"/>
          </w:tcPr>
          <w:p w14:paraId="254374DD"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1.37</w:t>
            </w:r>
          </w:p>
        </w:tc>
        <w:tc>
          <w:tcPr>
            <w:tcW w:w="709" w:type="dxa"/>
            <w:shd w:val="clear" w:color="auto" w:fill="auto"/>
            <w:vAlign w:val="bottom"/>
          </w:tcPr>
          <w:p w14:paraId="27E6F64A"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-0.5</w:t>
            </w:r>
          </w:p>
        </w:tc>
      </w:tr>
      <w:tr w:rsidR="00035887" w:rsidRPr="00360FE6" w14:paraId="1DFD24A6" w14:textId="77777777" w:rsidTr="00C019D3">
        <w:trPr>
          <w:trHeight w:val="20"/>
        </w:trPr>
        <w:tc>
          <w:tcPr>
            <w:tcW w:w="2739" w:type="dxa"/>
            <w:shd w:val="clear" w:color="auto" w:fill="auto"/>
          </w:tcPr>
          <w:p w14:paraId="5D065F36" w14:textId="77777777" w:rsidR="00035887" w:rsidRPr="00035887" w:rsidRDefault="00035887" w:rsidP="00C019D3">
            <w:pPr>
              <w:spacing w:before="60" w:after="60"/>
              <w:rPr>
                <w:rFonts w:ascii="Garamond" w:eastAsia="Calibri" w:hAnsi="Garamond" w:cs="Times New Roman"/>
                <w:color w:val="000000"/>
                <w:sz w:val="16"/>
                <w:szCs w:val="16"/>
              </w:rPr>
            </w:pPr>
            <w:r w:rsidRPr="00035887">
              <w:rPr>
                <w:rFonts w:ascii="Garamond" w:eastAsia="Calibri" w:hAnsi="Garamond" w:cs="Times New Roman"/>
                <w:color w:val="000000"/>
                <w:sz w:val="16"/>
                <w:szCs w:val="16"/>
              </w:rPr>
              <w:t>Deposits in foreign currency (% )</w:t>
            </w:r>
          </w:p>
        </w:tc>
        <w:tc>
          <w:tcPr>
            <w:tcW w:w="708" w:type="dxa"/>
            <w:shd w:val="clear" w:color="auto" w:fill="auto"/>
            <w:vAlign w:val="bottom"/>
          </w:tcPr>
          <w:p w14:paraId="587F91D4"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14.95</w:t>
            </w:r>
          </w:p>
        </w:tc>
        <w:tc>
          <w:tcPr>
            <w:tcW w:w="709" w:type="dxa"/>
            <w:shd w:val="clear" w:color="auto" w:fill="auto"/>
            <w:vAlign w:val="bottom"/>
          </w:tcPr>
          <w:p w14:paraId="310A4B7B"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15.36</w:t>
            </w:r>
          </w:p>
        </w:tc>
        <w:tc>
          <w:tcPr>
            <w:tcW w:w="709" w:type="dxa"/>
            <w:shd w:val="clear" w:color="auto" w:fill="auto"/>
            <w:vAlign w:val="bottom"/>
          </w:tcPr>
          <w:p w14:paraId="72FE82E0"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4.71</w:t>
            </w:r>
          </w:p>
        </w:tc>
        <w:tc>
          <w:tcPr>
            <w:tcW w:w="709" w:type="dxa"/>
            <w:shd w:val="clear" w:color="auto" w:fill="auto"/>
            <w:vAlign w:val="bottom"/>
          </w:tcPr>
          <w:p w14:paraId="28EFB95F"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22.74</w:t>
            </w:r>
          </w:p>
        </w:tc>
        <w:tc>
          <w:tcPr>
            <w:tcW w:w="709" w:type="dxa"/>
            <w:shd w:val="clear" w:color="auto" w:fill="auto"/>
            <w:vAlign w:val="bottom"/>
          </w:tcPr>
          <w:p w14:paraId="0FA73DDE"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13.0</w:t>
            </w:r>
          </w:p>
        </w:tc>
      </w:tr>
      <w:tr w:rsidR="00035887" w:rsidRPr="00360FE6" w14:paraId="64CD846A" w14:textId="77777777" w:rsidTr="00C019D3">
        <w:trPr>
          <w:trHeight w:val="20"/>
        </w:trPr>
        <w:tc>
          <w:tcPr>
            <w:tcW w:w="2739" w:type="dxa"/>
            <w:shd w:val="clear" w:color="auto" w:fill="auto"/>
          </w:tcPr>
          <w:p w14:paraId="1373B439"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Dollarization (percentage point)</w:t>
            </w:r>
          </w:p>
        </w:tc>
        <w:tc>
          <w:tcPr>
            <w:tcW w:w="708" w:type="dxa"/>
            <w:shd w:val="clear" w:color="auto" w:fill="auto"/>
            <w:vAlign w:val="bottom"/>
          </w:tcPr>
          <w:p w14:paraId="58D59FDC"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0.89</w:t>
            </w:r>
          </w:p>
        </w:tc>
        <w:tc>
          <w:tcPr>
            <w:tcW w:w="709" w:type="dxa"/>
            <w:shd w:val="clear" w:color="auto" w:fill="auto"/>
            <w:vAlign w:val="bottom"/>
          </w:tcPr>
          <w:p w14:paraId="16629AC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0.24</w:t>
            </w:r>
          </w:p>
        </w:tc>
        <w:tc>
          <w:tcPr>
            <w:tcW w:w="709" w:type="dxa"/>
            <w:shd w:val="clear" w:color="auto" w:fill="auto"/>
            <w:vAlign w:val="bottom"/>
          </w:tcPr>
          <w:p w14:paraId="5FD7C42A"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-2.15</w:t>
            </w:r>
          </w:p>
        </w:tc>
        <w:tc>
          <w:tcPr>
            <w:tcW w:w="709" w:type="dxa"/>
            <w:shd w:val="clear" w:color="auto" w:fill="auto"/>
            <w:vAlign w:val="bottom"/>
          </w:tcPr>
          <w:p w14:paraId="738D683B"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6.0</w:t>
            </w:r>
          </w:p>
        </w:tc>
        <w:tc>
          <w:tcPr>
            <w:tcW w:w="709" w:type="dxa"/>
            <w:shd w:val="clear" w:color="auto" w:fill="auto"/>
            <w:vAlign w:val="bottom"/>
          </w:tcPr>
          <w:p w14:paraId="12E48BA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4.2</w:t>
            </w:r>
          </w:p>
        </w:tc>
      </w:tr>
      <w:tr w:rsidR="00035887" w:rsidRPr="00360FE6" w14:paraId="0A4C05EB" w14:textId="77777777" w:rsidTr="00C019D3">
        <w:trPr>
          <w:trHeight w:val="20"/>
        </w:trPr>
        <w:tc>
          <w:tcPr>
            <w:tcW w:w="2739" w:type="dxa"/>
            <w:shd w:val="clear" w:color="auto" w:fill="auto"/>
          </w:tcPr>
          <w:p w14:paraId="3B5DCA0C"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Money multiplier (percentage point)</w:t>
            </w:r>
          </w:p>
        </w:tc>
        <w:tc>
          <w:tcPr>
            <w:tcW w:w="708" w:type="dxa"/>
            <w:shd w:val="clear" w:color="auto" w:fill="auto"/>
            <w:vAlign w:val="bottom"/>
          </w:tcPr>
          <w:p w14:paraId="181D0BA6"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-0.14</w:t>
            </w:r>
          </w:p>
        </w:tc>
        <w:tc>
          <w:tcPr>
            <w:tcW w:w="709" w:type="dxa"/>
            <w:shd w:val="clear" w:color="auto" w:fill="auto"/>
            <w:vAlign w:val="bottom"/>
          </w:tcPr>
          <w:p w14:paraId="2D549840"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0.13</w:t>
            </w:r>
          </w:p>
        </w:tc>
        <w:tc>
          <w:tcPr>
            <w:tcW w:w="709" w:type="dxa"/>
            <w:shd w:val="clear" w:color="auto" w:fill="auto"/>
            <w:vAlign w:val="bottom"/>
          </w:tcPr>
          <w:p w14:paraId="2161AAE4"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0.21</w:t>
            </w:r>
          </w:p>
        </w:tc>
        <w:tc>
          <w:tcPr>
            <w:tcW w:w="709" w:type="dxa"/>
            <w:shd w:val="clear" w:color="auto" w:fill="auto"/>
            <w:vAlign w:val="bottom"/>
          </w:tcPr>
          <w:p w14:paraId="3AE5A5ED"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0.15</w:t>
            </w:r>
          </w:p>
        </w:tc>
        <w:tc>
          <w:tcPr>
            <w:tcW w:w="709" w:type="dxa"/>
            <w:shd w:val="clear" w:color="auto" w:fill="auto"/>
            <w:vAlign w:val="bottom"/>
          </w:tcPr>
          <w:p w14:paraId="171B3850"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0.0</w:t>
            </w:r>
          </w:p>
        </w:tc>
      </w:tr>
      <w:tr w:rsidR="00035887" w:rsidRPr="00360FE6" w14:paraId="44ADB24A" w14:textId="77777777" w:rsidTr="00C019D3">
        <w:trPr>
          <w:trHeight w:val="20"/>
        </w:trPr>
        <w:tc>
          <w:tcPr>
            <w:tcW w:w="2739" w:type="dxa"/>
            <w:shd w:val="clear" w:color="auto" w:fill="auto"/>
          </w:tcPr>
          <w:p w14:paraId="218BCC55" w14:textId="77777777" w:rsidR="00035887" w:rsidRPr="00035887" w:rsidRDefault="00035887" w:rsidP="00C019D3">
            <w:pPr>
              <w:spacing w:before="40" w:after="40"/>
              <w:rPr>
                <w:rFonts w:ascii="Garamond" w:eastAsia="Calibri" w:hAnsi="Garamond" w:cs="Times New Roman"/>
                <w:sz w:val="16"/>
                <w:szCs w:val="16"/>
              </w:rPr>
            </w:pPr>
            <w:r w:rsidRPr="00035887">
              <w:rPr>
                <w:rFonts w:ascii="Garamond" w:eastAsia="Calibri" w:hAnsi="Garamond" w:cs="Times New Roman"/>
                <w:sz w:val="16"/>
                <w:szCs w:val="16"/>
              </w:rPr>
              <w:t>Dram multiplier (percentage point)</w:t>
            </w:r>
          </w:p>
        </w:tc>
        <w:tc>
          <w:tcPr>
            <w:tcW w:w="708" w:type="dxa"/>
            <w:shd w:val="clear" w:color="auto" w:fill="auto"/>
            <w:vAlign w:val="bottom"/>
          </w:tcPr>
          <w:p w14:paraId="0B2AA90E"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0.12</w:t>
            </w:r>
          </w:p>
        </w:tc>
        <w:tc>
          <w:tcPr>
            <w:tcW w:w="709" w:type="dxa"/>
            <w:shd w:val="clear" w:color="auto" w:fill="auto"/>
            <w:vAlign w:val="bottom"/>
          </w:tcPr>
          <w:p w14:paraId="7EA43F3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0.12</w:t>
            </w:r>
          </w:p>
        </w:tc>
        <w:tc>
          <w:tcPr>
            <w:tcW w:w="709" w:type="dxa"/>
            <w:shd w:val="clear" w:color="auto" w:fill="auto"/>
            <w:vAlign w:val="bottom"/>
          </w:tcPr>
          <w:p w14:paraId="7E195B72"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0.17</w:t>
            </w:r>
          </w:p>
        </w:tc>
        <w:tc>
          <w:tcPr>
            <w:tcW w:w="709" w:type="dxa"/>
            <w:shd w:val="clear" w:color="auto" w:fill="auto"/>
            <w:vAlign w:val="bottom"/>
          </w:tcPr>
          <w:p w14:paraId="2DD60F0A"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-0.22</w:t>
            </w:r>
          </w:p>
        </w:tc>
        <w:tc>
          <w:tcPr>
            <w:tcW w:w="709" w:type="dxa"/>
            <w:shd w:val="clear" w:color="auto" w:fill="auto"/>
            <w:vAlign w:val="bottom"/>
          </w:tcPr>
          <w:p w14:paraId="080BB865" w14:textId="77777777" w:rsidR="00035887" w:rsidRPr="00035887" w:rsidRDefault="00035887" w:rsidP="00C019D3">
            <w:pPr>
              <w:spacing w:before="60" w:after="60"/>
              <w:jc w:val="right"/>
              <w:rPr>
                <w:rFonts w:ascii="Garamond" w:eastAsia="Calibri" w:hAnsi="Garamond"/>
                <w:sz w:val="16"/>
                <w:szCs w:val="16"/>
              </w:rPr>
            </w:pPr>
            <w:r w:rsidRPr="00035887">
              <w:rPr>
                <w:rFonts w:ascii="Garamond" w:eastAsia="Calibri" w:hAnsi="Garamond"/>
                <w:sz w:val="16"/>
                <w:szCs w:val="16"/>
              </w:rPr>
              <w:t>-0.28</w:t>
            </w:r>
          </w:p>
        </w:tc>
      </w:tr>
    </w:tbl>
    <w:p w14:paraId="569D922E" w14:textId="77777777" w:rsidR="002356F4" w:rsidRDefault="002356F4" w:rsidP="00A9653E">
      <w:pPr>
        <w:spacing w:line="360" w:lineRule="auto"/>
        <w:jc w:val="both"/>
        <w:rPr>
          <w:rFonts w:ascii="Garamond" w:hAnsi="Garamond" w:cs="Times New Roman"/>
          <w:b/>
          <w:sz w:val="21"/>
          <w:szCs w:val="21"/>
        </w:rPr>
      </w:pPr>
    </w:p>
    <w:p w14:paraId="75FDCB9E"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3.3.2 Exchange rate </w:t>
      </w:r>
    </w:p>
    <w:p w14:paraId="24797598" w14:textId="77777777" w:rsidR="00B74EB9" w:rsidRPr="004E7A10" w:rsidRDefault="00B74EB9"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002356F4">
        <w:rPr>
          <w:rFonts w:ascii="Garamond" w:hAnsi="Garamond" w:cs="Times New Roman"/>
          <w:sz w:val="21"/>
          <w:szCs w:val="21"/>
        </w:rPr>
        <w:t>1st</w:t>
      </w:r>
      <w:r w:rsidRPr="004E7A10">
        <w:rPr>
          <w:rFonts w:ascii="Garamond" w:hAnsi="Garamond" w:cs="Times New Roman"/>
          <w:sz w:val="21"/>
          <w:szCs w:val="21"/>
        </w:rPr>
        <w:t xml:space="preserve"> quarter of 201</w:t>
      </w:r>
      <w:r w:rsidR="003A19CE">
        <w:rPr>
          <w:rFonts w:ascii="Garamond" w:hAnsi="Garamond" w:cs="Times New Roman"/>
          <w:sz w:val="21"/>
          <w:szCs w:val="21"/>
        </w:rPr>
        <w:t>5</w:t>
      </w:r>
      <w:r w:rsidRPr="004E7A10">
        <w:rPr>
          <w:rFonts w:ascii="Garamond" w:hAnsi="Garamond" w:cs="Times New Roman"/>
          <w:sz w:val="21"/>
          <w:szCs w:val="21"/>
        </w:rPr>
        <w:t xml:space="preserve">, </w:t>
      </w:r>
      <w:r w:rsidR="00C019D3">
        <w:rPr>
          <w:rFonts w:ascii="Garamond" w:hAnsi="Garamond" w:cs="Times New Roman"/>
          <w:sz w:val="21"/>
          <w:szCs w:val="21"/>
        </w:rPr>
        <w:t xml:space="preserve">the </w:t>
      </w:r>
      <w:r w:rsidRPr="004E7A10">
        <w:rPr>
          <w:rFonts w:ascii="Garamond" w:hAnsi="Garamond" w:cs="Times New Roman"/>
          <w:sz w:val="21"/>
          <w:szCs w:val="21"/>
        </w:rPr>
        <w:t>trade partner</w:t>
      </w:r>
      <w:r w:rsidR="00C019D3">
        <w:rPr>
          <w:rFonts w:ascii="Garamond" w:hAnsi="Garamond" w:cs="Times New Roman"/>
          <w:sz w:val="21"/>
          <w:szCs w:val="21"/>
        </w:rPr>
        <w:t>s’</w:t>
      </w:r>
      <w:r w:rsidRPr="004E7A10">
        <w:rPr>
          <w:rFonts w:ascii="Garamond" w:hAnsi="Garamond" w:cs="Times New Roman"/>
          <w:sz w:val="21"/>
          <w:szCs w:val="21"/>
        </w:rPr>
        <w:t xml:space="preserve"> average nominal weighted exchange rate </w:t>
      </w:r>
      <w:r w:rsidR="00C019D3">
        <w:rPr>
          <w:rFonts w:ascii="Garamond" w:hAnsi="Garamond" w:cs="Times New Roman"/>
          <w:sz w:val="21"/>
          <w:szCs w:val="21"/>
        </w:rPr>
        <w:t xml:space="preserve">kept on </w:t>
      </w:r>
      <w:r w:rsidRPr="004E7A10">
        <w:rPr>
          <w:rFonts w:ascii="Garamond" w:hAnsi="Garamond" w:cs="Times New Roman"/>
          <w:sz w:val="21"/>
          <w:szCs w:val="21"/>
        </w:rPr>
        <w:t>depreciat</w:t>
      </w:r>
      <w:r w:rsidR="00C019D3">
        <w:rPr>
          <w:rFonts w:ascii="Garamond" w:hAnsi="Garamond" w:cs="Times New Roman"/>
          <w:sz w:val="21"/>
          <w:szCs w:val="21"/>
        </w:rPr>
        <w:t>ing</w:t>
      </w:r>
      <w:r w:rsidRPr="004E7A10">
        <w:rPr>
          <w:rFonts w:ascii="Garamond" w:hAnsi="Garamond" w:cs="Times New Roman"/>
          <w:sz w:val="21"/>
          <w:szCs w:val="21"/>
        </w:rPr>
        <w:t xml:space="preserve"> against the US dollar. </w:t>
      </w:r>
      <w:r w:rsidR="00C019D3">
        <w:rPr>
          <w:rFonts w:ascii="Garamond" w:hAnsi="Garamond" w:cs="Times New Roman"/>
          <w:sz w:val="21"/>
          <w:szCs w:val="21"/>
        </w:rPr>
        <w:t>It amounted to 14</w:t>
      </w:r>
      <w:r w:rsidRPr="004E7A10">
        <w:rPr>
          <w:rFonts w:ascii="Garamond" w:hAnsi="Garamond" w:cs="Times New Roman"/>
          <w:sz w:val="21"/>
          <w:szCs w:val="21"/>
        </w:rPr>
        <w:t>.</w:t>
      </w:r>
      <w:r w:rsidR="00C019D3">
        <w:rPr>
          <w:rFonts w:ascii="Garamond" w:hAnsi="Garamond" w:cs="Times New Roman"/>
          <w:sz w:val="21"/>
          <w:szCs w:val="21"/>
        </w:rPr>
        <w:t>6</w:t>
      </w:r>
      <w:r w:rsidRPr="004E7A10">
        <w:rPr>
          <w:rFonts w:ascii="Garamond" w:hAnsi="Garamond" w:cs="Times New Roman"/>
          <w:sz w:val="21"/>
          <w:szCs w:val="21"/>
        </w:rPr>
        <w:t>% q/q</w:t>
      </w:r>
      <w:r w:rsidR="00C019D3">
        <w:rPr>
          <w:rFonts w:ascii="Garamond" w:hAnsi="Garamond" w:cs="Times New Roman"/>
          <w:sz w:val="21"/>
          <w:szCs w:val="21"/>
        </w:rPr>
        <w:t>.</w:t>
      </w:r>
      <w:r w:rsidRPr="004E7A10">
        <w:rPr>
          <w:rFonts w:ascii="Garamond" w:hAnsi="Garamond" w:cs="Times New Roman"/>
          <w:sz w:val="21"/>
          <w:szCs w:val="21"/>
        </w:rPr>
        <w:t xml:space="preserve"> </w:t>
      </w:r>
      <w:r w:rsidR="00C019D3">
        <w:rPr>
          <w:rFonts w:ascii="Garamond" w:hAnsi="Garamond" w:cs="Times New Roman"/>
          <w:sz w:val="21"/>
          <w:szCs w:val="21"/>
        </w:rPr>
        <w:t xml:space="preserve">Though stepping a path of appreciation during the 1st quarter of 2015, the </w:t>
      </w:r>
      <w:r w:rsidR="00C019D3" w:rsidRPr="004E7A10">
        <w:rPr>
          <w:rFonts w:ascii="Garamond" w:hAnsi="Garamond" w:cs="Times New Roman"/>
          <w:sz w:val="21"/>
          <w:szCs w:val="21"/>
        </w:rPr>
        <w:t xml:space="preserve">average nominal exchange rate </w:t>
      </w:r>
      <w:r w:rsidRPr="004E7A10">
        <w:rPr>
          <w:rFonts w:ascii="Garamond" w:hAnsi="Garamond" w:cs="Times New Roman"/>
          <w:sz w:val="21"/>
          <w:szCs w:val="21"/>
        </w:rPr>
        <w:t xml:space="preserve">of </w:t>
      </w:r>
      <w:r w:rsidR="00C019D3" w:rsidRPr="004E7A10">
        <w:rPr>
          <w:rFonts w:ascii="Garamond" w:hAnsi="Garamond" w:cs="Times New Roman"/>
          <w:sz w:val="21"/>
          <w:szCs w:val="21"/>
        </w:rPr>
        <w:t xml:space="preserve">the Russian ruble </w:t>
      </w:r>
      <w:r w:rsidR="00C019D3">
        <w:rPr>
          <w:rFonts w:ascii="Garamond" w:hAnsi="Garamond" w:cs="Times New Roman"/>
          <w:sz w:val="21"/>
          <w:szCs w:val="21"/>
        </w:rPr>
        <w:t xml:space="preserve">is still above </w:t>
      </w:r>
      <w:r w:rsidR="00A209DF">
        <w:rPr>
          <w:rFonts w:ascii="Garamond" w:hAnsi="Garamond" w:cs="Times New Roman"/>
          <w:sz w:val="21"/>
          <w:szCs w:val="21"/>
        </w:rPr>
        <w:t xml:space="preserve">its </w:t>
      </w:r>
      <w:r w:rsidR="00C019D3">
        <w:rPr>
          <w:rFonts w:ascii="Garamond" w:hAnsi="Garamond" w:cs="Times New Roman"/>
          <w:sz w:val="21"/>
          <w:szCs w:val="21"/>
        </w:rPr>
        <w:t xml:space="preserve">average 4th quarter 2014 level. </w:t>
      </w:r>
      <w:r w:rsidR="00A209DF">
        <w:rPr>
          <w:rFonts w:ascii="Garamond" w:hAnsi="Garamond" w:cs="Times New Roman"/>
          <w:sz w:val="21"/>
          <w:szCs w:val="21"/>
        </w:rPr>
        <w:t xml:space="preserve">As a result, </w:t>
      </w:r>
      <w:r w:rsidR="00C019D3">
        <w:rPr>
          <w:rFonts w:ascii="Garamond" w:hAnsi="Garamond" w:cs="Times New Roman"/>
          <w:sz w:val="21"/>
          <w:szCs w:val="21"/>
        </w:rPr>
        <w:t xml:space="preserve">the </w:t>
      </w:r>
      <w:r w:rsidR="00A209DF">
        <w:rPr>
          <w:rFonts w:ascii="Garamond" w:hAnsi="Garamond" w:cs="Times New Roman"/>
          <w:sz w:val="21"/>
          <w:szCs w:val="21"/>
        </w:rPr>
        <w:t xml:space="preserve">bulk of </w:t>
      </w:r>
      <w:r w:rsidR="00A209DF" w:rsidRPr="004E7A10">
        <w:rPr>
          <w:rFonts w:ascii="Garamond" w:hAnsi="Garamond" w:cs="Times New Roman"/>
          <w:sz w:val="21"/>
          <w:szCs w:val="21"/>
        </w:rPr>
        <w:t>trade partner</w:t>
      </w:r>
      <w:r w:rsidR="00A209DF">
        <w:rPr>
          <w:rFonts w:ascii="Garamond" w:hAnsi="Garamond" w:cs="Times New Roman"/>
          <w:sz w:val="21"/>
          <w:szCs w:val="21"/>
        </w:rPr>
        <w:t>s’</w:t>
      </w:r>
      <w:r w:rsidR="00A209DF" w:rsidRPr="004E7A10">
        <w:rPr>
          <w:rFonts w:ascii="Garamond" w:hAnsi="Garamond" w:cs="Times New Roman"/>
          <w:sz w:val="21"/>
          <w:szCs w:val="21"/>
        </w:rPr>
        <w:t xml:space="preserve"> average nominal weighted exchange rate </w:t>
      </w:r>
      <w:r w:rsidR="00A209DF">
        <w:rPr>
          <w:rFonts w:ascii="Garamond" w:hAnsi="Garamond" w:cs="Times New Roman"/>
          <w:sz w:val="21"/>
          <w:szCs w:val="21"/>
        </w:rPr>
        <w:t xml:space="preserve">depreciation, making up as much as 6.2 pp, was due to the ruble behavior. </w:t>
      </w:r>
      <w:r w:rsidR="00A209DF" w:rsidRPr="00A209DF">
        <w:rPr>
          <w:rFonts w:ascii="Garamond" w:hAnsi="Garamond" w:cs="Times New Roman"/>
          <w:sz w:val="21"/>
          <w:szCs w:val="21"/>
        </w:rPr>
        <w:t xml:space="preserve">At the same time, </w:t>
      </w:r>
      <w:r w:rsidR="00A7148E">
        <w:rPr>
          <w:rFonts w:ascii="Garamond" w:hAnsi="Garamond" w:cs="Times New Roman"/>
          <w:sz w:val="21"/>
          <w:szCs w:val="21"/>
        </w:rPr>
        <w:t xml:space="preserve">high depreciation of </w:t>
      </w:r>
      <w:r w:rsidR="00A209DF" w:rsidRPr="00A209DF">
        <w:rPr>
          <w:rFonts w:ascii="Garamond" w:hAnsi="Garamond" w:cs="Times New Roman"/>
          <w:sz w:val="21"/>
          <w:szCs w:val="21"/>
        </w:rPr>
        <w:t xml:space="preserve">the </w:t>
      </w:r>
      <w:r w:rsidR="00A209DF">
        <w:rPr>
          <w:rFonts w:ascii="Garamond" w:hAnsi="Garamond" w:cs="Times New Roman"/>
          <w:sz w:val="21"/>
          <w:szCs w:val="21"/>
        </w:rPr>
        <w:t xml:space="preserve">euro and </w:t>
      </w:r>
      <w:r w:rsidR="00A209DF" w:rsidRPr="00A209DF">
        <w:rPr>
          <w:rFonts w:ascii="Garamond" w:hAnsi="Garamond" w:cs="Times New Roman"/>
          <w:sz w:val="21"/>
          <w:szCs w:val="21"/>
        </w:rPr>
        <w:t>hryvn</w:t>
      </w:r>
      <w:r w:rsidR="00A7148E">
        <w:rPr>
          <w:rFonts w:ascii="Garamond" w:hAnsi="Garamond" w:cs="Times New Roman"/>
          <w:sz w:val="21"/>
          <w:szCs w:val="21"/>
        </w:rPr>
        <w:t>i</w:t>
      </w:r>
      <w:r w:rsidR="00A209DF" w:rsidRPr="00A209DF">
        <w:rPr>
          <w:rFonts w:ascii="Garamond" w:hAnsi="Garamond" w:cs="Times New Roman"/>
          <w:sz w:val="21"/>
          <w:szCs w:val="21"/>
        </w:rPr>
        <w:t xml:space="preserve">a </w:t>
      </w:r>
      <w:r w:rsidR="00A7148E">
        <w:rPr>
          <w:rFonts w:ascii="Garamond" w:hAnsi="Garamond" w:cs="Times New Roman"/>
          <w:sz w:val="21"/>
          <w:szCs w:val="21"/>
        </w:rPr>
        <w:t xml:space="preserve">had, </w:t>
      </w:r>
      <w:r w:rsidR="00A209DF" w:rsidRPr="00A209DF">
        <w:rPr>
          <w:rFonts w:ascii="Garamond" w:hAnsi="Garamond" w:cs="Times New Roman"/>
          <w:sz w:val="21"/>
          <w:szCs w:val="21"/>
        </w:rPr>
        <w:t>respectively</w:t>
      </w:r>
      <w:r w:rsidR="00A7148E">
        <w:rPr>
          <w:rFonts w:ascii="Garamond" w:hAnsi="Garamond" w:cs="Times New Roman"/>
          <w:sz w:val="21"/>
          <w:szCs w:val="21"/>
        </w:rPr>
        <w:t>,</w:t>
      </w:r>
      <w:r w:rsidR="00A209DF" w:rsidRPr="00A209DF">
        <w:rPr>
          <w:rFonts w:ascii="Garamond" w:hAnsi="Garamond" w:cs="Times New Roman"/>
          <w:sz w:val="21"/>
          <w:szCs w:val="21"/>
        </w:rPr>
        <w:t xml:space="preserve"> 3.1 and 3.0 pp contribution.</w:t>
      </w:r>
      <w:r w:rsidR="004F0054">
        <w:rPr>
          <w:rFonts w:ascii="Garamond" w:hAnsi="Garamond" w:cs="Times New Roman"/>
          <w:sz w:val="21"/>
          <w:szCs w:val="21"/>
        </w:rPr>
        <w:t xml:space="preserve"> In the 1st </w:t>
      </w:r>
      <w:r w:rsidR="00617994">
        <w:rPr>
          <w:rFonts w:ascii="Garamond" w:hAnsi="Garamond" w:cs="Times New Roman"/>
          <w:sz w:val="21"/>
          <w:szCs w:val="21"/>
        </w:rPr>
        <w:t xml:space="preserve">quarter of 2015, the </w:t>
      </w:r>
      <w:r w:rsidR="004F0054" w:rsidRPr="004E7A10">
        <w:rPr>
          <w:rFonts w:ascii="Garamond" w:hAnsi="Garamond" w:cs="Times New Roman"/>
          <w:sz w:val="21"/>
          <w:szCs w:val="21"/>
        </w:rPr>
        <w:t>average nominal exchange rate</w:t>
      </w:r>
      <w:r w:rsidR="004F0054">
        <w:rPr>
          <w:rFonts w:ascii="Garamond" w:hAnsi="Garamond" w:cs="Times New Roman"/>
          <w:sz w:val="21"/>
          <w:szCs w:val="21"/>
        </w:rPr>
        <w:t xml:space="preserve"> depreciation of the Armenian dram was</w:t>
      </w:r>
      <w:r w:rsidR="00617994">
        <w:rPr>
          <w:rFonts w:ascii="Garamond" w:hAnsi="Garamond" w:cs="Times New Roman"/>
          <w:sz w:val="21"/>
          <w:szCs w:val="21"/>
        </w:rPr>
        <w:t xml:space="preserve"> 9.9% q/q as a result of external equilibrium sustained under currency depreciation </w:t>
      </w:r>
      <w:r w:rsidR="00A209DF" w:rsidRPr="00A209DF">
        <w:rPr>
          <w:rFonts w:ascii="Garamond" w:hAnsi="Garamond" w:cs="Times New Roman"/>
          <w:sz w:val="21"/>
          <w:szCs w:val="21"/>
        </w:rPr>
        <w:t>pressure</w:t>
      </w:r>
      <w:r w:rsidR="00617994">
        <w:rPr>
          <w:rFonts w:ascii="Garamond" w:hAnsi="Garamond" w:cs="Times New Roman"/>
          <w:sz w:val="21"/>
          <w:szCs w:val="21"/>
        </w:rPr>
        <w:t>s</w:t>
      </w:r>
      <w:r w:rsidR="00A209DF" w:rsidRPr="00A209DF">
        <w:rPr>
          <w:rFonts w:ascii="Garamond" w:hAnsi="Garamond" w:cs="Times New Roman"/>
          <w:sz w:val="21"/>
          <w:szCs w:val="21"/>
        </w:rPr>
        <w:t xml:space="preserve"> </w:t>
      </w:r>
      <w:r w:rsidR="00617994">
        <w:rPr>
          <w:rFonts w:ascii="Garamond" w:hAnsi="Garamond" w:cs="Times New Roman"/>
          <w:sz w:val="21"/>
          <w:szCs w:val="21"/>
        </w:rPr>
        <w:t xml:space="preserve">in trade partner countries. </w:t>
      </w:r>
      <w:r w:rsidR="001346F5">
        <w:rPr>
          <w:rFonts w:ascii="Garamond" w:hAnsi="Garamond" w:cs="Times New Roman"/>
          <w:sz w:val="21"/>
          <w:szCs w:val="21"/>
        </w:rPr>
        <w:t>Meanwhile</w:t>
      </w:r>
      <w:r w:rsidR="00617994">
        <w:rPr>
          <w:rFonts w:ascii="Garamond" w:hAnsi="Garamond" w:cs="Times New Roman"/>
          <w:sz w:val="21"/>
          <w:szCs w:val="21"/>
        </w:rPr>
        <w:t>,</w:t>
      </w:r>
      <w:r w:rsidR="00572287" w:rsidRPr="004E7A10">
        <w:rPr>
          <w:rFonts w:ascii="Garamond" w:hAnsi="Garamond" w:cs="Times New Roman"/>
          <w:sz w:val="21"/>
          <w:szCs w:val="21"/>
        </w:rPr>
        <w:t xml:space="preserve"> the Central Bank </w:t>
      </w:r>
      <w:r w:rsidR="001346F5">
        <w:rPr>
          <w:rFonts w:ascii="Garamond" w:hAnsi="Garamond" w:cs="Times New Roman"/>
          <w:sz w:val="21"/>
          <w:szCs w:val="21"/>
        </w:rPr>
        <w:t xml:space="preserve">has </w:t>
      </w:r>
      <w:r w:rsidR="00617994" w:rsidRPr="004E7A10">
        <w:rPr>
          <w:rFonts w:ascii="Garamond" w:hAnsi="Garamond" w:cs="Times New Roman"/>
          <w:sz w:val="21"/>
          <w:szCs w:val="21"/>
        </w:rPr>
        <w:t xml:space="preserve">injected around USD </w:t>
      </w:r>
      <w:r w:rsidR="00617994">
        <w:rPr>
          <w:rFonts w:ascii="Garamond" w:hAnsi="Garamond" w:cs="Times New Roman"/>
          <w:sz w:val="21"/>
          <w:szCs w:val="21"/>
        </w:rPr>
        <w:t>149</w:t>
      </w:r>
      <w:r w:rsidR="00617994" w:rsidRPr="004E7A10">
        <w:rPr>
          <w:rFonts w:ascii="Garamond" w:hAnsi="Garamond" w:cs="Times New Roman"/>
          <w:sz w:val="21"/>
          <w:szCs w:val="21"/>
        </w:rPr>
        <w:t>.</w:t>
      </w:r>
      <w:r w:rsidR="00617994">
        <w:rPr>
          <w:rFonts w:ascii="Garamond" w:hAnsi="Garamond" w:cs="Times New Roman"/>
          <w:sz w:val="21"/>
          <w:szCs w:val="21"/>
        </w:rPr>
        <w:t>6</w:t>
      </w:r>
      <w:r w:rsidR="00617994" w:rsidRPr="004E7A10">
        <w:rPr>
          <w:rFonts w:ascii="Garamond" w:hAnsi="Garamond" w:cs="Times New Roman"/>
          <w:sz w:val="21"/>
          <w:szCs w:val="21"/>
        </w:rPr>
        <w:t xml:space="preserve"> million in the </w:t>
      </w:r>
      <w:r w:rsidR="00617994">
        <w:rPr>
          <w:rFonts w:ascii="Garamond" w:hAnsi="Garamond" w:cs="Times New Roman"/>
          <w:sz w:val="21"/>
          <w:szCs w:val="21"/>
        </w:rPr>
        <w:t xml:space="preserve">currency </w:t>
      </w:r>
      <w:r w:rsidR="00617994" w:rsidRPr="004E7A10">
        <w:rPr>
          <w:rFonts w:ascii="Garamond" w:hAnsi="Garamond" w:cs="Times New Roman"/>
          <w:sz w:val="21"/>
          <w:szCs w:val="21"/>
        </w:rPr>
        <w:t>market</w:t>
      </w:r>
      <w:r w:rsidR="00617994">
        <w:rPr>
          <w:rFonts w:ascii="Garamond" w:hAnsi="Garamond" w:cs="Times New Roman"/>
          <w:sz w:val="21"/>
          <w:szCs w:val="21"/>
        </w:rPr>
        <w:t xml:space="preserve">, </w:t>
      </w:r>
      <w:r w:rsidR="001346F5">
        <w:rPr>
          <w:rFonts w:ascii="Garamond" w:hAnsi="Garamond" w:cs="Times New Roman"/>
          <w:sz w:val="21"/>
          <w:szCs w:val="21"/>
        </w:rPr>
        <w:t xml:space="preserve">primarily at </w:t>
      </w:r>
      <w:r w:rsidR="001346F5">
        <w:rPr>
          <w:rFonts w:ascii="Garamond" w:hAnsi="Garamond" w:cs="Times New Roman"/>
          <w:sz w:val="21"/>
          <w:szCs w:val="21"/>
        </w:rPr>
        <w:lastRenderedPageBreak/>
        <w:t xml:space="preserve">the beginning of </w:t>
      </w:r>
      <w:r w:rsidR="00617994">
        <w:rPr>
          <w:rFonts w:ascii="Garamond" w:hAnsi="Garamond" w:cs="Times New Roman"/>
          <w:sz w:val="21"/>
          <w:szCs w:val="21"/>
        </w:rPr>
        <w:t xml:space="preserve">the </w:t>
      </w:r>
      <w:r w:rsidR="001346F5">
        <w:rPr>
          <w:rFonts w:ascii="Garamond" w:hAnsi="Garamond" w:cs="Times New Roman"/>
          <w:sz w:val="21"/>
          <w:szCs w:val="21"/>
        </w:rPr>
        <w:t xml:space="preserve">year, in order to neutralize expectations in the currency market and maintain overall financial stability. </w:t>
      </w:r>
    </w:p>
    <w:p w14:paraId="62A1122C" w14:textId="77777777" w:rsidR="00FD46D1" w:rsidRPr="004E7A10" w:rsidRDefault="006A429D" w:rsidP="00A9653E">
      <w:pPr>
        <w:spacing w:line="360" w:lineRule="auto"/>
        <w:jc w:val="both"/>
        <w:rPr>
          <w:rFonts w:ascii="Garamond" w:hAnsi="Garamond" w:cs="Times New Roman"/>
          <w:sz w:val="20"/>
          <w:szCs w:val="20"/>
        </w:rPr>
      </w:pPr>
      <w:r>
        <w:rPr>
          <w:rFonts w:ascii="Garamond" w:hAnsi="Garamond" w:cs="Times New Roman"/>
          <w:sz w:val="21"/>
          <w:szCs w:val="21"/>
        </w:rPr>
        <w:t xml:space="preserve">Influenced </w:t>
      </w:r>
      <w:r w:rsidR="008D49BF" w:rsidRPr="004E7A10">
        <w:rPr>
          <w:rFonts w:ascii="Garamond" w:hAnsi="Garamond" w:cs="Times New Roman"/>
          <w:sz w:val="21"/>
          <w:szCs w:val="21"/>
        </w:rPr>
        <w:t>by dramatic currency depreciation in trade partner</w:t>
      </w:r>
      <w:r>
        <w:rPr>
          <w:rFonts w:ascii="Garamond" w:hAnsi="Garamond" w:cs="Times New Roman"/>
          <w:sz w:val="21"/>
          <w:szCs w:val="21"/>
        </w:rPr>
        <w:t>s</w:t>
      </w:r>
      <w:r w:rsidR="008D49BF" w:rsidRPr="004E7A10">
        <w:rPr>
          <w:rFonts w:ascii="Garamond" w:hAnsi="Garamond" w:cs="Times New Roman"/>
          <w:sz w:val="21"/>
          <w:szCs w:val="21"/>
        </w:rPr>
        <w:t xml:space="preserve">, the nominal effective exchange rate of the Armenian dram </w:t>
      </w:r>
      <w:r>
        <w:rPr>
          <w:rFonts w:ascii="Garamond" w:hAnsi="Garamond" w:cs="Times New Roman"/>
          <w:sz w:val="21"/>
          <w:szCs w:val="21"/>
        </w:rPr>
        <w:t xml:space="preserve">posted 3.5% appreciation q/q </w:t>
      </w:r>
      <w:r w:rsidR="008D49BF" w:rsidRPr="004E7A10">
        <w:rPr>
          <w:rFonts w:ascii="Garamond" w:hAnsi="Garamond" w:cs="Times New Roman"/>
          <w:sz w:val="21"/>
          <w:szCs w:val="21"/>
        </w:rPr>
        <w:t>and the real effective exchange rate</w:t>
      </w:r>
      <w:r>
        <w:rPr>
          <w:rStyle w:val="FootnoteReference"/>
          <w:rFonts w:ascii="Garamond" w:hAnsi="Garamond" w:cs="Times New Roman"/>
          <w:sz w:val="21"/>
          <w:szCs w:val="21"/>
        </w:rPr>
        <w:footnoteReference w:customMarkFollows="1" w:id="18"/>
        <w:t>18</w:t>
      </w:r>
      <w:r w:rsidR="008D49BF" w:rsidRPr="004E7A10">
        <w:rPr>
          <w:rFonts w:ascii="Garamond" w:hAnsi="Garamond" w:cs="Times New Roman"/>
          <w:sz w:val="21"/>
          <w:szCs w:val="21"/>
        </w:rPr>
        <w:t xml:space="preserve">, </w:t>
      </w:r>
      <w:r>
        <w:rPr>
          <w:rFonts w:ascii="Garamond" w:hAnsi="Garamond" w:cs="Times New Roman"/>
          <w:sz w:val="21"/>
          <w:szCs w:val="21"/>
        </w:rPr>
        <w:t>5</w:t>
      </w:r>
      <w:r w:rsidR="008D49BF" w:rsidRPr="004E7A10">
        <w:rPr>
          <w:rFonts w:ascii="Garamond" w:hAnsi="Garamond" w:cs="Times New Roman"/>
          <w:sz w:val="21"/>
          <w:szCs w:val="21"/>
        </w:rPr>
        <w:t>.</w:t>
      </w:r>
      <w:r>
        <w:rPr>
          <w:rFonts w:ascii="Garamond" w:hAnsi="Garamond" w:cs="Times New Roman"/>
          <w:sz w:val="21"/>
          <w:szCs w:val="21"/>
        </w:rPr>
        <w:t>6</w:t>
      </w:r>
      <w:r w:rsidR="008D49BF" w:rsidRPr="004E7A10">
        <w:rPr>
          <w:rFonts w:ascii="Garamond" w:hAnsi="Garamond" w:cs="Times New Roman"/>
          <w:sz w:val="21"/>
          <w:szCs w:val="21"/>
        </w:rPr>
        <w:t xml:space="preserve">% </w:t>
      </w:r>
      <w:r>
        <w:rPr>
          <w:rFonts w:ascii="Garamond" w:hAnsi="Garamond" w:cs="Times New Roman"/>
          <w:sz w:val="21"/>
          <w:szCs w:val="21"/>
        </w:rPr>
        <w:t xml:space="preserve">appreciation </w:t>
      </w:r>
      <w:r w:rsidR="008D49BF" w:rsidRPr="004E7A10">
        <w:rPr>
          <w:rFonts w:ascii="Garamond" w:hAnsi="Garamond" w:cs="Times New Roman"/>
          <w:sz w:val="21"/>
          <w:szCs w:val="21"/>
        </w:rPr>
        <w:t xml:space="preserve">q/q </w:t>
      </w:r>
      <w:r>
        <w:rPr>
          <w:rFonts w:ascii="Garamond" w:hAnsi="Garamond" w:cs="Times New Roman"/>
          <w:sz w:val="21"/>
          <w:szCs w:val="21"/>
        </w:rPr>
        <w:t>during the 1st</w:t>
      </w:r>
      <w:r w:rsidRPr="004E7A10">
        <w:rPr>
          <w:rFonts w:ascii="Garamond" w:hAnsi="Garamond" w:cs="Times New Roman"/>
          <w:sz w:val="21"/>
          <w:szCs w:val="21"/>
        </w:rPr>
        <w:t xml:space="preserve"> </w:t>
      </w:r>
      <w:r>
        <w:rPr>
          <w:rFonts w:ascii="Garamond" w:hAnsi="Garamond" w:cs="Times New Roman"/>
          <w:sz w:val="21"/>
          <w:szCs w:val="21"/>
        </w:rPr>
        <w:t xml:space="preserve">quarter of 2015. </w:t>
      </w:r>
      <w:r w:rsidR="005533A3" w:rsidRPr="004E7A10">
        <w:rPr>
          <w:rFonts w:ascii="Garamond" w:hAnsi="Garamond" w:cs="Times New Roman"/>
          <w:sz w:val="21"/>
          <w:szCs w:val="21"/>
        </w:rPr>
        <w:t>T</w:t>
      </w:r>
      <w:r w:rsidR="008D49BF" w:rsidRPr="004E7A10">
        <w:rPr>
          <w:rFonts w:ascii="Garamond" w:hAnsi="Garamond" w:cs="Times New Roman"/>
          <w:sz w:val="21"/>
          <w:szCs w:val="21"/>
        </w:rPr>
        <w:t xml:space="preserve">he </w:t>
      </w:r>
      <w:r w:rsidR="002C3BA8">
        <w:rPr>
          <w:rFonts w:ascii="Garamond" w:hAnsi="Garamond" w:cs="Times New Roman"/>
          <w:sz w:val="21"/>
          <w:szCs w:val="21"/>
        </w:rPr>
        <w:t xml:space="preserve">11.6% y/y </w:t>
      </w:r>
      <w:r w:rsidR="002C3BA8" w:rsidRPr="004E7A10">
        <w:rPr>
          <w:rFonts w:ascii="Garamond" w:hAnsi="Garamond" w:cs="Times New Roman"/>
          <w:sz w:val="21"/>
          <w:szCs w:val="21"/>
        </w:rPr>
        <w:t xml:space="preserve">appreciation </w:t>
      </w:r>
      <w:r w:rsidR="002C3BA8">
        <w:rPr>
          <w:rFonts w:ascii="Garamond" w:hAnsi="Garamond" w:cs="Times New Roman"/>
          <w:sz w:val="21"/>
          <w:szCs w:val="21"/>
        </w:rPr>
        <w:t xml:space="preserve">of the </w:t>
      </w:r>
      <w:r w:rsidR="008D49BF" w:rsidRPr="004E7A10">
        <w:rPr>
          <w:rFonts w:ascii="Garamond" w:hAnsi="Garamond" w:cs="Times New Roman"/>
          <w:sz w:val="21"/>
          <w:szCs w:val="21"/>
        </w:rPr>
        <w:t xml:space="preserve">real </w:t>
      </w:r>
      <w:r w:rsidR="002C3BA8">
        <w:rPr>
          <w:rFonts w:ascii="Garamond" w:hAnsi="Garamond" w:cs="Times New Roman"/>
          <w:sz w:val="21"/>
          <w:szCs w:val="21"/>
        </w:rPr>
        <w:t xml:space="preserve">effective </w:t>
      </w:r>
      <w:r w:rsidR="008D49BF" w:rsidRPr="004E7A10">
        <w:rPr>
          <w:rFonts w:ascii="Garamond" w:hAnsi="Garamond" w:cs="Times New Roman"/>
          <w:sz w:val="21"/>
          <w:szCs w:val="21"/>
        </w:rPr>
        <w:t xml:space="preserve">exchange rate was attributable to </w:t>
      </w:r>
      <w:r w:rsidR="005533A3" w:rsidRPr="004E7A10">
        <w:rPr>
          <w:rFonts w:ascii="Garamond" w:hAnsi="Garamond" w:cs="Times New Roman"/>
          <w:sz w:val="21"/>
          <w:szCs w:val="21"/>
        </w:rPr>
        <w:t>the average nominal weighted exchange rate highly depreciated in trade partner countries</w:t>
      </w:r>
      <w:r w:rsidR="002C3BA8">
        <w:rPr>
          <w:rFonts w:ascii="Garamond" w:hAnsi="Garamond" w:cs="Times New Roman"/>
          <w:sz w:val="21"/>
          <w:szCs w:val="21"/>
        </w:rPr>
        <w:t xml:space="preserve"> since the end of the previous year</w:t>
      </w:r>
      <w:r w:rsidR="005533A3" w:rsidRPr="004E7A10">
        <w:rPr>
          <w:rFonts w:ascii="Garamond" w:hAnsi="Garamond" w:cs="Times New Roman"/>
          <w:sz w:val="21"/>
          <w:szCs w:val="21"/>
        </w:rPr>
        <w:t xml:space="preserve">. </w:t>
      </w:r>
    </w:p>
    <w:tbl>
      <w:tblPr>
        <w:tblW w:w="6876" w:type="dxa"/>
        <w:tblInd w:w="71"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4A0" w:firstRow="1" w:lastRow="0" w:firstColumn="1" w:lastColumn="0" w:noHBand="0" w:noVBand="1"/>
      </w:tblPr>
      <w:tblGrid>
        <w:gridCol w:w="2562"/>
        <w:gridCol w:w="448"/>
        <w:gridCol w:w="449"/>
        <w:gridCol w:w="448"/>
        <w:gridCol w:w="449"/>
        <w:gridCol w:w="448"/>
        <w:gridCol w:w="449"/>
        <w:gridCol w:w="449"/>
        <w:gridCol w:w="587"/>
        <w:gridCol w:w="587"/>
      </w:tblGrid>
      <w:tr w:rsidR="002C3BA8" w:rsidRPr="00273D1E" w14:paraId="4B337D9A" w14:textId="77777777" w:rsidTr="001910E5">
        <w:trPr>
          <w:cantSplit/>
          <w:trHeight w:val="1096"/>
        </w:trPr>
        <w:tc>
          <w:tcPr>
            <w:tcW w:w="2562" w:type="dxa"/>
            <w:tcBorders>
              <w:top w:val="single" w:sz="4" w:space="0" w:color="auto"/>
              <w:bottom w:val="single" w:sz="4" w:space="0" w:color="auto"/>
            </w:tcBorders>
            <w:shd w:val="clear" w:color="auto" w:fill="auto"/>
            <w:noWrap/>
            <w:vAlign w:val="center"/>
          </w:tcPr>
          <w:p w14:paraId="58430689" w14:textId="77777777" w:rsidR="002C3BA8" w:rsidRPr="00273D1E" w:rsidRDefault="002C3BA8" w:rsidP="001B1AA6">
            <w:pPr>
              <w:spacing w:before="20" w:after="20"/>
              <w:rPr>
                <w:rFonts w:ascii="Garamond" w:hAnsi="Garamond" w:cs="Times New Roman"/>
                <w:b/>
                <w:iCs/>
                <w:sz w:val="18"/>
                <w:szCs w:val="18"/>
              </w:rPr>
            </w:pPr>
            <w:r w:rsidRPr="00273D1E">
              <w:rPr>
                <w:rFonts w:ascii="Garamond" w:hAnsi="Garamond" w:cs="Times New Roman"/>
                <w:iCs/>
                <w:sz w:val="18"/>
                <w:szCs w:val="18"/>
              </w:rPr>
              <w:t>y/y growth, %</w:t>
            </w:r>
          </w:p>
        </w:tc>
        <w:tc>
          <w:tcPr>
            <w:tcW w:w="448" w:type="dxa"/>
            <w:tcBorders>
              <w:top w:val="single" w:sz="4" w:space="0" w:color="auto"/>
              <w:bottom w:val="single" w:sz="4" w:space="0" w:color="auto"/>
            </w:tcBorders>
            <w:textDirection w:val="btLr"/>
            <w:vAlign w:val="bottom"/>
          </w:tcPr>
          <w:p w14:paraId="1E5EACD5" w14:textId="77777777" w:rsidR="002C3BA8" w:rsidRPr="00273D1E" w:rsidRDefault="002C3BA8" w:rsidP="001B1AA6">
            <w:pPr>
              <w:spacing w:before="20" w:after="20"/>
              <w:ind w:left="113" w:right="113"/>
              <w:rPr>
                <w:rFonts w:ascii="Garamond" w:hAnsi="Garamond" w:cs="Times New Roman"/>
                <w:b/>
                <w:iCs/>
                <w:sz w:val="18"/>
                <w:szCs w:val="18"/>
              </w:rPr>
            </w:pPr>
            <w:r w:rsidRPr="00273D1E">
              <w:rPr>
                <w:rFonts w:ascii="Garamond" w:hAnsi="Garamond" w:cs="Times New Roman"/>
                <w:b/>
                <w:iCs/>
                <w:sz w:val="18"/>
                <w:szCs w:val="18"/>
                <w:lang w:val="hy-AM"/>
              </w:rPr>
              <w:t xml:space="preserve">Q1, </w:t>
            </w:r>
            <w:r w:rsidRPr="00273D1E">
              <w:rPr>
                <w:rFonts w:ascii="Garamond" w:hAnsi="Garamond" w:cs="Times New Roman"/>
                <w:b/>
                <w:iCs/>
                <w:sz w:val="18"/>
                <w:szCs w:val="18"/>
              </w:rPr>
              <w:t>2013</w:t>
            </w:r>
          </w:p>
        </w:tc>
        <w:tc>
          <w:tcPr>
            <w:tcW w:w="449" w:type="dxa"/>
            <w:tcBorders>
              <w:top w:val="single" w:sz="4" w:space="0" w:color="auto"/>
              <w:bottom w:val="single" w:sz="4" w:space="0" w:color="auto"/>
            </w:tcBorders>
            <w:textDirection w:val="btLr"/>
            <w:vAlign w:val="bottom"/>
          </w:tcPr>
          <w:p w14:paraId="311932E8" w14:textId="77777777" w:rsidR="002C3BA8" w:rsidRPr="00273D1E" w:rsidRDefault="002C3BA8" w:rsidP="001B1AA6">
            <w:pPr>
              <w:spacing w:before="20" w:after="20"/>
              <w:ind w:left="113" w:right="113"/>
              <w:rPr>
                <w:rFonts w:ascii="Garamond" w:hAnsi="Garamond" w:cs="Times New Roman"/>
                <w:b/>
                <w:iCs/>
                <w:sz w:val="18"/>
                <w:szCs w:val="18"/>
                <w:lang w:val="hy-AM"/>
              </w:rPr>
            </w:pPr>
            <w:r w:rsidRPr="00273D1E">
              <w:rPr>
                <w:rFonts w:ascii="Garamond" w:hAnsi="Garamond" w:cs="Times New Roman"/>
                <w:b/>
                <w:iCs/>
                <w:sz w:val="18"/>
                <w:szCs w:val="18"/>
                <w:lang w:val="hy-AM"/>
              </w:rPr>
              <w:t>Q2</w:t>
            </w:r>
          </w:p>
        </w:tc>
        <w:tc>
          <w:tcPr>
            <w:tcW w:w="448" w:type="dxa"/>
            <w:tcBorders>
              <w:top w:val="single" w:sz="4" w:space="0" w:color="auto"/>
              <w:bottom w:val="single" w:sz="4" w:space="0" w:color="auto"/>
            </w:tcBorders>
            <w:textDirection w:val="btLr"/>
            <w:vAlign w:val="bottom"/>
          </w:tcPr>
          <w:p w14:paraId="2EC2CBB8" w14:textId="77777777" w:rsidR="002C3BA8" w:rsidRPr="00273D1E" w:rsidRDefault="002C3BA8" w:rsidP="001B1AA6">
            <w:pPr>
              <w:spacing w:before="20" w:after="20"/>
              <w:ind w:left="113" w:right="113"/>
              <w:rPr>
                <w:rFonts w:ascii="Garamond" w:hAnsi="Garamond" w:cs="Times New Roman"/>
                <w:b/>
                <w:iCs/>
                <w:sz w:val="18"/>
                <w:szCs w:val="18"/>
                <w:lang w:val="hy-AM"/>
              </w:rPr>
            </w:pPr>
            <w:r w:rsidRPr="00273D1E">
              <w:rPr>
                <w:rFonts w:ascii="Garamond" w:hAnsi="Garamond" w:cs="Times New Roman"/>
                <w:b/>
                <w:iCs/>
                <w:sz w:val="18"/>
                <w:szCs w:val="18"/>
                <w:lang w:val="hy-AM"/>
              </w:rPr>
              <w:t>Q3</w:t>
            </w:r>
          </w:p>
        </w:tc>
        <w:tc>
          <w:tcPr>
            <w:tcW w:w="449" w:type="dxa"/>
            <w:tcBorders>
              <w:top w:val="single" w:sz="4" w:space="0" w:color="auto"/>
              <w:bottom w:val="single" w:sz="4" w:space="0" w:color="auto"/>
            </w:tcBorders>
            <w:textDirection w:val="btLr"/>
            <w:vAlign w:val="bottom"/>
          </w:tcPr>
          <w:p w14:paraId="020E18BB" w14:textId="77777777" w:rsidR="002C3BA8" w:rsidRPr="00273D1E" w:rsidRDefault="002C3BA8" w:rsidP="001B1AA6">
            <w:pPr>
              <w:spacing w:before="20" w:after="20"/>
              <w:ind w:left="113" w:right="113"/>
              <w:rPr>
                <w:rFonts w:ascii="Garamond" w:hAnsi="Garamond" w:cs="Times New Roman"/>
                <w:b/>
                <w:iCs/>
                <w:sz w:val="18"/>
                <w:szCs w:val="18"/>
                <w:lang w:val="hy-AM"/>
              </w:rPr>
            </w:pPr>
            <w:r w:rsidRPr="00273D1E">
              <w:rPr>
                <w:rFonts w:ascii="Garamond" w:hAnsi="Garamond" w:cs="Times New Roman"/>
                <w:b/>
                <w:iCs/>
                <w:sz w:val="18"/>
                <w:szCs w:val="18"/>
                <w:lang w:val="hy-AM"/>
              </w:rPr>
              <w:t>Q4</w:t>
            </w:r>
          </w:p>
        </w:tc>
        <w:tc>
          <w:tcPr>
            <w:tcW w:w="448" w:type="dxa"/>
            <w:tcBorders>
              <w:top w:val="single" w:sz="4" w:space="0" w:color="auto"/>
              <w:bottom w:val="single" w:sz="4" w:space="0" w:color="auto"/>
            </w:tcBorders>
            <w:textDirection w:val="btLr"/>
            <w:vAlign w:val="bottom"/>
          </w:tcPr>
          <w:p w14:paraId="71D76AF6" w14:textId="77777777" w:rsidR="002C3BA8" w:rsidRPr="00273D1E" w:rsidRDefault="002C3BA8" w:rsidP="001B1AA6">
            <w:pPr>
              <w:spacing w:before="20" w:after="20"/>
              <w:ind w:left="113" w:right="113"/>
              <w:rPr>
                <w:rFonts w:ascii="Garamond" w:hAnsi="Garamond" w:cs="Times New Roman"/>
                <w:b/>
                <w:iCs/>
                <w:sz w:val="18"/>
                <w:szCs w:val="18"/>
              </w:rPr>
            </w:pPr>
            <w:r w:rsidRPr="00273D1E">
              <w:rPr>
                <w:rFonts w:ascii="Garamond" w:hAnsi="Garamond" w:cs="Times New Roman"/>
                <w:b/>
                <w:iCs/>
                <w:sz w:val="18"/>
                <w:szCs w:val="18"/>
                <w:lang w:val="hy-AM"/>
              </w:rPr>
              <w:t xml:space="preserve">Q1, </w:t>
            </w:r>
            <w:r w:rsidRPr="00273D1E">
              <w:rPr>
                <w:rFonts w:ascii="Garamond" w:hAnsi="Garamond" w:cs="Times New Roman"/>
                <w:b/>
                <w:iCs/>
                <w:sz w:val="18"/>
                <w:szCs w:val="18"/>
              </w:rPr>
              <w:t>2014</w:t>
            </w:r>
          </w:p>
        </w:tc>
        <w:tc>
          <w:tcPr>
            <w:tcW w:w="449" w:type="dxa"/>
            <w:tcBorders>
              <w:top w:val="single" w:sz="4" w:space="0" w:color="auto"/>
              <w:bottom w:val="single" w:sz="4" w:space="0" w:color="auto"/>
            </w:tcBorders>
            <w:textDirection w:val="btLr"/>
            <w:vAlign w:val="bottom"/>
          </w:tcPr>
          <w:p w14:paraId="702F65F0" w14:textId="77777777" w:rsidR="002C3BA8" w:rsidRPr="00273D1E" w:rsidRDefault="002C3BA8" w:rsidP="001B1AA6">
            <w:pPr>
              <w:spacing w:before="20" w:after="20"/>
              <w:ind w:left="113" w:right="113"/>
              <w:rPr>
                <w:rFonts w:ascii="Garamond" w:hAnsi="Garamond" w:cs="Times New Roman"/>
                <w:b/>
                <w:iCs/>
                <w:sz w:val="18"/>
                <w:szCs w:val="18"/>
                <w:lang w:val="hy-AM"/>
              </w:rPr>
            </w:pPr>
            <w:r w:rsidRPr="00273D1E">
              <w:rPr>
                <w:rFonts w:ascii="Garamond" w:hAnsi="Garamond" w:cs="Times New Roman"/>
                <w:b/>
                <w:iCs/>
                <w:sz w:val="18"/>
                <w:szCs w:val="18"/>
                <w:lang w:val="hy-AM"/>
              </w:rPr>
              <w:t>Q2</w:t>
            </w:r>
          </w:p>
        </w:tc>
        <w:tc>
          <w:tcPr>
            <w:tcW w:w="449" w:type="dxa"/>
            <w:tcBorders>
              <w:top w:val="single" w:sz="4" w:space="0" w:color="auto"/>
              <w:bottom w:val="single" w:sz="4" w:space="0" w:color="auto"/>
            </w:tcBorders>
            <w:textDirection w:val="btLr"/>
            <w:vAlign w:val="bottom"/>
          </w:tcPr>
          <w:p w14:paraId="6566A1CB" w14:textId="77777777" w:rsidR="002C3BA8" w:rsidRPr="00273D1E" w:rsidRDefault="002C3BA8" w:rsidP="001B1AA6">
            <w:pPr>
              <w:spacing w:before="20" w:after="20"/>
              <w:ind w:left="113" w:right="113"/>
              <w:rPr>
                <w:rFonts w:ascii="Garamond" w:hAnsi="Garamond" w:cs="Times New Roman"/>
                <w:b/>
                <w:iCs/>
                <w:sz w:val="18"/>
                <w:szCs w:val="18"/>
                <w:lang w:val="hy-AM"/>
              </w:rPr>
            </w:pPr>
            <w:r w:rsidRPr="00273D1E">
              <w:rPr>
                <w:rFonts w:ascii="Garamond" w:hAnsi="Garamond" w:cs="Times New Roman"/>
                <w:b/>
                <w:iCs/>
                <w:sz w:val="18"/>
                <w:szCs w:val="18"/>
                <w:lang w:val="hy-AM"/>
              </w:rPr>
              <w:t>Q3</w:t>
            </w:r>
          </w:p>
        </w:tc>
        <w:tc>
          <w:tcPr>
            <w:tcW w:w="587" w:type="dxa"/>
            <w:tcBorders>
              <w:top w:val="single" w:sz="4" w:space="0" w:color="auto"/>
              <w:bottom w:val="single" w:sz="4" w:space="0" w:color="auto"/>
            </w:tcBorders>
            <w:textDirection w:val="btLr"/>
            <w:vAlign w:val="bottom"/>
          </w:tcPr>
          <w:p w14:paraId="2D59E175" w14:textId="77777777" w:rsidR="002C3BA8" w:rsidRPr="00273D1E" w:rsidRDefault="002C3BA8" w:rsidP="001B1AA6">
            <w:pPr>
              <w:spacing w:before="20" w:after="20"/>
              <w:ind w:left="113" w:right="113"/>
              <w:rPr>
                <w:rFonts w:ascii="Garamond" w:hAnsi="Garamond" w:cs="Times New Roman"/>
                <w:b/>
                <w:iCs/>
                <w:sz w:val="18"/>
                <w:szCs w:val="18"/>
              </w:rPr>
            </w:pPr>
            <w:r w:rsidRPr="00273D1E">
              <w:rPr>
                <w:rFonts w:ascii="Garamond" w:hAnsi="Garamond" w:cs="Times New Roman"/>
                <w:b/>
                <w:iCs/>
                <w:sz w:val="18"/>
                <w:szCs w:val="18"/>
              </w:rPr>
              <w:t>Q4</w:t>
            </w:r>
          </w:p>
        </w:tc>
        <w:tc>
          <w:tcPr>
            <w:tcW w:w="587" w:type="dxa"/>
            <w:tcBorders>
              <w:top w:val="single" w:sz="4" w:space="0" w:color="auto"/>
              <w:bottom w:val="single" w:sz="4" w:space="0" w:color="auto"/>
            </w:tcBorders>
            <w:textDirection w:val="btLr"/>
            <w:vAlign w:val="bottom"/>
          </w:tcPr>
          <w:p w14:paraId="6C2B10E1" w14:textId="77777777" w:rsidR="002C3BA8" w:rsidRPr="00273D1E" w:rsidRDefault="002C3BA8" w:rsidP="001910E5">
            <w:pPr>
              <w:spacing w:before="20" w:after="20"/>
              <w:ind w:left="113" w:right="113"/>
              <w:rPr>
                <w:rFonts w:ascii="Garamond" w:hAnsi="Garamond" w:cs="Times New Roman"/>
                <w:b/>
                <w:iCs/>
                <w:sz w:val="18"/>
                <w:szCs w:val="18"/>
              </w:rPr>
            </w:pPr>
            <w:r w:rsidRPr="00273D1E">
              <w:rPr>
                <w:rFonts w:ascii="Garamond" w:hAnsi="Garamond" w:cs="Times New Roman"/>
                <w:b/>
                <w:iCs/>
                <w:sz w:val="18"/>
                <w:szCs w:val="18"/>
              </w:rPr>
              <w:t>Q1, 2015</w:t>
            </w:r>
          </w:p>
        </w:tc>
      </w:tr>
      <w:tr w:rsidR="002C3BA8" w:rsidRPr="00273D1E" w14:paraId="229917E8" w14:textId="77777777" w:rsidTr="001910E5">
        <w:trPr>
          <w:trHeight w:val="20"/>
        </w:trPr>
        <w:tc>
          <w:tcPr>
            <w:tcW w:w="2562" w:type="dxa"/>
            <w:tcBorders>
              <w:top w:val="single" w:sz="4" w:space="0" w:color="auto"/>
              <w:bottom w:val="dashed" w:sz="4" w:space="0" w:color="auto"/>
            </w:tcBorders>
            <w:shd w:val="clear" w:color="auto" w:fill="auto"/>
            <w:vAlign w:val="bottom"/>
          </w:tcPr>
          <w:p w14:paraId="11664C26" w14:textId="77777777" w:rsidR="002C3BA8" w:rsidRPr="00273D1E" w:rsidRDefault="002C3BA8" w:rsidP="001B1AA6">
            <w:pPr>
              <w:spacing w:before="60" w:after="40"/>
              <w:rPr>
                <w:rFonts w:ascii="Garamond" w:hAnsi="Garamond" w:cs="Times New Roman"/>
                <w:iCs/>
                <w:sz w:val="18"/>
                <w:szCs w:val="18"/>
              </w:rPr>
            </w:pPr>
            <w:r w:rsidRPr="00273D1E">
              <w:rPr>
                <w:rFonts w:ascii="Garamond" w:hAnsi="Garamond" w:cs="Times New Roman"/>
                <w:sz w:val="18"/>
                <w:szCs w:val="18"/>
              </w:rPr>
              <w:t>Real effective exchange rate</w:t>
            </w:r>
            <w:r w:rsidRPr="00273D1E">
              <w:rPr>
                <w:rFonts w:ascii="Garamond" w:hAnsi="Garamond" w:cs="Times New Roman"/>
                <w:iCs/>
                <w:sz w:val="18"/>
                <w:szCs w:val="18"/>
              </w:rPr>
              <w:t xml:space="preserve">                            (+ means appreciation)</w:t>
            </w:r>
          </w:p>
        </w:tc>
        <w:tc>
          <w:tcPr>
            <w:tcW w:w="448" w:type="dxa"/>
            <w:tcBorders>
              <w:top w:val="single" w:sz="4" w:space="0" w:color="auto"/>
              <w:bottom w:val="dashed" w:sz="4" w:space="0" w:color="auto"/>
            </w:tcBorders>
            <w:vAlign w:val="bottom"/>
          </w:tcPr>
          <w:p w14:paraId="1C84010F"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-6.4</w:t>
            </w:r>
          </w:p>
        </w:tc>
        <w:tc>
          <w:tcPr>
            <w:tcW w:w="449" w:type="dxa"/>
            <w:tcBorders>
              <w:top w:val="single" w:sz="4" w:space="0" w:color="auto"/>
              <w:bottom w:val="dashed" w:sz="4" w:space="0" w:color="auto"/>
            </w:tcBorders>
            <w:vAlign w:val="bottom"/>
          </w:tcPr>
          <w:p w14:paraId="0F295938"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-1.6</w:t>
            </w:r>
          </w:p>
        </w:tc>
        <w:tc>
          <w:tcPr>
            <w:tcW w:w="448" w:type="dxa"/>
            <w:tcBorders>
              <w:top w:val="single" w:sz="4" w:space="0" w:color="auto"/>
              <w:bottom w:val="dashed" w:sz="4" w:space="0" w:color="auto"/>
            </w:tcBorders>
            <w:vAlign w:val="bottom"/>
          </w:tcPr>
          <w:p w14:paraId="405078BC"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7.9</w:t>
            </w:r>
          </w:p>
        </w:tc>
        <w:tc>
          <w:tcPr>
            <w:tcW w:w="449" w:type="dxa"/>
            <w:tcBorders>
              <w:top w:val="single" w:sz="4" w:space="0" w:color="auto"/>
              <w:bottom w:val="dashed" w:sz="4" w:space="0" w:color="auto"/>
            </w:tcBorders>
            <w:vAlign w:val="bottom"/>
          </w:tcPr>
          <w:p w14:paraId="6A349165"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6.8</w:t>
            </w:r>
          </w:p>
        </w:tc>
        <w:tc>
          <w:tcPr>
            <w:tcW w:w="448" w:type="dxa"/>
            <w:tcBorders>
              <w:top w:val="single" w:sz="4" w:space="0" w:color="auto"/>
              <w:bottom w:val="dashed" w:sz="4" w:space="0" w:color="auto"/>
            </w:tcBorders>
            <w:vAlign w:val="bottom"/>
          </w:tcPr>
          <w:p w14:paraId="7DBACC5E"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8.5</w:t>
            </w:r>
          </w:p>
        </w:tc>
        <w:tc>
          <w:tcPr>
            <w:tcW w:w="449" w:type="dxa"/>
            <w:tcBorders>
              <w:top w:val="single" w:sz="4" w:space="0" w:color="auto"/>
              <w:bottom w:val="dashed" w:sz="4" w:space="0" w:color="auto"/>
            </w:tcBorders>
            <w:vAlign w:val="bottom"/>
          </w:tcPr>
          <w:p w14:paraId="023F3BF2"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7.8</w:t>
            </w:r>
          </w:p>
        </w:tc>
        <w:tc>
          <w:tcPr>
            <w:tcW w:w="449" w:type="dxa"/>
            <w:tcBorders>
              <w:top w:val="single" w:sz="4" w:space="0" w:color="auto"/>
              <w:bottom w:val="dashed" w:sz="4" w:space="0" w:color="auto"/>
            </w:tcBorders>
            <w:vAlign w:val="bottom"/>
          </w:tcPr>
          <w:p w14:paraId="4EEB67E3"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3.1</w:t>
            </w:r>
          </w:p>
        </w:tc>
        <w:tc>
          <w:tcPr>
            <w:tcW w:w="587" w:type="dxa"/>
            <w:tcBorders>
              <w:top w:val="single" w:sz="4" w:space="0" w:color="auto"/>
              <w:bottom w:val="dashed" w:sz="4" w:space="0" w:color="auto"/>
            </w:tcBorders>
            <w:vAlign w:val="bottom"/>
          </w:tcPr>
          <w:p w14:paraId="37FD596B"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9.2</w:t>
            </w:r>
          </w:p>
        </w:tc>
        <w:tc>
          <w:tcPr>
            <w:tcW w:w="587" w:type="dxa"/>
            <w:tcBorders>
              <w:top w:val="single" w:sz="4" w:space="0" w:color="auto"/>
              <w:bottom w:val="dashed" w:sz="4" w:space="0" w:color="auto"/>
            </w:tcBorders>
            <w:vAlign w:val="bottom"/>
          </w:tcPr>
          <w:p w14:paraId="0D5C2236"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11.6</w:t>
            </w:r>
          </w:p>
        </w:tc>
      </w:tr>
      <w:tr w:rsidR="002C3BA8" w:rsidRPr="00273D1E" w14:paraId="4D6E4FB9" w14:textId="77777777" w:rsidTr="001910E5">
        <w:trPr>
          <w:trHeight w:val="20"/>
        </w:trPr>
        <w:tc>
          <w:tcPr>
            <w:tcW w:w="2562" w:type="dxa"/>
            <w:tcBorders>
              <w:top w:val="dashed" w:sz="4" w:space="0" w:color="auto"/>
            </w:tcBorders>
            <w:shd w:val="clear" w:color="auto" w:fill="auto"/>
            <w:vAlign w:val="bottom"/>
          </w:tcPr>
          <w:p w14:paraId="6636F226" w14:textId="77777777" w:rsidR="002C3BA8" w:rsidRPr="00273D1E" w:rsidRDefault="002C3BA8" w:rsidP="001B1AA6">
            <w:pPr>
              <w:spacing w:before="60" w:after="40"/>
              <w:rPr>
                <w:rFonts w:ascii="Garamond" w:hAnsi="Garamond" w:cs="Times New Roman"/>
                <w:iCs/>
                <w:sz w:val="18"/>
                <w:szCs w:val="18"/>
              </w:rPr>
            </w:pPr>
            <w:r w:rsidRPr="00273D1E">
              <w:rPr>
                <w:rFonts w:ascii="Garamond" w:hAnsi="Garamond" w:cs="Times New Roman"/>
                <w:sz w:val="18"/>
                <w:szCs w:val="18"/>
              </w:rPr>
              <w:t>Average inflation in Armenia</w:t>
            </w:r>
          </w:p>
        </w:tc>
        <w:tc>
          <w:tcPr>
            <w:tcW w:w="448" w:type="dxa"/>
            <w:tcBorders>
              <w:top w:val="dashed" w:sz="4" w:space="0" w:color="auto"/>
            </w:tcBorders>
            <w:vAlign w:val="bottom"/>
          </w:tcPr>
          <w:p w14:paraId="64F497F5"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3.0</w:t>
            </w:r>
          </w:p>
        </w:tc>
        <w:tc>
          <w:tcPr>
            <w:tcW w:w="449" w:type="dxa"/>
            <w:tcBorders>
              <w:top w:val="dashed" w:sz="4" w:space="0" w:color="auto"/>
            </w:tcBorders>
            <w:vAlign w:val="bottom"/>
          </w:tcPr>
          <w:p w14:paraId="16769163"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5.2</w:t>
            </w:r>
          </w:p>
        </w:tc>
        <w:tc>
          <w:tcPr>
            <w:tcW w:w="448" w:type="dxa"/>
            <w:tcBorders>
              <w:top w:val="dashed" w:sz="4" w:space="0" w:color="auto"/>
            </w:tcBorders>
            <w:vAlign w:val="bottom"/>
          </w:tcPr>
          <w:p w14:paraId="5DB42E59"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8.7</w:t>
            </w:r>
          </w:p>
        </w:tc>
        <w:tc>
          <w:tcPr>
            <w:tcW w:w="449" w:type="dxa"/>
            <w:tcBorders>
              <w:top w:val="dashed" w:sz="4" w:space="0" w:color="auto"/>
            </w:tcBorders>
            <w:vAlign w:val="bottom"/>
          </w:tcPr>
          <w:p w14:paraId="6462ECB0"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6.4</w:t>
            </w:r>
          </w:p>
        </w:tc>
        <w:tc>
          <w:tcPr>
            <w:tcW w:w="448" w:type="dxa"/>
            <w:tcBorders>
              <w:top w:val="dashed" w:sz="4" w:space="0" w:color="auto"/>
            </w:tcBorders>
            <w:vAlign w:val="bottom"/>
          </w:tcPr>
          <w:p w14:paraId="421F0C68"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4.6</w:t>
            </w:r>
          </w:p>
        </w:tc>
        <w:tc>
          <w:tcPr>
            <w:tcW w:w="449" w:type="dxa"/>
            <w:tcBorders>
              <w:top w:val="dashed" w:sz="4" w:space="0" w:color="auto"/>
            </w:tcBorders>
            <w:vAlign w:val="bottom"/>
          </w:tcPr>
          <w:p w14:paraId="3C2BBDE9"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3.3</w:t>
            </w:r>
          </w:p>
        </w:tc>
        <w:tc>
          <w:tcPr>
            <w:tcW w:w="449" w:type="dxa"/>
            <w:tcBorders>
              <w:top w:val="dashed" w:sz="4" w:space="0" w:color="auto"/>
            </w:tcBorders>
            <w:vAlign w:val="bottom"/>
          </w:tcPr>
          <w:p w14:paraId="75215C19"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1.0</w:t>
            </w:r>
          </w:p>
        </w:tc>
        <w:tc>
          <w:tcPr>
            <w:tcW w:w="587" w:type="dxa"/>
            <w:tcBorders>
              <w:top w:val="dashed" w:sz="4" w:space="0" w:color="auto"/>
            </w:tcBorders>
            <w:vAlign w:val="bottom"/>
          </w:tcPr>
          <w:p w14:paraId="1BD71DBA"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3.2</w:t>
            </w:r>
          </w:p>
        </w:tc>
        <w:tc>
          <w:tcPr>
            <w:tcW w:w="587" w:type="dxa"/>
            <w:tcBorders>
              <w:top w:val="dashed" w:sz="4" w:space="0" w:color="auto"/>
            </w:tcBorders>
            <w:vAlign w:val="bottom"/>
          </w:tcPr>
          <w:p w14:paraId="269C18C0"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5.2</w:t>
            </w:r>
          </w:p>
        </w:tc>
      </w:tr>
      <w:tr w:rsidR="002C3BA8" w:rsidRPr="00273D1E" w14:paraId="34216A27" w14:textId="77777777" w:rsidTr="001910E5">
        <w:trPr>
          <w:trHeight w:val="20"/>
        </w:trPr>
        <w:tc>
          <w:tcPr>
            <w:tcW w:w="2562" w:type="dxa"/>
            <w:shd w:val="clear" w:color="auto" w:fill="auto"/>
            <w:vAlign w:val="bottom"/>
          </w:tcPr>
          <w:p w14:paraId="1BF53B1C" w14:textId="77777777" w:rsidR="002C3BA8" w:rsidRPr="00273D1E" w:rsidRDefault="002C3BA8" w:rsidP="001B1AA6">
            <w:pPr>
              <w:spacing w:before="40" w:after="40"/>
              <w:rPr>
                <w:rFonts w:ascii="Garamond" w:hAnsi="Garamond" w:cs="Times New Roman"/>
                <w:i/>
                <w:iCs/>
                <w:sz w:val="18"/>
                <w:szCs w:val="18"/>
              </w:rPr>
            </w:pPr>
            <w:r w:rsidRPr="00273D1E">
              <w:rPr>
                <w:rFonts w:ascii="Garamond" w:hAnsi="Garamond" w:cs="Times New Roman"/>
                <w:i/>
                <w:iCs/>
                <w:sz w:val="18"/>
                <w:szCs w:val="18"/>
              </w:rPr>
              <w:t>AMD/USD average nominal exchange rate (+ means appreciation)</w:t>
            </w:r>
          </w:p>
        </w:tc>
        <w:tc>
          <w:tcPr>
            <w:tcW w:w="448" w:type="dxa"/>
            <w:vAlign w:val="bottom"/>
          </w:tcPr>
          <w:p w14:paraId="29E95EEA"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-5.1</w:t>
            </w:r>
          </w:p>
        </w:tc>
        <w:tc>
          <w:tcPr>
            <w:tcW w:w="449" w:type="dxa"/>
            <w:vAlign w:val="bottom"/>
          </w:tcPr>
          <w:p w14:paraId="78EB0441"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-3.3</w:t>
            </w:r>
          </w:p>
        </w:tc>
        <w:tc>
          <w:tcPr>
            <w:tcW w:w="448" w:type="dxa"/>
            <w:vAlign w:val="bottom"/>
          </w:tcPr>
          <w:p w14:paraId="6B0F3C3A"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0.5</w:t>
            </w:r>
          </w:p>
        </w:tc>
        <w:tc>
          <w:tcPr>
            <w:tcW w:w="449" w:type="dxa"/>
            <w:vAlign w:val="bottom"/>
          </w:tcPr>
          <w:p w14:paraId="42867EC5"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0.2</w:t>
            </w:r>
          </w:p>
        </w:tc>
        <w:tc>
          <w:tcPr>
            <w:tcW w:w="448" w:type="dxa"/>
            <w:vAlign w:val="bottom"/>
          </w:tcPr>
          <w:p w14:paraId="3CBA3597"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-0.4</w:t>
            </w:r>
          </w:p>
        </w:tc>
        <w:tc>
          <w:tcPr>
            <w:tcW w:w="449" w:type="dxa"/>
            <w:vAlign w:val="bottom"/>
          </w:tcPr>
          <w:p w14:paraId="4EA6BC85"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0.5</w:t>
            </w:r>
          </w:p>
        </w:tc>
        <w:tc>
          <w:tcPr>
            <w:tcW w:w="449" w:type="dxa"/>
            <w:vAlign w:val="bottom"/>
          </w:tcPr>
          <w:p w14:paraId="6D9B0BE9"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0.0</w:t>
            </w:r>
          </w:p>
        </w:tc>
        <w:tc>
          <w:tcPr>
            <w:tcW w:w="587" w:type="dxa"/>
            <w:vAlign w:val="bottom"/>
          </w:tcPr>
          <w:p w14:paraId="7024E26D"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-5.7</w:t>
            </w:r>
          </w:p>
        </w:tc>
        <w:tc>
          <w:tcPr>
            <w:tcW w:w="587" w:type="dxa"/>
            <w:vAlign w:val="bottom"/>
          </w:tcPr>
          <w:p w14:paraId="520F684E"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-13.9</w:t>
            </w:r>
          </w:p>
        </w:tc>
      </w:tr>
      <w:tr w:rsidR="002C3BA8" w:rsidRPr="00273D1E" w14:paraId="38FFB8AC" w14:textId="77777777" w:rsidTr="001910E5">
        <w:trPr>
          <w:trHeight w:val="20"/>
        </w:trPr>
        <w:tc>
          <w:tcPr>
            <w:tcW w:w="2562" w:type="dxa"/>
            <w:shd w:val="clear" w:color="auto" w:fill="auto"/>
            <w:vAlign w:val="bottom"/>
          </w:tcPr>
          <w:p w14:paraId="00F230A4" w14:textId="77777777" w:rsidR="002C3BA8" w:rsidRPr="00273D1E" w:rsidRDefault="002C3BA8" w:rsidP="001B1AA6">
            <w:pPr>
              <w:spacing w:before="40" w:after="40"/>
              <w:rPr>
                <w:rFonts w:ascii="Garamond" w:hAnsi="Garamond" w:cs="Times New Roman"/>
                <w:i/>
                <w:iCs/>
                <w:sz w:val="18"/>
                <w:szCs w:val="18"/>
              </w:rPr>
            </w:pPr>
            <w:r w:rsidRPr="00273D1E">
              <w:rPr>
                <w:rFonts w:ascii="Garamond" w:hAnsi="Garamond" w:cs="Times New Roman"/>
                <w:sz w:val="18"/>
                <w:szCs w:val="18"/>
              </w:rPr>
              <w:t>Average weighted inflation in trade partner countries</w:t>
            </w:r>
          </w:p>
        </w:tc>
        <w:tc>
          <w:tcPr>
            <w:tcW w:w="448" w:type="dxa"/>
            <w:vAlign w:val="bottom"/>
          </w:tcPr>
          <w:p w14:paraId="6640A837"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4.5</w:t>
            </w:r>
          </w:p>
        </w:tc>
        <w:tc>
          <w:tcPr>
            <w:tcW w:w="449" w:type="dxa"/>
            <w:vAlign w:val="bottom"/>
          </w:tcPr>
          <w:p w14:paraId="59823F5D"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4.4</w:t>
            </w:r>
          </w:p>
        </w:tc>
        <w:tc>
          <w:tcPr>
            <w:tcW w:w="448" w:type="dxa"/>
            <w:vAlign w:val="bottom"/>
          </w:tcPr>
          <w:p w14:paraId="74C5C1FA"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4.3</w:t>
            </w:r>
          </w:p>
        </w:tc>
        <w:tc>
          <w:tcPr>
            <w:tcW w:w="449" w:type="dxa"/>
            <w:vAlign w:val="bottom"/>
          </w:tcPr>
          <w:p w14:paraId="61AF82F0"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4.0</w:t>
            </w:r>
          </w:p>
        </w:tc>
        <w:tc>
          <w:tcPr>
            <w:tcW w:w="448" w:type="dxa"/>
            <w:vAlign w:val="bottom"/>
          </w:tcPr>
          <w:p w14:paraId="253F196A"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3.7</w:t>
            </w:r>
          </w:p>
        </w:tc>
        <w:tc>
          <w:tcPr>
            <w:tcW w:w="449" w:type="dxa"/>
            <w:vAlign w:val="bottom"/>
          </w:tcPr>
          <w:p w14:paraId="00BEC463"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4.4</w:t>
            </w:r>
          </w:p>
        </w:tc>
        <w:tc>
          <w:tcPr>
            <w:tcW w:w="449" w:type="dxa"/>
            <w:vAlign w:val="bottom"/>
          </w:tcPr>
          <w:p w14:paraId="3180CB61"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4.6</w:t>
            </w:r>
          </w:p>
        </w:tc>
        <w:tc>
          <w:tcPr>
            <w:tcW w:w="587" w:type="dxa"/>
            <w:vAlign w:val="bottom"/>
          </w:tcPr>
          <w:p w14:paraId="350711AC"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5.1</w:t>
            </w:r>
          </w:p>
        </w:tc>
        <w:tc>
          <w:tcPr>
            <w:tcW w:w="587" w:type="dxa"/>
            <w:vAlign w:val="bottom"/>
          </w:tcPr>
          <w:p w14:paraId="6B3DB2C2"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6.7</w:t>
            </w:r>
          </w:p>
        </w:tc>
      </w:tr>
      <w:tr w:rsidR="002C3BA8" w:rsidRPr="00273D1E" w14:paraId="2BEEF088" w14:textId="77777777" w:rsidTr="001910E5">
        <w:trPr>
          <w:trHeight w:val="20"/>
        </w:trPr>
        <w:tc>
          <w:tcPr>
            <w:tcW w:w="2562" w:type="dxa"/>
            <w:shd w:val="clear" w:color="auto" w:fill="auto"/>
            <w:vAlign w:val="bottom"/>
          </w:tcPr>
          <w:p w14:paraId="455C67D7" w14:textId="77777777" w:rsidR="002C3BA8" w:rsidRPr="00273D1E" w:rsidRDefault="002C3BA8" w:rsidP="002C3BA8">
            <w:pPr>
              <w:spacing w:before="40" w:after="40"/>
              <w:rPr>
                <w:rFonts w:ascii="Garamond" w:hAnsi="Garamond" w:cs="Times New Roman"/>
                <w:i/>
                <w:iCs/>
                <w:sz w:val="18"/>
                <w:szCs w:val="18"/>
              </w:rPr>
            </w:pPr>
            <w:r w:rsidRPr="00273D1E">
              <w:rPr>
                <w:rFonts w:ascii="Garamond" w:hAnsi="Garamond" w:cs="Times New Roman"/>
                <w:sz w:val="18"/>
                <w:szCs w:val="18"/>
              </w:rPr>
              <w:t xml:space="preserve">Trade partners’ average weighted nominal exchange rate </w:t>
            </w:r>
            <w:r w:rsidRPr="00273D1E">
              <w:rPr>
                <w:rFonts w:ascii="Garamond" w:hAnsi="Garamond" w:cs="Times New Roman"/>
                <w:iCs/>
                <w:sz w:val="18"/>
                <w:szCs w:val="18"/>
              </w:rPr>
              <w:t>(+ means appreciation versus dollar)</w:t>
            </w:r>
          </w:p>
        </w:tc>
        <w:tc>
          <w:tcPr>
            <w:tcW w:w="448" w:type="dxa"/>
            <w:vAlign w:val="bottom"/>
          </w:tcPr>
          <w:p w14:paraId="05087648"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-0.4</w:t>
            </w:r>
          </w:p>
        </w:tc>
        <w:tc>
          <w:tcPr>
            <w:tcW w:w="449" w:type="dxa"/>
            <w:vAlign w:val="bottom"/>
          </w:tcPr>
          <w:p w14:paraId="30AE4D19"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-1.1</w:t>
            </w:r>
          </w:p>
        </w:tc>
        <w:tc>
          <w:tcPr>
            <w:tcW w:w="448" w:type="dxa"/>
            <w:vAlign w:val="bottom"/>
          </w:tcPr>
          <w:p w14:paraId="29D0809D"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-3.2</w:t>
            </w:r>
          </w:p>
        </w:tc>
        <w:tc>
          <w:tcPr>
            <w:tcW w:w="449" w:type="dxa"/>
            <w:vAlign w:val="bottom"/>
          </w:tcPr>
          <w:p w14:paraId="3EE2DA48"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-4.3</w:t>
            </w:r>
          </w:p>
        </w:tc>
        <w:tc>
          <w:tcPr>
            <w:tcW w:w="448" w:type="dxa"/>
            <w:vAlign w:val="bottom"/>
          </w:tcPr>
          <w:p w14:paraId="1FDCCE6E"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-8.0</w:t>
            </w:r>
          </w:p>
        </w:tc>
        <w:tc>
          <w:tcPr>
            <w:tcW w:w="449" w:type="dxa"/>
            <w:vAlign w:val="bottom"/>
          </w:tcPr>
          <w:p w14:paraId="74E8165E"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-8.6</w:t>
            </w:r>
          </w:p>
        </w:tc>
        <w:tc>
          <w:tcPr>
            <w:tcW w:w="449" w:type="dxa"/>
            <w:vAlign w:val="bottom"/>
          </w:tcPr>
          <w:p w14:paraId="06AF0E23"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-7.0</w:t>
            </w:r>
          </w:p>
        </w:tc>
        <w:tc>
          <w:tcPr>
            <w:tcW w:w="587" w:type="dxa"/>
            <w:vAlign w:val="bottom"/>
          </w:tcPr>
          <w:p w14:paraId="04BDFD1B"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-18.5</w:t>
            </w:r>
          </w:p>
        </w:tc>
        <w:tc>
          <w:tcPr>
            <w:tcW w:w="587" w:type="dxa"/>
            <w:vAlign w:val="bottom"/>
          </w:tcPr>
          <w:p w14:paraId="07A3A49E" w14:textId="77777777" w:rsidR="002C3BA8" w:rsidRPr="00273D1E" w:rsidRDefault="002C3BA8" w:rsidP="001910E5">
            <w:pPr>
              <w:spacing w:before="60" w:after="60"/>
              <w:jc w:val="right"/>
              <w:rPr>
                <w:rFonts w:ascii="Garamond" w:hAnsi="Garamond"/>
                <w:iCs/>
                <w:sz w:val="18"/>
                <w:szCs w:val="18"/>
              </w:rPr>
            </w:pPr>
            <w:r w:rsidRPr="00273D1E">
              <w:rPr>
                <w:rFonts w:ascii="Garamond" w:hAnsi="Garamond"/>
                <w:iCs/>
                <w:sz w:val="18"/>
                <w:szCs w:val="18"/>
              </w:rPr>
              <w:t>-32.1</w:t>
            </w:r>
          </w:p>
        </w:tc>
      </w:tr>
    </w:tbl>
    <w:p w14:paraId="088E4E8D" w14:textId="77777777" w:rsidR="003B459D" w:rsidRPr="004E7A10" w:rsidRDefault="003B459D" w:rsidP="006A4AE5">
      <w:pPr>
        <w:spacing w:line="360" w:lineRule="auto"/>
        <w:jc w:val="both"/>
        <w:rPr>
          <w:rFonts w:ascii="Garamond" w:hAnsi="Garamond" w:cs="Times New Roman"/>
          <w:i/>
          <w:sz w:val="20"/>
          <w:szCs w:val="20"/>
        </w:rPr>
      </w:pPr>
    </w:p>
    <w:p w14:paraId="56683317" w14:textId="77777777" w:rsidR="006A4AE5" w:rsidRPr="004E7A10" w:rsidRDefault="006A4AE5" w:rsidP="006A4AE5">
      <w:pPr>
        <w:spacing w:line="360" w:lineRule="auto"/>
        <w:jc w:val="both"/>
        <w:rPr>
          <w:rFonts w:ascii="Garamond" w:hAnsi="Garamond" w:cs="Times New Roman"/>
          <w:sz w:val="20"/>
          <w:szCs w:val="20"/>
        </w:rPr>
      </w:pPr>
      <w:r w:rsidRPr="004E7A10">
        <w:rPr>
          <w:rFonts w:ascii="Garamond" w:hAnsi="Garamond" w:cs="Times New Roman"/>
          <w:i/>
          <w:sz w:val="20"/>
          <w:szCs w:val="20"/>
        </w:rPr>
        <w:t>Real exchange rate appreciation = Inflation in Armenia + Nomina</w:t>
      </w:r>
      <w:r w:rsidR="00EE0186" w:rsidRPr="004E7A10">
        <w:rPr>
          <w:rFonts w:ascii="Garamond" w:hAnsi="Garamond" w:cs="Times New Roman"/>
          <w:i/>
          <w:sz w:val="20"/>
          <w:szCs w:val="20"/>
        </w:rPr>
        <w:t>l exchange rate appreciation – Trade p</w:t>
      </w:r>
      <w:r w:rsidRPr="004E7A10">
        <w:rPr>
          <w:rFonts w:ascii="Garamond" w:hAnsi="Garamond" w:cs="Times New Roman"/>
          <w:i/>
          <w:sz w:val="20"/>
          <w:szCs w:val="20"/>
        </w:rPr>
        <w:t>artners</w:t>
      </w:r>
      <w:r w:rsidR="00EE0186" w:rsidRPr="004E7A10">
        <w:rPr>
          <w:rFonts w:ascii="Garamond" w:hAnsi="Garamond" w:cs="Times New Roman"/>
          <w:i/>
          <w:sz w:val="20"/>
          <w:szCs w:val="20"/>
        </w:rPr>
        <w:t>’ average weighted inflation – Trade p</w:t>
      </w:r>
      <w:r w:rsidRPr="004E7A10">
        <w:rPr>
          <w:rFonts w:ascii="Garamond" w:hAnsi="Garamond" w:cs="Times New Roman"/>
          <w:i/>
          <w:sz w:val="20"/>
          <w:szCs w:val="20"/>
        </w:rPr>
        <w:t xml:space="preserve">artners’ average </w:t>
      </w:r>
      <w:r w:rsidR="00EE0186" w:rsidRPr="004E7A10">
        <w:rPr>
          <w:rFonts w:ascii="Garamond" w:hAnsi="Garamond" w:cs="Times New Roman"/>
          <w:i/>
          <w:sz w:val="20"/>
          <w:szCs w:val="20"/>
        </w:rPr>
        <w:t xml:space="preserve">nominal weighted </w:t>
      </w:r>
      <w:r w:rsidRPr="004E7A10">
        <w:rPr>
          <w:rFonts w:ascii="Garamond" w:hAnsi="Garamond" w:cs="Times New Roman"/>
          <w:i/>
          <w:sz w:val="20"/>
          <w:szCs w:val="20"/>
        </w:rPr>
        <w:t>exchange rate appreciation</w:t>
      </w:r>
    </w:p>
    <w:p w14:paraId="767CD836" w14:textId="77777777" w:rsidR="000915C1" w:rsidRPr="004E7A10" w:rsidRDefault="000915C1"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 xml:space="preserve">Box </w:t>
      </w:r>
      <w:r w:rsidR="00EB32F8" w:rsidRPr="004E7A10">
        <w:rPr>
          <w:rFonts w:ascii="Garamond" w:hAnsi="Garamond" w:cs="Times New Roman"/>
          <w:b/>
          <w:sz w:val="21"/>
          <w:szCs w:val="21"/>
        </w:rPr>
        <w:t>4</w:t>
      </w:r>
    </w:p>
    <w:p w14:paraId="2E7F8E2C"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Foreign exchange market</w:t>
      </w:r>
    </w:p>
    <w:p w14:paraId="6E7DFFE1" w14:textId="77777777" w:rsidR="00A9653E" w:rsidRPr="004E7A10" w:rsidRDefault="00A9653E" w:rsidP="00A9653E">
      <w:pPr>
        <w:spacing w:line="360" w:lineRule="auto"/>
        <w:jc w:val="both"/>
        <w:rPr>
          <w:rFonts w:ascii="Garamond" w:hAnsi="Garamond" w:cs="Times New Roman"/>
          <w:i/>
          <w:sz w:val="21"/>
          <w:szCs w:val="21"/>
        </w:rPr>
      </w:pPr>
      <w:r w:rsidRPr="004E7A10">
        <w:rPr>
          <w:rFonts w:ascii="Garamond" w:hAnsi="Garamond" w:cs="Times New Roman"/>
          <w:i/>
          <w:sz w:val="21"/>
          <w:szCs w:val="21"/>
        </w:rPr>
        <w:t>A</w:t>
      </w:r>
      <w:r w:rsidR="002B31B1" w:rsidRPr="004E7A10">
        <w:rPr>
          <w:rFonts w:ascii="Garamond" w:hAnsi="Garamond" w:cs="Times New Roman"/>
          <w:i/>
          <w:sz w:val="21"/>
          <w:szCs w:val="21"/>
        </w:rPr>
        <w:t xml:space="preserve">s of </w:t>
      </w:r>
      <w:r w:rsidRPr="004E7A10">
        <w:rPr>
          <w:rFonts w:ascii="Garamond" w:hAnsi="Garamond" w:cs="Times New Roman"/>
          <w:i/>
          <w:sz w:val="21"/>
          <w:szCs w:val="21"/>
        </w:rPr>
        <w:t xml:space="preserve">end </w:t>
      </w:r>
      <w:r w:rsidR="002B31B1" w:rsidRPr="004E7A10">
        <w:rPr>
          <w:rFonts w:ascii="Garamond" w:hAnsi="Garamond" w:cs="Times New Roman"/>
          <w:i/>
          <w:sz w:val="21"/>
          <w:szCs w:val="21"/>
        </w:rPr>
        <w:t>Q</w:t>
      </w:r>
      <w:r w:rsidR="00273D1E">
        <w:rPr>
          <w:rFonts w:ascii="Garamond" w:hAnsi="Garamond" w:cs="Times New Roman"/>
          <w:i/>
          <w:sz w:val="21"/>
          <w:szCs w:val="21"/>
        </w:rPr>
        <w:t>1</w:t>
      </w:r>
      <w:r w:rsidR="001376D0" w:rsidRPr="004E7A10">
        <w:rPr>
          <w:rFonts w:ascii="Garamond" w:hAnsi="Garamond" w:cs="Times New Roman"/>
          <w:i/>
          <w:sz w:val="21"/>
          <w:szCs w:val="21"/>
        </w:rPr>
        <w:t xml:space="preserve"> 201</w:t>
      </w:r>
      <w:r w:rsidR="00273D1E">
        <w:rPr>
          <w:rFonts w:ascii="Garamond" w:hAnsi="Garamond" w:cs="Times New Roman"/>
          <w:i/>
          <w:sz w:val="21"/>
          <w:szCs w:val="21"/>
        </w:rPr>
        <w:t>5</w:t>
      </w:r>
      <w:r w:rsidR="001376D0" w:rsidRPr="004E7A10">
        <w:rPr>
          <w:rFonts w:ascii="Garamond" w:hAnsi="Garamond" w:cs="Times New Roman"/>
          <w:i/>
          <w:sz w:val="21"/>
          <w:szCs w:val="21"/>
        </w:rPr>
        <w:t>,</w:t>
      </w:r>
      <w:r w:rsidR="001376D0" w:rsidRPr="004E7A10">
        <w:rPr>
          <w:rFonts w:ascii="Garamond" w:hAnsi="Garamond" w:cs="Times New Roman"/>
          <w:i/>
          <w:sz w:val="21"/>
          <w:szCs w:val="21"/>
          <w:lang w:val="hy-AM"/>
        </w:rPr>
        <w:t xml:space="preserve"> the</w:t>
      </w:r>
      <w:r w:rsidRPr="004E7A10">
        <w:rPr>
          <w:rFonts w:ascii="Garamond" w:hAnsi="Garamond" w:cs="Times New Roman"/>
          <w:i/>
          <w:sz w:val="21"/>
          <w:szCs w:val="21"/>
        </w:rPr>
        <w:t xml:space="preserve"> average market exchange rate of </w:t>
      </w:r>
      <w:r w:rsidR="001376D0" w:rsidRPr="004E7A10">
        <w:rPr>
          <w:rFonts w:ascii="Garamond" w:hAnsi="Garamond" w:cs="Times New Roman"/>
          <w:i/>
          <w:sz w:val="21"/>
          <w:szCs w:val="21"/>
          <w:lang w:val="hy-AM"/>
        </w:rPr>
        <w:t xml:space="preserve">AMD/USD was </w:t>
      </w:r>
      <w:r w:rsidR="001376D0" w:rsidRPr="004E7A10">
        <w:rPr>
          <w:rFonts w:ascii="Garamond" w:hAnsi="Garamond" w:cs="Times New Roman"/>
          <w:i/>
          <w:sz w:val="21"/>
          <w:szCs w:val="21"/>
        </w:rPr>
        <w:t>4</w:t>
      </w:r>
      <w:r w:rsidR="00595DC7" w:rsidRPr="004E7A10">
        <w:rPr>
          <w:rFonts w:ascii="Garamond" w:hAnsi="Garamond" w:cs="Times New Roman"/>
          <w:i/>
          <w:sz w:val="21"/>
          <w:szCs w:val="21"/>
        </w:rPr>
        <w:t>7</w:t>
      </w:r>
      <w:r w:rsidR="00273D1E">
        <w:rPr>
          <w:rFonts w:ascii="Garamond" w:hAnsi="Garamond" w:cs="Times New Roman"/>
          <w:i/>
          <w:sz w:val="21"/>
          <w:szCs w:val="21"/>
        </w:rPr>
        <w:t>1</w:t>
      </w:r>
      <w:r w:rsidR="001376D0" w:rsidRPr="004E7A10">
        <w:rPr>
          <w:rFonts w:ascii="Garamond" w:hAnsi="Garamond" w:cs="Times New Roman"/>
          <w:i/>
          <w:sz w:val="21"/>
          <w:szCs w:val="21"/>
        </w:rPr>
        <w:t>.</w:t>
      </w:r>
      <w:r w:rsidR="00273D1E">
        <w:rPr>
          <w:rFonts w:ascii="Garamond" w:hAnsi="Garamond" w:cs="Times New Roman"/>
          <w:i/>
          <w:sz w:val="21"/>
          <w:szCs w:val="21"/>
        </w:rPr>
        <w:t>13</w:t>
      </w:r>
      <w:r w:rsidR="002B31B1" w:rsidRPr="004E7A10">
        <w:rPr>
          <w:rFonts w:ascii="Garamond" w:hAnsi="Garamond" w:cs="Times New Roman"/>
          <w:i/>
          <w:sz w:val="21"/>
          <w:szCs w:val="21"/>
        </w:rPr>
        <w:t xml:space="preserve">, </w:t>
      </w:r>
      <w:r w:rsidR="00DB3371" w:rsidRPr="004E7A10">
        <w:rPr>
          <w:rFonts w:ascii="Garamond" w:hAnsi="Garamond" w:cs="Times New Roman"/>
          <w:i/>
          <w:sz w:val="21"/>
          <w:szCs w:val="21"/>
        </w:rPr>
        <w:t xml:space="preserve">having </w:t>
      </w:r>
      <w:r w:rsidR="00273D1E">
        <w:rPr>
          <w:rFonts w:ascii="Garamond" w:hAnsi="Garamond" w:cs="Times New Roman"/>
          <w:i/>
          <w:sz w:val="21"/>
          <w:szCs w:val="21"/>
        </w:rPr>
        <w:t>ap</w:t>
      </w:r>
      <w:r w:rsidR="00DB3371" w:rsidRPr="004E7A10">
        <w:rPr>
          <w:rFonts w:ascii="Garamond" w:hAnsi="Garamond" w:cs="Times New Roman"/>
          <w:i/>
          <w:sz w:val="21"/>
          <w:szCs w:val="21"/>
        </w:rPr>
        <w:t xml:space="preserve">preciated by </w:t>
      </w:r>
      <w:r w:rsidR="00273D1E">
        <w:rPr>
          <w:rFonts w:ascii="Garamond" w:hAnsi="Garamond" w:cs="Times New Roman"/>
          <w:i/>
          <w:sz w:val="21"/>
          <w:szCs w:val="21"/>
        </w:rPr>
        <w:t>0</w:t>
      </w:r>
      <w:r w:rsidR="002B31B1" w:rsidRPr="004E7A10">
        <w:rPr>
          <w:rFonts w:ascii="Garamond" w:hAnsi="Garamond" w:cs="Times New Roman"/>
          <w:i/>
          <w:sz w:val="21"/>
          <w:szCs w:val="21"/>
        </w:rPr>
        <w:t>.8</w:t>
      </w:r>
      <w:r w:rsidR="00273D1E">
        <w:rPr>
          <w:rFonts w:ascii="Garamond" w:hAnsi="Garamond" w:cs="Times New Roman"/>
          <w:i/>
          <w:sz w:val="21"/>
          <w:szCs w:val="21"/>
        </w:rPr>
        <w:t>2</w:t>
      </w:r>
      <w:r w:rsidR="002B31B1" w:rsidRPr="004E7A10">
        <w:rPr>
          <w:rFonts w:ascii="Garamond" w:hAnsi="Garamond" w:cs="Times New Roman"/>
          <w:i/>
          <w:sz w:val="21"/>
          <w:szCs w:val="21"/>
        </w:rPr>
        <w:t>%</w:t>
      </w:r>
      <w:r w:rsidR="00DB3371" w:rsidRPr="004E7A10">
        <w:rPr>
          <w:rFonts w:ascii="Garamond" w:hAnsi="Garamond" w:cs="Times New Roman"/>
          <w:i/>
          <w:sz w:val="21"/>
          <w:szCs w:val="21"/>
        </w:rPr>
        <w:t xml:space="preserve"> </w:t>
      </w:r>
      <w:r w:rsidR="00273D1E">
        <w:rPr>
          <w:rFonts w:ascii="Garamond" w:hAnsi="Garamond" w:cs="Times New Roman"/>
          <w:i/>
          <w:sz w:val="21"/>
          <w:szCs w:val="21"/>
        </w:rPr>
        <w:t xml:space="preserve">relative to the end of the </w:t>
      </w:r>
      <w:r w:rsidR="002B31B1" w:rsidRPr="004E7A10">
        <w:rPr>
          <w:rFonts w:ascii="Garamond" w:hAnsi="Garamond" w:cs="Times New Roman"/>
          <w:i/>
          <w:sz w:val="21"/>
          <w:szCs w:val="21"/>
        </w:rPr>
        <w:t>previous quarter.</w:t>
      </w:r>
    </w:p>
    <w:p w14:paraId="72CE4908" w14:textId="77777777" w:rsidR="00A9653E" w:rsidRPr="004E7A10" w:rsidRDefault="00A9653E" w:rsidP="00A9653E">
      <w:pPr>
        <w:spacing w:line="360" w:lineRule="auto"/>
        <w:jc w:val="both"/>
        <w:rPr>
          <w:rFonts w:ascii="Garamond" w:hAnsi="Garamond" w:cs="Times New Roman"/>
          <w:b/>
          <w:sz w:val="21"/>
          <w:szCs w:val="21"/>
          <w:highlight w:val="cyan"/>
        </w:rPr>
      </w:pPr>
      <w:r w:rsidRPr="004E7A10">
        <w:rPr>
          <w:rFonts w:ascii="Garamond" w:hAnsi="Garamond" w:cs="Times New Roman"/>
          <w:b/>
          <w:sz w:val="21"/>
          <w:szCs w:val="21"/>
        </w:rPr>
        <w:t xml:space="preserve">The table </w:t>
      </w:r>
      <w:r w:rsidR="00273D1E">
        <w:rPr>
          <w:rFonts w:ascii="Garamond" w:hAnsi="Garamond" w:cs="Times New Roman"/>
          <w:b/>
          <w:sz w:val="21"/>
          <w:szCs w:val="21"/>
        </w:rPr>
        <w:t>s</w:t>
      </w:r>
      <w:r w:rsidRPr="004E7A10">
        <w:rPr>
          <w:rFonts w:ascii="Garamond" w:hAnsi="Garamond" w:cs="Times New Roman"/>
          <w:b/>
          <w:sz w:val="21"/>
          <w:szCs w:val="21"/>
        </w:rPr>
        <w:t xml:space="preserve">hows the </w:t>
      </w:r>
      <w:r w:rsidR="00273D1E">
        <w:rPr>
          <w:rFonts w:ascii="Garamond" w:hAnsi="Garamond" w:cs="Times New Roman"/>
          <w:b/>
          <w:sz w:val="21"/>
          <w:szCs w:val="21"/>
        </w:rPr>
        <w:t xml:space="preserve">Armenian </w:t>
      </w:r>
      <w:r w:rsidRPr="004E7A10">
        <w:rPr>
          <w:rFonts w:ascii="Garamond" w:hAnsi="Garamond" w:cs="Times New Roman"/>
          <w:b/>
          <w:sz w:val="21"/>
          <w:szCs w:val="21"/>
        </w:rPr>
        <w:t>dram</w:t>
      </w:r>
      <w:r w:rsidR="00273D1E">
        <w:rPr>
          <w:rFonts w:ascii="Garamond" w:hAnsi="Garamond" w:cs="Times New Roman"/>
          <w:b/>
          <w:sz w:val="21"/>
          <w:szCs w:val="21"/>
        </w:rPr>
        <w:t>’</w:t>
      </w:r>
      <w:r w:rsidRPr="004E7A10">
        <w:rPr>
          <w:rFonts w:ascii="Garamond" w:hAnsi="Garamond" w:cs="Times New Roman"/>
          <w:b/>
          <w:sz w:val="21"/>
          <w:szCs w:val="21"/>
        </w:rPr>
        <w:t>s behavior versus the U.S. dollar, Euro and Russian ruble</w:t>
      </w:r>
      <w:r w:rsidR="002C6623" w:rsidRPr="004E7A10">
        <w:rPr>
          <w:rFonts w:ascii="Garamond" w:hAnsi="Garamond" w:cs="Times New Roman"/>
          <w:b/>
          <w:sz w:val="21"/>
          <w:szCs w:val="21"/>
        </w:rPr>
        <w:t xml:space="preserve"> during the </w:t>
      </w:r>
      <w:r w:rsidR="00273D1E">
        <w:rPr>
          <w:rFonts w:ascii="Garamond" w:hAnsi="Garamond" w:cs="Times New Roman"/>
          <w:b/>
          <w:sz w:val="21"/>
          <w:szCs w:val="21"/>
        </w:rPr>
        <w:t>1st</w:t>
      </w:r>
      <w:r w:rsidR="002C6623" w:rsidRPr="004E7A10">
        <w:rPr>
          <w:rFonts w:ascii="Garamond" w:hAnsi="Garamond" w:cs="Times New Roman"/>
          <w:b/>
          <w:sz w:val="21"/>
          <w:szCs w:val="21"/>
        </w:rPr>
        <w:t xml:space="preserve"> quarter of 201</w:t>
      </w:r>
      <w:r w:rsidR="00273D1E">
        <w:rPr>
          <w:rFonts w:ascii="Garamond" w:hAnsi="Garamond" w:cs="Times New Roman"/>
          <w:b/>
          <w:sz w:val="21"/>
          <w:szCs w:val="21"/>
        </w:rPr>
        <w:t>5</w:t>
      </w:r>
      <w:r w:rsidR="002C6623" w:rsidRPr="004E7A10">
        <w:rPr>
          <w:rFonts w:ascii="Garamond" w:hAnsi="Garamond" w:cs="Times New Roman"/>
          <w:b/>
          <w:sz w:val="21"/>
          <w:szCs w:val="21"/>
        </w:rPr>
        <w:t>:</w:t>
      </w:r>
    </w:p>
    <w:tbl>
      <w:tblPr>
        <w:tblW w:w="5922" w:type="dxa"/>
        <w:tblInd w:w="31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1211"/>
        <w:gridCol w:w="45"/>
        <w:gridCol w:w="1516"/>
        <w:gridCol w:w="43"/>
        <w:gridCol w:w="1560"/>
        <w:gridCol w:w="7"/>
        <w:gridCol w:w="1540"/>
      </w:tblGrid>
      <w:tr w:rsidR="002C6623" w:rsidRPr="00273D1E" w14:paraId="6E10054D" w14:textId="77777777" w:rsidTr="007160F7">
        <w:trPr>
          <w:trHeight w:val="20"/>
        </w:trPr>
        <w:tc>
          <w:tcPr>
            <w:tcW w:w="5922" w:type="dxa"/>
            <w:gridSpan w:val="7"/>
          </w:tcPr>
          <w:p w14:paraId="6ED4A021" w14:textId="77777777" w:rsidR="002C6623" w:rsidRPr="00273D1E" w:rsidRDefault="002C6623" w:rsidP="002C6623">
            <w:pPr>
              <w:spacing w:before="20" w:after="20"/>
              <w:jc w:val="center"/>
              <w:rPr>
                <w:rFonts w:ascii="Garamond" w:hAnsi="Garamond" w:cs="Times New Roman"/>
                <w:b/>
                <w:bCs/>
                <w:iCs/>
                <w:sz w:val="18"/>
                <w:szCs w:val="18"/>
              </w:rPr>
            </w:pPr>
            <w:r w:rsidRPr="00273D1E">
              <w:rPr>
                <w:rFonts w:ascii="Garamond" w:hAnsi="Garamond" w:cs="Times New Roman"/>
                <w:b/>
                <w:bCs/>
                <w:iCs/>
                <w:sz w:val="18"/>
                <w:szCs w:val="18"/>
              </w:rPr>
              <w:t xml:space="preserve">The </w:t>
            </w:r>
            <w:r w:rsidR="00273D1E" w:rsidRPr="00273D1E">
              <w:rPr>
                <w:rFonts w:ascii="Garamond" w:hAnsi="Garamond" w:cs="Times New Roman"/>
                <w:b/>
                <w:bCs/>
                <w:iCs/>
                <w:sz w:val="18"/>
                <w:szCs w:val="18"/>
              </w:rPr>
              <w:t xml:space="preserve">Armenian </w:t>
            </w:r>
            <w:r w:rsidRPr="00273D1E">
              <w:rPr>
                <w:rFonts w:ascii="Garamond" w:hAnsi="Garamond" w:cs="Times New Roman"/>
                <w:b/>
                <w:bCs/>
                <w:iCs/>
                <w:sz w:val="18"/>
                <w:szCs w:val="18"/>
              </w:rPr>
              <w:t>dram</w:t>
            </w:r>
            <w:r w:rsidR="00273D1E" w:rsidRPr="00273D1E">
              <w:rPr>
                <w:rFonts w:ascii="Garamond" w:hAnsi="Garamond" w:cs="Times New Roman"/>
                <w:b/>
                <w:bCs/>
                <w:iCs/>
                <w:sz w:val="18"/>
                <w:szCs w:val="18"/>
              </w:rPr>
              <w:t>’s</w:t>
            </w:r>
            <w:r w:rsidRPr="00273D1E">
              <w:rPr>
                <w:rFonts w:ascii="Garamond" w:hAnsi="Garamond" w:cs="Times New Roman"/>
                <w:b/>
                <w:bCs/>
                <w:iCs/>
                <w:sz w:val="18"/>
                <w:szCs w:val="18"/>
              </w:rPr>
              <w:t xml:space="preserve"> exchange rate, q/q</w:t>
            </w:r>
          </w:p>
        </w:tc>
      </w:tr>
      <w:tr w:rsidR="002C6623" w:rsidRPr="00273D1E" w14:paraId="316565EC" w14:textId="77777777" w:rsidTr="007160F7">
        <w:trPr>
          <w:trHeight w:val="20"/>
        </w:trPr>
        <w:tc>
          <w:tcPr>
            <w:tcW w:w="1256" w:type="dxa"/>
            <w:gridSpan w:val="2"/>
          </w:tcPr>
          <w:p w14:paraId="77A849CA" w14:textId="77777777" w:rsidR="002C6623" w:rsidRPr="00273D1E" w:rsidRDefault="002C6623"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Currency pair</w:t>
            </w:r>
          </w:p>
        </w:tc>
        <w:tc>
          <w:tcPr>
            <w:tcW w:w="1516" w:type="dxa"/>
          </w:tcPr>
          <w:p w14:paraId="0E23BD1A" w14:textId="77777777" w:rsidR="002C6623" w:rsidRPr="00273D1E" w:rsidRDefault="0072489D" w:rsidP="00273D1E">
            <w:pPr>
              <w:spacing w:before="20" w:after="20"/>
              <w:jc w:val="center"/>
              <w:rPr>
                <w:rFonts w:ascii="Garamond" w:hAnsi="Garamond" w:cs="Times New Roman"/>
                <w:bCs/>
                <w:iCs/>
                <w:sz w:val="18"/>
                <w:szCs w:val="18"/>
              </w:rPr>
            </w:pPr>
            <w:r w:rsidRPr="00273D1E">
              <w:rPr>
                <w:rFonts w:ascii="Garamond" w:hAnsi="Garamond" w:cs="Times New Roman"/>
                <w:bCs/>
                <w:iCs/>
                <w:sz w:val="18"/>
                <w:szCs w:val="18"/>
              </w:rPr>
              <w:t>Exchange rate as of</w:t>
            </w:r>
            <w:r w:rsidR="002C6623" w:rsidRPr="00273D1E">
              <w:rPr>
                <w:rFonts w:ascii="Garamond" w:hAnsi="Garamond" w:cs="Times New Roman"/>
                <w:bCs/>
                <w:iCs/>
                <w:sz w:val="18"/>
                <w:szCs w:val="18"/>
              </w:rPr>
              <w:t xml:space="preserve"> 30.</w:t>
            </w:r>
            <w:r w:rsidR="00273D1E" w:rsidRPr="00273D1E">
              <w:rPr>
                <w:rFonts w:ascii="Garamond" w:hAnsi="Garamond" w:cs="Times New Roman"/>
                <w:bCs/>
                <w:iCs/>
                <w:sz w:val="18"/>
                <w:szCs w:val="18"/>
              </w:rPr>
              <w:t>12</w:t>
            </w:r>
            <w:r w:rsidR="002C6623" w:rsidRPr="00273D1E">
              <w:rPr>
                <w:rFonts w:ascii="Garamond" w:hAnsi="Garamond" w:cs="Times New Roman"/>
                <w:bCs/>
                <w:iCs/>
                <w:sz w:val="18"/>
                <w:szCs w:val="18"/>
              </w:rPr>
              <w:t>.2014                (</w:t>
            </w:r>
            <w:r w:rsidRPr="00273D1E">
              <w:rPr>
                <w:rFonts w:ascii="Garamond" w:hAnsi="Garamond" w:cs="Times New Roman"/>
                <w:bCs/>
                <w:iCs/>
                <w:sz w:val="18"/>
                <w:szCs w:val="18"/>
              </w:rPr>
              <w:t>AMD</w:t>
            </w:r>
            <w:r w:rsidR="002C6623" w:rsidRPr="00273D1E">
              <w:rPr>
                <w:rFonts w:ascii="Garamond" w:hAnsi="Garamond" w:cs="Times New Roman"/>
                <w:bCs/>
                <w:iCs/>
                <w:sz w:val="18"/>
                <w:szCs w:val="18"/>
              </w:rPr>
              <w:t>)</w:t>
            </w:r>
          </w:p>
        </w:tc>
        <w:tc>
          <w:tcPr>
            <w:tcW w:w="1603" w:type="dxa"/>
            <w:gridSpan w:val="2"/>
          </w:tcPr>
          <w:p w14:paraId="0C1A4585" w14:textId="77777777" w:rsidR="002C6623" w:rsidRPr="00273D1E" w:rsidRDefault="0072489D" w:rsidP="00273D1E">
            <w:pPr>
              <w:spacing w:before="20" w:after="20"/>
              <w:jc w:val="center"/>
              <w:rPr>
                <w:rFonts w:ascii="Garamond" w:hAnsi="Garamond" w:cs="Times New Roman"/>
                <w:bCs/>
                <w:iCs/>
                <w:sz w:val="18"/>
                <w:szCs w:val="18"/>
              </w:rPr>
            </w:pPr>
            <w:r w:rsidRPr="00273D1E">
              <w:rPr>
                <w:rFonts w:ascii="Garamond" w:hAnsi="Garamond" w:cs="Times New Roman"/>
                <w:bCs/>
                <w:iCs/>
                <w:sz w:val="18"/>
                <w:szCs w:val="18"/>
              </w:rPr>
              <w:t>Exchange rate as of</w:t>
            </w:r>
            <w:r w:rsidR="002C6623" w:rsidRPr="00273D1E">
              <w:rPr>
                <w:rFonts w:ascii="Garamond" w:hAnsi="Garamond" w:cs="Times New Roman"/>
                <w:bCs/>
                <w:iCs/>
                <w:sz w:val="18"/>
                <w:szCs w:val="18"/>
              </w:rPr>
              <w:t xml:space="preserve"> 3</w:t>
            </w:r>
            <w:r w:rsidR="00273D1E" w:rsidRPr="00273D1E">
              <w:rPr>
                <w:rFonts w:ascii="Garamond" w:hAnsi="Garamond" w:cs="Times New Roman"/>
                <w:bCs/>
                <w:iCs/>
                <w:sz w:val="18"/>
                <w:szCs w:val="18"/>
              </w:rPr>
              <w:t>1</w:t>
            </w:r>
            <w:r w:rsidR="002C6623" w:rsidRPr="00273D1E">
              <w:rPr>
                <w:rFonts w:ascii="Garamond" w:hAnsi="Garamond" w:cs="Times New Roman"/>
                <w:bCs/>
                <w:iCs/>
                <w:sz w:val="18"/>
                <w:szCs w:val="18"/>
              </w:rPr>
              <w:t>.</w:t>
            </w:r>
            <w:r w:rsidR="00273D1E" w:rsidRPr="00273D1E">
              <w:rPr>
                <w:rFonts w:ascii="Garamond" w:hAnsi="Garamond" w:cs="Times New Roman"/>
                <w:bCs/>
                <w:iCs/>
                <w:sz w:val="18"/>
                <w:szCs w:val="18"/>
              </w:rPr>
              <w:t>03</w:t>
            </w:r>
            <w:r w:rsidR="002C6623" w:rsidRPr="00273D1E">
              <w:rPr>
                <w:rFonts w:ascii="Garamond" w:hAnsi="Garamond" w:cs="Times New Roman"/>
                <w:bCs/>
                <w:iCs/>
                <w:sz w:val="18"/>
                <w:szCs w:val="18"/>
              </w:rPr>
              <w:t>.201</w:t>
            </w:r>
            <w:r w:rsidR="00273D1E" w:rsidRPr="00273D1E">
              <w:rPr>
                <w:rFonts w:ascii="Garamond" w:hAnsi="Garamond" w:cs="Times New Roman"/>
                <w:bCs/>
                <w:iCs/>
                <w:sz w:val="18"/>
                <w:szCs w:val="18"/>
              </w:rPr>
              <w:t>5</w:t>
            </w:r>
            <w:r w:rsidR="002C6623" w:rsidRPr="00273D1E">
              <w:rPr>
                <w:rFonts w:ascii="Garamond" w:hAnsi="Garamond" w:cs="Times New Roman"/>
                <w:bCs/>
                <w:iCs/>
                <w:sz w:val="18"/>
                <w:szCs w:val="18"/>
              </w:rPr>
              <w:t xml:space="preserve">                  (</w:t>
            </w:r>
            <w:r w:rsidRPr="00273D1E">
              <w:rPr>
                <w:rFonts w:ascii="Garamond" w:hAnsi="Garamond" w:cs="Times New Roman"/>
                <w:bCs/>
                <w:iCs/>
                <w:sz w:val="18"/>
                <w:szCs w:val="18"/>
              </w:rPr>
              <w:t>AMD</w:t>
            </w:r>
            <w:r w:rsidR="002C6623" w:rsidRPr="00273D1E">
              <w:rPr>
                <w:rFonts w:ascii="Garamond" w:hAnsi="Garamond" w:cs="Times New Roman"/>
                <w:bCs/>
                <w:iCs/>
                <w:sz w:val="18"/>
                <w:szCs w:val="18"/>
              </w:rPr>
              <w:t>)</w:t>
            </w:r>
          </w:p>
        </w:tc>
        <w:tc>
          <w:tcPr>
            <w:tcW w:w="1547" w:type="dxa"/>
            <w:gridSpan w:val="2"/>
          </w:tcPr>
          <w:p w14:paraId="66E9C632" w14:textId="77777777" w:rsidR="002C6623" w:rsidRPr="00273D1E" w:rsidRDefault="002C6623" w:rsidP="0072489D">
            <w:pPr>
              <w:spacing w:before="20" w:after="20"/>
              <w:jc w:val="center"/>
              <w:rPr>
                <w:rFonts w:ascii="Garamond" w:hAnsi="Garamond" w:cs="Times New Roman"/>
                <w:bCs/>
                <w:iCs/>
                <w:sz w:val="18"/>
                <w:szCs w:val="18"/>
              </w:rPr>
            </w:pPr>
            <w:r w:rsidRPr="00273D1E">
              <w:rPr>
                <w:rFonts w:ascii="Garamond" w:hAnsi="Garamond" w:cs="Times New Roman"/>
                <w:bCs/>
                <w:iCs/>
                <w:sz w:val="18"/>
                <w:szCs w:val="18"/>
              </w:rPr>
              <w:t>%                  (</w:t>
            </w:r>
            <w:r w:rsidR="0072489D" w:rsidRPr="00273D1E">
              <w:rPr>
                <w:rFonts w:ascii="Garamond" w:hAnsi="Garamond" w:cs="Times New Roman"/>
                <w:bCs/>
                <w:iCs/>
                <w:sz w:val="18"/>
                <w:szCs w:val="18"/>
              </w:rPr>
              <w:t>appreciation</w:t>
            </w:r>
            <w:r w:rsidRPr="00273D1E">
              <w:rPr>
                <w:rFonts w:ascii="Garamond" w:hAnsi="Garamond" w:cs="Times New Roman"/>
                <w:bCs/>
                <w:iCs/>
                <w:sz w:val="18"/>
                <w:szCs w:val="18"/>
              </w:rPr>
              <w:t xml:space="preserve"> +, </w:t>
            </w:r>
            <w:r w:rsidR="0072489D" w:rsidRPr="00273D1E">
              <w:rPr>
                <w:rFonts w:ascii="Garamond" w:hAnsi="Garamond" w:cs="Times New Roman"/>
                <w:bCs/>
                <w:iCs/>
                <w:sz w:val="18"/>
                <w:szCs w:val="18"/>
              </w:rPr>
              <w:t>depreciation</w:t>
            </w:r>
            <w:r w:rsidRPr="00273D1E">
              <w:rPr>
                <w:rFonts w:ascii="Garamond" w:hAnsi="Garamond" w:cs="Times New Roman"/>
                <w:bCs/>
                <w:iCs/>
                <w:sz w:val="18"/>
                <w:szCs w:val="18"/>
              </w:rPr>
              <w:t xml:space="preserve"> -)</w:t>
            </w:r>
          </w:p>
        </w:tc>
      </w:tr>
      <w:tr w:rsidR="00273D1E" w:rsidRPr="00273D1E" w14:paraId="475FD613" w14:textId="77777777" w:rsidTr="007160F7">
        <w:trPr>
          <w:trHeight w:val="20"/>
        </w:trPr>
        <w:tc>
          <w:tcPr>
            <w:tcW w:w="1256" w:type="dxa"/>
            <w:gridSpan w:val="2"/>
          </w:tcPr>
          <w:p w14:paraId="1A03EEF2"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lastRenderedPageBreak/>
              <w:t>USD/AMD</w:t>
            </w:r>
          </w:p>
        </w:tc>
        <w:tc>
          <w:tcPr>
            <w:tcW w:w="1516" w:type="dxa"/>
          </w:tcPr>
          <w:p w14:paraId="23F27615"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474.97</w:t>
            </w:r>
          </w:p>
        </w:tc>
        <w:tc>
          <w:tcPr>
            <w:tcW w:w="1603" w:type="dxa"/>
            <w:gridSpan w:val="2"/>
          </w:tcPr>
          <w:p w14:paraId="27A8D800"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471.13</w:t>
            </w:r>
          </w:p>
        </w:tc>
        <w:tc>
          <w:tcPr>
            <w:tcW w:w="1547" w:type="dxa"/>
            <w:gridSpan w:val="2"/>
          </w:tcPr>
          <w:p w14:paraId="13733FB6"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+0.82</w:t>
            </w:r>
          </w:p>
        </w:tc>
      </w:tr>
      <w:tr w:rsidR="00273D1E" w:rsidRPr="00273D1E" w14:paraId="43AA10DD" w14:textId="77777777" w:rsidTr="007160F7">
        <w:trPr>
          <w:trHeight w:val="20"/>
        </w:trPr>
        <w:tc>
          <w:tcPr>
            <w:tcW w:w="1256" w:type="dxa"/>
            <w:gridSpan w:val="2"/>
          </w:tcPr>
          <w:p w14:paraId="42A47024"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EUR/AMD</w:t>
            </w:r>
          </w:p>
        </w:tc>
        <w:tc>
          <w:tcPr>
            <w:tcW w:w="1516" w:type="dxa"/>
          </w:tcPr>
          <w:p w14:paraId="396EFBBB"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577.47</w:t>
            </w:r>
          </w:p>
        </w:tc>
        <w:tc>
          <w:tcPr>
            <w:tcW w:w="1603" w:type="dxa"/>
            <w:gridSpan w:val="2"/>
          </w:tcPr>
          <w:p w14:paraId="71BC08ED"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505.29</w:t>
            </w:r>
          </w:p>
        </w:tc>
        <w:tc>
          <w:tcPr>
            <w:tcW w:w="1547" w:type="dxa"/>
            <w:gridSpan w:val="2"/>
          </w:tcPr>
          <w:p w14:paraId="55AF5DB0"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+14.28</w:t>
            </w:r>
          </w:p>
        </w:tc>
      </w:tr>
      <w:tr w:rsidR="00273D1E" w:rsidRPr="00273D1E" w14:paraId="5F6F1768" w14:textId="77777777" w:rsidTr="007160F7">
        <w:trPr>
          <w:trHeight w:val="20"/>
        </w:trPr>
        <w:tc>
          <w:tcPr>
            <w:tcW w:w="1256" w:type="dxa"/>
            <w:gridSpan w:val="2"/>
            <w:tcBorders>
              <w:bottom w:val="single" w:sz="4" w:space="0" w:color="auto"/>
            </w:tcBorders>
          </w:tcPr>
          <w:p w14:paraId="6E55C5A6"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RUB/AMD</w:t>
            </w:r>
          </w:p>
        </w:tc>
        <w:tc>
          <w:tcPr>
            <w:tcW w:w="1516" w:type="dxa"/>
            <w:tcBorders>
              <w:bottom w:val="single" w:sz="4" w:space="0" w:color="auto"/>
            </w:tcBorders>
          </w:tcPr>
          <w:p w14:paraId="6B8C6990"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8.15</w:t>
            </w:r>
          </w:p>
        </w:tc>
        <w:tc>
          <w:tcPr>
            <w:tcW w:w="1603" w:type="dxa"/>
            <w:gridSpan w:val="2"/>
            <w:tcBorders>
              <w:bottom w:val="single" w:sz="4" w:space="0" w:color="auto"/>
            </w:tcBorders>
          </w:tcPr>
          <w:p w14:paraId="04BAA7B0"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8.13</w:t>
            </w:r>
          </w:p>
        </w:tc>
        <w:tc>
          <w:tcPr>
            <w:tcW w:w="1547" w:type="dxa"/>
            <w:gridSpan w:val="2"/>
            <w:tcBorders>
              <w:bottom w:val="single" w:sz="4" w:space="0" w:color="auto"/>
            </w:tcBorders>
          </w:tcPr>
          <w:p w14:paraId="07BFAD7C"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+0.25</w:t>
            </w:r>
          </w:p>
        </w:tc>
      </w:tr>
      <w:tr w:rsidR="002C6623" w:rsidRPr="00273D1E" w14:paraId="49ADF5D8" w14:textId="77777777" w:rsidTr="007160F7">
        <w:trPr>
          <w:trHeight w:val="20"/>
        </w:trPr>
        <w:tc>
          <w:tcPr>
            <w:tcW w:w="5922" w:type="dxa"/>
            <w:gridSpan w:val="7"/>
            <w:tcBorders>
              <w:top w:val="single" w:sz="4" w:space="0" w:color="auto"/>
              <w:bottom w:val="dashed" w:sz="4" w:space="0" w:color="auto"/>
            </w:tcBorders>
          </w:tcPr>
          <w:p w14:paraId="43E1D4D0" w14:textId="77777777" w:rsidR="002C6623" w:rsidRPr="00273D1E" w:rsidRDefault="0072489D" w:rsidP="0072489D">
            <w:pPr>
              <w:spacing w:before="20" w:after="20"/>
              <w:jc w:val="center"/>
              <w:rPr>
                <w:rFonts w:ascii="Garamond" w:hAnsi="Garamond" w:cs="Times New Roman"/>
                <w:b/>
                <w:bCs/>
                <w:iCs/>
                <w:sz w:val="18"/>
                <w:szCs w:val="18"/>
              </w:rPr>
            </w:pPr>
            <w:r w:rsidRPr="00273D1E">
              <w:rPr>
                <w:rFonts w:ascii="Garamond" w:hAnsi="Garamond" w:cs="Times New Roman"/>
                <w:b/>
                <w:bCs/>
                <w:iCs/>
                <w:sz w:val="18"/>
                <w:szCs w:val="18"/>
              </w:rPr>
              <w:t xml:space="preserve">The </w:t>
            </w:r>
            <w:r w:rsidR="00273D1E" w:rsidRPr="00273D1E">
              <w:rPr>
                <w:rFonts w:ascii="Garamond" w:hAnsi="Garamond" w:cs="Times New Roman"/>
                <w:b/>
                <w:bCs/>
                <w:iCs/>
                <w:sz w:val="18"/>
                <w:szCs w:val="18"/>
              </w:rPr>
              <w:t xml:space="preserve">Armenian </w:t>
            </w:r>
            <w:r w:rsidRPr="00273D1E">
              <w:rPr>
                <w:rFonts w:ascii="Garamond" w:hAnsi="Garamond" w:cs="Times New Roman"/>
                <w:b/>
                <w:bCs/>
                <w:iCs/>
                <w:sz w:val="18"/>
                <w:szCs w:val="18"/>
              </w:rPr>
              <w:t>dram</w:t>
            </w:r>
            <w:r w:rsidR="00273D1E" w:rsidRPr="00273D1E">
              <w:rPr>
                <w:rFonts w:ascii="Garamond" w:hAnsi="Garamond" w:cs="Times New Roman"/>
                <w:b/>
                <w:bCs/>
                <w:iCs/>
                <w:sz w:val="18"/>
                <w:szCs w:val="18"/>
              </w:rPr>
              <w:t>’s</w:t>
            </w:r>
            <w:r w:rsidRPr="00273D1E">
              <w:rPr>
                <w:rFonts w:ascii="Garamond" w:hAnsi="Garamond" w:cs="Times New Roman"/>
                <w:b/>
                <w:bCs/>
                <w:iCs/>
                <w:sz w:val="18"/>
                <w:szCs w:val="18"/>
              </w:rPr>
              <w:t xml:space="preserve"> average exchange rate, y/y</w:t>
            </w:r>
          </w:p>
        </w:tc>
      </w:tr>
      <w:tr w:rsidR="002C6623" w:rsidRPr="00273D1E" w14:paraId="222F42B5" w14:textId="77777777" w:rsidTr="0072489D">
        <w:trPr>
          <w:trHeight w:val="20"/>
        </w:trPr>
        <w:tc>
          <w:tcPr>
            <w:tcW w:w="1211" w:type="dxa"/>
            <w:tcBorders>
              <w:top w:val="dashed" w:sz="4" w:space="0" w:color="auto"/>
            </w:tcBorders>
          </w:tcPr>
          <w:p w14:paraId="31BD47D8" w14:textId="77777777" w:rsidR="002C6623" w:rsidRPr="00273D1E" w:rsidRDefault="0072489D"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Currency pair</w:t>
            </w:r>
          </w:p>
        </w:tc>
        <w:tc>
          <w:tcPr>
            <w:tcW w:w="1604" w:type="dxa"/>
            <w:gridSpan w:val="3"/>
            <w:tcBorders>
              <w:top w:val="dashed" w:sz="4" w:space="0" w:color="auto"/>
            </w:tcBorders>
          </w:tcPr>
          <w:p w14:paraId="457A0448" w14:textId="77777777" w:rsidR="0072489D" w:rsidRPr="00273D1E" w:rsidRDefault="0072489D" w:rsidP="0072489D">
            <w:pPr>
              <w:spacing w:before="20" w:after="20"/>
              <w:jc w:val="center"/>
              <w:rPr>
                <w:rFonts w:ascii="Garamond" w:hAnsi="Garamond" w:cs="Times New Roman"/>
                <w:bCs/>
                <w:iCs/>
                <w:sz w:val="18"/>
                <w:szCs w:val="18"/>
              </w:rPr>
            </w:pPr>
            <w:r w:rsidRPr="00273D1E">
              <w:rPr>
                <w:rFonts w:ascii="Garamond" w:hAnsi="Garamond" w:cs="Times New Roman"/>
                <w:bCs/>
                <w:iCs/>
                <w:sz w:val="18"/>
                <w:szCs w:val="18"/>
              </w:rPr>
              <w:t>Average exchange rate, Q</w:t>
            </w:r>
            <w:r w:rsidR="00273D1E" w:rsidRPr="00273D1E">
              <w:rPr>
                <w:rFonts w:ascii="Garamond" w:hAnsi="Garamond" w:cs="Times New Roman"/>
                <w:bCs/>
                <w:iCs/>
                <w:sz w:val="18"/>
                <w:szCs w:val="18"/>
              </w:rPr>
              <w:t>1</w:t>
            </w:r>
            <w:r w:rsidRPr="00273D1E">
              <w:rPr>
                <w:rFonts w:ascii="Garamond" w:hAnsi="Garamond" w:cs="Times New Roman"/>
                <w:bCs/>
                <w:iCs/>
                <w:sz w:val="18"/>
                <w:szCs w:val="18"/>
              </w:rPr>
              <w:t>, 20</w:t>
            </w:r>
            <w:r w:rsidR="002C6623" w:rsidRPr="00273D1E">
              <w:rPr>
                <w:rFonts w:ascii="Garamond" w:hAnsi="Garamond" w:cs="Times New Roman"/>
                <w:bCs/>
                <w:iCs/>
                <w:sz w:val="18"/>
                <w:szCs w:val="18"/>
              </w:rPr>
              <w:t>1</w:t>
            </w:r>
            <w:r w:rsidR="00273D1E" w:rsidRPr="00273D1E">
              <w:rPr>
                <w:rFonts w:ascii="Garamond" w:hAnsi="Garamond" w:cs="Times New Roman"/>
                <w:bCs/>
                <w:iCs/>
                <w:sz w:val="18"/>
                <w:szCs w:val="18"/>
              </w:rPr>
              <w:t>4</w:t>
            </w:r>
            <w:r w:rsidR="002C6623" w:rsidRPr="00273D1E">
              <w:rPr>
                <w:rFonts w:ascii="Garamond" w:hAnsi="Garamond" w:cs="Times New Roman"/>
                <w:bCs/>
                <w:iCs/>
                <w:sz w:val="18"/>
                <w:szCs w:val="18"/>
              </w:rPr>
              <w:t xml:space="preserve"> </w:t>
            </w:r>
          </w:p>
          <w:p w14:paraId="75031DB0" w14:textId="77777777" w:rsidR="002C6623" w:rsidRPr="00273D1E" w:rsidRDefault="002C6623" w:rsidP="007160F7">
            <w:pPr>
              <w:spacing w:before="20" w:after="20"/>
              <w:jc w:val="center"/>
              <w:rPr>
                <w:rFonts w:ascii="Garamond" w:hAnsi="Garamond" w:cs="Times New Roman"/>
                <w:bCs/>
                <w:iCs/>
                <w:sz w:val="18"/>
                <w:szCs w:val="18"/>
              </w:rPr>
            </w:pPr>
          </w:p>
        </w:tc>
        <w:tc>
          <w:tcPr>
            <w:tcW w:w="1567" w:type="dxa"/>
            <w:gridSpan w:val="2"/>
            <w:tcBorders>
              <w:top w:val="dashed" w:sz="4" w:space="0" w:color="auto"/>
            </w:tcBorders>
          </w:tcPr>
          <w:p w14:paraId="1396D97C" w14:textId="77777777" w:rsidR="0072489D" w:rsidRPr="00273D1E" w:rsidRDefault="0072489D" w:rsidP="0072489D">
            <w:pPr>
              <w:spacing w:before="20" w:after="20"/>
              <w:jc w:val="center"/>
              <w:rPr>
                <w:rFonts w:ascii="Garamond" w:hAnsi="Garamond" w:cs="Times New Roman"/>
                <w:bCs/>
                <w:iCs/>
                <w:sz w:val="18"/>
                <w:szCs w:val="18"/>
              </w:rPr>
            </w:pPr>
            <w:r w:rsidRPr="00273D1E">
              <w:rPr>
                <w:rFonts w:ascii="Garamond" w:hAnsi="Garamond" w:cs="Times New Roman"/>
                <w:bCs/>
                <w:iCs/>
                <w:sz w:val="18"/>
                <w:szCs w:val="18"/>
              </w:rPr>
              <w:t>Average exchange rate, Q</w:t>
            </w:r>
            <w:r w:rsidR="00273D1E" w:rsidRPr="00273D1E">
              <w:rPr>
                <w:rFonts w:ascii="Garamond" w:hAnsi="Garamond" w:cs="Times New Roman"/>
                <w:bCs/>
                <w:iCs/>
                <w:sz w:val="18"/>
                <w:szCs w:val="18"/>
              </w:rPr>
              <w:t>1</w:t>
            </w:r>
            <w:r w:rsidRPr="00273D1E">
              <w:rPr>
                <w:rFonts w:ascii="Garamond" w:hAnsi="Garamond" w:cs="Times New Roman"/>
                <w:bCs/>
                <w:iCs/>
                <w:sz w:val="18"/>
                <w:szCs w:val="18"/>
              </w:rPr>
              <w:t xml:space="preserve">, </w:t>
            </w:r>
            <w:r w:rsidR="002C6623" w:rsidRPr="00273D1E">
              <w:rPr>
                <w:rFonts w:ascii="Garamond" w:hAnsi="Garamond" w:cs="Times New Roman"/>
                <w:bCs/>
                <w:iCs/>
                <w:sz w:val="18"/>
                <w:szCs w:val="18"/>
              </w:rPr>
              <w:t>201</w:t>
            </w:r>
            <w:r w:rsidR="00273D1E" w:rsidRPr="00273D1E">
              <w:rPr>
                <w:rFonts w:ascii="Garamond" w:hAnsi="Garamond" w:cs="Times New Roman"/>
                <w:bCs/>
                <w:iCs/>
                <w:sz w:val="18"/>
                <w:szCs w:val="18"/>
              </w:rPr>
              <w:t>5</w:t>
            </w:r>
            <w:r w:rsidR="002C6623" w:rsidRPr="00273D1E">
              <w:rPr>
                <w:rFonts w:ascii="Garamond" w:hAnsi="Garamond" w:cs="Times New Roman"/>
                <w:bCs/>
                <w:iCs/>
                <w:sz w:val="18"/>
                <w:szCs w:val="18"/>
              </w:rPr>
              <w:t xml:space="preserve"> </w:t>
            </w:r>
          </w:p>
          <w:p w14:paraId="1D2216EE" w14:textId="77777777" w:rsidR="002C6623" w:rsidRPr="00273D1E" w:rsidRDefault="002C6623" w:rsidP="007160F7">
            <w:pPr>
              <w:spacing w:before="20" w:after="20"/>
              <w:jc w:val="center"/>
              <w:rPr>
                <w:rFonts w:ascii="Garamond" w:hAnsi="Garamond" w:cs="Times New Roman"/>
                <w:bCs/>
                <w:iCs/>
                <w:sz w:val="18"/>
                <w:szCs w:val="18"/>
              </w:rPr>
            </w:pPr>
          </w:p>
        </w:tc>
        <w:tc>
          <w:tcPr>
            <w:tcW w:w="1540" w:type="dxa"/>
            <w:tcBorders>
              <w:top w:val="dashed" w:sz="4" w:space="0" w:color="auto"/>
            </w:tcBorders>
          </w:tcPr>
          <w:p w14:paraId="3FD67ABC" w14:textId="77777777" w:rsidR="002C6623" w:rsidRPr="00273D1E" w:rsidRDefault="0072489D" w:rsidP="0072489D">
            <w:pPr>
              <w:spacing w:before="20" w:after="20"/>
              <w:jc w:val="center"/>
              <w:rPr>
                <w:rFonts w:ascii="Garamond" w:hAnsi="Garamond" w:cs="Times New Roman"/>
                <w:bCs/>
                <w:iCs/>
                <w:sz w:val="18"/>
                <w:szCs w:val="18"/>
              </w:rPr>
            </w:pPr>
            <w:r w:rsidRPr="00273D1E">
              <w:rPr>
                <w:rFonts w:ascii="Garamond" w:hAnsi="Garamond" w:cs="Times New Roman"/>
                <w:bCs/>
                <w:iCs/>
                <w:sz w:val="18"/>
                <w:szCs w:val="18"/>
              </w:rPr>
              <w:t>%                  (appreciation +, depreciation -)</w:t>
            </w:r>
          </w:p>
        </w:tc>
      </w:tr>
      <w:tr w:rsidR="00273D1E" w:rsidRPr="00273D1E" w14:paraId="3075822B" w14:textId="77777777" w:rsidTr="0072489D">
        <w:trPr>
          <w:trHeight w:val="20"/>
        </w:trPr>
        <w:tc>
          <w:tcPr>
            <w:tcW w:w="1211" w:type="dxa"/>
          </w:tcPr>
          <w:p w14:paraId="0A1EED61"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USD/AMD</w:t>
            </w:r>
          </w:p>
        </w:tc>
        <w:tc>
          <w:tcPr>
            <w:tcW w:w="1604" w:type="dxa"/>
            <w:gridSpan w:val="3"/>
            <w:vAlign w:val="bottom"/>
          </w:tcPr>
          <w:p w14:paraId="5F854A9F"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411.05</w:t>
            </w:r>
          </w:p>
        </w:tc>
        <w:tc>
          <w:tcPr>
            <w:tcW w:w="1567" w:type="dxa"/>
            <w:gridSpan w:val="2"/>
            <w:vAlign w:val="bottom"/>
          </w:tcPr>
          <w:p w14:paraId="178CB24C"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477.26</w:t>
            </w:r>
          </w:p>
        </w:tc>
        <w:tc>
          <w:tcPr>
            <w:tcW w:w="1540" w:type="dxa"/>
          </w:tcPr>
          <w:p w14:paraId="0BA0BCBE"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-13.87</w:t>
            </w:r>
          </w:p>
        </w:tc>
      </w:tr>
      <w:tr w:rsidR="00273D1E" w:rsidRPr="00273D1E" w14:paraId="61223A6F" w14:textId="77777777" w:rsidTr="0072489D">
        <w:trPr>
          <w:trHeight w:val="20"/>
        </w:trPr>
        <w:tc>
          <w:tcPr>
            <w:tcW w:w="1211" w:type="dxa"/>
          </w:tcPr>
          <w:p w14:paraId="270F677E"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EUR/AMD</w:t>
            </w:r>
          </w:p>
        </w:tc>
        <w:tc>
          <w:tcPr>
            <w:tcW w:w="1604" w:type="dxa"/>
            <w:gridSpan w:val="3"/>
            <w:vAlign w:val="bottom"/>
          </w:tcPr>
          <w:p w14:paraId="15020546"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562.97</w:t>
            </w:r>
          </w:p>
        </w:tc>
        <w:tc>
          <w:tcPr>
            <w:tcW w:w="1567" w:type="dxa"/>
            <w:gridSpan w:val="2"/>
            <w:vAlign w:val="bottom"/>
          </w:tcPr>
          <w:p w14:paraId="09910043"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538.40</w:t>
            </w:r>
          </w:p>
        </w:tc>
        <w:tc>
          <w:tcPr>
            <w:tcW w:w="1540" w:type="dxa"/>
          </w:tcPr>
          <w:p w14:paraId="1AC3B5CD"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+4.56</w:t>
            </w:r>
          </w:p>
        </w:tc>
      </w:tr>
      <w:tr w:rsidR="00273D1E" w:rsidRPr="00273D1E" w14:paraId="79597B04" w14:textId="77777777" w:rsidTr="0072489D">
        <w:trPr>
          <w:trHeight w:val="20"/>
        </w:trPr>
        <w:tc>
          <w:tcPr>
            <w:tcW w:w="1211" w:type="dxa"/>
          </w:tcPr>
          <w:p w14:paraId="7928A0AB" w14:textId="77777777" w:rsidR="00273D1E" w:rsidRPr="00273D1E" w:rsidRDefault="00273D1E" w:rsidP="007160F7">
            <w:pPr>
              <w:spacing w:before="20" w:after="20"/>
              <w:jc w:val="both"/>
              <w:rPr>
                <w:rFonts w:ascii="Garamond" w:hAnsi="Garamond" w:cs="Times New Roman"/>
                <w:bCs/>
                <w:iCs/>
                <w:sz w:val="18"/>
                <w:szCs w:val="18"/>
              </w:rPr>
            </w:pPr>
            <w:r w:rsidRPr="00273D1E">
              <w:rPr>
                <w:rFonts w:ascii="Garamond" w:hAnsi="Garamond" w:cs="Times New Roman"/>
                <w:bCs/>
                <w:iCs/>
                <w:sz w:val="18"/>
                <w:szCs w:val="18"/>
              </w:rPr>
              <w:t>RUB/AMD</w:t>
            </w:r>
          </w:p>
        </w:tc>
        <w:tc>
          <w:tcPr>
            <w:tcW w:w="1604" w:type="dxa"/>
            <w:gridSpan w:val="3"/>
            <w:vAlign w:val="bottom"/>
          </w:tcPr>
          <w:p w14:paraId="26A8B2FD"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11.72</w:t>
            </w:r>
          </w:p>
        </w:tc>
        <w:tc>
          <w:tcPr>
            <w:tcW w:w="1567" w:type="dxa"/>
            <w:gridSpan w:val="2"/>
            <w:vAlign w:val="bottom"/>
          </w:tcPr>
          <w:p w14:paraId="30E758EC"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7.61</w:t>
            </w:r>
          </w:p>
        </w:tc>
        <w:tc>
          <w:tcPr>
            <w:tcW w:w="1540" w:type="dxa"/>
          </w:tcPr>
          <w:p w14:paraId="364B1460" w14:textId="77777777" w:rsidR="00273D1E" w:rsidRPr="00273D1E" w:rsidRDefault="00273D1E" w:rsidP="001910E5">
            <w:pPr>
              <w:spacing w:before="60" w:after="40"/>
              <w:jc w:val="center"/>
              <w:rPr>
                <w:rFonts w:ascii="Garamond" w:hAnsi="Garamond"/>
                <w:bCs/>
                <w:iCs/>
                <w:sz w:val="18"/>
                <w:szCs w:val="18"/>
              </w:rPr>
            </w:pPr>
            <w:r w:rsidRPr="00273D1E">
              <w:rPr>
                <w:rFonts w:ascii="Garamond" w:hAnsi="Garamond"/>
                <w:bCs/>
                <w:iCs/>
                <w:sz w:val="18"/>
                <w:szCs w:val="18"/>
              </w:rPr>
              <w:t>+54.01</w:t>
            </w:r>
          </w:p>
        </w:tc>
      </w:tr>
    </w:tbl>
    <w:p w14:paraId="78D147FA" w14:textId="77777777" w:rsidR="002C6623" w:rsidRPr="004E7A10" w:rsidRDefault="002C6623" w:rsidP="002C6623">
      <w:pPr>
        <w:ind w:firstLine="284"/>
        <w:jc w:val="both"/>
        <w:rPr>
          <w:rFonts w:ascii="Garamond" w:hAnsi="Garamond" w:cs="Times New Roman"/>
          <w:color w:val="FF0000"/>
          <w:sz w:val="18"/>
          <w:szCs w:val="18"/>
        </w:rPr>
      </w:pPr>
    </w:p>
    <w:p w14:paraId="0FC34805" w14:textId="77777777" w:rsidR="00A9653E" w:rsidRPr="004E7A10" w:rsidRDefault="00A9653E" w:rsidP="00A9653E">
      <w:pPr>
        <w:spacing w:line="360" w:lineRule="auto"/>
        <w:jc w:val="both"/>
        <w:rPr>
          <w:rFonts w:ascii="Garamond" w:hAnsi="Garamond" w:cs="Times New Roman"/>
          <w:i/>
          <w:iCs/>
          <w:sz w:val="21"/>
          <w:szCs w:val="21"/>
        </w:rPr>
      </w:pPr>
      <w:r w:rsidRPr="004E7A10">
        <w:rPr>
          <w:rFonts w:ascii="Garamond" w:hAnsi="Garamond" w:cs="Times New Roman"/>
          <w:i/>
          <w:iCs/>
          <w:sz w:val="21"/>
          <w:szCs w:val="21"/>
        </w:rPr>
        <w:t xml:space="preserve">The aggregate volume of U.S. dollar/Armenian dram transactions in the foreign exchange market during the </w:t>
      </w:r>
      <w:r w:rsidR="00273D1E">
        <w:rPr>
          <w:rFonts w:ascii="Garamond" w:hAnsi="Garamond" w:cs="Times New Roman"/>
          <w:i/>
          <w:iCs/>
          <w:sz w:val="21"/>
          <w:szCs w:val="21"/>
        </w:rPr>
        <w:t>1st</w:t>
      </w:r>
      <w:r w:rsidRPr="004E7A10">
        <w:rPr>
          <w:rFonts w:ascii="Garamond" w:hAnsi="Garamond" w:cs="Times New Roman"/>
          <w:i/>
          <w:iCs/>
          <w:sz w:val="21"/>
          <w:szCs w:val="21"/>
        </w:rPr>
        <w:t xml:space="preserve"> quarter</w:t>
      </w:r>
      <w:r w:rsidR="00273D1E">
        <w:rPr>
          <w:rFonts w:ascii="Garamond" w:hAnsi="Garamond" w:cs="Times New Roman"/>
          <w:i/>
          <w:iCs/>
          <w:sz w:val="21"/>
          <w:szCs w:val="21"/>
        </w:rPr>
        <w:t xml:space="preserve"> of 2015</w:t>
      </w:r>
      <w:r w:rsidRPr="004E7A10">
        <w:rPr>
          <w:rFonts w:ascii="Garamond" w:hAnsi="Garamond" w:cs="Times New Roman"/>
          <w:i/>
          <w:iCs/>
          <w:sz w:val="21"/>
          <w:szCs w:val="21"/>
        </w:rPr>
        <w:t xml:space="preserve"> amounted to USD </w:t>
      </w:r>
      <w:r w:rsidR="00273D1E">
        <w:rPr>
          <w:rFonts w:ascii="Garamond" w:hAnsi="Garamond" w:cs="Times New Roman"/>
          <w:i/>
          <w:iCs/>
          <w:sz w:val="21"/>
          <w:szCs w:val="21"/>
        </w:rPr>
        <w:t>2</w:t>
      </w:r>
      <w:r w:rsidRPr="004E7A10">
        <w:rPr>
          <w:rFonts w:ascii="Garamond" w:hAnsi="Garamond" w:cs="Times New Roman"/>
          <w:i/>
          <w:iCs/>
          <w:sz w:val="21"/>
          <w:szCs w:val="21"/>
        </w:rPr>
        <w:t>.</w:t>
      </w:r>
      <w:r w:rsidR="00DB3371" w:rsidRPr="004E7A10">
        <w:rPr>
          <w:rFonts w:ascii="Garamond" w:hAnsi="Garamond" w:cs="Times New Roman"/>
          <w:i/>
          <w:iCs/>
          <w:sz w:val="21"/>
          <w:szCs w:val="21"/>
        </w:rPr>
        <w:t>4</w:t>
      </w:r>
      <w:r w:rsidR="00273D1E">
        <w:rPr>
          <w:rFonts w:ascii="Garamond" w:hAnsi="Garamond" w:cs="Times New Roman"/>
          <w:i/>
          <w:iCs/>
          <w:sz w:val="21"/>
          <w:szCs w:val="21"/>
        </w:rPr>
        <w:t>5</w:t>
      </w:r>
      <w:r w:rsidRPr="004E7A10">
        <w:rPr>
          <w:rFonts w:ascii="Garamond" w:hAnsi="Garamond" w:cs="Times New Roman"/>
          <w:i/>
          <w:iCs/>
          <w:sz w:val="21"/>
          <w:szCs w:val="21"/>
        </w:rPr>
        <w:t xml:space="preserve"> billion, which represents a</w:t>
      </w:r>
      <w:r w:rsidR="00273D1E">
        <w:rPr>
          <w:rFonts w:ascii="Garamond" w:hAnsi="Garamond" w:cs="Times New Roman"/>
          <w:i/>
          <w:iCs/>
          <w:sz w:val="21"/>
          <w:szCs w:val="21"/>
        </w:rPr>
        <w:t>n</w:t>
      </w:r>
      <w:r w:rsidRPr="004E7A10">
        <w:rPr>
          <w:rFonts w:ascii="Garamond" w:hAnsi="Garamond" w:cs="Times New Roman"/>
          <w:i/>
          <w:iCs/>
          <w:sz w:val="21"/>
          <w:szCs w:val="21"/>
        </w:rPr>
        <w:t xml:space="preserve"> </w:t>
      </w:r>
      <w:r w:rsidR="00DB3371" w:rsidRPr="004E7A10">
        <w:rPr>
          <w:rFonts w:ascii="Garamond" w:hAnsi="Garamond" w:cs="Times New Roman"/>
          <w:i/>
          <w:iCs/>
          <w:sz w:val="21"/>
          <w:szCs w:val="21"/>
        </w:rPr>
        <w:t>1</w:t>
      </w:r>
      <w:r w:rsidR="00273D1E">
        <w:rPr>
          <w:rFonts w:ascii="Garamond" w:hAnsi="Garamond" w:cs="Times New Roman"/>
          <w:i/>
          <w:iCs/>
          <w:sz w:val="21"/>
          <w:szCs w:val="21"/>
        </w:rPr>
        <w:t>1</w:t>
      </w:r>
      <w:r w:rsidRPr="004E7A10">
        <w:rPr>
          <w:rFonts w:ascii="Garamond" w:hAnsi="Garamond" w:cs="Times New Roman"/>
          <w:i/>
          <w:iCs/>
          <w:sz w:val="21"/>
          <w:szCs w:val="21"/>
        </w:rPr>
        <w:t>.</w:t>
      </w:r>
      <w:r w:rsidR="00273D1E">
        <w:rPr>
          <w:rFonts w:ascii="Garamond" w:hAnsi="Garamond" w:cs="Times New Roman"/>
          <w:i/>
          <w:iCs/>
          <w:sz w:val="21"/>
          <w:szCs w:val="21"/>
        </w:rPr>
        <w:t>55</w:t>
      </w:r>
      <w:r w:rsidRPr="004E7A10">
        <w:rPr>
          <w:rFonts w:ascii="Garamond" w:hAnsi="Garamond" w:cs="Times New Roman"/>
          <w:i/>
          <w:iCs/>
          <w:sz w:val="21"/>
          <w:szCs w:val="21"/>
        </w:rPr>
        <w:t xml:space="preserve">% </w:t>
      </w:r>
      <w:r w:rsidR="00273D1E">
        <w:rPr>
          <w:rFonts w:ascii="Garamond" w:hAnsi="Garamond" w:cs="Times New Roman"/>
          <w:i/>
          <w:iCs/>
          <w:sz w:val="21"/>
          <w:szCs w:val="21"/>
        </w:rPr>
        <w:t>de</w:t>
      </w:r>
      <w:r w:rsidRPr="004E7A10">
        <w:rPr>
          <w:rFonts w:ascii="Garamond" w:hAnsi="Garamond" w:cs="Times New Roman"/>
          <w:i/>
          <w:iCs/>
          <w:sz w:val="21"/>
          <w:szCs w:val="21"/>
        </w:rPr>
        <w:t>crease</w:t>
      </w:r>
      <w:r w:rsidR="00273D1E">
        <w:rPr>
          <w:rFonts w:ascii="Garamond" w:hAnsi="Garamond" w:cs="Times New Roman"/>
          <w:i/>
          <w:iCs/>
          <w:sz w:val="21"/>
          <w:szCs w:val="21"/>
        </w:rPr>
        <w:t xml:space="preserve"> </w:t>
      </w:r>
      <w:r w:rsidR="00030AE6" w:rsidRPr="004E7A10">
        <w:rPr>
          <w:rFonts w:ascii="Garamond" w:hAnsi="Garamond" w:cs="Times New Roman"/>
          <w:i/>
          <w:iCs/>
          <w:sz w:val="21"/>
          <w:szCs w:val="21"/>
        </w:rPr>
        <w:t>in relation to USD 2.</w:t>
      </w:r>
      <w:r w:rsidR="00273D1E">
        <w:rPr>
          <w:rFonts w:ascii="Garamond" w:hAnsi="Garamond" w:cs="Times New Roman"/>
          <w:i/>
          <w:iCs/>
          <w:sz w:val="21"/>
          <w:szCs w:val="21"/>
        </w:rPr>
        <w:t>77</w:t>
      </w:r>
      <w:r w:rsidR="00030AE6" w:rsidRPr="004E7A10">
        <w:rPr>
          <w:rFonts w:ascii="Garamond" w:hAnsi="Garamond" w:cs="Times New Roman"/>
          <w:i/>
          <w:iCs/>
          <w:sz w:val="21"/>
          <w:szCs w:val="21"/>
        </w:rPr>
        <w:t xml:space="preserve"> billion reported in </w:t>
      </w:r>
      <w:r w:rsidR="00DB3371" w:rsidRPr="004E7A10">
        <w:rPr>
          <w:rFonts w:ascii="Garamond" w:hAnsi="Garamond" w:cs="Times New Roman"/>
          <w:i/>
          <w:iCs/>
          <w:sz w:val="21"/>
          <w:szCs w:val="21"/>
        </w:rPr>
        <w:t xml:space="preserve">the </w:t>
      </w:r>
      <w:r w:rsidR="00D964BF">
        <w:rPr>
          <w:rFonts w:ascii="Garamond" w:hAnsi="Garamond" w:cs="Times New Roman"/>
          <w:i/>
          <w:iCs/>
          <w:sz w:val="21"/>
          <w:szCs w:val="21"/>
        </w:rPr>
        <w:t>same reference period last year</w:t>
      </w:r>
      <w:r w:rsidRPr="004E7A10">
        <w:rPr>
          <w:rFonts w:ascii="Garamond" w:hAnsi="Garamond" w:cs="Times New Roman"/>
          <w:i/>
          <w:iCs/>
          <w:sz w:val="21"/>
          <w:szCs w:val="21"/>
        </w:rPr>
        <w:t xml:space="preserve">. </w:t>
      </w:r>
    </w:p>
    <w:p w14:paraId="51AEA794" w14:textId="77777777" w:rsidR="000B0AEC" w:rsidRDefault="00A9653E" w:rsidP="00A9653E">
      <w:pPr>
        <w:spacing w:line="360" w:lineRule="auto"/>
        <w:jc w:val="both"/>
        <w:rPr>
          <w:rFonts w:ascii="Garamond" w:hAnsi="Garamond" w:cs="Times New Roman"/>
          <w:i/>
          <w:iCs/>
          <w:sz w:val="21"/>
          <w:szCs w:val="21"/>
        </w:rPr>
      </w:pPr>
      <w:r w:rsidRPr="004E7A10">
        <w:rPr>
          <w:rFonts w:ascii="Garamond" w:hAnsi="Garamond" w:cs="Times New Roman"/>
          <w:i/>
          <w:iCs/>
          <w:sz w:val="21"/>
          <w:szCs w:val="21"/>
        </w:rPr>
        <w:t xml:space="preserve">The aggregate volume of Euro/Armenian dram transactions </w:t>
      </w:r>
      <w:r w:rsidR="000B0AEC">
        <w:rPr>
          <w:rFonts w:ascii="Garamond" w:hAnsi="Garamond" w:cs="Times New Roman"/>
          <w:i/>
          <w:iCs/>
          <w:sz w:val="21"/>
          <w:szCs w:val="21"/>
        </w:rPr>
        <w:t xml:space="preserve">carried out during the quarter </w:t>
      </w:r>
      <w:r w:rsidRPr="004E7A10">
        <w:rPr>
          <w:rFonts w:ascii="Garamond" w:hAnsi="Garamond" w:cs="Times New Roman"/>
          <w:i/>
          <w:iCs/>
          <w:sz w:val="21"/>
          <w:szCs w:val="21"/>
        </w:rPr>
        <w:t xml:space="preserve">reached EUR </w:t>
      </w:r>
      <w:r w:rsidR="00D964BF">
        <w:rPr>
          <w:rFonts w:ascii="Garamond" w:hAnsi="Garamond" w:cs="Times New Roman"/>
          <w:i/>
          <w:iCs/>
          <w:sz w:val="21"/>
          <w:szCs w:val="21"/>
        </w:rPr>
        <w:t>199</w:t>
      </w:r>
      <w:r w:rsidRPr="004E7A10">
        <w:rPr>
          <w:rFonts w:ascii="Garamond" w:hAnsi="Garamond" w:cs="Times New Roman"/>
          <w:i/>
          <w:iCs/>
          <w:sz w:val="21"/>
          <w:szCs w:val="21"/>
        </w:rPr>
        <w:t>.</w:t>
      </w:r>
      <w:r w:rsidR="00D964BF">
        <w:rPr>
          <w:rFonts w:ascii="Garamond" w:hAnsi="Garamond" w:cs="Times New Roman"/>
          <w:i/>
          <w:iCs/>
          <w:sz w:val="21"/>
          <w:szCs w:val="21"/>
        </w:rPr>
        <w:t>42</w:t>
      </w:r>
      <w:r w:rsidRPr="004E7A10">
        <w:rPr>
          <w:rFonts w:ascii="Garamond" w:hAnsi="Garamond" w:cs="Times New Roman"/>
          <w:i/>
          <w:iCs/>
          <w:sz w:val="21"/>
          <w:szCs w:val="21"/>
        </w:rPr>
        <w:t xml:space="preserve"> million against EUR </w:t>
      </w:r>
      <w:r w:rsidR="000B0AEC">
        <w:rPr>
          <w:rFonts w:ascii="Garamond" w:hAnsi="Garamond" w:cs="Times New Roman"/>
          <w:i/>
          <w:iCs/>
          <w:sz w:val="21"/>
          <w:szCs w:val="21"/>
        </w:rPr>
        <w:t>192</w:t>
      </w:r>
      <w:r w:rsidRPr="004E7A10">
        <w:rPr>
          <w:rFonts w:ascii="Garamond" w:hAnsi="Garamond" w:cs="Times New Roman"/>
          <w:i/>
          <w:iCs/>
          <w:sz w:val="21"/>
          <w:szCs w:val="21"/>
        </w:rPr>
        <w:t>.</w:t>
      </w:r>
      <w:r w:rsidR="000B0AEC">
        <w:rPr>
          <w:rFonts w:ascii="Garamond" w:hAnsi="Garamond" w:cs="Times New Roman"/>
          <w:i/>
          <w:iCs/>
          <w:sz w:val="21"/>
          <w:szCs w:val="21"/>
        </w:rPr>
        <w:t>7</w:t>
      </w:r>
      <w:r w:rsidRPr="004E7A10">
        <w:rPr>
          <w:rFonts w:ascii="Garamond" w:hAnsi="Garamond" w:cs="Times New Roman"/>
          <w:i/>
          <w:iCs/>
          <w:sz w:val="21"/>
          <w:szCs w:val="21"/>
        </w:rPr>
        <w:t xml:space="preserve"> million recorded in the </w:t>
      </w:r>
      <w:r w:rsidR="000B0AEC">
        <w:rPr>
          <w:rFonts w:ascii="Garamond" w:hAnsi="Garamond" w:cs="Times New Roman"/>
          <w:i/>
          <w:iCs/>
          <w:sz w:val="21"/>
          <w:szCs w:val="21"/>
        </w:rPr>
        <w:t>1st</w:t>
      </w:r>
      <w:r w:rsidRPr="004E7A10">
        <w:rPr>
          <w:rFonts w:ascii="Garamond" w:hAnsi="Garamond" w:cs="Times New Roman"/>
          <w:i/>
          <w:iCs/>
          <w:sz w:val="21"/>
          <w:szCs w:val="21"/>
        </w:rPr>
        <w:t xml:space="preserve"> quarter</w:t>
      </w:r>
      <w:r w:rsidR="000B0AEC">
        <w:rPr>
          <w:rFonts w:ascii="Garamond" w:hAnsi="Garamond" w:cs="Times New Roman"/>
          <w:i/>
          <w:iCs/>
          <w:sz w:val="21"/>
          <w:szCs w:val="21"/>
        </w:rPr>
        <w:t xml:space="preserve"> of 2014.</w:t>
      </w:r>
    </w:p>
    <w:p w14:paraId="345FC8B6" w14:textId="77777777" w:rsidR="00A9653E" w:rsidRPr="004E7A10" w:rsidRDefault="000B0AEC" w:rsidP="00A9653E">
      <w:pPr>
        <w:spacing w:line="360" w:lineRule="auto"/>
        <w:jc w:val="both"/>
        <w:rPr>
          <w:rFonts w:ascii="Garamond" w:hAnsi="Garamond" w:cs="Times New Roman"/>
          <w:i/>
          <w:iCs/>
          <w:sz w:val="21"/>
          <w:szCs w:val="21"/>
        </w:rPr>
      </w:pPr>
      <w:r w:rsidRPr="004E7A10">
        <w:rPr>
          <w:rFonts w:ascii="Garamond" w:hAnsi="Garamond" w:cs="Times New Roman"/>
          <w:i/>
          <w:iCs/>
          <w:sz w:val="21"/>
          <w:szCs w:val="21"/>
        </w:rPr>
        <w:t xml:space="preserve">The aggregate volume of </w:t>
      </w:r>
      <w:r>
        <w:rPr>
          <w:rFonts w:ascii="Garamond" w:hAnsi="Garamond" w:cs="Times New Roman"/>
          <w:i/>
          <w:iCs/>
          <w:sz w:val="21"/>
          <w:szCs w:val="21"/>
        </w:rPr>
        <w:t>Russian ruble</w:t>
      </w:r>
      <w:r w:rsidRPr="004E7A10">
        <w:rPr>
          <w:rFonts w:ascii="Garamond" w:hAnsi="Garamond" w:cs="Times New Roman"/>
          <w:i/>
          <w:iCs/>
          <w:sz w:val="21"/>
          <w:szCs w:val="21"/>
        </w:rPr>
        <w:t xml:space="preserve">/Armenian dram transactions </w:t>
      </w:r>
      <w:r>
        <w:rPr>
          <w:rFonts w:ascii="Garamond" w:hAnsi="Garamond" w:cs="Times New Roman"/>
          <w:i/>
          <w:iCs/>
          <w:sz w:val="21"/>
          <w:szCs w:val="21"/>
        </w:rPr>
        <w:t>in the 1st quarter of 2015 totaled</w:t>
      </w:r>
      <w:r w:rsidRPr="004E7A10">
        <w:rPr>
          <w:rFonts w:ascii="Garamond" w:hAnsi="Garamond" w:cs="Times New Roman"/>
          <w:i/>
          <w:iCs/>
          <w:sz w:val="21"/>
          <w:szCs w:val="21"/>
        </w:rPr>
        <w:t xml:space="preserve"> </w:t>
      </w:r>
      <w:r>
        <w:rPr>
          <w:rFonts w:ascii="Garamond" w:hAnsi="Garamond" w:cs="Times New Roman"/>
          <w:i/>
          <w:iCs/>
          <w:sz w:val="21"/>
          <w:szCs w:val="21"/>
        </w:rPr>
        <w:t>RUB</w:t>
      </w:r>
      <w:r w:rsidRPr="004E7A10">
        <w:rPr>
          <w:rFonts w:ascii="Garamond" w:hAnsi="Garamond" w:cs="Times New Roman"/>
          <w:i/>
          <w:iCs/>
          <w:sz w:val="21"/>
          <w:szCs w:val="21"/>
        </w:rPr>
        <w:t xml:space="preserve"> </w:t>
      </w:r>
      <w:r>
        <w:rPr>
          <w:rFonts w:ascii="Garamond" w:hAnsi="Garamond" w:cs="Times New Roman"/>
          <w:i/>
          <w:iCs/>
          <w:sz w:val="21"/>
          <w:szCs w:val="21"/>
        </w:rPr>
        <w:t>9</w:t>
      </w:r>
      <w:r w:rsidRPr="004E7A10">
        <w:rPr>
          <w:rFonts w:ascii="Garamond" w:hAnsi="Garamond" w:cs="Times New Roman"/>
          <w:i/>
          <w:iCs/>
          <w:sz w:val="21"/>
          <w:szCs w:val="21"/>
        </w:rPr>
        <w:t>.</w:t>
      </w:r>
      <w:r>
        <w:rPr>
          <w:rFonts w:ascii="Garamond" w:hAnsi="Garamond" w:cs="Times New Roman"/>
          <w:i/>
          <w:iCs/>
          <w:sz w:val="21"/>
          <w:szCs w:val="21"/>
        </w:rPr>
        <w:t>6</w:t>
      </w:r>
      <w:r w:rsidRPr="004E7A10">
        <w:rPr>
          <w:rFonts w:ascii="Garamond" w:hAnsi="Garamond" w:cs="Times New Roman"/>
          <w:i/>
          <w:iCs/>
          <w:sz w:val="21"/>
          <w:szCs w:val="21"/>
        </w:rPr>
        <w:t xml:space="preserve"> </w:t>
      </w:r>
      <w:r>
        <w:rPr>
          <w:rFonts w:ascii="Garamond" w:hAnsi="Garamond" w:cs="Times New Roman"/>
          <w:i/>
          <w:iCs/>
          <w:sz w:val="21"/>
          <w:szCs w:val="21"/>
        </w:rPr>
        <w:t>billion</w:t>
      </w:r>
      <w:r w:rsidR="00CF0A87">
        <w:rPr>
          <w:rFonts w:ascii="Garamond" w:hAnsi="Garamond" w:cs="Times New Roman"/>
          <w:i/>
          <w:iCs/>
          <w:sz w:val="21"/>
          <w:szCs w:val="21"/>
        </w:rPr>
        <w:t>, which represents a 5.5% growth y/y</w:t>
      </w:r>
      <w:r>
        <w:rPr>
          <w:rFonts w:ascii="Garamond" w:hAnsi="Garamond" w:cs="Times New Roman"/>
          <w:i/>
          <w:iCs/>
          <w:sz w:val="21"/>
          <w:szCs w:val="21"/>
        </w:rPr>
        <w:t xml:space="preserve"> </w:t>
      </w:r>
      <w:r w:rsidR="007D7251">
        <w:rPr>
          <w:rFonts w:ascii="Garamond" w:hAnsi="Garamond" w:cs="Times New Roman"/>
          <w:i/>
          <w:iCs/>
          <w:sz w:val="21"/>
          <w:szCs w:val="21"/>
        </w:rPr>
        <w:t>compared to</w:t>
      </w:r>
      <w:r w:rsidRPr="004E7A10">
        <w:rPr>
          <w:rFonts w:ascii="Garamond" w:hAnsi="Garamond" w:cs="Times New Roman"/>
          <w:i/>
          <w:iCs/>
          <w:sz w:val="21"/>
          <w:szCs w:val="21"/>
        </w:rPr>
        <w:t xml:space="preserve"> </w:t>
      </w:r>
      <w:r>
        <w:rPr>
          <w:rFonts w:ascii="Garamond" w:hAnsi="Garamond" w:cs="Times New Roman"/>
          <w:i/>
          <w:iCs/>
          <w:sz w:val="21"/>
          <w:szCs w:val="21"/>
        </w:rPr>
        <w:t>RUB</w:t>
      </w:r>
      <w:r w:rsidRPr="004E7A10">
        <w:rPr>
          <w:rFonts w:ascii="Garamond" w:hAnsi="Garamond" w:cs="Times New Roman"/>
          <w:i/>
          <w:iCs/>
          <w:sz w:val="21"/>
          <w:szCs w:val="21"/>
        </w:rPr>
        <w:t xml:space="preserve"> </w:t>
      </w:r>
      <w:r>
        <w:rPr>
          <w:rFonts w:ascii="Garamond" w:hAnsi="Garamond" w:cs="Times New Roman"/>
          <w:i/>
          <w:iCs/>
          <w:sz w:val="21"/>
          <w:szCs w:val="21"/>
        </w:rPr>
        <w:t>9</w:t>
      </w:r>
      <w:r w:rsidRPr="004E7A10">
        <w:rPr>
          <w:rFonts w:ascii="Garamond" w:hAnsi="Garamond" w:cs="Times New Roman"/>
          <w:i/>
          <w:iCs/>
          <w:sz w:val="21"/>
          <w:szCs w:val="21"/>
        </w:rPr>
        <w:t>.</w:t>
      </w:r>
      <w:r>
        <w:rPr>
          <w:rFonts w:ascii="Garamond" w:hAnsi="Garamond" w:cs="Times New Roman"/>
          <w:i/>
          <w:iCs/>
          <w:sz w:val="21"/>
          <w:szCs w:val="21"/>
        </w:rPr>
        <w:t>1</w:t>
      </w:r>
      <w:r w:rsidRPr="004E7A10">
        <w:rPr>
          <w:rFonts w:ascii="Garamond" w:hAnsi="Garamond" w:cs="Times New Roman"/>
          <w:i/>
          <w:iCs/>
          <w:sz w:val="21"/>
          <w:szCs w:val="21"/>
        </w:rPr>
        <w:t xml:space="preserve"> </w:t>
      </w:r>
      <w:r>
        <w:rPr>
          <w:rFonts w:ascii="Garamond" w:hAnsi="Garamond" w:cs="Times New Roman"/>
          <w:i/>
          <w:iCs/>
          <w:sz w:val="21"/>
          <w:szCs w:val="21"/>
        </w:rPr>
        <w:t>billion</w:t>
      </w:r>
      <w:r w:rsidRPr="004E7A10">
        <w:rPr>
          <w:rFonts w:ascii="Garamond" w:hAnsi="Garamond" w:cs="Times New Roman"/>
          <w:i/>
          <w:iCs/>
          <w:sz w:val="21"/>
          <w:szCs w:val="21"/>
        </w:rPr>
        <w:t xml:space="preserve"> recorded in the </w:t>
      </w:r>
      <w:r>
        <w:rPr>
          <w:rFonts w:ascii="Garamond" w:hAnsi="Garamond" w:cs="Times New Roman"/>
          <w:i/>
          <w:iCs/>
          <w:sz w:val="21"/>
          <w:szCs w:val="21"/>
        </w:rPr>
        <w:t>1st</w:t>
      </w:r>
      <w:r w:rsidRPr="004E7A10">
        <w:rPr>
          <w:rFonts w:ascii="Garamond" w:hAnsi="Garamond" w:cs="Times New Roman"/>
          <w:i/>
          <w:iCs/>
          <w:sz w:val="21"/>
          <w:szCs w:val="21"/>
        </w:rPr>
        <w:t xml:space="preserve"> quarter</w:t>
      </w:r>
      <w:r>
        <w:rPr>
          <w:rFonts w:ascii="Garamond" w:hAnsi="Garamond" w:cs="Times New Roman"/>
          <w:i/>
          <w:iCs/>
          <w:sz w:val="21"/>
          <w:szCs w:val="21"/>
        </w:rPr>
        <w:t xml:space="preserve"> of 2014</w:t>
      </w:r>
      <w:r w:rsidR="00A9653E" w:rsidRPr="004E7A10">
        <w:rPr>
          <w:rFonts w:ascii="Garamond" w:hAnsi="Garamond" w:cs="Times New Roman"/>
          <w:i/>
          <w:iCs/>
          <w:sz w:val="21"/>
          <w:szCs w:val="21"/>
        </w:rPr>
        <w:t xml:space="preserve">. </w:t>
      </w:r>
    </w:p>
    <w:p w14:paraId="59A3AFD4"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3.4 Balance of payments</w:t>
      </w:r>
      <w:r w:rsidR="001434E8">
        <w:rPr>
          <w:rStyle w:val="FootnoteReference"/>
          <w:rFonts w:ascii="Garamond" w:hAnsi="Garamond" w:cs="Times New Roman"/>
          <w:b/>
          <w:sz w:val="21"/>
          <w:szCs w:val="21"/>
        </w:rPr>
        <w:footnoteReference w:customMarkFollows="1" w:id="19"/>
        <w:t>19</w:t>
      </w:r>
    </w:p>
    <w:p w14:paraId="779D3D51" w14:textId="77777777" w:rsidR="001910E5" w:rsidRPr="00C013D9" w:rsidRDefault="001910E5" w:rsidP="001910E5">
      <w:pPr>
        <w:spacing w:line="360" w:lineRule="auto"/>
        <w:jc w:val="both"/>
        <w:rPr>
          <w:rFonts w:ascii="Garamond" w:hAnsi="Garamond" w:cs="Times New Roman"/>
          <w:i/>
          <w:sz w:val="21"/>
          <w:szCs w:val="21"/>
        </w:rPr>
      </w:pPr>
      <w:r w:rsidRPr="00C013D9">
        <w:rPr>
          <w:rFonts w:ascii="Garamond" w:hAnsi="Garamond" w:cs="Times New Roman"/>
          <w:i/>
          <w:sz w:val="21"/>
          <w:szCs w:val="21"/>
        </w:rPr>
        <w:t xml:space="preserve">The information on developments in foreign trade during the 1st quarter of 2015 is not complete due to </w:t>
      </w:r>
      <w:r w:rsidR="00A225D1" w:rsidRPr="00C013D9">
        <w:rPr>
          <w:rFonts w:ascii="Garamond" w:hAnsi="Garamond" w:cs="Times New Roman"/>
          <w:i/>
          <w:sz w:val="21"/>
          <w:szCs w:val="21"/>
        </w:rPr>
        <w:t xml:space="preserve">shortage in </w:t>
      </w:r>
      <w:r w:rsidRPr="00C013D9">
        <w:rPr>
          <w:rFonts w:ascii="Garamond" w:hAnsi="Garamond" w:cs="Times New Roman"/>
          <w:i/>
          <w:sz w:val="21"/>
          <w:szCs w:val="21"/>
        </w:rPr>
        <w:t>compil</w:t>
      </w:r>
      <w:r w:rsidR="00A225D1" w:rsidRPr="00C013D9">
        <w:rPr>
          <w:rFonts w:ascii="Garamond" w:hAnsi="Garamond" w:cs="Times New Roman"/>
          <w:i/>
          <w:sz w:val="21"/>
          <w:szCs w:val="21"/>
        </w:rPr>
        <w:t xml:space="preserve">ing </w:t>
      </w:r>
      <w:r w:rsidR="00B13F79" w:rsidRPr="00C013D9">
        <w:rPr>
          <w:rFonts w:ascii="Garamond" w:hAnsi="Garamond" w:cs="Times New Roman"/>
          <w:i/>
          <w:sz w:val="21"/>
          <w:szCs w:val="21"/>
        </w:rPr>
        <w:t xml:space="preserve">of </w:t>
      </w:r>
      <w:r w:rsidRPr="00C013D9">
        <w:rPr>
          <w:rFonts w:ascii="Garamond" w:hAnsi="Garamond" w:cs="Times New Roman"/>
          <w:i/>
          <w:sz w:val="21"/>
          <w:szCs w:val="21"/>
        </w:rPr>
        <w:t>trade indic</w:t>
      </w:r>
      <w:r w:rsidR="00A225D1" w:rsidRPr="00C013D9">
        <w:rPr>
          <w:rFonts w:ascii="Garamond" w:hAnsi="Garamond" w:cs="Times New Roman"/>
          <w:i/>
          <w:sz w:val="21"/>
          <w:szCs w:val="21"/>
        </w:rPr>
        <w:t>ators</w:t>
      </w:r>
      <w:r w:rsidR="00B13F79" w:rsidRPr="00C013D9">
        <w:rPr>
          <w:rFonts w:ascii="Garamond" w:hAnsi="Garamond" w:cs="Times New Roman"/>
          <w:i/>
          <w:sz w:val="21"/>
          <w:szCs w:val="21"/>
        </w:rPr>
        <w:t>, and</w:t>
      </w:r>
      <w:r w:rsidRPr="00C013D9">
        <w:rPr>
          <w:rFonts w:ascii="Garamond" w:hAnsi="Garamond" w:cs="Times New Roman"/>
          <w:i/>
          <w:sz w:val="21"/>
          <w:szCs w:val="21"/>
        </w:rPr>
        <w:t xml:space="preserve"> </w:t>
      </w:r>
      <w:r w:rsidR="00B13F79" w:rsidRPr="00C013D9">
        <w:rPr>
          <w:rFonts w:ascii="Garamond" w:hAnsi="Garamond" w:cs="Times New Roman"/>
          <w:i/>
          <w:sz w:val="21"/>
          <w:szCs w:val="21"/>
        </w:rPr>
        <w:t xml:space="preserve">export and import figures by </w:t>
      </w:r>
      <w:r w:rsidRPr="00C013D9">
        <w:rPr>
          <w:rFonts w:ascii="Garamond" w:hAnsi="Garamond" w:cs="Times New Roman"/>
          <w:i/>
          <w:sz w:val="21"/>
          <w:szCs w:val="21"/>
        </w:rPr>
        <w:t xml:space="preserve">commodity </w:t>
      </w:r>
      <w:r w:rsidR="00B13F79" w:rsidRPr="00C013D9">
        <w:rPr>
          <w:rFonts w:ascii="Garamond" w:hAnsi="Garamond" w:cs="Times New Roman"/>
          <w:i/>
          <w:sz w:val="21"/>
          <w:szCs w:val="21"/>
        </w:rPr>
        <w:t xml:space="preserve">group </w:t>
      </w:r>
      <w:r w:rsidRPr="00C013D9">
        <w:rPr>
          <w:rFonts w:ascii="Garamond" w:hAnsi="Garamond" w:cs="Times New Roman"/>
          <w:i/>
          <w:sz w:val="21"/>
          <w:szCs w:val="21"/>
        </w:rPr>
        <w:t xml:space="preserve">are </w:t>
      </w:r>
      <w:r w:rsidR="00B13F79" w:rsidRPr="00C013D9">
        <w:rPr>
          <w:rFonts w:ascii="Garamond" w:hAnsi="Garamond" w:cs="Times New Roman"/>
          <w:i/>
          <w:sz w:val="21"/>
          <w:szCs w:val="21"/>
        </w:rPr>
        <w:t xml:space="preserve">not </w:t>
      </w:r>
      <w:r w:rsidRPr="00C013D9">
        <w:rPr>
          <w:rFonts w:ascii="Garamond" w:hAnsi="Garamond" w:cs="Times New Roman"/>
          <w:i/>
          <w:sz w:val="21"/>
          <w:szCs w:val="21"/>
        </w:rPr>
        <w:t>presented in the report</w:t>
      </w:r>
      <w:r w:rsidR="00B13F79" w:rsidRPr="00C013D9">
        <w:rPr>
          <w:rFonts w:ascii="Garamond" w:hAnsi="Garamond" w:cs="Times New Roman"/>
          <w:i/>
          <w:sz w:val="21"/>
          <w:szCs w:val="21"/>
        </w:rPr>
        <w:t>, as a result</w:t>
      </w:r>
      <w:r w:rsidRPr="00C013D9">
        <w:rPr>
          <w:rFonts w:ascii="Garamond" w:hAnsi="Garamond" w:cs="Times New Roman"/>
          <w:i/>
          <w:sz w:val="21"/>
          <w:szCs w:val="21"/>
        </w:rPr>
        <w:t xml:space="preserve">. The export and import </w:t>
      </w:r>
      <w:r w:rsidR="00AB69EC">
        <w:rPr>
          <w:rFonts w:ascii="Garamond" w:hAnsi="Garamond" w:cs="Times New Roman"/>
          <w:i/>
          <w:sz w:val="21"/>
          <w:szCs w:val="21"/>
        </w:rPr>
        <w:t xml:space="preserve">overall </w:t>
      </w:r>
      <w:r w:rsidRPr="00C013D9">
        <w:rPr>
          <w:rFonts w:ascii="Garamond" w:hAnsi="Garamond" w:cs="Times New Roman"/>
          <w:i/>
          <w:sz w:val="21"/>
          <w:szCs w:val="21"/>
        </w:rPr>
        <w:t xml:space="preserve">figures </w:t>
      </w:r>
      <w:r w:rsidR="00B13F79" w:rsidRPr="00C013D9">
        <w:rPr>
          <w:rFonts w:ascii="Garamond" w:hAnsi="Garamond" w:cs="Times New Roman"/>
          <w:i/>
          <w:sz w:val="21"/>
          <w:szCs w:val="21"/>
        </w:rPr>
        <w:t xml:space="preserve">are the forecasts set out in </w:t>
      </w:r>
      <w:r w:rsidRPr="00C013D9">
        <w:rPr>
          <w:rFonts w:ascii="Garamond" w:hAnsi="Garamond" w:cs="Times New Roman"/>
          <w:i/>
          <w:sz w:val="21"/>
          <w:szCs w:val="21"/>
        </w:rPr>
        <w:t>the previous quarter</w:t>
      </w:r>
      <w:r w:rsidR="00B13F79" w:rsidRPr="00C013D9">
        <w:rPr>
          <w:rFonts w:ascii="Garamond" w:hAnsi="Garamond" w:cs="Times New Roman"/>
          <w:i/>
          <w:sz w:val="21"/>
          <w:szCs w:val="21"/>
        </w:rPr>
        <w:t>’s program</w:t>
      </w:r>
      <w:r w:rsidRPr="00C013D9">
        <w:rPr>
          <w:rFonts w:ascii="Garamond" w:hAnsi="Garamond" w:cs="Times New Roman"/>
          <w:i/>
          <w:sz w:val="21"/>
          <w:szCs w:val="21"/>
        </w:rPr>
        <w:t xml:space="preserve">, adjusted to actual developments in </w:t>
      </w:r>
      <w:r w:rsidR="009B74A2" w:rsidRPr="00C013D9">
        <w:rPr>
          <w:rFonts w:ascii="Garamond" w:hAnsi="Garamond" w:cs="Times New Roman"/>
          <w:i/>
          <w:sz w:val="21"/>
          <w:szCs w:val="21"/>
        </w:rPr>
        <w:t>dollar prices of export and import.</w:t>
      </w:r>
    </w:p>
    <w:p w14:paraId="66463C71" w14:textId="77777777" w:rsidR="001910E5" w:rsidRPr="001910E5" w:rsidRDefault="00C013D9" w:rsidP="001910E5">
      <w:pPr>
        <w:spacing w:line="360" w:lineRule="auto"/>
        <w:jc w:val="both"/>
        <w:rPr>
          <w:rFonts w:ascii="Sylfaen" w:hAnsi="Sylfaen" w:cs="Times New Roman"/>
          <w:sz w:val="21"/>
          <w:szCs w:val="21"/>
          <w:lang w:val="hy-AM"/>
        </w:rPr>
      </w:pPr>
      <w:r w:rsidRPr="00092C45">
        <w:rPr>
          <w:rFonts w:ascii="Garamond" w:hAnsi="Garamond" w:cs="Times New Roman"/>
          <w:i/>
          <w:sz w:val="21"/>
          <w:szCs w:val="21"/>
        </w:rPr>
        <w:t xml:space="preserve">In the 1st quarter of </w:t>
      </w:r>
      <w:r w:rsidR="001910E5" w:rsidRPr="00092C45">
        <w:rPr>
          <w:rFonts w:ascii="Garamond" w:hAnsi="Garamond" w:cs="Times New Roman"/>
          <w:i/>
          <w:sz w:val="21"/>
          <w:szCs w:val="21"/>
        </w:rPr>
        <w:t>2015</w:t>
      </w:r>
      <w:r w:rsidRPr="00092C45">
        <w:rPr>
          <w:rFonts w:ascii="Garamond" w:hAnsi="Garamond" w:cs="Times New Roman"/>
          <w:i/>
          <w:sz w:val="21"/>
          <w:szCs w:val="21"/>
        </w:rPr>
        <w:t>,</w:t>
      </w:r>
      <w:r w:rsidR="001910E5" w:rsidRPr="00092C45">
        <w:rPr>
          <w:rFonts w:ascii="Garamond" w:hAnsi="Garamond" w:cs="Times New Roman"/>
          <w:i/>
          <w:sz w:val="21"/>
          <w:szCs w:val="21"/>
        </w:rPr>
        <w:t xml:space="preserve"> </w:t>
      </w:r>
      <w:r w:rsidRPr="00092C45">
        <w:rPr>
          <w:rFonts w:ascii="Garamond" w:hAnsi="Garamond" w:cs="Times New Roman"/>
          <w:i/>
          <w:sz w:val="21"/>
          <w:szCs w:val="21"/>
        </w:rPr>
        <w:t>the declining rates in remittances of individuals remained high</w:t>
      </w:r>
      <w:r w:rsidR="00230D6D" w:rsidRPr="00092C45">
        <w:rPr>
          <w:rFonts w:ascii="Garamond" w:hAnsi="Garamond" w:cs="Times New Roman"/>
          <w:i/>
          <w:sz w:val="21"/>
          <w:szCs w:val="21"/>
        </w:rPr>
        <w:t>, since the Russian ruble further felt the effect of steep exchange rate depreciation against the U.S. dollar, compared to the same reference period last year, in the course of adverse developments in the R</w:t>
      </w:r>
      <w:r w:rsidR="001910E5" w:rsidRPr="00092C45">
        <w:rPr>
          <w:rFonts w:ascii="Garamond" w:hAnsi="Garamond" w:cs="Times New Roman"/>
          <w:i/>
          <w:sz w:val="21"/>
          <w:szCs w:val="21"/>
        </w:rPr>
        <w:t>ussian economy</w:t>
      </w:r>
      <w:r w:rsidR="00230D6D" w:rsidRPr="00092C45">
        <w:rPr>
          <w:rFonts w:ascii="Garamond" w:hAnsi="Garamond" w:cs="Times New Roman"/>
          <w:i/>
          <w:sz w:val="21"/>
          <w:szCs w:val="21"/>
        </w:rPr>
        <w:t>.</w:t>
      </w:r>
      <w:r w:rsidR="001910E5" w:rsidRPr="00092C45">
        <w:rPr>
          <w:rFonts w:ascii="Garamond" w:hAnsi="Garamond" w:cs="Times New Roman"/>
          <w:i/>
          <w:sz w:val="21"/>
          <w:szCs w:val="21"/>
        </w:rPr>
        <w:t xml:space="preserve"> </w:t>
      </w:r>
      <w:r w:rsidR="00230D6D" w:rsidRPr="00092C45">
        <w:rPr>
          <w:rFonts w:ascii="Garamond" w:hAnsi="Garamond" w:cs="Times New Roman"/>
          <w:i/>
          <w:sz w:val="21"/>
          <w:szCs w:val="21"/>
        </w:rPr>
        <w:t xml:space="preserve">The current account deficit reduction </w:t>
      </w:r>
      <w:r w:rsidR="00092C45" w:rsidRPr="00092C45">
        <w:rPr>
          <w:rFonts w:ascii="Garamond" w:hAnsi="Garamond" w:cs="Times New Roman"/>
          <w:i/>
          <w:sz w:val="21"/>
          <w:szCs w:val="21"/>
        </w:rPr>
        <w:t xml:space="preserve">on the back of the aforementioned developments and forecasts </w:t>
      </w:r>
      <w:r w:rsidR="00230D6D" w:rsidRPr="00092C45">
        <w:rPr>
          <w:rFonts w:ascii="Garamond" w:hAnsi="Garamond" w:cs="Times New Roman"/>
          <w:i/>
          <w:sz w:val="21"/>
          <w:szCs w:val="21"/>
        </w:rPr>
        <w:t xml:space="preserve">was mainly </w:t>
      </w:r>
      <w:r w:rsidR="00092C45" w:rsidRPr="00092C45">
        <w:rPr>
          <w:rFonts w:ascii="Garamond" w:hAnsi="Garamond" w:cs="Times New Roman"/>
          <w:i/>
          <w:sz w:val="21"/>
          <w:szCs w:val="21"/>
        </w:rPr>
        <w:t xml:space="preserve">attributable to </w:t>
      </w:r>
      <w:r w:rsidR="00230D6D" w:rsidRPr="00092C45">
        <w:rPr>
          <w:rFonts w:ascii="Garamond" w:hAnsi="Garamond" w:cs="Times New Roman"/>
          <w:i/>
          <w:sz w:val="21"/>
          <w:szCs w:val="21"/>
        </w:rPr>
        <w:t xml:space="preserve">the </w:t>
      </w:r>
      <w:r w:rsidR="00092C45" w:rsidRPr="00092C45">
        <w:rPr>
          <w:rFonts w:ascii="Garamond" w:hAnsi="Garamond" w:cs="Times New Roman"/>
          <w:i/>
          <w:sz w:val="21"/>
          <w:szCs w:val="21"/>
        </w:rPr>
        <w:t xml:space="preserve">narrowed </w:t>
      </w:r>
      <w:r w:rsidR="00230D6D" w:rsidRPr="00092C45">
        <w:rPr>
          <w:rFonts w:ascii="Garamond" w:hAnsi="Garamond" w:cs="Times New Roman"/>
          <w:i/>
          <w:sz w:val="21"/>
          <w:szCs w:val="21"/>
        </w:rPr>
        <w:t>trade balance deficit</w:t>
      </w:r>
      <w:r w:rsidR="00092C45" w:rsidRPr="00092C45">
        <w:rPr>
          <w:rFonts w:ascii="Garamond" w:hAnsi="Garamond" w:cs="Times New Roman"/>
          <w:i/>
          <w:sz w:val="21"/>
          <w:szCs w:val="21"/>
        </w:rPr>
        <w:t>.</w:t>
      </w:r>
      <w:r w:rsidR="00230D6D" w:rsidRPr="00092C45">
        <w:rPr>
          <w:rFonts w:ascii="Garamond" w:hAnsi="Garamond" w:cs="Times New Roman"/>
          <w:i/>
          <w:sz w:val="21"/>
          <w:szCs w:val="21"/>
        </w:rPr>
        <w:t xml:space="preserve"> </w:t>
      </w:r>
      <w:r w:rsidR="001910E5" w:rsidRPr="00092C45">
        <w:rPr>
          <w:rFonts w:ascii="Garamond" w:hAnsi="Garamond" w:cs="Times New Roman"/>
          <w:i/>
          <w:sz w:val="21"/>
          <w:szCs w:val="21"/>
        </w:rPr>
        <w:t xml:space="preserve">The </w:t>
      </w:r>
      <w:r w:rsidR="00092C45" w:rsidRPr="00092C45">
        <w:rPr>
          <w:rFonts w:ascii="Garamond" w:hAnsi="Garamond" w:cs="Times New Roman"/>
          <w:i/>
          <w:sz w:val="21"/>
          <w:szCs w:val="21"/>
        </w:rPr>
        <w:t>1st</w:t>
      </w:r>
      <w:r w:rsidR="001910E5" w:rsidRPr="00092C45">
        <w:rPr>
          <w:rFonts w:ascii="Garamond" w:hAnsi="Garamond" w:cs="Times New Roman"/>
          <w:i/>
          <w:sz w:val="21"/>
          <w:szCs w:val="21"/>
        </w:rPr>
        <w:t xml:space="preserve"> </w:t>
      </w:r>
      <w:r w:rsidR="00092C45" w:rsidRPr="00092C45">
        <w:rPr>
          <w:rFonts w:ascii="Garamond" w:hAnsi="Garamond" w:cs="Times New Roman"/>
          <w:i/>
          <w:sz w:val="21"/>
          <w:szCs w:val="21"/>
        </w:rPr>
        <w:t xml:space="preserve">quarter also saw </w:t>
      </w:r>
      <w:r w:rsidR="001910E5" w:rsidRPr="00092C45">
        <w:rPr>
          <w:rFonts w:ascii="Garamond" w:hAnsi="Garamond" w:cs="Times New Roman"/>
          <w:i/>
          <w:sz w:val="21"/>
          <w:szCs w:val="21"/>
        </w:rPr>
        <w:t xml:space="preserve">the placement of Eurobonds by the </w:t>
      </w:r>
      <w:r w:rsidR="00092C45" w:rsidRPr="00092C45">
        <w:rPr>
          <w:rFonts w:ascii="Garamond" w:hAnsi="Garamond" w:cs="Times New Roman"/>
          <w:i/>
          <w:sz w:val="21"/>
          <w:szCs w:val="21"/>
        </w:rPr>
        <w:t>Armenian G</w:t>
      </w:r>
      <w:r w:rsidR="001910E5" w:rsidRPr="00092C45">
        <w:rPr>
          <w:rFonts w:ascii="Garamond" w:hAnsi="Garamond" w:cs="Times New Roman"/>
          <w:i/>
          <w:sz w:val="21"/>
          <w:szCs w:val="21"/>
        </w:rPr>
        <w:t xml:space="preserve">overnment, resulting in </w:t>
      </w:r>
      <w:r w:rsidR="00092C45" w:rsidRPr="00092C45">
        <w:rPr>
          <w:rFonts w:ascii="Garamond" w:hAnsi="Garamond" w:cs="Times New Roman"/>
          <w:i/>
          <w:sz w:val="21"/>
          <w:szCs w:val="21"/>
        </w:rPr>
        <w:t xml:space="preserve">a </w:t>
      </w:r>
      <w:r w:rsidR="001910E5" w:rsidRPr="00092C45">
        <w:rPr>
          <w:rFonts w:ascii="Garamond" w:hAnsi="Garamond" w:cs="Times New Roman"/>
          <w:i/>
          <w:sz w:val="21"/>
          <w:szCs w:val="21"/>
        </w:rPr>
        <w:t xml:space="preserve">large </w:t>
      </w:r>
      <w:r w:rsidR="00092C45" w:rsidRPr="00092C45">
        <w:rPr>
          <w:rFonts w:ascii="Garamond" w:hAnsi="Garamond" w:cs="Times New Roman"/>
          <w:i/>
          <w:sz w:val="21"/>
          <w:szCs w:val="21"/>
        </w:rPr>
        <w:t>net inflow of funds through the C</w:t>
      </w:r>
      <w:r w:rsidR="001910E5" w:rsidRPr="00092C45">
        <w:rPr>
          <w:rFonts w:ascii="Garamond" w:hAnsi="Garamond" w:cs="Times New Roman"/>
          <w:i/>
          <w:sz w:val="21"/>
          <w:szCs w:val="21"/>
        </w:rPr>
        <w:t xml:space="preserve">apital and </w:t>
      </w:r>
      <w:r w:rsidR="00092C45" w:rsidRPr="00092C45">
        <w:rPr>
          <w:rFonts w:ascii="Garamond" w:hAnsi="Garamond" w:cs="Times New Roman"/>
          <w:i/>
          <w:sz w:val="21"/>
          <w:szCs w:val="21"/>
        </w:rPr>
        <w:t>F</w:t>
      </w:r>
      <w:r w:rsidR="001910E5" w:rsidRPr="00092C45">
        <w:rPr>
          <w:rFonts w:ascii="Garamond" w:hAnsi="Garamond" w:cs="Times New Roman"/>
          <w:i/>
          <w:sz w:val="21"/>
          <w:szCs w:val="21"/>
        </w:rPr>
        <w:t xml:space="preserve">inancial </w:t>
      </w:r>
      <w:r w:rsidR="00092C45" w:rsidRPr="00092C45">
        <w:rPr>
          <w:rFonts w:ascii="Garamond" w:hAnsi="Garamond" w:cs="Times New Roman"/>
          <w:i/>
          <w:sz w:val="21"/>
          <w:szCs w:val="21"/>
        </w:rPr>
        <w:t>A</w:t>
      </w:r>
      <w:r w:rsidR="001910E5" w:rsidRPr="00092C45">
        <w:rPr>
          <w:rFonts w:ascii="Garamond" w:hAnsi="Garamond" w:cs="Times New Roman"/>
          <w:i/>
          <w:sz w:val="21"/>
          <w:szCs w:val="21"/>
        </w:rPr>
        <w:t>ccount</w:t>
      </w:r>
      <w:r w:rsidR="00092C45" w:rsidRPr="00092C45">
        <w:rPr>
          <w:rFonts w:ascii="Garamond" w:hAnsi="Garamond" w:cs="Times New Roman"/>
          <w:i/>
          <w:sz w:val="21"/>
          <w:szCs w:val="21"/>
        </w:rPr>
        <w:t>. Net foreign assets of the Central Bank have grown as a result of the balance of payment developments</w:t>
      </w:r>
      <w:r w:rsidR="00092C45">
        <w:rPr>
          <w:rFonts w:ascii="Garamond" w:hAnsi="Garamond" w:cs="Times New Roman"/>
          <w:sz w:val="21"/>
          <w:szCs w:val="21"/>
        </w:rPr>
        <w:t>.</w:t>
      </w:r>
    </w:p>
    <w:p w14:paraId="2F89AA2C"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3.4.1. Current account</w:t>
      </w:r>
    </w:p>
    <w:p w14:paraId="4F521BC5" w14:textId="7511BDB9" w:rsidR="00756CCE" w:rsidRDefault="00400A35" w:rsidP="00A9653E">
      <w:pPr>
        <w:spacing w:line="360" w:lineRule="auto"/>
        <w:jc w:val="both"/>
        <w:rPr>
          <w:rFonts w:ascii="Garamond" w:hAnsi="Garamond" w:cs="Times New Roman"/>
          <w:bCs/>
          <w:iCs/>
          <w:sz w:val="21"/>
          <w:szCs w:val="21"/>
        </w:rPr>
      </w:pPr>
      <w:r w:rsidRPr="004E7A10">
        <w:rPr>
          <w:rFonts w:ascii="Garamond" w:hAnsi="Garamond" w:cs="Times New Roman"/>
          <w:bCs/>
          <w:iCs/>
          <w:sz w:val="21"/>
          <w:szCs w:val="21"/>
        </w:rPr>
        <w:lastRenderedPageBreak/>
        <w:t xml:space="preserve">In the </w:t>
      </w:r>
      <w:r w:rsidR="00092C45">
        <w:rPr>
          <w:rFonts w:ascii="Garamond" w:hAnsi="Garamond" w:cs="Times New Roman"/>
          <w:bCs/>
          <w:iCs/>
          <w:sz w:val="21"/>
          <w:szCs w:val="21"/>
        </w:rPr>
        <w:t>1st</w:t>
      </w:r>
      <w:r w:rsidRPr="004E7A10">
        <w:rPr>
          <w:rFonts w:ascii="Garamond" w:hAnsi="Garamond" w:cs="Times New Roman"/>
          <w:bCs/>
          <w:iCs/>
          <w:sz w:val="21"/>
          <w:szCs w:val="21"/>
        </w:rPr>
        <w:t xml:space="preserve"> quarter of 201</w:t>
      </w:r>
      <w:r w:rsidR="00092C45">
        <w:rPr>
          <w:rFonts w:ascii="Garamond" w:hAnsi="Garamond" w:cs="Times New Roman"/>
          <w:bCs/>
          <w:iCs/>
          <w:sz w:val="21"/>
          <w:szCs w:val="21"/>
        </w:rPr>
        <w:t>5</w:t>
      </w:r>
      <w:r w:rsidRPr="004E7A10">
        <w:rPr>
          <w:rFonts w:ascii="Garamond" w:hAnsi="Garamond" w:cs="Times New Roman"/>
          <w:bCs/>
          <w:iCs/>
          <w:sz w:val="21"/>
          <w:szCs w:val="21"/>
        </w:rPr>
        <w:t xml:space="preserve">, relative to the same </w:t>
      </w:r>
      <w:r w:rsidR="00756CCE">
        <w:rPr>
          <w:rFonts w:ascii="Garamond" w:hAnsi="Garamond" w:cs="Times New Roman"/>
          <w:bCs/>
          <w:iCs/>
          <w:sz w:val="21"/>
          <w:szCs w:val="21"/>
        </w:rPr>
        <w:t xml:space="preserve">reference period </w:t>
      </w:r>
      <w:r w:rsidRPr="004E7A10">
        <w:rPr>
          <w:rFonts w:ascii="Garamond" w:hAnsi="Garamond" w:cs="Times New Roman"/>
          <w:bCs/>
          <w:iCs/>
          <w:sz w:val="21"/>
          <w:szCs w:val="21"/>
        </w:rPr>
        <w:t xml:space="preserve">last year, </w:t>
      </w:r>
      <w:r w:rsidR="00F56EF2" w:rsidRPr="004E7A10">
        <w:rPr>
          <w:rFonts w:ascii="Garamond" w:hAnsi="Garamond" w:cs="Times New Roman"/>
          <w:bCs/>
          <w:iCs/>
          <w:sz w:val="21"/>
          <w:szCs w:val="21"/>
        </w:rPr>
        <w:t xml:space="preserve">the </w:t>
      </w:r>
      <w:r w:rsidR="00756CCE">
        <w:rPr>
          <w:rFonts w:ascii="Garamond" w:hAnsi="Garamond" w:cs="Times New Roman"/>
          <w:bCs/>
          <w:iCs/>
          <w:sz w:val="21"/>
          <w:szCs w:val="21"/>
        </w:rPr>
        <w:t>c</w:t>
      </w:r>
      <w:r w:rsidR="00F56EF2" w:rsidRPr="004E7A10">
        <w:rPr>
          <w:rFonts w:ascii="Garamond" w:hAnsi="Garamond" w:cs="Times New Roman"/>
          <w:bCs/>
          <w:iCs/>
          <w:sz w:val="21"/>
          <w:szCs w:val="21"/>
        </w:rPr>
        <w:t xml:space="preserve">urrent </w:t>
      </w:r>
      <w:r w:rsidR="00756CCE">
        <w:rPr>
          <w:rFonts w:ascii="Garamond" w:hAnsi="Garamond" w:cs="Times New Roman"/>
          <w:bCs/>
          <w:iCs/>
          <w:sz w:val="21"/>
          <w:szCs w:val="21"/>
        </w:rPr>
        <w:t>a</w:t>
      </w:r>
      <w:r w:rsidR="00F56EF2" w:rsidRPr="004E7A10">
        <w:rPr>
          <w:rFonts w:ascii="Garamond" w:hAnsi="Garamond" w:cs="Times New Roman"/>
          <w:bCs/>
          <w:iCs/>
          <w:sz w:val="21"/>
          <w:szCs w:val="21"/>
        </w:rPr>
        <w:t xml:space="preserve">ccount </w:t>
      </w:r>
      <w:r w:rsidR="00756CCE">
        <w:rPr>
          <w:rFonts w:ascii="Garamond" w:hAnsi="Garamond" w:cs="Times New Roman"/>
          <w:bCs/>
          <w:iCs/>
          <w:sz w:val="21"/>
          <w:szCs w:val="21"/>
        </w:rPr>
        <w:t>d</w:t>
      </w:r>
      <w:r w:rsidR="00F56EF2" w:rsidRPr="004E7A10">
        <w:rPr>
          <w:rFonts w:ascii="Garamond" w:hAnsi="Garamond" w:cs="Times New Roman"/>
          <w:bCs/>
          <w:iCs/>
          <w:sz w:val="21"/>
          <w:szCs w:val="21"/>
        </w:rPr>
        <w:t>eficit</w:t>
      </w:r>
      <w:r w:rsidR="00756CCE">
        <w:rPr>
          <w:rFonts w:ascii="Garamond" w:hAnsi="Garamond" w:cs="Times New Roman"/>
          <w:bCs/>
          <w:iCs/>
          <w:sz w:val="21"/>
          <w:szCs w:val="21"/>
        </w:rPr>
        <w:t xml:space="preserve"> has reduced by USD 175.5 million to USD 271.5 million, which was determined by a large one-off </w:t>
      </w:r>
      <w:r w:rsidR="00756CCE" w:rsidRPr="00756CCE">
        <w:rPr>
          <w:rFonts w:ascii="Garamond" w:hAnsi="Garamond" w:cs="Times New Roman"/>
          <w:bCs/>
          <w:iCs/>
          <w:sz w:val="21"/>
          <w:szCs w:val="21"/>
        </w:rPr>
        <w:t xml:space="preserve">transaction </w:t>
      </w:r>
      <w:r w:rsidR="00756CCE">
        <w:rPr>
          <w:rFonts w:ascii="Garamond" w:hAnsi="Garamond" w:cs="Times New Roman"/>
          <w:bCs/>
          <w:iCs/>
          <w:sz w:val="21"/>
          <w:szCs w:val="21"/>
        </w:rPr>
        <w:t>in the item “</w:t>
      </w:r>
      <w:r w:rsidR="006F699D">
        <w:rPr>
          <w:rFonts w:ascii="Garamond" w:hAnsi="Garamond" w:cs="Times New Roman"/>
          <w:bCs/>
          <w:iCs/>
          <w:sz w:val="21"/>
          <w:szCs w:val="21"/>
        </w:rPr>
        <w:t>In</w:t>
      </w:r>
      <w:r w:rsidR="006F699D" w:rsidRPr="00756CCE">
        <w:rPr>
          <w:rFonts w:ascii="Garamond" w:hAnsi="Garamond" w:cs="Times New Roman"/>
          <w:bCs/>
          <w:iCs/>
          <w:sz w:val="21"/>
          <w:szCs w:val="21"/>
        </w:rPr>
        <w:t xml:space="preserve">come </w:t>
      </w:r>
      <w:r w:rsidR="006F699D">
        <w:rPr>
          <w:rFonts w:ascii="Garamond" w:hAnsi="Garamond" w:cs="Times New Roman"/>
          <w:bCs/>
          <w:iCs/>
          <w:sz w:val="21"/>
          <w:szCs w:val="21"/>
        </w:rPr>
        <w:t>on i</w:t>
      </w:r>
      <w:r w:rsidR="00756CCE" w:rsidRPr="00756CCE">
        <w:rPr>
          <w:rFonts w:ascii="Garamond" w:hAnsi="Garamond" w:cs="Times New Roman"/>
          <w:bCs/>
          <w:iCs/>
          <w:sz w:val="21"/>
          <w:szCs w:val="21"/>
        </w:rPr>
        <w:t>nvestment</w:t>
      </w:r>
      <w:r w:rsidR="00756CCE">
        <w:rPr>
          <w:rFonts w:ascii="Garamond" w:hAnsi="Garamond" w:cs="Times New Roman"/>
          <w:bCs/>
          <w:iCs/>
          <w:sz w:val="21"/>
          <w:szCs w:val="21"/>
        </w:rPr>
        <w:t>”</w:t>
      </w:r>
      <w:r w:rsidR="00756CCE" w:rsidRPr="00756CCE">
        <w:rPr>
          <w:rFonts w:ascii="Garamond" w:hAnsi="Garamond" w:cs="Times New Roman"/>
          <w:bCs/>
          <w:iCs/>
          <w:sz w:val="21"/>
          <w:szCs w:val="21"/>
        </w:rPr>
        <w:t xml:space="preserve"> </w:t>
      </w:r>
      <w:r w:rsidR="00756CCE">
        <w:rPr>
          <w:rFonts w:ascii="Garamond" w:hAnsi="Garamond" w:cs="Times New Roman"/>
          <w:bCs/>
          <w:iCs/>
          <w:sz w:val="21"/>
          <w:szCs w:val="21"/>
        </w:rPr>
        <w:t>carried out during the 1</w:t>
      </w:r>
      <w:r w:rsidR="00756CCE" w:rsidRPr="00756CCE">
        <w:rPr>
          <w:rFonts w:ascii="Garamond" w:hAnsi="Garamond" w:cs="Times New Roman"/>
          <w:bCs/>
          <w:iCs/>
          <w:sz w:val="21"/>
          <w:szCs w:val="21"/>
        </w:rPr>
        <w:t xml:space="preserve">st quarter </w:t>
      </w:r>
      <w:r w:rsidR="00756CCE">
        <w:rPr>
          <w:rFonts w:ascii="Garamond" w:hAnsi="Garamond" w:cs="Times New Roman"/>
          <w:bCs/>
          <w:iCs/>
          <w:sz w:val="21"/>
          <w:szCs w:val="21"/>
        </w:rPr>
        <w:t xml:space="preserve">of </w:t>
      </w:r>
      <w:r w:rsidR="00421AE2">
        <w:rPr>
          <w:rFonts w:ascii="Garamond" w:hAnsi="Garamond" w:cs="Times New Roman"/>
          <w:bCs/>
          <w:iCs/>
          <w:sz w:val="21"/>
          <w:szCs w:val="21"/>
        </w:rPr>
        <w:t>last year</w:t>
      </w:r>
      <w:r w:rsidR="00756CCE" w:rsidRPr="00756CCE">
        <w:rPr>
          <w:rFonts w:ascii="Garamond" w:hAnsi="Garamond" w:cs="Times New Roman"/>
          <w:bCs/>
          <w:iCs/>
          <w:sz w:val="21"/>
          <w:szCs w:val="21"/>
        </w:rPr>
        <w:t>.</w:t>
      </w:r>
    </w:p>
    <w:p w14:paraId="1C0040D7" w14:textId="77777777" w:rsidR="00563993" w:rsidRDefault="00563993" w:rsidP="00A9653E">
      <w:pPr>
        <w:spacing w:line="360" w:lineRule="auto"/>
        <w:jc w:val="both"/>
        <w:rPr>
          <w:rFonts w:ascii="Garamond" w:hAnsi="Garamond" w:cs="Times New Roman"/>
          <w:bCs/>
          <w:iCs/>
          <w:sz w:val="21"/>
          <w:szCs w:val="21"/>
        </w:rPr>
      </w:pPr>
      <w:r w:rsidRPr="00563993">
        <w:rPr>
          <w:rFonts w:ascii="Garamond" w:hAnsi="Garamond" w:cs="Times New Roman"/>
          <w:bCs/>
          <w:iCs/>
          <w:sz w:val="21"/>
          <w:szCs w:val="21"/>
        </w:rPr>
        <w:t xml:space="preserve">According to </w:t>
      </w:r>
      <w:r>
        <w:rPr>
          <w:rFonts w:ascii="Garamond" w:hAnsi="Garamond" w:cs="Times New Roman"/>
          <w:bCs/>
          <w:iCs/>
          <w:sz w:val="21"/>
          <w:szCs w:val="21"/>
        </w:rPr>
        <w:t xml:space="preserve">the 1st quarter </w:t>
      </w:r>
      <w:r w:rsidRPr="00563993">
        <w:rPr>
          <w:rFonts w:ascii="Garamond" w:hAnsi="Garamond" w:cs="Times New Roman"/>
          <w:bCs/>
          <w:iCs/>
          <w:sz w:val="21"/>
          <w:szCs w:val="21"/>
        </w:rPr>
        <w:t>2015</w:t>
      </w:r>
      <w:r>
        <w:rPr>
          <w:rFonts w:ascii="Garamond" w:hAnsi="Garamond" w:cs="Times New Roman"/>
          <w:bCs/>
          <w:iCs/>
          <w:sz w:val="21"/>
          <w:szCs w:val="21"/>
        </w:rPr>
        <w:t xml:space="preserve"> forecasts, the </w:t>
      </w:r>
      <w:r w:rsidRPr="00563993">
        <w:rPr>
          <w:rFonts w:ascii="Garamond" w:hAnsi="Garamond" w:cs="Times New Roman"/>
          <w:bCs/>
          <w:iCs/>
          <w:sz w:val="21"/>
          <w:szCs w:val="21"/>
        </w:rPr>
        <w:t>export</w:t>
      </w:r>
      <w:r>
        <w:rPr>
          <w:rFonts w:ascii="Garamond" w:hAnsi="Garamond" w:cs="Times New Roman"/>
          <w:bCs/>
          <w:iCs/>
          <w:sz w:val="21"/>
          <w:szCs w:val="21"/>
        </w:rPr>
        <w:t xml:space="preserve"> of good</w:t>
      </w:r>
      <w:r w:rsidRPr="00563993">
        <w:rPr>
          <w:rFonts w:ascii="Garamond" w:hAnsi="Garamond" w:cs="Times New Roman"/>
          <w:bCs/>
          <w:iCs/>
          <w:sz w:val="21"/>
          <w:szCs w:val="21"/>
        </w:rPr>
        <w:t xml:space="preserve">s </w:t>
      </w:r>
      <w:r>
        <w:rPr>
          <w:rFonts w:ascii="Garamond" w:hAnsi="Garamond" w:cs="Times New Roman"/>
          <w:bCs/>
          <w:iCs/>
          <w:sz w:val="21"/>
          <w:szCs w:val="21"/>
        </w:rPr>
        <w:t xml:space="preserve">has decreased by </w:t>
      </w:r>
      <w:r w:rsidRPr="00563993">
        <w:rPr>
          <w:rFonts w:ascii="Garamond" w:hAnsi="Garamond" w:cs="Times New Roman"/>
          <w:bCs/>
          <w:iCs/>
          <w:sz w:val="21"/>
          <w:szCs w:val="21"/>
        </w:rPr>
        <w:t>11.2%</w:t>
      </w:r>
      <w:r>
        <w:rPr>
          <w:rFonts w:ascii="Garamond" w:hAnsi="Garamond" w:cs="Times New Roman"/>
          <w:bCs/>
          <w:iCs/>
          <w:sz w:val="21"/>
          <w:szCs w:val="21"/>
        </w:rPr>
        <w:t xml:space="preserve"> y/y and the </w:t>
      </w:r>
      <w:r w:rsidRPr="00FB0A8D">
        <w:rPr>
          <w:rFonts w:ascii="Garamond" w:hAnsi="Garamond" w:cs="Times New Roman"/>
          <w:bCs/>
          <w:iCs/>
          <w:sz w:val="21"/>
          <w:szCs w:val="21"/>
        </w:rPr>
        <w:t>import of goods, by 22.6% y/y, reflecting a notable drop in export and import prices</w:t>
      </w:r>
      <w:r w:rsidRPr="00FB0A8D">
        <w:rPr>
          <w:rStyle w:val="FootnoteReference"/>
          <w:rFonts w:ascii="Garamond" w:hAnsi="Garamond" w:cs="Times New Roman"/>
          <w:bCs/>
          <w:iCs/>
          <w:sz w:val="21"/>
          <w:szCs w:val="21"/>
        </w:rPr>
        <w:footnoteReference w:customMarkFollows="1" w:id="20"/>
        <w:t>20</w:t>
      </w:r>
      <w:r w:rsidRPr="00FB0A8D">
        <w:rPr>
          <w:rFonts w:ascii="Garamond" w:hAnsi="Garamond" w:cs="Times New Roman"/>
          <w:bCs/>
          <w:iCs/>
          <w:sz w:val="21"/>
          <w:szCs w:val="21"/>
        </w:rPr>
        <w:t>.</w:t>
      </w:r>
    </w:p>
    <w:p w14:paraId="50C43DA3" w14:textId="77777777" w:rsidR="00563993" w:rsidRDefault="00563993" w:rsidP="00A9653E">
      <w:pPr>
        <w:spacing w:line="360" w:lineRule="auto"/>
        <w:jc w:val="both"/>
        <w:rPr>
          <w:rFonts w:ascii="Garamond" w:hAnsi="Garamond" w:cs="Times New Roman"/>
          <w:bCs/>
          <w:iCs/>
          <w:sz w:val="21"/>
          <w:szCs w:val="21"/>
        </w:rPr>
      </w:pPr>
      <w:r w:rsidRPr="004E7A10">
        <w:rPr>
          <w:rFonts w:ascii="Garamond" w:hAnsi="Garamond" w:cs="Times New Roman"/>
          <w:sz w:val="21"/>
          <w:szCs w:val="21"/>
        </w:rPr>
        <w:t xml:space="preserve">In the </w:t>
      </w:r>
      <w:r>
        <w:rPr>
          <w:rFonts w:ascii="Garamond" w:hAnsi="Garamond" w:cs="Times New Roman"/>
          <w:sz w:val="21"/>
          <w:szCs w:val="21"/>
        </w:rPr>
        <w:t>1st</w:t>
      </w:r>
      <w:r w:rsidRPr="004E7A10">
        <w:rPr>
          <w:rFonts w:ascii="Garamond" w:hAnsi="Garamond" w:cs="Times New Roman"/>
          <w:sz w:val="21"/>
          <w:szCs w:val="21"/>
        </w:rPr>
        <w:t xml:space="preserve"> quarter of 201</w:t>
      </w:r>
      <w:r>
        <w:rPr>
          <w:rFonts w:ascii="Garamond" w:hAnsi="Garamond" w:cs="Times New Roman"/>
          <w:sz w:val="21"/>
          <w:szCs w:val="21"/>
        </w:rPr>
        <w:t>5</w:t>
      </w:r>
      <w:r w:rsidRPr="004E7A10">
        <w:rPr>
          <w:rFonts w:ascii="Garamond" w:hAnsi="Garamond" w:cs="Times New Roman"/>
          <w:sz w:val="21"/>
          <w:szCs w:val="21"/>
        </w:rPr>
        <w:t xml:space="preserve">, relative to the same </w:t>
      </w:r>
      <w:r>
        <w:rPr>
          <w:rFonts w:ascii="Garamond" w:hAnsi="Garamond" w:cs="Times New Roman"/>
          <w:sz w:val="21"/>
          <w:szCs w:val="21"/>
        </w:rPr>
        <w:t xml:space="preserve">reference period </w:t>
      </w:r>
      <w:r w:rsidRPr="004E7A10">
        <w:rPr>
          <w:rFonts w:ascii="Garamond" w:hAnsi="Garamond" w:cs="Times New Roman"/>
          <w:sz w:val="21"/>
          <w:szCs w:val="21"/>
        </w:rPr>
        <w:t xml:space="preserve">last year, the negative balance of services has </w:t>
      </w:r>
      <w:r>
        <w:rPr>
          <w:rFonts w:ascii="Garamond" w:hAnsi="Garamond" w:cs="Times New Roman"/>
          <w:sz w:val="21"/>
          <w:szCs w:val="21"/>
        </w:rPr>
        <w:t>shrunk</w:t>
      </w:r>
      <w:r w:rsidRPr="004E7A10">
        <w:rPr>
          <w:rFonts w:ascii="Garamond" w:hAnsi="Garamond" w:cs="Times New Roman"/>
          <w:sz w:val="21"/>
          <w:szCs w:val="21"/>
        </w:rPr>
        <w:t xml:space="preserve"> to USD </w:t>
      </w:r>
      <w:r>
        <w:rPr>
          <w:rFonts w:ascii="Garamond" w:hAnsi="Garamond" w:cs="Times New Roman"/>
          <w:sz w:val="21"/>
          <w:szCs w:val="21"/>
        </w:rPr>
        <w:t>3</w:t>
      </w:r>
      <w:r w:rsidRPr="004E7A10">
        <w:rPr>
          <w:rFonts w:ascii="Garamond" w:hAnsi="Garamond" w:cs="Times New Roman"/>
          <w:sz w:val="21"/>
          <w:szCs w:val="21"/>
        </w:rPr>
        <w:t>.</w:t>
      </w:r>
      <w:r>
        <w:rPr>
          <w:rFonts w:ascii="Garamond" w:hAnsi="Garamond" w:cs="Times New Roman"/>
          <w:sz w:val="21"/>
          <w:szCs w:val="21"/>
        </w:rPr>
        <w:t>9</w:t>
      </w:r>
      <w:r w:rsidRPr="004E7A10">
        <w:rPr>
          <w:rFonts w:ascii="Garamond" w:hAnsi="Garamond" w:cs="Times New Roman"/>
          <w:sz w:val="21"/>
          <w:szCs w:val="21"/>
        </w:rPr>
        <w:t xml:space="preserve"> million. This was </w:t>
      </w:r>
      <w:r>
        <w:rPr>
          <w:rFonts w:ascii="Garamond" w:hAnsi="Garamond" w:cs="Times New Roman"/>
          <w:sz w:val="21"/>
          <w:szCs w:val="21"/>
        </w:rPr>
        <w:t xml:space="preserve">mainly attributable to </w:t>
      </w:r>
      <w:r w:rsidRPr="004E7A10">
        <w:rPr>
          <w:rFonts w:ascii="Garamond" w:hAnsi="Garamond" w:cs="Times New Roman"/>
          <w:sz w:val="21"/>
          <w:szCs w:val="21"/>
        </w:rPr>
        <w:t>a</w:t>
      </w:r>
      <w:r>
        <w:rPr>
          <w:rFonts w:ascii="Garamond" w:hAnsi="Garamond" w:cs="Times New Roman"/>
          <w:sz w:val="21"/>
          <w:szCs w:val="21"/>
        </w:rPr>
        <w:t xml:space="preserve"> contracted </w:t>
      </w:r>
      <w:r w:rsidRPr="004E7A10">
        <w:rPr>
          <w:rFonts w:ascii="Garamond" w:hAnsi="Garamond" w:cs="Times New Roman"/>
          <w:sz w:val="21"/>
          <w:szCs w:val="21"/>
        </w:rPr>
        <w:t>negative balance of travel</w:t>
      </w:r>
      <w:r w:rsidR="00DE12D4">
        <w:rPr>
          <w:rFonts w:ascii="Garamond" w:hAnsi="Garamond" w:cs="Times New Roman"/>
          <w:sz w:val="21"/>
          <w:szCs w:val="21"/>
        </w:rPr>
        <w:t>.</w:t>
      </w:r>
      <w:r w:rsidRPr="004E7A10">
        <w:rPr>
          <w:rFonts w:ascii="Garamond" w:hAnsi="Garamond" w:cs="Times New Roman"/>
          <w:sz w:val="21"/>
          <w:szCs w:val="21"/>
        </w:rPr>
        <w:t xml:space="preserve"> </w:t>
      </w:r>
      <w:r w:rsidR="00DE12D4" w:rsidRPr="004E7A10">
        <w:rPr>
          <w:rFonts w:ascii="Garamond" w:hAnsi="Garamond" w:cs="Times New Roman"/>
          <w:sz w:val="21"/>
          <w:szCs w:val="21"/>
        </w:rPr>
        <w:t>As a result, the</w:t>
      </w:r>
      <w:r w:rsidR="00DE12D4">
        <w:rPr>
          <w:rFonts w:ascii="Garamond" w:hAnsi="Garamond" w:cs="Times New Roman"/>
          <w:sz w:val="21"/>
          <w:szCs w:val="21"/>
        </w:rPr>
        <w:t xml:space="preserve"> 1st</w:t>
      </w:r>
      <w:r w:rsidR="00DE12D4" w:rsidRPr="004E7A10">
        <w:rPr>
          <w:rFonts w:ascii="Garamond" w:hAnsi="Garamond" w:cs="Times New Roman"/>
          <w:sz w:val="21"/>
          <w:szCs w:val="21"/>
        </w:rPr>
        <w:t xml:space="preserve"> </w:t>
      </w:r>
      <w:r w:rsidR="00DE12D4">
        <w:rPr>
          <w:rFonts w:ascii="Garamond" w:hAnsi="Garamond" w:cs="Times New Roman"/>
          <w:sz w:val="21"/>
          <w:szCs w:val="21"/>
        </w:rPr>
        <w:t xml:space="preserve">quarter saw </w:t>
      </w:r>
      <w:r w:rsidR="00DE12D4" w:rsidRPr="004E7A10">
        <w:rPr>
          <w:rFonts w:ascii="Garamond" w:hAnsi="Garamond" w:cs="Times New Roman"/>
          <w:sz w:val="21"/>
          <w:szCs w:val="21"/>
        </w:rPr>
        <w:t xml:space="preserve">an estimated </w:t>
      </w:r>
      <w:r w:rsidR="00DE12D4">
        <w:rPr>
          <w:rFonts w:ascii="Garamond" w:hAnsi="Garamond" w:cs="Times New Roman"/>
          <w:sz w:val="21"/>
          <w:szCs w:val="21"/>
        </w:rPr>
        <w:t>6</w:t>
      </w:r>
      <w:r w:rsidR="00DE12D4" w:rsidRPr="004E7A10">
        <w:rPr>
          <w:rFonts w:ascii="Garamond" w:hAnsi="Garamond" w:cs="Times New Roman"/>
          <w:sz w:val="21"/>
          <w:szCs w:val="21"/>
        </w:rPr>
        <w:t>.</w:t>
      </w:r>
      <w:r w:rsidR="00DE12D4">
        <w:rPr>
          <w:rFonts w:ascii="Garamond" w:hAnsi="Garamond" w:cs="Times New Roman"/>
          <w:sz w:val="21"/>
          <w:szCs w:val="21"/>
        </w:rPr>
        <w:t>2</w:t>
      </w:r>
      <w:r w:rsidR="00DE12D4" w:rsidRPr="004E7A10">
        <w:rPr>
          <w:rFonts w:ascii="Garamond" w:hAnsi="Garamond" w:cs="Times New Roman"/>
          <w:sz w:val="21"/>
          <w:szCs w:val="21"/>
        </w:rPr>
        <w:t xml:space="preserve">% y/y </w:t>
      </w:r>
      <w:r w:rsidR="00DE12D4">
        <w:rPr>
          <w:rFonts w:ascii="Garamond" w:hAnsi="Garamond" w:cs="Times New Roman"/>
          <w:sz w:val="21"/>
          <w:szCs w:val="21"/>
        </w:rPr>
        <w:t>and 8</w:t>
      </w:r>
      <w:r w:rsidR="00DE12D4" w:rsidRPr="004E7A10">
        <w:rPr>
          <w:rFonts w:ascii="Garamond" w:hAnsi="Garamond" w:cs="Times New Roman"/>
          <w:sz w:val="21"/>
          <w:szCs w:val="21"/>
        </w:rPr>
        <w:t>.</w:t>
      </w:r>
      <w:r w:rsidR="00DE12D4">
        <w:rPr>
          <w:rFonts w:ascii="Garamond" w:hAnsi="Garamond" w:cs="Times New Roman"/>
          <w:sz w:val="21"/>
          <w:szCs w:val="21"/>
        </w:rPr>
        <w:t>6</w:t>
      </w:r>
      <w:r w:rsidR="00DE12D4" w:rsidRPr="004E7A10">
        <w:rPr>
          <w:rFonts w:ascii="Garamond" w:hAnsi="Garamond" w:cs="Times New Roman"/>
          <w:sz w:val="21"/>
          <w:szCs w:val="21"/>
        </w:rPr>
        <w:t>% y/y decrease</w:t>
      </w:r>
      <w:r w:rsidR="00DE12D4">
        <w:rPr>
          <w:rFonts w:ascii="Garamond" w:hAnsi="Garamond" w:cs="Times New Roman"/>
          <w:sz w:val="21"/>
          <w:szCs w:val="21"/>
        </w:rPr>
        <w:t>s</w:t>
      </w:r>
      <w:r w:rsidR="00DE12D4" w:rsidRPr="004E7A10">
        <w:rPr>
          <w:rFonts w:ascii="Garamond" w:hAnsi="Garamond" w:cs="Times New Roman"/>
          <w:sz w:val="21"/>
          <w:szCs w:val="21"/>
        </w:rPr>
        <w:t xml:space="preserve"> in the export </w:t>
      </w:r>
      <w:r w:rsidR="00DE12D4">
        <w:rPr>
          <w:rFonts w:ascii="Garamond" w:hAnsi="Garamond" w:cs="Times New Roman"/>
          <w:sz w:val="21"/>
          <w:szCs w:val="21"/>
        </w:rPr>
        <w:t xml:space="preserve">and import of </w:t>
      </w:r>
      <w:r w:rsidR="00DE12D4" w:rsidRPr="004E7A10">
        <w:rPr>
          <w:rFonts w:ascii="Garamond" w:hAnsi="Garamond" w:cs="Times New Roman"/>
          <w:sz w:val="21"/>
          <w:szCs w:val="21"/>
        </w:rPr>
        <w:t>services</w:t>
      </w:r>
      <w:r w:rsidR="00DE12D4">
        <w:rPr>
          <w:rFonts w:ascii="Garamond" w:hAnsi="Garamond" w:cs="Times New Roman"/>
          <w:sz w:val="21"/>
          <w:szCs w:val="21"/>
        </w:rPr>
        <w:t>, respectively.</w:t>
      </w:r>
      <w:r w:rsidR="00DE12D4" w:rsidRPr="004E7A10">
        <w:rPr>
          <w:rFonts w:ascii="Garamond" w:hAnsi="Garamond" w:cs="Times New Roman"/>
          <w:sz w:val="21"/>
          <w:szCs w:val="21"/>
        </w:rPr>
        <w:t xml:space="preserve"> </w:t>
      </w:r>
      <w:r w:rsidR="00DE12D4">
        <w:rPr>
          <w:rFonts w:ascii="Garamond" w:hAnsi="Garamond" w:cs="Times New Roman"/>
          <w:sz w:val="21"/>
          <w:szCs w:val="21"/>
        </w:rPr>
        <w:t xml:space="preserve">     </w:t>
      </w:r>
    </w:p>
    <w:p w14:paraId="137D85A3" w14:textId="44A8675B" w:rsidR="00563993" w:rsidRDefault="0041186C" w:rsidP="00A9653E">
      <w:pPr>
        <w:spacing w:line="360" w:lineRule="auto"/>
        <w:jc w:val="both"/>
        <w:rPr>
          <w:rFonts w:ascii="Garamond" w:hAnsi="Garamond" w:cs="Times New Roman"/>
          <w:bCs/>
          <w:iCs/>
          <w:sz w:val="21"/>
          <w:szCs w:val="21"/>
        </w:rPr>
      </w:pPr>
      <w:r w:rsidRPr="004E7A10">
        <w:rPr>
          <w:rFonts w:ascii="Garamond" w:hAnsi="Garamond" w:cs="Times New Roman"/>
          <w:sz w:val="21"/>
          <w:szCs w:val="21"/>
        </w:rPr>
        <w:t xml:space="preserve">In the </w:t>
      </w:r>
      <w:r>
        <w:rPr>
          <w:rFonts w:ascii="Garamond" w:hAnsi="Garamond" w:cs="Times New Roman"/>
          <w:sz w:val="21"/>
          <w:szCs w:val="21"/>
        </w:rPr>
        <w:t>1st</w:t>
      </w:r>
      <w:r w:rsidRPr="004E7A10">
        <w:rPr>
          <w:rFonts w:ascii="Garamond" w:hAnsi="Garamond" w:cs="Times New Roman"/>
          <w:sz w:val="21"/>
          <w:szCs w:val="21"/>
        </w:rPr>
        <w:t xml:space="preserve"> quarter of 201</w:t>
      </w:r>
      <w:r>
        <w:rPr>
          <w:rFonts w:ascii="Garamond" w:hAnsi="Garamond" w:cs="Times New Roman"/>
          <w:sz w:val="21"/>
          <w:szCs w:val="21"/>
        </w:rPr>
        <w:t>5</w:t>
      </w:r>
      <w:r w:rsidRPr="004E7A10">
        <w:rPr>
          <w:rFonts w:ascii="Garamond" w:hAnsi="Garamond" w:cs="Times New Roman"/>
          <w:sz w:val="21"/>
          <w:szCs w:val="21"/>
        </w:rPr>
        <w:t xml:space="preserve">, </w:t>
      </w:r>
      <w:r w:rsidRPr="0041186C">
        <w:rPr>
          <w:rFonts w:ascii="Garamond" w:hAnsi="Garamond" w:cs="Times New Roman"/>
          <w:sz w:val="21"/>
          <w:szCs w:val="21"/>
        </w:rPr>
        <w:t>the declining rates in remittances of individuals</w:t>
      </w:r>
      <w:r>
        <w:rPr>
          <w:rStyle w:val="FootnoteReference"/>
          <w:rFonts w:ascii="Garamond" w:hAnsi="Garamond" w:cs="Times New Roman"/>
          <w:bCs/>
          <w:iCs/>
          <w:sz w:val="21"/>
          <w:szCs w:val="21"/>
        </w:rPr>
        <w:footnoteReference w:customMarkFollows="1" w:id="21"/>
        <w:t>21</w:t>
      </w:r>
      <w:r w:rsidRPr="004E7A10">
        <w:rPr>
          <w:rFonts w:ascii="Garamond" w:hAnsi="Garamond" w:cs="Times New Roman"/>
          <w:bCs/>
          <w:iCs/>
          <w:sz w:val="21"/>
          <w:szCs w:val="21"/>
        </w:rPr>
        <w:t xml:space="preserve"> </w:t>
      </w:r>
      <w:r>
        <w:rPr>
          <w:rFonts w:ascii="Garamond" w:hAnsi="Garamond" w:cs="Times New Roman"/>
          <w:bCs/>
          <w:iCs/>
          <w:sz w:val="21"/>
          <w:szCs w:val="21"/>
        </w:rPr>
        <w:t>persisted at a</w:t>
      </w:r>
      <w:r w:rsidR="00667943">
        <w:rPr>
          <w:rFonts w:ascii="Garamond" w:hAnsi="Garamond" w:cs="Times New Roman"/>
          <w:bCs/>
          <w:iCs/>
          <w:sz w:val="21"/>
          <w:szCs w:val="21"/>
        </w:rPr>
        <w:t xml:space="preserve">n elevated </w:t>
      </w:r>
      <w:r>
        <w:rPr>
          <w:rFonts w:ascii="Garamond" w:hAnsi="Garamond" w:cs="Times New Roman"/>
          <w:bCs/>
          <w:iCs/>
          <w:sz w:val="21"/>
          <w:szCs w:val="21"/>
        </w:rPr>
        <w:t xml:space="preserve">level, which was determined by </w:t>
      </w:r>
      <w:r w:rsidR="00667943">
        <w:rPr>
          <w:rFonts w:ascii="Garamond" w:hAnsi="Garamond" w:cs="Times New Roman"/>
          <w:bCs/>
          <w:iCs/>
          <w:sz w:val="21"/>
          <w:szCs w:val="21"/>
        </w:rPr>
        <w:t xml:space="preserve">high </w:t>
      </w:r>
      <w:r w:rsidR="00667943" w:rsidRPr="0041186C">
        <w:rPr>
          <w:rFonts w:ascii="Garamond" w:hAnsi="Garamond" w:cs="Times New Roman"/>
          <w:sz w:val="21"/>
          <w:szCs w:val="21"/>
        </w:rPr>
        <w:t xml:space="preserve">exchange rate depreciation </w:t>
      </w:r>
      <w:r w:rsidR="00667943">
        <w:rPr>
          <w:rFonts w:ascii="Garamond" w:hAnsi="Garamond" w:cs="Times New Roman"/>
          <w:sz w:val="21"/>
          <w:szCs w:val="21"/>
        </w:rPr>
        <w:t xml:space="preserve">of </w:t>
      </w:r>
      <w:r>
        <w:rPr>
          <w:rFonts w:ascii="Garamond" w:hAnsi="Garamond" w:cs="Times New Roman"/>
          <w:bCs/>
          <w:iCs/>
          <w:sz w:val="21"/>
          <w:szCs w:val="21"/>
        </w:rPr>
        <w:t>the</w:t>
      </w:r>
      <w:r w:rsidRPr="0041186C">
        <w:rPr>
          <w:rFonts w:ascii="Garamond" w:hAnsi="Garamond" w:cs="Times New Roman"/>
          <w:sz w:val="21"/>
          <w:szCs w:val="21"/>
        </w:rPr>
        <w:t xml:space="preserve"> Russian ruble </w:t>
      </w:r>
      <w:r w:rsidR="00667943">
        <w:rPr>
          <w:rFonts w:ascii="Garamond" w:hAnsi="Garamond" w:cs="Times New Roman"/>
          <w:sz w:val="21"/>
          <w:szCs w:val="21"/>
        </w:rPr>
        <w:t>versus</w:t>
      </w:r>
      <w:r w:rsidRPr="0041186C">
        <w:rPr>
          <w:rFonts w:ascii="Garamond" w:hAnsi="Garamond" w:cs="Times New Roman"/>
          <w:sz w:val="21"/>
          <w:szCs w:val="21"/>
        </w:rPr>
        <w:t xml:space="preserve"> the U.S. dollar, </w:t>
      </w:r>
      <w:r w:rsidR="00667943">
        <w:rPr>
          <w:rFonts w:ascii="Garamond" w:hAnsi="Garamond" w:cs="Times New Roman"/>
          <w:sz w:val="21"/>
          <w:szCs w:val="21"/>
        </w:rPr>
        <w:t>relative to</w:t>
      </w:r>
      <w:r w:rsidRPr="0041186C">
        <w:rPr>
          <w:rFonts w:ascii="Garamond" w:hAnsi="Garamond" w:cs="Times New Roman"/>
          <w:sz w:val="21"/>
          <w:szCs w:val="21"/>
        </w:rPr>
        <w:t xml:space="preserve"> the same reference period last year, </w:t>
      </w:r>
      <w:r w:rsidR="00667943">
        <w:rPr>
          <w:rFonts w:ascii="Garamond" w:hAnsi="Garamond" w:cs="Times New Roman"/>
          <w:sz w:val="21"/>
          <w:szCs w:val="21"/>
        </w:rPr>
        <w:t>amid</w:t>
      </w:r>
      <w:r w:rsidRPr="0041186C">
        <w:rPr>
          <w:rFonts w:ascii="Garamond" w:hAnsi="Garamond" w:cs="Times New Roman"/>
          <w:sz w:val="21"/>
          <w:szCs w:val="21"/>
        </w:rPr>
        <w:t xml:space="preserve"> adverse developments in the Russian economy.</w:t>
      </w:r>
      <w:r w:rsidR="00667943">
        <w:rPr>
          <w:rFonts w:ascii="Garamond" w:hAnsi="Garamond" w:cs="Times New Roman"/>
          <w:sz w:val="21"/>
          <w:szCs w:val="21"/>
        </w:rPr>
        <w:t xml:space="preserve"> </w:t>
      </w:r>
      <w:r w:rsidRPr="004E7A10">
        <w:rPr>
          <w:rFonts w:ascii="Garamond" w:hAnsi="Garamond" w:cs="Times New Roman"/>
          <w:bCs/>
          <w:iCs/>
          <w:sz w:val="21"/>
          <w:szCs w:val="21"/>
        </w:rPr>
        <w:t xml:space="preserve">The </w:t>
      </w:r>
      <w:r w:rsidRPr="004E7A10">
        <w:rPr>
          <w:rFonts w:ascii="Garamond" w:hAnsi="Garamond" w:cs="Times New Roman"/>
          <w:sz w:val="21"/>
          <w:szCs w:val="21"/>
        </w:rPr>
        <w:t xml:space="preserve">net inflow </w:t>
      </w:r>
      <w:r w:rsidR="006F699D">
        <w:rPr>
          <w:rFonts w:ascii="Garamond" w:hAnsi="Garamond" w:cs="Times New Roman"/>
          <w:sz w:val="21"/>
          <w:szCs w:val="21"/>
        </w:rPr>
        <w:t xml:space="preserve">of funds </w:t>
      </w:r>
      <w:r w:rsidRPr="004E7A10">
        <w:rPr>
          <w:rFonts w:ascii="Garamond" w:hAnsi="Garamond" w:cs="Times New Roman"/>
          <w:sz w:val="21"/>
          <w:szCs w:val="21"/>
        </w:rPr>
        <w:t xml:space="preserve">through item </w:t>
      </w:r>
      <w:r w:rsidR="006F699D">
        <w:rPr>
          <w:rFonts w:ascii="Garamond" w:hAnsi="Garamond" w:cs="Times New Roman"/>
          <w:sz w:val="21"/>
          <w:szCs w:val="21"/>
        </w:rPr>
        <w:t>“</w:t>
      </w:r>
      <w:r w:rsidR="00421AE2">
        <w:rPr>
          <w:rFonts w:ascii="Garamond" w:hAnsi="Garamond" w:cs="Times New Roman"/>
          <w:sz w:val="21"/>
          <w:szCs w:val="21"/>
        </w:rPr>
        <w:t xml:space="preserve">Compensation of </w:t>
      </w:r>
      <w:proofErr w:type="gramStart"/>
      <w:r w:rsidR="00421AE2">
        <w:rPr>
          <w:rFonts w:ascii="Garamond" w:hAnsi="Garamond" w:cs="Times New Roman"/>
          <w:sz w:val="21"/>
          <w:szCs w:val="21"/>
        </w:rPr>
        <w:t xml:space="preserve">employees </w:t>
      </w:r>
      <w:r w:rsidR="006F699D">
        <w:rPr>
          <w:rFonts w:ascii="Garamond" w:hAnsi="Garamond" w:cs="Times New Roman"/>
          <w:sz w:val="21"/>
          <w:szCs w:val="21"/>
        </w:rPr>
        <w:t>”</w:t>
      </w:r>
      <w:proofErr w:type="gramEnd"/>
      <w:r w:rsidRPr="004E7A10">
        <w:rPr>
          <w:rFonts w:ascii="Garamond" w:hAnsi="Garamond" w:cs="Times New Roman"/>
          <w:sz w:val="21"/>
          <w:szCs w:val="21"/>
        </w:rPr>
        <w:t xml:space="preserve"> posted a </w:t>
      </w:r>
      <w:r w:rsidR="006F699D">
        <w:rPr>
          <w:rFonts w:ascii="Garamond" w:hAnsi="Garamond" w:cs="Times New Roman"/>
          <w:sz w:val="21"/>
          <w:szCs w:val="21"/>
        </w:rPr>
        <w:t>48</w:t>
      </w:r>
      <w:r w:rsidRPr="004E7A10">
        <w:rPr>
          <w:rFonts w:ascii="Garamond" w:hAnsi="Garamond" w:cs="Times New Roman"/>
          <w:sz w:val="21"/>
          <w:szCs w:val="21"/>
        </w:rPr>
        <w:t>.</w:t>
      </w:r>
      <w:r w:rsidR="006F699D">
        <w:rPr>
          <w:rFonts w:ascii="Garamond" w:hAnsi="Garamond" w:cs="Times New Roman"/>
          <w:sz w:val="21"/>
          <w:szCs w:val="21"/>
        </w:rPr>
        <w:t>0</w:t>
      </w:r>
      <w:r w:rsidRPr="004E7A10">
        <w:rPr>
          <w:rFonts w:ascii="Garamond" w:hAnsi="Garamond" w:cs="Times New Roman"/>
          <w:sz w:val="21"/>
          <w:szCs w:val="21"/>
        </w:rPr>
        <w:t>% y/y decrease to USD 7</w:t>
      </w:r>
      <w:r w:rsidR="006F699D">
        <w:rPr>
          <w:rFonts w:ascii="Garamond" w:hAnsi="Garamond" w:cs="Times New Roman"/>
          <w:sz w:val="21"/>
          <w:szCs w:val="21"/>
        </w:rPr>
        <w:t>2</w:t>
      </w:r>
      <w:r w:rsidRPr="004E7A10">
        <w:rPr>
          <w:rFonts w:ascii="Garamond" w:hAnsi="Garamond" w:cs="Times New Roman"/>
          <w:sz w:val="21"/>
          <w:szCs w:val="21"/>
        </w:rPr>
        <w:t>.</w:t>
      </w:r>
      <w:r w:rsidR="006F699D">
        <w:rPr>
          <w:rFonts w:ascii="Garamond" w:hAnsi="Garamond" w:cs="Times New Roman"/>
          <w:sz w:val="21"/>
          <w:szCs w:val="21"/>
        </w:rPr>
        <w:t>0</w:t>
      </w:r>
      <w:r w:rsidRPr="004E7A10">
        <w:rPr>
          <w:rFonts w:ascii="Garamond" w:hAnsi="Garamond" w:cs="Times New Roman"/>
          <w:sz w:val="21"/>
          <w:szCs w:val="21"/>
        </w:rPr>
        <w:t xml:space="preserve"> million, which </w:t>
      </w:r>
      <w:r w:rsidR="006F699D">
        <w:rPr>
          <w:rFonts w:ascii="Garamond" w:hAnsi="Garamond" w:cs="Times New Roman"/>
          <w:sz w:val="21"/>
          <w:szCs w:val="21"/>
        </w:rPr>
        <w:t>stands below t</w:t>
      </w:r>
      <w:r w:rsidRPr="004E7A10">
        <w:rPr>
          <w:rFonts w:ascii="Garamond" w:hAnsi="Garamond" w:cs="Times New Roman"/>
          <w:sz w:val="21"/>
          <w:szCs w:val="21"/>
        </w:rPr>
        <w:t xml:space="preserve">he figure of net outflow through item </w:t>
      </w:r>
      <w:r w:rsidR="006F699D">
        <w:rPr>
          <w:rFonts w:ascii="Garamond" w:hAnsi="Garamond" w:cs="Times New Roman"/>
          <w:sz w:val="21"/>
          <w:szCs w:val="21"/>
        </w:rPr>
        <w:t>“</w:t>
      </w:r>
      <w:r w:rsidRPr="004E7A10">
        <w:rPr>
          <w:rFonts w:ascii="Garamond" w:hAnsi="Garamond" w:cs="Times New Roman"/>
          <w:sz w:val="21"/>
          <w:szCs w:val="21"/>
        </w:rPr>
        <w:t>Income on investment</w:t>
      </w:r>
      <w:r w:rsidR="006F699D">
        <w:rPr>
          <w:rFonts w:ascii="Garamond" w:hAnsi="Garamond" w:cs="Times New Roman"/>
          <w:sz w:val="21"/>
          <w:szCs w:val="21"/>
        </w:rPr>
        <w:t>”</w:t>
      </w:r>
      <w:r w:rsidRPr="004E7A10">
        <w:rPr>
          <w:rFonts w:ascii="Garamond" w:hAnsi="Garamond" w:cs="Times New Roman"/>
          <w:sz w:val="21"/>
          <w:szCs w:val="21"/>
        </w:rPr>
        <w:t xml:space="preserve">. As a result, item </w:t>
      </w:r>
      <w:r w:rsidR="006F699D">
        <w:rPr>
          <w:rFonts w:ascii="Garamond" w:hAnsi="Garamond" w:cs="Times New Roman"/>
          <w:sz w:val="21"/>
          <w:szCs w:val="21"/>
        </w:rPr>
        <w:t>“</w:t>
      </w:r>
      <w:r w:rsidRPr="004E7A10">
        <w:rPr>
          <w:rFonts w:ascii="Garamond" w:hAnsi="Garamond" w:cs="Times New Roman"/>
          <w:sz w:val="21"/>
          <w:szCs w:val="21"/>
        </w:rPr>
        <w:t>Primary income</w:t>
      </w:r>
      <w:r w:rsidR="006F699D">
        <w:rPr>
          <w:rFonts w:ascii="Garamond" w:hAnsi="Garamond" w:cs="Times New Roman"/>
          <w:sz w:val="21"/>
          <w:szCs w:val="21"/>
        </w:rPr>
        <w:t>”</w:t>
      </w:r>
      <w:r w:rsidRPr="004E7A10">
        <w:rPr>
          <w:rFonts w:ascii="Garamond" w:hAnsi="Garamond" w:cs="Times New Roman"/>
          <w:sz w:val="21"/>
          <w:szCs w:val="21"/>
        </w:rPr>
        <w:t xml:space="preserve"> posted net </w:t>
      </w:r>
      <w:r w:rsidR="001A1B53">
        <w:rPr>
          <w:rFonts w:ascii="Garamond" w:hAnsi="Garamond" w:cs="Times New Roman"/>
          <w:sz w:val="21"/>
          <w:szCs w:val="21"/>
        </w:rPr>
        <w:t>out</w:t>
      </w:r>
      <w:r w:rsidRPr="004E7A10">
        <w:rPr>
          <w:rFonts w:ascii="Garamond" w:hAnsi="Garamond" w:cs="Times New Roman"/>
          <w:sz w:val="21"/>
          <w:szCs w:val="21"/>
        </w:rPr>
        <w:t xml:space="preserve">flow of USD </w:t>
      </w:r>
      <w:r w:rsidR="001A1B53">
        <w:rPr>
          <w:rFonts w:ascii="Garamond" w:hAnsi="Garamond" w:cs="Times New Roman"/>
          <w:sz w:val="21"/>
          <w:szCs w:val="21"/>
        </w:rPr>
        <w:t>52</w:t>
      </w:r>
      <w:r w:rsidRPr="004E7A10">
        <w:rPr>
          <w:rFonts w:ascii="Garamond" w:hAnsi="Garamond" w:cs="Times New Roman"/>
          <w:sz w:val="21"/>
          <w:szCs w:val="21"/>
        </w:rPr>
        <w:t>.</w:t>
      </w:r>
      <w:r w:rsidR="001A1B53">
        <w:rPr>
          <w:rFonts w:ascii="Garamond" w:hAnsi="Garamond" w:cs="Times New Roman"/>
          <w:sz w:val="21"/>
          <w:szCs w:val="21"/>
        </w:rPr>
        <w:t>4</w:t>
      </w:r>
      <w:r w:rsidRPr="004E7A10">
        <w:rPr>
          <w:rFonts w:ascii="Garamond" w:hAnsi="Garamond" w:cs="Times New Roman"/>
          <w:sz w:val="21"/>
          <w:szCs w:val="21"/>
        </w:rPr>
        <w:t xml:space="preserve"> million. The net inflow of private transfers has reduced by </w:t>
      </w:r>
      <w:r w:rsidR="001A1B53">
        <w:rPr>
          <w:rFonts w:ascii="Garamond" w:hAnsi="Garamond" w:cs="Times New Roman"/>
          <w:sz w:val="21"/>
          <w:szCs w:val="21"/>
        </w:rPr>
        <w:t>50</w:t>
      </w:r>
      <w:r w:rsidRPr="004E7A10">
        <w:rPr>
          <w:rFonts w:ascii="Garamond" w:hAnsi="Garamond" w:cs="Times New Roman"/>
          <w:sz w:val="21"/>
          <w:szCs w:val="21"/>
        </w:rPr>
        <w:t>.</w:t>
      </w:r>
      <w:r w:rsidR="001A1B53">
        <w:rPr>
          <w:rFonts w:ascii="Garamond" w:hAnsi="Garamond" w:cs="Times New Roman"/>
          <w:sz w:val="21"/>
          <w:szCs w:val="21"/>
        </w:rPr>
        <w:t>9</w:t>
      </w:r>
      <w:r w:rsidRPr="004E7A10">
        <w:rPr>
          <w:rFonts w:ascii="Garamond" w:hAnsi="Garamond" w:cs="Times New Roman"/>
          <w:sz w:val="21"/>
          <w:szCs w:val="21"/>
        </w:rPr>
        <w:t>% y/y to USD 1</w:t>
      </w:r>
      <w:r w:rsidR="001A1B53">
        <w:rPr>
          <w:rFonts w:ascii="Garamond" w:hAnsi="Garamond" w:cs="Times New Roman"/>
          <w:sz w:val="21"/>
          <w:szCs w:val="21"/>
        </w:rPr>
        <w:t>35</w:t>
      </w:r>
      <w:r w:rsidRPr="004E7A10">
        <w:rPr>
          <w:rFonts w:ascii="Garamond" w:hAnsi="Garamond" w:cs="Times New Roman"/>
          <w:sz w:val="21"/>
          <w:szCs w:val="21"/>
        </w:rPr>
        <w:t>.</w:t>
      </w:r>
      <w:r w:rsidR="001A1B53">
        <w:rPr>
          <w:rFonts w:ascii="Garamond" w:hAnsi="Garamond" w:cs="Times New Roman"/>
          <w:sz w:val="21"/>
          <w:szCs w:val="21"/>
        </w:rPr>
        <w:t>5</w:t>
      </w:r>
      <w:r w:rsidRPr="004E7A10">
        <w:rPr>
          <w:rFonts w:ascii="Garamond" w:hAnsi="Garamond" w:cs="Times New Roman"/>
          <w:sz w:val="21"/>
          <w:szCs w:val="21"/>
        </w:rPr>
        <w:t xml:space="preserve"> million.</w:t>
      </w:r>
    </w:p>
    <w:p w14:paraId="517C7583"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3.4.2. Capital and financial account</w:t>
      </w:r>
      <w:r w:rsidR="005F68EB">
        <w:rPr>
          <w:rStyle w:val="FootnoteReference"/>
          <w:rFonts w:ascii="Garamond" w:hAnsi="Garamond" w:cs="Times New Roman"/>
          <w:b/>
          <w:sz w:val="21"/>
          <w:szCs w:val="21"/>
        </w:rPr>
        <w:footnoteReference w:customMarkFollows="1" w:id="22"/>
        <w:t>22</w:t>
      </w:r>
    </w:p>
    <w:p w14:paraId="2EB4FE61" w14:textId="77777777" w:rsidR="00A9653E" w:rsidRPr="004E7A10" w:rsidRDefault="002347E3"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The </w:t>
      </w:r>
      <w:r w:rsidR="005F68EB">
        <w:rPr>
          <w:rFonts w:ascii="Garamond" w:hAnsi="Garamond" w:cs="Times New Roman"/>
          <w:sz w:val="21"/>
          <w:szCs w:val="21"/>
        </w:rPr>
        <w:t>1st</w:t>
      </w:r>
      <w:r w:rsidRPr="004E7A10">
        <w:rPr>
          <w:rFonts w:ascii="Garamond" w:hAnsi="Garamond" w:cs="Times New Roman"/>
          <w:sz w:val="21"/>
          <w:szCs w:val="21"/>
        </w:rPr>
        <w:t xml:space="preserve"> quarter of 201</w:t>
      </w:r>
      <w:r w:rsidR="005F68EB">
        <w:rPr>
          <w:rFonts w:ascii="Garamond" w:hAnsi="Garamond" w:cs="Times New Roman"/>
          <w:sz w:val="21"/>
          <w:szCs w:val="21"/>
        </w:rPr>
        <w:t>5</w:t>
      </w:r>
      <w:r w:rsidRPr="004E7A10">
        <w:rPr>
          <w:rFonts w:ascii="Garamond" w:hAnsi="Garamond" w:cs="Times New Roman"/>
          <w:sz w:val="21"/>
          <w:szCs w:val="21"/>
        </w:rPr>
        <w:t xml:space="preserve"> </w:t>
      </w:r>
      <w:r w:rsidR="0044120A" w:rsidRPr="004E7A10">
        <w:rPr>
          <w:rFonts w:ascii="Garamond" w:hAnsi="Garamond" w:cs="Times New Roman"/>
          <w:sz w:val="21"/>
          <w:szCs w:val="21"/>
        </w:rPr>
        <w:t xml:space="preserve">reported </w:t>
      </w:r>
      <w:r w:rsidR="00A9653E" w:rsidRPr="004E7A10">
        <w:rPr>
          <w:rFonts w:ascii="Garamond" w:hAnsi="Garamond" w:cs="Times New Roman"/>
          <w:sz w:val="21"/>
          <w:szCs w:val="21"/>
        </w:rPr>
        <w:t xml:space="preserve">net inflow </w:t>
      </w:r>
      <w:r w:rsidRPr="004E7A10">
        <w:rPr>
          <w:rFonts w:ascii="Garamond" w:hAnsi="Garamond" w:cs="Times New Roman"/>
          <w:sz w:val="21"/>
          <w:szCs w:val="21"/>
        </w:rPr>
        <w:t xml:space="preserve">of </w:t>
      </w:r>
      <w:r w:rsidR="005F68EB">
        <w:rPr>
          <w:rFonts w:ascii="Garamond" w:hAnsi="Garamond" w:cs="Times New Roman"/>
          <w:sz w:val="21"/>
          <w:szCs w:val="21"/>
        </w:rPr>
        <w:t xml:space="preserve">funds amounting to </w:t>
      </w:r>
      <w:r w:rsidRPr="004E7A10">
        <w:rPr>
          <w:rFonts w:ascii="Garamond" w:hAnsi="Garamond" w:cs="Times New Roman"/>
          <w:sz w:val="21"/>
          <w:szCs w:val="21"/>
        </w:rPr>
        <w:t xml:space="preserve">USD </w:t>
      </w:r>
      <w:r w:rsidR="005F68EB">
        <w:rPr>
          <w:rFonts w:ascii="Garamond" w:hAnsi="Garamond" w:cs="Times New Roman"/>
          <w:sz w:val="21"/>
          <w:szCs w:val="21"/>
        </w:rPr>
        <w:t>3</w:t>
      </w:r>
      <w:r w:rsidR="0044120A" w:rsidRPr="004E7A10">
        <w:rPr>
          <w:rFonts w:ascii="Garamond" w:hAnsi="Garamond" w:cs="Times New Roman"/>
          <w:sz w:val="21"/>
          <w:szCs w:val="21"/>
        </w:rPr>
        <w:t>0</w:t>
      </w:r>
      <w:r w:rsidR="005F68EB">
        <w:rPr>
          <w:rFonts w:ascii="Garamond" w:hAnsi="Garamond" w:cs="Times New Roman"/>
          <w:sz w:val="21"/>
          <w:szCs w:val="21"/>
        </w:rPr>
        <w:t>6</w:t>
      </w:r>
      <w:r w:rsidRPr="004E7A10">
        <w:rPr>
          <w:rFonts w:ascii="Garamond" w:hAnsi="Garamond" w:cs="Times New Roman"/>
          <w:sz w:val="21"/>
          <w:szCs w:val="21"/>
        </w:rPr>
        <w:t>.</w:t>
      </w:r>
      <w:r w:rsidR="0044120A" w:rsidRPr="004E7A10">
        <w:rPr>
          <w:rFonts w:ascii="Garamond" w:hAnsi="Garamond" w:cs="Times New Roman"/>
          <w:sz w:val="21"/>
          <w:szCs w:val="21"/>
        </w:rPr>
        <w:t>6</w:t>
      </w:r>
      <w:r w:rsidRPr="004E7A10">
        <w:rPr>
          <w:rFonts w:ascii="Garamond" w:hAnsi="Garamond" w:cs="Times New Roman"/>
          <w:sz w:val="21"/>
          <w:szCs w:val="21"/>
        </w:rPr>
        <w:t xml:space="preserve"> million</w:t>
      </w:r>
      <w:r w:rsidR="0044120A" w:rsidRPr="004E7A10">
        <w:rPr>
          <w:rFonts w:ascii="Garamond" w:hAnsi="Garamond" w:cs="Times New Roman"/>
          <w:sz w:val="21"/>
          <w:szCs w:val="21"/>
        </w:rPr>
        <w:t xml:space="preserve"> </w:t>
      </w:r>
      <w:r w:rsidR="00A9653E" w:rsidRPr="004E7A10">
        <w:rPr>
          <w:rFonts w:ascii="Garamond" w:hAnsi="Garamond" w:cs="Times New Roman"/>
          <w:sz w:val="21"/>
          <w:szCs w:val="21"/>
        </w:rPr>
        <w:t xml:space="preserve">through the </w:t>
      </w:r>
      <w:r w:rsidR="005F68EB">
        <w:rPr>
          <w:rFonts w:ascii="Garamond" w:hAnsi="Garamond" w:cs="Times New Roman"/>
          <w:sz w:val="21"/>
          <w:szCs w:val="21"/>
        </w:rPr>
        <w:t>C</w:t>
      </w:r>
      <w:r w:rsidR="00A9653E" w:rsidRPr="004E7A10">
        <w:rPr>
          <w:rFonts w:ascii="Garamond" w:hAnsi="Garamond" w:cs="Times New Roman"/>
          <w:sz w:val="21"/>
          <w:szCs w:val="21"/>
        </w:rPr>
        <w:t xml:space="preserve">apital and </w:t>
      </w:r>
      <w:r w:rsidR="005F68EB">
        <w:rPr>
          <w:rFonts w:ascii="Garamond" w:hAnsi="Garamond" w:cs="Times New Roman"/>
          <w:sz w:val="21"/>
          <w:szCs w:val="21"/>
        </w:rPr>
        <w:t>F</w:t>
      </w:r>
      <w:r w:rsidR="00A9653E" w:rsidRPr="004E7A10">
        <w:rPr>
          <w:rFonts w:ascii="Garamond" w:hAnsi="Garamond" w:cs="Times New Roman"/>
          <w:sz w:val="21"/>
          <w:szCs w:val="21"/>
        </w:rPr>
        <w:t xml:space="preserve">inancial </w:t>
      </w:r>
      <w:r w:rsidR="005F68EB">
        <w:rPr>
          <w:rFonts w:ascii="Garamond" w:hAnsi="Garamond" w:cs="Times New Roman"/>
          <w:sz w:val="21"/>
          <w:szCs w:val="21"/>
        </w:rPr>
        <w:t>A</w:t>
      </w:r>
      <w:r w:rsidR="00A9653E" w:rsidRPr="004E7A10">
        <w:rPr>
          <w:rFonts w:ascii="Garamond" w:hAnsi="Garamond" w:cs="Times New Roman"/>
          <w:sz w:val="21"/>
          <w:szCs w:val="21"/>
        </w:rPr>
        <w:t>ccount</w:t>
      </w:r>
      <w:r w:rsidR="00E76C50">
        <w:rPr>
          <w:rFonts w:ascii="Garamond" w:hAnsi="Garamond" w:cs="Times New Roman"/>
          <w:sz w:val="21"/>
          <w:szCs w:val="21"/>
        </w:rPr>
        <w:t xml:space="preserve">, which was </w:t>
      </w:r>
      <w:r w:rsidR="00421AE2">
        <w:rPr>
          <w:rFonts w:ascii="Garamond" w:hAnsi="Garamond" w:cs="Times New Roman"/>
          <w:sz w:val="21"/>
          <w:szCs w:val="21"/>
        </w:rPr>
        <w:t xml:space="preserve">mainly </w:t>
      </w:r>
      <w:r w:rsidR="00E76C50">
        <w:rPr>
          <w:rFonts w:ascii="Garamond" w:hAnsi="Garamond" w:cs="Times New Roman"/>
          <w:sz w:val="21"/>
          <w:szCs w:val="21"/>
        </w:rPr>
        <w:t xml:space="preserve">determined by the placement of Eurobonds by the Armenian Government. </w:t>
      </w:r>
      <w:r w:rsidR="00842E87" w:rsidRPr="004E7A10">
        <w:rPr>
          <w:rFonts w:ascii="Garamond" w:hAnsi="Garamond" w:cs="Times New Roman"/>
          <w:sz w:val="21"/>
          <w:szCs w:val="21"/>
        </w:rPr>
        <w:t xml:space="preserve">The current account deficit was financed </w:t>
      </w:r>
      <w:r w:rsidR="00E76C50">
        <w:rPr>
          <w:rFonts w:ascii="Garamond" w:hAnsi="Garamond" w:cs="Times New Roman"/>
          <w:sz w:val="21"/>
          <w:szCs w:val="21"/>
        </w:rPr>
        <w:t xml:space="preserve">through portfolio investment (placement of Eurobonds) and funds attracted by other private sector (excluding banks). As a result of the balance of payment developments, </w:t>
      </w:r>
      <w:r w:rsidR="00E76C50" w:rsidRPr="004E7A10">
        <w:rPr>
          <w:rFonts w:ascii="Garamond" w:hAnsi="Garamond" w:cs="Times New Roman"/>
          <w:sz w:val="21"/>
          <w:szCs w:val="21"/>
        </w:rPr>
        <w:t>net foreign assets of the Central Ban</w:t>
      </w:r>
      <w:r w:rsidR="00E76C50">
        <w:rPr>
          <w:rFonts w:ascii="Garamond" w:hAnsi="Garamond" w:cs="Times New Roman"/>
          <w:sz w:val="21"/>
          <w:szCs w:val="21"/>
        </w:rPr>
        <w:t>k have grown by USD 35.1 million.</w:t>
      </w:r>
      <w:r w:rsidR="00CC0627" w:rsidRPr="004E7A10">
        <w:rPr>
          <w:rFonts w:ascii="Garamond" w:hAnsi="Garamond" w:cs="Times New Roman"/>
          <w:sz w:val="21"/>
          <w:szCs w:val="21"/>
        </w:rPr>
        <w:t xml:space="preserve">  </w:t>
      </w:r>
    </w:p>
    <w:p w14:paraId="708F9645" w14:textId="77777777" w:rsidR="00315441" w:rsidRPr="004E7A10" w:rsidRDefault="005A62F7" w:rsidP="00A9653E">
      <w:pPr>
        <w:spacing w:line="360" w:lineRule="auto"/>
        <w:jc w:val="both"/>
        <w:rPr>
          <w:rFonts w:ascii="Garamond" w:hAnsi="Garamond" w:cs="Times New Roman"/>
          <w:sz w:val="21"/>
          <w:szCs w:val="21"/>
        </w:rPr>
      </w:pPr>
      <w:r w:rsidRPr="004E7A10">
        <w:rPr>
          <w:rFonts w:ascii="Garamond" w:hAnsi="Garamond" w:cs="Times New Roman"/>
          <w:sz w:val="21"/>
          <w:szCs w:val="21"/>
        </w:rPr>
        <w:t>In t</w:t>
      </w:r>
      <w:r w:rsidR="00315441" w:rsidRPr="004E7A10">
        <w:rPr>
          <w:rFonts w:ascii="Garamond" w:hAnsi="Garamond" w:cs="Times New Roman"/>
          <w:sz w:val="21"/>
          <w:szCs w:val="21"/>
        </w:rPr>
        <w:t xml:space="preserve">he </w:t>
      </w:r>
      <w:r w:rsidR="008E6D13">
        <w:rPr>
          <w:rFonts w:ascii="Garamond" w:hAnsi="Garamond" w:cs="Times New Roman"/>
          <w:sz w:val="21"/>
          <w:szCs w:val="21"/>
        </w:rPr>
        <w:t>1st</w:t>
      </w:r>
      <w:r w:rsidR="00315441" w:rsidRPr="004E7A10">
        <w:rPr>
          <w:rFonts w:ascii="Garamond" w:hAnsi="Garamond" w:cs="Times New Roman"/>
          <w:sz w:val="21"/>
          <w:szCs w:val="21"/>
        </w:rPr>
        <w:t xml:space="preserve"> quarter</w:t>
      </w:r>
      <w:r w:rsidR="008E6D13">
        <w:rPr>
          <w:rFonts w:ascii="Garamond" w:hAnsi="Garamond" w:cs="Times New Roman"/>
          <w:sz w:val="21"/>
          <w:szCs w:val="21"/>
        </w:rPr>
        <w:t xml:space="preserve"> of 2015</w:t>
      </w:r>
      <w:r w:rsidRPr="004E7A10">
        <w:rPr>
          <w:rFonts w:ascii="Garamond" w:hAnsi="Garamond" w:cs="Times New Roman"/>
          <w:sz w:val="21"/>
          <w:szCs w:val="21"/>
        </w:rPr>
        <w:t>,</w:t>
      </w:r>
      <w:r w:rsidR="00315441" w:rsidRPr="004E7A10">
        <w:rPr>
          <w:rFonts w:ascii="Garamond" w:hAnsi="Garamond" w:cs="Times New Roman"/>
          <w:sz w:val="21"/>
          <w:szCs w:val="21"/>
        </w:rPr>
        <w:t xml:space="preserve"> capital transfers </w:t>
      </w:r>
      <w:r w:rsidRPr="004E7A10">
        <w:rPr>
          <w:rFonts w:ascii="Garamond" w:hAnsi="Garamond" w:cs="Times New Roman"/>
          <w:sz w:val="21"/>
          <w:szCs w:val="21"/>
        </w:rPr>
        <w:t>reduced</w:t>
      </w:r>
      <w:r w:rsidR="00315441" w:rsidRPr="004E7A10">
        <w:rPr>
          <w:rFonts w:ascii="Garamond" w:hAnsi="Garamond" w:cs="Times New Roman"/>
          <w:sz w:val="21"/>
          <w:szCs w:val="21"/>
        </w:rPr>
        <w:t xml:space="preserve"> to USD </w:t>
      </w:r>
      <w:r w:rsidR="008E6D13">
        <w:rPr>
          <w:rFonts w:ascii="Garamond" w:hAnsi="Garamond" w:cs="Times New Roman"/>
          <w:sz w:val="21"/>
          <w:szCs w:val="21"/>
        </w:rPr>
        <w:t>8</w:t>
      </w:r>
      <w:r w:rsidR="00315441" w:rsidRPr="004E7A10">
        <w:rPr>
          <w:rFonts w:ascii="Garamond" w:hAnsi="Garamond" w:cs="Times New Roman"/>
          <w:sz w:val="21"/>
          <w:szCs w:val="21"/>
        </w:rPr>
        <w:t>.</w:t>
      </w:r>
      <w:r w:rsidR="008E6D13">
        <w:rPr>
          <w:rFonts w:ascii="Garamond" w:hAnsi="Garamond" w:cs="Times New Roman"/>
          <w:sz w:val="21"/>
          <w:szCs w:val="21"/>
        </w:rPr>
        <w:t>4</w:t>
      </w:r>
      <w:r w:rsidR="00315441" w:rsidRPr="004E7A10">
        <w:rPr>
          <w:rFonts w:ascii="Garamond" w:hAnsi="Garamond" w:cs="Times New Roman"/>
          <w:sz w:val="21"/>
          <w:szCs w:val="21"/>
        </w:rPr>
        <w:t xml:space="preserve"> million </w:t>
      </w:r>
      <w:r w:rsidR="008E6D13">
        <w:rPr>
          <w:rFonts w:ascii="Garamond" w:hAnsi="Garamond" w:cs="Times New Roman"/>
          <w:sz w:val="21"/>
          <w:szCs w:val="21"/>
        </w:rPr>
        <w:t xml:space="preserve">in comparison with </w:t>
      </w:r>
      <w:r w:rsidR="00315441" w:rsidRPr="004E7A10">
        <w:rPr>
          <w:rFonts w:ascii="Garamond" w:hAnsi="Garamond" w:cs="Times New Roman"/>
          <w:sz w:val="21"/>
          <w:szCs w:val="21"/>
        </w:rPr>
        <w:t xml:space="preserve">USD </w:t>
      </w:r>
      <w:r w:rsidR="008E6D13">
        <w:rPr>
          <w:rFonts w:ascii="Garamond" w:hAnsi="Garamond" w:cs="Times New Roman"/>
          <w:sz w:val="21"/>
          <w:szCs w:val="21"/>
        </w:rPr>
        <w:t>11</w:t>
      </w:r>
      <w:r w:rsidR="00315441" w:rsidRPr="004E7A10">
        <w:rPr>
          <w:rFonts w:ascii="Garamond" w:hAnsi="Garamond" w:cs="Times New Roman"/>
          <w:sz w:val="21"/>
          <w:szCs w:val="21"/>
        </w:rPr>
        <w:t>.</w:t>
      </w:r>
      <w:r w:rsidR="008E6D13">
        <w:rPr>
          <w:rFonts w:ascii="Garamond" w:hAnsi="Garamond" w:cs="Times New Roman"/>
          <w:sz w:val="21"/>
          <w:szCs w:val="21"/>
        </w:rPr>
        <w:t>0</w:t>
      </w:r>
      <w:r w:rsidR="00315441" w:rsidRPr="004E7A10">
        <w:rPr>
          <w:rFonts w:ascii="Garamond" w:hAnsi="Garamond" w:cs="Times New Roman"/>
          <w:sz w:val="21"/>
          <w:szCs w:val="21"/>
        </w:rPr>
        <w:t xml:space="preserve"> million re</w:t>
      </w:r>
      <w:r w:rsidR="008E6D13">
        <w:rPr>
          <w:rFonts w:ascii="Garamond" w:hAnsi="Garamond" w:cs="Times New Roman"/>
          <w:sz w:val="21"/>
          <w:szCs w:val="21"/>
        </w:rPr>
        <w:t>ported for the 1st</w:t>
      </w:r>
      <w:r w:rsidR="00315441" w:rsidRPr="004E7A10">
        <w:rPr>
          <w:rFonts w:ascii="Garamond" w:hAnsi="Garamond" w:cs="Times New Roman"/>
          <w:sz w:val="21"/>
          <w:szCs w:val="21"/>
        </w:rPr>
        <w:t xml:space="preserve"> </w:t>
      </w:r>
      <w:r w:rsidR="008E6D13">
        <w:rPr>
          <w:rFonts w:ascii="Garamond" w:hAnsi="Garamond" w:cs="Times New Roman"/>
          <w:sz w:val="21"/>
          <w:szCs w:val="21"/>
        </w:rPr>
        <w:t>quarter of 2014</w:t>
      </w:r>
      <w:r w:rsidR="00315441" w:rsidRPr="004E7A10">
        <w:rPr>
          <w:rFonts w:ascii="Garamond" w:hAnsi="Garamond" w:cs="Times New Roman"/>
          <w:sz w:val="21"/>
          <w:szCs w:val="21"/>
        </w:rPr>
        <w:t>.</w:t>
      </w:r>
    </w:p>
    <w:p w14:paraId="4F84B666" w14:textId="77777777" w:rsidR="00315441" w:rsidRPr="004E7A10" w:rsidRDefault="00F52B67"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During the </w:t>
      </w:r>
      <w:r w:rsidR="0068550B">
        <w:rPr>
          <w:rFonts w:ascii="Garamond" w:hAnsi="Garamond" w:cs="Times New Roman"/>
          <w:sz w:val="21"/>
          <w:szCs w:val="21"/>
        </w:rPr>
        <w:t xml:space="preserve">reporting </w:t>
      </w:r>
      <w:r w:rsidRPr="004E7A10">
        <w:rPr>
          <w:rFonts w:ascii="Garamond" w:hAnsi="Garamond" w:cs="Times New Roman"/>
          <w:sz w:val="21"/>
          <w:szCs w:val="21"/>
        </w:rPr>
        <w:t xml:space="preserve">quarter, </w:t>
      </w:r>
      <w:r w:rsidR="004209BA" w:rsidRPr="004E7A10">
        <w:rPr>
          <w:rFonts w:ascii="Garamond" w:hAnsi="Garamond" w:cs="Times New Roman"/>
          <w:sz w:val="21"/>
          <w:szCs w:val="21"/>
        </w:rPr>
        <w:t xml:space="preserve">net inflow of foreign direct investment </w:t>
      </w:r>
      <w:r w:rsidR="008E6D13">
        <w:rPr>
          <w:rFonts w:ascii="Garamond" w:hAnsi="Garamond" w:cs="Times New Roman"/>
          <w:sz w:val="21"/>
          <w:szCs w:val="21"/>
        </w:rPr>
        <w:t xml:space="preserve">totaled </w:t>
      </w:r>
      <w:r w:rsidR="004209BA" w:rsidRPr="004E7A10">
        <w:rPr>
          <w:rFonts w:ascii="Garamond" w:hAnsi="Garamond" w:cs="Times New Roman"/>
          <w:sz w:val="21"/>
          <w:szCs w:val="21"/>
        </w:rPr>
        <w:t xml:space="preserve">USD </w:t>
      </w:r>
      <w:r w:rsidRPr="004E7A10">
        <w:rPr>
          <w:rFonts w:ascii="Garamond" w:hAnsi="Garamond" w:cs="Times New Roman"/>
          <w:sz w:val="21"/>
          <w:szCs w:val="21"/>
        </w:rPr>
        <w:t>1</w:t>
      </w:r>
      <w:r w:rsidR="008E6D13">
        <w:rPr>
          <w:rFonts w:ascii="Garamond" w:hAnsi="Garamond" w:cs="Times New Roman"/>
          <w:sz w:val="21"/>
          <w:szCs w:val="21"/>
        </w:rPr>
        <w:t>3</w:t>
      </w:r>
      <w:r w:rsidR="004209BA" w:rsidRPr="004E7A10">
        <w:rPr>
          <w:rFonts w:ascii="Garamond" w:hAnsi="Garamond" w:cs="Times New Roman"/>
          <w:sz w:val="21"/>
          <w:szCs w:val="21"/>
        </w:rPr>
        <w:t>.</w:t>
      </w:r>
      <w:r w:rsidR="008E6D13">
        <w:rPr>
          <w:rFonts w:ascii="Garamond" w:hAnsi="Garamond" w:cs="Times New Roman"/>
          <w:sz w:val="21"/>
          <w:szCs w:val="21"/>
        </w:rPr>
        <w:t>6</w:t>
      </w:r>
      <w:r w:rsidR="004209BA" w:rsidRPr="004E7A10">
        <w:rPr>
          <w:rFonts w:ascii="Garamond" w:hAnsi="Garamond" w:cs="Times New Roman"/>
          <w:sz w:val="21"/>
          <w:szCs w:val="21"/>
        </w:rPr>
        <w:t xml:space="preserve"> million. </w:t>
      </w:r>
      <w:r w:rsidRPr="004E7A10">
        <w:rPr>
          <w:rFonts w:ascii="Garamond" w:hAnsi="Garamond" w:cs="Times New Roman"/>
          <w:sz w:val="21"/>
          <w:szCs w:val="21"/>
        </w:rPr>
        <w:t>N</w:t>
      </w:r>
      <w:r w:rsidR="004209BA" w:rsidRPr="004E7A10">
        <w:rPr>
          <w:rFonts w:ascii="Garamond" w:hAnsi="Garamond" w:cs="Times New Roman"/>
          <w:sz w:val="21"/>
          <w:szCs w:val="21"/>
        </w:rPr>
        <w:t xml:space="preserve">et inflow of public </w:t>
      </w:r>
      <w:r w:rsidR="0064758B" w:rsidRPr="004E7A10">
        <w:rPr>
          <w:rFonts w:ascii="Garamond" w:hAnsi="Garamond" w:cs="Times New Roman"/>
          <w:sz w:val="21"/>
          <w:szCs w:val="21"/>
        </w:rPr>
        <w:t>loans</w:t>
      </w:r>
      <w:r w:rsidR="004209BA" w:rsidRPr="004E7A10">
        <w:rPr>
          <w:rFonts w:ascii="Garamond" w:hAnsi="Garamond" w:cs="Times New Roman"/>
          <w:sz w:val="21"/>
          <w:szCs w:val="21"/>
        </w:rPr>
        <w:t xml:space="preserve"> </w:t>
      </w:r>
      <w:r w:rsidR="008E6D13">
        <w:rPr>
          <w:rFonts w:ascii="Garamond" w:hAnsi="Garamond" w:cs="Times New Roman"/>
          <w:sz w:val="21"/>
          <w:szCs w:val="21"/>
        </w:rPr>
        <w:t>(excluding Eurobonds) amounted to</w:t>
      </w:r>
      <w:r w:rsidRPr="004E7A10">
        <w:rPr>
          <w:rFonts w:ascii="Garamond" w:hAnsi="Garamond" w:cs="Times New Roman"/>
          <w:sz w:val="21"/>
          <w:szCs w:val="21"/>
        </w:rPr>
        <w:t xml:space="preserve"> </w:t>
      </w:r>
      <w:r w:rsidR="004209BA" w:rsidRPr="004E7A10">
        <w:rPr>
          <w:rFonts w:ascii="Garamond" w:hAnsi="Garamond" w:cs="Times New Roman"/>
          <w:sz w:val="21"/>
          <w:szCs w:val="21"/>
        </w:rPr>
        <w:t xml:space="preserve">USD </w:t>
      </w:r>
      <w:r w:rsidRPr="004E7A10">
        <w:rPr>
          <w:rFonts w:ascii="Garamond" w:hAnsi="Garamond" w:cs="Times New Roman"/>
          <w:sz w:val="21"/>
          <w:szCs w:val="21"/>
        </w:rPr>
        <w:t>1</w:t>
      </w:r>
      <w:r w:rsidR="0068550B">
        <w:rPr>
          <w:rFonts w:ascii="Garamond" w:hAnsi="Garamond" w:cs="Times New Roman"/>
          <w:sz w:val="21"/>
          <w:szCs w:val="21"/>
        </w:rPr>
        <w:t>3</w:t>
      </w:r>
      <w:r w:rsidR="004209BA" w:rsidRPr="004E7A10">
        <w:rPr>
          <w:rFonts w:ascii="Garamond" w:hAnsi="Garamond" w:cs="Times New Roman"/>
          <w:sz w:val="21"/>
          <w:szCs w:val="21"/>
        </w:rPr>
        <w:t>.</w:t>
      </w:r>
      <w:r w:rsidR="0068550B">
        <w:rPr>
          <w:rFonts w:ascii="Garamond" w:hAnsi="Garamond" w:cs="Times New Roman"/>
          <w:sz w:val="21"/>
          <w:szCs w:val="21"/>
        </w:rPr>
        <w:t>1</w:t>
      </w:r>
      <w:r w:rsidR="004209BA" w:rsidRPr="004E7A10">
        <w:rPr>
          <w:rFonts w:ascii="Garamond" w:hAnsi="Garamond" w:cs="Times New Roman"/>
          <w:sz w:val="21"/>
          <w:szCs w:val="21"/>
        </w:rPr>
        <w:t xml:space="preserve"> million </w:t>
      </w:r>
      <w:r w:rsidR="0068550B">
        <w:rPr>
          <w:rFonts w:ascii="Garamond" w:hAnsi="Garamond" w:cs="Times New Roman"/>
          <w:sz w:val="21"/>
          <w:szCs w:val="21"/>
        </w:rPr>
        <w:t xml:space="preserve">against </w:t>
      </w:r>
      <w:r w:rsidRPr="004E7A10">
        <w:rPr>
          <w:rFonts w:ascii="Garamond" w:hAnsi="Garamond" w:cs="Times New Roman"/>
          <w:sz w:val="21"/>
          <w:szCs w:val="21"/>
        </w:rPr>
        <w:t xml:space="preserve">net outflow of </w:t>
      </w:r>
      <w:r w:rsidR="004209BA" w:rsidRPr="004E7A10">
        <w:rPr>
          <w:rFonts w:ascii="Garamond" w:hAnsi="Garamond" w:cs="Times New Roman"/>
          <w:sz w:val="21"/>
          <w:szCs w:val="21"/>
        </w:rPr>
        <w:t xml:space="preserve">USD </w:t>
      </w:r>
      <w:r w:rsidR="0068550B">
        <w:rPr>
          <w:rFonts w:ascii="Garamond" w:hAnsi="Garamond" w:cs="Times New Roman"/>
          <w:sz w:val="21"/>
          <w:szCs w:val="21"/>
        </w:rPr>
        <w:t>7</w:t>
      </w:r>
      <w:r w:rsidR="004209BA" w:rsidRPr="004E7A10">
        <w:rPr>
          <w:rFonts w:ascii="Garamond" w:hAnsi="Garamond" w:cs="Times New Roman"/>
          <w:sz w:val="21"/>
          <w:szCs w:val="21"/>
        </w:rPr>
        <w:t>.</w:t>
      </w:r>
      <w:r w:rsidR="0068550B">
        <w:rPr>
          <w:rFonts w:ascii="Garamond" w:hAnsi="Garamond" w:cs="Times New Roman"/>
          <w:sz w:val="21"/>
          <w:szCs w:val="21"/>
        </w:rPr>
        <w:t>3</w:t>
      </w:r>
      <w:r w:rsidR="004209BA" w:rsidRPr="004E7A10">
        <w:rPr>
          <w:rFonts w:ascii="Garamond" w:hAnsi="Garamond" w:cs="Times New Roman"/>
          <w:sz w:val="21"/>
          <w:szCs w:val="21"/>
        </w:rPr>
        <w:t xml:space="preserve"> million reported for the </w:t>
      </w:r>
      <w:r w:rsidR="0068550B">
        <w:rPr>
          <w:rFonts w:ascii="Garamond" w:hAnsi="Garamond" w:cs="Times New Roman"/>
          <w:sz w:val="21"/>
          <w:szCs w:val="21"/>
        </w:rPr>
        <w:t>same reference period last year</w:t>
      </w:r>
      <w:r w:rsidR="009F7E54" w:rsidRPr="004E7A10">
        <w:rPr>
          <w:rFonts w:ascii="Garamond" w:hAnsi="Garamond" w:cs="Times New Roman"/>
          <w:sz w:val="21"/>
          <w:szCs w:val="21"/>
        </w:rPr>
        <w:t xml:space="preserve">. </w:t>
      </w:r>
    </w:p>
    <w:p w14:paraId="31563F19" w14:textId="77777777" w:rsidR="003D6BEE" w:rsidRPr="004E7A10" w:rsidRDefault="00CF10BE" w:rsidP="003F5AE1">
      <w:pPr>
        <w:spacing w:line="360" w:lineRule="auto"/>
        <w:jc w:val="both"/>
        <w:rPr>
          <w:rFonts w:ascii="Garamond" w:hAnsi="Garamond" w:cs="Times New Roman"/>
          <w:sz w:val="21"/>
          <w:szCs w:val="21"/>
        </w:rPr>
      </w:pPr>
      <w:r>
        <w:rPr>
          <w:rFonts w:ascii="Garamond" w:hAnsi="Garamond" w:cs="Times New Roman"/>
          <w:sz w:val="21"/>
          <w:szCs w:val="21"/>
        </w:rPr>
        <w:lastRenderedPageBreak/>
        <w:t xml:space="preserve">Net foreign assets of the </w:t>
      </w:r>
      <w:r w:rsidR="006C252E" w:rsidRPr="004E7A10">
        <w:rPr>
          <w:rFonts w:ascii="Garamond" w:hAnsi="Garamond" w:cs="Times New Roman"/>
          <w:sz w:val="21"/>
          <w:szCs w:val="21"/>
        </w:rPr>
        <w:t xml:space="preserve">private sector </w:t>
      </w:r>
      <w:r>
        <w:rPr>
          <w:rFonts w:ascii="Garamond" w:hAnsi="Garamond" w:cs="Times New Roman"/>
          <w:sz w:val="21"/>
          <w:szCs w:val="21"/>
        </w:rPr>
        <w:t xml:space="preserve">have reduced by USD 2.9 million as opposed to an increase of USD 48.2 million </w:t>
      </w:r>
      <w:r w:rsidR="006C252E" w:rsidRPr="004E7A10">
        <w:rPr>
          <w:rFonts w:ascii="Garamond" w:hAnsi="Garamond" w:cs="Times New Roman"/>
          <w:sz w:val="21"/>
          <w:szCs w:val="21"/>
        </w:rPr>
        <w:t xml:space="preserve">posted </w:t>
      </w:r>
      <w:r>
        <w:rPr>
          <w:rFonts w:ascii="Garamond" w:hAnsi="Garamond" w:cs="Times New Roman"/>
          <w:sz w:val="21"/>
          <w:szCs w:val="21"/>
        </w:rPr>
        <w:t>during the 1st</w:t>
      </w:r>
      <w:r w:rsidR="006C252E" w:rsidRPr="004E7A10">
        <w:rPr>
          <w:rFonts w:ascii="Garamond" w:hAnsi="Garamond" w:cs="Times New Roman"/>
          <w:sz w:val="21"/>
          <w:szCs w:val="21"/>
        </w:rPr>
        <w:t xml:space="preserve"> </w:t>
      </w:r>
      <w:r>
        <w:rPr>
          <w:rFonts w:ascii="Garamond" w:hAnsi="Garamond" w:cs="Times New Roman"/>
          <w:sz w:val="21"/>
          <w:szCs w:val="21"/>
        </w:rPr>
        <w:t>quarter of the previous year. N</w:t>
      </w:r>
      <w:r w:rsidR="006C252E" w:rsidRPr="004E7A10">
        <w:rPr>
          <w:rFonts w:ascii="Garamond" w:hAnsi="Garamond" w:cs="Times New Roman"/>
          <w:sz w:val="21"/>
          <w:szCs w:val="21"/>
        </w:rPr>
        <w:t xml:space="preserve">et </w:t>
      </w:r>
      <w:r>
        <w:rPr>
          <w:rFonts w:ascii="Garamond" w:hAnsi="Garamond" w:cs="Times New Roman"/>
          <w:sz w:val="21"/>
          <w:szCs w:val="21"/>
        </w:rPr>
        <w:t>foreign assets of co</w:t>
      </w:r>
      <w:r w:rsidRPr="004E7A10">
        <w:rPr>
          <w:rFonts w:ascii="Garamond" w:hAnsi="Garamond" w:cs="Times New Roman"/>
          <w:sz w:val="21"/>
          <w:szCs w:val="21"/>
        </w:rPr>
        <w:t>mmercial banks</w:t>
      </w:r>
      <w:r>
        <w:rPr>
          <w:rFonts w:ascii="Garamond" w:hAnsi="Garamond" w:cs="Times New Roman"/>
          <w:sz w:val="21"/>
          <w:szCs w:val="21"/>
        </w:rPr>
        <w:t xml:space="preserve"> have grown by</w:t>
      </w:r>
      <w:r w:rsidR="006C252E" w:rsidRPr="004E7A10">
        <w:rPr>
          <w:rFonts w:ascii="Garamond" w:hAnsi="Garamond" w:cs="Times New Roman"/>
          <w:sz w:val="21"/>
          <w:szCs w:val="21"/>
        </w:rPr>
        <w:t xml:space="preserve"> USD </w:t>
      </w:r>
      <w:r>
        <w:rPr>
          <w:rFonts w:ascii="Garamond" w:hAnsi="Garamond" w:cs="Times New Roman"/>
          <w:sz w:val="21"/>
          <w:szCs w:val="21"/>
        </w:rPr>
        <w:t>136</w:t>
      </w:r>
      <w:r w:rsidR="006C252E" w:rsidRPr="004E7A10">
        <w:rPr>
          <w:rFonts w:ascii="Garamond" w:hAnsi="Garamond" w:cs="Times New Roman"/>
          <w:sz w:val="21"/>
          <w:szCs w:val="21"/>
        </w:rPr>
        <w:t>.</w:t>
      </w:r>
      <w:r>
        <w:rPr>
          <w:rFonts w:ascii="Garamond" w:hAnsi="Garamond" w:cs="Times New Roman"/>
          <w:sz w:val="21"/>
          <w:szCs w:val="21"/>
        </w:rPr>
        <w:t>6</w:t>
      </w:r>
      <w:r w:rsidR="006C252E" w:rsidRPr="004E7A10">
        <w:rPr>
          <w:rFonts w:ascii="Garamond" w:hAnsi="Garamond" w:cs="Times New Roman"/>
          <w:sz w:val="21"/>
          <w:szCs w:val="21"/>
        </w:rPr>
        <w:t xml:space="preserve"> million in contrast to other private sector</w:t>
      </w:r>
      <w:r>
        <w:rPr>
          <w:rFonts w:ascii="Garamond" w:hAnsi="Garamond" w:cs="Times New Roman"/>
          <w:sz w:val="21"/>
          <w:szCs w:val="21"/>
        </w:rPr>
        <w:t>’</w:t>
      </w:r>
      <w:r w:rsidR="006C252E" w:rsidRPr="004E7A10">
        <w:rPr>
          <w:rFonts w:ascii="Garamond" w:hAnsi="Garamond" w:cs="Times New Roman"/>
          <w:sz w:val="21"/>
          <w:szCs w:val="21"/>
        </w:rPr>
        <w:t xml:space="preserve">s net </w:t>
      </w:r>
      <w:r>
        <w:rPr>
          <w:rFonts w:ascii="Garamond" w:hAnsi="Garamond" w:cs="Times New Roman"/>
          <w:sz w:val="21"/>
          <w:szCs w:val="21"/>
        </w:rPr>
        <w:t>foreign assets having decreased by USD 139.6 million</w:t>
      </w:r>
      <w:r w:rsidR="003D6BEE" w:rsidRPr="004E7A10">
        <w:rPr>
          <w:rFonts w:ascii="Garamond" w:hAnsi="Garamond" w:cs="Times New Roman"/>
          <w:sz w:val="21"/>
          <w:szCs w:val="21"/>
        </w:rPr>
        <w:t xml:space="preserve">. </w:t>
      </w:r>
    </w:p>
    <w:p w14:paraId="54BF65F7" w14:textId="77777777" w:rsidR="00A9653E" w:rsidRPr="004E7A10" w:rsidRDefault="00A9653E" w:rsidP="00A9653E">
      <w:pPr>
        <w:spacing w:line="360" w:lineRule="auto"/>
        <w:jc w:val="both"/>
        <w:rPr>
          <w:rFonts w:ascii="Garamond" w:hAnsi="Garamond" w:cs="Times New Roman"/>
          <w:b/>
          <w:sz w:val="21"/>
          <w:szCs w:val="21"/>
        </w:rPr>
      </w:pPr>
      <w:r w:rsidRPr="004E7A10">
        <w:rPr>
          <w:rFonts w:ascii="Garamond" w:hAnsi="Garamond" w:cs="Times New Roman"/>
          <w:b/>
          <w:sz w:val="21"/>
          <w:szCs w:val="21"/>
        </w:rPr>
        <w:t>3.5 External environment</w:t>
      </w:r>
    </w:p>
    <w:p w14:paraId="4DB7A44C" w14:textId="77777777" w:rsidR="00A9653E" w:rsidRPr="004E7A10" w:rsidRDefault="000C4710" w:rsidP="00A9653E">
      <w:pPr>
        <w:spacing w:line="360" w:lineRule="auto"/>
        <w:jc w:val="both"/>
        <w:rPr>
          <w:rStyle w:val="longtext"/>
          <w:rFonts w:ascii="Garamond" w:hAnsi="Garamond" w:cs="Times New Roman"/>
          <w:color w:val="000000"/>
          <w:sz w:val="21"/>
          <w:szCs w:val="21"/>
          <w:shd w:val="clear" w:color="auto" w:fill="FFFFFF"/>
        </w:rPr>
      </w:pPr>
      <w:r>
        <w:rPr>
          <w:rStyle w:val="longtext"/>
          <w:rFonts w:ascii="Garamond" w:hAnsi="Garamond" w:cs="Times New Roman"/>
          <w:b/>
          <w:sz w:val="21"/>
          <w:szCs w:val="21"/>
          <w:shd w:val="clear" w:color="auto" w:fill="FFFFFF"/>
        </w:rPr>
        <w:t>A slow growth of e</w:t>
      </w:r>
      <w:r w:rsidRPr="004E7A10">
        <w:rPr>
          <w:rStyle w:val="longtext"/>
          <w:rFonts w:ascii="Garamond" w:hAnsi="Garamond" w:cs="Times New Roman"/>
          <w:b/>
          <w:sz w:val="21"/>
          <w:szCs w:val="21"/>
          <w:shd w:val="clear" w:color="auto" w:fill="FFFFFF"/>
        </w:rPr>
        <w:t>conomic activity w</w:t>
      </w:r>
      <w:r>
        <w:rPr>
          <w:rStyle w:val="longtext"/>
          <w:rFonts w:ascii="Garamond" w:hAnsi="Garamond" w:cs="Times New Roman"/>
          <w:b/>
          <w:sz w:val="21"/>
          <w:szCs w:val="21"/>
          <w:shd w:val="clear" w:color="auto" w:fill="FFFFFF"/>
        </w:rPr>
        <w:t>as</w:t>
      </w:r>
      <w:r w:rsidRPr="004E7A10">
        <w:rPr>
          <w:rStyle w:val="longtext"/>
          <w:rFonts w:ascii="Garamond" w:hAnsi="Garamond" w:cs="Times New Roman"/>
          <w:b/>
          <w:sz w:val="21"/>
          <w:szCs w:val="21"/>
          <w:shd w:val="clear" w:color="auto" w:fill="FFFFFF"/>
        </w:rPr>
        <w:t xml:space="preserve"> observable in Armenia</w:t>
      </w:r>
      <w:r>
        <w:rPr>
          <w:rFonts w:ascii="Garamond" w:hAnsi="Garamond" w:cs="Times New Roman"/>
          <w:b/>
          <w:sz w:val="21"/>
          <w:szCs w:val="21"/>
        </w:rPr>
        <w:t>’</w:t>
      </w:r>
      <w:r w:rsidRPr="004E7A10">
        <w:rPr>
          <w:rStyle w:val="longtext"/>
          <w:rFonts w:ascii="Garamond" w:hAnsi="Garamond" w:cs="Times New Roman"/>
          <w:b/>
          <w:sz w:val="21"/>
          <w:szCs w:val="21"/>
          <w:shd w:val="clear" w:color="auto" w:fill="FFFFFF"/>
        </w:rPr>
        <w:t xml:space="preserve">s main trade partner countries </w:t>
      </w:r>
      <w:r>
        <w:rPr>
          <w:rStyle w:val="longtext"/>
          <w:rFonts w:ascii="Garamond" w:hAnsi="Garamond" w:cs="Times New Roman"/>
          <w:b/>
          <w:sz w:val="21"/>
          <w:szCs w:val="21"/>
          <w:shd w:val="clear" w:color="auto" w:fill="FFFFFF"/>
        </w:rPr>
        <w:t xml:space="preserve">during </w:t>
      </w:r>
      <w:r w:rsidR="00A9653E" w:rsidRPr="004E7A10">
        <w:rPr>
          <w:rStyle w:val="longtext"/>
          <w:rFonts w:ascii="Garamond" w:hAnsi="Garamond" w:cs="Times New Roman"/>
          <w:b/>
          <w:sz w:val="21"/>
          <w:szCs w:val="21"/>
          <w:shd w:val="clear" w:color="auto" w:fill="FFFFFF"/>
        </w:rPr>
        <w:t xml:space="preserve">the </w:t>
      </w:r>
      <w:r w:rsidR="005C6194">
        <w:rPr>
          <w:rStyle w:val="longtext"/>
          <w:rFonts w:ascii="Garamond" w:hAnsi="Garamond" w:cs="Times New Roman"/>
          <w:b/>
          <w:sz w:val="21"/>
          <w:szCs w:val="21"/>
          <w:shd w:val="clear" w:color="auto" w:fill="FFFFFF"/>
        </w:rPr>
        <w:t>1st</w:t>
      </w:r>
      <w:r w:rsidR="00A9653E" w:rsidRPr="004E7A10">
        <w:rPr>
          <w:rStyle w:val="longtext"/>
          <w:rFonts w:ascii="Garamond" w:hAnsi="Garamond" w:cs="Times New Roman"/>
          <w:b/>
          <w:sz w:val="21"/>
          <w:szCs w:val="21"/>
          <w:shd w:val="clear" w:color="auto" w:fill="FFFFFF"/>
        </w:rPr>
        <w:t xml:space="preserve"> quarter of 201</w:t>
      </w:r>
      <w:r w:rsidR="005C6194">
        <w:rPr>
          <w:rStyle w:val="longtext"/>
          <w:rFonts w:ascii="Garamond" w:hAnsi="Garamond" w:cs="Times New Roman"/>
          <w:b/>
          <w:sz w:val="21"/>
          <w:szCs w:val="21"/>
          <w:shd w:val="clear" w:color="auto" w:fill="FFFFFF"/>
        </w:rPr>
        <w:t>5</w:t>
      </w:r>
      <w:r w:rsidR="00A9653E" w:rsidRPr="004E7A10">
        <w:rPr>
          <w:rStyle w:val="longtext"/>
          <w:rFonts w:ascii="Garamond" w:hAnsi="Garamond" w:cs="Times New Roman"/>
          <w:b/>
          <w:sz w:val="21"/>
          <w:szCs w:val="21"/>
          <w:shd w:val="clear" w:color="auto" w:fill="FFFFFF"/>
        </w:rPr>
        <w:t>,</w:t>
      </w:r>
      <w:r>
        <w:rPr>
          <w:rStyle w:val="longtext"/>
          <w:rFonts w:ascii="Garamond" w:hAnsi="Garamond" w:cs="Times New Roman"/>
          <w:b/>
          <w:sz w:val="21"/>
          <w:szCs w:val="21"/>
          <w:shd w:val="clear" w:color="auto" w:fill="FFFFFF"/>
        </w:rPr>
        <w:t xml:space="preserve"> too</w:t>
      </w:r>
      <w:r w:rsidR="00A9653E" w:rsidRPr="004E7A10">
        <w:rPr>
          <w:rStyle w:val="longtext"/>
          <w:rFonts w:ascii="Garamond" w:hAnsi="Garamond" w:cs="Times New Roman"/>
          <w:b/>
          <w:sz w:val="21"/>
          <w:szCs w:val="21"/>
          <w:shd w:val="clear" w:color="auto" w:fill="FFFFFF"/>
        </w:rPr>
        <w:t>.</w:t>
      </w:r>
    </w:p>
    <w:p w14:paraId="1926E336"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According to preliminary estimates of the U.S. Department of Commerce Bureau of Economic Analyses, </w:t>
      </w:r>
      <w:r w:rsidR="003D6BEE" w:rsidRPr="004E7A10">
        <w:rPr>
          <w:rFonts w:ascii="Garamond" w:hAnsi="Garamond" w:cs="Times New Roman"/>
          <w:b/>
          <w:sz w:val="21"/>
          <w:szCs w:val="21"/>
        </w:rPr>
        <w:t xml:space="preserve">in the </w:t>
      </w:r>
      <w:r w:rsidR="003D6BEE" w:rsidRPr="004E7A10">
        <w:rPr>
          <w:rFonts w:ascii="Garamond" w:hAnsi="Garamond" w:cs="Times New Roman"/>
          <w:b/>
          <w:bCs/>
          <w:sz w:val="21"/>
          <w:szCs w:val="21"/>
        </w:rPr>
        <w:t xml:space="preserve">United States of America </w:t>
      </w:r>
      <w:r w:rsidRPr="004E7A10">
        <w:rPr>
          <w:rFonts w:ascii="Garamond" w:hAnsi="Garamond" w:cs="Times New Roman"/>
          <w:b/>
          <w:bCs/>
          <w:sz w:val="21"/>
          <w:szCs w:val="21"/>
        </w:rPr>
        <w:t xml:space="preserve">in </w:t>
      </w:r>
      <w:r w:rsidRPr="004E7A10">
        <w:rPr>
          <w:rFonts w:ascii="Garamond" w:hAnsi="Garamond" w:cs="Times New Roman"/>
          <w:b/>
          <w:sz w:val="21"/>
          <w:szCs w:val="21"/>
        </w:rPr>
        <w:t xml:space="preserve">the </w:t>
      </w:r>
      <w:r w:rsidR="00AD600D">
        <w:rPr>
          <w:rFonts w:ascii="Garamond" w:hAnsi="Garamond" w:cs="Times New Roman"/>
          <w:b/>
          <w:sz w:val="21"/>
          <w:szCs w:val="21"/>
        </w:rPr>
        <w:t>1st q</w:t>
      </w:r>
      <w:r w:rsidRPr="004E7A10">
        <w:rPr>
          <w:rFonts w:ascii="Garamond" w:hAnsi="Garamond" w:cs="Times New Roman"/>
          <w:b/>
          <w:sz w:val="21"/>
          <w:szCs w:val="21"/>
        </w:rPr>
        <w:t>uarter of 2014</w:t>
      </w:r>
      <w:r w:rsidRPr="004E7A10">
        <w:rPr>
          <w:rFonts w:ascii="Garamond" w:hAnsi="Garamond" w:cs="Times New Roman"/>
          <w:sz w:val="21"/>
          <w:szCs w:val="21"/>
        </w:rPr>
        <w:t xml:space="preserve"> the annualized economic growth </w:t>
      </w:r>
      <w:r w:rsidRPr="004E7A10">
        <w:rPr>
          <w:rFonts w:ascii="Garamond" w:hAnsi="Garamond" w:cs="Times New Roman"/>
          <w:bCs/>
          <w:sz w:val="21"/>
          <w:szCs w:val="21"/>
        </w:rPr>
        <w:t>was</w:t>
      </w:r>
      <w:r w:rsidR="003D6BEE" w:rsidRPr="004E7A10">
        <w:rPr>
          <w:rFonts w:ascii="Garamond" w:hAnsi="Garamond" w:cs="Times New Roman"/>
          <w:bCs/>
          <w:sz w:val="21"/>
          <w:szCs w:val="21"/>
        </w:rPr>
        <w:t xml:space="preserve"> </w:t>
      </w:r>
      <w:r w:rsidR="00AD600D">
        <w:rPr>
          <w:rFonts w:ascii="Garamond" w:hAnsi="Garamond" w:cs="Times New Roman"/>
          <w:bCs/>
          <w:sz w:val="21"/>
          <w:szCs w:val="21"/>
        </w:rPr>
        <w:t>0</w:t>
      </w:r>
      <w:r w:rsidR="00E33A09" w:rsidRPr="004E7A10">
        <w:rPr>
          <w:rFonts w:ascii="Garamond" w:hAnsi="Garamond" w:cs="Times New Roman"/>
          <w:sz w:val="21"/>
          <w:szCs w:val="21"/>
        </w:rPr>
        <w:t>.</w:t>
      </w:r>
      <w:r w:rsidR="00AD600D">
        <w:rPr>
          <w:rFonts w:ascii="Garamond" w:hAnsi="Garamond" w:cs="Times New Roman"/>
          <w:sz w:val="21"/>
          <w:szCs w:val="21"/>
        </w:rPr>
        <w:t>2</w:t>
      </w:r>
      <w:r w:rsidRPr="004E7A10">
        <w:rPr>
          <w:rFonts w:ascii="Garamond" w:hAnsi="Garamond" w:cs="Times New Roman"/>
          <w:sz w:val="21"/>
          <w:szCs w:val="21"/>
        </w:rPr>
        <w:t xml:space="preserve">% q/q </w:t>
      </w:r>
      <w:r w:rsidR="00AD600D">
        <w:rPr>
          <w:rFonts w:ascii="Garamond" w:hAnsi="Garamond" w:cs="Times New Roman"/>
          <w:sz w:val="21"/>
          <w:szCs w:val="21"/>
        </w:rPr>
        <w:t xml:space="preserve">instead of the previous quarter’s 2.2% growth </w:t>
      </w:r>
      <w:r w:rsidRPr="004E7A10">
        <w:rPr>
          <w:rFonts w:ascii="Garamond" w:hAnsi="Garamond" w:cs="Times New Roman"/>
          <w:sz w:val="21"/>
          <w:szCs w:val="21"/>
        </w:rPr>
        <w:t>(</w:t>
      </w:r>
      <w:r w:rsidR="00AD600D">
        <w:rPr>
          <w:rFonts w:ascii="Garamond" w:hAnsi="Garamond" w:cs="Times New Roman"/>
          <w:sz w:val="21"/>
          <w:szCs w:val="21"/>
        </w:rPr>
        <w:t>3</w:t>
      </w:r>
      <w:r w:rsidRPr="004E7A10">
        <w:rPr>
          <w:rFonts w:ascii="Garamond" w:hAnsi="Garamond" w:cs="Times New Roman"/>
          <w:sz w:val="21"/>
          <w:szCs w:val="21"/>
        </w:rPr>
        <w:t>.</w:t>
      </w:r>
      <w:r w:rsidR="00AD600D">
        <w:rPr>
          <w:rFonts w:ascii="Garamond" w:hAnsi="Garamond" w:cs="Times New Roman"/>
          <w:sz w:val="21"/>
          <w:szCs w:val="21"/>
        </w:rPr>
        <w:t>0</w:t>
      </w:r>
      <w:r w:rsidRPr="004E7A10">
        <w:rPr>
          <w:rFonts w:ascii="Garamond" w:hAnsi="Garamond" w:cs="Times New Roman"/>
          <w:sz w:val="21"/>
          <w:szCs w:val="21"/>
        </w:rPr>
        <w:t xml:space="preserve">% y/y economic growth </w:t>
      </w:r>
      <w:r w:rsidR="00AD600D">
        <w:rPr>
          <w:rFonts w:ascii="Garamond" w:hAnsi="Garamond" w:cs="Times New Roman"/>
          <w:sz w:val="21"/>
          <w:szCs w:val="21"/>
        </w:rPr>
        <w:t xml:space="preserve">was recorded in </w:t>
      </w:r>
      <w:r w:rsidRPr="004E7A10">
        <w:rPr>
          <w:rFonts w:ascii="Garamond" w:hAnsi="Garamond" w:cs="Times New Roman"/>
          <w:sz w:val="21"/>
          <w:szCs w:val="21"/>
        </w:rPr>
        <w:t xml:space="preserve">the </w:t>
      </w:r>
      <w:r w:rsidR="00AD600D">
        <w:rPr>
          <w:rFonts w:ascii="Garamond" w:hAnsi="Garamond" w:cs="Times New Roman"/>
          <w:sz w:val="21"/>
          <w:szCs w:val="21"/>
        </w:rPr>
        <w:t>1st</w:t>
      </w:r>
      <w:r w:rsidRPr="004E7A10">
        <w:rPr>
          <w:rFonts w:ascii="Garamond" w:hAnsi="Garamond" w:cs="Times New Roman"/>
          <w:sz w:val="21"/>
          <w:szCs w:val="21"/>
        </w:rPr>
        <w:t xml:space="preserve"> quarter). </w:t>
      </w:r>
      <w:r w:rsidR="0023170B">
        <w:rPr>
          <w:rFonts w:ascii="Garamond" w:hAnsi="Garamond" w:cs="Times New Roman"/>
          <w:sz w:val="21"/>
          <w:szCs w:val="21"/>
        </w:rPr>
        <w:t>T</w:t>
      </w:r>
      <w:r w:rsidR="003D6BEE" w:rsidRPr="004E7A10">
        <w:rPr>
          <w:rFonts w:ascii="Garamond" w:hAnsi="Garamond" w:cs="Times New Roman"/>
          <w:sz w:val="21"/>
          <w:szCs w:val="21"/>
        </w:rPr>
        <w:t xml:space="preserve">he slowing of the growth </w:t>
      </w:r>
      <w:r w:rsidR="0023170B">
        <w:rPr>
          <w:rFonts w:ascii="Garamond" w:hAnsi="Garamond" w:cs="Times New Roman"/>
          <w:sz w:val="21"/>
          <w:szCs w:val="21"/>
        </w:rPr>
        <w:t>in the 1st</w:t>
      </w:r>
      <w:r w:rsidR="003D6BEE" w:rsidRPr="004E7A10">
        <w:rPr>
          <w:rFonts w:ascii="Garamond" w:hAnsi="Garamond" w:cs="Times New Roman"/>
          <w:sz w:val="21"/>
          <w:szCs w:val="21"/>
        </w:rPr>
        <w:t xml:space="preserve"> quarter was </w:t>
      </w:r>
      <w:r w:rsidR="0023170B">
        <w:rPr>
          <w:rFonts w:ascii="Garamond" w:hAnsi="Garamond" w:cs="Times New Roman"/>
          <w:sz w:val="21"/>
          <w:szCs w:val="21"/>
        </w:rPr>
        <w:t xml:space="preserve">mainly </w:t>
      </w:r>
      <w:r w:rsidR="003D6BEE" w:rsidRPr="004E7A10">
        <w:rPr>
          <w:rFonts w:ascii="Garamond" w:hAnsi="Garamond" w:cs="Times New Roman"/>
          <w:sz w:val="21"/>
          <w:szCs w:val="21"/>
        </w:rPr>
        <w:t xml:space="preserve">driven by </w:t>
      </w:r>
      <w:r w:rsidR="00732C5D" w:rsidRPr="004E7A10">
        <w:rPr>
          <w:rFonts w:ascii="Garamond" w:hAnsi="Garamond" w:cs="Times New Roman"/>
          <w:sz w:val="21"/>
          <w:szCs w:val="21"/>
        </w:rPr>
        <w:t>reduced p</w:t>
      </w:r>
      <w:r w:rsidR="008A1466">
        <w:rPr>
          <w:rFonts w:ascii="Garamond" w:hAnsi="Garamond" w:cs="Times New Roman"/>
          <w:sz w:val="21"/>
          <w:szCs w:val="21"/>
        </w:rPr>
        <w:t xml:space="preserve">rivate spending, </w:t>
      </w:r>
      <w:r w:rsidR="008A1466" w:rsidRPr="004E7A10">
        <w:rPr>
          <w:rFonts w:ascii="Garamond" w:hAnsi="Garamond" w:cs="Times New Roman"/>
          <w:sz w:val="21"/>
          <w:szCs w:val="21"/>
        </w:rPr>
        <w:t xml:space="preserve">slowed down </w:t>
      </w:r>
      <w:r w:rsidR="008A1466">
        <w:rPr>
          <w:rFonts w:ascii="Garamond" w:hAnsi="Garamond" w:cs="Times New Roman"/>
          <w:sz w:val="21"/>
          <w:szCs w:val="21"/>
        </w:rPr>
        <w:t>exports,</w:t>
      </w:r>
      <w:r w:rsidR="00732C5D" w:rsidRPr="004E7A10">
        <w:rPr>
          <w:rFonts w:ascii="Garamond" w:hAnsi="Garamond" w:cs="Times New Roman"/>
          <w:sz w:val="21"/>
          <w:szCs w:val="21"/>
        </w:rPr>
        <w:t xml:space="preserve"> investment and </w:t>
      </w:r>
      <w:r w:rsidR="008A1466">
        <w:rPr>
          <w:rFonts w:ascii="Garamond" w:hAnsi="Garamond" w:cs="Times New Roman"/>
          <w:sz w:val="21"/>
          <w:szCs w:val="21"/>
        </w:rPr>
        <w:t xml:space="preserve">public expenditures. These were </w:t>
      </w:r>
      <w:r w:rsidR="00732C5D" w:rsidRPr="004E7A10">
        <w:rPr>
          <w:rFonts w:ascii="Garamond" w:hAnsi="Garamond" w:cs="Times New Roman"/>
          <w:sz w:val="21"/>
          <w:szCs w:val="21"/>
        </w:rPr>
        <w:t xml:space="preserve">only partly offset by </w:t>
      </w:r>
      <w:r w:rsidR="008A1466">
        <w:rPr>
          <w:rFonts w:ascii="Garamond" w:hAnsi="Garamond" w:cs="Times New Roman"/>
          <w:sz w:val="21"/>
          <w:szCs w:val="21"/>
        </w:rPr>
        <w:t xml:space="preserve">slowing imports and added </w:t>
      </w:r>
      <w:r w:rsidR="00732C5D" w:rsidRPr="004E7A10">
        <w:rPr>
          <w:rFonts w:ascii="Garamond" w:hAnsi="Garamond" w:cs="Times New Roman"/>
          <w:sz w:val="21"/>
          <w:szCs w:val="21"/>
        </w:rPr>
        <w:t>private investment in inventories.</w:t>
      </w:r>
      <w:r w:rsidRPr="004E7A10">
        <w:rPr>
          <w:rFonts w:ascii="Garamond" w:hAnsi="Garamond" w:cs="Times New Roman"/>
          <w:sz w:val="21"/>
          <w:szCs w:val="21"/>
        </w:rPr>
        <w:t xml:space="preserve"> </w:t>
      </w:r>
    </w:p>
    <w:p w14:paraId="03E73BCE" w14:textId="77777777" w:rsidR="00A9653E" w:rsidRPr="004E7A10" w:rsidRDefault="00B036D0" w:rsidP="00A9653E">
      <w:pPr>
        <w:spacing w:line="360" w:lineRule="auto"/>
        <w:jc w:val="both"/>
        <w:rPr>
          <w:rFonts w:ascii="Garamond" w:hAnsi="Garamond" w:cs="Times New Roman"/>
          <w:sz w:val="21"/>
          <w:szCs w:val="21"/>
        </w:rPr>
      </w:pPr>
      <w:r>
        <w:rPr>
          <w:rFonts w:ascii="Garamond" w:hAnsi="Garamond" w:cs="Times New Roman"/>
          <w:sz w:val="21"/>
          <w:szCs w:val="21"/>
        </w:rPr>
        <w:t xml:space="preserve">There was </w:t>
      </w:r>
      <w:r w:rsidR="00A9653E" w:rsidRPr="00B036D0">
        <w:rPr>
          <w:rFonts w:ascii="Garamond" w:hAnsi="Garamond" w:cs="Times New Roman"/>
          <w:sz w:val="21"/>
          <w:szCs w:val="21"/>
        </w:rPr>
        <w:t xml:space="preserve">average quarterly </w:t>
      </w:r>
      <w:r>
        <w:rPr>
          <w:rFonts w:ascii="Garamond" w:hAnsi="Garamond" w:cs="Times New Roman"/>
          <w:sz w:val="21"/>
          <w:szCs w:val="21"/>
        </w:rPr>
        <w:t>de</w:t>
      </w:r>
      <w:r w:rsidR="00A9653E" w:rsidRPr="00B036D0">
        <w:rPr>
          <w:rFonts w:ascii="Garamond" w:hAnsi="Garamond" w:cs="Times New Roman"/>
          <w:sz w:val="21"/>
          <w:szCs w:val="21"/>
        </w:rPr>
        <w:t xml:space="preserve">flation </w:t>
      </w:r>
      <w:r>
        <w:rPr>
          <w:rFonts w:ascii="Garamond" w:hAnsi="Garamond" w:cs="Times New Roman"/>
          <w:sz w:val="21"/>
          <w:szCs w:val="21"/>
        </w:rPr>
        <w:t xml:space="preserve">of 0.06% y/y </w:t>
      </w:r>
      <w:r w:rsidR="00A9653E" w:rsidRPr="00B036D0">
        <w:rPr>
          <w:rFonts w:ascii="Garamond" w:hAnsi="Garamond" w:cs="Times New Roman"/>
          <w:sz w:val="21"/>
          <w:szCs w:val="21"/>
        </w:rPr>
        <w:t>in the U.S</w:t>
      </w:r>
      <w:r w:rsidR="008F0EB9">
        <w:rPr>
          <w:rFonts w:ascii="Garamond" w:hAnsi="Garamond" w:cs="Times New Roman"/>
          <w:sz w:val="21"/>
          <w:szCs w:val="21"/>
        </w:rPr>
        <w:t>.</w:t>
      </w:r>
      <w:r>
        <w:rPr>
          <w:rFonts w:ascii="Garamond" w:hAnsi="Garamond" w:cs="Times New Roman"/>
          <w:sz w:val="21"/>
          <w:szCs w:val="21"/>
        </w:rPr>
        <w:t xml:space="preserve"> during the 1st</w:t>
      </w:r>
      <w:r w:rsidR="00A9653E" w:rsidRPr="00DA3B19">
        <w:rPr>
          <w:rFonts w:ascii="Garamond" w:hAnsi="Garamond" w:cs="Times New Roman"/>
          <w:sz w:val="21"/>
          <w:szCs w:val="21"/>
        </w:rPr>
        <w:t xml:space="preserve"> </w:t>
      </w:r>
      <w:r>
        <w:rPr>
          <w:rFonts w:ascii="Garamond" w:hAnsi="Garamond" w:cs="Times New Roman"/>
          <w:sz w:val="21"/>
          <w:szCs w:val="21"/>
        </w:rPr>
        <w:t>quarter of 2015</w:t>
      </w:r>
      <w:r w:rsidR="000566F8">
        <w:rPr>
          <w:rFonts w:ascii="Garamond" w:hAnsi="Garamond" w:cs="Times New Roman"/>
          <w:sz w:val="21"/>
          <w:szCs w:val="21"/>
        </w:rPr>
        <w:t xml:space="preserve"> against 1.2% inflation recorded in</w:t>
      </w:r>
      <w:r w:rsidR="00A9653E" w:rsidRPr="004E7A10">
        <w:rPr>
          <w:rFonts w:ascii="Garamond" w:hAnsi="Garamond" w:cs="Times New Roman"/>
          <w:sz w:val="21"/>
          <w:szCs w:val="21"/>
        </w:rPr>
        <w:t xml:space="preserve"> the previous quarter. </w:t>
      </w:r>
      <w:r w:rsidR="006241CC">
        <w:rPr>
          <w:rFonts w:ascii="Garamond" w:hAnsi="Garamond" w:cs="Times New Roman"/>
          <w:sz w:val="21"/>
          <w:szCs w:val="21"/>
        </w:rPr>
        <w:t xml:space="preserve">The inflation rate persisted below its target due in part to decreased prices of oil products and imported non-oil products. </w:t>
      </w:r>
      <w:r w:rsidR="00CF00C1">
        <w:rPr>
          <w:rFonts w:ascii="Garamond" w:hAnsi="Garamond" w:cs="Times New Roman"/>
          <w:sz w:val="21"/>
          <w:szCs w:val="21"/>
        </w:rPr>
        <w:t>In the 1st</w:t>
      </w:r>
      <w:r w:rsidR="00CF00C1" w:rsidRPr="00DA3B19">
        <w:rPr>
          <w:rFonts w:ascii="Garamond" w:hAnsi="Garamond" w:cs="Times New Roman"/>
          <w:sz w:val="21"/>
          <w:szCs w:val="21"/>
        </w:rPr>
        <w:t xml:space="preserve"> </w:t>
      </w:r>
      <w:r w:rsidR="00CF00C1">
        <w:rPr>
          <w:rFonts w:ascii="Garamond" w:hAnsi="Garamond" w:cs="Times New Roman"/>
          <w:sz w:val="21"/>
          <w:szCs w:val="21"/>
        </w:rPr>
        <w:t xml:space="preserve">quarter of 2015, the </w:t>
      </w:r>
      <w:r w:rsidR="00A9653E" w:rsidRPr="004E7A10">
        <w:rPr>
          <w:rFonts w:ascii="Garamond" w:hAnsi="Garamond" w:cs="Times New Roman"/>
          <w:sz w:val="21"/>
          <w:szCs w:val="21"/>
        </w:rPr>
        <w:t>U.S. Fed</w:t>
      </w:r>
      <w:r w:rsidR="000E5222" w:rsidRPr="004E7A10">
        <w:rPr>
          <w:rFonts w:ascii="Garamond" w:hAnsi="Garamond" w:cs="Times New Roman"/>
          <w:sz w:val="21"/>
          <w:szCs w:val="21"/>
        </w:rPr>
        <w:t xml:space="preserve"> </w:t>
      </w:r>
      <w:r w:rsidR="00CF00C1">
        <w:rPr>
          <w:rFonts w:ascii="Garamond" w:hAnsi="Garamond" w:cs="Times New Roman"/>
          <w:sz w:val="21"/>
          <w:szCs w:val="21"/>
        </w:rPr>
        <w:t xml:space="preserve">kept the policy rates </w:t>
      </w:r>
      <w:r w:rsidR="000E5222" w:rsidRPr="004E7A10">
        <w:rPr>
          <w:rFonts w:ascii="Garamond" w:hAnsi="Garamond" w:cs="Times New Roman"/>
          <w:sz w:val="21"/>
          <w:szCs w:val="21"/>
        </w:rPr>
        <w:t xml:space="preserve">in the </w:t>
      </w:r>
      <w:r w:rsidR="00C814B5" w:rsidRPr="004E7A10">
        <w:rPr>
          <w:rFonts w:ascii="Garamond" w:hAnsi="Garamond" w:cs="Times New Roman"/>
          <w:sz w:val="21"/>
          <w:szCs w:val="21"/>
        </w:rPr>
        <w:t xml:space="preserve">range </w:t>
      </w:r>
      <w:r w:rsidR="009F2F78">
        <w:rPr>
          <w:rFonts w:ascii="Garamond" w:hAnsi="Garamond" w:cs="Times New Roman"/>
          <w:sz w:val="21"/>
          <w:szCs w:val="21"/>
        </w:rPr>
        <w:t xml:space="preserve">of </w:t>
      </w:r>
      <w:r w:rsidR="000E5222" w:rsidRPr="004E7A10">
        <w:rPr>
          <w:rFonts w:ascii="Garamond" w:hAnsi="Garamond" w:cs="Times New Roman"/>
          <w:sz w:val="21"/>
          <w:szCs w:val="21"/>
        </w:rPr>
        <w:t>0</w:t>
      </w:r>
      <w:r w:rsidR="007B4201">
        <w:rPr>
          <w:rFonts w:ascii="Garamond" w:hAnsi="Garamond" w:cs="Times New Roman"/>
          <w:sz w:val="21"/>
          <w:szCs w:val="21"/>
        </w:rPr>
        <w:t>%</w:t>
      </w:r>
      <w:r w:rsidR="000E5222" w:rsidRPr="004E7A10">
        <w:rPr>
          <w:rFonts w:ascii="Garamond" w:hAnsi="Garamond" w:cs="Times New Roman"/>
          <w:sz w:val="21"/>
          <w:szCs w:val="21"/>
        </w:rPr>
        <w:t xml:space="preserve">-0.25%. </w:t>
      </w:r>
    </w:p>
    <w:p w14:paraId="58EDEF41" w14:textId="77777777" w:rsidR="00A9653E"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In Euro</w:t>
      </w:r>
      <w:r w:rsidR="00C15EE9" w:rsidRPr="004E7A10">
        <w:rPr>
          <w:rFonts w:ascii="Garamond" w:hAnsi="Garamond" w:cs="Times New Roman"/>
          <w:b/>
          <w:sz w:val="21"/>
          <w:szCs w:val="21"/>
        </w:rPr>
        <w:t>zone</w:t>
      </w:r>
      <w:r w:rsidRPr="004E7A10">
        <w:rPr>
          <w:rFonts w:ascii="Garamond" w:hAnsi="Garamond" w:cs="Times New Roman"/>
          <w:b/>
          <w:sz w:val="21"/>
          <w:szCs w:val="21"/>
        </w:rPr>
        <w:t xml:space="preserve"> in the </w:t>
      </w:r>
      <w:r w:rsidR="008264C0">
        <w:rPr>
          <w:rFonts w:ascii="Garamond" w:hAnsi="Garamond" w:cs="Times New Roman"/>
          <w:b/>
          <w:sz w:val="21"/>
          <w:szCs w:val="21"/>
        </w:rPr>
        <w:t>1st</w:t>
      </w:r>
      <w:r w:rsidRPr="004E7A10">
        <w:rPr>
          <w:rFonts w:ascii="Garamond" w:hAnsi="Garamond" w:cs="Times New Roman"/>
          <w:b/>
          <w:sz w:val="21"/>
          <w:szCs w:val="21"/>
        </w:rPr>
        <w:t xml:space="preserve"> quarter of 201</w:t>
      </w:r>
      <w:r w:rsidR="008264C0">
        <w:rPr>
          <w:rFonts w:ascii="Garamond" w:hAnsi="Garamond" w:cs="Times New Roman"/>
          <w:b/>
          <w:sz w:val="21"/>
          <w:szCs w:val="21"/>
        </w:rPr>
        <w:t>5</w:t>
      </w:r>
      <w:r w:rsidRPr="004E7A10">
        <w:rPr>
          <w:rFonts w:ascii="Garamond" w:hAnsi="Garamond" w:cs="Times New Roman"/>
          <w:sz w:val="21"/>
          <w:szCs w:val="21"/>
        </w:rPr>
        <w:t xml:space="preserve">, there was </w:t>
      </w:r>
      <w:r w:rsidR="008264C0">
        <w:rPr>
          <w:rFonts w:ascii="Garamond" w:hAnsi="Garamond" w:cs="Times New Roman"/>
          <w:sz w:val="21"/>
          <w:szCs w:val="21"/>
        </w:rPr>
        <w:t>1</w:t>
      </w:r>
      <w:r w:rsidRPr="004E7A10">
        <w:rPr>
          <w:rFonts w:ascii="Garamond" w:hAnsi="Garamond" w:cs="Times New Roman"/>
          <w:sz w:val="21"/>
          <w:szCs w:val="21"/>
        </w:rPr>
        <w:t>.</w:t>
      </w:r>
      <w:r w:rsidR="008264C0">
        <w:rPr>
          <w:rFonts w:ascii="Garamond" w:hAnsi="Garamond" w:cs="Times New Roman"/>
          <w:sz w:val="21"/>
          <w:szCs w:val="21"/>
        </w:rPr>
        <w:t>0</w:t>
      </w:r>
      <w:r w:rsidRPr="004E7A10">
        <w:rPr>
          <w:rFonts w:ascii="Garamond" w:hAnsi="Garamond" w:cs="Times New Roman"/>
          <w:sz w:val="21"/>
          <w:szCs w:val="21"/>
        </w:rPr>
        <w:t xml:space="preserve">% economic growth </w:t>
      </w:r>
      <w:r w:rsidR="008264C0">
        <w:rPr>
          <w:rFonts w:ascii="Garamond" w:hAnsi="Garamond" w:cs="Times New Roman"/>
          <w:sz w:val="21"/>
          <w:szCs w:val="21"/>
        </w:rPr>
        <w:t>relative to the same reference period last year</w:t>
      </w:r>
      <w:r w:rsidRPr="004E7A10">
        <w:rPr>
          <w:rFonts w:ascii="Garamond" w:hAnsi="Garamond" w:cs="Times New Roman"/>
          <w:sz w:val="21"/>
          <w:szCs w:val="21"/>
        </w:rPr>
        <w:t xml:space="preserve">, according to preliminary estimates provided by the Eurostat. </w:t>
      </w:r>
      <w:r w:rsidR="008264C0">
        <w:rPr>
          <w:rFonts w:ascii="Garamond" w:hAnsi="Garamond" w:cs="Times New Roman"/>
          <w:sz w:val="21"/>
          <w:szCs w:val="21"/>
        </w:rPr>
        <w:t>The reporting quarter also saw an average 0.3% deflation y/y against 0.2% inflation recorded in the previous quarter.</w:t>
      </w:r>
      <w:r w:rsidR="00A44CF2" w:rsidRPr="004E7A10">
        <w:rPr>
          <w:rFonts w:ascii="Garamond" w:hAnsi="Garamond" w:cs="Times New Roman"/>
          <w:sz w:val="21"/>
          <w:szCs w:val="21"/>
        </w:rPr>
        <w:t xml:space="preserve"> </w:t>
      </w:r>
      <w:r w:rsidRPr="004E7A10">
        <w:rPr>
          <w:rFonts w:ascii="Garamond" w:hAnsi="Garamond" w:cs="Times New Roman"/>
          <w:sz w:val="21"/>
          <w:szCs w:val="21"/>
        </w:rPr>
        <w:t xml:space="preserve"> </w:t>
      </w:r>
    </w:p>
    <w:p w14:paraId="3B006AE7" w14:textId="77777777" w:rsidR="00A9653E" w:rsidRPr="004E7A10" w:rsidRDefault="00A9653E" w:rsidP="00A9653E">
      <w:pPr>
        <w:spacing w:line="360" w:lineRule="auto"/>
        <w:jc w:val="both"/>
        <w:rPr>
          <w:rStyle w:val="longtext"/>
          <w:rFonts w:ascii="Garamond" w:hAnsi="Garamond" w:cs="Times New Roman"/>
          <w:sz w:val="21"/>
          <w:szCs w:val="21"/>
        </w:rPr>
      </w:pPr>
      <w:r w:rsidRPr="004E7A10">
        <w:rPr>
          <w:rFonts w:ascii="Garamond" w:hAnsi="Garamond" w:cs="Times New Roman"/>
          <w:sz w:val="21"/>
          <w:szCs w:val="21"/>
        </w:rPr>
        <w:t xml:space="preserve">In the </w:t>
      </w:r>
      <w:r w:rsidR="008264C0">
        <w:rPr>
          <w:rFonts w:ascii="Garamond" w:hAnsi="Garamond" w:cs="Times New Roman"/>
          <w:sz w:val="21"/>
          <w:szCs w:val="21"/>
        </w:rPr>
        <w:t>1st</w:t>
      </w:r>
      <w:r w:rsidRPr="004E7A10">
        <w:rPr>
          <w:rFonts w:ascii="Garamond" w:hAnsi="Garamond" w:cs="Times New Roman"/>
          <w:sz w:val="21"/>
          <w:szCs w:val="21"/>
        </w:rPr>
        <w:t xml:space="preserve"> quarter of 201</w:t>
      </w:r>
      <w:r w:rsidR="008264C0">
        <w:rPr>
          <w:rFonts w:ascii="Garamond" w:hAnsi="Garamond" w:cs="Times New Roman"/>
          <w:sz w:val="21"/>
          <w:szCs w:val="21"/>
        </w:rPr>
        <w:t>5</w:t>
      </w:r>
      <w:r w:rsidRPr="004E7A10">
        <w:rPr>
          <w:rStyle w:val="longtext"/>
          <w:rFonts w:ascii="Garamond" w:hAnsi="Garamond" w:cs="Times New Roman"/>
          <w:sz w:val="21"/>
          <w:szCs w:val="21"/>
        </w:rPr>
        <w:t>, the European Central Bank</w:t>
      </w:r>
      <w:r w:rsidR="00D905E0" w:rsidRPr="004E7A10">
        <w:rPr>
          <w:rFonts w:ascii="Garamond" w:hAnsi="Garamond"/>
        </w:rPr>
        <w:t xml:space="preserve"> </w:t>
      </w:r>
      <w:r w:rsidR="00D905E0" w:rsidRPr="004E7A10">
        <w:rPr>
          <w:rStyle w:val="longtext"/>
          <w:rFonts w:ascii="Garamond" w:hAnsi="Garamond" w:cs="Times New Roman"/>
          <w:sz w:val="21"/>
          <w:szCs w:val="21"/>
        </w:rPr>
        <w:t xml:space="preserve">kept the policy rate at 0.05% and </w:t>
      </w:r>
      <w:r w:rsidR="00D905E0" w:rsidRPr="004E7A10">
        <w:rPr>
          <w:rFonts w:ascii="Garamond" w:hAnsi="Garamond" w:cs="Times New Roman"/>
          <w:color w:val="000000"/>
          <w:sz w:val="21"/>
          <w:szCs w:val="21"/>
          <w:shd w:val="clear" w:color="auto" w:fill="FFFFFF"/>
        </w:rPr>
        <w:t xml:space="preserve">the deposit facility rate at </w:t>
      </w:r>
      <w:r w:rsidR="00D905E0" w:rsidRPr="004E7A10">
        <w:rPr>
          <w:rStyle w:val="longtext"/>
          <w:rFonts w:ascii="Garamond" w:hAnsi="Garamond" w:cs="Times New Roman"/>
          <w:sz w:val="21"/>
          <w:szCs w:val="21"/>
        </w:rPr>
        <w:t>0.2% levels.</w:t>
      </w:r>
      <w:r w:rsidR="00D905E0" w:rsidRPr="004E7A10">
        <w:rPr>
          <w:rFonts w:ascii="Garamond" w:hAnsi="Garamond" w:cs="Times New Roman"/>
          <w:color w:val="000000"/>
          <w:sz w:val="21"/>
          <w:szCs w:val="21"/>
          <w:shd w:val="clear" w:color="auto" w:fill="FFFFFF"/>
        </w:rPr>
        <w:t xml:space="preserve"> </w:t>
      </w:r>
      <w:r w:rsidR="008264C0">
        <w:rPr>
          <w:rFonts w:ascii="Garamond" w:hAnsi="Garamond" w:cs="Times New Roman"/>
          <w:color w:val="000000"/>
          <w:sz w:val="21"/>
          <w:szCs w:val="21"/>
          <w:shd w:val="clear" w:color="auto" w:fill="FFFFFF"/>
        </w:rPr>
        <w:t xml:space="preserve">In addition to </w:t>
      </w:r>
      <w:r w:rsidR="00D905E0" w:rsidRPr="004E7A10">
        <w:rPr>
          <w:rStyle w:val="longtext"/>
          <w:rFonts w:ascii="Garamond" w:hAnsi="Garamond" w:cs="Times New Roman"/>
          <w:sz w:val="21"/>
          <w:szCs w:val="21"/>
        </w:rPr>
        <w:t xml:space="preserve">the </w:t>
      </w:r>
      <w:r w:rsidR="008264C0">
        <w:rPr>
          <w:rStyle w:val="longtext"/>
          <w:rFonts w:ascii="Garamond" w:hAnsi="Garamond" w:cs="Times New Roman"/>
          <w:sz w:val="21"/>
          <w:szCs w:val="21"/>
        </w:rPr>
        <w:t xml:space="preserve">program </w:t>
      </w:r>
      <w:r w:rsidR="00AE1A9B">
        <w:rPr>
          <w:rStyle w:val="longtext"/>
          <w:rFonts w:ascii="Garamond" w:hAnsi="Garamond" w:cs="Times New Roman"/>
          <w:sz w:val="21"/>
          <w:szCs w:val="21"/>
        </w:rPr>
        <w:t>for buying</w:t>
      </w:r>
      <w:r w:rsidR="00D905E0" w:rsidRPr="004E7A10">
        <w:rPr>
          <w:rStyle w:val="longtext"/>
          <w:rFonts w:ascii="Garamond" w:hAnsi="Garamond" w:cs="Times New Roman"/>
          <w:sz w:val="21"/>
          <w:szCs w:val="21"/>
        </w:rPr>
        <w:t xml:space="preserve"> asset-backed securities and </w:t>
      </w:r>
      <w:r w:rsidR="005E7DFC" w:rsidRPr="004E7A10">
        <w:rPr>
          <w:rStyle w:val="longtext"/>
          <w:rFonts w:ascii="Garamond" w:hAnsi="Garamond" w:cs="Times New Roman"/>
          <w:sz w:val="21"/>
          <w:szCs w:val="21"/>
        </w:rPr>
        <w:t>covered</w:t>
      </w:r>
      <w:r w:rsidR="00D905E0" w:rsidRPr="004E7A10">
        <w:rPr>
          <w:rStyle w:val="longtext"/>
          <w:rFonts w:ascii="Garamond" w:hAnsi="Garamond" w:cs="Times New Roman"/>
          <w:sz w:val="21"/>
          <w:szCs w:val="21"/>
        </w:rPr>
        <w:t xml:space="preserve"> bonds </w:t>
      </w:r>
      <w:r w:rsidR="00AE1A9B">
        <w:rPr>
          <w:rStyle w:val="longtext"/>
          <w:rFonts w:ascii="Garamond" w:hAnsi="Garamond" w:cs="Times New Roman"/>
          <w:sz w:val="21"/>
          <w:szCs w:val="21"/>
        </w:rPr>
        <w:t xml:space="preserve">launched in late 2014, the ECB </w:t>
      </w:r>
      <w:r w:rsidR="00AE1A9B" w:rsidRPr="00AE1A9B">
        <w:rPr>
          <w:rStyle w:val="longtext"/>
          <w:rFonts w:ascii="Garamond" w:hAnsi="Garamond" w:cs="Times New Roman"/>
          <w:sz w:val="21"/>
          <w:szCs w:val="21"/>
        </w:rPr>
        <w:t>start</w:t>
      </w:r>
      <w:r w:rsidR="00AE1A9B">
        <w:rPr>
          <w:rStyle w:val="longtext"/>
          <w:rFonts w:ascii="Garamond" w:hAnsi="Garamond" w:cs="Times New Roman"/>
          <w:sz w:val="21"/>
          <w:szCs w:val="21"/>
        </w:rPr>
        <w:t>ed</w:t>
      </w:r>
      <w:r w:rsidR="00AE1A9B" w:rsidRPr="00AE1A9B">
        <w:rPr>
          <w:rStyle w:val="longtext"/>
          <w:rFonts w:ascii="Garamond" w:hAnsi="Garamond" w:cs="Times New Roman"/>
          <w:sz w:val="21"/>
          <w:szCs w:val="21"/>
        </w:rPr>
        <w:t xml:space="preserve"> </w:t>
      </w:r>
      <w:r w:rsidR="00AE1A9B">
        <w:rPr>
          <w:rStyle w:val="longtext"/>
          <w:rFonts w:ascii="Garamond" w:hAnsi="Garamond" w:cs="Times New Roman"/>
          <w:sz w:val="21"/>
          <w:szCs w:val="21"/>
        </w:rPr>
        <w:t xml:space="preserve">another program in early 2015 aimed at </w:t>
      </w:r>
      <w:r w:rsidR="00AE1A9B" w:rsidRPr="00AE1A9B">
        <w:rPr>
          <w:rStyle w:val="longtext"/>
          <w:rFonts w:ascii="Garamond" w:hAnsi="Garamond" w:cs="Times New Roman"/>
          <w:sz w:val="21"/>
          <w:szCs w:val="21"/>
        </w:rPr>
        <w:t>buying sovereign bonds</w:t>
      </w:r>
      <w:r w:rsidR="00AE1A9B">
        <w:rPr>
          <w:rStyle w:val="longtext"/>
          <w:rFonts w:ascii="Garamond" w:hAnsi="Garamond" w:cs="Times New Roman"/>
          <w:sz w:val="21"/>
          <w:szCs w:val="21"/>
        </w:rPr>
        <w:t xml:space="preserve">, with a total monthly purchase volume reaching EUR 60 billion. </w:t>
      </w:r>
    </w:p>
    <w:p w14:paraId="1A11F50A" w14:textId="77777777" w:rsidR="00A9653E" w:rsidRPr="004E7A10" w:rsidRDefault="00A9653E" w:rsidP="00A9653E">
      <w:pPr>
        <w:spacing w:line="360" w:lineRule="auto"/>
        <w:jc w:val="both"/>
        <w:rPr>
          <w:rFonts w:ascii="Garamond" w:hAnsi="Garamond" w:cs="Times New Roman"/>
          <w:sz w:val="21"/>
          <w:szCs w:val="21"/>
        </w:rPr>
      </w:pPr>
      <w:r w:rsidRPr="004E7A10">
        <w:rPr>
          <w:rStyle w:val="longtext"/>
          <w:rFonts w:ascii="Garamond" w:hAnsi="Garamond" w:cs="Times New Roman"/>
          <w:sz w:val="21"/>
          <w:szCs w:val="21"/>
        </w:rPr>
        <w:t xml:space="preserve">In the </w:t>
      </w:r>
      <w:r w:rsidR="008D420A">
        <w:rPr>
          <w:rStyle w:val="longtext"/>
          <w:rFonts w:ascii="Garamond" w:hAnsi="Garamond" w:cs="Times New Roman"/>
          <w:sz w:val="21"/>
          <w:szCs w:val="21"/>
        </w:rPr>
        <w:t xml:space="preserve">currency market in the </w:t>
      </w:r>
      <w:r w:rsidR="00AE1A9B">
        <w:rPr>
          <w:rStyle w:val="longtext"/>
          <w:rFonts w:ascii="Garamond" w:hAnsi="Garamond" w:cs="Times New Roman"/>
          <w:sz w:val="21"/>
          <w:szCs w:val="21"/>
        </w:rPr>
        <w:t>1st</w:t>
      </w:r>
      <w:r w:rsidRPr="004E7A10">
        <w:rPr>
          <w:rStyle w:val="longtext"/>
          <w:rFonts w:ascii="Garamond" w:hAnsi="Garamond" w:cs="Times New Roman"/>
          <w:sz w:val="21"/>
          <w:szCs w:val="21"/>
        </w:rPr>
        <w:t xml:space="preserve"> quarter of 201</w:t>
      </w:r>
      <w:r w:rsidR="00AE1A9B">
        <w:rPr>
          <w:rStyle w:val="longtext"/>
          <w:rFonts w:ascii="Garamond" w:hAnsi="Garamond" w:cs="Times New Roman"/>
          <w:sz w:val="21"/>
          <w:szCs w:val="21"/>
        </w:rPr>
        <w:t>5</w:t>
      </w:r>
      <w:r w:rsidRPr="004E7A10">
        <w:rPr>
          <w:rStyle w:val="longtext"/>
          <w:rFonts w:ascii="Garamond" w:hAnsi="Garamond" w:cs="Times New Roman"/>
          <w:sz w:val="21"/>
          <w:szCs w:val="21"/>
        </w:rPr>
        <w:t xml:space="preserve">, Euro depreciated versus the U.S. dollar by </w:t>
      </w:r>
      <w:r w:rsidR="008D420A">
        <w:rPr>
          <w:rStyle w:val="longtext"/>
          <w:rFonts w:ascii="Garamond" w:hAnsi="Garamond" w:cs="Times New Roman"/>
          <w:sz w:val="21"/>
          <w:szCs w:val="21"/>
        </w:rPr>
        <w:t>9</w:t>
      </w:r>
      <w:r w:rsidRPr="004E7A10">
        <w:rPr>
          <w:rStyle w:val="longtext"/>
          <w:rFonts w:ascii="Garamond" w:hAnsi="Garamond" w:cs="Times New Roman"/>
          <w:sz w:val="21"/>
          <w:szCs w:val="21"/>
        </w:rPr>
        <w:t>.</w:t>
      </w:r>
      <w:r w:rsidR="008D420A">
        <w:rPr>
          <w:rStyle w:val="longtext"/>
          <w:rFonts w:ascii="Garamond" w:hAnsi="Garamond" w:cs="Times New Roman"/>
          <w:sz w:val="21"/>
          <w:szCs w:val="21"/>
        </w:rPr>
        <w:t>8</w:t>
      </w:r>
      <w:r w:rsidRPr="004E7A10">
        <w:rPr>
          <w:rStyle w:val="longtext"/>
          <w:rFonts w:ascii="Garamond" w:hAnsi="Garamond" w:cs="Times New Roman"/>
          <w:sz w:val="21"/>
          <w:szCs w:val="21"/>
        </w:rPr>
        <w:t xml:space="preserve">% (y/y </w:t>
      </w:r>
      <w:r w:rsidR="00425C25" w:rsidRPr="004E7A10">
        <w:rPr>
          <w:rStyle w:val="longtext"/>
          <w:rFonts w:ascii="Garamond" w:hAnsi="Garamond" w:cs="Times New Roman"/>
          <w:sz w:val="21"/>
          <w:szCs w:val="21"/>
        </w:rPr>
        <w:t>de</w:t>
      </w:r>
      <w:r w:rsidRPr="004E7A10">
        <w:rPr>
          <w:rStyle w:val="longtext"/>
          <w:rFonts w:ascii="Garamond" w:hAnsi="Garamond" w:cs="Times New Roman"/>
          <w:sz w:val="21"/>
          <w:szCs w:val="21"/>
        </w:rPr>
        <w:t xml:space="preserve">preciation </w:t>
      </w:r>
      <w:r w:rsidR="008D420A">
        <w:rPr>
          <w:rStyle w:val="longtext"/>
          <w:rFonts w:ascii="Garamond" w:hAnsi="Garamond" w:cs="Times New Roman"/>
          <w:sz w:val="21"/>
          <w:szCs w:val="21"/>
        </w:rPr>
        <w:t>was</w:t>
      </w:r>
      <w:r w:rsidRPr="004E7A10">
        <w:rPr>
          <w:rStyle w:val="longtext"/>
          <w:rFonts w:ascii="Garamond" w:hAnsi="Garamond" w:cs="Times New Roman"/>
          <w:sz w:val="21"/>
          <w:szCs w:val="21"/>
        </w:rPr>
        <w:t xml:space="preserve"> </w:t>
      </w:r>
      <w:r w:rsidR="008D420A">
        <w:rPr>
          <w:rStyle w:val="longtext"/>
          <w:rFonts w:ascii="Garamond" w:hAnsi="Garamond" w:cs="Times New Roman"/>
          <w:sz w:val="21"/>
          <w:szCs w:val="21"/>
        </w:rPr>
        <w:t>17</w:t>
      </w:r>
      <w:r w:rsidRPr="004E7A10">
        <w:rPr>
          <w:rStyle w:val="longtext"/>
          <w:rFonts w:ascii="Garamond" w:hAnsi="Garamond" w:cs="Times New Roman"/>
          <w:sz w:val="21"/>
          <w:szCs w:val="21"/>
        </w:rPr>
        <w:t>.</w:t>
      </w:r>
      <w:r w:rsidR="008D420A">
        <w:rPr>
          <w:rStyle w:val="longtext"/>
          <w:rFonts w:ascii="Garamond" w:hAnsi="Garamond" w:cs="Times New Roman"/>
          <w:sz w:val="21"/>
          <w:szCs w:val="21"/>
        </w:rPr>
        <w:t>8</w:t>
      </w:r>
      <w:r w:rsidRPr="004E7A10">
        <w:rPr>
          <w:rStyle w:val="longtext"/>
          <w:rFonts w:ascii="Garamond" w:hAnsi="Garamond" w:cs="Times New Roman"/>
          <w:sz w:val="21"/>
          <w:szCs w:val="21"/>
        </w:rPr>
        <w:t>%), with the average dollar exchange rate reaching 1.</w:t>
      </w:r>
      <w:r w:rsidR="008D420A">
        <w:rPr>
          <w:rStyle w:val="longtext"/>
          <w:rFonts w:ascii="Garamond" w:hAnsi="Garamond" w:cs="Times New Roman"/>
          <w:sz w:val="21"/>
          <w:szCs w:val="21"/>
        </w:rPr>
        <w:t>126</w:t>
      </w:r>
      <w:r w:rsidRPr="004E7A10">
        <w:rPr>
          <w:rStyle w:val="longtext"/>
          <w:rFonts w:ascii="Garamond" w:hAnsi="Garamond" w:cs="Times New Roman"/>
          <w:sz w:val="21"/>
          <w:szCs w:val="21"/>
        </w:rPr>
        <w:t xml:space="preserve"> for one Euro.</w:t>
      </w:r>
    </w:p>
    <w:p w14:paraId="3DF2414C" w14:textId="77777777" w:rsidR="00E573F6" w:rsidRDefault="00A9653E" w:rsidP="00A9653E">
      <w:pPr>
        <w:spacing w:line="360" w:lineRule="auto"/>
        <w:jc w:val="both"/>
        <w:rPr>
          <w:rFonts w:ascii="Garamond" w:hAnsi="Garamond" w:cs="Times New Roman"/>
          <w:sz w:val="21"/>
          <w:szCs w:val="21"/>
        </w:rPr>
      </w:pPr>
      <w:r w:rsidRPr="004E7A10">
        <w:rPr>
          <w:rFonts w:ascii="Garamond" w:hAnsi="Garamond" w:cs="Times New Roman"/>
          <w:b/>
          <w:sz w:val="21"/>
          <w:szCs w:val="21"/>
        </w:rPr>
        <w:t xml:space="preserve">In </w:t>
      </w:r>
      <w:r w:rsidR="001B1AA6" w:rsidRPr="004E7A10">
        <w:rPr>
          <w:rFonts w:ascii="Garamond" w:hAnsi="Garamond" w:cs="Times New Roman"/>
          <w:b/>
          <w:sz w:val="21"/>
          <w:szCs w:val="21"/>
        </w:rPr>
        <w:t xml:space="preserve">Russia in </w:t>
      </w:r>
      <w:r w:rsidRPr="004E7A10">
        <w:rPr>
          <w:rFonts w:ascii="Garamond" w:hAnsi="Garamond" w:cs="Times New Roman"/>
          <w:b/>
          <w:sz w:val="21"/>
          <w:szCs w:val="21"/>
        </w:rPr>
        <w:t xml:space="preserve">the </w:t>
      </w:r>
      <w:r w:rsidR="002A6ED8">
        <w:rPr>
          <w:rFonts w:ascii="Garamond" w:hAnsi="Garamond" w:cs="Times New Roman"/>
          <w:b/>
          <w:sz w:val="21"/>
          <w:szCs w:val="21"/>
        </w:rPr>
        <w:t>1st</w:t>
      </w:r>
      <w:r w:rsidRPr="004E7A10">
        <w:rPr>
          <w:rFonts w:ascii="Garamond" w:hAnsi="Garamond" w:cs="Times New Roman"/>
          <w:b/>
          <w:sz w:val="21"/>
          <w:szCs w:val="21"/>
        </w:rPr>
        <w:t xml:space="preserve"> quarter of 201</w:t>
      </w:r>
      <w:r w:rsidR="002A6ED8">
        <w:rPr>
          <w:rFonts w:ascii="Garamond" w:hAnsi="Garamond" w:cs="Times New Roman"/>
          <w:b/>
          <w:sz w:val="21"/>
          <w:szCs w:val="21"/>
        </w:rPr>
        <w:t>5</w:t>
      </w:r>
      <w:r w:rsidRPr="004E7A10">
        <w:rPr>
          <w:rFonts w:ascii="Garamond" w:hAnsi="Garamond" w:cs="Times New Roman"/>
          <w:sz w:val="21"/>
          <w:szCs w:val="21"/>
        </w:rPr>
        <w:t xml:space="preserve">, </w:t>
      </w:r>
      <w:r w:rsidR="002A6ED8">
        <w:rPr>
          <w:rFonts w:ascii="Garamond" w:hAnsi="Garamond" w:cs="Times New Roman"/>
          <w:sz w:val="21"/>
          <w:szCs w:val="21"/>
        </w:rPr>
        <w:t xml:space="preserve">the </w:t>
      </w:r>
      <w:r w:rsidRPr="004E7A10">
        <w:rPr>
          <w:rFonts w:ascii="Garamond" w:hAnsi="Garamond" w:cs="Times New Roman"/>
          <w:sz w:val="21"/>
          <w:szCs w:val="21"/>
        </w:rPr>
        <w:t>econom</w:t>
      </w:r>
      <w:r w:rsidR="002A6ED8">
        <w:rPr>
          <w:rFonts w:ascii="Garamond" w:hAnsi="Garamond" w:cs="Times New Roman"/>
          <w:sz w:val="21"/>
          <w:szCs w:val="21"/>
        </w:rPr>
        <w:t>y posted 1</w:t>
      </w:r>
      <w:r w:rsidRPr="004E7A10">
        <w:rPr>
          <w:rFonts w:ascii="Garamond" w:hAnsi="Garamond" w:cs="Times New Roman"/>
          <w:sz w:val="21"/>
          <w:szCs w:val="21"/>
        </w:rPr>
        <w:t>.</w:t>
      </w:r>
      <w:r w:rsidR="002A6ED8">
        <w:rPr>
          <w:rFonts w:ascii="Garamond" w:hAnsi="Garamond" w:cs="Times New Roman"/>
          <w:sz w:val="21"/>
          <w:szCs w:val="21"/>
        </w:rPr>
        <w:t>9</w:t>
      </w:r>
      <w:r w:rsidRPr="004E7A10">
        <w:rPr>
          <w:rFonts w:ascii="Garamond" w:hAnsi="Garamond" w:cs="Times New Roman"/>
          <w:sz w:val="21"/>
          <w:szCs w:val="21"/>
        </w:rPr>
        <w:t xml:space="preserve">% </w:t>
      </w:r>
      <w:r w:rsidR="002A6ED8">
        <w:rPr>
          <w:rFonts w:ascii="Garamond" w:hAnsi="Garamond" w:cs="Times New Roman"/>
          <w:sz w:val="21"/>
          <w:szCs w:val="21"/>
        </w:rPr>
        <w:t xml:space="preserve">decline </w:t>
      </w:r>
      <w:r w:rsidRPr="004E7A10">
        <w:rPr>
          <w:rFonts w:ascii="Garamond" w:hAnsi="Garamond" w:cs="Times New Roman"/>
          <w:sz w:val="21"/>
          <w:szCs w:val="21"/>
        </w:rPr>
        <w:t xml:space="preserve">y/y, according to the preliminary estimates of the Russia State Statistics Service. </w:t>
      </w:r>
      <w:r w:rsidR="002A6ED8">
        <w:rPr>
          <w:rFonts w:ascii="Garamond" w:hAnsi="Garamond" w:cs="Times New Roman"/>
          <w:sz w:val="21"/>
          <w:szCs w:val="21"/>
        </w:rPr>
        <w:t xml:space="preserve">This was the first decline after 2009, which was driven by the effect of plunged oil price and applied sanctions. </w:t>
      </w:r>
      <w:r w:rsidR="00A06E29">
        <w:rPr>
          <w:rFonts w:ascii="Garamond" w:hAnsi="Garamond" w:cs="Times New Roman"/>
          <w:sz w:val="21"/>
          <w:szCs w:val="21"/>
        </w:rPr>
        <w:t>However, b</w:t>
      </w:r>
      <w:r w:rsidR="001B1AA6" w:rsidRPr="004E7A10">
        <w:rPr>
          <w:rFonts w:ascii="Garamond" w:hAnsi="Garamond" w:cs="Times New Roman"/>
          <w:sz w:val="21"/>
          <w:szCs w:val="21"/>
        </w:rPr>
        <w:t xml:space="preserve">ased on annual results, </w:t>
      </w:r>
      <w:r w:rsidR="00A06E29">
        <w:rPr>
          <w:rFonts w:ascii="Garamond" w:hAnsi="Garamond" w:cs="Times New Roman"/>
          <w:sz w:val="21"/>
          <w:szCs w:val="21"/>
        </w:rPr>
        <w:t>p</w:t>
      </w:r>
      <w:r w:rsidR="001B1AA6" w:rsidRPr="004E7A10">
        <w:rPr>
          <w:rFonts w:ascii="Garamond" w:hAnsi="Garamond" w:cs="Times New Roman"/>
          <w:sz w:val="21"/>
          <w:szCs w:val="21"/>
        </w:rPr>
        <w:t xml:space="preserve">ositive developments were reported in </w:t>
      </w:r>
      <w:r w:rsidR="00E95501" w:rsidRPr="004E7A10">
        <w:rPr>
          <w:rFonts w:ascii="Garamond" w:hAnsi="Garamond" w:cs="Times New Roman"/>
          <w:sz w:val="21"/>
          <w:szCs w:val="21"/>
        </w:rPr>
        <w:t xml:space="preserve">processing </w:t>
      </w:r>
      <w:r w:rsidRPr="004E7A10">
        <w:rPr>
          <w:rFonts w:ascii="Garamond" w:hAnsi="Garamond" w:cs="Times New Roman"/>
          <w:sz w:val="21"/>
          <w:szCs w:val="21"/>
        </w:rPr>
        <w:t xml:space="preserve">industry </w:t>
      </w:r>
      <w:r w:rsidR="00E95501" w:rsidRPr="004E7A10">
        <w:rPr>
          <w:rFonts w:ascii="Garamond" w:hAnsi="Garamond" w:cs="Times New Roman"/>
          <w:sz w:val="21"/>
          <w:szCs w:val="21"/>
        </w:rPr>
        <w:t>and</w:t>
      </w:r>
      <w:r w:rsidR="001B1AA6" w:rsidRPr="004E7A10">
        <w:rPr>
          <w:rFonts w:ascii="Garamond" w:hAnsi="Garamond" w:cs="Times New Roman"/>
          <w:sz w:val="21"/>
          <w:szCs w:val="21"/>
        </w:rPr>
        <w:t xml:space="preserve"> </w:t>
      </w:r>
      <w:r w:rsidR="00A06E29">
        <w:rPr>
          <w:rFonts w:ascii="Garamond" w:hAnsi="Garamond" w:cs="Times New Roman"/>
          <w:sz w:val="21"/>
          <w:szCs w:val="21"/>
        </w:rPr>
        <w:t xml:space="preserve">construction, with 2.1% and </w:t>
      </w:r>
      <w:r w:rsidR="00E95501" w:rsidRPr="004E7A10">
        <w:rPr>
          <w:rFonts w:ascii="Garamond" w:hAnsi="Garamond" w:cs="Times New Roman"/>
          <w:sz w:val="21"/>
          <w:szCs w:val="21"/>
        </w:rPr>
        <w:t>1.</w:t>
      </w:r>
      <w:r w:rsidR="00A06E29">
        <w:rPr>
          <w:rFonts w:ascii="Garamond" w:hAnsi="Garamond" w:cs="Times New Roman"/>
          <w:sz w:val="21"/>
          <w:szCs w:val="21"/>
        </w:rPr>
        <w:t>1</w:t>
      </w:r>
      <w:r w:rsidR="00E95501" w:rsidRPr="004E7A10">
        <w:rPr>
          <w:rFonts w:ascii="Garamond" w:hAnsi="Garamond" w:cs="Times New Roman"/>
          <w:sz w:val="21"/>
          <w:szCs w:val="21"/>
        </w:rPr>
        <w:t>% growth</w:t>
      </w:r>
      <w:r w:rsidR="00A06E29">
        <w:rPr>
          <w:rFonts w:ascii="Garamond" w:hAnsi="Garamond" w:cs="Times New Roman"/>
          <w:sz w:val="21"/>
          <w:szCs w:val="21"/>
        </w:rPr>
        <w:t>s reported there</w:t>
      </w:r>
      <w:r w:rsidR="00E95501" w:rsidRPr="004E7A10">
        <w:rPr>
          <w:rFonts w:ascii="Garamond" w:hAnsi="Garamond" w:cs="Times New Roman"/>
          <w:sz w:val="21"/>
          <w:szCs w:val="21"/>
        </w:rPr>
        <w:t xml:space="preserve">, whereas </w:t>
      </w:r>
      <w:r w:rsidR="00A06E29">
        <w:rPr>
          <w:rFonts w:ascii="Garamond" w:hAnsi="Garamond" w:cs="Times New Roman"/>
          <w:sz w:val="21"/>
          <w:szCs w:val="21"/>
        </w:rPr>
        <w:t>agriculture</w:t>
      </w:r>
      <w:r w:rsidR="00E95501" w:rsidRPr="004E7A10">
        <w:rPr>
          <w:rFonts w:ascii="Garamond" w:hAnsi="Garamond" w:cs="Times New Roman"/>
          <w:sz w:val="21"/>
          <w:szCs w:val="21"/>
        </w:rPr>
        <w:t xml:space="preserve"> </w:t>
      </w:r>
      <w:r w:rsidR="00A06E29">
        <w:rPr>
          <w:rFonts w:ascii="Garamond" w:hAnsi="Garamond" w:cs="Times New Roman"/>
          <w:sz w:val="21"/>
          <w:szCs w:val="21"/>
        </w:rPr>
        <w:t>posted</w:t>
      </w:r>
      <w:r w:rsidR="00E95501" w:rsidRPr="004E7A10">
        <w:rPr>
          <w:rFonts w:ascii="Garamond" w:hAnsi="Garamond" w:cs="Times New Roman"/>
          <w:sz w:val="21"/>
          <w:szCs w:val="21"/>
        </w:rPr>
        <w:t xml:space="preserve"> a 5.</w:t>
      </w:r>
      <w:r w:rsidR="00A06E29">
        <w:rPr>
          <w:rFonts w:ascii="Garamond" w:hAnsi="Garamond" w:cs="Times New Roman"/>
          <w:sz w:val="21"/>
          <w:szCs w:val="21"/>
        </w:rPr>
        <w:t>7</w:t>
      </w:r>
      <w:r w:rsidR="00E95501" w:rsidRPr="004E7A10">
        <w:rPr>
          <w:rFonts w:ascii="Garamond" w:hAnsi="Garamond" w:cs="Times New Roman"/>
          <w:sz w:val="21"/>
          <w:szCs w:val="21"/>
        </w:rPr>
        <w:t xml:space="preserve">% decline. </w:t>
      </w:r>
      <w:r w:rsidR="004F03F3">
        <w:rPr>
          <w:rFonts w:ascii="Garamond" w:hAnsi="Garamond" w:cs="Times New Roman"/>
          <w:sz w:val="21"/>
          <w:szCs w:val="21"/>
        </w:rPr>
        <w:t xml:space="preserve">In the time of slackened economic activity, </w:t>
      </w:r>
      <w:r w:rsidR="00E95501" w:rsidRPr="004E7A10">
        <w:rPr>
          <w:rFonts w:ascii="Garamond" w:hAnsi="Garamond" w:cs="Times New Roman"/>
          <w:sz w:val="21"/>
          <w:szCs w:val="21"/>
        </w:rPr>
        <w:lastRenderedPageBreak/>
        <w:t>consumption</w:t>
      </w:r>
      <w:r w:rsidR="004F03F3">
        <w:rPr>
          <w:rFonts w:ascii="Garamond" w:hAnsi="Garamond" w:cs="Times New Roman"/>
          <w:sz w:val="21"/>
          <w:szCs w:val="21"/>
        </w:rPr>
        <w:t xml:space="preserve"> growth rates</w:t>
      </w:r>
      <w:r w:rsidR="00E95501" w:rsidRPr="004E7A10">
        <w:rPr>
          <w:rFonts w:ascii="Garamond" w:hAnsi="Garamond" w:cs="Times New Roman"/>
          <w:sz w:val="21"/>
          <w:szCs w:val="21"/>
        </w:rPr>
        <w:t xml:space="preserve"> slowed down to 1.</w:t>
      </w:r>
      <w:r w:rsidR="004F03F3">
        <w:rPr>
          <w:rFonts w:ascii="Garamond" w:hAnsi="Garamond" w:cs="Times New Roman"/>
          <w:sz w:val="21"/>
          <w:szCs w:val="21"/>
        </w:rPr>
        <w:t>3</w:t>
      </w:r>
      <w:r w:rsidR="00E95501" w:rsidRPr="004E7A10">
        <w:rPr>
          <w:rFonts w:ascii="Garamond" w:hAnsi="Garamond" w:cs="Times New Roman"/>
          <w:sz w:val="21"/>
          <w:szCs w:val="21"/>
        </w:rPr>
        <w:t xml:space="preserve">% </w:t>
      </w:r>
      <w:r w:rsidRPr="004E7A10">
        <w:rPr>
          <w:rFonts w:ascii="Garamond" w:hAnsi="Garamond" w:cs="Times New Roman"/>
          <w:sz w:val="21"/>
          <w:szCs w:val="21"/>
        </w:rPr>
        <w:t xml:space="preserve">compared to the previous </w:t>
      </w:r>
      <w:r w:rsidR="00E573F6">
        <w:rPr>
          <w:rFonts w:ascii="Garamond" w:hAnsi="Garamond" w:cs="Times New Roman"/>
          <w:sz w:val="21"/>
          <w:szCs w:val="21"/>
        </w:rPr>
        <w:t>1st</w:t>
      </w:r>
      <w:r w:rsidRPr="004E7A10">
        <w:rPr>
          <w:rFonts w:ascii="Garamond" w:hAnsi="Garamond" w:cs="Times New Roman"/>
          <w:sz w:val="21"/>
          <w:szCs w:val="21"/>
        </w:rPr>
        <w:t xml:space="preserve"> </w:t>
      </w:r>
      <w:r w:rsidR="00E573F6">
        <w:rPr>
          <w:rFonts w:ascii="Garamond" w:hAnsi="Garamond" w:cs="Times New Roman"/>
          <w:sz w:val="21"/>
          <w:szCs w:val="21"/>
        </w:rPr>
        <w:t>quarter’s 1</w:t>
      </w:r>
      <w:r w:rsidRPr="004E7A10">
        <w:rPr>
          <w:rFonts w:ascii="Garamond" w:hAnsi="Garamond" w:cs="Times New Roman"/>
          <w:sz w:val="21"/>
          <w:szCs w:val="21"/>
        </w:rPr>
        <w:t>.</w:t>
      </w:r>
      <w:r w:rsidR="00E95501" w:rsidRPr="004E7A10">
        <w:rPr>
          <w:rFonts w:ascii="Garamond" w:hAnsi="Garamond" w:cs="Times New Roman"/>
          <w:sz w:val="21"/>
          <w:szCs w:val="21"/>
        </w:rPr>
        <w:t>5</w:t>
      </w:r>
      <w:r w:rsidRPr="004E7A10">
        <w:rPr>
          <w:rFonts w:ascii="Garamond" w:hAnsi="Garamond" w:cs="Times New Roman"/>
          <w:sz w:val="21"/>
          <w:szCs w:val="21"/>
        </w:rPr>
        <w:t>% growth</w:t>
      </w:r>
      <w:r w:rsidR="00E95501" w:rsidRPr="004E7A10">
        <w:rPr>
          <w:rFonts w:ascii="Garamond" w:hAnsi="Garamond" w:cs="Times New Roman"/>
          <w:sz w:val="21"/>
          <w:szCs w:val="21"/>
        </w:rPr>
        <w:t xml:space="preserve"> </w:t>
      </w:r>
      <w:r w:rsidR="00A67D69" w:rsidRPr="004E7A10">
        <w:rPr>
          <w:rFonts w:ascii="Garamond" w:hAnsi="Garamond" w:cs="Times New Roman"/>
          <w:sz w:val="21"/>
          <w:szCs w:val="21"/>
        </w:rPr>
        <w:t>and aggregate investment reduc</w:t>
      </w:r>
      <w:r w:rsidR="00E573F6">
        <w:rPr>
          <w:rFonts w:ascii="Garamond" w:hAnsi="Garamond" w:cs="Times New Roman"/>
          <w:sz w:val="21"/>
          <w:szCs w:val="21"/>
        </w:rPr>
        <w:t>ed further, amounting to 6.0</w:t>
      </w:r>
      <w:r w:rsidR="00A67D69" w:rsidRPr="004E7A10">
        <w:rPr>
          <w:rFonts w:ascii="Garamond" w:hAnsi="Garamond" w:cs="Times New Roman"/>
          <w:sz w:val="21"/>
          <w:szCs w:val="21"/>
        </w:rPr>
        <w:t xml:space="preserve">% against the previous </w:t>
      </w:r>
      <w:r w:rsidR="00E573F6">
        <w:rPr>
          <w:rFonts w:ascii="Garamond" w:hAnsi="Garamond" w:cs="Times New Roman"/>
          <w:sz w:val="21"/>
          <w:szCs w:val="21"/>
        </w:rPr>
        <w:t>quarter</w:t>
      </w:r>
      <w:r w:rsidR="00A67D69" w:rsidRPr="004E7A10">
        <w:rPr>
          <w:rFonts w:ascii="Garamond" w:hAnsi="Garamond" w:cs="Times New Roman"/>
          <w:sz w:val="21"/>
          <w:szCs w:val="21"/>
        </w:rPr>
        <w:t xml:space="preserve">’s </w:t>
      </w:r>
      <w:r w:rsidR="00E573F6">
        <w:rPr>
          <w:rFonts w:ascii="Garamond" w:hAnsi="Garamond" w:cs="Times New Roman"/>
          <w:sz w:val="21"/>
          <w:szCs w:val="21"/>
        </w:rPr>
        <w:t xml:space="preserve">2.8% </w:t>
      </w:r>
      <w:r w:rsidR="00A67D69" w:rsidRPr="004E7A10">
        <w:rPr>
          <w:rFonts w:ascii="Garamond" w:hAnsi="Garamond" w:cs="Times New Roman"/>
          <w:sz w:val="21"/>
          <w:szCs w:val="21"/>
        </w:rPr>
        <w:t>decline</w:t>
      </w:r>
      <w:r w:rsidR="00E573F6">
        <w:rPr>
          <w:rFonts w:ascii="Garamond" w:hAnsi="Garamond" w:cs="Times New Roman"/>
          <w:sz w:val="21"/>
          <w:szCs w:val="21"/>
        </w:rPr>
        <w:t>.</w:t>
      </w:r>
    </w:p>
    <w:p w14:paraId="11BFD116" w14:textId="77777777" w:rsidR="00A9653E" w:rsidRPr="004E7A10" w:rsidRDefault="00E573F6" w:rsidP="00A9653E">
      <w:pPr>
        <w:spacing w:line="360" w:lineRule="auto"/>
        <w:jc w:val="both"/>
        <w:rPr>
          <w:rFonts w:ascii="Garamond" w:hAnsi="Garamond" w:cs="Times New Roman"/>
          <w:sz w:val="21"/>
          <w:szCs w:val="21"/>
        </w:rPr>
      </w:pPr>
      <w:r>
        <w:rPr>
          <w:rFonts w:ascii="Garamond" w:hAnsi="Garamond" w:cs="Times New Roman"/>
          <w:sz w:val="21"/>
          <w:szCs w:val="21"/>
        </w:rPr>
        <w:t>C</w:t>
      </w:r>
      <w:r w:rsidR="00A67D69" w:rsidRPr="004E7A10">
        <w:rPr>
          <w:rFonts w:ascii="Garamond" w:hAnsi="Garamond" w:cs="Times New Roman"/>
          <w:sz w:val="21"/>
          <w:szCs w:val="21"/>
        </w:rPr>
        <w:t xml:space="preserve">onsumer Price Index </w:t>
      </w:r>
      <w:r>
        <w:rPr>
          <w:rFonts w:ascii="Garamond" w:hAnsi="Garamond" w:cs="Times New Roman"/>
          <w:sz w:val="21"/>
          <w:szCs w:val="21"/>
        </w:rPr>
        <w:t xml:space="preserve">in Russia </w:t>
      </w:r>
      <w:r w:rsidR="00A67D69" w:rsidRPr="004E7A10">
        <w:rPr>
          <w:rFonts w:ascii="Garamond" w:hAnsi="Garamond" w:cs="Times New Roman"/>
          <w:sz w:val="21"/>
          <w:szCs w:val="21"/>
        </w:rPr>
        <w:t xml:space="preserve">posted an average </w:t>
      </w:r>
      <w:r>
        <w:rPr>
          <w:rFonts w:ascii="Garamond" w:hAnsi="Garamond" w:cs="Times New Roman"/>
          <w:sz w:val="21"/>
          <w:szCs w:val="21"/>
        </w:rPr>
        <w:t>16</w:t>
      </w:r>
      <w:r w:rsidR="00A67D69" w:rsidRPr="004E7A10">
        <w:rPr>
          <w:rFonts w:ascii="Garamond" w:hAnsi="Garamond" w:cs="Times New Roman"/>
          <w:sz w:val="21"/>
          <w:szCs w:val="21"/>
        </w:rPr>
        <w:t>.</w:t>
      </w:r>
      <w:r>
        <w:rPr>
          <w:rFonts w:ascii="Garamond" w:hAnsi="Garamond" w:cs="Times New Roman"/>
          <w:sz w:val="21"/>
          <w:szCs w:val="21"/>
        </w:rPr>
        <w:t>2</w:t>
      </w:r>
      <w:r w:rsidR="00A67D69" w:rsidRPr="004E7A10">
        <w:rPr>
          <w:rFonts w:ascii="Garamond" w:hAnsi="Garamond" w:cs="Times New Roman"/>
          <w:sz w:val="21"/>
          <w:szCs w:val="21"/>
        </w:rPr>
        <w:t xml:space="preserve">% y/y growth (compared to a </w:t>
      </w:r>
      <w:r>
        <w:rPr>
          <w:rFonts w:ascii="Garamond" w:hAnsi="Garamond" w:cs="Times New Roman"/>
          <w:sz w:val="21"/>
          <w:szCs w:val="21"/>
        </w:rPr>
        <w:t>9</w:t>
      </w:r>
      <w:r w:rsidR="00A67D69" w:rsidRPr="004E7A10">
        <w:rPr>
          <w:rFonts w:ascii="Garamond" w:hAnsi="Garamond" w:cs="Times New Roman"/>
          <w:sz w:val="21"/>
          <w:szCs w:val="21"/>
        </w:rPr>
        <w:t>.</w:t>
      </w:r>
      <w:r>
        <w:rPr>
          <w:rFonts w:ascii="Garamond" w:hAnsi="Garamond" w:cs="Times New Roman"/>
          <w:sz w:val="21"/>
          <w:szCs w:val="21"/>
        </w:rPr>
        <w:t>6</w:t>
      </w:r>
      <w:r w:rsidR="00A67D69" w:rsidRPr="004E7A10">
        <w:rPr>
          <w:rFonts w:ascii="Garamond" w:hAnsi="Garamond" w:cs="Times New Roman"/>
          <w:sz w:val="21"/>
          <w:szCs w:val="21"/>
        </w:rPr>
        <w:t xml:space="preserve">% growth last quarter) on the back of as much as </w:t>
      </w:r>
      <w:r w:rsidR="00315A80">
        <w:rPr>
          <w:rFonts w:ascii="Garamond" w:hAnsi="Garamond" w:cs="Times New Roman"/>
          <w:sz w:val="21"/>
          <w:szCs w:val="21"/>
        </w:rPr>
        <w:t>43</w:t>
      </w:r>
      <w:r w:rsidR="00A67D69" w:rsidRPr="004E7A10">
        <w:rPr>
          <w:rFonts w:ascii="Garamond" w:hAnsi="Garamond" w:cs="Times New Roman"/>
          <w:sz w:val="21"/>
          <w:szCs w:val="21"/>
        </w:rPr>
        <w:t>.</w:t>
      </w:r>
      <w:r w:rsidR="00315A80">
        <w:rPr>
          <w:rFonts w:ascii="Garamond" w:hAnsi="Garamond" w:cs="Times New Roman"/>
          <w:sz w:val="21"/>
          <w:szCs w:val="21"/>
        </w:rPr>
        <w:t>8</w:t>
      </w:r>
      <w:r w:rsidR="00A67D69" w:rsidRPr="004E7A10">
        <w:rPr>
          <w:rFonts w:ascii="Garamond" w:hAnsi="Garamond" w:cs="Times New Roman"/>
          <w:sz w:val="21"/>
          <w:szCs w:val="21"/>
        </w:rPr>
        <w:t xml:space="preserve">% y/y depreciation of the ruble </w:t>
      </w:r>
      <w:r w:rsidR="00315A80">
        <w:rPr>
          <w:rFonts w:ascii="Garamond" w:hAnsi="Garamond" w:cs="Times New Roman"/>
          <w:sz w:val="21"/>
          <w:szCs w:val="21"/>
        </w:rPr>
        <w:t>in the 1st quarter of 2015</w:t>
      </w:r>
      <w:r w:rsidR="00A67D69" w:rsidRPr="004E7A10">
        <w:rPr>
          <w:rFonts w:ascii="Garamond" w:hAnsi="Garamond" w:cs="Times New Roman"/>
          <w:sz w:val="21"/>
          <w:szCs w:val="21"/>
        </w:rPr>
        <w:t xml:space="preserve">. </w:t>
      </w:r>
      <w:r w:rsidR="00315A80">
        <w:rPr>
          <w:rFonts w:ascii="Garamond" w:hAnsi="Garamond" w:cs="Times New Roman"/>
          <w:sz w:val="21"/>
          <w:szCs w:val="21"/>
        </w:rPr>
        <w:t xml:space="preserve">In view of fewer risks to inflation </w:t>
      </w:r>
      <w:r w:rsidR="003B3F0C">
        <w:rPr>
          <w:rFonts w:ascii="Garamond" w:hAnsi="Garamond" w:cs="Times New Roman"/>
          <w:sz w:val="21"/>
          <w:szCs w:val="21"/>
        </w:rPr>
        <w:t xml:space="preserve">yet persisting risks to a </w:t>
      </w:r>
      <w:r w:rsidR="00315A80" w:rsidRPr="00315A80">
        <w:rPr>
          <w:rFonts w:ascii="Garamond" w:hAnsi="Garamond" w:cs="Times New Roman"/>
          <w:sz w:val="21"/>
          <w:szCs w:val="21"/>
        </w:rPr>
        <w:t>significant slowdown in economic growth</w:t>
      </w:r>
      <w:r w:rsidR="003B3F0C">
        <w:rPr>
          <w:rFonts w:ascii="Garamond" w:hAnsi="Garamond" w:cs="Times New Roman"/>
          <w:sz w:val="21"/>
          <w:szCs w:val="21"/>
        </w:rPr>
        <w:t>, the Central Bank of Russia cut</w:t>
      </w:r>
      <w:r w:rsidR="003B3F0C" w:rsidRPr="00315A80">
        <w:rPr>
          <w:rFonts w:ascii="Garamond" w:hAnsi="Garamond" w:cs="Times New Roman"/>
          <w:sz w:val="21"/>
          <w:szCs w:val="21"/>
        </w:rPr>
        <w:t xml:space="preserve"> the policy rate to 14.0% </w:t>
      </w:r>
      <w:r w:rsidR="003B3F0C">
        <w:rPr>
          <w:rFonts w:ascii="Garamond" w:hAnsi="Garamond" w:cs="Times New Roman"/>
          <w:sz w:val="21"/>
          <w:szCs w:val="21"/>
        </w:rPr>
        <w:t>i</w:t>
      </w:r>
      <w:r w:rsidR="003B3F0C" w:rsidRPr="004E7A10">
        <w:rPr>
          <w:rFonts w:ascii="Garamond" w:hAnsi="Garamond" w:cs="Times New Roman"/>
          <w:sz w:val="21"/>
          <w:szCs w:val="21"/>
        </w:rPr>
        <w:t xml:space="preserve">n the </w:t>
      </w:r>
      <w:r w:rsidR="003B3F0C">
        <w:rPr>
          <w:rFonts w:ascii="Garamond" w:hAnsi="Garamond" w:cs="Times New Roman"/>
          <w:sz w:val="21"/>
          <w:szCs w:val="21"/>
        </w:rPr>
        <w:t>1st</w:t>
      </w:r>
      <w:r w:rsidR="003B3F0C" w:rsidRPr="004E7A10">
        <w:rPr>
          <w:rFonts w:ascii="Garamond" w:hAnsi="Garamond" w:cs="Times New Roman"/>
          <w:sz w:val="21"/>
          <w:szCs w:val="21"/>
        </w:rPr>
        <w:t xml:space="preserve"> quarter of 201</w:t>
      </w:r>
      <w:r w:rsidR="003B3F0C">
        <w:rPr>
          <w:rFonts w:ascii="Garamond" w:hAnsi="Garamond" w:cs="Times New Roman"/>
          <w:sz w:val="21"/>
          <w:szCs w:val="21"/>
        </w:rPr>
        <w:t>5</w:t>
      </w:r>
      <w:r w:rsidR="003B3F0C" w:rsidRPr="00315A80">
        <w:rPr>
          <w:rFonts w:ascii="Garamond" w:hAnsi="Garamond" w:cs="Times New Roman"/>
          <w:sz w:val="21"/>
          <w:szCs w:val="21"/>
        </w:rPr>
        <w:t xml:space="preserve"> </w:t>
      </w:r>
      <w:r w:rsidR="003B3F0C">
        <w:rPr>
          <w:rFonts w:ascii="Garamond" w:hAnsi="Garamond" w:cs="Times New Roman"/>
          <w:sz w:val="21"/>
          <w:szCs w:val="21"/>
        </w:rPr>
        <w:t xml:space="preserve">from </w:t>
      </w:r>
      <w:r w:rsidR="003B3F0C" w:rsidRPr="00315A80">
        <w:rPr>
          <w:rFonts w:ascii="Garamond" w:hAnsi="Garamond" w:cs="Times New Roman"/>
          <w:sz w:val="21"/>
          <w:szCs w:val="21"/>
        </w:rPr>
        <w:t xml:space="preserve">17.0% </w:t>
      </w:r>
      <w:r w:rsidR="003B3F0C">
        <w:rPr>
          <w:rFonts w:ascii="Garamond" w:hAnsi="Garamond" w:cs="Times New Roman"/>
          <w:sz w:val="21"/>
          <w:szCs w:val="21"/>
        </w:rPr>
        <w:t xml:space="preserve">in </w:t>
      </w:r>
      <w:r w:rsidR="003B3F0C" w:rsidRPr="00315A80">
        <w:rPr>
          <w:rFonts w:ascii="Garamond" w:hAnsi="Garamond" w:cs="Times New Roman"/>
          <w:sz w:val="21"/>
          <w:szCs w:val="21"/>
        </w:rPr>
        <w:t xml:space="preserve">the </w:t>
      </w:r>
      <w:r w:rsidR="009064D6">
        <w:rPr>
          <w:rFonts w:ascii="Garamond" w:hAnsi="Garamond" w:cs="Times New Roman"/>
          <w:sz w:val="21"/>
          <w:szCs w:val="21"/>
        </w:rPr>
        <w:t xml:space="preserve">end of the </w:t>
      </w:r>
      <w:r w:rsidR="003B3F0C" w:rsidRPr="00315A80">
        <w:rPr>
          <w:rFonts w:ascii="Garamond" w:hAnsi="Garamond" w:cs="Times New Roman"/>
          <w:sz w:val="21"/>
          <w:szCs w:val="21"/>
        </w:rPr>
        <w:t>previous quarter.</w:t>
      </w:r>
      <w:r w:rsidR="003B3F0C">
        <w:rPr>
          <w:rFonts w:ascii="Garamond" w:hAnsi="Garamond" w:cs="Times New Roman"/>
          <w:sz w:val="21"/>
          <w:szCs w:val="21"/>
        </w:rPr>
        <w:t xml:space="preserve"> </w:t>
      </w:r>
    </w:p>
    <w:p w14:paraId="06C4EF9E" w14:textId="77777777" w:rsidR="005936ED" w:rsidRPr="004E7A10" w:rsidRDefault="00A9653E"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009064D6">
        <w:rPr>
          <w:rFonts w:ascii="Garamond" w:hAnsi="Garamond" w:cs="Times New Roman"/>
          <w:sz w:val="21"/>
          <w:szCs w:val="21"/>
        </w:rPr>
        <w:t>1st</w:t>
      </w:r>
      <w:r w:rsidRPr="004E7A10">
        <w:rPr>
          <w:rFonts w:ascii="Garamond" w:hAnsi="Garamond" w:cs="Times New Roman"/>
          <w:sz w:val="21"/>
          <w:szCs w:val="21"/>
        </w:rPr>
        <w:t xml:space="preserve"> quarter of 201</w:t>
      </w:r>
      <w:r w:rsidR="009064D6">
        <w:rPr>
          <w:rFonts w:ascii="Garamond" w:hAnsi="Garamond" w:cs="Times New Roman"/>
          <w:sz w:val="21"/>
          <w:szCs w:val="21"/>
        </w:rPr>
        <w:t>5</w:t>
      </w:r>
      <w:r w:rsidRPr="004E7A10">
        <w:rPr>
          <w:rFonts w:ascii="Garamond" w:hAnsi="Garamond" w:cs="Times New Roman"/>
          <w:sz w:val="21"/>
          <w:szCs w:val="21"/>
        </w:rPr>
        <w:t xml:space="preserve">, the </w:t>
      </w:r>
      <w:r w:rsidRPr="004E7A10">
        <w:rPr>
          <w:rFonts w:ascii="Garamond" w:hAnsi="Garamond" w:cs="Times New Roman"/>
          <w:b/>
          <w:i/>
          <w:sz w:val="21"/>
          <w:szCs w:val="21"/>
        </w:rPr>
        <w:t>price of Brent crude</w:t>
      </w:r>
      <w:r w:rsidRPr="004E7A10">
        <w:rPr>
          <w:rFonts w:ascii="Garamond" w:hAnsi="Garamond" w:cs="Times New Roman"/>
          <w:sz w:val="21"/>
          <w:szCs w:val="21"/>
        </w:rPr>
        <w:t xml:space="preserve"> at </w:t>
      </w:r>
      <w:r w:rsidRPr="004E7A10">
        <w:rPr>
          <w:rFonts w:ascii="Garamond" w:hAnsi="Garamond" w:cs="Times New Roman"/>
          <w:iCs/>
          <w:sz w:val="21"/>
          <w:szCs w:val="21"/>
        </w:rPr>
        <w:t>Intercontinental Exchange</w:t>
      </w:r>
      <w:r w:rsidR="00500F13" w:rsidRPr="004E7A10">
        <w:rPr>
          <w:rFonts w:ascii="Garamond" w:hAnsi="Garamond" w:cs="Times New Roman"/>
          <w:iCs/>
          <w:sz w:val="21"/>
          <w:szCs w:val="21"/>
        </w:rPr>
        <w:t xml:space="preserve"> plunged </w:t>
      </w:r>
      <w:r w:rsidRPr="004E7A10">
        <w:rPr>
          <w:rFonts w:ascii="Garamond" w:hAnsi="Garamond" w:cs="Times New Roman"/>
          <w:sz w:val="21"/>
          <w:szCs w:val="21"/>
        </w:rPr>
        <w:t xml:space="preserve">by </w:t>
      </w:r>
      <w:r w:rsidR="005936ED" w:rsidRPr="004E7A10">
        <w:rPr>
          <w:rFonts w:ascii="Garamond" w:hAnsi="Garamond" w:cs="Times New Roman"/>
          <w:sz w:val="21"/>
          <w:szCs w:val="21"/>
        </w:rPr>
        <w:t>as much as</w:t>
      </w:r>
      <w:r w:rsidR="00500F13" w:rsidRPr="004E7A10">
        <w:rPr>
          <w:rFonts w:ascii="Garamond" w:hAnsi="Garamond" w:cs="Times New Roman"/>
          <w:sz w:val="21"/>
          <w:szCs w:val="21"/>
        </w:rPr>
        <w:t xml:space="preserve"> 25</w:t>
      </w:r>
      <w:r w:rsidRPr="004E7A10">
        <w:rPr>
          <w:rFonts w:ascii="Garamond" w:hAnsi="Garamond" w:cs="Times New Roman"/>
          <w:sz w:val="21"/>
          <w:szCs w:val="21"/>
        </w:rPr>
        <w:t>.</w:t>
      </w:r>
      <w:r w:rsidR="00500F13" w:rsidRPr="004E7A10">
        <w:rPr>
          <w:rFonts w:ascii="Garamond" w:hAnsi="Garamond" w:cs="Times New Roman"/>
          <w:sz w:val="21"/>
          <w:szCs w:val="21"/>
        </w:rPr>
        <w:t>6</w:t>
      </w:r>
      <w:r w:rsidRPr="004E7A10">
        <w:rPr>
          <w:rFonts w:ascii="Garamond" w:hAnsi="Garamond" w:cs="Times New Roman"/>
          <w:sz w:val="21"/>
          <w:szCs w:val="21"/>
        </w:rPr>
        <w:t>% against the previous quarter</w:t>
      </w:r>
      <w:r w:rsidR="009064D6">
        <w:rPr>
          <w:rFonts w:ascii="Garamond" w:hAnsi="Garamond" w:cs="Times New Roman"/>
          <w:sz w:val="21"/>
          <w:szCs w:val="21"/>
        </w:rPr>
        <w:t xml:space="preserve"> to roughly </w:t>
      </w:r>
      <w:r w:rsidRPr="004E7A10">
        <w:rPr>
          <w:rFonts w:ascii="Garamond" w:hAnsi="Garamond" w:cs="Times New Roman"/>
          <w:sz w:val="21"/>
          <w:szCs w:val="21"/>
        </w:rPr>
        <w:t xml:space="preserve">USD </w:t>
      </w:r>
      <w:r w:rsidR="009064D6">
        <w:rPr>
          <w:rFonts w:ascii="Garamond" w:hAnsi="Garamond" w:cs="Times New Roman"/>
          <w:sz w:val="21"/>
          <w:szCs w:val="21"/>
        </w:rPr>
        <w:t>54</w:t>
      </w:r>
      <w:r w:rsidR="00D2186D" w:rsidRPr="004E7A10">
        <w:rPr>
          <w:rFonts w:ascii="Garamond" w:hAnsi="Garamond" w:cs="Times New Roman"/>
          <w:sz w:val="21"/>
          <w:szCs w:val="21"/>
        </w:rPr>
        <w:t>.</w:t>
      </w:r>
      <w:r w:rsidR="009064D6">
        <w:rPr>
          <w:rFonts w:ascii="Garamond" w:hAnsi="Garamond" w:cs="Times New Roman"/>
          <w:sz w:val="21"/>
          <w:szCs w:val="21"/>
        </w:rPr>
        <w:t>0</w:t>
      </w:r>
      <w:r w:rsidRPr="004E7A10">
        <w:rPr>
          <w:rFonts w:ascii="Garamond" w:hAnsi="Garamond" w:cs="Times New Roman"/>
          <w:sz w:val="21"/>
          <w:szCs w:val="21"/>
        </w:rPr>
        <w:t xml:space="preserve"> a barrel (with </w:t>
      </w:r>
      <w:r w:rsidR="009064D6">
        <w:rPr>
          <w:rFonts w:ascii="Garamond" w:hAnsi="Garamond" w:cs="Times New Roman"/>
          <w:sz w:val="21"/>
          <w:szCs w:val="21"/>
        </w:rPr>
        <w:t>49</w:t>
      </w:r>
      <w:r w:rsidRPr="004E7A10">
        <w:rPr>
          <w:rFonts w:ascii="Garamond" w:hAnsi="Garamond" w:cs="Times New Roman"/>
          <w:sz w:val="21"/>
          <w:szCs w:val="21"/>
        </w:rPr>
        <w:t>.</w:t>
      </w:r>
      <w:r w:rsidR="00500F13" w:rsidRPr="004E7A10">
        <w:rPr>
          <w:rFonts w:ascii="Garamond" w:hAnsi="Garamond" w:cs="Times New Roman"/>
          <w:sz w:val="21"/>
          <w:szCs w:val="21"/>
        </w:rPr>
        <w:t>5</w:t>
      </w:r>
      <w:r w:rsidRPr="004E7A10">
        <w:rPr>
          <w:rFonts w:ascii="Garamond" w:hAnsi="Garamond" w:cs="Times New Roman"/>
          <w:sz w:val="21"/>
          <w:szCs w:val="21"/>
        </w:rPr>
        <w:t xml:space="preserve">% </w:t>
      </w:r>
      <w:r w:rsidR="00D2186D" w:rsidRPr="004E7A10">
        <w:rPr>
          <w:rFonts w:ascii="Garamond" w:hAnsi="Garamond" w:cs="Times New Roman"/>
          <w:sz w:val="21"/>
          <w:szCs w:val="21"/>
        </w:rPr>
        <w:t>y/y decrease</w:t>
      </w:r>
      <w:r w:rsidRPr="004E7A10">
        <w:rPr>
          <w:rFonts w:ascii="Garamond" w:hAnsi="Garamond" w:cs="Times New Roman"/>
          <w:sz w:val="21"/>
          <w:szCs w:val="21"/>
        </w:rPr>
        <w:t>)</w:t>
      </w:r>
      <w:r w:rsidR="00500F13" w:rsidRPr="004E7A10">
        <w:rPr>
          <w:rFonts w:ascii="Garamond" w:hAnsi="Garamond" w:cs="Times New Roman"/>
          <w:sz w:val="21"/>
          <w:szCs w:val="21"/>
        </w:rPr>
        <w:t xml:space="preserve">, </w:t>
      </w:r>
      <w:r w:rsidR="005936ED" w:rsidRPr="004E7A10">
        <w:rPr>
          <w:rFonts w:ascii="Garamond" w:hAnsi="Garamond" w:cs="Times New Roman"/>
          <w:sz w:val="21"/>
          <w:szCs w:val="21"/>
        </w:rPr>
        <w:t xml:space="preserve">amidst increased U.S. extraction volumes and relevant anticipations in the financial markets. </w:t>
      </w:r>
    </w:p>
    <w:p w14:paraId="4C2943D5" w14:textId="77777777" w:rsidR="00A9653E" w:rsidRPr="004E7A10" w:rsidRDefault="005936ED" w:rsidP="00A9653E">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w:t>
      </w:r>
      <w:r w:rsidR="009064D6">
        <w:rPr>
          <w:rFonts w:ascii="Garamond" w:hAnsi="Garamond" w:cs="Times New Roman"/>
          <w:sz w:val="21"/>
          <w:szCs w:val="21"/>
        </w:rPr>
        <w:t>1st</w:t>
      </w:r>
      <w:r w:rsidRPr="004E7A10">
        <w:rPr>
          <w:rFonts w:ascii="Garamond" w:hAnsi="Garamond" w:cs="Times New Roman"/>
          <w:sz w:val="21"/>
          <w:szCs w:val="21"/>
        </w:rPr>
        <w:t xml:space="preserve"> quarter of 201</w:t>
      </w:r>
      <w:r w:rsidR="009064D6">
        <w:rPr>
          <w:rFonts w:ascii="Garamond" w:hAnsi="Garamond" w:cs="Times New Roman"/>
          <w:sz w:val="21"/>
          <w:szCs w:val="21"/>
        </w:rPr>
        <w:t>5</w:t>
      </w:r>
      <w:r w:rsidR="00A9653E" w:rsidRPr="004E7A10">
        <w:rPr>
          <w:rFonts w:ascii="Garamond" w:hAnsi="Garamond" w:cs="Times New Roman"/>
          <w:sz w:val="21"/>
          <w:szCs w:val="21"/>
        </w:rPr>
        <w:t xml:space="preserve">, the </w:t>
      </w:r>
      <w:r w:rsidR="00A9653E" w:rsidRPr="004E7A10">
        <w:rPr>
          <w:rFonts w:ascii="Garamond" w:hAnsi="Garamond" w:cs="Times New Roman"/>
          <w:b/>
          <w:i/>
          <w:sz w:val="21"/>
          <w:szCs w:val="21"/>
        </w:rPr>
        <w:t>price of copper</w:t>
      </w:r>
      <w:r w:rsidR="00A9653E" w:rsidRPr="004E7A10">
        <w:rPr>
          <w:rFonts w:ascii="Garamond" w:hAnsi="Garamond" w:cs="Times New Roman"/>
          <w:sz w:val="21"/>
          <w:szCs w:val="21"/>
        </w:rPr>
        <w:t xml:space="preserve"> at the London Metal Exchange </w:t>
      </w:r>
      <w:r w:rsidRPr="004E7A10">
        <w:rPr>
          <w:rFonts w:ascii="Garamond" w:hAnsi="Garamond" w:cs="Times New Roman"/>
          <w:sz w:val="21"/>
          <w:szCs w:val="21"/>
        </w:rPr>
        <w:t>fell</w:t>
      </w:r>
      <w:r w:rsidR="00A9653E" w:rsidRPr="004E7A10">
        <w:rPr>
          <w:rFonts w:ascii="Garamond" w:hAnsi="Garamond" w:cs="Times New Roman"/>
          <w:sz w:val="21"/>
          <w:szCs w:val="21"/>
        </w:rPr>
        <w:t xml:space="preserve"> by </w:t>
      </w:r>
      <w:r w:rsidR="00075F0E">
        <w:rPr>
          <w:rFonts w:ascii="Garamond" w:hAnsi="Garamond" w:cs="Times New Roman"/>
          <w:sz w:val="21"/>
          <w:szCs w:val="21"/>
        </w:rPr>
        <w:t>11</w:t>
      </w:r>
      <w:r w:rsidR="00A9653E" w:rsidRPr="004E7A10">
        <w:rPr>
          <w:rFonts w:ascii="Garamond" w:hAnsi="Garamond" w:cs="Times New Roman"/>
          <w:sz w:val="21"/>
          <w:szCs w:val="21"/>
        </w:rPr>
        <w:t>.</w:t>
      </w:r>
      <w:r w:rsidR="00075F0E">
        <w:rPr>
          <w:rFonts w:ascii="Garamond" w:hAnsi="Garamond" w:cs="Times New Roman"/>
          <w:sz w:val="21"/>
          <w:szCs w:val="21"/>
        </w:rPr>
        <w:t>7</w:t>
      </w:r>
      <w:r w:rsidR="00A9653E" w:rsidRPr="004E7A10">
        <w:rPr>
          <w:rFonts w:ascii="Garamond" w:hAnsi="Garamond" w:cs="Times New Roman"/>
          <w:sz w:val="21"/>
          <w:szCs w:val="21"/>
        </w:rPr>
        <w:t xml:space="preserve">% </w:t>
      </w:r>
      <w:r w:rsidRPr="004E7A10">
        <w:rPr>
          <w:rFonts w:ascii="Garamond" w:hAnsi="Garamond" w:cs="Times New Roman"/>
          <w:sz w:val="21"/>
          <w:szCs w:val="21"/>
        </w:rPr>
        <w:t xml:space="preserve">(with </w:t>
      </w:r>
      <w:r w:rsidR="00075F0E">
        <w:rPr>
          <w:rFonts w:ascii="Garamond" w:hAnsi="Garamond" w:cs="Times New Roman"/>
          <w:sz w:val="21"/>
          <w:szCs w:val="21"/>
        </w:rPr>
        <w:t>17</w:t>
      </w:r>
      <w:r w:rsidRPr="004E7A10">
        <w:rPr>
          <w:rFonts w:ascii="Garamond" w:hAnsi="Garamond" w:cs="Times New Roman"/>
          <w:sz w:val="21"/>
          <w:szCs w:val="21"/>
          <w:lang w:val="hy-AM"/>
        </w:rPr>
        <w:t>.</w:t>
      </w:r>
      <w:r w:rsidR="00075F0E">
        <w:rPr>
          <w:rFonts w:ascii="Garamond" w:hAnsi="Garamond" w:cs="Times New Roman"/>
          <w:sz w:val="21"/>
          <w:szCs w:val="21"/>
        </w:rPr>
        <w:t>1</w:t>
      </w:r>
      <w:r w:rsidRPr="004E7A10">
        <w:rPr>
          <w:rFonts w:ascii="Garamond" w:hAnsi="Garamond" w:cs="Times New Roman"/>
          <w:sz w:val="21"/>
          <w:szCs w:val="21"/>
        </w:rPr>
        <w:t xml:space="preserve">% decline y/y) </w:t>
      </w:r>
      <w:r w:rsidR="00A9653E" w:rsidRPr="004E7A10">
        <w:rPr>
          <w:rFonts w:ascii="Garamond" w:hAnsi="Garamond" w:cs="Times New Roman"/>
          <w:sz w:val="21"/>
          <w:szCs w:val="21"/>
        </w:rPr>
        <w:t xml:space="preserve">to USD </w:t>
      </w:r>
      <w:r w:rsidR="00075F0E">
        <w:rPr>
          <w:rFonts w:ascii="Garamond" w:hAnsi="Garamond" w:cs="Times New Roman"/>
          <w:sz w:val="21"/>
          <w:szCs w:val="21"/>
        </w:rPr>
        <w:t>5801</w:t>
      </w:r>
      <w:r w:rsidR="00A9653E" w:rsidRPr="004E7A10">
        <w:rPr>
          <w:rFonts w:ascii="Garamond" w:hAnsi="Garamond" w:cs="Times New Roman"/>
          <w:sz w:val="21"/>
          <w:szCs w:val="21"/>
        </w:rPr>
        <w:t xml:space="preserve"> per ton</w:t>
      </w:r>
      <w:r w:rsidRPr="004E7A10">
        <w:rPr>
          <w:rFonts w:ascii="Garamond" w:hAnsi="Garamond" w:cs="Times New Roman"/>
          <w:sz w:val="21"/>
          <w:szCs w:val="21"/>
        </w:rPr>
        <w:t xml:space="preserve"> on average</w:t>
      </w:r>
      <w:r w:rsidR="00A9653E" w:rsidRPr="004E7A10">
        <w:rPr>
          <w:rFonts w:ascii="Garamond" w:hAnsi="Garamond" w:cs="Times New Roman"/>
          <w:sz w:val="21"/>
          <w:szCs w:val="21"/>
        </w:rPr>
        <w:t xml:space="preserve">. </w:t>
      </w:r>
      <w:r w:rsidR="001E5442" w:rsidRPr="004E7A10">
        <w:rPr>
          <w:rFonts w:ascii="Garamond" w:hAnsi="Garamond" w:cs="Times New Roman"/>
          <w:sz w:val="21"/>
          <w:szCs w:val="21"/>
        </w:rPr>
        <w:t>The drop in the price was explained by the slowing of demand in China</w:t>
      </w:r>
      <w:r w:rsidR="00075F0E">
        <w:rPr>
          <w:rFonts w:ascii="Garamond" w:hAnsi="Garamond" w:cs="Times New Roman"/>
          <w:sz w:val="21"/>
          <w:szCs w:val="21"/>
        </w:rPr>
        <w:t>,</w:t>
      </w:r>
      <w:r w:rsidR="001E5442" w:rsidRPr="004E7A10">
        <w:rPr>
          <w:rFonts w:ascii="Garamond" w:hAnsi="Garamond" w:cs="Times New Roman"/>
          <w:sz w:val="21"/>
          <w:szCs w:val="21"/>
        </w:rPr>
        <w:t xml:space="preserve"> </w:t>
      </w:r>
      <w:r w:rsidR="007203E0" w:rsidRPr="004E7A10">
        <w:rPr>
          <w:rFonts w:ascii="Garamond" w:hAnsi="Garamond" w:cs="Times New Roman"/>
          <w:sz w:val="21"/>
          <w:szCs w:val="21"/>
        </w:rPr>
        <w:t>on the one hand</w:t>
      </w:r>
      <w:r w:rsidR="00075F0E">
        <w:rPr>
          <w:rFonts w:ascii="Garamond" w:hAnsi="Garamond" w:cs="Times New Roman"/>
          <w:sz w:val="21"/>
          <w:szCs w:val="21"/>
        </w:rPr>
        <w:t>,</w:t>
      </w:r>
      <w:r w:rsidR="007203E0" w:rsidRPr="004E7A10">
        <w:rPr>
          <w:rFonts w:ascii="Garamond" w:hAnsi="Garamond" w:cs="Times New Roman"/>
          <w:sz w:val="21"/>
          <w:szCs w:val="21"/>
        </w:rPr>
        <w:t xml:space="preserve"> and the e</w:t>
      </w:r>
      <w:r w:rsidR="001E5442" w:rsidRPr="004E7A10">
        <w:rPr>
          <w:rFonts w:ascii="Garamond" w:hAnsi="Garamond" w:cs="Times New Roman"/>
          <w:sz w:val="21"/>
          <w:szCs w:val="21"/>
        </w:rPr>
        <w:t>ffect</w:t>
      </w:r>
      <w:r w:rsidR="007203E0" w:rsidRPr="004E7A10">
        <w:rPr>
          <w:rFonts w:ascii="Garamond" w:hAnsi="Garamond" w:cs="Times New Roman"/>
          <w:sz w:val="21"/>
          <w:szCs w:val="21"/>
        </w:rPr>
        <w:t>s</w:t>
      </w:r>
      <w:r w:rsidR="001E5442" w:rsidRPr="004E7A10">
        <w:rPr>
          <w:rFonts w:ascii="Garamond" w:hAnsi="Garamond" w:cs="Times New Roman"/>
          <w:sz w:val="21"/>
          <w:szCs w:val="21"/>
        </w:rPr>
        <w:t xml:space="preserve"> of appreciating U.S. dollar</w:t>
      </w:r>
      <w:r w:rsidR="00075F0E">
        <w:rPr>
          <w:rFonts w:ascii="Garamond" w:hAnsi="Garamond" w:cs="Times New Roman"/>
          <w:sz w:val="21"/>
          <w:szCs w:val="21"/>
        </w:rPr>
        <w:t>,</w:t>
      </w:r>
      <w:r w:rsidR="007203E0" w:rsidRPr="004E7A10">
        <w:rPr>
          <w:rFonts w:ascii="Garamond" w:hAnsi="Garamond" w:cs="Times New Roman"/>
          <w:sz w:val="21"/>
          <w:szCs w:val="21"/>
        </w:rPr>
        <w:t xml:space="preserve"> on the other</w:t>
      </w:r>
      <w:r w:rsidR="001E5442" w:rsidRPr="004E7A10">
        <w:rPr>
          <w:rFonts w:ascii="Garamond" w:hAnsi="Garamond" w:cs="Times New Roman"/>
          <w:sz w:val="21"/>
          <w:szCs w:val="21"/>
        </w:rPr>
        <w:t>.</w:t>
      </w:r>
    </w:p>
    <w:p w14:paraId="661C2E80" w14:textId="77777777" w:rsidR="00E26F69" w:rsidRPr="004E7A10" w:rsidRDefault="00A9653E" w:rsidP="00A9653E">
      <w:pPr>
        <w:spacing w:line="360" w:lineRule="auto"/>
        <w:jc w:val="both"/>
        <w:rPr>
          <w:rStyle w:val="longtext"/>
          <w:rFonts w:ascii="Garamond" w:hAnsi="Garamond" w:cs="Times New Roman"/>
          <w:sz w:val="21"/>
          <w:szCs w:val="21"/>
        </w:rPr>
      </w:pPr>
      <w:r w:rsidRPr="004E7A10">
        <w:rPr>
          <w:rFonts w:ascii="Garamond" w:hAnsi="Garamond" w:cs="Times New Roman"/>
          <w:sz w:val="21"/>
          <w:szCs w:val="21"/>
        </w:rPr>
        <w:t xml:space="preserve">In the </w:t>
      </w:r>
      <w:r w:rsidR="00E42FAC">
        <w:rPr>
          <w:rFonts w:ascii="Garamond" w:hAnsi="Garamond" w:cs="Times New Roman"/>
          <w:sz w:val="21"/>
          <w:szCs w:val="21"/>
        </w:rPr>
        <w:t>1st</w:t>
      </w:r>
      <w:r w:rsidRPr="004E7A10">
        <w:rPr>
          <w:rFonts w:ascii="Garamond" w:hAnsi="Garamond" w:cs="Times New Roman"/>
          <w:sz w:val="21"/>
          <w:szCs w:val="21"/>
        </w:rPr>
        <w:t xml:space="preserve"> quarter of 201</w:t>
      </w:r>
      <w:r w:rsidR="00E42FAC">
        <w:rPr>
          <w:rFonts w:ascii="Garamond" w:hAnsi="Garamond" w:cs="Times New Roman"/>
          <w:sz w:val="21"/>
          <w:szCs w:val="21"/>
        </w:rPr>
        <w:t>5</w:t>
      </w:r>
      <w:r w:rsidRPr="004E7A10">
        <w:rPr>
          <w:rFonts w:ascii="Garamond" w:hAnsi="Garamond" w:cs="Times New Roman"/>
          <w:sz w:val="21"/>
          <w:szCs w:val="21"/>
        </w:rPr>
        <w:t>, e</w:t>
      </w:r>
      <w:r w:rsidRPr="004E7A10">
        <w:rPr>
          <w:rStyle w:val="longtext"/>
          <w:rFonts w:ascii="Garamond" w:hAnsi="Garamond" w:cs="Times New Roman"/>
          <w:sz w:val="21"/>
          <w:szCs w:val="21"/>
          <w:shd w:val="clear" w:color="auto" w:fill="FFFFFF"/>
        </w:rPr>
        <w:t xml:space="preserve">xport price of </w:t>
      </w:r>
      <w:r w:rsidRPr="004E7A10">
        <w:rPr>
          <w:rStyle w:val="longtext"/>
          <w:rFonts w:ascii="Garamond" w:hAnsi="Garamond" w:cs="Times New Roman"/>
          <w:b/>
          <w:i/>
          <w:sz w:val="21"/>
          <w:szCs w:val="21"/>
          <w:shd w:val="clear" w:color="auto" w:fill="FFFFFF"/>
        </w:rPr>
        <w:t>hard red</w:t>
      </w:r>
      <w:r w:rsidR="00EB5F55" w:rsidRPr="004E7A10">
        <w:rPr>
          <w:rStyle w:val="longtext"/>
          <w:rFonts w:ascii="Garamond" w:hAnsi="Garamond" w:cs="Times New Roman"/>
          <w:b/>
          <w:i/>
          <w:sz w:val="21"/>
          <w:szCs w:val="21"/>
          <w:shd w:val="clear" w:color="auto" w:fill="FFFFFF"/>
        </w:rPr>
        <w:t xml:space="preserve"> </w:t>
      </w:r>
      <w:r w:rsidRPr="004E7A10">
        <w:rPr>
          <w:rStyle w:val="longtext"/>
          <w:rFonts w:ascii="Garamond" w:hAnsi="Garamond" w:cs="Times New Roman"/>
          <w:b/>
          <w:i/>
          <w:sz w:val="21"/>
          <w:szCs w:val="21"/>
          <w:shd w:val="clear" w:color="auto" w:fill="FFFFFF"/>
        </w:rPr>
        <w:t>wheat</w:t>
      </w:r>
      <w:r w:rsidR="00EB5F55" w:rsidRPr="004E7A10">
        <w:rPr>
          <w:rStyle w:val="longtext"/>
          <w:rFonts w:ascii="Garamond" w:hAnsi="Garamond" w:cs="Times New Roman"/>
          <w:b/>
          <w:i/>
          <w:sz w:val="21"/>
          <w:szCs w:val="21"/>
          <w:shd w:val="clear" w:color="auto" w:fill="FFFFFF"/>
        </w:rPr>
        <w:t xml:space="preserve"> </w:t>
      </w:r>
      <w:r w:rsidR="00EB5F55" w:rsidRPr="004E7A10">
        <w:rPr>
          <w:rStyle w:val="longtext"/>
          <w:rFonts w:ascii="Garamond" w:hAnsi="Garamond" w:cs="Times New Roman"/>
          <w:sz w:val="21"/>
          <w:szCs w:val="21"/>
          <w:shd w:val="clear" w:color="auto" w:fill="FFFFFF"/>
        </w:rPr>
        <w:t>dropped</w:t>
      </w:r>
      <w:r w:rsidR="00E774C6" w:rsidRPr="004E7A10">
        <w:rPr>
          <w:rStyle w:val="longtext"/>
          <w:rFonts w:ascii="Garamond" w:hAnsi="Garamond" w:cs="Times New Roman"/>
          <w:sz w:val="21"/>
          <w:szCs w:val="21"/>
          <w:shd w:val="clear" w:color="auto" w:fill="FFFFFF"/>
          <w:lang w:val="hy-AM"/>
        </w:rPr>
        <w:t xml:space="preserve"> </w:t>
      </w:r>
      <w:r w:rsidRPr="004E7A10">
        <w:rPr>
          <w:rStyle w:val="longtext"/>
          <w:rFonts w:ascii="Garamond" w:hAnsi="Garamond" w:cs="Times New Roman"/>
          <w:sz w:val="21"/>
          <w:szCs w:val="21"/>
          <w:shd w:val="clear" w:color="auto" w:fill="FFFFFF"/>
        </w:rPr>
        <w:t xml:space="preserve">by </w:t>
      </w:r>
      <w:r w:rsidR="00EE0B3B">
        <w:rPr>
          <w:rStyle w:val="longtext"/>
          <w:rFonts w:ascii="Garamond" w:hAnsi="Garamond" w:cs="Times New Roman"/>
          <w:sz w:val="21"/>
          <w:szCs w:val="21"/>
          <w:shd w:val="clear" w:color="auto" w:fill="FFFFFF"/>
        </w:rPr>
        <w:t>7</w:t>
      </w:r>
      <w:r w:rsidR="00EB5F55" w:rsidRPr="004E7A10">
        <w:rPr>
          <w:rStyle w:val="longtext"/>
          <w:rFonts w:ascii="Garamond" w:hAnsi="Garamond" w:cs="Times New Roman"/>
          <w:sz w:val="21"/>
          <w:szCs w:val="21"/>
          <w:shd w:val="clear" w:color="auto" w:fill="FFFFFF"/>
        </w:rPr>
        <w:t>.</w:t>
      </w:r>
      <w:r w:rsidR="00EE0B3B">
        <w:rPr>
          <w:rStyle w:val="longtext"/>
          <w:rFonts w:ascii="Garamond" w:hAnsi="Garamond" w:cs="Times New Roman"/>
          <w:sz w:val="21"/>
          <w:szCs w:val="21"/>
          <w:shd w:val="clear" w:color="auto" w:fill="FFFFFF"/>
        </w:rPr>
        <w:t>4</w:t>
      </w:r>
      <w:r w:rsidRPr="004E7A10">
        <w:rPr>
          <w:rStyle w:val="longtext"/>
          <w:rFonts w:ascii="Garamond" w:hAnsi="Garamond" w:cs="Times New Roman"/>
          <w:sz w:val="21"/>
          <w:szCs w:val="21"/>
          <w:shd w:val="clear" w:color="auto" w:fill="FFFFFF"/>
        </w:rPr>
        <w:t xml:space="preserve">% q/q to USD </w:t>
      </w:r>
      <w:r w:rsidR="00EE0B3B">
        <w:rPr>
          <w:rStyle w:val="longtext"/>
          <w:rFonts w:ascii="Garamond" w:hAnsi="Garamond" w:cs="Times New Roman"/>
          <w:sz w:val="21"/>
          <w:szCs w:val="21"/>
          <w:shd w:val="clear" w:color="auto" w:fill="FFFFFF"/>
        </w:rPr>
        <w:t>6</w:t>
      </w:r>
      <w:r w:rsidRPr="004E7A10">
        <w:rPr>
          <w:rStyle w:val="longtext"/>
          <w:rFonts w:ascii="Garamond" w:hAnsi="Garamond" w:cs="Times New Roman"/>
          <w:sz w:val="21"/>
          <w:szCs w:val="21"/>
          <w:shd w:val="clear" w:color="auto" w:fill="FFFFFF"/>
        </w:rPr>
        <w:t>.</w:t>
      </w:r>
      <w:r w:rsidR="00EE0B3B">
        <w:rPr>
          <w:rStyle w:val="longtext"/>
          <w:rFonts w:ascii="Garamond" w:hAnsi="Garamond" w:cs="Times New Roman"/>
          <w:sz w:val="21"/>
          <w:szCs w:val="21"/>
          <w:shd w:val="clear" w:color="auto" w:fill="FFFFFF"/>
        </w:rPr>
        <w:t>5</w:t>
      </w:r>
      <w:r w:rsidRPr="004E7A10">
        <w:rPr>
          <w:rStyle w:val="longtext"/>
          <w:rFonts w:ascii="Garamond" w:hAnsi="Garamond" w:cs="Times New Roman"/>
          <w:sz w:val="21"/>
          <w:szCs w:val="21"/>
          <w:shd w:val="clear" w:color="auto" w:fill="FFFFFF"/>
        </w:rPr>
        <w:t xml:space="preserve"> a bushel (</w:t>
      </w:r>
      <w:r w:rsidRPr="004E7A10">
        <w:rPr>
          <w:rFonts w:ascii="Garamond" w:hAnsi="Garamond" w:cs="Times New Roman"/>
          <w:sz w:val="21"/>
          <w:szCs w:val="21"/>
        </w:rPr>
        <w:t xml:space="preserve">with </w:t>
      </w:r>
      <w:r w:rsidR="00E774C6" w:rsidRPr="004E7A10">
        <w:rPr>
          <w:rFonts w:ascii="Garamond" w:hAnsi="Garamond" w:cs="Times New Roman"/>
          <w:sz w:val="21"/>
          <w:szCs w:val="21"/>
          <w:lang w:val="hy-AM"/>
        </w:rPr>
        <w:t>1</w:t>
      </w:r>
      <w:r w:rsidR="00EE0B3B">
        <w:rPr>
          <w:rFonts w:ascii="Garamond" w:hAnsi="Garamond" w:cs="Times New Roman"/>
          <w:sz w:val="21"/>
          <w:szCs w:val="21"/>
        </w:rPr>
        <w:t>9</w:t>
      </w:r>
      <w:r w:rsidRPr="004E7A10">
        <w:rPr>
          <w:rFonts w:ascii="Garamond" w:hAnsi="Garamond" w:cs="Times New Roman"/>
          <w:sz w:val="21"/>
          <w:szCs w:val="21"/>
        </w:rPr>
        <w:t>.</w:t>
      </w:r>
      <w:r w:rsidR="00EE0B3B">
        <w:rPr>
          <w:rFonts w:ascii="Garamond" w:hAnsi="Garamond" w:cs="Times New Roman"/>
          <w:sz w:val="21"/>
          <w:szCs w:val="21"/>
        </w:rPr>
        <w:t>6</w:t>
      </w:r>
      <w:r w:rsidRPr="004E7A10">
        <w:rPr>
          <w:rFonts w:ascii="Garamond" w:hAnsi="Garamond" w:cs="Times New Roman"/>
          <w:sz w:val="21"/>
          <w:szCs w:val="21"/>
        </w:rPr>
        <w:t xml:space="preserve">% </w:t>
      </w:r>
      <w:r w:rsidR="00E774C6" w:rsidRPr="004E7A10">
        <w:rPr>
          <w:rFonts w:ascii="Garamond" w:hAnsi="Garamond" w:cs="Times New Roman"/>
          <w:sz w:val="21"/>
          <w:szCs w:val="21"/>
          <w:lang w:val="hy-AM"/>
        </w:rPr>
        <w:t>de</w:t>
      </w:r>
      <w:r w:rsidR="00EE0B3B">
        <w:rPr>
          <w:rFonts w:ascii="Garamond" w:hAnsi="Garamond" w:cs="Times New Roman"/>
          <w:sz w:val="21"/>
          <w:szCs w:val="21"/>
        </w:rPr>
        <w:t>cline</w:t>
      </w:r>
      <w:r w:rsidRPr="004E7A10">
        <w:rPr>
          <w:rFonts w:ascii="Garamond" w:hAnsi="Garamond" w:cs="Times New Roman"/>
          <w:sz w:val="21"/>
          <w:szCs w:val="21"/>
        </w:rPr>
        <w:t xml:space="preserve"> y/y</w:t>
      </w:r>
      <w:r w:rsidRPr="004E7A10">
        <w:rPr>
          <w:rStyle w:val="longtext"/>
          <w:rFonts w:ascii="Garamond" w:hAnsi="Garamond" w:cs="Times New Roman"/>
          <w:sz w:val="21"/>
          <w:szCs w:val="21"/>
          <w:shd w:val="clear" w:color="auto" w:fill="FFFFFF"/>
        </w:rPr>
        <w:t>), according to the U.S. Department of Agriculture data.</w:t>
      </w:r>
      <w:r w:rsidR="003F2698" w:rsidRPr="004E7A10">
        <w:rPr>
          <w:rStyle w:val="longtext"/>
          <w:rFonts w:ascii="Garamond" w:hAnsi="Garamond" w:cs="Times New Roman"/>
          <w:sz w:val="21"/>
          <w:szCs w:val="21"/>
          <w:shd w:val="clear" w:color="auto" w:fill="FFFFFF"/>
        </w:rPr>
        <w:t xml:space="preserve"> Th</w:t>
      </w:r>
      <w:r w:rsidR="00EE0B3B">
        <w:rPr>
          <w:rStyle w:val="longtext"/>
          <w:rFonts w:ascii="Garamond" w:hAnsi="Garamond" w:cs="Times New Roman"/>
          <w:sz w:val="21"/>
          <w:szCs w:val="21"/>
          <w:shd w:val="clear" w:color="auto" w:fill="FFFFFF"/>
        </w:rPr>
        <w:t xml:space="preserve">e </w:t>
      </w:r>
      <w:r w:rsidR="00183E40">
        <w:rPr>
          <w:rStyle w:val="longtext"/>
          <w:rFonts w:ascii="Garamond" w:hAnsi="Garamond" w:cs="Times New Roman"/>
          <w:sz w:val="21"/>
          <w:szCs w:val="21"/>
          <w:shd w:val="clear" w:color="auto" w:fill="FFFFFF"/>
        </w:rPr>
        <w:t xml:space="preserve">price fell </w:t>
      </w:r>
      <w:r w:rsidR="00E774C6" w:rsidRPr="004E7A10">
        <w:rPr>
          <w:rStyle w:val="longtext"/>
          <w:rFonts w:ascii="Garamond" w:hAnsi="Garamond" w:cs="Times New Roman"/>
          <w:sz w:val="21"/>
          <w:szCs w:val="21"/>
          <w:lang w:val="hy-AM"/>
        </w:rPr>
        <w:t xml:space="preserve">during the </w:t>
      </w:r>
      <w:r w:rsidRPr="004E7A10">
        <w:rPr>
          <w:rStyle w:val="longtext"/>
          <w:rFonts w:ascii="Garamond" w:hAnsi="Garamond" w:cs="Times New Roman"/>
          <w:sz w:val="21"/>
          <w:szCs w:val="21"/>
        </w:rPr>
        <w:t xml:space="preserve">quarter </w:t>
      </w:r>
      <w:r w:rsidR="003F2698" w:rsidRPr="004E7A10">
        <w:rPr>
          <w:rStyle w:val="longtext"/>
          <w:rFonts w:ascii="Garamond" w:hAnsi="Garamond" w:cs="Times New Roman"/>
          <w:sz w:val="21"/>
          <w:szCs w:val="21"/>
        </w:rPr>
        <w:t xml:space="preserve">in anticipation of abundant crops </w:t>
      </w:r>
      <w:r w:rsidR="00183E40">
        <w:rPr>
          <w:rStyle w:val="longtext"/>
          <w:rFonts w:ascii="Garamond" w:hAnsi="Garamond" w:cs="Times New Roman"/>
          <w:sz w:val="21"/>
          <w:szCs w:val="21"/>
        </w:rPr>
        <w:t xml:space="preserve">this year. </w:t>
      </w:r>
    </w:p>
    <w:p w14:paraId="6230C275" w14:textId="77777777" w:rsidR="008A35F7" w:rsidRDefault="00572889" w:rsidP="00572889">
      <w:pPr>
        <w:spacing w:line="360" w:lineRule="auto"/>
        <w:jc w:val="both"/>
        <w:rPr>
          <w:rStyle w:val="longtext"/>
          <w:rFonts w:ascii="Garamond" w:hAnsi="Garamond"/>
          <w:sz w:val="21"/>
          <w:szCs w:val="21"/>
          <w:shd w:val="clear" w:color="auto" w:fill="FFFFFF"/>
        </w:rPr>
      </w:pPr>
      <w:r w:rsidRPr="004E7A10">
        <w:rPr>
          <w:rStyle w:val="longtext"/>
          <w:rFonts w:ascii="Garamond" w:hAnsi="Garamond"/>
          <w:sz w:val="21"/>
          <w:szCs w:val="21"/>
        </w:rPr>
        <w:t xml:space="preserve">In the </w:t>
      </w:r>
      <w:r w:rsidR="00D5600D">
        <w:rPr>
          <w:rStyle w:val="longtext"/>
          <w:rFonts w:ascii="Garamond" w:hAnsi="Garamond"/>
          <w:sz w:val="21"/>
          <w:szCs w:val="21"/>
        </w:rPr>
        <w:t>1st</w:t>
      </w:r>
      <w:r w:rsidRPr="004E7A10">
        <w:rPr>
          <w:rStyle w:val="longtext"/>
          <w:rFonts w:ascii="Garamond" w:hAnsi="Garamond"/>
          <w:sz w:val="21"/>
          <w:szCs w:val="21"/>
        </w:rPr>
        <w:t xml:space="preserve"> quarter of 201</w:t>
      </w:r>
      <w:r w:rsidR="00D5600D">
        <w:rPr>
          <w:rStyle w:val="longtext"/>
          <w:rFonts w:ascii="Garamond" w:hAnsi="Garamond"/>
          <w:sz w:val="21"/>
          <w:szCs w:val="21"/>
        </w:rPr>
        <w:t>5</w:t>
      </w:r>
      <w:r w:rsidRPr="004E7A10">
        <w:rPr>
          <w:rStyle w:val="longtext"/>
          <w:rFonts w:ascii="Garamond" w:hAnsi="Garamond"/>
          <w:sz w:val="21"/>
          <w:szCs w:val="21"/>
        </w:rPr>
        <w:t xml:space="preserve">, the price index of </w:t>
      </w:r>
      <w:r w:rsidRPr="004E7A10">
        <w:rPr>
          <w:rStyle w:val="longtext"/>
          <w:rFonts w:ascii="Garamond" w:hAnsi="Garamond"/>
          <w:b/>
          <w:i/>
          <w:sz w:val="21"/>
          <w:szCs w:val="21"/>
        </w:rPr>
        <w:t>unprocessed sugar</w:t>
      </w:r>
      <w:r w:rsidRPr="004E7A10">
        <w:rPr>
          <w:rStyle w:val="longtext"/>
          <w:rFonts w:ascii="Garamond" w:hAnsi="Garamond"/>
          <w:sz w:val="21"/>
          <w:szCs w:val="21"/>
        </w:rPr>
        <w:t xml:space="preserve"> at the </w:t>
      </w:r>
      <w:r w:rsidRPr="004E7A10">
        <w:rPr>
          <w:rFonts w:ascii="Garamond" w:eastAsia="MS Mincho" w:hAnsi="Garamond" w:cs="Times New Roman"/>
          <w:iCs/>
          <w:sz w:val="21"/>
          <w:szCs w:val="21"/>
        </w:rPr>
        <w:t>New York Board-Intercontinental Exchange</w:t>
      </w:r>
      <w:r w:rsidRPr="004E7A10">
        <w:rPr>
          <w:rStyle w:val="longtext"/>
          <w:rFonts w:ascii="Garamond" w:hAnsi="Garamond"/>
          <w:sz w:val="21"/>
          <w:szCs w:val="21"/>
        </w:rPr>
        <w:t xml:space="preserve"> reported a </w:t>
      </w:r>
      <w:r w:rsidR="008A35F7">
        <w:rPr>
          <w:rStyle w:val="longtext"/>
          <w:rFonts w:ascii="Garamond" w:hAnsi="Garamond"/>
          <w:sz w:val="21"/>
          <w:szCs w:val="21"/>
        </w:rPr>
        <w:t>1</w:t>
      </w:r>
      <w:r w:rsidRPr="004E7A10">
        <w:rPr>
          <w:rStyle w:val="longtext"/>
          <w:rFonts w:ascii="Garamond" w:hAnsi="Garamond"/>
          <w:sz w:val="21"/>
          <w:szCs w:val="21"/>
        </w:rPr>
        <w:t>0.</w:t>
      </w:r>
      <w:r w:rsidR="008A35F7">
        <w:rPr>
          <w:rStyle w:val="longtext"/>
          <w:rFonts w:ascii="Garamond" w:hAnsi="Garamond"/>
          <w:sz w:val="21"/>
          <w:szCs w:val="21"/>
        </w:rPr>
        <w:t>4</w:t>
      </w:r>
      <w:r w:rsidRPr="004E7A10">
        <w:rPr>
          <w:rStyle w:val="longtext"/>
          <w:rFonts w:ascii="Garamond" w:hAnsi="Garamond"/>
          <w:sz w:val="21"/>
          <w:szCs w:val="21"/>
        </w:rPr>
        <w:t xml:space="preserve">% </w:t>
      </w:r>
      <w:r w:rsidR="008A35F7">
        <w:rPr>
          <w:rStyle w:val="longtext"/>
          <w:rFonts w:ascii="Garamond" w:hAnsi="Garamond"/>
          <w:sz w:val="21"/>
          <w:szCs w:val="21"/>
        </w:rPr>
        <w:t xml:space="preserve">fall </w:t>
      </w:r>
      <w:r w:rsidRPr="004E7A10">
        <w:rPr>
          <w:rStyle w:val="longtext"/>
          <w:rFonts w:ascii="Garamond" w:hAnsi="Garamond"/>
          <w:sz w:val="21"/>
          <w:szCs w:val="21"/>
          <w:shd w:val="clear" w:color="auto" w:fill="FFFFFF"/>
        </w:rPr>
        <w:t>(</w:t>
      </w:r>
      <w:r w:rsidRPr="004E7A10">
        <w:rPr>
          <w:rFonts w:ascii="Garamond" w:hAnsi="Garamond" w:cs="Times New Roman"/>
          <w:sz w:val="21"/>
          <w:szCs w:val="21"/>
        </w:rPr>
        <w:t>with 1</w:t>
      </w:r>
      <w:r w:rsidR="008A35F7">
        <w:rPr>
          <w:rFonts w:ascii="Garamond" w:hAnsi="Garamond" w:cs="Times New Roman"/>
          <w:sz w:val="21"/>
          <w:szCs w:val="21"/>
        </w:rPr>
        <w:t>3</w:t>
      </w:r>
      <w:r w:rsidRPr="004E7A10">
        <w:rPr>
          <w:rFonts w:ascii="Garamond" w:hAnsi="Garamond" w:cs="Times New Roman"/>
          <w:sz w:val="21"/>
          <w:szCs w:val="21"/>
        </w:rPr>
        <w:t>.</w:t>
      </w:r>
      <w:r w:rsidR="008A35F7">
        <w:rPr>
          <w:rFonts w:ascii="Garamond" w:hAnsi="Garamond" w:cs="Times New Roman"/>
          <w:sz w:val="21"/>
          <w:szCs w:val="21"/>
        </w:rPr>
        <w:t>9</w:t>
      </w:r>
      <w:r w:rsidRPr="004E7A10">
        <w:rPr>
          <w:rFonts w:ascii="Garamond" w:hAnsi="Garamond" w:cs="Times New Roman"/>
          <w:sz w:val="21"/>
          <w:szCs w:val="21"/>
        </w:rPr>
        <w:t>% decline y/y</w:t>
      </w:r>
      <w:r w:rsidRPr="004E7A10">
        <w:rPr>
          <w:rStyle w:val="longtext"/>
          <w:rFonts w:ascii="Garamond" w:hAnsi="Garamond"/>
          <w:sz w:val="21"/>
          <w:szCs w:val="21"/>
          <w:shd w:val="clear" w:color="auto" w:fill="FFFFFF"/>
        </w:rPr>
        <w:t xml:space="preserve">), mostly </w:t>
      </w:r>
      <w:r w:rsidR="008A35F7">
        <w:rPr>
          <w:rStyle w:val="longtext"/>
          <w:rFonts w:ascii="Garamond" w:hAnsi="Garamond"/>
          <w:sz w:val="21"/>
          <w:szCs w:val="21"/>
          <w:shd w:val="clear" w:color="auto" w:fill="FFFFFF"/>
        </w:rPr>
        <w:t>attributable to anticipated abundant crops in Brazil, the main producer of this commodity, and the Brazilian r</w:t>
      </w:r>
      <w:r w:rsidR="00905009">
        <w:rPr>
          <w:rStyle w:val="longtext"/>
          <w:rFonts w:ascii="Garamond" w:hAnsi="Garamond"/>
          <w:sz w:val="21"/>
          <w:szCs w:val="21"/>
          <w:shd w:val="clear" w:color="auto" w:fill="FFFFFF"/>
        </w:rPr>
        <w:t>ea</w:t>
      </w:r>
      <w:r w:rsidR="008A35F7">
        <w:rPr>
          <w:rStyle w:val="longtext"/>
          <w:rFonts w:ascii="Garamond" w:hAnsi="Garamond"/>
          <w:sz w:val="21"/>
          <w:szCs w:val="21"/>
          <w:shd w:val="clear" w:color="auto" w:fill="FFFFFF"/>
        </w:rPr>
        <w:t xml:space="preserve">l’s depreciation against the U.S. dollar. </w:t>
      </w:r>
    </w:p>
    <w:p w14:paraId="03A0FA2B" w14:textId="77777777" w:rsidR="000B0F82" w:rsidRPr="000B0F82" w:rsidRDefault="000B0F82" w:rsidP="00572889">
      <w:pPr>
        <w:spacing w:line="360" w:lineRule="auto"/>
        <w:jc w:val="both"/>
        <w:rPr>
          <w:rStyle w:val="longtext"/>
          <w:rFonts w:ascii="Garamond" w:hAnsi="Garamond"/>
          <w:color w:val="0070C0"/>
          <w:sz w:val="18"/>
          <w:szCs w:val="18"/>
          <w:shd w:val="clear" w:color="auto" w:fill="FFFFFF"/>
        </w:rPr>
      </w:pPr>
      <w:r w:rsidRPr="000B0F82">
        <w:rPr>
          <w:rStyle w:val="longtext"/>
          <w:rFonts w:ascii="Garamond" w:hAnsi="Garamond"/>
          <w:b/>
          <w:color w:val="0070C0"/>
          <w:sz w:val="18"/>
          <w:szCs w:val="18"/>
        </w:rPr>
        <w:t>Substantial deflationary patterns were observable in world commodity and food product markets during the 1st quarter of 2015 primarily driven by sluggish global demand, appreciating U.S. dollar and anticipations for abundant harvest…</w:t>
      </w:r>
    </w:p>
    <w:p w14:paraId="51A9FA2B" w14:textId="77777777" w:rsidR="00572889" w:rsidRPr="004E7A10" w:rsidRDefault="005B25B3" w:rsidP="00572889">
      <w:pPr>
        <w:spacing w:line="360" w:lineRule="auto"/>
        <w:jc w:val="both"/>
        <w:rPr>
          <w:rStyle w:val="longtext"/>
          <w:rFonts w:ascii="Garamond" w:hAnsi="Garamond" w:cs="Times New Roman"/>
          <w:sz w:val="21"/>
          <w:szCs w:val="21"/>
        </w:rPr>
      </w:pPr>
      <w:r>
        <w:rPr>
          <w:rStyle w:val="longtext"/>
          <w:rFonts w:ascii="Garamond" w:hAnsi="Garamond"/>
          <w:sz w:val="21"/>
          <w:szCs w:val="21"/>
          <w:shd w:val="clear" w:color="auto" w:fill="FFFFFF"/>
        </w:rPr>
        <w:t>I</w:t>
      </w:r>
      <w:r w:rsidR="008A35F7">
        <w:rPr>
          <w:rStyle w:val="longtext"/>
          <w:rFonts w:ascii="Garamond" w:hAnsi="Garamond"/>
          <w:sz w:val="21"/>
          <w:szCs w:val="21"/>
          <w:shd w:val="clear" w:color="auto" w:fill="FFFFFF"/>
        </w:rPr>
        <w:t xml:space="preserve">n the </w:t>
      </w:r>
      <w:r w:rsidR="008A35F7">
        <w:rPr>
          <w:rStyle w:val="longtext"/>
          <w:rFonts w:ascii="Garamond" w:hAnsi="Garamond"/>
          <w:sz w:val="21"/>
          <w:szCs w:val="21"/>
        </w:rPr>
        <w:t>1st quarter of 2015</w:t>
      </w:r>
      <w:r>
        <w:rPr>
          <w:rStyle w:val="longtext"/>
          <w:rFonts w:ascii="Garamond" w:hAnsi="Garamond"/>
          <w:sz w:val="21"/>
          <w:szCs w:val="21"/>
        </w:rPr>
        <w:t>,</w:t>
      </w:r>
      <w:r w:rsidR="008A35F7">
        <w:rPr>
          <w:rStyle w:val="longtext"/>
          <w:rFonts w:ascii="Garamond" w:hAnsi="Garamond"/>
          <w:sz w:val="21"/>
          <w:szCs w:val="21"/>
        </w:rPr>
        <w:t xml:space="preserve"> </w:t>
      </w:r>
      <w:r w:rsidR="00572889" w:rsidRPr="004E7A10">
        <w:rPr>
          <w:rStyle w:val="longtext"/>
          <w:rFonts w:ascii="Garamond" w:hAnsi="Garamond"/>
          <w:sz w:val="21"/>
          <w:szCs w:val="21"/>
          <w:shd w:val="clear" w:color="auto" w:fill="FFFFFF"/>
        </w:rPr>
        <w:t>t</w:t>
      </w:r>
      <w:r w:rsidR="00572889" w:rsidRPr="004E7A10">
        <w:rPr>
          <w:rStyle w:val="longtext"/>
          <w:rFonts w:ascii="Garamond" w:hAnsi="Garamond"/>
          <w:sz w:val="21"/>
          <w:szCs w:val="21"/>
        </w:rPr>
        <w:t>he price of</w:t>
      </w:r>
      <w:r w:rsidR="00572889" w:rsidRPr="004E7A10">
        <w:rPr>
          <w:rStyle w:val="longtext"/>
          <w:rFonts w:ascii="Garamond" w:hAnsi="Garamond"/>
          <w:b/>
          <w:i/>
          <w:sz w:val="21"/>
          <w:szCs w:val="21"/>
        </w:rPr>
        <w:t xml:space="preserve"> rice</w:t>
      </w:r>
      <w:r w:rsidR="00572889" w:rsidRPr="004E7A10">
        <w:rPr>
          <w:rStyle w:val="longtext"/>
          <w:rFonts w:ascii="Garamond" w:hAnsi="Garamond"/>
          <w:sz w:val="21"/>
          <w:szCs w:val="21"/>
        </w:rPr>
        <w:t xml:space="preserve"> at the Chicago Board of Trade fell by </w:t>
      </w:r>
      <w:r w:rsidR="008A35F7">
        <w:rPr>
          <w:rStyle w:val="longtext"/>
          <w:rFonts w:ascii="Garamond" w:hAnsi="Garamond"/>
          <w:sz w:val="21"/>
          <w:szCs w:val="21"/>
        </w:rPr>
        <w:t>12</w:t>
      </w:r>
      <w:r w:rsidR="00572889" w:rsidRPr="004E7A10">
        <w:rPr>
          <w:rStyle w:val="longtext"/>
          <w:rFonts w:ascii="Garamond" w:hAnsi="Garamond"/>
          <w:sz w:val="21"/>
          <w:szCs w:val="21"/>
        </w:rPr>
        <w:t>.</w:t>
      </w:r>
      <w:r w:rsidR="008A35F7">
        <w:rPr>
          <w:rStyle w:val="longtext"/>
          <w:rFonts w:ascii="Garamond" w:hAnsi="Garamond"/>
          <w:sz w:val="21"/>
          <w:szCs w:val="21"/>
        </w:rPr>
        <w:t>0</w:t>
      </w:r>
      <w:r w:rsidR="00572889" w:rsidRPr="004E7A10">
        <w:rPr>
          <w:rStyle w:val="longtext"/>
          <w:rFonts w:ascii="Garamond" w:hAnsi="Garamond"/>
          <w:sz w:val="21"/>
          <w:szCs w:val="21"/>
        </w:rPr>
        <w:t xml:space="preserve">% to </w:t>
      </w:r>
      <w:r w:rsidR="00572889" w:rsidRPr="004E7A10">
        <w:rPr>
          <w:rStyle w:val="longtext"/>
          <w:rFonts w:ascii="Garamond" w:hAnsi="Garamond"/>
          <w:sz w:val="21"/>
          <w:szCs w:val="21"/>
          <w:shd w:val="clear" w:color="auto" w:fill="FFFFFF"/>
        </w:rPr>
        <w:t xml:space="preserve">USD </w:t>
      </w:r>
      <w:r w:rsidR="00572889" w:rsidRPr="004E7A10">
        <w:rPr>
          <w:rStyle w:val="longtext"/>
          <w:rFonts w:ascii="Garamond" w:hAnsi="Garamond"/>
          <w:sz w:val="21"/>
          <w:szCs w:val="21"/>
        </w:rPr>
        <w:t>1</w:t>
      </w:r>
      <w:r w:rsidR="008A35F7">
        <w:rPr>
          <w:rStyle w:val="longtext"/>
          <w:rFonts w:ascii="Garamond" w:hAnsi="Garamond"/>
          <w:sz w:val="21"/>
          <w:szCs w:val="21"/>
        </w:rPr>
        <w:t>0</w:t>
      </w:r>
      <w:r w:rsidR="00572889" w:rsidRPr="004E7A10">
        <w:rPr>
          <w:rStyle w:val="longtext"/>
          <w:rFonts w:ascii="Garamond" w:hAnsi="Garamond"/>
          <w:sz w:val="21"/>
          <w:szCs w:val="21"/>
        </w:rPr>
        <w:t>.</w:t>
      </w:r>
      <w:r w:rsidR="008A35F7">
        <w:rPr>
          <w:rStyle w:val="longtext"/>
          <w:rFonts w:ascii="Garamond" w:hAnsi="Garamond"/>
          <w:sz w:val="21"/>
          <w:szCs w:val="21"/>
        </w:rPr>
        <w:t>9</w:t>
      </w:r>
      <w:r w:rsidR="00572889" w:rsidRPr="004E7A10">
        <w:rPr>
          <w:rStyle w:val="longtext"/>
          <w:rFonts w:ascii="Garamond" w:hAnsi="Garamond"/>
          <w:sz w:val="21"/>
          <w:szCs w:val="21"/>
        </w:rPr>
        <w:t xml:space="preserve"> per U.S. hundredweight (45.4 kg) (with 2</w:t>
      </w:r>
      <w:r w:rsidR="008A35F7">
        <w:rPr>
          <w:rStyle w:val="longtext"/>
          <w:rFonts w:ascii="Garamond" w:hAnsi="Garamond"/>
          <w:sz w:val="21"/>
          <w:szCs w:val="21"/>
        </w:rPr>
        <w:t>9.2</w:t>
      </w:r>
      <w:r w:rsidR="00572889" w:rsidRPr="004E7A10">
        <w:rPr>
          <w:rStyle w:val="longtext"/>
          <w:rFonts w:ascii="Garamond" w:hAnsi="Garamond"/>
          <w:sz w:val="21"/>
          <w:szCs w:val="21"/>
        </w:rPr>
        <w:t>% decline y/y)</w:t>
      </w:r>
      <w:r w:rsidR="008A35F7">
        <w:rPr>
          <w:rStyle w:val="longtext"/>
          <w:rFonts w:ascii="Garamond" w:hAnsi="Garamond"/>
          <w:sz w:val="21"/>
          <w:szCs w:val="21"/>
        </w:rPr>
        <w:t xml:space="preserve"> </w:t>
      </w:r>
      <w:r>
        <w:rPr>
          <w:rStyle w:val="longtext"/>
          <w:rFonts w:ascii="Garamond" w:hAnsi="Garamond"/>
          <w:sz w:val="21"/>
          <w:szCs w:val="21"/>
        </w:rPr>
        <w:t>in spite of a certain reduction in the production volumes. The reduced price was driven by the slowing demand</w:t>
      </w:r>
      <w:r w:rsidR="00572889" w:rsidRPr="004E7A10">
        <w:rPr>
          <w:rStyle w:val="longtext"/>
          <w:rFonts w:ascii="Garamond" w:hAnsi="Garamond"/>
          <w:sz w:val="21"/>
          <w:szCs w:val="21"/>
        </w:rPr>
        <w:t>.</w:t>
      </w:r>
    </w:p>
    <w:p w14:paraId="00EF2675" w14:textId="77777777" w:rsidR="00572889" w:rsidRPr="004E7A10" w:rsidRDefault="00572889" w:rsidP="00572889">
      <w:pPr>
        <w:spacing w:line="360" w:lineRule="auto"/>
        <w:jc w:val="both"/>
        <w:rPr>
          <w:rStyle w:val="longtext"/>
          <w:rFonts w:ascii="Garamond" w:hAnsi="Garamond"/>
          <w:b/>
          <w:color w:val="000000"/>
          <w:sz w:val="21"/>
          <w:szCs w:val="21"/>
        </w:rPr>
      </w:pPr>
      <w:r w:rsidRPr="004E7A10">
        <w:rPr>
          <w:rStyle w:val="longtext"/>
          <w:rFonts w:ascii="Garamond" w:hAnsi="Garamond"/>
          <w:b/>
          <w:color w:val="000000"/>
          <w:sz w:val="21"/>
          <w:szCs w:val="21"/>
        </w:rPr>
        <w:t xml:space="preserve">There were </w:t>
      </w:r>
      <w:r w:rsidR="000B0F82">
        <w:rPr>
          <w:rStyle w:val="longtext"/>
          <w:rFonts w:ascii="Garamond" w:hAnsi="Garamond"/>
          <w:b/>
          <w:color w:val="000000"/>
          <w:sz w:val="21"/>
          <w:szCs w:val="21"/>
        </w:rPr>
        <w:t xml:space="preserve">further </w:t>
      </w:r>
      <w:r w:rsidR="00B4593A" w:rsidRPr="004E7A10">
        <w:rPr>
          <w:rStyle w:val="longtext"/>
          <w:rFonts w:ascii="Garamond" w:hAnsi="Garamond"/>
          <w:b/>
          <w:color w:val="000000"/>
          <w:sz w:val="21"/>
          <w:szCs w:val="21"/>
        </w:rPr>
        <w:t>de</w:t>
      </w:r>
      <w:r w:rsidRPr="004E7A10">
        <w:rPr>
          <w:rStyle w:val="longtext"/>
          <w:rFonts w:ascii="Garamond" w:hAnsi="Garamond"/>
          <w:b/>
          <w:color w:val="000000"/>
          <w:sz w:val="21"/>
          <w:szCs w:val="21"/>
        </w:rPr>
        <w:t>flationary trends observable in world commodit</w:t>
      </w:r>
      <w:r w:rsidR="00E50B13">
        <w:rPr>
          <w:rStyle w:val="longtext"/>
          <w:rFonts w:ascii="Garamond" w:hAnsi="Garamond"/>
          <w:b/>
          <w:color w:val="000000"/>
          <w:sz w:val="21"/>
          <w:szCs w:val="21"/>
        </w:rPr>
        <w:t xml:space="preserve">y and food product </w:t>
      </w:r>
      <w:r w:rsidRPr="004E7A10">
        <w:rPr>
          <w:rStyle w:val="longtext"/>
          <w:rFonts w:ascii="Garamond" w:hAnsi="Garamond"/>
          <w:b/>
          <w:color w:val="000000"/>
          <w:sz w:val="21"/>
          <w:szCs w:val="21"/>
        </w:rPr>
        <w:t xml:space="preserve">markets during the </w:t>
      </w:r>
      <w:r w:rsidR="00E50B13">
        <w:rPr>
          <w:rStyle w:val="longtext"/>
          <w:rFonts w:ascii="Garamond" w:hAnsi="Garamond"/>
          <w:b/>
          <w:color w:val="000000"/>
          <w:sz w:val="21"/>
          <w:szCs w:val="21"/>
        </w:rPr>
        <w:t>1st</w:t>
      </w:r>
      <w:r w:rsidRPr="004E7A10">
        <w:rPr>
          <w:rStyle w:val="longtext"/>
          <w:rFonts w:ascii="Garamond" w:hAnsi="Garamond"/>
          <w:b/>
          <w:color w:val="000000"/>
          <w:sz w:val="21"/>
          <w:szCs w:val="21"/>
        </w:rPr>
        <w:t xml:space="preserve"> quarter</w:t>
      </w:r>
      <w:r w:rsidR="00E50B13">
        <w:rPr>
          <w:rStyle w:val="longtext"/>
          <w:rFonts w:ascii="Garamond" w:hAnsi="Garamond"/>
          <w:b/>
          <w:color w:val="000000"/>
          <w:sz w:val="21"/>
          <w:szCs w:val="21"/>
        </w:rPr>
        <w:t xml:space="preserve"> of 2015</w:t>
      </w:r>
      <w:r w:rsidRPr="004E7A10">
        <w:rPr>
          <w:rStyle w:val="longtext"/>
          <w:rFonts w:ascii="Garamond" w:hAnsi="Garamond"/>
          <w:b/>
          <w:color w:val="000000"/>
          <w:sz w:val="21"/>
          <w:szCs w:val="21"/>
        </w:rPr>
        <w:t xml:space="preserve">, </w:t>
      </w:r>
      <w:r w:rsidR="00E50B13">
        <w:rPr>
          <w:rStyle w:val="longtext"/>
          <w:rFonts w:ascii="Garamond" w:hAnsi="Garamond"/>
          <w:b/>
          <w:color w:val="000000"/>
          <w:sz w:val="21"/>
          <w:szCs w:val="21"/>
        </w:rPr>
        <w:t xml:space="preserve">primarily </w:t>
      </w:r>
      <w:r w:rsidR="00937D4F">
        <w:rPr>
          <w:rStyle w:val="longtext"/>
          <w:rFonts w:ascii="Garamond" w:hAnsi="Garamond"/>
          <w:b/>
          <w:color w:val="000000"/>
          <w:sz w:val="21"/>
          <w:szCs w:val="21"/>
        </w:rPr>
        <w:t xml:space="preserve">attributable to </w:t>
      </w:r>
      <w:r w:rsidR="00E50B13">
        <w:rPr>
          <w:rStyle w:val="longtext"/>
          <w:rFonts w:ascii="Garamond" w:hAnsi="Garamond"/>
          <w:b/>
          <w:color w:val="000000"/>
          <w:sz w:val="21"/>
          <w:szCs w:val="21"/>
        </w:rPr>
        <w:t>a low level of global demand, appreciating U.S. dollar as well as world food markets’ anticipations for heavy crops</w:t>
      </w:r>
      <w:r w:rsidRPr="004E7A10">
        <w:rPr>
          <w:rStyle w:val="longtext"/>
          <w:rFonts w:ascii="Garamond" w:hAnsi="Garamond"/>
          <w:b/>
          <w:color w:val="000000"/>
          <w:sz w:val="21"/>
          <w:szCs w:val="21"/>
        </w:rPr>
        <w:t xml:space="preserve">. </w:t>
      </w:r>
    </w:p>
    <w:p w14:paraId="71A2FA04" w14:textId="77777777" w:rsidR="00A56A9F" w:rsidRPr="004E7A10" w:rsidRDefault="00A56A9F" w:rsidP="00572889">
      <w:pPr>
        <w:spacing w:line="360" w:lineRule="auto"/>
        <w:jc w:val="both"/>
        <w:rPr>
          <w:rStyle w:val="longtext"/>
          <w:rFonts w:ascii="Garamond" w:hAnsi="Garamond"/>
          <w:b/>
          <w:color w:val="000000"/>
          <w:sz w:val="21"/>
          <w:szCs w:val="21"/>
        </w:rPr>
      </w:pPr>
    </w:p>
    <w:p w14:paraId="145E6F68" w14:textId="77777777" w:rsidR="00572889" w:rsidRPr="004E7A10" w:rsidRDefault="00572889" w:rsidP="00572889">
      <w:pPr>
        <w:spacing w:line="360" w:lineRule="auto"/>
        <w:jc w:val="both"/>
        <w:rPr>
          <w:rStyle w:val="longtext"/>
          <w:rFonts w:ascii="Garamond" w:hAnsi="Garamond"/>
          <w:b/>
          <w:color w:val="000000"/>
          <w:sz w:val="21"/>
          <w:szCs w:val="21"/>
        </w:rPr>
      </w:pPr>
      <w:r w:rsidRPr="004E7A10">
        <w:rPr>
          <w:rStyle w:val="longtext"/>
          <w:rFonts w:ascii="Garamond" w:hAnsi="Garamond"/>
          <w:b/>
          <w:color w:val="000000"/>
          <w:sz w:val="21"/>
          <w:szCs w:val="21"/>
        </w:rPr>
        <w:t>4. CONCLUSION</w:t>
      </w:r>
    </w:p>
    <w:p w14:paraId="05E4A2DB" w14:textId="77777777" w:rsidR="00572889" w:rsidRPr="004E7A10" w:rsidRDefault="00572889" w:rsidP="00572889">
      <w:pPr>
        <w:spacing w:line="360" w:lineRule="auto"/>
        <w:jc w:val="both"/>
        <w:rPr>
          <w:rStyle w:val="longtext"/>
          <w:rFonts w:ascii="Garamond" w:hAnsi="Garamond"/>
          <w:sz w:val="21"/>
          <w:szCs w:val="21"/>
          <w:shd w:val="clear" w:color="auto" w:fill="FFFFFF"/>
        </w:rPr>
      </w:pPr>
      <w:r w:rsidRPr="004E7A10">
        <w:rPr>
          <w:rStyle w:val="longtext"/>
          <w:rFonts w:ascii="Garamond" w:hAnsi="Garamond"/>
          <w:color w:val="000000"/>
          <w:sz w:val="21"/>
          <w:szCs w:val="21"/>
          <w:shd w:val="clear" w:color="auto" w:fill="FFFFFF"/>
        </w:rPr>
        <w:lastRenderedPageBreak/>
        <w:t>In the</w:t>
      </w:r>
      <w:r w:rsidRPr="004E7A10">
        <w:rPr>
          <w:rStyle w:val="longtext"/>
          <w:rFonts w:ascii="Garamond" w:hAnsi="Garamond"/>
          <w:color w:val="000000"/>
          <w:sz w:val="21"/>
          <w:szCs w:val="21"/>
          <w:shd w:val="clear" w:color="auto" w:fill="FFFFFF"/>
          <w:lang w:val="hy-AM"/>
        </w:rPr>
        <w:t xml:space="preserve"> </w:t>
      </w:r>
      <w:r w:rsidRPr="004E7A10">
        <w:rPr>
          <w:rStyle w:val="longtext"/>
          <w:rFonts w:ascii="Garamond" w:hAnsi="Garamond"/>
          <w:b/>
          <w:color w:val="000000"/>
          <w:sz w:val="21"/>
          <w:szCs w:val="21"/>
          <w:shd w:val="clear" w:color="auto" w:fill="FFFFFF"/>
        </w:rPr>
        <w:t>external sector</w:t>
      </w:r>
      <w:r w:rsidRPr="004E7A10">
        <w:rPr>
          <w:rStyle w:val="longtext"/>
          <w:rFonts w:ascii="Garamond" w:hAnsi="Garamond"/>
          <w:b/>
          <w:color w:val="000000"/>
          <w:sz w:val="21"/>
          <w:szCs w:val="21"/>
          <w:shd w:val="clear" w:color="auto" w:fill="FFFFFF"/>
          <w:lang w:val="hy-AM"/>
        </w:rPr>
        <w:t xml:space="preserve"> </w:t>
      </w:r>
      <w:r w:rsidRPr="004E7A10">
        <w:rPr>
          <w:rStyle w:val="longtext"/>
          <w:rFonts w:ascii="Garamond" w:hAnsi="Garamond"/>
          <w:color w:val="000000"/>
          <w:sz w:val="21"/>
          <w:szCs w:val="21"/>
          <w:shd w:val="clear" w:color="auto" w:fill="FFFFFF"/>
        </w:rPr>
        <w:t xml:space="preserve">in the </w:t>
      </w:r>
      <w:r w:rsidR="00E04C07">
        <w:rPr>
          <w:rStyle w:val="longtext"/>
          <w:rFonts w:ascii="Garamond" w:hAnsi="Garamond"/>
          <w:color w:val="000000"/>
          <w:sz w:val="21"/>
          <w:szCs w:val="21"/>
          <w:shd w:val="clear" w:color="auto" w:fill="FFFFFF"/>
        </w:rPr>
        <w:t>1st</w:t>
      </w:r>
      <w:r w:rsidRPr="004E7A10">
        <w:rPr>
          <w:rStyle w:val="longtext"/>
          <w:rFonts w:ascii="Garamond" w:hAnsi="Garamond"/>
          <w:color w:val="000000"/>
          <w:sz w:val="21"/>
          <w:szCs w:val="21"/>
          <w:shd w:val="clear" w:color="auto" w:fill="FFFFFF"/>
        </w:rPr>
        <w:t xml:space="preserve"> quarter of 201</w:t>
      </w:r>
      <w:r w:rsidR="00E04C07">
        <w:rPr>
          <w:rStyle w:val="longtext"/>
          <w:rFonts w:ascii="Garamond" w:hAnsi="Garamond"/>
          <w:color w:val="000000"/>
          <w:sz w:val="21"/>
          <w:szCs w:val="21"/>
          <w:shd w:val="clear" w:color="auto" w:fill="FFFFFF"/>
        </w:rPr>
        <w:t>5</w:t>
      </w:r>
      <w:r w:rsidRPr="004E7A10">
        <w:rPr>
          <w:rStyle w:val="longtext"/>
          <w:rFonts w:ascii="Garamond" w:hAnsi="Garamond"/>
          <w:color w:val="000000"/>
          <w:sz w:val="21"/>
          <w:szCs w:val="21"/>
          <w:shd w:val="clear" w:color="auto" w:fill="FFFFFF"/>
        </w:rPr>
        <w:t xml:space="preserve">, the </w:t>
      </w:r>
      <w:r w:rsidRPr="004E7A10">
        <w:rPr>
          <w:rStyle w:val="longtext"/>
          <w:rFonts w:ascii="Garamond" w:hAnsi="Garamond"/>
          <w:b/>
          <w:color w:val="000000"/>
          <w:sz w:val="21"/>
          <w:szCs w:val="21"/>
          <w:shd w:val="clear" w:color="auto" w:fill="FFFFFF"/>
        </w:rPr>
        <w:t>external demand</w:t>
      </w:r>
      <w:r w:rsidRPr="004E7A10">
        <w:rPr>
          <w:rStyle w:val="longtext"/>
          <w:rFonts w:ascii="Garamond" w:hAnsi="Garamond"/>
          <w:color w:val="000000"/>
          <w:sz w:val="21"/>
          <w:szCs w:val="21"/>
          <w:shd w:val="clear" w:color="auto" w:fill="FFFFFF"/>
        </w:rPr>
        <w:t xml:space="preserve"> remained sluggish </w:t>
      </w:r>
      <w:r w:rsidR="00941786">
        <w:rPr>
          <w:rStyle w:val="longtext"/>
          <w:rFonts w:ascii="Garamond" w:hAnsi="Garamond"/>
          <w:color w:val="000000"/>
          <w:sz w:val="21"/>
          <w:szCs w:val="21"/>
          <w:shd w:val="clear" w:color="auto" w:fill="FFFFFF"/>
        </w:rPr>
        <w:t xml:space="preserve">while </w:t>
      </w:r>
      <w:r w:rsidRPr="004E7A10">
        <w:rPr>
          <w:rStyle w:val="longtext"/>
          <w:rFonts w:ascii="Garamond" w:hAnsi="Garamond"/>
          <w:color w:val="000000"/>
          <w:sz w:val="21"/>
          <w:szCs w:val="21"/>
        </w:rPr>
        <w:t xml:space="preserve">deflationary patterns were observable in </w:t>
      </w:r>
      <w:r w:rsidRPr="004E7A10">
        <w:rPr>
          <w:rStyle w:val="longtext"/>
          <w:rFonts w:ascii="Garamond" w:hAnsi="Garamond"/>
          <w:b/>
          <w:color w:val="000000"/>
          <w:sz w:val="21"/>
          <w:szCs w:val="21"/>
        </w:rPr>
        <w:t xml:space="preserve">basic commodity and food </w:t>
      </w:r>
      <w:r w:rsidR="00941786">
        <w:rPr>
          <w:rStyle w:val="longtext"/>
          <w:rFonts w:ascii="Garamond" w:hAnsi="Garamond"/>
          <w:b/>
          <w:color w:val="000000"/>
          <w:sz w:val="21"/>
          <w:szCs w:val="21"/>
        </w:rPr>
        <w:t xml:space="preserve">product </w:t>
      </w:r>
      <w:r w:rsidRPr="004E7A10">
        <w:rPr>
          <w:rStyle w:val="longtext"/>
          <w:rFonts w:ascii="Garamond" w:hAnsi="Garamond"/>
          <w:b/>
          <w:color w:val="000000"/>
          <w:sz w:val="21"/>
          <w:szCs w:val="21"/>
        </w:rPr>
        <w:t>markets of the world</w:t>
      </w:r>
      <w:r w:rsidRPr="004E7A10">
        <w:rPr>
          <w:rStyle w:val="longtext"/>
          <w:rFonts w:ascii="Garamond" w:hAnsi="Garamond"/>
          <w:color w:val="000000"/>
          <w:sz w:val="21"/>
          <w:szCs w:val="21"/>
        </w:rPr>
        <w:t xml:space="preserve">. </w:t>
      </w:r>
      <w:r w:rsidRPr="004E7A10">
        <w:rPr>
          <w:rStyle w:val="longtext"/>
          <w:rFonts w:ascii="Garamond" w:hAnsi="Garamond"/>
          <w:color w:val="000000"/>
          <w:sz w:val="21"/>
          <w:szCs w:val="21"/>
          <w:shd w:val="clear" w:color="auto" w:fill="FFFFFF"/>
        </w:rPr>
        <w:t xml:space="preserve">In the </w:t>
      </w:r>
      <w:r w:rsidRPr="004E7A10">
        <w:rPr>
          <w:rStyle w:val="longtext"/>
          <w:rFonts w:ascii="Garamond" w:hAnsi="Garamond"/>
          <w:b/>
          <w:color w:val="000000"/>
          <w:sz w:val="21"/>
          <w:szCs w:val="21"/>
          <w:shd w:val="clear" w:color="auto" w:fill="FFFFFF"/>
        </w:rPr>
        <w:t>forecast horizon</w:t>
      </w:r>
      <w:r w:rsidRPr="004E7A10">
        <w:rPr>
          <w:rStyle w:val="longtext"/>
          <w:rFonts w:ascii="Garamond" w:hAnsi="Garamond"/>
          <w:color w:val="000000"/>
          <w:sz w:val="21"/>
          <w:szCs w:val="21"/>
          <w:shd w:val="clear" w:color="auto" w:fill="FFFFFF"/>
        </w:rPr>
        <w:t>,</w:t>
      </w:r>
      <w:r w:rsidRPr="004E7A10">
        <w:rPr>
          <w:rStyle w:val="longtext"/>
          <w:rFonts w:ascii="Garamond" w:hAnsi="Garamond"/>
          <w:color w:val="000000"/>
          <w:sz w:val="21"/>
          <w:szCs w:val="21"/>
          <w:shd w:val="clear" w:color="auto" w:fill="FFFFFF"/>
          <w:lang w:val="hy-AM"/>
        </w:rPr>
        <w:t xml:space="preserve"> </w:t>
      </w:r>
      <w:r w:rsidRPr="004E7A10">
        <w:rPr>
          <w:rStyle w:val="longtext"/>
          <w:rFonts w:ascii="Garamond" w:hAnsi="Garamond"/>
          <w:b/>
          <w:color w:val="000000"/>
          <w:sz w:val="21"/>
          <w:szCs w:val="21"/>
          <w:shd w:val="clear" w:color="auto" w:fill="FFFFFF"/>
        </w:rPr>
        <w:t>considerable</w:t>
      </w:r>
      <w:r w:rsidRPr="004E7A10">
        <w:rPr>
          <w:rStyle w:val="longtext"/>
          <w:rFonts w:ascii="Garamond" w:hAnsi="Garamond"/>
          <w:b/>
          <w:color w:val="000000"/>
          <w:sz w:val="21"/>
          <w:szCs w:val="21"/>
          <w:shd w:val="clear" w:color="auto" w:fill="FFFFFF"/>
          <w:lang w:val="hy-AM"/>
        </w:rPr>
        <w:t xml:space="preserve"> </w:t>
      </w:r>
      <w:r w:rsidRPr="004E7A10">
        <w:rPr>
          <w:rStyle w:val="longtext"/>
          <w:rFonts w:ascii="Garamond" w:hAnsi="Garamond"/>
          <w:b/>
          <w:sz w:val="21"/>
          <w:szCs w:val="21"/>
          <w:shd w:val="clear" w:color="auto" w:fill="FFFFFF"/>
        </w:rPr>
        <w:t xml:space="preserve">inflationary pressures </w:t>
      </w:r>
      <w:r w:rsidR="00941786" w:rsidRPr="00941786">
        <w:rPr>
          <w:rStyle w:val="longtext"/>
          <w:rFonts w:ascii="Garamond" w:hAnsi="Garamond"/>
          <w:sz w:val="21"/>
          <w:szCs w:val="21"/>
          <w:shd w:val="clear" w:color="auto" w:fill="FFFFFF"/>
        </w:rPr>
        <w:t>from the external environment</w:t>
      </w:r>
      <w:r w:rsidR="00941786">
        <w:rPr>
          <w:rStyle w:val="longtext"/>
          <w:rFonts w:ascii="Garamond" w:hAnsi="Garamond"/>
          <w:b/>
          <w:sz w:val="21"/>
          <w:szCs w:val="21"/>
          <w:shd w:val="clear" w:color="auto" w:fill="FFFFFF"/>
        </w:rPr>
        <w:t xml:space="preserve"> </w:t>
      </w:r>
      <w:r w:rsidR="00941786" w:rsidRPr="004E7A10">
        <w:rPr>
          <w:rStyle w:val="longtext"/>
          <w:rFonts w:ascii="Garamond" w:hAnsi="Garamond"/>
          <w:b/>
          <w:sz w:val="21"/>
          <w:szCs w:val="21"/>
          <w:shd w:val="clear" w:color="auto" w:fill="FFFFFF"/>
        </w:rPr>
        <w:t>are</w:t>
      </w:r>
      <w:r w:rsidR="00941786">
        <w:rPr>
          <w:rStyle w:val="longtext"/>
          <w:rFonts w:ascii="Garamond" w:hAnsi="Garamond"/>
          <w:b/>
          <w:sz w:val="21"/>
          <w:szCs w:val="21"/>
          <w:shd w:val="clear" w:color="auto" w:fill="FFFFFF"/>
        </w:rPr>
        <w:t xml:space="preserve"> not likely</w:t>
      </w:r>
      <w:r w:rsidRPr="004E7A10">
        <w:rPr>
          <w:rStyle w:val="longtext"/>
          <w:rFonts w:ascii="Garamond" w:hAnsi="Garamond"/>
          <w:sz w:val="21"/>
          <w:szCs w:val="21"/>
          <w:shd w:val="clear" w:color="auto" w:fill="FFFFFF"/>
        </w:rPr>
        <w:t xml:space="preserve">. </w:t>
      </w:r>
    </w:p>
    <w:p w14:paraId="2F485645" w14:textId="77777777" w:rsidR="00572889" w:rsidRPr="004E7A10" w:rsidRDefault="00572889" w:rsidP="00572889">
      <w:pPr>
        <w:spacing w:line="360" w:lineRule="auto"/>
        <w:jc w:val="both"/>
        <w:rPr>
          <w:rStyle w:val="longtext"/>
          <w:rFonts w:ascii="Garamond" w:hAnsi="Garamond"/>
          <w:sz w:val="21"/>
          <w:szCs w:val="21"/>
          <w:shd w:val="clear" w:color="auto" w:fill="FFFFFF"/>
        </w:rPr>
      </w:pPr>
      <w:r w:rsidRPr="004E7A10">
        <w:rPr>
          <w:rStyle w:val="longtext"/>
          <w:rFonts w:ascii="Garamond" w:hAnsi="Garamond"/>
          <w:sz w:val="21"/>
          <w:szCs w:val="21"/>
          <w:shd w:val="clear" w:color="auto" w:fill="FFFFFF"/>
        </w:rPr>
        <w:t xml:space="preserve">In the </w:t>
      </w:r>
      <w:r w:rsidR="00C03AAB">
        <w:rPr>
          <w:rStyle w:val="longtext"/>
          <w:rFonts w:ascii="Garamond" w:hAnsi="Garamond"/>
          <w:sz w:val="21"/>
          <w:szCs w:val="21"/>
          <w:shd w:val="clear" w:color="auto" w:fill="FFFFFF"/>
        </w:rPr>
        <w:t>1st</w:t>
      </w:r>
      <w:r w:rsidRPr="004E7A10">
        <w:rPr>
          <w:rStyle w:val="longtext"/>
          <w:rFonts w:ascii="Garamond" w:hAnsi="Garamond"/>
          <w:sz w:val="21"/>
          <w:szCs w:val="21"/>
          <w:shd w:val="clear" w:color="auto" w:fill="FFFFFF"/>
        </w:rPr>
        <w:t xml:space="preserve"> quarter of 201</w:t>
      </w:r>
      <w:r w:rsidR="00C03AAB">
        <w:rPr>
          <w:rStyle w:val="longtext"/>
          <w:rFonts w:ascii="Garamond" w:hAnsi="Garamond"/>
          <w:sz w:val="21"/>
          <w:szCs w:val="21"/>
          <w:shd w:val="clear" w:color="auto" w:fill="FFFFFF"/>
        </w:rPr>
        <w:t>5</w:t>
      </w:r>
      <w:r w:rsidRPr="004E7A10">
        <w:rPr>
          <w:rStyle w:val="longtext"/>
          <w:rFonts w:ascii="Garamond" w:hAnsi="Garamond"/>
          <w:sz w:val="21"/>
          <w:szCs w:val="21"/>
          <w:shd w:val="clear" w:color="auto" w:fill="FFFFFF"/>
        </w:rPr>
        <w:t xml:space="preserve">, the </w:t>
      </w:r>
      <w:r w:rsidRPr="004E7A10">
        <w:rPr>
          <w:rStyle w:val="longtext"/>
          <w:rFonts w:ascii="Garamond" w:hAnsi="Garamond"/>
          <w:b/>
          <w:sz w:val="21"/>
          <w:szCs w:val="21"/>
          <w:shd w:val="clear" w:color="auto" w:fill="FFFFFF"/>
        </w:rPr>
        <w:t>economic activity</w:t>
      </w:r>
      <w:r w:rsidRPr="004E7A10">
        <w:rPr>
          <w:rStyle w:val="longtext"/>
          <w:rFonts w:ascii="Garamond" w:hAnsi="Garamond"/>
          <w:b/>
          <w:sz w:val="21"/>
          <w:szCs w:val="21"/>
          <w:shd w:val="clear" w:color="auto" w:fill="FFFFFF"/>
          <w:lang w:val="hy-AM"/>
        </w:rPr>
        <w:t xml:space="preserve"> </w:t>
      </w:r>
      <w:r w:rsidR="00C03AAB">
        <w:rPr>
          <w:rStyle w:val="longtext"/>
          <w:rFonts w:ascii="Garamond" w:hAnsi="Garamond"/>
          <w:sz w:val="21"/>
          <w:szCs w:val="21"/>
          <w:shd w:val="clear" w:color="auto" w:fill="FFFFFF"/>
        </w:rPr>
        <w:t>accelerated to some extent owing to more-than-expected growth in agricultural output and a lesser decline in construction. U</w:t>
      </w:r>
      <w:r w:rsidRPr="004E7A10">
        <w:rPr>
          <w:rStyle w:val="longtext"/>
          <w:rFonts w:ascii="Garamond" w:hAnsi="Garamond"/>
          <w:sz w:val="21"/>
          <w:szCs w:val="21"/>
          <w:shd w:val="clear" w:color="auto" w:fill="FFFFFF"/>
        </w:rPr>
        <w:t xml:space="preserve">nder </w:t>
      </w:r>
      <w:r w:rsidR="00C03AAB">
        <w:rPr>
          <w:rStyle w:val="longtext"/>
          <w:rFonts w:ascii="Garamond" w:hAnsi="Garamond"/>
          <w:sz w:val="21"/>
          <w:szCs w:val="21"/>
          <w:shd w:val="clear" w:color="auto" w:fill="FFFFFF"/>
        </w:rPr>
        <w:t xml:space="preserve">this </w:t>
      </w:r>
      <w:r w:rsidRPr="004E7A10">
        <w:rPr>
          <w:rStyle w:val="longtext"/>
          <w:rFonts w:ascii="Garamond" w:hAnsi="Garamond"/>
          <w:sz w:val="21"/>
          <w:szCs w:val="21"/>
          <w:shd w:val="clear" w:color="auto" w:fill="FFFFFF"/>
        </w:rPr>
        <w:t>circumstance</w:t>
      </w:r>
      <w:r w:rsidR="00C03AAB">
        <w:rPr>
          <w:rStyle w:val="longtext"/>
          <w:rFonts w:ascii="Garamond" w:hAnsi="Garamond"/>
          <w:sz w:val="21"/>
          <w:szCs w:val="21"/>
          <w:shd w:val="clear" w:color="auto" w:fill="FFFFFF"/>
        </w:rPr>
        <w:t>,</w:t>
      </w:r>
      <w:r w:rsidRPr="004E7A10">
        <w:rPr>
          <w:rStyle w:val="longtext"/>
          <w:rFonts w:ascii="Garamond" w:hAnsi="Garamond"/>
          <w:sz w:val="21"/>
          <w:szCs w:val="21"/>
          <w:shd w:val="clear" w:color="auto" w:fill="FFFFFF"/>
        </w:rPr>
        <w:t xml:space="preserve"> the</w:t>
      </w:r>
      <w:r w:rsidRPr="004E7A10">
        <w:rPr>
          <w:rStyle w:val="longtext"/>
          <w:rFonts w:ascii="Garamond" w:hAnsi="Garamond"/>
          <w:sz w:val="21"/>
          <w:szCs w:val="21"/>
          <w:shd w:val="clear" w:color="auto" w:fill="FFFFFF"/>
          <w:lang w:val="hy-AM"/>
        </w:rPr>
        <w:t xml:space="preserve"> </w:t>
      </w:r>
      <w:r w:rsidRPr="004E7A10">
        <w:rPr>
          <w:rStyle w:val="longtext"/>
          <w:rFonts w:ascii="Garamond" w:hAnsi="Garamond"/>
          <w:b/>
          <w:sz w:val="21"/>
          <w:szCs w:val="21"/>
          <w:shd w:val="clear" w:color="auto" w:fill="FFFFFF"/>
        </w:rPr>
        <w:t>economic growth</w:t>
      </w:r>
      <w:r w:rsidRPr="004E7A10">
        <w:rPr>
          <w:rStyle w:val="longtext"/>
          <w:rFonts w:ascii="Garamond" w:hAnsi="Garamond"/>
          <w:sz w:val="21"/>
          <w:szCs w:val="21"/>
          <w:shd w:val="clear" w:color="auto" w:fill="FFFFFF"/>
        </w:rPr>
        <w:t xml:space="preserve"> in </w:t>
      </w:r>
      <w:r w:rsidR="00C03AAB">
        <w:rPr>
          <w:rStyle w:val="longtext"/>
          <w:rFonts w:ascii="Garamond" w:hAnsi="Garamond"/>
          <w:sz w:val="21"/>
          <w:szCs w:val="21"/>
          <w:shd w:val="clear" w:color="auto" w:fill="FFFFFF"/>
        </w:rPr>
        <w:t>the 1st</w:t>
      </w:r>
      <w:r w:rsidRPr="004E7A10">
        <w:rPr>
          <w:rStyle w:val="longtext"/>
          <w:rFonts w:ascii="Garamond" w:hAnsi="Garamond"/>
          <w:sz w:val="21"/>
          <w:szCs w:val="21"/>
          <w:shd w:val="clear" w:color="auto" w:fill="FFFFFF"/>
        </w:rPr>
        <w:t xml:space="preserve"> </w:t>
      </w:r>
      <w:r w:rsidR="00C03AAB">
        <w:rPr>
          <w:rStyle w:val="longtext"/>
          <w:rFonts w:ascii="Garamond" w:hAnsi="Garamond"/>
          <w:sz w:val="21"/>
          <w:szCs w:val="21"/>
          <w:shd w:val="clear" w:color="auto" w:fill="FFFFFF"/>
        </w:rPr>
        <w:t xml:space="preserve">quarter of 2015 </w:t>
      </w:r>
      <w:r w:rsidRPr="004E7A10">
        <w:rPr>
          <w:rStyle w:val="longtext"/>
          <w:rFonts w:ascii="Garamond" w:hAnsi="Garamond"/>
          <w:sz w:val="21"/>
          <w:szCs w:val="21"/>
          <w:shd w:val="clear" w:color="auto" w:fill="FFFFFF"/>
        </w:rPr>
        <w:t>is estimated in the range</w:t>
      </w:r>
      <w:r w:rsidR="005E7DFC" w:rsidRPr="004E7A10">
        <w:rPr>
          <w:rStyle w:val="longtext"/>
          <w:rFonts w:ascii="Garamond" w:hAnsi="Garamond"/>
          <w:sz w:val="21"/>
          <w:szCs w:val="21"/>
          <w:shd w:val="clear" w:color="auto" w:fill="FFFFFF"/>
        </w:rPr>
        <w:t xml:space="preserve"> of </w:t>
      </w:r>
      <w:r w:rsidR="00C03AAB">
        <w:rPr>
          <w:rStyle w:val="longtext"/>
          <w:rFonts w:ascii="Garamond" w:hAnsi="Garamond"/>
          <w:b/>
          <w:sz w:val="21"/>
          <w:szCs w:val="21"/>
          <w:shd w:val="clear" w:color="auto" w:fill="FFFFFF"/>
        </w:rPr>
        <w:t>2</w:t>
      </w:r>
      <w:r w:rsidRPr="004E7A10">
        <w:rPr>
          <w:rStyle w:val="longtext"/>
          <w:rFonts w:ascii="Garamond" w:hAnsi="Garamond"/>
          <w:b/>
          <w:sz w:val="21"/>
          <w:szCs w:val="21"/>
          <w:shd w:val="clear" w:color="auto" w:fill="FFFFFF"/>
        </w:rPr>
        <w:t>.</w:t>
      </w:r>
      <w:r w:rsidR="00C03AAB">
        <w:rPr>
          <w:rStyle w:val="longtext"/>
          <w:rFonts w:ascii="Garamond" w:hAnsi="Garamond"/>
          <w:b/>
          <w:sz w:val="21"/>
          <w:szCs w:val="21"/>
          <w:shd w:val="clear" w:color="auto" w:fill="FFFFFF"/>
        </w:rPr>
        <w:t>1</w:t>
      </w:r>
      <w:r w:rsidR="005E7DFC" w:rsidRPr="004E7A10">
        <w:rPr>
          <w:rStyle w:val="longtext"/>
          <w:rFonts w:ascii="Garamond" w:hAnsi="Garamond"/>
          <w:b/>
          <w:sz w:val="21"/>
          <w:szCs w:val="21"/>
          <w:shd w:val="clear" w:color="auto" w:fill="FFFFFF"/>
        </w:rPr>
        <w:t>%</w:t>
      </w:r>
      <w:r w:rsidRPr="004E7A10">
        <w:rPr>
          <w:rStyle w:val="longtext"/>
          <w:rFonts w:ascii="Garamond" w:hAnsi="Garamond"/>
          <w:b/>
          <w:sz w:val="21"/>
          <w:szCs w:val="21"/>
          <w:shd w:val="clear" w:color="auto" w:fill="FFFFFF"/>
        </w:rPr>
        <w:t>-</w:t>
      </w:r>
      <w:r w:rsidR="00C03AAB">
        <w:rPr>
          <w:rStyle w:val="longtext"/>
          <w:rFonts w:ascii="Garamond" w:hAnsi="Garamond"/>
          <w:b/>
          <w:sz w:val="21"/>
          <w:szCs w:val="21"/>
          <w:shd w:val="clear" w:color="auto" w:fill="FFFFFF"/>
        </w:rPr>
        <w:t>2</w:t>
      </w:r>
      <w:r w:rsidRPr="004E7A10">
        <w:rPr>
          <w:rStyle w:val="longtext"/>
          <w:rFonts w:ascii="Garamond" w:hAnsi="Garamond"/>
          <w:b/>
          <w:sz w:val="21"/>
          <w:szCs w:val="21"/>
          <w:shd w:val="clear" w:color="auto" w:fill="FFFFFF"/>
        </w:rPr>
        <w:t>.5%.</w:t>
      </w:r>
    </w:p>
    <w:p w14:paraId="05225D14" w14:textId="77777777" w:rsidR="001149DC" w:rsidRDefault="00572889" w:rsidP="00572889">
      <w:pPr>
        <w:spacing w:line="360" w:lineRule="auto"/>
        <w:jc w:val="both"/>
        <w:rPr>
          <w:rStyle w:val="longtext"/>
          <w:rFonts w:ascii="Garamond" w:hAnsi="Garamond"/>
          <w:sz w:val="21"/>
          <w:szCs w:val="21"/>
          <w:shd w:val="clear" w:color="auto" w:fill="FFFFFF"/>
        </w:rPr>
      </w:pPr>
      <w:r w:rsidRPr="004E7A10">
        <w:rPr>
          <w:rFonts w:ascii="Garamond" w:hAnsi="Garamond" w:cs="Times New Roman"/>
          <w:b/>
          <w:sz w:val="21"/>
          <w:szCs w:val="21"/>
        </w:rPr>
        <w:t>In the forecast horizon</w:t>
      </w:r>
      <w:r w:rsidRPr="004E7A10">
        <w:rPr>
          <w:rFonts w:ascii="Garamond" w:hAnsi="Garamond" w:cs="Times New Roman"/>
          <w:sz w:val="21"/>
          <w:szCs w:val="21"/>
        </w:rPr>
        <w:t xml:space="preserve">, the </w:t>
      </w:r>
      <w:r w:rsidRPr="004E7A10">
        <w:rPr>
          <w:rStyle w:val="longtext"/>
          <w:rFonts w:ascii="Garamond" w:hAnsi="Garamond"/>
          <w:sz w:val="21"/>
          <w:szCs w:val="21"/>
          <w:shd w:val="clear" w:color="auto" w:fill="FFFFFF"/>
        </w:rPr>
        <w:t xml:space="preserve">economic growth </w:t>
      </w:r>
      <w:r w:rsidR="001149DC">
        <w:rPr>
          <w:rStyle w:val="longtext"/>
          <w:rFonts w:ascii="Garamond" w:hAnsi="Garamond"/>
          <w:sz w:val="21"/>
          <w:szCs w:val="21"/>
          <w:shd w:val="clear" w:color="auto" w:fill="FFFFFF"/>
        </w:rPr>
        <w:t xml:space="preserve">rates will persist at the same level, then the growth will </w:t>
      </w:r>
      <w:r w:rsidRPr="004E7A10">
        <w:rPr>
          <w:rStyle w:val="longtext"/>
          <w:rFonts w:ascii="Garamond" w:hAnsi="Garamond"/>
          <w:sz w:val="21"/>
          <w:szCs w:val="21"/>
          <w:shd w:val="clear" w:color="auto" w:fill="FFFFFF"/>
        </w:rPr>
        <w:t xml:space="preserve">gradually approach </w:t>
      </w:r>
      <w:r w:rsidRPr="001149DC">
        <w:rPr>
          <w:rStyle w:val="longtext"/>
          <w:rFonts w:ascii="Garamond" w:hAnsi="Garamond"/>
          <w:sz w:val="21"/>
          <w:szCs w:val="21"/>
          <w:shd w:val="clear" w:color="auto" w:fill="FFFFFF"/>
        </w:rPr>
        <w:t>its long-term equilibrium</w:t>
      </w:r>
      <w:r w:rsidR="001149DC">
        <w:rPr>
          <w:rStyle w:val="longtext"/>
          <w:rFonts w:ascii="Garamond" w:hAnsi="Garamond"/>
          <w:sz w:val="21"/>
          <w:szCs w:val="21"/>
          <w:shd w:val="clear" w:color="auto" w:fill="FFFFFF"/>
        </w:rPr>
        <w:t>, determined by</w:t>
      </w:r>
      <w:r w:rsidR="001149DC" w:rsidRPr="004E7A10">
        <w:rPr>
          <w:rFonts w:ascii="Garamond" w:hAnsi="Garamond" w:cs="Times New Roman"/>
          <w:sz w:val="21"/>
          <w:szCs w:val="21"/>
        </w:rPr>
        <w:t xml:space="preserve"> a bunch of programs the Government plans to carry out in the tradable sector and continued improvement in external economic environment</w:t>
      </w:r>
      <w:r w:rsidR="001149DC">
        <w:rPr>
          <w:rFonts w:ascii="Garamond" w:hAnsi="Garamond" w:cs="Times New Roman"/>
          <w:sz w:val="21"/>
          <w:szCs w:val="21"/>
        </w:rPr>
        <w:t>.</w:t>
      </w:r>
      <w:r w:rsidR="001149DC" w:rsidRPr="001149DC">
        <w:rPr>
          <w:rFonts w:ascii="Garamond" w:hAnsi="Garamond" w:cs="Times New Roman"/>
          <w:b/>
          <w:sz w:val="21"/>
          <w:szCs w:val="21"/>
        </w:rPr>
        <w:t xml:space="preserve"> </w:t>
      </w:r>
      <w:r w:rsidR="001149DC" w:rsidRPr="004E7A10">
        <w:rPr>
          <w:rFonts w:ascii="Garamond" w:hAnsi="Garamond" w:cs="Times New Roman"/>
          <w:b/>
          <w:sz w:val="21"/>
          <w:szCs w:val="21"/>
        </w:rPr>
        <w:t>In the forecast horizon</w:t>
      </w:r>
      <w:r w:rsidR="001149DC" w:rsidRPr="004E7A10">
        <w:rPr>
          <w:rFonts w:ascii="Garamond" w:hAnsi="Garamond" w:cs="Times New Roman"/>
          <w:sz w:val="21"/>
          <w:szCs w:val="21"/>
        </w:rPr>
        <w:t>,</w:t>
      </w:r>
      <w:r w:rsidR="001149DC" w:rsidRPr="004E7A10">
        <w:rPr>
          <w:rFonts w:ascii="Garamond" w:hAnsi="Garamond" w:cs="Times New Roman"/>
          <w:sz w:val="21"/>
          <w:szCs w:val="21"/>
          <w:lang w:val="hy-AM"/>
        </w:rPr>
        <w:t xml:space="preserve"> </w:t>
      </w:r>
      <w:r w:rsidR="001149DC" w:rsidRPr="004E7A10">
        <w:rPr>
          <w:rStyle w:val="longtext"/>
          <w:rFonts w:ascii="Garamond" w:hAnsi="Garamond"/>
          <w:sz w:val="21"/>
          <w:szCs w:val="21"/>
          <w:shd w:val="clear" w:color="auto" w:fill="FFFFFF"/>
        </w:rPr>
        <w:t xml:space="preserve">the </w:t>
      </w:r>
      <w:r w:rsidR="001149DC" w:rsidRPr="004E7A10">
        <w:rPr>
          <w:rFonts w:ascii="Garamond" w:hAnsi="Garamond" w:cs="Times New Roman"/>
          <w:b/>
          <w:sz w:val="21"/>
          <w:szCs w:val="21"/>
        </w:rPr>
        <w:t>impact of the domestic economy on aggregate demand will be non-inflationary</w:t>
      </w:r>
      <w:r w:rsidR="001149DC" w:rsidRPr="004E7A10">
        <w:rPr>
          <w:rStyle w:val="longtext"/>
          <w:rFonts w:ascii="Garamond" w:hAnsi="Garamond"/>
          <w:sz w:val="21"/>
          <w:szCs w:val="21"/>
          <w:shd w:val="clear" w:color="auto" w:fill="FFFFFF"/>
        </w:rPr>
        <w:t xml:space="preserve"> as a result of </w:t>
      </w:r>
      <w:r w:rsidR="001149DC" w:rsidRPr="004E7A10">
        <w:rPr>
          <w:rFonts w:ascii="Garamond" w:hAnsi="Garamond" w:cs="Times New Roman"/>
          <w:sz w:val="21"/>
          <w:szCs w:val="21"/>
        </w:rPr>
        <w:t>stabilizing private demand as well as mostly a neutral impact of the fiscal policy.</w:t>
      </w:r>
    </w:p>
    <w:p w14:paraId="12596ABC" w14:textId="77777777" w:rsidR="001149DC" w:rsidRDefault="000B16A3" w:rsidP="00572889">
      <w:pPr>
        <w:spacing w:line="360" w:lineRule="auto"/>
        <w:jc w:val="both"/>
        <w:rPr>
          <w:rFonts w:ascii="Garamond" w:hAnsi="Garamond" w:cs="Times New Roman"/>
          <w:sz w:val="21"/>
          <w:szCs w:val="21"/>
        </w:rPr>
      </w:pPr>
      <w:r w:rsidRPr="004E7A10">
        <w:rPr>
          <w:rFonts w:ascii="Garamond" w:hAnsi="Garamond" w:cs="Times New Roman"/>
          <w:sz w:val="21"/>
          <w:szCs w:val="21"/>
        </w:rPr>
        <w:t xml:space="preserve">In the 1st quarter of 2015, </w:t>
      </w:r>
      <w:r w:rsidRPr="004E7A10">
        <w:rPr>
          <w:rFonts w:ascii="Garamond" w:hAnsi="Garamond" w:cs="Times New Roman"/>
          <w:b/>
          <w:sz w:val="21"/>
          <w:szCs w:val="21"/>
        </w:rPr>
        <w:t>the 12-month inflation rate</w:t>
      </w:r>
      <w:r w:rsidRPr="004E7A10">
        <w:rPr>
          <w:rFonts w:ascii="Garamond" w:hAnsi="Garamond" w:cs="Times New Roman"/>
          <w:sz w:val="21"/>
          <w:szCs w:val="21"/>
        </w:rPr>
        <w:t xml:space="preserve"> behaved cumulatively</w:t>
      </w:r>
      <w:r w:rsidR="00F64BCF">
        <w:rPr>
          <w:rFonts w:ascii="Garamond" w:hAnsi="Garamond" w:cs="Times New Roman"/>
          <w:sz w:val="21"/>
          <w:szCs w:val="21"/>
        </w:rPr>
        <w:t xml:space="preserve">; </w:t>
      </w:r>
      <w:r w:rsidRPr="004E7A10">
        <w:rPr>
          <w:rFonts w:ascii="Garamond" w:hAnsi="Garamond" w:cs="Times New Roman"/>
          <w:sz w:val="21"/>
          <w:szCs w:val="21"/>
        </w:rPr>
        <w:t>at the end of March</w:t>
      </w:r>
      <w:r w:rsidRPr="004E7A10">
        <w:rPr>
          <w:rFonts w:ascii="Garamond" w:hAnsi="Garamond" w:cs="Times New Roman"/>
          <w:b/>
          <w:sz w:val="21"/>
          <w:szCs w:val="21"/>
        </w:rPr>
        <w:t xml:space="preserve"> the 12-month inflation rate was 5.8%</w:t>
      </w:r>
      <w:r w:rsidRPr="004E7A10">
        <w:rPr>
          <w:rFonts w:ascii="Garamond" w:hAnsi="Garamond" w:cs="Times New Roman"/>
          <w:sz w:val="21"/>
          <w:szCs w:val="21"/>
        </w:rPr>
        <w:t xml:space="preserve">, staying </w:t>
      </w:r>
      <w:r>
        <w:rPr>
          <w:rFonts w:ascii="Garamond" w:hAnsi="Garamond" w:cs="Times New Roman"/>
          <w:sz w:val="21"/>
          <w:szCs w:val="21"/>
        </w:rPr>
        <w:t xml:space="preserve">around </w:t>
      </w:r>
      <w:r w:rsidRPr="004E7A10">
        <w:rPr>
          <w:rFonts w:ascii="Garamond" w:hAnsi="Garamond" w:cs="Times New Roman"/>
          <w:sz w:val="21"/>
          <w:szCs w:val="21"/>
        </w:rPr>
        <w:t>the upper bound of the confidence band.</w:t>
      </w:r>
    </w:p>
    <w:p w14:paraId="0B60770E" w14:textId="77777777" w:rsidR="00481724" w:rsidRDefault="00C4409C" w:rsidP="00572889">
      <w:pPr>
        <w:spacing w:line="360" w:lineRule="auto"/>
        <w:jc w:val="both"/>
        <w:rPr>
          <w:rFonts w:ascii="Garamond" w:hAnsi="Garamond" w:cs="Times New Roman"/>
          <w:color w:val="000000"/>
          <w:sz w:val="21"/>
          <w:szCs w:val="21"/>
        </w:rPr>
      </w:pPr>
      <w:r w:rsidRPr="004E7A10">
        <w:rPr>
          <w:rStyle w:val="longtext"/>
          <w:rFonts w:ascii="Garamond" w:hAnsi="Garamond"/>
          <w:b/>
          <w:sz w:val="21"/>
          <w:szCs w:val="21"/>
          <w:shd w:val="clear" w:color="auto" w:fill="FFFFFF"/>
        </w:rPr>
        <w:t>In the forecast horizon</w:t>
      </w:r>
      <w:r w:rsidRPr="004E7A10">
        <w:rPr>
          <w:rStyle w:val="longtext"/>
          <w:rFonts w:ascii="Garamond" w:hAnsi="Garamond"/>
          <w:sz w:val="21"/>
          <w:szCs w:val="21"/>
          <w:shd w:val="clear" w:color="auto" w:fill="FFFFFF"/>
        </w:rPr>
        <w:t xml:space="preserve">, </w:t>
      </w:r>
      <w:r w:rsidRPr="00C4409C">
        <w:rPr>
          <w:rStyle w:val="longtext"/>
          <w:rFonts w:ascii="Garamond" w:hAnsi="Garamond"/>
          <w:b/>
          <w:sz w:val="21"/>
          <w:szCs w:val="21"/>
          <w:shd w:val="clear" w:color="auto" w:fill="FFFFFF"/>
        </w:rPr>
        <w:t>the 12-month inflation rate</w:t>
      </w:r>
      <w:r>
        <w:rPr>
          <w:rStyle w:val="longtext"/>
          <w:rFonts w:ascii="Garamond" w:hAnsi="Garamond"/>
          <w:sz w:val="21"/>
          <w:szCs w:val="21"/>
          <w:shd w:val="clear" w:color="auto" w:fill="FFFFFF"/>
        </w:rPr>
        <w:t xml:space="preserve"> </w:t>
      </w:r>
      <w:r w:rsidRPr="004E7A10">
        <w:rPr>
          <w:rStyle w:val="longtext"/>
          <w:rFonts w:ascii="Garamond" w:hAnsi="Garamond"/>
          <w:sz w:val="21"/>
          <w:szCs w:val="21"/>
          <w:shd w:val="clear" w:color="auto" w:fill="FFFFFF"/>
        </w:rPr>
        <w:t>will stabilize around the 4% target.</w:t>
      </w:r>
      <w:r>
        <w:rPr>
          <w:rStyle w:val="longtext"/>
          <w:rFonts w:ascii="Garamond" w:hAnsi="Garamond"/>
          <w:sz w:val="21"/>
          <w:szCs w:val="21"/>
          <w:shd w:val="clear" w:color="auto" w:fill="FFFFFF"/>
        </w:rPr>
        <w:t xml:space="preserve"> </w:t>
      </w:r>
      <w:r w:rsidR="002E49F8">
        <w:rPr>
          <w:rStyle w:val="longtext"/>
          <w:rFonts w:ascii="Garamond" w:hAnsi="Garamond"/>
          <w:sz w:val="21"/>
          <w:szCs w:val="21"/>
          <w:shd w:val="clear" w:color="auto" w:fill="FFFFFF"/>
        </w:rPr>
        <w:t xml:space="preserve">The probable rise in electricity price in the upcoming period will prompt </w:t>
      </w:r>
      <w:r w:rsidR="002E49F8" w:rsidRPr="002E49F8">
        <w:rPr>
          <w:rStyle w:val="longtext"/>
          <w:rFonts w:ascii="Garamond" w:hAnsi="Garamond"/>
          <w:b/>
          <w:sz w:val="21"/>
          <w:szCs w:val="21"/>
          <w:shd w:val="clear" w:color="auto" w:fill="FFFFFF"/>
        </w:rPr>
        <w:t xml:space="preserve">the 12-month inflation rate to remain around </w:t>
      </w:r>
      <w:r w:rsidRPr="002E49F8">
        <w:rPr>
          <w:rFonts w:ascii="Garamond" w:hAnsi="Garamond" w:cs="Times New Roman"/>
          <w:b/>
          <w:sz w:val="21"/>
          <w:szCs w:val="21"/>
        </w:rPr>
        <w:t>the upper bound of the confidence band</w:t>
      </w:r>
      <w:r w:rsidRPr="002E49F8">
        <w:rPr>
          <w:rStyle w:val="longtext"/>
          <w:rFonts w:ascii="Garamond" w:hAnsi="Garamond"/>
          <w:b/>
          <w:sz w:val="21"/>
          <w:szCs w:val="21"/>
          <w:shd w:val="clear" w:color="auto" w:fill="FFFFFF"/>
        </w:rPr>
        <w:t xml:space="preserve"> </w:t>
      </w:r>
      <w:r w:rsidR="002E49F8" w:rsidRPr="002E49F8">
        <w:rPr>
          <w:rStyle w:val="longtext"/>
          <w:rFonts w:ascii="Garamond" w:hAnsi="Garamond"/>
          <w:b/>
          <w:sz w:val="21"/>
          <w:szCs w:val="21"/>
          <w:shd w:val="clear" w:color="auto" w:fill="FFFFFF"/>
        </w:rPr>
        <w:t>in the course of 2015</w:t>
      </w:r>
      <w:r w:rsidR="002E49F8">
        <w:rPr>
          <w:rStyle w:val="longtext"/>
          <w:rFonts w:ascii="Garamond" w:hAnsi="Garamond"/>
          <w:sz w:val="21"/>
          <w:szCs w:val="21"/>
          <w:shd w:val="clear" w:color="auto" w:fill="FFFFFF"/>
        </w:rPr>
        <w:t xml:space="preserve">. </w:t>
      </w:r>
      <w:r w:rsidR="00481724">
        <w:rPr>
          <w:rStyle w:val="longtext"/>
          <w:rFonts w:ascii="Garamond" w:hAnsi="Garamond"/>
          <w:sz w:val="21"/>
          <w:szCs w:val="21"/>
          <w:shd w:val="clear" w:color="auto" w:fill="FFFFFF"/>
        </w:rPr>
        <w:t>Then it will</w:t>
      </w:r>
      <w:r w:rsidR="00481724" w:rsidRPr="004E7A10">
        <w:rPr>
          <w:rFonts w:ascii="Garamond" w:hAnsi="Garamond" w:cs="Times New Roman"/>
          <w:color w:val="000000"/>
          <w:sz w:val="21"/>
          <w:szCs w:val="21"/>
        </w:rPr>
        <w:t xml:space="preserve"> reduce gradually fuelled by a greater seasonal drop in food prices owing to positive developments in agriculture as well as expected weak demand in both external and domestic sectors.</w:t>
      </w:r>
    </w:p>
    <w:p w14:paraId="0EC415E0" w14:textId="77777777" w:rsidR="00F27DA0" w:rsidRPr="004E7A10" w:rsidRDefault="00F27DA0" w:rsidP="00F27DA0">
      <w:pPr>
        <w:spacing w:line="360" w:lineRule="auto"/>
        <w:jc w:val="both"/>
        <w:rPr>
          <w:rFonts w:ascii="Garamond" w:hAnsi="Garamond" w:cs="Times New Roman"/>
          <w:color w:val="000000"/>
          <w:sz w:val="21"/>
          <w:szCs w:val="21"/>
        </w:rPr>
      </w:pPr>
      <w:r w:rsidRPr="00481724">
        <w:rPr>
          <w:rFonts w:ascii="Garamond" w:hAnsi="Garamond" w:cs="Times New Roman"/>
          <w:b/>
          <w:color w:val="000000"/>
          <w:sz w:val="21"/>
          <w:szCs w:val="21"/>
        </w:rPr>
        <w:t>The Central Bank estimates that keeping the Refinancing Rate’s current level in the 2nd quarter</w:t>
      </w:r>
      <w:r w:rsidRPr="004E7A10">
        <w:rPr>
          <w:rFonts w:ascii="Garamond" w:hAnsi="Garamond" w:cs="Times New Roman"/>
          <w:b/>
          <w:color w:val="000000"/>
          <w:sz w:val="21"/>
          <w:szCs w:val="21"/>
        </w:rPr>
        <w:t xml:space="preserve"> of 2015</w:t>
      </w:r>
      <w:r w:rsidRPr="004E7A10">
        <w:rPr>
          <w:rFonts w:ascii="Garamond" w:hAnsi="Garamond" w:cs="Times New Roman"/>
          <w:color w:val="000000"/>
          <w:sz w:val="21"/>
          <w:szCs w:val="21"/>
        </w:rPr>
        <w:t xml:space="preserve"> would facilitate the 12-month inflation to stabilize</w:t>
      </w:r>
      <w:r w:rsidRPr="00F27DA0">
        <w:rPr>
          <w:rFonts w:ascii="Garamond" w:hAnsi="Garamond" w:cs="Times New Roman"/>
          <w:color w:val="000000"/>
          <w:sz w:val="21"/>
          <w:szCs w:val="21"/>
        </w:rPr>
        <w:t xml:space="preserve"> </w:t>
      </w:r>
      <w:r w:rsidRPr="004E7A10">
        <w:rPr>
          <w:rFonts w:ascii="Garamond" w:hAnsi="Garamond" w:cs="Times New Roman"/>
          <w:color w:val="000000"/>
          <w:sz w:val="21"/>
          <w:szCs w:val="21"/>
        </w:rPr>
        <w:t xml:space="preserve">around the target since 2016. Later, as economic developments unfold, the Central Bank will adjust its monetary policy directions, while fulfilling the inflation target in the medium-term perspective. </w:t>
      </w:r>
    </w:p>
    <w:p w14:paraId="1387F849" w14:textId="0B91DF5C" w:rsidR="00F27DA0" w:rsidRDefault="00F27DA0" w:rsidP="00F27DA0">
      <w:pPr>
        <w:spacing w:line="360" w:lineRule="auto"/>
        <w:jc w:val="both"/>
        <w:rPr>
          <w:rStyle w:val="longtext"/>
          <w:rFonts w:ascii="Garamond" w:hAnsi="Garamond"/>
          <w:sz w:val="21"/>
          <w:szCs w:val="21"/>
          <w:shd w:val="clear" w:color="auto" w:fill="FFFFFF"/>
        </w:rPr>
      </w:pPr>
      <w:r w:rsidRPr="00F27DA0">
        <w:rPr>
          <w:rFonts w:ascii="Garamond" w:hAnsi="Garamond" w:cs="Times New Roman"/>
          <w:b/>
          <w:sz w:val="21"/>
          <w:szCs w:val="21"/>
        </w:rPr>
        <w:t>Risks to inflation deviating from the</w:t>
      </w:r>
      <w:r w:rsidRPr="00F27DA0">
        <w:rPr>
          <w:rFonts w:ascii="Garamond" w:hAnsi="Garamond" w:cs="Times New Roman"/>
          <w:sz w:val="21"/>
          <w:szCs w:val="21"/>
        </w:rPr>
        <w:t xml:space="preserve"> </w:t>
      </w:r>
      <w:r w:rsidRPr="00F27DA0">
        <w:rPr>
          <w:rFonts w:ascii="Garamond" w:hAnsi="Garamond" w:cs="Times New Roman"/>
          <w:b/>
          <w:sz w:val="21"/>
          <w:szCs w:val="21"/>
        </w:rPr>
        <w:t>projected value</w:t>
      </w:r>
      <w:r w:rsidRPr="00F27DA0">
        <w:rPr>
          <w:rFonts w:ascii="Garamond" w:hAnsi="Garamond" w:cs="Times New Roman"/>
          <w:sz w:val="21"/>
          <w:szCs w:val="21"/>
        </w:rPr>
        <w:t xml:space="preserve"> are estimated as </w:t>
      </w:r>
      <w:r w:rsidRPr="00F27DA0">
        <w:rPr>
          <w:rFonts w:ascii="Garamond" w:hAnsi="Garamond" w:cs="Times New Roman"/>
          <w:b/>
          <w:sz w:val="21"/>
          <w:szCs w:val="21"/>
        </w:rPr>
        <w:t>balanced</w:t>
      </w:r>
      <w:r w:rsidRPr="00F27DA0">
        <w:rPr>
          <w:rFonts w:ascii="Garamond" w:hAnsi="Garamond" w:cs="Times New Roman"/>
          <w:sz w:val="21"/>
          <w:szCs w:val="21"/>
        </w:rPr>
        <w:t xml:space="preserve"> in both short and</w:t>
      </w:r>
      <w:r w:rsidRPr="004E7A10">
        <w:rPr>
          <w:rFonts w:ascii="Garamond" w:hAnsi="Garamond" w:cs="Times New Roman"/>
          <w:sz w:val="21"/>
          <w:szCs w:val="21"/>
        </w:rPr>
        <w:t xml:space="preserve"> medium-term perspectives. </w:t>
      </w:r>
      <w:r w:rsidRPr="004E7A10">
        <w:rPr>
          <w:rFonts w:ascii="Garamond" w:hAnsi="Garamond" w:cs="Times New Roman"/>
          <w:b/>
          <w:sz w:val="21"/>
          <w:szCs w:val="21"/>
        </w:rPr>
        <w:t>External sector risks</w:t>
      </w:r>
      <w:r w:rsidRPr="004E7A10">
        <w:rPr>
          <w:rFonts w:ascii="Garamond" w:hAnsi="Garamond" w:cs="Times New Roman"/>
          <w:sz w:val="21"/>
          <w:szCs w:val="21"/>
        </w:rPr>
        <w:t xml:space="preserve"> are primarily associated with global economic growth rates bouncing back as well as price developments in world commodity and food product markets. </w:t>
      </w:r>
      <w:r w:rsidRPr="004E7A10">
        <w:rPr>
          <w:rFonts w:ascii="Garamond" w:hAnsi="Garamond" w:cs="Times New Roman"/>
          <w:b/>
          <w:sz w:val="21"/>
          <w:szCs w:val="21"/>
        </w:rPr>
        <w:t xml:space="preserve">Risks deriving from the domestic environment </w:t>
      </w:r>
      <w:r w:rsidRPr="004E7A10">
        <w:rPr>
          <w:rFonts w:ascii="Garamond" w:hAnsi="Garamond" w:cs="Times New Roman"/>
          <w:sz w:val="21"/>
          <w:szCs w:val="21"/>
        </w:rPr>
        <w:t xml:space="preserve">are attributable to the pace at which the domestic demand would recover, the Government-led projects, economic effects from regional integration processes as well as the developments in agriculture sector which is largely reliant on </w:t>
      </w:r>
      <w:r w:rsidR="00123722">
        <w:rPr>
          <w:rFonts w:ascii="Garamond" w:hAnsi="Garamond" w:cs="Times New Roman"/>
          <w:sz w:val="21"/>
          <w:szCs w:val="21"/>
        </w:rPr>
        <w:t>weather</w:t>
      </w:r>
      <w:r w:rsidR="00123722" w:rsidRPr="004E7A10">
        <w:rPr>
          <w:rFonts w:ascii="Garamond" w:hAnsi="Garamond" w:cs="Times New Roman"/>
          <w:sz w:val="21"/>
          <w:szCs w:val="21"/>
        </w:rPr>
        <w:t xml:space="preserve"> </w:t>
      </w:r>
      <w:r w:rsidRPr="004E7A10">
        <w:rPr>
          <w:rFonts w:ascii="Garamond" w:hAnsi="Garamond" w:cs="Times New Roman"/>
          <w:sz w:val="21"/>
          <w:szCs w:val="21"/>
        </w:rPr>
        <w:t>conditions. At the same time, the lack of information about the size and timing of possible increase in electricity tariffs adds to the uncertainties over inflation developments. If such risks materialize, the Central Bank will react accordingly by maintaining the inflation target in the medium run.</w:t>
      </w:r>
    </w:p>
    <w:p w14:paraId="624CCE0D" w14:textId="77777777" w:rsidR="00481724" w:rsidRDefault="00481724" w:rsidP="00572889">
      <w:pPr>
        <w:spacing w:line="360" w:lineRule="auto"/>
        <w:jc w:val="both"/>
        <w:rPr>
          <w:rStyle w:val="longtext"/>
          <w:rFonts w:ascii="Garamond" w:hAnsi="Garamond"/>
          <w:sz w:val="21"/>
          <w:szCs w:val="21"/>
          <w:shd w:val="clear" w:color="auto" w:fill="FFFFFF"/>
        </w:rPr>
      </w:pPr>
    </w:p>
    <w:p w14:paraId="3789B824" w14:textId="77777777" w:rsidR="00481724" w:rsidRDefault="00481724" w:rsidP="00572889">
      <w:pPr>
        <w:spacing w:line="360" w:lineRule="auto"/>
        <w:jc w:val="both"/>
        <w:rPr>
          <w:rStyle w:val="longtext"/>
          <w:rFonts w:ascii="Garamond" w:hAnsi="Garamond"/>
          <w:sz w:val="21"/>
          <w:szCs w:val="21"/>
          <w:shd w:val="clear" w:color="auto" w:fill="FFFFFF"/>
        </w:rPr>
      </w:pPr>
    </w:p>
    <w:p w14:paraId="396A1ABD" w14:textId="77777777" w:rsidR="00AA5822" w:rsidRPr="00EC356F" w:rsidRDefault="00AA5822">
      <w:pPr>
        <w:rPr>
          <w:rFonts w:ascii="Times New Roman" w:hAnsi="Times New Roman" w:cs="Times New Roman"/>
          <w:sz w:val="21"/>
          <w:szCs w:val="21"/>
        </w:rPr>
      </w:pPr>
    </w:p>
    <w:sectPr w:rsidR="00AA5822" w:rsidRPr="00EC356F" w:rsidSect="000F10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114CB" w14:textId="77777777" w:rsidR="00123722" w:rsidRDefault="00123722" w:rsidP="00A9653E">
      <w:pPr>
        <w:spacing w:after="0" w:line="240" w:lineRule="auto"/>
      </w:pPr>
      <w:r>
        <w:separator/>
      </w:r>
    </w:p>
  </w:endnote>
  <w:endnote w:type="continuationSeparator" w:id="0">
    <w:p w14:paraId="595606C3" w14:textId="77777777" w:rsidR="00123722" w:rsidRDefault="00123722" w:rsidP="00A96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Armenian Normal">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Armenian">
    <w:panose1 w:val="020206030504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0A073" w14:textId="77777777" w:rsidR="00123722" w:rsidRDefault="00123722" w:rsidP="00A9653E">
      <w:pPr>
        <w:spacing w:after="0" w:line="240" w:lineRule="auto"/>
      </w:pPr>
      <w:r>
        <w:separator/>
      </w:r>
    </w:p>
  </w:footnote>
  <w:footnote w:type="continuationSeparator" w:id="0">
    <w:p w14:paraId="670C4087" w14:textId="77777777" w:rsidR="00123722" w:rsidRDefault="00123722" w:rsidP="00A9653E">
      <w:pPr>
        <w:spacing w:after="0" w:line="240" w:lineRule="auto"/>
      </w:pPr>
      <w:r>
        <w:continuationSeparator/>
      </w:r>
    </w:p>
  </w:footnote>
  <w:footnote w:id="1">
    <w:p w14:paraId="04AA7D8A" w14:textId="77777777" w:rsidR="00123722" w:rsidRPr="00F50F21" w:rsidRDefault="00123722">
      <w:pPr>
        <w:pStyle w:val="FootnoteText"/>
        <w:rPr>
          <w:rFonts w:ascii="Garamond" w:hAnsi="Garamond"/>
        </w:rPr>
      </w:pPr>
      <w:r w:rsidRPr="00F50F21">
        <w:rPr>
          <w:rStyle w:val="FootnoteReference"/>
          <w:rFonts w:ascii="Garamond" w:hAnsi="Garamond"/>
        </w:rPr>
        <w:t>1</w:t>
      </w:r>
      <w:r w:rsidRPr="00F50F21">
        <w:rPr>
          <w:rFonts w:ascii="Garamond" w:hAnsi="Garamond"/>
        </w:rPr>
        <w:t xml:space="preserve"> See details in section 2.1 </w:t>
      </w:r>
      <w:r>
        <w:rPr>
          <w:rFonts w:ascii="Garamond" w:hAnsi="Garamond"/>
        </w:rPr>
        <w:t>“</w:t>
      </w:r>
      <w:r w:rsidRPr="00F50F21">
        <w:rPr>
          <w:rFonts w:ascii="Garamond" w:hAnsi="Garamond"/>
        </w:rPr>
        <w:t>External environment”.</w:t>
      </w:r>
    </w:p>
  </w:footnote>
  <w:footnote w:id="2">
    <w:p w14:paraId="1B9ED780" w14:textId="77777777" w:rsidR="00123722" w:rsidRPr="00B10F15" w:rsidRDefault="00123722" w:rsidP="00F42F6B">
      <w:pPr>
        <w:pStyle w:val="FootnoteText"/>
        <w:jc w:val="both"/>
        <w:rPr>
          <w:rFonts w:ascii="Garamond" w:hAnsi="Garamond"/>
        </w:rPr>
      </w:pPr>
      <w:r w:rsidRPr="00B10F15">
        <w:rPr>
          <w:rStyle w:val="FootnoteReference"/>
          <w:rFonts w:ascii="Garamond" w:hAnsi="Garamond"/>
        </w:rPr>
        <w:t>2</w:t>
      </w:r>
      <w:r w:rsidRPr="00B10F15">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B10F15">
        <w:rPr>
          <w:rFonts w:ascii="Garamond" w:hAnsi="Garamond"/>
          <w:lang w:val="hy-AM"/>
        </w:rPr>
        <w:t xml:space="preserve"> IMF, World Bank, The Economist, Economist </w:t>
      </w:r>
      <w:r w:rsidRPr="00B10F15">
        <w:rPr>
          <w:rFonts w:ascii="Garamond" w:hAnsi="Garamond"/>
        </w:rPr>
        <w:t xml:space="preserve">Intelligence Unit, </w:t>
      </w:r>
      <w:r w:rsidRPr="00B10F15">
        <w:rPr>
          <w:rFonts w:ascii="Garamond" w:hAnsi="Garamond"/>
          <w:lang w:val="hy-AM"/>
        </w:rPr>
        <w:t xml:space="preserve">Global Insight, Financial Times, </w:t>
      </w:r>
      <w:r w:rsidRPr="00B10F15">
        <w:rPr>
          <w:rFonts w:ascii="Garamond" w:hAnsi="Garamond"/>
        </w:rPr>
        <w:t>and so on).</w:t>
      </w:r>
    </w:p>
  </w:footnote>
  <w:footnote w:id="3">
    <w:p w14:paraId="37BDFE1A" w14:textId="77777777" w:rsidR="00123722" w:rsidRPr="0017334D" w:rsidRDefault="00123722" w:rsidP="00E902CD">
      <w:pPr>
        <w:pStyle w:val="FootnoteText"/>
        <w:jc w:val="both"/>
        <w:rPr>
          <w:rFonts w:ascii="Garamond" w:hAnsi="Garamond"/>
        </w:rPr>
      </w:pPr>
      <w:r w:rsidRPr="0017334D">
        <w:rPr>
          <w:rStyle w:val="FootnoteReference"/>
          <w:rFonts w:ascii="Garamond" w:hAnsi="Garamond"/>
        </w:rPr>
        <w:t>3</w:t>
      </w:r>
      <w:r w:rsidRPr="0017334D">
        <w:rPr>
          <w:rFonts w:ascii="Garamond" w:hAnsi="Garamond"/>
        </w:rPr>
        <w:t xml:space="preserve"> See the 30% </w:t>
      </w:r>
      <w:r>
        <w:rPr>
          <w:rFonts w:ascii="Garamond" w:hAnsi="Garamond"/>
        </w:rPr>
        <w:t>range</w:t>
      </w:r>
      <w:r w:rsidRPr="0017334D">
        <w:rPr>
          <w:rFonts w:ascii="Garamond" w:hAnsi="Garamond"/>
        </w:rPr>
        <w:t xml:space="preserve"> </w:t>
      </w:r>
      <w:r>
        <w:rPr>
          <w:rFonts w:ascii="Garamond" w:hAnsi="Garamond"/>
        </w:rPr>
        <w:t>in the</w:t>
      </w:r>
      <w:r w:rsidRPr="0017334D">
        <w:rPr>
          <w:rFonts w:ascii="Garamond" w:hAnsi="Garamond"/>
        </w:rPr>
        <w:t xml:space="preserve"> Real GDP Growth (Cumulative) Projection Probability Distribution Chart.</w:t>
      </w:r>
    </w:p>
  </w:footnote>
  <w:footnote w:id="4">
    <w:p w14:paraId="0EC9F28E" w14:textId="77777777" w:rsidR="00123722" w:rsidRDefault="00123722" w:rsidP="00E902CD">
      <w:pPr>
        <w:pStyle w:val="FootnoteText"/>
        <w:jc w:val="both"/>
      </w:pPr>
      <w:r>
        <w:rPr>
          <w:rStyle w:val="FootnoteReference"/>
        </w:rPr>
        <w:t>4</w:t>
      </w:r>
      <w:r>
        <w:t xml:space="preserve"> </w:t>
      </w:r>
      <w:r w:rsidRPr="00F50F21">
        <w:rPr>
          <w:rFonts w:ascii="Garamond" w:hAnsi="Garamond"/>
        </w:rPr>
        <w:t xml:space="preserve">See details in section 2.1 </w:t>
      </w:r>
      <w:r>
        <w:rPr>
          <w:rFonts w:ascii="Garamond" w:hAnsi="Garamond"/>
        </w:rPr>
        <w:t>“</w:t>
      </w:r>
      <w:r w:rsidRPr="00F50F21">
        <w:rPr>
          <w:rFonts w:ascii="Garamond" w:hAnsi="Garamond"/>
        </w:rPr>
        <w:t>External environment”.</w:t>
      </w:r>
    </w:p>
  </w:footnote>
  <w:footnote w:id="5">
    <w:p w14:paraId="746AF385" w14:textId="77777777" w:rsidR="00123722" w:rsidRPr="00B455C8" w:rsidRDefault="00123722" w:rsidP="00A9653E">
      <w:pPr>
        <w:pStyle w:val="FootnoteText"/>
        <w:jc w:val="both"/>
        <w:rPr>
          <w:rFonts w:ascii="Garamond" w:hAnsi="Garamond"/>
        </w:rPr>
      </w:pPr>
      <w:r w:rsidRPr="00B455C8">
        <w:rPr>
          <w:rStyle w:val="FootnoteReference"/>
          <w:rFonts w:ascii="Garamond" w:hAnsi="Garamond"/>
        </w:rPr>
        <w:t>5</w:t>
      </w:r>
      <w:r w:rsidRPr="00B455C8">
        <w:rPr>
          <w:rFonts w:ascii="Garamond" w:hAnsi="Garamond"/>
        </w:rPr>
        <w:t xml:space="preserve"> The labor market data for</w:t>
      </w:r>
      <w:r>
        <w:rPr>
          <w:rFonts w:ascii="Garamond" w:hAnsi="Garamond"/>
        </w:rPr>
        <w:t xml:space="preserve"> the 1st</w:t>
      </w:r>
      <w:r w:rsidRPr="00B455C8">
        <w:rPr>
          <w:rFonts w:ascii="Garamond" w:hAnsi="Garamond"/>
        </w:rPr>
        <w:t xml:space="preserve"> </w:t>
      </w:r>
      <w:r>
        <w:rPr>
          <w:rFonts w:ascii="Garamond" w:hAnsi="Garamond"/>
        </w:rPr>
        <w:t xml:space="preserve">quarter of </w:t>
      </w:r>
      <w:r w:rsidRPr="00B455C8">
        <w:rPr>
          <w:rFonts w:ascii="Garamond" w:hAnsi="Garamond"/>
        </w:rPr>
        <w:t>201</w:t>
      </w:r>
      <w:r>
        <w:rPr>
          <w:rFonts w:ascii="Garamond" w:hAnsi="Garamond"/>
        </w:rPr>
        <w:t>5</w:t>
      </w:r>
      <w:r w:rsidRPr="00B455C8">
        <w:rPr>
          <w:rFonts w:ascii="Garamond" w:hAnsi="Garamond"/>
        </w:rPr>
        <w:t xml:space="preserve"> are the Central Bank estimates which are based on the </w:t>
      </w:r>
      <w:r>
        <w:rPr>
          <w:rFonts w:ascii="Garamond" w:hAnsi="Garamond"/>
        </w:rPr>
        <w:t xml:space="preserve">4th </w:t>
      </w:r>
      <w:r w:rsidRPr="00B455C8">
        <w:rPr>
          <w:rFonts w:ascii="Garamond" w:hAnsi="Garamond"/>
        </w:rPr>
        <w:t xml:space="preserve">quarter of 2014 data and actual </w:t>
      </w:r>
      <w:r>
        <w:rPr>
          <w:rFonts w:ascii="Garamond" w:hAnsi="Garamond"/>
        </w:rPr>
        <w:t>January</w:t>
      </w:r>
      <w:r w:rsidRPr="00B455C8">
        <w:rPr>
          <w:rFonts w:ascii="Garamond" w:hAnsi="Garamond"/>
        </w:rPr>
        <w:t>-</w:t>
      </w:r>
      <w:r>
        <w:rPr>
          <w:rFonts w:ascii="Garamond" w:hAnsi="Garamond"/>
        </w:rPr>
        <w:t>February</w:t>
      </w:r>
      <w:r w:rsidRPr="00B455C8">
        <w:rPr>
          <w:rFonts w:ascii="Garamond" w:hAnsi="Garamond"/>
        </w:rPr>
        <w:t xml:space="preserve"> 201</w:t>
      </w:r>
      <w:r>
        <w:rPr>
          <w:rFonts w:ascii="Garamond" w:hAnsi="Garamond"/>
        </w:rPr>
        <w:t>5</w:t>
      </w:r>
      <w:r w:rsidRPr="00B455C8">
        <w:rPr>
          <w:rFonts w:ascii="Garamond" w:hAnsi="Garamond"/>
        </w:rPr>
        <w:t xml:space="preserve"> figures. The growth indicators presented in this sub-section are relative to the same </w:t>
      </w:r>
      <w:r>
        <w:rPr>
          <w:rFonts w:ascii="Garamond" w:hAnsi="Garamond"/>
        </w:rPr>
        <w:t xml:space="preserve">reference period last </w:t>
      </w:r>
      <w:r w:rsidRPr="00B455C8">
        <w:rPr>
          <w:rFonts w:ascii="Garamond" w:hAnsi="Garamond"/>
        </w:rPr>
        <w:t>year, unless otherwise specified.</w:t>
      </w:r>
    </w:p>
  </w:footnote>
  <w:footnote w:id="6">
    <w:p w14:paraId="460D2F86" w14:textId="77777777" w:rsidR="00123722" w:rsidRPr="00B455C8" w:rsidRDefault="00123722" w:rsidP="00A9653E">
      <w:pPr>
        <w:pStyle w:val="FootnoteText"/>
        <w:jc w:val="both"/>
        <w:rPr>
          <w:rFonts w:ascii="Garamond" w:hAnsi="Garamond"/>
        </w:rPr>
      </w:pPr>
      <w:r w:rsidRPr="00B455C8">
        <w:rPr>
          <w:rStyle w:val="FootnoteReference"/>
          <w:rFonts w:ascii="Garamond" w:hAnsi="Garamond"/>
        </w:rPr>
        <w:t>6</w:t>
      </w:r>
      <w:r w:rsidRPr="00B455C8">
        <w:rPr>
          <w:rFonts w:ascii="Garamond" w:hAnsi="Garamond"/>
        </w:rPr>
        <w:t xml:space="preserve"> The data of real growth of private consumption and investments for 2015-2017 are the Central Bank estimates. </w:t>
      </w:r>
      <w:r>
        <w:rPr>
          <w:rFonts w:ascii="Garamond" w:hAnsi="Garamond"/>
        </w:rPr>
        <w:t>These a</w:t>
      </w:r>
      <w:r w:rsidRPr="00B455C8">
        <w:rPr>
          <w:rFonts w:ascii="Garamond" w:hAnsi="Garamond"/>
        </w:rPr>
        <w:t xml:space="preserve">ctual figures are as of the </w:t>
      </w:r>
      <w:r>
        <w:rPr>
          <w:rFonts w:ascii="Garamond" w:hAnsi="Garamond"/>
        </w:rPr>
        <w:t>4th</w:t>
      </w:r>
      <w:r w:rsidRPr="00B455C8">
        <w:rPr>
          <w:rFonts w:ascii="Garamond" w:hAnsi="Garamond"/>
        </w:rPr>
        <w:t xml:space="preserve"> quarter 2014 published by the Republic of Armenia National Statistics Service. The real growth indicators represented in this sub-section are relative to the same </w:t>
      </w:r>
      <w:r>
        <w:rPr>
          <w:rFonts w:ascii="Garamond" w:hAnsi="Garamond"/>
        </w:rPr>
        <w:t xml:space="preserve">reference period last </w:t>
      </w:r>
      <w:r w:rsidRPr="00B455C8">
        <w:rPr>
          <w:rFonts w:ascii="Garamond" w:hAnsi="Garamond"/>
        </w:rPr>
        <w:t>year, unless otherwise specified.</w:t>
      </w:r>
    </w:p>
  </w:footnote>
  <w:footnote w:id="7">
    <w:p w14:paraId="02E50B6A" w14:textId="77777777" w:rsidR="00123722" w:rsidRPr="000860B7" w:rsidRDefault="00123722" w:rsidP="00414526">
      <w:pPr>
        <w:pStyle w:val="FootnoteText"/>
        <w:jc w:val="both"/>
        <w:rPr>
          <w:rFonts w:ascii="Garamond" w:hAnsi="Garamond"/>
        </w:rPr>
      </w:pPr>
      <w:r w:rsidRPr="000860B7">
        <w:rPr>
          <w:rStyle w:val="FootnoteReference"/>
          <w:rFonts w:ascii="Garamond" w:hAnsi="Garamond"/>
        </w:rPr>
        <w:t>7</w:t>
      </w:r>
      <w:r w:rsidRPr="000860B7">
        <w:rPr>
          <w:rFonts w:ascii="Garamond" w:hAnsi="Garamond"/>
        </w:rPr>
        <w:t xml:space="preserve"> The 2015</w:t>
      </w:r>
      <w:r>
        <w:rPr>
          <w:rFonts w:ascii="Garamond" w:hAnsi="Garamond"/>
        </w:rPr>
        <w:t xml:space="preserve"> </w:t>
      </w:r>
      <w:r w:rsidRPr="000860B7">
        <w:rPr>
          <w:rFonts w:ascii="Garamond" w:hAnsi="Garamond"/>
        </w:rPr>
        <w:t>GDP is the estimation of the Central Bank.</w:t>
      </w:r>
    </w:p>
  </w:footnote>
  <w:footnote w:id="8">
    <w:p w14:paraId="27F38BEB" w14:textId="77777777" w:rsidR="00123722" w:rsidRPr="000860B7" w:rsidRDefault="00123722" w:rsidP="00BE7F7F">
      <w:pPr>
        <w:pStyle w:val="FootnoteText"/>
        <w:jc w:val="both"/>
        <w:rPr>
          <w:rFonts w:ascii="Garamond" w:hAnsi="Garamond"/>
          <w:i/>
          <w:color w:val="000000"/>
          <w:sz w:val="16"/>
          <w:szCs w:val="16"/>
          <w:lang w:val="hy-AM"/>
        </w:rPr>
      </w:pPr>
      <w:r>
        <w:rPr>
          <w:rStyle w:val="FootnoteReference"/>
        </w:rPr>
        <w:t>8</w:t>
      </w:r>
      <w:r w:rsidRPr="000860B7">
        <w:rPr>
          <w:rFonts w:ascii="Garamond" w:hAnsi="Garamond"/>
          <w:i/>
          <w:color w:val="000000"/>
          <w:lang w:val="hy-AM"/>
        </w:rPr>
        <w:t xml:space="preserve"> </w:t>
      </w:r>
      <w:r w:rsidRPr="000860B7">
        <w:rPr>
          <w:rFonts w:ascii="Garamond" w:hAnsi="Garamond"/>
          <w:color w:val="000000"/>
        </w:rPr>
        <w:t xml:space="preserve">The </w:t>
      </w:r>
      <w:r>
        <w:rPr>
          <w:rFonts w:ascii="Garamond" w:hAnsi="Garamond"/>
          <w:color w:val="000000"/>
        </w:rPr>
        <w:t xml:space="preserve">2014 </w:t>
      </w:r>
      <w:r w:rsidRPr="000860B7">
        <w:rPr>
          <w:rFonts w:ascii="Garamond" w:hAnsi="Garamond"/>
          <w:color w:val="000000"/>
        </w:rPr>
        <w:t>state budget indicators pre</w:t>
      </w:r>
      <w:r>
        <w:rPr>
          <w:rFonts w:ascii="Garamond" w:hAnsi="Garamond"/>
          <w:color w:val="000000"/>
        </w:rPr>
        <w:t xml:space="preserve">sented exclude </w:t>
      </w:r>
      <w:r w:rsidRPr="000860B7">
        <w:rPr>
          <w:rFonts w:ascii="Garamond" w:hAnsi="Garamond"/>
          <w:color w:val="000000"/>
        </w:rPr>
        <w:t>records of off-budgetary funds.</w:t>
      </w:r>
    </w:p>
  </w:footnote>
  <w:footnote w:id="9">
    <w:p w14:paraId="454B88DF" w14:textId="77777777" w:rsidR="00123722" w:rsidRPr="0087741A" w:rsidRDefault="00123722" w:rsidP="0087741A">
      <w:pPr>
        <w:pStyle w:val="FootnoteText"/>
        <w:jc w:val="both"/>
        <w:rPr>
          <w:rFonts w:ascii="Garamond" w:hAnsi="Garamond"/>
        </w:rPr>
      </w:pPr>
      <w:r w:rsidRPr="0087741A">
        <w:rPr>
          <w:rStyle w:val="FootnoteReference"/>
          <w:rFonts w:ascii="Garamond" w:hAnsi="Garamond"/>
        </w:rPr>
        <w:t>9</w:t>
      </w:r>
      <w:r w:rsidRPr="0087741A">
        <w:rPr>
          <w:rFonts w:ascii="Garamond" w:hAnsi="Garamond"/>
        </w:rPr>
        <w:t xml:space="preserve"> The price index change as of January-</w:t>
      </w:r>
      <w:r>
        <w:rPr>
          <w:rFonts w:ascii="Garamond" w:hAnsi="Garamond"/>
        </w:rPr>
        <w:t>March</w:t>
      </w:r>
      <w:r w:rsidRPr="0087741A">
        <w:rPr>
          <w:rFonts w:ascii="Garamond" w:hAnsi="Garamond"/>
        </w:rPr>
        <w:t xml:space="preserve"> 201</w:t>
      </w:r>
      <w:r>
        <w:rPr>
          <w:rFonts w:ascii="Garamond" w:hAnsi="Garamond"/>
        </w:rPr>
        <w:t>5</w:t>
      </w:r>
      <w:r w:rsidRPr="0087741A">
        <w:rPr>
          <w:rFonts w:ascii="Garamond" w:hAnsi="Garamond"/>
        </w:rPr>
        <w:t xml:space="preserve"> is relative to the same </w:t>
      </w:r>
      <w:r>
        <w:rPr>
          <w:rFonts w:ascii="Garamond" w:hAnsi="Garamond"/>
        </w:rPr>
        <w:t xml:space="preserve">reference </w:t>
      </w:r>
      <w:r w:rsidRPr="0087741A">
        <w:rPr>
          <w:rFonts w:ascii="Garamond" w:hAnsi="Garamond"/>
        </w:rPr>
        <w:t xml:space="preserve">period </w:t>
      </w:r>
      <w:r>
        <w:rPr>
          <w:rFonts w:ascii="Garamond" w:hAnsi="Garamond"/>
        </w:rPr>
        <w:t>last</w:t>
      </w:r>
      <w:r w:rsidRPr="0087741A">
        <w:rPr>
          <w:rFonts w:ascii="Garamond" w:hAnsi="Garamond"/>
        </w:rPr>
        <w:t xml:space="preserve"> year, unless otherwise specified. </w:t>
      </w:r>
    </w:p>
  </w:footnote>
  <w:footnote w:id="10">
    <w:p w14:paraId="7DCE9CF6" w14:textId="77777777" w:rsidR="00123722" w:rsidRPr="0087741A" w:rsidRDefault="00123722" w:rsidP="0087741A">
      <w:pPr>
        <w:pStyle w:val="FootnoteText"/>
        <w:jc w:val="both"/>
        <w:rPr>
          <w:rFonts w:ascii="Garamond" w:hAnsi="Garamond"/>
        </w:rPr>
      </w:pPr>
      <w:r w:rsidRPr="0087741A">
        <w:rPr>
          <w:rStyle w:val="FootnoteReference"/>
          <w:rFonts w:ascii="Garamond" w:hAnsi="Garamond"/>
        </w:rPr>
        <w:t>10</w:t>
      </w:r>
      <w:r w:rsidRPr="0087741A">
        <w:rPr>
          <w:rFonts w:ascii="Garamond" w:hAnsi="Garamond"/>
        </w:rPr>
        <w:t xml:space="preserve"> </w:t>
      </w:r>
      <w:r>
        <w:rPr>
          <w:rFonts w:ascii="Garamond" w:hAnsi="Garamond"/>
        </w:rPr>
        <w:t xml:space="preserve">Public Services Regulation Commission’s Decision No. 232A, dated July 1, 2014, on “Electric Energy System Tariffs”. </w:t>
      </w:r>
    </w:p>
  </w:footnote>
  <w:footnote w:id="11">
    <w:p w14:paraId="7A689448" w14:textId="77777777" w:rsidR="00123722" w:rsidRPr="001C27D7" w:rsidRDefault="00123722" w:rsidP="0087741A">
      <w:pPr>
        <w:pStyle w:val="FootnoteText"/>
        <w:jc w:val="both"/>
        <w:rPr>
          <w:rFonts w:ascii="Garamond" w:hAnsi="Garamond"/>
        </w:rPr>
      </w:pPr>
      <w:r w:rsidRPr="001C27D7">
        <w:rPr>
          <w:rStyle w:val="FootnoteReference"/>
          <w:rFonts w:ascii="Garamond" w:hAnsi="Garamond"/>
        </w:rPr>
        <w:t>11</w:t>
      </w:r>
      <w:r w:rsidRPr="001C27D7">
        <w:rPr>
          <w:rFonts w:ascii="Garamond" w:hAnsi="Garamond"/>
        </w:rPr>
        <w:t xml:space="preserve"> Sales prices of producers of agricultural product are presented.</w:t>
      </w:r>
    </w:p>
  </w:footnote>
  <w:footnote w:id="12">
    <w:p w14:paraId="190D855F" w14:textId="77777777" w:rsidR="00123722" w:rsidRPr="001C27D7" w:rsidRDefault="00123722" w:rsidP="00A9653E">
      <w:pPr>
        <w:pStyle w:val="FootnoteText"/>
        <w:jc w:val="both"/>
        <w:rPr>
          <w:rFonts w:ascii="Garamond" w:hAnsi="Garamond"/>
        </w:rPr>
      </w:pPr>
      <w:r w:rsidRPr="001C27D7">
        <w:rPr>
          <w:rStyle w:val="FootnoteReference"/>
          <w:rFonts w:ascii="Garamond" w:hAnsi="Garamond"/>
        </w:rPr>
        <w:t>12</w:t>
      </w:r>
      <w:r w:rsidRPr="001C27D7">
        <w:rPr>
          <w:rFonts w:ascii="Garamond" w:hAnsi="Garamond"/>
        </w:rPr>
        <w:t xml:space="preserve"> The indicators of real growth of value added in sectors of the economy for January-</w:t>
      </w:r>
      <w:r>
        <w:rPr>
          <w:rFonts w:ascii="Garamond" w:hAnsi="Garamond"/>
        </w:rPr>
        <w:t>March</w:t>
      </w:r>
      <w:r w:rsidRPr="001C27D7">
        <w:rPr>
          <w:rFonts w:ascii="Garamond" w:hAnsi="Garamond"/>
        </w:rPr>
        <w:t xml:space="preserve"> 201</w:t>
      </w:r>
      <w:r>
        <w:rPr>
          <w:rFonts w:ascii="Garamond" w:hAnsi="Garamond"/>
        </w:rPr>
        <w:t>5</w:t>
      </w:r>
      <w:r w:rsidRPr="001C27D7">
        <w:rPr>
          <w:rFonts w:ascii="Garamond" w:hAnsi="Garamond"/>
        </w:rPr>
        <w:t xml:space="preserve"> y/y are the Central Bank </w:t>
      </w:r>
      <w:r>
        <w:rPr>
          <w:rFonts w:ascii="Garamond" w:hAnsi="Garamond"/>
        </w:rPr>
        <w:t>forecasts</w:t>
      </w:r>
      <w:r w:rsidRPr="001C27D7">
        <w:rPr>
          <w:rFonts w:ascii="Garamond" w:hAnsi="Garamond"/>
        </w:rPr>
        <w:t xml:space="preserve"> whereas the indicators of sub-sectors represent y/y growth rates in output volumes for January-</w:t>
      </w:r>
      <w:r>
        <w:rPr>
          <w:rFonts w:ascii="Garamond" w:hAnsi="Garamond"/>
        </w:rPr>
        <w:t>March</w:t>
      </w:r>
      <w:r w:rsidRPr="001C27D7">
        <w:rPr>
          <w:rFonts w:ascii="Garamond" w:hAnsi="Garamond"/>
        </w:rPr>
        <w:t xml:space="preserve"> 201</w:t>
      </w:r>
      <w:r>
        <w:rPr>
          <w:rFonts w:ascii="Garamond" w:hAnsi="Garamond"/>
        </w:rPr>
        <w:t>5</w:t>
      </w:r>
      <w:r w:rsidRPr="001C27D7">
        <w:rPr>
          <w:rFonts w:ascii="Garamond" w:hAnsi="Garamond"/>
        </w:rPr>
        <w:t>, unless otherwise specified.</w:t>
      </w:r>
    </w:p>
  </w:footnote>
  <w:footnote w:id="13">
    <w:p w14:paraId="36C240B0" w14:textId="77777777" w:rsidR="00123722" w:rsidRPr="008864DE" w:rsidRDefault="00123722" w:rsidP="008864DE">
      <w:pPr>
        <w:pStyle w:val="FootnoteText"/>
        <w:jc w:val="both"/>
        <w:rPr>
          <w:rFonts w:ascii="Garamond" w:hAnsi="Garamond"/>
        </w:rPr>
      </w:pPr>
      <w:r w:rsidRPr="008864DE">
        <w:rPr>
          <w:rStyle w:val="FootnoteReference"/>
          <w:rFonts w:ascii="Garamond" w:hAnsi="Garamond"/>
        </w:rPr>
        <w:t>13</w:t>
      </w:r>
      <w:r w:rsidRPr="008864DE">
        <w:rPr>
          <w:rFonts w:ascii="Garamond" w:hAnsi="Garamond"/>
        </w:rPr>
        <w:t xml:space="preserve"> See the </w:t>
      </w:r>
      <w:r>
        <w:rPr>
          <w:rFonts w:ascii="Garamond" w:hAnsi="Garamond"/>
        </w:rPr>
        <w:t>5</w:t>
      </w:r>
      <w:r w:rsidRPr="008864DE">
        <w:rPr>
          <w:rFonts w:ascii="Garamond" w:hAnsi="Garamond"/>
        </w:rPr>
        <w:t xml:space="preserve">0% </w:t>
      </w:r>
      <w:r>
        <w:rPr>
          <w:rFonts w:ascii="Garamond" w:hAnsi="Garamond"/>
        </w:rPr>
        <w:t>range in the</w:t>
      </w:r>
      <w:r w:rsidRPr="008864DE">
        <w:rPr>
          <w:rFonts w:ascii="Garamond" w:hAnsi="Garamond"/>
        </w:rPr>
        <w:t xml:space="preserve"> Real GDP Growth (Cumulative) Projection Probability Distribution Chart.</w:t>
      </w:r>
    </w:p>
  </w:footnote>
  <w:footnote w:id="14">
    <w:p w14:paraId="55387C19" w14:textId="77777777" w:rsidR="00123722" w:rsidRPr="00B10F15" w:rsidRDefault="00123722" w:rsidP="001943CA">
      <w:pPr>
        <w:pStyle w:val="FootnoteText"/>
        <w:jc w:val="both"/>
        <w:rPr>
          <w:rFonts w:ascii="Garamond" w:hAnsi="Garamond"/>
        </w:rPr>
      </w:pPr>
      <w:r w:rsidRPr="00B10F15">
        <w:rPr>
          <w:rStyle w:val="FootnoteReference"/>
          <w:rFonts w:ascii="Garamond" w:hAnsi="Garamond"/>
        </w:rPr>
        <w:t>14</w:t>
      </w:r>
      <w:r w:rsidRPr="00B10F15">
        <w:rPr>
          <w:rFonts w:ascii="Garamond" w:hAnsi="Garamond"/>
        </w:rPr>
        <w:t xml:space="preserve"> The private spending, private consumption and private investment data for the </w:t>
      </w:r>
      <w:r>
        <w:rPr>
          <w:rFonts w:ascii="Garamond" w:hAnsi="Garamond"/>
        </w:rPr>
        <w:t>1st</w:t>
      </w:r>
      <w:r w:rsidRPr="00B10F15">
        <w:rPr>
          <w:rFonts w:ascii="Garamond" w:hAnsi="Garamond"/>
        </w:rPr>
        <w:t xml:space="preserve"> quarter 201</w:t>
      </w:r>
      <w:r>
        <w:rPr>
          <w:rFonts w:ascii="Garamond" w:hAnsi="Garamond"/>
        </w:rPr>
        <w:t>5</w:t>
      </w:r>
      <w:r w:rsidRPr="00B10F15">
        <w:rPr>
          <w:rFonts w:ascii="Garamond" w:hAnsi="Garamond"/>
        </w:rPr>
        <w:t xml:space="preserve"> are the Central Bank estimates based on </w:t>
      </w:r>
      <w:r>
        <w:rPr>
          <w:rFonts w:ascii="Garamond" w:hAnsi="Garamond"/>
        </w:rPr>
        <w:t xml:space="preserve">the </w:t>
      </w:r>
      <w:r w:rsidRPr="00B10F15">
        <w:rPr>
          <w:rFonts w:ascii="Garamond" w:hAnsi="Garamond"/>
        </w:rPr>
        <w:t xml:space="preserve">actual </w:t>
      </w:r>
      <w:r>
        <w:rPr>
          <w:rFonts w:ascii="Garamond" w:hAnsi="Garamond"/>
        </w:rPr>
        <w:t>4th</w:t>
      </w:r>
      <w:r w:rsidRPr="00B10F15">
        <w:rPr>
          <w:rFonts w:ascii="Garamond" w:hAnsi="Garamond"/>
        </w:rPr>
        <w:t xml:space="preserve"> quarter 2014 data. Growth estimates in this sub-section are relative to the same </w:t>
      </w:r>
      <w:r>
        <w:rPr>
          <w:rFonts w:ascii="Garamond" w:hAnsi="Garamond"/>
        </w:rPr>
        <w:t>reference period last</w:t>
      </w:r>
      <w:r w:rsidRPr="00B10F15">
        <w:rPr>
          <w:rFonts w:ascii="Garamond" w:hAnsi="Garamond"/>
        </w:rPr>
        <w:t xml:space="preserve"> year, unless otherwise specified.  </w:t>
      </w:r>
    </w:p>
  </w:footnote>
  <w:footnote w:id="15">
    <w:p w14:paraId="72FDB4F4" w14:textId="77777777" w:rsidR="00123722" w:rsidRPr="00B10F15" w:rsidRDefault="00123722" w:rsidP="00D22F97">
      <w:pPr>
        <w:pStyle w:val="FootnoteText"/>
        <w:jc w:val="both"/>
        <w:rPr>
          <w:rFonts w:ascii="Garamond" w:hAnsi="Garamond"/>
        </w:rPr>
      </w:pPr>
      <w:r w:rsidRPr="00B10F15">
        <w:rPr>
          <w:rStyle w:val="FootnoteReference"/>
          <w:rFonts w:ascii="Garamond" w:hAnsi="Garamond"/>
        </w:rPr>
        <w:t>15</w:t>
      </w:r>
      <w:r w:rsidRPr="00B10F15">
        <w:rPr>
          <w:rFonts w:ascii="Garamond" w:hAnsi="Garamond"/>
        </w:rPr>
        <w:t xml:space="preserve"> See </w:t>
      </w:r>
      <w:r w:rsidRPr="00B10F15">
        <w:rPr>
          <w:rFonts w:ascii="Garamond" w:hAnsi="Garamond"/>
          <w:lang w:val="hy-AM"/>
        </w:rPr>
        <w:t>https://www.cba.am/am/SitePages/statsscci.aspx</w:t>
      </w:r>
      <w:r w:rsidRPr="00B10F15">
        <w:rPr>
          <w:rFonts w:ascii="Garamond" w:hAnsi="Garamond"/>
        </w:rPr>
        <w:t>.</w:t>
      </w:r>
    </w:p>
  </w:footnote>
  <w:footnote w:id="16">
    <w:p w14:paraId="0A13E7BC" w14:textId="77777777" w:rsidR="00123722" w:rsidRPr="00B10F15" w:rsidRDefault="00123722" w:rsidP="003E6ABB">
      <w:pPr>
        <w:pStyle w:val="FootnoteText"/>
        <w:jc w:val="both"/>
        <w:rPr>
          <w:rFonts w:ascii="Garamond" w:hAnsi="Garamond"/>
          <w:i/>
        </w:rPr>
      </w:pPr>
      <w:r w:rsidRPr="00B10F15">
        <w:rPr>
          <w:rStyle w:val="FootnoteReference"/>
          <w:rFonts w:ascii="Garamond" w:hAnsi="Garamond"/>
        </w:rPr>
        <w:t>16</w:t>
      </w:r>
      <w:r w:rsidRPr="00B10F15">
        <w:rPr>
          <w:rFonts w:ascii="Garamond" w:hAnsi="Garamond"/>
        </w:rPr>
        <w:t xml:space="preserve"> The labor market data for </w:t>
      </w:r>
      <w:r>
        <w:rPr>
          <w:rFonts w:ascii="Garamond" w:hAnsi="Garamond"/>
        </w:rPr>
        <w:t>the 1st</w:t>
      </w:r>
      <w:r w:rsidRPr="00B10F15">
        <w:rPr>
          <w:rFonts w:ascii="Garamond" w:hAnsi="Garamond"/>
        </w:rPr>
        <w:t xml:space="preserve"> </w:t>
      </w:r>
      <w:r>
        <w:rPr>
          <w:rFonts w:ascii="Garamond" w:hAnsi="Garamond"/>
        </w:rPr>
        <w:t xml:space="preserve">quarter of 2015 </w:t>
      </w:r>
      <w:r w:rsidRPr="00B10F15">
        <w:rPr>
          <w:rFonts w:ascii="Garamond" w:hAnsi="Garamond"/>
        </w:rPr>
        <w:t xml:space="preserve">are the Central Bank estimates which are based on the </w:t>
      </w:r>
      <w:r>
        <w:rPr>
          <w:rFonts w:ascii="Garamond" w:hAnsi="Garamond"/>
        </w:rPr>
        <w:t>4th</w:t>
      </w:r>
      <w:r w:rsidRPr="00B10F15">
        <w:rPr>
          <w:rFonts w:ascii="Garamond" w:hAnsi="Garamond"/>
        </w:rPr>
        <w:t xml:space="preserve"> quarter of 2014 data and actual </w:t>
      </w:r>
      <w:r>
        <w:rPr>
          <w:rFonts w:ascii="Garamond" w:hAnsi="Garamond"/>
        </w:rPr>
        <w:t>January</w:t>
      </w:r>
      <w:r w:rsidRPr="00B10F15">
        <w:rPr>
          <w:rFonts w:ascii="Garamond" w:hAnsi="Garamond"/>
        </w:rPr>
        <w:t>-</w:t>
      </w:r>
      <w:r>
        <w:rPr>
          <w:rFonts w:ascii="Garamond" w:hAnsi="Garamond"/>
        </w:rPr>
        <w:t>February</w:t>
      </w:r>
      <w:r w:rsidRPr="00B10F15">
        <w:rPr>
          <w:rFonts w:ascii="Garamond" w:hAnsi="Garamond"/>
        </w:rPr>
        <w:t xml:space="preserve"> 201</w:t>
      </w:r>
      <w:r>
        <w:rPr>
          <w:rFonts w:ascii="Garamond" w:hAnsi="Garamond"/>
        </w:rPr>
        <w:t>5</w:t>
      </w:r>
      <w:r w:rsidRPr="00B10F15">
        <w:rPr>
          <w:rFonts w:ascii="Garamond" w:hAnsi="Garamond"/>
        </w:rPr>
        <w:t xml:space="preserve"> figures. The growth indicators represented in this sub-section are relative to the same </w:t>
      </w:r>
      <w:r>
        <w:rPr>
          <w:rFonts w:ascii="Garamond" w:hAnsi="Garamond"/>
        </w:rPr>
        <w:t xml:space="preserve">reference period last </w:t>
      </w:r>
      <w:r w:rsidRPr="00B10F15">
        <w:rPr>
          <w:rFonts w:ascii="Garamond" w:hAnsi="Garamond"/>
        </w:rPr>
        <w:t>year, unless otherwise specified.</w:t>
      </w:r>
    </w:p>
  </w:footnote>
  <w:footnote w:id="17">
    <w:p w14:paraId="38ADCAC6" w14:textId="77777777" w:rsidR="00123722" w:rsidRPr="00B10F15" w:rsidRDefault="00123722" w:rsidP="003E6ABB">
      <w:pPr>
        <w:pStyle w:val="FootnoteText"/>
        <w:jc w:val="both"/>
        <w:rPr>
          <w:rFonts w:ascii="Garamond" w:hAnsi="Garamond"/>
        </w:rPr>
      </w:pPr>
      <w:r w:rsidRPr="00B10F15">
        <w:rPr>
          <w:rStyle w:val="FootnoteReference"/>
          <w:rFonts w:ascii="Garamond" w:hAnsi="Garamond"/>
        </w:rPr>
        <w:t>17</w:t>
      </w:r>
      <w:r w:rsidRPr="00B10F15">
        <w:rPr>
          <w:rFonts w:ascii="Garamond" w:hAnsi="Garamond"/>
        </w:rPr>
        <w:t xml:space="preserve"> </w:t>
      </w:r>
      <w:r w:rsidRPr="00B10F15">
        <w:rPr>
          <w:rFonts w:ascii="Garamond" w:hAnsi="Garamond"/>
          <w:iCs/>
        </w:rPr>
        <w:t xml:space="preserve">The review of the fiscal sector was done using the preliminary actual consolidated budget indicators prepared on the basis of the preliminary actual indicators of the </w:t>
      </w:r>
      <w:r>
        <w:rPr>
          <w:rFonts w:ascii="Garamond" w:hAnsi="Garamond"/>
          <w:iCs/>
        </w:rPr>
        <w:t>1st</w:t>
      </w:r>
      <w:r w:rsidRPr="00B10F15">
        <w:rPr>
          <w:rFonts w:ascii="Garamond" w:hAnsi="Garamond"/>
          <w:iCs/>
        </w:rPr>
        <w:t xml:space="preserve"> quarter of 201</w:t>
      </w:r>
      <w:r>
        <w:rPr>
          <w:rFonts w:ascii="Garamond" w:hAnsi="Garamond"/>
          <w:iCs/>
        </w:rPr>
        <w:t>5</w:t>
      </w:r>
      <w:r w:rsidRPr="00B10F15">
        <w:rPr>
          <w:rFonts w:ascii="Garamond" w:hAnsi="Garamond"/>
          <w:iCs/>
        </w:rPr>
        <w:t xml:space="preserve"> (PIU funds included), excluding off-budgetary funds. The impact of revenues was calculated in respect of the nominal GDP indicator while the impact of expenditures</w:t>
      </w:r>
      <w:r>
        <w:rPr>
          <w:rFonts w:ascii="Garamond" w:hAnsi="Garamond"/>
          <w:iCs/>
        </w:rPr>
        <w:t>,</w:t>
      </w:r>
      <w:r w:rsidRPr="00B10F15">
        <w:rPr>
          <w:rFonts w:ascii="Garamond" w:hAnsi="Garamond"/>
          <w:iCs/>
        </w:rPr>
        <w:t xml:space="preserve"> in respect of the estimated </w:t>
      </w:r>
      <w:r>
        <w:rPr>
          <w:rFonts w:ascii="Garamond" w:hAnsi="Garamond"/>
          <w:iCs/>
        </w:rPr>
        <w:t xml:space="preserve">economic </w:t>
      </w:r>
      <w:r w:rsidRPr="00B10F15">
        <w:rPr>
          <w:rFonts w:ascii="Garamond" w:hAnsi="Garamond"/>
          <w:iCs/>
        </w:rPr>
        <w:t xml:space="preserve">potential. </w:t>
      </w:r>
    </w:p>
  </w:footnote>
  <w:footnote w:id="18">
    <w:p w14:paraId="7E48DF99" w14:textId="77777777" w:rsidR="00123722" w:rsidRPr="000411F7" w:rsidRDefault="00123722" w:rsidP="008D49BF">
      <w:pPr>
        <w:pStyle w:val="FootnoteText"/>
        <w:jc w:val="both"/>
        <w:rPr>
          <w:rFonts w:ascii="Garamond" w:hAnsi="Garamond"/>
        </w:rPr>
      </w:pPr>
      <w:r w:rsidRPr="000411F7">
        <w:rPr>
          <w:rStyle w:val="FootnoteReference"/>
          <w:rFonts w:ascii="Garamond" w:hAnsi="Garamond"/>
        </w:rPr>
        <w:t>18</w:t>
      </w:r>
      <w:r w:rsidRPr="000411F7">
        <w:rPr>
          <w:rFonts w:ascii="Garamond" w:hAnsi="Garamond"/>
        </w:rPr>
        <w:t xml:space="preserve"> The </w:t>
      </w:r>
      <w:r>
        <w:rPr>
          <w:rFonts w:ascii="Garamond" w:hAnsi="Garamond"/>
        </w:rPr>
        <w:t>1st</w:t>
      </w:r>
      <w:r w:rsidRPr="000411F7">
        <w:rPr>
          <w:rFonts w:ascii="Garamond" w:hAnsi="Garamond"/>
        </w:rPr>
        <w:t xml:space="preserve"> quarter 201</w:t>
      </w:r>
      <w:r>
        <w:rPr>
          <w:rFonts w:ascii="Garamond" w:hAnsi="Garamond"/>
        </w:rPr>
        <w:t>5</w:t>
      </w:r>
      <w:r w:rsidRPr="000411F7">
        <w:rPr>
          <w:rFonts w:ascii="Garamond" w:hAnsi="Garamond"/>
        </w:rPr>
        <w:t xml:space="preserve"> indicator of the real exchange rate is the Central Bank estimate. </w:t>
      </w:r>
    </w:p>
  </w:footnote>
  <w:footnote w:id="19">
    <w:p w14:paraId="4CB6F056" w14:textId="77777777" w:rsidR="00123722" w:rsidRDefault="00123722" w:rsidP="002556A0">
      <w:pPr>
        <w:pStyle w:val="FootnoteText"/>
        <w:jc w:val="both"/>
      </w:pPr>
      <w:r>
        <w:rPr>
          <w:rStyle w:val="FootnoteReference"/>
        </w:rPr>
        <w:t>19</w:t>
      </w:r>
      <w:r>
        <w:t xml:space="preserve"> The 1st quarter </w:t>
      </w:r>
      <w:r w:rsidRPr="00597B3D">
        <w:t>201</w:t>
      </w:r>
      <w:r>
        <w:t>5 indicators are the Central Bank forecasts and estimates.</w:t>
      </w:r>
    </w:p>
  </w:footnote>
  <w:footnote w:id="20">
    <w:p w14:paraId="212EE18B" w14:textId="77777777" w:rsidR="00123722" w:rsidRPr="00FB0A8D" w:rsidRDefault="00123722">
      <w:pPr>
        <w:pStyle w:val="FootnoteText"/>
        <w:rPr>
          <w:rFonts w:ascii="Garamond" w:hAnsi="Garamond"/>
        </w:rPr>
      </w:pPr>
      <w:r w:rsidRPr="00FB0A8D">
        <w:rPr>
          <w:rStyle w:val="FootnoteReference"/>
          <w:rFonts w:ascii="Garamond" w:hAnsi="Garamond"/>
        </w:rPr>
        <w:t>20</w:t>
      </w:r>
      <w:r w:rsidRPr="00FB0A8D">
        <w:rPr>
          <w:rFonts w:ascii="Garamond" w:hAnsi="Garamond"/>
        </w:rPr>
        <w:t xml:space="preserve"> The dollar prices of export and import reported considerable decrement in the 1st quarter of 2015, according to the Central Bank estimat</w:t>
      </w:r>
      <w:r>
        <w:rPr>
          <w:rFonts w:ascii="Garamond" w:hAnsi="Garamond"/>
        </w:rPr>
        <w:t>es</w:t>
      </w:r>
      <w:r w:rsidRPr="00FB0A8D">
        <w:rPr>
          <w:rFonts w:ascii="Garamond" w:hAnsi="Garamond"/>
        </w:rPr>
        <w:t xml:space="preserve">. </w:t>
      </w:r>
    </w:p>
  </w:footnote>
  <w:footnote w:id="21">
    <w:p w14:paraId="1E8F6438" w14:textId="77777777" w:rsidR="00123722" w:rsidRPr="00FB0A8D" w:rsidRDefault="00123722" w:rsidP="0041186C">
      <w:pPr>
        <w:pStyle w:val="FootnoteText"/>
        <w:jc w:val="both"/>
        <w:rPr>
          <w:rFonts w:ascii="Garamond" w:hAnsi="Garamond"/>
        </w:rPr>
      </w:pPr>
      <w:r w:rsidRPr="00FB0A8D">
        <w:rPr>
          <w:rStyle w:val="FootnoteReference"/>
          <w:rFonts w:ascii="Garamond" w:hAnsi="Garamond"/>
        </w:rPr>
        <w:t>21</w:t>
      </w:r>
      <w:r w:rsidRPr="00FB0A8D">
        <w:rPr>
          <w:rFonts w:ascii="Garamond" w:hAnsi="Garamond"/>
        </w:rPr>
        <w:t xml:space="preserve"> The 1st quarter of 2015 saw as much as 48.0% y/y reduction in net inflow of non-commercial transfers of individuals via the banking system.   </w:t>
      </w:r>
    </w:p>
  </w:footnote>
  <w:footnote w:id="22">
    <w:p w14:paraId="7E048032" w14:textId="77777777" w:rsidR="00123722" w:rsidRPr="00FB0A8D" w:rsidRDefault="00123722" w:rsidP="00F5405C">
      <w:pPr>
        <w:pStyle w:val="FootnoteText"/>
        <w:jc w:val="both"/>
        <w:rPr>
          <w:rFonts w:ascii="Garamond" w:hAnsi="Garamond"/>
        </w:rPr>
      </w:pPr>
      <w:r w:rsidRPr="00FB0A8D">
        <w:rPr>
          <w:rStyle w:val="FootnoteReference"/>
          <w:rFonts w:ascii="Garamond" w:hAnsi="Garamond"/>
        </w:rPr>
        <w:t xml:space="preserve">22 </w:t>
      </w:r>
      <w:r w:rsidRPr="00FB0A8D">
        <w:rPr>
          <w:rFonts w:ascii="Garamond" w:hAnsi="Garamond"/>
        </w:rPr>
        <w:t>The 1st quarter 2015 capital and financial account figures are the Central Bank forecasts and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633"/>
    <w:multiLevelType w:val="hybridMultilevel"/>
    <w:tmpl w:val="C5445C72"/>
    <w:lvl w:ilvl="0" w:tplc="19EE12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A6CC8"/>
    <w:multiLevelType w:val="hybridMultilevel"/>
    <w:tmpl w:val="E102A44C"/>
    <w:lvl w:ilvl="0" w:tplc="04090001">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54854410"/>
    <w:multiLevelType w:val="hybridMultilevel"/>
    <w:tmpl w:val="C90A0DC4"/>
    <w:lvl w:ilvl="0" w:tplc="04090001">
      <w:start w:val="1"/>
      <w:numFmt w:val="bullet"/>
      <w:lvlText w:val=""/>
      <w:lvlJc w:val="left"/>
      <w:pPr>
        <w:tabs>
          <w:tab w:val="num" w:pos="1420"/>
        </w:tabs>
        <w:ind w:left="1420" w:hanging="360"/>
      </w:pPr>
      <w:rPr>
        <w:rFonts w:ascii="Symbol" w:hAnsi="Symbol" w:hint="default"/>
      </w:rPr>
    </w:lvl>
    <w:lvl w:ilvl="1" w:tplc="04090003" w:tentative="1">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3" w15:restartNumberingAfterBreak="0">
    <w:nsid w:val="75226296"/>
    <w:multiLevelType w:val="hybridMultilevel"/>
    <w:tmpl w:val="E046961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15:restartNumberingAfterBreak="0">
    <w:nsid w:val="787C1239"/>
    <w:multiLevelType w:val="hybridMultilevel"/>
    <w:tmpl w:val="ED30FB5A"/>
    <w:lvl w:ilvl="0" w:tplc="7DA82C5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C730830"/>
    <w:multiLevelType w:val="hybridMultilevel"/>
    <w:tmpl w:val="F6E2E3B6"/>
    <w:lvl w:ilvl="0" w:tplc="04090001">
      <w:start w:val="1"/>
      <w:numFmt w:val="bullet"/>
      <w:lvlText w:val=""/>
      <w:lvlJc w:val="left"/>
      <w:pPr>
        <w:tabs>
          <w:tab w:val="num" w:pos="1420"/>
        </w:tabs>
        <w:ind w:left="1420" w:hanging="360"/>
      </w:pPr>
      <w:rPr>
        <w:rFonts w:ascii="Symbol" w:hAnsi="Symbol" w:hint="default"/>
      </w:rPr>
    </w:lvl>
    <w:lvl w:ilvl="1" w:tplc="20F014A2">
      <w:start w:val="1"/>
      <w:numFmt w:val="lowerLetter"/>
      <w:lvlText w:val="%2."/>
      <w:lvlJc w:val="left"/>
      <w:pPr>
        <w:tabs>
          <w:tab w:val="num" w:pos="2140"/>
        </w:tabs>
        <w:ind w:left="2140" w:hanging="360"/>
      </w:pPr>
    </w:lvl>
    <w:lvl w:ilvl="2" w:tplc="FDC8A428" w:tentative="1">
      <w:start w:val="1"/>
      <w:numFmt w:val="lowerRoman"/>
      <w:lvlText w:val="%3."/>
      <w:lvlJc w:val="right"/>
      <w:pPr>
        <w:tabs>
          <w:tab w:val="num" w:pos="2860"/>
        </w:tabs>
        <w:ind w:left="2860" w:hanging="180"/>
      </w:pPr>
    </w:lvl>
    <w:lvl w:ilvl="3" w:tplc="3094FD28" w:tentative="1">
      <w:start w:val="1"/>
      <w:numFmt w:val="decimal"/>
      <w:lvlText w:val="%4."/>
      <w:lvlJc w:val="left"/>
      <w:pPr>
        <w:tabs>
          <w:tab w:val="num" w:pos="3580"/>
        </w:tabs>
        <w:ind w:left="3580" w:hanging="360"/>
      </w:pPr>
    </w:lvl>
    <w:lvl w:ilvl="4" w:tplc="829C23B4" w:tentative="1">
      <w:start w:val="1"/>
      <w:numFmt w:val="lowerLetter"/>
      <w:lvlText w:val="%5."/>
      <w:lvlJc w:val="left"/>
      <w:pPr>
        <w:tabs>
          <w:tab w:val="num" w:pos="4300"/>
        </w:tabs>
        <w:ind w:left="4300" w:hanging="360"/>
      </w:pPr>
    </w:lvl>
    <w:lvl w:ilvl="5" w:tplc="33D4B67E" w:tentative="1">
      <w:start w:val="1"/>
      <w:numFmt w:val="lowerRoman"/>
      <w:lvlText w:val="%6."/>
      <w:lvlJc w:val="right"/>
      <w:pPr>
        <w:tabs>
          <w:tab w:val="num" w:pos="5020"/>
        </w:tabs>
        <w:ind w:left="5020" w:hanging="180"/>
      </w:pPr>
    </w:lvl>
    <w:lvl w:ilvl="6" w:tplc="B6E6494C" w:tentative="1">
      <w:start w:val="1"/>
      <w:numFmt w:val="decimal"/>
      <w:lvlText w:val="%7."/>
      <w:lvlJc w:val="left"/>
      <w:pPr>
        <w:tabs>
          <w:tab w:val="num" w:pos="5740"/>
        </w:tabs>
        <w:ind w:left="5740" w:hanging="360"/>
      </w:pPr>
    </w:lvl>
    <w:lvl w:ilvl="7" w:tplc="4CA6F55A" w:tentative="1">
      <w:start w:val="1"/>
      <w:numFmt w:val="lowerLetter"/>
      <w:lvlText w:val="%8."/>
      <w:lvlJc w:val="left"/>
      <w:pPr>
        <w:tabs>
          <w:tab w:val="num" w:pos="6460"/>
        </w:tabs>
        <w:ind w:left="6460" w:hanging="360"/>
      </w:pPr>
    </w:lvl>
    <w:lvl w:ilvl="8" w:tplc="30CC4B2A" w:tentative="1">
      <w:start w:val="1"/>
      <w:numFmt w:val="lowerRoman"/>
      <w:lvlText w:val="%9."/>
      <w:lvlJc w:val="right"/>
      <w:pPr>
        <w:tabs>
          <w:tab w:val="num" w:pos="7180"/>
        </w:tabs>
        <w:ind w:left="71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653E"/>
    <w:rsid w:val="0000004E"/>
    <w:rsid w:val="00000134"/>
    <w:rsid w:val="000001CD"/>
    <w:rsid w:val="00000762"/>
    <w:rsid w:val="000009C7"/>
    <w:rsid w:val="00000C7A"/>
    <w:rsid w:val="00002432"/>
    <w:rsid w:val="00002CF5"/>
    <w:rsid w:val="0000486E"/>
    <w:rsid w:val="00004B40"/>
    <w:rsid w:val="000050FC"/>
    <w:rsid w:val="00005F1E"/>
    <w:rsid w:val="00007015"/>
    <w:rsid w:val="000112CF"/>
    <w:rsid w:val="00011F86"/>
    <w:rsid w:val="000127F2"/>
    <w:rsid w:val="00012A98"/>
    <w:rsid w:val="00012EF3"/>
    <w:rsid w:val="00014582"/>
    <w:rsid w:val="0001513B"/>
    <w:rsid w:val="00016094"/>
    <w:rsid w:val="00017827"/>
    <w:rsid w:val="0002076D"/>
    <w:rsid w:val="00020962"/>
    <w:rsid w:val="00021FBE"/>
    <w:rsid w:val="00025A01"/>
    <w:rsid w:val="00026087"/>
    <w:rsid w:val="00027CEC"/>
    <w:rsid w:val="00030AA2"/>
    <w:rsid w:val="00030AE6"/>
    <w:rsid w:val="000348D1"/>
    <w:rsid w:val="00035887"/>
    <w:rsid w:val="00035EC8"/>
    <w:rsid w:val="00036774"/>
    <w:rsid w:val="00040895"/>
    <w:rsid w:val="000411F7"/>
    <w:rsid w:val="00041381"/>
    <w:rsid w:val="0004161E"/>
    <w:rsid w:val="000420B3"/>
    <w:rsid w:val="00042155"/>
    <w:rsid w:val="000434BD"/>
    <w:rsid w:val="00043848"/>
    <w:rsid w:val="00044A6F"/>
    <w:rsid w:val="00045916"/>
    <w:rsid w:val="0004605B"/>
    <w:rsid w:val="0004685F"/>
    <w:rsid w:val="00052637"/>
    <w:rsid w:val="00053920"/>
    <w:rsid w:val="000545E7"/>
    <w:rsid w:val="000553AD"/>
    <w:rsid w:val="000566F8"/>
    <w:rsid w:val="00057C44"/>
    <w:rsid w:val="00060A6C"/>
    <w:rsid w:val="00061489"/>
    <w:rsid w:val="00061CFC"/>
    <w:rsid w:val="00063196"/>
    <w:rsid w:val="00063664"/>
    <w:rsid w:val="00064F37"/>
    <w:rsid w:val="000678A6"/>
    <w:rsid w:val="00072D8F"/>
    <w:rsid w:val="00073B43"/>
    <w:rsid w:val="00075E34"/>
    <w:rsid w:val="00075F0E"/>
    <w:rsid w:val="000768E1"/>
    <w:rsid w:val="00076A60"/>
    <w:rsid w:val="00077F93"/>
    <w:rsid w:val="0008074C"/>
    <w:rsid w:val="00081F80"/>
    <w:rsid w:val="000836FF"/>
    <w:rsid w:val="00085EC8"/>
    <w:rsid w:val="000860B7"/>
    <w:rsid w:val="00087BCA"/>
    <w:rsid w:val="00090254"/>
    <w:rsid w:val="000915C1"/>
    <w:rsid w:val="00091C87"/>
    <w:rsid w:val="00092C45"/>
    <w:rsid w:val="00093659"/>
    <w:rsid w:val="00095BC3"/>
    <w:rsid w:val="00096BDA"/>
    <w:rsid w:val="000978AB"/>
    <w:rsid w:val="000A0A8A"/>
    <w:rsid w:val="000A16EF"/>
    <w:rsid w:val="000A1A01"/>
    <w:rsid w:val="000A47AA"/>
    <w:rsid w:val="000A4A87"/>
    <w:rsid w:val="000A4D7E"/>
    <w:rsid w:val="000A5E83"/>
    <w:rsid w:val="000A6B89"/>
    <w:rsid w:val="000A751E"/>
    <w:rsid w:val="000B06F7"/>
    <w:rsid w:val="000B0AEC"/>
    <w:rsid w:val="000B0F82"/>
    <w:rsid w:val="000B16A3"/>
    <w:rsid w:val="000B19BE"/>
    <w:rsid w:val="000B1C37"/>
    <w:rsid w:val="000B46D8"/>
    <w:rsid w:val="000B586E"/>
    <w:rsid w:val="000B7A96"/>
    <w:rsid w:val="000C01DB"/>
    <w:rsid w:val="000C06F1"/>
    <w:rsid w:val="000C0811"/>
    <w:rsid w:val="000C0874"/>
    <w:rsid w:val="000C1F47"/>
    <w:rsid w:val="000C4710"/>
    <w:rsid w:val="000C5BB7"/>
    <w:rsid w:val="000C6696"/>
    <w:rsid w:val="000C6E3E"/>
    <w:rsid w:val="000C71B0"/>
    <w:rsid w:val="000D1BD8"/>
    <w:rsid w:val="000D3275"/>
    <w:rsid w:val="000D34B1"/>
    <w:rsid w:val="000D3B75"/>
    <w:rsid w:val="000D7658"/>
    <w:rsid w:val="000E04B9"/>
    <w:rsid w:val="000E1259"/>
    <w:rsid w:val="000E1FF4"/>
    <w:rsid w:val="000E5222"/>
    <w:rsid w:val="000E55CD"/>
    <w:rsid w:val="000E6E72"/>
    <w:rsid w:val="000E7B79"/>
    <w:rsid w:val="000F107F"/>
    <w:rsid w:val="000F11F3"/>
    <w:rsid w:val="000F3319"/>
    <w:rsid w:val="000F422E"/>
    <w:rsid w:val="000F560F"/>
    <w:rsid w:val="000F564E"/>
    <w:rsid w:val="000F76D4"/>
    <w:rsid w:val="000F7DC0"/>
    <w:rsid w:val="00100F38"/>
    <w:rsid w:val="001015B8"/>
    <w:rsid w:val="00101A45"/>
    <w:rsid w:val="001020A4"/>
    <w:rsid w:val="00102D83"/>
    <w:rsid w:val="00103C6E"/>
    <w:rsid w:val="00106055"/>
    <w:rsid w:val="00106258"/>
    <w:rsid w:val="001119D4"/>
    <w:rsid w:val="0011359C"/>
    <w:rsid w:val="001149DC"/>
    <w:rsid w:val="0011522F"/>
    <w:rsid w:val="0011797A"/>
    <w:rsid w:val="00120B7A"/>
    <w:rsid w:val="00121511"/>
    <w:rsid w:val="0012172D"/>
    <w:rsid w:val="00121ACB"/>
    <w:rsid w:val="0012281D"/>
    <w:rsid w:val="00123722"/>
    <w:rsid w:val="00123BF5"/>
    <w:rsid w:val="0012560E"/>
    <w:rsid w:val="00125D1B"/>
    <w:rsid w:val="001272AD"/>
    <w:rsid w:val="00131467"/>
    <w:rsid w:val="001318EB"/>
    <w:rsid w:val="00131A86"/>
    <w:rsid w:val="00132E1C"/>
    <w:rsid w:val="00133C08"/>
    <w:rsid w:val="00133D2F"/>
    <w:rsid w:val="001346F5"/>
    <w:rsid w:val="00134E4E"/>
    <w:rsid w:val="001376D0"/>
    <w:rsid w:val="0014260C"/>
    <w:rsid w:val="001434E8"/>
    <w:rsid w:val="00143676"/>
    <w:rsid w:val="00144CDE"/>
    <w:rsid w:val="00146934"/>
    <w:rsid w:val="00150450"/>
    <w:rsid w:val="00150D2D"/>
    <w:rsid w:val="00152263"/>
    <w:rsid w:val="001529D1"/>
    <w:rsid w:val="00154D71"/>
    <w:rsid w:val="00155B35"/>
    <w:rsid w:val="001571A7"/>
    <w:rsid w:val="0015750B"/>
    <w:rsid w:val="001602FC"/>
    <w:rsid w:val="001643FC"/>
    <w:rsid w:val="00166238"/>
    <w:rsid w:val="00166AE0"/>
    <w:rsid w:val="001722E2"/>
    <w:rsid w:val="0017334D"/>
    <w:rsid w:val="00173515"/>
    <w:rsid w:val="00176023"/>
    <w:rsid w:val="00180B7F"/>
    <w:rsid w:val="00180CCE"/>
    <w:rsid w:val="00180FC3"/>
    <w:rsid w:val="00182A56"/>
    <w:rsid w:val="001833AA"/>
    <w:rsid w:val="00183E40"/>
    <w:rsid w:val="001843F3"/>
    <w:rsid w:val="001848B3"/>
    <w:rsid w:val="001849E8"/>
    <w:rsid w:val="00184F55"/>
    <w:rsid w:val="0018556C"/>
    <w:rsid w:val="00186196"/>
    <w:rsid w:val="00186AF6"/>
    <w:rsid w:val="00187D83"/>
    <w:rsid w:val="001910E5"/>
    <w:rsid w:val="00191112"/>
    <w:rsid w:val="001931C1"/>
    <w:rsid w:val="001943CA"/>
    <w:rsid w:val="00197A9E"/>
    <w:rsid w:val="001A046A"/>
    <w:rsid w:val="001A1850"/>
    <w:rsid w:val="001A1B53"/>
    <w:rsid w:val="001A1DAF"/>
    <w:rsid w:val="001A2C3B"/>
    <w:rsid w:val="001A3436"/>
    <w:rsid w:val="001A38D7"/>
    <w:rsid w:val="001A4ED6"/>
    <w:rsid w:val="001A56BF"/>
    <w:rsid w:val="001A590E"/>
    <w:rsid w:val="001A6378"/>
    <w:rsid w:val="001A65F0"/>
    <w:rsid w:val="001A772F"/>
    <w:rsid w:val="001A7ECF"/>
    <w:rsid w:val="001B05FD"/>
    <w:rsid w:val="001B12C5"/>
    <w:rsid w:val="001B1AA6"/>
    <w:rsid w:val="001B24BB"/>
    <w:rsid w:val="001B354F"/>
    <w:rsid w:val="001C27D7"/>
    <w:rsid w:val="001C2E2D"/>
    <w:rsid w:val="001C683B"/>
    <w:rsid w:val="001D4195"/>
    <w:rsid w:val="001D4390"/>
    <w:rsid w:val="001D45A9"/>
    <w:rsid w:val="001D67A4"/>
    <w:rsid w:val="001D73A7"/>
    <w:rsid w:val="001E0A05"/>
    <w:rsid w:val="001E1926"/>
    <w:rsid w:val="001E44AA"/>
    <w:rsid w:val="001E4AA2"/>
    <w:rsid w:val="001E5442"/>
    <w:rsid w:val="001E7B8D"/>
    <w:rsid w:val="001F3957"/>
    <w:rsid w:val="001F5BDC"/>
    <w:rsid w:val="001F5C4E"/>
    <w:rsid w:val="001F6A38"/>
    <w:rsid w:val="001F78EA"/>
    <w:rsid w:val="001F7A00"/>
    <w:rsid w:val="00200E71"/>
    <w:rsid w:val="0020288D"/>
    <w:rsid w:val="002041E9"/>
    <w:rsid w:val="00204822"/>
    <w:rsid w:val="00204D17"/>
    <w:rsid w:val="0020634C"/>
    <w:rsid w:val="002076CA"/>
    <w:rsid w:val="00207D1F"/>
    <w:rsid w:val="002120A0"/>
    <w:rsid w:val="00213CCB"/>
    <w:rsid w:val="002172D8"/>
    <w:rsid w:val="00221163"/>
    <w:rsid w:val="00221CEA"/>
    <w:rsid w:val="002255DB"/>
    <w:rsid w:val="00225ADD"/>
    <w:rsid w:val="00227C2E"/>
    <w:rsid w:val="0023050E"/>
    <w:rsid w:val="00230D6D"/>
    <w:rsid w:val="0023170B"/>
    <w:rsid w:val="002320C0"/>
    <w:rsid w:val="00233764"/>
    <w:rsid w:val="002347E3"/>
    <w:rsid w:val="002356F4"/>
    <w:rsid w:val="00235D63"/>
    <w:rsid w:val="00236EF8"/>
    <w:rsid w:val="00241742"/>
    <w:rsid w:val="00242393"/>
    <w:rsid w:val="00244862"/>
    <w:rsid w:val="00245C86"/>
    <w:rsid w:val="002465BB"/>
    <w:rsid w:val="00246AE6"/>
    <w:rsid w:val="002506E8"/>
    <w:rsid w:val="00250FE9"/>
    <w:rsid w:val="00251606"/>
    <w:rsid w:val="002522FF"/>
    <w:rsid w:val="00252621"/>
    <w:rsid w:val="00252F87"/>
    <w:rsid w:val="00253048"/>
    <w:rsid w:val="002556A0"/>
    <w:rsid w:val="00260B3F"/>
    <w:rsid w:val="002613A0"/>
    <w:rsid w:val="00262368"/>
    <w:rsid w:val="00265E19"/>
    <w:rsid w:val="00271AC5"/>
    <w:rsid w:val="00272048"/>
    <w:rsid w:val="00273952"/>
    <w:rsid w:val="00273D1E"/>
    <w:rsid w:val="00275325"/>
    <w:rsid w:val="00277109"/>
    <w:rsid w:val="00277D34"/>
    <w:rsid w:val="00281B60"/>
    <w:rsid w:val="00282112"/>
    <w:rsid w:val="00283094"/>
    <w:rsid w:val="00284140"/>
    <w:rsid w:val="00284423"/>
    <w:rsid w:val="002847F4"/>
    <w:rsid w:val="00293390"/>
    <w:rsid w:val="00293C67"/>
    <w:rsid w:val="00293C6F"/>
    <w:rsid w:val="0029403D"/>
    <w:rsid w:val="00294591"/>
    <w:rsid w:val="0029576C"/>
    <w:rsid w:val="002A15BA"/>
    <w:rsid w:val="002A1AB0"/>
    <w:rsid w:val="002A1DEB"/>
    <w:rsid w:val="002A2203"/>
    <w:rsid w:val="002A2990"/>
    <w:rsid w:val="002A3F68"/>
    <w:rsid w:val="002A4469"/>
    <w:rsid w:val="002A450D"/>
    <w:rsid w:val="002A5102"/>
    <w:rsid w:val="002A6ED8"/>
    <w:rsid w:val="002B0FA9"/>
    <w:rsid w:val="002B19C7"/>
    <w:rsid w:val="002B1E43"/>
    <w:rsid w:val="002B27BE"/>
    <w:rsid w:val="002B31B1"/>
    <w:rsid w:val="002B3AF9"/>
    <w:rsid w:val="002B4072"/>
    <w:rsid w:val="002B65D5"/>
    <w:rsid w:val="002C07D3"/>
    <w:rsid w:val="002C2BCA"/>
    <w:rsid w:val="002C30C7"/>
    <w:rsid w:val="002C392C"/>
    <w:rsid w:val="002C3BA8"/>
    <w:rsid w:val="002C4DDD"/>
    <w:rsid w:val="002C6493"/>
    <w:rsid w:val="002C6623"/>
    <w:rsid w:val="002C7BCF"/>
    <w:rsid w:val="002D4FFB"/>
    <w:rsid w:val="002D605B"/>
    <w:rsid w:val="002D7089"/>
    <w:rsid w:val="002E0E14"/>
    <w:rsid w:val="002E308F"/>
    <w:rsid w:val="002E393A"/>
    <w:rsid w:val="002E46DA"/>
    <w:rsid w:val="002E49F8"/>
    <w:rsid w:val="002E75C9"/>
    <w:rsid w:val="002F051B"/>
    <w:rsid w:val="002F08B9"/>
    <w:rsid w:val="002F0B0B"/>
    <w:rsid w:val="002F1EBB"/>
    <w:rsid w:val="002F2B8F"/>
    <w:rsid w:val="002F7190"/>
    <w:rsid w:val="002F74A7"/>
    <w:rsid w:val="002F7B1A"/>
    <w:rsid w:val="00301684"/>
    <w:rsid w:val="0030213D"/>
    <w:rsid w:val="00302F5B"/>
    <w:rsid w:val="003036AD"/>
    <w:rsid w:val="00303EB7"/>
    <w:rsid w:val="00312E16"/>
    <w:rsid w:val="00315441"/>
    <w:rsid w:val="003159D0"/>
    <w:rsid w:val="00315A80"/>
    <w:rsid w:val="0031610B"/>
    <w:rsid w:val="003174C9"/>
    <w:rsid w:val="00317AFB"/>
    <w:rsid w:val="00317CEA"/>
    <w:rsid w:val="00320DCA"/>
    <w:rsid w:val="00321EAB"/>
    <w:rsid w:val="00321F9E"/>
    <w:rsid w:val="00322F68"/>
    <w:rsid w:val="00323532"/>
    <w:rsid w:val="00323ED3"/>
    <w:rsid w:val="00326517"/>
    <w:rsid w:val="00327578"/>
    <w:rsid w:val="00327B27"/>
    <w:rsid w:val="00330F9F"/>
    <w:rsid w:val="003314DB"/>
    <w:rsid w:val="00333EE5"/>
    <w:rsid w:val="00333FEC"/>
    <w:rsid w:val="00334A50"/>
    <w:rsid w:val="0033532F"/>
    <w:rsid w:val="0033786C"/>
    <w:rsid w:val="00346693"/>
    <w:rsid w:val="003531DC"/>
    <w:rsid w:val="003537E0"/>
    <w:rsid w:val="003540F1"/>
    <w:rsid w:val="003548BD"/>
    <w:rsid w:val="00354F55"/>
    <w:rsid w:val="00356424"/>
    <w:rsid w:val="0035713F"/>
    <w:rsid w:val="00360838"/>
    <w:rsid w:val="003612A2"/>
    <w:rsid w:val="00362B67"/>
    <w:rsid w:val="003630A6"/>
    <w:rsid w:val="00363FCF"/>
    <w:rsid w:val="00364E4F"/>
    <w:rsid w:val="0036572C"/>
    <w:rsid w:val="00370461"/>
    <w:rsid w:val="00371DEE"/>
    <w:rsid w:val="0037292C"/>
    <w:rsid w:val="00373136"/>
    <w:rsid w:val="00373B2A"/>
    <w:rsid w:val="00373BA3"/>
    <w:rsid w:val="003741DC"/>
    <w:rsid w:val="00374714"/>
    <w:rsid w:val="003751A7"/>
    <w:rsid w:val="0037541B"/>
    <w:rsid w:val="003772D1"/>
    <w:rsid w:val="00377DA0"/>
    <w:rsid w:val="00380AC6"/>
    <w:rsid w:val="003836F9"/>
    <w:rsid w:val="00383E7A"/>
    <w:rsid w:val="00383F73"/>
    <w:rsid w:val="0039064C"/>
    <w:rsid w:val="0039065A"/>
    <w:rsid w:val="003915B3"/>
    <w:rsid w:val="003916F1"/>
    <w:rsid w:val="00392A16"/>
    <w:rsid w:val="00393DA2"/>
    <w:rsid w:val="00394D03"/>
    <w:rsid w:val="003955B3"/>
    <w:rsid w:val="00395C96"/>
    <w:rsid w:val="00396294"/>
    <w:rsid w:val="003963D9"/>
    <w:rsid w:val="003966B9"/>
    <w:rsid w:val="003968DB"/>
    <w:rsid w:val="003A19CE"/>
    <w:rsid w:val="003A59CE"/>
    <w:rsid w:val="003A5CF6"/>
    <w:rsid w:val="003A7A43"/>
    <w:rsid w:val="003B0446"/>
    <w:rsid w:val="003B3F0C"/>
    <w:rsid w:val="003B459D"/>
    <w:rsid w:val="003B4B66"/>
    <w:rsid w:val="003B4BDE"/>
    <w:rsid w:val="003B7530"/>
    <w:rsid w:val="003B7F41"/>
    <w:rsid w:val="003C087A"/>
    <w:rsid w:val="003C0E89"/>
    <w:rsid w:val="003C1C5A"/>
    <w:rsid w:val="003C1EBD"/>
    <w:rsid w:val="003C2566"/>
    <w:rsid w:val="003C2744"/>
    <w:rsid w:val="003C2B6B"/>
    <w:rsid w:val="003C35F6"/>
    <w:rsid w:val="003C3FBC"/>
    <w:rsid w:val="003C473C"/>
    <w:rsid w:val="003C5C11"/>
    <w:rsid w:val="003C7912"/>
    <w:rsid w:val="003D1554"/>
    <w:rsid w:val="003D2AB9"/>
    <w:rsid w:val="003D2B75"/>
    <w:rsid w:val="003D4059"/>
    <w:rsid w:val="003D59D0"/>
    <w:rsid w:val="003D6BEE"/>
    <w:rsid w:val="003E118D"/>
    <w:rsid w:val="003E1471"/>
    <w:rsid w:val="003E26B1"/>
    <w:rsid w:val="003E46AB"/>
    <w:rsid w:val="003E489F"/>
    <w:rsid w:val="003E6ABB"/>
    <w:rsid w:val="003F09B0"/>
    <w:rsid w:val="003F2698"/>
    <w:rsid w:val="003F450F"/>
    <w:rsid w:val="003F5612"/>
    <w:rsid w:val="003F5AE1"/>
    <w:rsid w:val="003F77DA"/>
    <w:rsid w:val="00400A35"/>
    <w:rsid w:val="004026FC"/>
    <w:rsid w:val="00402E04"/>
    <w:rsid w:val="00402F7E"/>
    <w:rsid w:val="00403CFC"/>
    <w:rsid w:val="004053BD"/>
    <w:rsid w:val="00407782"/>
    <w:rsid w:val="00407A12"/>
    <w:rsid w:val="00407BB9"/>
    <w:rsid w:val="0041186C"/>
    <w:rsid w:val="00413496"/>
    <w:rsid w:val="004138F3"/>
    <w:rsid w:val="004142A3"/>
    <w:rsid w:val="00414321"/>
    <w:rsid w:val="00414526"/>
    <w:rsid w:val="00414835"/>
    <w:rsid w:val="004149F6"/>
    <w:rsid w:val="00416E3D"/>
    <w:rsid w:val="00417309"/>
    <w:rsid w:val="004209BA"/>
    <w:rsid w:val="0042176A"/>
    <w:rsid w:val="00421828"/>
    <w:rsid w:val="00421AE2"/>
    <w:rsid w:val="004233A1"/>
    <w:rsid w:val="004234D1"/>
    <w:rsid w:val="00423AAE"/>
    <w:rsid w:val="00423EAE"/>
    <w:rsid w:val="00424E2E"/>
    <w:rsid w:val="00424EE9"/>
    <w:rsid w:val="00425C25"/>
    <w:rsid w:val="00426520"/>
    <w:rsid w:val="00432FBB"/>
    <w:rsid w:val="0043496E"/>
    <w:rsid w:val="004366A8"/>
    <w:rsid w:val="00437253"/>
    <w:rsid w:val="004400EB"/>
    <w:rsid w:val="0044120A"/>
    <w:rsid w:val="00441646"/>
    <w:rsid w:val="00442717"/>
    <w:rsid w:val="00444FF1"/>
    <w:rsid w:val="00445FCA"/>
    <w:rsid w:val="00446680"/>
    <w:rsid w:val="004475FC"/>
    <w:rsid w:val="00450547"/>
    <w:rsid w:val="00450EA2"/>
    <w:rsid w:val="00450F1F"/>
    <w:rsid w:val="004514E6"/>
    <w:rsid w:val="0045325C"/>
    <w:rsid w:val="00454125"/>
    <w:rsid w:val="00456E1D"/>
    <w:rsid w:val="00461A1D"/>
    <w:rsid w:val="00461DFA"/>
    <w:rsid w:val="00463A23"/>
    <w:rsid w:val="00464458"/>
    <w:rsid w:val="0046445E"/>
    <w:rsid w:val="004648E6"/>
    <w:rsid w:val="0046579F"/>
    <w:rsid w:val="004659BD"/>
    <w:rsid w:val="00466409"/>
    <w:rsid w:val="004676F0"/>
    <w:rsid w:val="00470C9E"/>
    <w:rsid w:val="00471408"/>
    <w:rsid w:val="0047160F"/>
    <w:rsid w:val="00473E52"/>
    <w:rsid w:val="00476C94"/>
    <w:rsid w:val="00477A30"/>
    <w:rsid w:val="00481724"/>
    <w:rsid w:val="004835AF"/>
    <w:rsid w:val="004838A2"/>
    <w:rsid w:val="00484066"/>
    <w:rsid w:val="00486356"/>
    <w:rsid w:val="00487732"/>
    <w:rsid w:val="004907CB"/>
    <w:rsid w:val="00490DDC"/>
    <w:rsid w:val="004918BD"/>
    <w:rsid w:val="0049338D"/>
    <w:rsid w:val="00494330"/>
    <w:rsid w:val="0049575D"/>
    <w:rsid w:val="00497BC0"/>
    <w:rsid w:val="004A0F89"/>
    <w:rsid w:val="004A21D0"/>
    <w:rsid w:val="004A3A63"/>
    <w:rsid w:val="004A3E9A"/>
    <w:rsid w:val="004A57A9"/>
    <w:rsid w:val="004A5816"/>
    <w:rsid w:val="004A581A"/>
    <w:rsid w:val="004A6238"/>
    <w:rsid w:val="004A6D50"/>
    <w:rsid w:val="004B138E"/>
    <w:rsid w:val="004B2227"/>
    <w:rsid w:val="004B2319"/>
    <w:rsid w:val="004B35EC"/>
    <w:rsid w:val="004B465A"/>
    <w:rsid w:val="004B5F63"/>
    <w:rsid w:val="004B5FB5"/>
    <w:rsid w:val="004B6F22"/>
    <w:rsid w:val="004B6F9E"/>
    <w:rsid w:val="004B78E9"/>
    <w:rsid w:val="004C03F3"/>
    <w:rsid w:val="004C066A"/>
    <w:rsid w:val="004C111C"/>
    <w:rsid w:val="004C115C"/>
    <w:rsid w:val="004C3492"/>
    <w:rsid w:val="004C37B7"/>
    <w:rsid w:val="004C4296"/>
    <w:rsid w:val="004C524D"/>
    <w:rsid w:val="004C5805"/>
    <w:rsid w:val="004D0AA8"/>
    <w:rsid w:val="004D1738"/>
    <w:rsid w:val="004D3E2A"/>
    <w:rsid w:val="004D49EA"/>
    <w:rsid w:val="004E31BD"/>
    <w:rsid w:val="004E498D"/>
    <w:rsid w:val="004E4C71"/>
    <w:rsid w:val="004E61DC"/>
    <w:rsid w:val="004E75D6"/>
    <w:rsid w:val="004E7A10"/>
    <w:rsid w:val="004F0054"/>
    <w:rsid w:val="004F03F3"/>
    <w:rsid w:val="004F116D"/>
    <w:rsid w:val="004F1952"/>
    <w:rsid w:val="004F21A5"/>
    <w:rsid w:val="004F21B6"/>
    <w:rsid w:val="004F3D3D"/>
    <w:rsid w:val="004F5351"/>
    <w:rsid w:val="004F56A9"/>
    <w:rsid w:val="004F631A"/>
    <w:rsid w:val="004F6D63"/>
    <w:rsid w:val="004F6F44"/>
    <w:rsid w:val="004F7067"/>
    <w:rsid w:val="004F76CD"/>
    <w:rsid w:val="005000AE"/>
    <w:rsid w:val="00500F13"/>
    <w:rsid w:val="00500F60"/>
    <w:rsid w:val="005037B9"/>
    <w:rsid w:val="005073FB"/>
    <w:rsid w:val="005115A3"/>
    <w:rsid w:val="00511F17"/>
    <w:rsid w:val="0051206F"/>
    <w:rsid w:val="00512265"/>
    <w:rsid w:val="00512D41"/>
    <w:rsid w:val="00513CCA"/>
    <w:rsid w:val="00514684"/>
    <w:rsid w:val="005149CE"/>
    <w:rsid w:val="005151CC"/>
    <w:rsid w:val="0052024F"/>
    <w:rsid w:val="0052389F"/>
    <w:rsid w:val="005314B0"/>
    <w:rsid w:val="00532517"/>
    <w:rsid w:val="0053451C"/>
    <w:rsid w:val="0053540E"/>
    <w:rsid w:val="00536A93"/>
    <w:rsid w:val="0054220E"/>
    <w:rsid w:val="00543104"/>
    <w:rsid w:val="00544B64"/>
    <w:rsid w:val="00545581"/>
    <w:rsid w:val="00545B52"/>
    <w:rsid w:val="005511FF"/>
    <w:rsid w:val="00551680"/>
    <w:rsid w:val="00552ED3"/>
    <w:rsid w:val="005533A3"/>
    <w:rsid w:val="00553B74"/>
    <w:rsid w:val="005563E5"/>
    <w:rsid w:val="00556859"/>
    <w:rsid w:val="00557D04"/>
    <w:rsid w:val="00561357"/>
    <w:rsid w:val="0056364F"/>
    <w:rsid w:val="00563993"/>
    <w:rsid w:val="00563AB2"/>
    <w:rsid w:val="00563ADD"/>
    <w:rsid w:val="00564627"/>
    <w:rsid w:val="005649E4"/>
    <w:rsid w:val="00567275"/>
    <w:rsid w:val="00570434"/>
    <w:rsid w:val="00571435"/>
    <w:rsid w:val="00571A29"/>
    <w:rsid w:val="00572287"/>
    <w:rsid w:val="00572889"/>
    <w:rsid w:val="005728D3"/>
    <w:rsid w:val="00573D45"/>
    <w:rsid w:val="00575437"/>
    <w:rsid w:val="00576D53"/>
    <w:rsid w:val="0057798A"/>
    <w:rsid w:val="005801F6"/>
    <w:rsid w:val="00582955"/>
    <w:rsid w:val="00586A6A"/>
    <w:rsid w:val="00591023"/>
    <w:rsid w:val="005918CE"/>
    <w:rsid w:val="005919E8"/>
    <w:rsid w:val="005930EC"/>
    <w:rsid w:val="005936ED"/>
    <w:rsid w:val="005938BD"/>
    <w:rsid w:val="00594AC0"/>
    <w:rsid w:val="00595B06"/>
    <w:rsid w:val="00595DC7"/>
    <w:rsid w:val="0059746D"/>
    <w:rsid w:val="005A0AED"/>
    <w:rsid w:val="005A1C7A"/>
    <w:rsid w:val="005A265C"/>
    <w:rsid w:val="005A3BC4"/>
    <w:rsid w:val="005A3F6F"/>
    <w:rsid w:val="005A4C65"/>
    <w:rsid w:val="005A5912"/>
    <w:rsid w:val="005A62F7"/>
    <w:rsid w:val="005A6743"/>
    <w:rsid w:val="005A7714"/>
    <w:rsid w:val="005A77BE"/>
    <w:rsid w:val="005A7D69"/>
    <w:rsid w:val="005B0238"/>
    <w:rsid w:val="005B1FD3"/>
    <w:rsid w:val="005B249E"/>
    <w:rsid w:val="005B25B3"/>
    <w:rsid w:val="005B499D"/>
    <w:rsid w:val="005B4A18"/>
    <w:rsid w:val="005B5DC3"/>
    <w:rsid w:val="005C1597"/>
    <w:rsid w:val="005C174F"/>
    <w:rsid w:val="005C1EC8"/>
    <w:rsid w:val="005C242D"/>
    <w:rsid w:val="005C262D"/>
    <w:rsid w:val="005C4B6A"/>
    <w:rsid w:val="005C5D68"/>
    <w:rsid w:val="005C6194"/>
    <w:rsid w:val="005D13A6"/>
    <w:rsid w:val="005D1A6C"/>
    <w:rsid w:val="005D3272"/>
    <w:rsid w:val="005D5D42"/>
    <w:rsid w:val="005E2372"/>
    <w:rsid w:val="005E2498"/>
    <w:rsid w:val="005E24DC"/>
    <w:rsid w:val="005E3A03"/>
    <w:rsid w:val="005E57F4"/>
    <w:rsid w:val="005E682E"/>
    <w:rsid w:val="005E7950"/>
    <w:rsid w:val="005E7DFC"/>
    <w:rsid w:val="005F5299"/>
    <w:rsid w:val="005F68EB"/>
    <w:rsid w:val="005F6F0B"/>
    <w:rsid w:val="00600F1C"/>
    <w:rsid w:val="0060194A"/>
    <w:rsid w:val="006025FA"/>
    <w:rsid w:val="006026A6"/>
    <w:rsid w:val="00602C1E"/>
    <w:rsid w:val="006032AF"/>
    <w:rsid w:val="006060F9"/>
    <w:rsid w:val="006062F5"/>
    <w:rsid w:val="00610B22"/>
    <w:rsid w:val="00611725"/>
    <w:rsid w:val="00611D2D"/>
    <w:rsid w:val="0061526A"/>
    <w:rsid w:val="00616BCD"/>
    <w:rsid w:val="006176C1"/>
    <w:rsid w:val="00617994"/>
    <w:rsid w:val="0062022E"/>
    <w:rsid w:val="00621264"/>
    <w:rsid w:val="006239C2"/>
    <w:rsid w:val="006241CC"/>
    <w:rsid w:val="006246D1"/>
    <w:rsid w:val="006252B4"/>
    <w:rsid w:val="0063349D"/>
    <w:rsid w:val="0063391E"/>
    <w:rsid w:val="00633980"/>
    <w:rsid w:val="00634E66"/>
    <w:rsid w:val="00635672"/>
    <w:rsid w:val="00640360"/>
    <w:rsid w:val="00640EBD"/>
    <w:rsid w:val="00641FC3"/>
    <w:rsid w:val="006428C8"/>
    <w:rsid w:val="00642E28"/>
    <w:rsid w:val="006432D2"/>
    <w:rsid w:val="0064758B"/>
    <w:rsid w:val="006511FA"/>
    <w:rsid w:val="006512D8"/>
    <w:rsid w:val="006521E9"/>
    <w:rsid w:val="006524D0"/>
    <w:rsid w:val="00653013"/>
    <w:rsid w:val="0065338F"/>
    <w:rsid w:val="00655418"/>
    <w:rsid w:val="00655EF4"/>
    <w:rsid w:val="006565CE"/>
    <w:rsid w:val="00656AE7"/>
    <w:rsid w:val="00657375"/>
    <w:rsid w:val="00660112"/>
    <w:rsid w:val="00661AA5"/>
    <w:rsid w:val="0066260D"/>
    <w:rsid w:val="00662B73"/>
    <w:rsid w:val="00663313"/>
    <w:rsid w:val="0066543C"/>
    <w:rsid w:val="006656DF"/>
    <w:rsid w:val="00666A55"/>
    <w:rsid w:val="00667943"/>
    <w:rsid w:val="00670789"/>
    <w:rsid w:val="00671FB9"/>
    <w:rsid w:val="006720E6"/>
    <w:rsid w:val="00672B2C"/>
    <w:rsid w:val="0067362B"/>
    <w:rsid w:val="006745E6"/>
    <w:rsid w:val="00677227"/>
    <w:rsid w:val="0068033A"/>
    <w:rsid w:val="0068130C"/>
    <w:rsid w:val="0068354A"/>
    <w:rsid w:val="0068429B"/>
    <w:rsid w:val="0068514C"/>
    <w:rsid w:val="0068550B"/>
    <w:rsid w:val="006872B3"/>
    <w:rsid w:val="00687C88"/>
    <w:rsid w:val="006938E2"/>
    <w:rsid w:val="0069475F"/>
    <w:rsid w:val="006A0573"/>
    <w:rsid w:val="006A08C5"/>
    <w:rsid w:val="006A0A3F"/>
    <w:rsid w:val="006A114E"/>
    <w:rsid w:val="006A239A"/>
    <w:rsid w:val="006A427F"/>
    <w:rsid w:val="006A429D"/>
    <w:rsid w:val="006A4AE5"/>
    <w:rsid w:val="006A4E1E"/>
    <w:rsid w:val="006A5EB8"/>
    <w:rsid w:val="006A6AD9"/>
    <w:rsid w:val="006A6D1D"/>
    <w:rsid w:val="006A7946"/>
    <w:rsid w:val="006B120F"/>
    <w:rsid w:val="006B7091"/>
    <w:rsid w:val="006B71FA"/>
    <w:rsid w:val="006C16CF"/>
    <w:rsid w:val="006C252E"/>
    <w:rsid w:val="006C4223"/>
    <w:rsid w:val="006C5637"/>
    <w:rsid w:val="006C577C"/>
    <w:rsid w:val="006C5B6A"/>
    <w:rsid w:val="006C5E46"/>
    <w:rsid w:val="006C6264"/>
    <w:rsid w:val="006C7B46"/>
    <w:rsid w:val="006D0AAE"/>
    <w:rsid w:val="006D0B66"/>
    <w:rsid w:val="006D11B2"/>
    <w:rsid w:val="006D2C16"/>
    <w:rsid w:val="006D3AFF"/>
    <w:rsid w:val="006D45B3"/>
    <w:rsid w:val="006D4658"/>
    <w:rsid w:val="006D4EF7"/>
    <w:rsid w:val="006D5E98"/>
    <w:rsid w:val="006D6597"/>
    <w:rsid w:val="006D6B9D"/>
    <w:rsid w:val="006D710D"/>
    <w:rsid w:val="006D7C7A"/>
    <w:rsid w:val="006E031E"/>
    <w:rsid w:val="006E0D4F"/>
    <w:rsid w:val="006E1A9A"/>
    <w:rsid w:val="006E5FCA"/>
    <w:rsid w:val="006E73E7"/>
    <w:rsid w:val="006E7BDA"/>
    <w:rsid w:val="006F04FC"/>
    <w:rsid w:val="006F25A0"/>
    <w:rsid w:val="006F3967"/>
    <w:rsid w:val="006F3D08"/>
    <w:rsid w:val="006F415E"/>
    <w:rsid w:val="006F5797"/>
    <w:rsid w:val="006F5A90"/>
    <w:rsid w:val="006F5B11"/>
    <w:rsid w:val="006F699D"/>
    <w:rsid w:val="00700136"/>
    <w:rsid w:val="00701AA0"/>
    <w:rsid w:val="00702482"/>
    <w:rsid w:val="007054D8"/>
    <w:rsid w:val="00705F65"/>
    <w:rsid w:val="0071106B"/>
    <w:rsid w:val="00712961"/>
    <w:rsid w:val="00712E69"/>
    <w:rsid w:val="0071409D"/>
    <w:rsid w:val="007160F7"/>
    <w:rsid w:val="00716934"/>
    <w:rsid w:val="00716D88"/>
    <w:rsid w:val="007203E0"/>
    <w:rsid w:val="007213A9"/>
    <w:rsid w:val="00721FB1"/>
    <w:rsid w:val="00723379"/>
    <w:rsid w:val="00723483"/>
    <w:rsid w:val="00724628"/>
    <w:rsid w:val="0072489D"/>
    <w:rsid w:val="00727217"/>
    <w:rsid w:val="00732153"/>
    <w:rsid w:val="00732183"/>
    <w:rsid w:val="00732C5D"/>
    <w:rsid w:val="007331B9"/>
    <w:rsid w:val="007335DB"/>
    <w:rsid w:val="007342E4"/>
    <w:rsid w:val="00735665"/>
    <w:rsid w:val="007378A0"/>
    <w:rsid w:val="00743C38"/>
    <w:rsid w:val="007507BB"/>
    <w:rsid w:val="0075400B"/>
    <w:rsid w:val="00754966"/>
    <w:rsid w:val="00754F95"/>
    <w:rsid w:val="00755238"/>
    <w:rsid w:val="00755F6B"/>
    <w:rsid w:val="00756CCE"/>
    <w:rsid w:val="007571B1"/>
    <w:rsid w:val="007610C9"/>
    <w:rsid w:val="00762491"/>
    <w:rsid w:val="0076293E"/>
    <w:rsid w:val="0076331C"/>
    <w:rsid w:val="00765FBD"/>
    <w:rsid w:val="00766712"/>
    <w:rsid w:val="00774630"/>
    <w:rsid w:val="00775001"/>
    <w:rsid w:val="007779E6"/>
    <w:rsid w:val="007803C9"/>
    <w:rsid w:val="007817A8"/>
    <w:rsid w:val="007832F0"/>
    <w:rsid w:val="00783A61"/>
    <w:rsid w:val="00784A91"/>
    <w:rsid w:val="00784E9B"/>
    <w:rsid w:val="00786296"/>
    <w:rsid w:val="00786F0A"/>
    <w:rsid w:val="007870E4"/>
    <w:rsid w:val="00787520"/>
    <w:rsid w:val="00791FF8"/>
    <w:rsid w:val="0079244A"/>
    <w:rsid w:val="00792C51"/>
    <w:rsid w:val="007934C0"/>
    <w:rsid w:val="00793D60"/>
    <w:rsid w:val="00796161"/>
    <w:rsid w:val="007970A3"/>
    <w:rsid w:val="007A1FFE"/>
    <w:rsid w:val="007A2495"/>
    <w:rsid w:val="007A2E3D"/>
    <w:rsid w:val="007A3DF7"/>
    <w:rsid w:val="007A4242"/>
    <w:rsid w:val="007A59E7"/>
    <w:rsid w:val="007A7683"/>
    <w:rsid w:val="007B16B1"/>
    <w:rsid w:val="007B26E1"/>
    <w:rsid w:val="007B2DDE"/>
    <w:rsid w:val="007B3644"/>
    <w:rsid w:val="007B4201"/>
    <w:rsid w:val="007B45BB"/>
    <w:rsid w:val="007B548A"/>
    <w:rsid w:val="007B75F2"/>
    <w:rsid w:val="007C05D3"/>
    <w:rsid w:val="007C3C85"/>
    <w:rsid w:val="007C69C8"/>
    <w:rsid w:val="007D015E"/>
    <w:rsid w:val="007D1974"/>
    <w:rsid w:val="007D2E6F"/>
    <w:rsid w:val="007D6EB9"/>
    <w:rsid w:val="007D7251"/>
    <w:rsid w:val="007E116F"/>
    <w:rsid w:val="007E1197"/>
    <w:rsid w:val="007E1D2C"/>
    <w:rsid w:val="007E2A45"/>
    <w:rsid w:val="007E502B"/>
    <w:rsid w:val="007E50C6"/>
    <w:rsid w:val="007E59CF"/>
    <w:rsid w:val="007E66DC"/>
    <w:rsid w:val="007E719C"/>
    <w:rsid w:val="007E7237"/>
    <w:rsid w:val="007E72C1"/>
    <w:rsid w:val="007E74B4"/>
    <w:rsid w:val="007E7EC8"/>
    <w:rsid w:val="007F104A"/>
    <w:rsid w:val="007F1B8D"/>
    <w:rsid w:val="007F46DB"/>
    <w:rsid w:val="007F4B51"/>
    <w:rsid w:val="007F71D0"/>
    <w:rsid w:val="0080113C"/>
    <w:rsid w:val="0080234D"/>
    <w:rsid w:val="00802EBB"/>
    <w:rsid w:val="00804625"/>
    <w:rsid w:val="00805DEB"/>
    <w:rsid w:val="00806A13"/>
    <w:rsid w:val="008107BB"/>
    <w:rsid w:val="00810C95"/>
    <w:rsid w:val="008110CE"/>
    <w:rsid w:val="008132AD"/>
    <w:rsid w:val="00814092"/>
    <w:rsid w:val="00814B57"/>
    <w:rsid w:val="00816581"/>
    <w:rsid w:val="00816B4C"/>
    <w:rsid w:val="00820C54"/>
    <w:rsid w:val="00820D4E"/>
    <w:rsid w:val="008264C0"/>
    <w:rsid w:val="00827564"/>
    <w:rsid w:val="0083141D"/>
    <w:rsid w:val="00831C4A"/>
    <w:rsid w:val="00831CDE"/>
    <w:rsid w:val="00831D26"/>
    <w:rsid w:val="008359D6"/>
    <w:rsid w:val="00836354"/>
    <w:rsid w:val="00842E87"/>
    <w:rsid w:val="0084372B"/>
    <w:rsid w:val="00847497"/>
    <w:rsid w:val="00847D59"/>
    <w:rsid w:val="00854C42"/>
    <w:rsid w:val="00855201"/>
    <w:rsid w:val="008564A1"/>
    <w:rsid w:val="00857E6D"/>
    <w:rsid w:val="00860132"/>
    <w:rsid w:val="008611FE"/>
    <w:rsid w:val="00862C08"/>
    <w:rsid w:val="008634F0"/>
    <w:rsid w:val="00863BE4"/>
    <w:rsid w:val="00863C70"/>
    <w:rsid w:val="00863CD6"/>
    <w:rsid w:val="00871D49"/>
    <w:rsid w:val="008736EA"/>
    <w:rsid w:val="00874EC1"/>
    <w:rsid w:val="00876D80"/>
    <w:rsid w:val="00877002"/>
    <w:rsid w:val="0087741A"/>
    <w:rsid w:val="00880178"/>
    <w:rsid w:val="00885053"/>
    <w:rsid w:val="008864D9"/>
    <w:rsid w:val="008864DE"/>
    <w:rsid w:val="00887415"/>
    <w:rsid w:val="008875FF"/>
    <w:rsid w:val="008902F4"/>
    <w:rsid w:val="00891164"/>
    <w:rsid w:val="00891450"/>
    <w:rsid w:val="0089279C"/>
    <w:rsid w:val="00893787"/>
    <w:rsid w:val="00895414"/>
    <w:rsid w:val="00895F58"/>
    <w:rsid w:val="008A1460"/>
    <w:rsid w:val="008A1466"/>
    <w:rsid w:val="008A35F7"/>
    <w:rsid w:val="008A4DCA"/>
    <w:rsid w:val="008A526C"/>
    <w:rsid w:val="008A5F31"/>
    <w:rsid w:val="008A602A"/>
    <w:rsid w:val="008B294D"/>
    <w:rsid w:val="008B30C1"/>
    <w:rsid w:val="008B318A"/>
    <w:rsid w:val="008B47E2"/>
    <w:rsid w:val="008B59A2"/>
    <w:rsid w:val="008B6CAC"/>
    <w:rsid w:val="008C0806"/>
    <w:rsid w:val="008C5A3D"/>
    <w:rsid w:val="008C7970"/>
    <w:rsid w:val="008D004F"/>
    <w:rsid w:val="008D0B35"/>
    <w:rsid w:val="008D420A"/>
    <w:rsid w:val="008D49BF"/>
    <w:rsid w:val="008D5F4B"/>
    <w:rsid w:val="008D7CD8"/>
    <w:rsid w:val="008E08D4"/>
    <w:rsid w:val="008E42F2"/>
    <w:rsid w:val="008E504B"/>
    <w:rsid w:val="008E54B9"/>
    <w:rsid w:val="008E5EDD"/>
    <w:rsid w:val="008E6173"/>
    <w:rsid w:val="008E6D13"/>
    <w:rsid w:val="008E7170"/>
    <w:rsid w:val="008F0DB9"/>
    <w:rsid w:val="008F0EB9"/>
    <w:rsid w:val="008F0F4E"/>
    <w:rsid w:val="008F6289"/>
    <w:rsid w:val="009042E8"/>
    <w:rsid w:val="00904FF1"/>
    <w:rsid w:val="00905009"/>
    <w:rsid w:val="009064D6"/>
    <w:rsid w:val="009068AE"/>
    <w:rsid w:val="00912A65"/>
    <w:rsid w:val="00913153"/>
    <w:rsid w:val="00914CEA"/>
    <w:rsid w:val="0091572E"/>
    <w:rsid w:val="009158C0"/>
    <w:rsid w:val="00915D1A"/>
    <w:rsid w:val="00915E54"/>
    <w:rsid w:val="0091655B"/>
    <w:rsid w:val="00921056"/>
    <w:rsid w:val="0092320B"/>
    <w:rsid w:val="0092403F"/>
    <w:rsid w:val="00924D41"/>
    <w:rsid w:val="009268F7"/>
    <w:rsid w:val="009302BC"/>
    <w:rsid w:val="00931C44"/>
    <w:rsid w:val="00931F64"/>
    <w:rsid w:val="0093518C"/>
    <w:rsid w:val="00937D4F"/>
    <w:rsid w:val="00940BC4"/>
    <w:rsid w:val="00940E1E"/>
    <w:rsid w:val="0094112D"/>
    <w:rsid w:val="00941786"/>
    <w:rsid w:val="00942312"/>
    <w:rsid w:val="00943F1B"/>
    <w:rsid w:val="00945E09"/>
    <w:rsid w:val="00946318"/>
    <w:rsid w:val="00946355"/>
    <w:rsid w:val="00946A6C"/>
    <w:rsid w:val="00950F5F"/>
    <w:rsid w:val="00951344"/>
    <w:rsid w:val="00956E2D"/>
    <w:rsid w:val="00960ADC"/>
    <w:rsid w:val="009619F4"/>
    <w:rsid w:val="00961B47"/>
    <w:rsid w:val="009623E2"/>
    <w:rsid w:val="0096336D"/>
    <w:rsid w:val="00963AAC"/>
    <w:rsid w:val="00963CB0"/>
    <w:rsid w:val="00964017"/>
    <w:rsid w:val="009642D3"/>
    <w:rsid w:val="00967F70"/>
    <w:rsid w:val="009704B3"/>
    <w:rsid w:val="00972009"/>
    <w:rsid w:val="00972ECE"/>
    <w:rsid w:val="00973C11"/>
    <w:rsid w:val="00973D94"/>
    <w:rsid w:val="00975307"/>
    <w:rsid w:val="009759D7"/>
    <w:rsid w:val="009760C1"/>
    <w:rsid w:val="00976A44"/>
    <w:rsid w:val="00977AB3"/>
    <w:rsid w:val="00981DDB"/>
    <w:rsid w:val="00981FAB"/>
    <w:rsid w:val="009826D7"/>
    <w:rsid w:val="00982A82"/>
    <w:rsid w:val="00986675"/>
    <w:rsid w:val="00987274"/>
    <w:rsid w:val="00987B91"/>
    <w:rsid w:val="00987EDC"/>
    <w:rsid w:val="00990253"/>
    <w:rsid w:val="00991537"/>
    <w:rsid w:val="00991C0B"/>
    <w:rsid w:val="00991DF8"/>
    <w:rsid w:val="00991F2C"/>
    <w:rsid w:val="00992946"/>
    <w:rsid w:val="00993482"/>
    <w:rsid w:val="009935AF"/>
    <w:rsid w:val="009952F2"/>
    <w:rsid w:val="00995406"/>
    <w:rsid w:val="0099740D"/>
    <w:rsid w:val="00997CE8"/>
    <w:rsid w:val="009A0518"/>
    <w:rsid w:val="009A0921"/>
    <w:rsid w:val="009A0CDA"/>
    <w:rsid w:val="009A20AB"/>
    <w:rsid w:val="009A42EA"/>
    <w:rsid w:val="009A55F5"/>
    <w:rsid w:val="009B0B48"/>
    <w:rsid w:val="009B0D89"/>
    <w:rsid w:val="009B417A"/>
    <w:rsid w:val="009B4FD6"/>
    <w:rsid w:val="009B74A2"/>
    <w:rsid w:val="009B7AE9"/>
    <w:rsid w:val="009B7D4E"/>
    <w:rsid w:val="009C2127"/>
    <w:rsid w:val="009C2369"/>
    <w:rsid w:val="009C397A"/>
    <w:rsid w:val="009C63A2"/>
    <w:rsid w:val="009C6649"/>
    <w:rsid w:val="009C76A4"/>
    <w:rsid w:val="009C78B0"/>
    <w:rsid w:val="009C7942"/>
    <w:rsid w:val="009C7C32"/>
    <w:rsid w:val="009D0C9B"/>
    <w:rsid w:val="009D0FD5"/>
    <w:rsid w:val="009D1B25"/>
    <w:rsid w:val="009D200F"/>
    <w:rsid w:val="009D4095"/>
    <w:rsid w:val="009D457E"/>
    <w:rsid w:val="009D48F7"/>
    <w:rsid w:val="009D54D8"/>
    <w:rsid w:val="009D7633"/>
    <w:rsid w:val="009D7F2A"/>
    <w:rsid w:val="009E1168"/>
    <w:rsid w:val="009E1A56"/>
    <w:rsid w:val="009E64C5"/>
    <w:rsid w:val="009E659F"/>
    <w:rsid w:val="009E710A"/>
    <w:rsid w:val="009E7E61"/>
    <w:rsid w:val="009F2F78"/>
    <w:rsid w:val="009F4E8E"/>
    <w:rsid w:val="009F5350"/>
    <w:rsid w:val="009F5DE3"/>
    <w:rsid w:val="009F7802"/>
    <w:rsid w:val="009F7E54"/>
    <w:rsid w:val="00A015FF"/>
    <w:rsid w:val="00A01636"/>
    <w:rsid w:val="00A0184C"/>
    <w:rsid w:val="00A0370E"/>
    <w:rsid w:val="00A03D05"/>
    <w:rsid w:val="00A040A0"/>
    <w:rsid w:val="00A046DE"/>
    <w:rsid w:val="00A04988"/>
    <w:rsid w:val="00A0590B"/>
    <w:rsid w:val="00A06E29"/>
    <w:rsid w:val="00A07B17"/>
    <w:rsid w:val="00A07F37"/>
    <w:rsid w:val="00A07F62"/>
    <w:rsid w:val="00A07F99"/>
    <w:rsid w:val="00A10AF1"/>
    <w:rsid w:val="00A11EE4"/>
    <w:rsid w:val="00A12A53"/>
    <w:rsid w:val="00A133A7"/>
    <w:rsid w:val="00A16288"/>
    <w:rsid w:val="00A173E6"/>
    <w:rsid w:val="00A17B13"/>
    <w:rsid w:val="00A209DF"/>
    <w:rsid w:val="00A20EFD"/>
    <w:rsid w:val="00A20F95"/>
    <w:rsid w:val="00A225D1"/>
    <w:rsid w:val="00A24DE9"/>
    <w:rsid w:val="00A261A9"/>
    <w:rsid w:val="00A265D4"/>
    <w:rsid w:val="00A269DF"/>
    <w:rsid w:val="00A27447"/>
    <w:rsid w:val="00A27C0D"/>
    <w:rsid w:val="00A31529"/>
    <w:rsid w:val="00A32C75"/>
    <w:rsid w:val="00A32EC4"/>
    <w:rsid w:val="00A379BC"/>
    <w:rsid w:val="00A410CC"/>
    <w:rsid w:val="00A43558"/>
    <w:rsid w:val="00A43865"/>
    <w:rsid w:val="00A4420A"/>
    <w:rsid w:val="00A44CF2"/>
    <w:rsid w:val="00A46034"/>
    <w:rsid w:val="00A467FC"/>
    <w:rsid w:val="00A47234"/>
    <w:rsid w:val="00A51B24"/>
    <w:rsid w:val="00A54071"/>
    <w:rsid w:val="00A5506A"/>
    <w:rsid w:val="00A56A9F"/>
    <w:rsid w:val="00A60001"/>
    <w:rsid w:val="00A633E3"/>
    <w:rsid w:val="00A63DD8"/>
    <w:rsid w:val="00A6536D"/>
    <w:rsid w:val="00A65451"/>
    <w:rsid w:val="00A65E6B"/>
    <w:rsid w:val="00A65F20"/>
    <w:rsid w:val="00A67D69"/>
    <w:rsid w:val="00A700F1"/>
    <w:rsid w:val="00A7025A"/>
    <w:rsid w:val="00A71319"/>
    <w:rsid w:val="00A7148E"/>
    <w:rsid w:val="00A72422"/>
    <w:rsid w:val="00A724D7"/>
    <w:rsid w:val="00A742FB"/>
    <w:rsid w:val="00A74CE9"/>
    <w:rsid w:val="00A74EEB"/>
    <w:rsid w:val="00A75DE6"/>
    <w:rsid w:val="00A76AFA"/>
    <w:rsid w:val="00A777A0"/>
    <w:rsid w:val="00A805EE"/>
    <w:rsid w:val="00A82238"/>
    <w:rsid w:val="00A8228A"/>
    <w:rsid w:val="00A82D54"/>
    <w:rsid w:val="00A83832"/>
    <w:rsid w:val="00A84568"/>
    <w:rsid w:val="00A8779F"/>
    <w:rsid w:val="00A9011E"/>
    <w:rsid w:val="00A9080B"/>
    <w:rsid w:val="00A922A0"/>
    <w:rsid w:val="00A922A7"/>
    <w:rsid w:val="00A932DC"/>
    <w:rsid w:val="00A94A03"/>
    <w:rsid w:val="00A96288"/>
    <w:rsid w:val="00A9653E"/>
    <w:rsid w:val="00AA0327"/>
    <w:rsid w:val="00AA10B7"/>
    <w:rsid w:val="00AA2F4F"/>
    <w:rsid w:val="00AA48D5"/>
    <w:rsid w:val="00AA491E"/>
    <w:rsid w:val="00AA51B2"/>
    <w:rsid w:val="00AA5822"/>
    <w:rsid w:val="00AA67C4"/>
    <w:rsid w:val="00AA6C77"/>
    <w:rsid w:val="00AB10F1"/>
    <w:rsid w:val="00AB377C"/>
    <w:rsid w:val="00AB40D4"/>
    <w:rsid w:val="00AB6297"/>
    <w:rsid w:val="00AB68AE"/>
    <w:rsid w:val="00AB69EC"/>
    <w:rsid w:val="00AC0945"/>
    <w:rsid w:val="00AC0AE1"/>
    <w:rsid w:val="00AC2891"/>
    <w:rsid w:val="00AC46EB"/>
    <w:rsid w:val="00AC4CD7"/>
    <w:rsid w:val="00AC6678"/>
    <w:rsid w:val="00AD03AE"/>
    <w:rsid w:val="00AD0839"/>
    <w:rsid w:val="00AD1FDD"/>
    <w:rsid w:val="00AD417F"/>
    <w:rsid w:val="00AD449E"/>
    <w:rsid w:val="00AD5110"/>
    <w:rsid w:val="00AD600D"/>
    <w:rsid w:val="00AD6187"/>
    <w:rsid w:val="00AD641E"/>
    <w:rsid w:val="00AD64E7"/>
    <w:rsid w:val="00AD7B78"/>
    <w:rsid w:val="00AE1063"/>
    <w:rsid w:val="00AE1A9B"/>
    <w:rsid w:val="00AE1CD0"/>
    <w:rsid w:val="00AE2171"/>
    <w:rsid w:val="00AE2E1D"/>
    <w:rsid w:val="00AE4DAA"/>
    <w:rsid w:val="00AE5282"/>
    <w:rsid w:val="00AE5404"/>
    <w:rsid w:val="00AE6CD9"/>
    <w:rsid w:val="00AE6F14"/>
    <w:rsid w:val="00AE76FC"/>
    <w:rsid w:val="00AF161B"/>
    <w:rsid w:val="00AF38CF"/>
    <w:rsid w:val="00AF3DEA"/>
    <w:rsid w:val="00AF49AF"/>
    <w:rsid w:val="00AF4CD8"/>
    <w:rsid w:val="00AF68E0"/>
    <w:rsid w:val="00AF72AC"/>
    <w:rsid w:val="00B00031"/>
    <w:rsid w:val="00B001F5"/>
    <w:rsid w:val="00B031B7"/>
    <w:rsid w:val="00B036D0"/>
    <w:rsid w:val="00B044E6"/>
    <w:rsid w:val="00B05972"/>
    <w:rsid w:val="00B06468"/>
    <w:rsid w:val="00B10F15"/>
    <w:rsid w:val="00B11EF5"/>
    <w:rsid w:val="00B12EF4"/>
    <w:rsid w:val="00B134E3"/>
    <w:rsid w:val="00B13C39"/>
    <w:rsid w:val="00B13F79"/>
    <w:rsid w:val="00B1494D"/>
    <w:rsid w:val="00B172F1"/>
    <w:rsid w:val="00B20255"/>
    <w:rsid w:val="00B22FBF"/>
    <w:rsid w:val="00B2624B"/>
    <w:rsid w:val="00B27696"/>
    <w:rsid w:val="00B279EB"/>
    <w:rsid w:val="00B31760"/>
    <w:rsid w:val="00B34781"/>
    <w:rsid w:val="00B37AF4"/>
    <w:rsid w:val="00B37F8B"/>
    <w:rsid w:val="00B37FCA"/>
    <w:rsid w:val="00B40AB3"/>
    <w:rsid w:val="00B4186E"/>
    <w:rsid w:val="00B43FB1"/>
    <w:rsid w:val="00B455C8"/>
    <w:rsid w:val="00B4593A"/>
    <w:rsid w:val="00B474BB"/>
    <w:rsid w:val="00B50D96"/>
    <w:rsid w:val="00B51CA0"/>
    <w:rsid w:val="00B57E9B"/>
    <w:rsid w:val="00B61146"/>
    <w:rsid w:val="00B62AF9"/>
    <w:rsid w:val="00B63D78"/>
    <w:rsid w:val="00B67378"/>
    <w:rsid w:val="00B67DB1"/>
    <w:rsid w:val="00B71580"/>
    <w:rsid w:val="00B733AA"/>
    <w:rsid w:val="00B74EB9"/>
    <w:rsid w:val="00B76651"/>
    <w:rsid w:val="00B76C58"/>
    <w:rsid w:val="00B80AFB"/>
    <w:rsid w:val="00B80DBF"/>
    <w:rsid w:val="00B81BF8"/>
    <w:rsid w:val="00B835A8"/>
    <w:rsid w:val="00B83D28"/>
    <w:rsid w:val="00B85CA0"/>
    <w:rsid w:val="00B90152"/>
    <w:rsid w:val="00B92225"/>
    <w:rsid w:val="00B93C23"/>
    <w:rsid w:val="00B95B52"/>
    <w:rsid w:val="00B96234"/>
    <w:rsid w:val="00B96C24"/>
    <w:rsid w:val="00BA033A"/>
    <w:rsid w:val="00BA0AD5"/>
    <w:rsid w:val="00BA1180"/>
    <w:rsid w:val="00BA20FB"/>
    <w:rsid w:val="00BA5772"/>
    <w:rsid w:val="00BB0C68"/>
    <w:rsid w:val="00BB1AFE"/>
    <w:rsid w:val="00BB2DE9"/>
    <w:rsid w:val="00BB3292"/>
    <w:rsid w:val="00BB4182"/>
    <w:rsid w:val="00BB54ED"/>
    <w:rsid w:val="00BB5FF2"/>
    <w:rsid w:val="00BB65CA"/>
    <w:rsid w:val="00BB71C6"/>
    <w:rsid w:val="00BB7280"/>
    <w:rsid w:val="00BB7372"/>
    <w:rsid w:val="00BC00AE"/>
    <w:rsid w:val="00BC13A1"/>
    <w:rsid w:val="00BC3AA7"/>
    <w:rsid w:val="00BC3FA7"/>
    <w:rsid w:val="00BC4C73"/>
    <w:rsid w:val="00BC6A9A"/>
    <w:rsid w:val="00BC72DB"/>
    <w:rsid w:val="00BC7955"/>
    <w:rsid w:val="00BD0E61"/>
    <w:rsid w:val="00BD29F5"/>
    <w:rsid w:val="00BD3902"/>
    <w:rsid w:val="00BD6372"/>
    <w:rsid w:val="00BE04E8"/>
    <w:rsid w:val="00BE058A"/>
    <w:rsid w:val="00BE20C3"/>
    <w:rsid w:val="00BE2355"/>
    <w:rsid w:val="00BE2EED"/>
    <w:rsid w:val="00BE4746"/>
    <w:rsid w:val="00BE5C5D"/>
    <w:rsid w:val="00BE7F7F"/>
    <w:rsid w:val="00BF0068"/>
    <w:rsid w:val="00BF3507"/>
    <w:rsid w:val="00BF35CB"/>
    <w:rsid w:val="00BF5C68"/>
    <w:rsid w:val="00BF7A61"/>
    <w:rsid w:val="00C013D9"/>
    <w:rsid w:val="00C019D3"/>
    <w:rsid w:val="00C020D7"/>
    <w:rsid w:val="00C02BCB"/>
    <w:rsid w:val="00C02C12"/>
    <w:rsid w:val="00C03AAB"/>
    <w:rsid w:val="00C03B75"/>
    <w:rsid w:val="00C0521B"/>
    <w:rsid w:val="00C061E1"/>
    <w:rsid w:val="00C07275"/>
    <w:rsid w:val="00C077D7"/>
    <w:rsid w:val="00C112B4"/>
    <w:rsid w:val="00C1175E"/>
    <w:rsid w:val="00C144A5"/>
    <w:rsid w:val="00C14B69"/>
    <w:rsid w:val="00C151D2"/>
    <w:rsid w:val="00C158EC"/>
    <w:rsid w:val="00C15EE9"/>
    <w:rsid w:val="00C22893"/>
    <w:rsid w:val="00C23C32"/>
    <w:rsid w:val="00C23FAD"/>
    <w:rsid w:val="00C24716"/>
    <w:rsid w:val="00C25BC7"/>
    <w:rsid w:val="00C26E92"/>
    <w:rsid w:val="00C3092C"/>
    <w:rsid w:val="00C326D4"/>
    <w:rsid w:val="00C367AB"/>
    <w:rsid w:val="00C373B9"/>
    <w:rsid w:val="00C375FD"/>
    <w:rsid w:val="00C41000"/>
    <w:rsid w:val="00C43028"/>
    <w:rsid w:val="00C4409C"/>
    <w:rsid w:val="00C444B9"/>
    <w:rsid w:val="00C446FB"/>
    <w:rsid w:val="00C44708"/>
    <w:rsid w:val="00C47110"/>
    <w:rsid w:val="00C521A9"/>
    <w:rsid w:val="00C54959"/>
    <w:rsid w:val="00C54DB2"/>
    <w:rsid w:val="00C54EF6"/>
    <w:rsid w:val="00C5527A"/>
    <w:rsid w:val="00C571CE"/>
    <w:rsid w:val="00C5755C"/>
    <w:rsid w:val="00C57C3E"/>
    <w:rsid w:val="00C57DB6"/>
    <w:rsid w:val="00C603FF"/>
    <w:rsid w:val="00C63CCF"/>
    <w:rsid w:val="00C65D75"/>
    <w:rsid w:val="00C67CC4"/>
    <w:rsid w:val="00C67EF2"/>
    <w:rsid w:val="00C67F8F"/>
    <w:rsid w:val="00C7028F"/>
    <w:rsid w:val="00C70768"/>
    <w:rsid w:val="00C70AA4"/>
    <w:rsid w:val="00C74A87"/>
    <w:rsid w:val="00C7738F"/>
    <w:rsid w:val="00C814B5"/>
    <w:rsid w:val="00C826EB"/>
    <w:rsid w:val="00C82A84"/>
    <w:rsid w:val="00C83007"/>
    <w:rsid w:val="00C8360A"/>
    <w:rsid w:val="00C8419C"/>
    <w:rsid w:val="00C84BF8"/>
    <w:rsid w:val="00C86AD3"/>
    <w:rsid w:val="00C903EA"/>
    <w:rsid w:val="00C9166D"/>
    <w:rsid w:val="00C9194B"/>
    <w:rsid w:val="00C93474"/>
    <w:rsid w:val="00C93B47"/>
    <w:rsid w:val="00C94860"/>
    <w:rsid w:val="00C95CEB"/>
    <w:rsid w:val="00C95D9F"/>
    <w:rsid w:val="00C967F7"/>
    <w:rsid w:val="00CA0F97"/>
    <w:rsid w:val="00CA112C"/>
    <w:rsid w:val="00CA2684"/>
    <w:rsid w:val="00CA3C92"/>
    <w:rsid w:val="00CA441D"/>
    <w:rsid w:val="00CA5D69"/>
    <w:rsid w:val="00CA6C52"/>
    <w:rsid w:val="00CA702F"/>
    <w:rsid w:val="00CA7A79"/>
    <w:rsid w:val="00CB0579"/>
    <w:rsid w:val="00CB2FFD"/>
    <w:rsid w:val="00CB4B81"/>
    <w:rsid w:val="00CB66BC"/>
    <w:rsid w:val="00CB6C4B"/>
    <w:rsid w:val="00CC0627"/>
    <w:rsid w:val="00CC0E7D"/>
    <w:rsid w:val="00CC10B1"/>
    <w:rsid w:val="00CC2013"/>
    <w:rsid w:val="00CC3CA8"/>
    <w:rsid w:val="00CC63AA"/>
    <w:rsid w:val="00CC6AFE"/>
    <w:rsid w:val="00CC6B1E"/>
    <w:rsid w:val="00CC71BF"/>
    <w:rsid w:val="00CD3C39"/>
    <w:rsid w:val="00CD3C6F"/>
    <w:rsid w:val="00CD3CA7"/>
    <w:rsid w:val="00CD4C11"/>
    <w:rsid w:val="00CD64EF"/>
    <w:rsid w:val="00CD6527"/>
    <w:rsid w:val="00CE00BF"/>
    <w:rsid w:val="00CE023C"/>
    <w:rsid w:val="00CE08A6"/>
    <w:rsid w:val="00CE1A0E"/>
    <w:rsid w:val="00CE2789"/>
    <w:rsid w:val="00CE2859"/>
    <w:rsid w:val="00CE2C5C"/>
    <w:rsid w:val="00CE3E9A"/>
    <w:rsid w:val="00CE5E30"/>
    <w:rsid w:val="00CE7857"/>
    <w:rsid w:val="00CE7FCA"/>
    <w:rsid w:val="00CF00C1"/>
    <w:rsid w:val="00CF02C0"/>
    <w:rsid w:val="00CF0A87"/>
    <w:rsid w:val="00CF10BE"/>
    <w:rsid w:val="00CF3653"/>
    <w:rsid w:val="00D00FF9"/>
    <w:rsid w:val="00D02419"/>
    <w:rsid w:val="00D0294B"/>
    <w:rsid w:val="00D069BA"/>
    <w:rsid w:val="00D12D4C"/>
    <w:rsid w:val="00D133A1"/>
    <w:rsid w:val="00D139AA"/>
    <w:rsid w:val="00D14F6F"/>
    <w:rsid w:val="00D1642A"/>
    <w:rsid w:val="00D16D6B"/>
    <w:rsid w:val="00D17143"/>
    <w:rsid w:val="00D17F1F"/>
    <w:rsid w:val="00D2186D"/>
    <w:rsid w:val="00D22F97"/>
    <w:rsid w:val="00D25CDA"/>
    <w:rsid w:val="00D30878"/>
    <w:rsid w:val="00D3298A"/>
    <w:rsid w:val="00D33774"/>
    <w:rsid w:val="00D3623E"/>
    <w:rsid w:val="00D37234"/>
    <w:rsid w:val="00D37B06"/>
    <w:rsid w:val="00D40444"/>
    <w:rsid w:val="00D40F0A"/>
    <w:rsid w:val="00D41063"/>
    <w:rsid w:val="00D41D72"/>
    <w:rsid w:val="00D42374"/>
    <w:rsid w:val="00D423D0"/>
    <w:rsid w:val="00D4255C"/>
    <w:rsid w:val="00D43B35"/>
    <w:rsid w:val="00D44442"/>
    <w:rsid w:val="00D44664"/>
    <w:rsid w:val="00D45D74"/>
    <w:rsid w:val="00D46032"/>
    <w:rsid w:val="00D46BF0"/>
    <w:rsid w:val="00D47E46"/>
    <w:rsid w:val="00D5077E"/>
    <w:rsid w:val="00D50F85"/>
    <w:rsid w:val="00D51D5A"/>
    <w:rsid w:val="00D525ED"/>
    <w:rsid w:val="00D52ADD"/>
    <w:rsid w:val="00D55378"/>
    <w:rsid w:val="00D5600D"/>
    <w:rsid w:val="00D56E14"/>
    <w:rsid w:val="00D57A5E"/>
    <w:rsid w:val="00D60711"/>
    <w:rsid w:val="00D61031"/>
    <w:rsid w:val="00D61982"/>
    <w:rsid w:val="00D6315B"/>
    <w:rsid w:val="00D63695"/>
    <w:rsid w:val="00D63985"/>
    <w:rsid w:val="00D653AD"/>
    <w:rsid w:val="00D66171"/>
    <w:rsid w:val="00D66327"/>
    <w:rsid w:val="00D666BE"/>
    <w:rsid w:val="00D67F35"/>
    <w:rsid w:val="00D71113"/>
    <w:rsid w:val="00D729BE"/>
    <w:rsid w:val="00D72F17"/>
    <w:rsid w:val="00D776E5"/>
    <w:rsid w:val="00D847E4"/>
    <w:rsid w:val="00D8505D"/>
    <w:rsid w:val="00D8603F"/>
    <w:rsid w:val="00D8762B"/>
    <w:rsid w:val="00D9020E"/>
    <w:rsid w:val="00D905E0"/>
    <w:rsid w:val="00D90C86"/>
    <w:rsid w:val="00D91AF9"/>
    <w:rsid w:val="00D92B64"/>
    <w:rsid w:val="00D92CFC"/>
    <w:rsid w:val="00D93E6E"/>
    <w:rsid w:val="00D95604"/>
    <w:rsid w:val="00D964BF"/>
    <w:rsid w:val="00D96ABA"/>
    <w:rsid w:val="00DA0716"/>
    <w:rsid w:val="00DA16FC"/>
    <w:rsid w:val="00DA22FF"/>
    <w:rsid w:val="00DA230B"/>
    <w:rsid w:val="00DA2527"/>
    <w:rsid w:val="00DA29A5"/>
    <w:rsid w:val="00DA3B19"/>
    <w:rsid w:val="00DA5EA7"/>
    <w:rsid w:val="00DA7111"/>
    <w:rsid w:val="00DA7542"/>
    <w:rsid w:val="00DB30DD"/>
    <w:rsid w:val="00DB336B"/>
    <w:rsid w:val="00DB3371"/>
    <w:rsid w:val="00DB3BB5"/>
    <w:rsid w:val="00DB4E78"/>
    <w:rsid w:val="00DC0134"/>
    <w:rsid w:val="00DC206C"/>
    <w:rsid w:val="00DC3F6B"/>
    <w:rsid w:val="00DC3FBF"/>
    <w:rsid w:val="00DC432A"/>
    <w:rsid w:val="00DC4C50"/>
    <w:rsid w:val="00DC52CA"/>
    <w:rsid w:val="00DD15C0"/>
    <w:rsid w:val="00DD5047"/>
    <w:rsid w:val="00DD5A8B"/>
    <w:rsid w:val="00DD6216"/>
    <w:rsid w:val="00DD6D35"/>
    <w:rsid w:val="00DD7C73"/>
    <w:rsid w:val="00DE02B0"/>
    <w:rsid w:val="00DE12D4"/>
    <w:rsid w:val="00DE1F94"/>
    <w:rsid w:val="00DE7064"/>
    <w:rsid w:val="00DE75ED"/>
    <w:rsid w:val="00DF1552"/>
    <w:rsid w:val="00DF1838"/>
    <w:rsid w:val="00DF2762"/>
    <w:rsid w:val="00DF3378"/>
    <w:rsid w:val="00DF43C5"/>
    <w:rsid w:val="00DF5078"/>
    <w:rsid w:val="00DF7011"/>
    <w:rsid w:val="00E021BB"/>
    <w:rsid w:val="00E0359D"/>
    <w:rsid w:val="00E03DF9"/>
    <w:rsid w:val="00E041FC"/>
    <w:rsid w:val="00E04C07"/>
    <w:rsid w:val="00E05149"/>
    <w:rsid w:val="00E05CDD"/>
    <w:rsid w:val="00E1037D"/>
    <w:rsid w:val="00E10481"/>
    <w:rsid w:val="00E104E1"/>
    <w:rsid w:val="00E1361E"/>
    <w:rsid w:val="00E149BC"/>
    <w:rsid w:val="00E156BA"/>
    <w:rsid w:val="00E1581E"/>
    <w:rsid w:val="00E16AB6"/>
    <w:rsid w:val="00E2308A"/>
    <w:rsid w:val="00E2420A"/>
    <w:rsid w:val="00E26684"/>
    <w:rsid w:val="00E26F69"/>
    <w:rsid w:val="00E32F4D"/>
    <w:rsid w:val="00E33A09"/>
    <w:rsid w:val="00E3403B"/>
    <w:rsid w:val="00E35050"/>
    <w:rsid w:val="00E3793A"/>
    <w:rsid w:val="00E42230"/>
    <w:rsid w:val="00E42FAC"/>
    <w:rsid w:val="00E43576"/>
    <w:rsid w:val="00E50B13"/>
    <w:rsid w:val="00E516AD"/>
    <w:rsid w:val="00E530A0"/>
    <w:rsid w:val="00E54B30"/>
    <w:rsid w:val="00E56B56"/>
    <w:rsid w:val="00E573F6"/>
    <w:rsid w:val="00E6172A"/>
    <w:rsid w:val="00E6230D"/>
    <w:rsid w:val="00E62EC4"/>
    <w:rsid w:val="00E655F7"/>
    <w:rsid w:val="00E661A4"/>
    <w:rsid w:val="00E66A03"/>
    <w:rsid w:val="00E66F80"/>
    <w:rsid w:val="00E67A02"/>
    <w:rsid w:val="00E7015E"/>
    <w:rsid w:val="00E7102B"/>
    <w:rsid w:val="00E711CA"/>
    <w:rsid w:val="00E7130F"/>
    <w:rsid w:val="00E72561"/>
    <w:rsid w:val="00E7282D"/>
    <w:rsid w:val="00E74EA8"/>
    <w:rsid w:val="00E7644D"/>
    <w:rsid w:val="00E76C50"/>
    <w:rsid w:val="00E76C5A"/>
    <w:rsid w:val="00E774C6"/>
    <w:rsid w:val="00E8009A"/>
    <w:rsid w:val="00E805E4"/>
    <w:rsid w:val="00E80B36"/>
    <w:rsid w:val="00E80EDA"/>
    <w:rsid w:val="00E815C1"/>
    <w:rsid w:val="00E835D1"/>
    <w:rsid w:val="00E83843"/>
    <w:rsid w:val="00E85278"/>
    <w:rsid w:val="00E853B2"/>
    <w:rsid w:val="00E8689D"/>
    <w:rsid w:val="00E902CD"/>
    <w:rsid w:val="00E9340B"/>
    <w:rsid w:val="00E94C35"/>
    <w:rsid w:val="00E95501"/>
    <w:rsid w:val="00E95AE5"/>
    <w:rsid w:val="00E96434"/>
    <w:rsid w:val="00E96F5D"/>
    <w:rsid w:val="00E9739A"/>
    <w:rsid w:val="00EA0237"/>
    <w:rsid w:val="00EA2526"/>
    <w:rsid w:val="00EA298D"/>
    <w:rsid w:val="00EA34A0"/>
    <w:rsid w:val="00EA5287"/>
    <w:rsid w:val="00EA5EC7"/>
    <w:rsid w:val="00EA7D7E"/>
    <w:rsid w:val="00EB07F2"/>
    <w:rsid w:val="00EB2C36"/>
    <w:rsid w:val="00EB32F8"/>
    <w:rsid w:val="00EB4149"/>
    <w:rsid w:val="00EB4315"/>
    <w:rsid w:val="00EB5F55"/>
    <w:rsid w:val="00EB6B10"/>
    <w:rsid w:val="00EC027C"/>
    <w:rsid w:val="00EC356F"/>
    <w:rsid w:val="00EC4324"/>
    <w:rsid w:val="00EC47E7"/>
    <w:rsid w:val="00EC6D6E"/>
    <w:rsid w:val="00EC7501"/>
    <w:rsid w:val="00EC7593"/>
    <w:rsid w:val="00ED1099"/>
    <w:rsid w:val="00ED31D3"/>
    <w:rsid w:val="00ED428B"/>
    <w:rsid w:val="00ED55C3"/>
    <w:rsid w:val="00ED5613"/>
    <w:rsid w:val="00ED681F"/>
    <w:rsid w:val="00EE0186"/>
    <w:rsid w:val="00EE09A6"/>
    <w:rsid w:val="00EE0B3B"/>
    <w:rsid w:val="00EE2046"/>
    <w:rsid w:val="00EE32D2"/>
    <w:rsid w:val="00EE4249"/>
    <w:rsid w:val="00EE4491"/>
    <w:rsid w:val="00EE4C39"/>
    <w:rsid w:val="00EE50DC"/>
    <w:rsid w:val="00EE71F0"/>
    <w:rsid w:val="00EF1ACE"/>
    <w:rsid w:val="00EF1ED7"/>
    <w:rsid w:val="00EF2769"/>
    <w:rsid w:val="00EF2942"/>
    <w:rsid w:val="00EF2C71"/>
    <w:rsid w:val="00EF6F8E"/>
    <w:rsid w:val="00F045F1"/>
    <w:rsid w:val="00F06BC6"/>
    <w:rsid w:val="00F073E0"/>
    <w:rsid w:val="00F07FA1"/>
    <w:rsid w:val="00F12A98"/>
    <w:rsid w:val="00F15101"/>
    <w:rsid w:val="00F167BC"/>
    <w:rsid w:val="00F177D5"/>
    <w:rsid w:val="00F17EC0"/>
    <w:rsid w:val="00F21669"/>
    <w:rsid w:val="00F220D8"/>
    <w:rsid w:val="00F24EC8"/>
    <w:rsid w:val="00F25AB4"/>
    <w:rsid w:val="00F275A5"/>
    <w:rsid w:val="00F27DA0"/>
    <w:rsid w:val="00F30628"/>
    <w:rsid w:val="00F30D6E"/>
    <w:rsid w:val="00F3141C"/>
    <w:rsid w:val="00F3215D"/>
    <w:rsid w:val="00F326B9"/>
    <w:rsid w:val="00F329D9"/>
    <w:rsid w:val="00F3338C"/>
    <w:rsid w:val="00F34105"/>
    <w:rsid w:val="00F353F9"/>
    <w:rsid w:val="00F3787C"/>
    <w:rsid w:val="00F40B2A"/>
    <w:rsid w:val="00F4223F"/>
    <w:rsid w:val="00F42718"/>
    <w:rsid w:val="00F42F6B"/>
    <w:rsid w:val="00F42FBC"/>
    <w:rsid w:val="00F472CB"/>
    <w:rsid w:val="00F47A57"/>
    <w:rsid w:val="00F47A5B"/>
    <w:rsid w:val="00F50F21"/>
    <w:rsid w:val="00F51525"/>
    <w:rsid w:val="00F51A59"/>
    <w:rsid w:val="00F52B67"/>
    <w:rsid w:val="00F52CE9"/>
    <w:rsid w:val="00F538B8"/>
    <w:rsid w:val="00F5405C"/>
    <w:rsid w:val="00F54B87"/>
    <w:rsid w:val="00F56EF2"/>
    <w:rsid w:val="00F604ED"/>
    <w:rsid w:val="00F606B7"/>
    <w:rsid w:val="00F64BCF"/>
    <w:rsid w:val="00F65025"/>
    <w:rsid w:val="00F668FC"/>
    <w:rsid w:val="00F67B30"/>
    <w:rsid w:val="00F70579"/>
    <w:rsid w:val="00F73A13"/>
    <w:rsid w:val="00F77F45"/>
    <w:rsid w:val="00F80045"/>
    <w:rsid w:val="00F80062"/>
    <w:rsid w:val="00F81792"/>
    <w:rsid w:val="00F82C9B"/>
    <w:rsid w:val="00F84B34"/>
    <w:rsid w:val="00F84B6A"/>
    <w:rsid w:val="00F8529D"/>
    <w:rsid w:val="00F859A7"/>
    <w:rsid w:val="00F862E1"/>
    <w:rsid w:val="00F8680C"/>
    <w:rsid w:val="00F86B6B"/>
    <w:rsid w:val="00F94771"/>
    <w:rsid w:val="00F949DD"/>
    <w:rsid w:val="00F95D15"/>
    <w:rsid w:val="00F95DEB"/>
    <w:rsid w:val="00FA4974"/>
    <w:rsid w:val="00FA49B1"/>
    <w:rsid w:val="00FA4F93"/>
    <w:rsid w:val="00FA502E"/>
    <w:rsid w:val="00FA54A4"/>
    <w:rsid w:val="00FA6BEE"/>
    <w:rsid w:val="00FA790E"/>
    <w:rsid w:val="00FB083F"/>
    <w:rsid w:val="00FB0A8D"/>
    <w:rsid w:val="00FB3BD3"/>
    <w:rsid w:val="00FB4275"/>
    <w:rsid w:val="00FB5E8E"/>
    <w:rsid w:val="00FB7D26"/>
    <w:rsid w:val="00FB7E77"/>
    <w:rsid w:val="00FC17E1"/>
    <w:rsid w:val="00FC2E4A"/>
    <w:rsid w:val="00FC3245"/>
    <w:rsid w:val="00FC584A"/>
    <w:rsid w:val="00FC63EB"/>
    <w:rsid w:val="00FC76AB"/>
    <w:rsid w:val="00FD014E"/>
    <w:rsid w:val="00FD01FD"/>
    <w:rsid w:val="00FD1B2D"/>
    <w:rsid w:val="00FD2B4E"/>
    <w:rsid w:val="00FD4314"/>
    <w:rsid w:val="00FD46D1"/>
    <w:rsid w:val="00FD571E"/>
    <w:rsid w:val="00FD5E85"/>
    <w:rsid w:val="00FD6DDB"/>
    <w:rsid w:val="00FD7857"/>
    <w:rsid w:val="00FE0DBD"/>
    <w:rsid w:val="00FE17D3"/>
    <w:rsid w:val="00FE2B00"/>
    <w:rsid w:val="00FE307C"/>
    <w:rsid w:val="00FE5C36"/>
    <w:rsid w:val="00FE7157"/>
    <w:rsid w:val="00FF0861"/>
    <w:rsid w:val="00FF2595"/>
    <w:rsid w:val="00FF369F"/>
    <w:rsid w:val="00FF4844"/>
    <w:rsid w:val="00FF4963"/>
    <w:rsid w:val="00FF5A09"/>
    <w:rsid w:val="00FF6F41"/>
    <w:rsid w:val="00FF71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5D98"/>
  <w15:docId w15:val="{644D1C4E-09EA-4287-A5F9-46015386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A9653E"/>
    <w:pPr>
      <w:keepNext/>
      <w:tabs>
        <w:tab w:val="left" w:pos="4500"/>
      </w:tabs>
      <w:spacing w:after="0" w:line="240" w:lineRule="atLeast"/>
      <w:jc w:val="center"/>
      <w:outlineLvl w:val="4"/>
    </w:pPr>
    <w:rPr>
      <w:rFonts w:ascii="Arial Armenian" w:eastAsia="Times New Roman" w:hAnsi="Arial Armenian"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9653E"/>
    <w:rPr>
      <w:rFonts w:ascii="Arial Armenian" w:eastAsia="Times New Roman" w:hAnsi="Arial Armenian" w:cs="Times New Roman"/>
      <w:b/>
      <w:bCs/>
      <w:sz w:val="20"/>
      <w:szCs w:val="24"/>
    </w:rPr>
  </w:style>
  <w:style w:type="character" w:customStyle="1" w:styleId="longtext">
    <w:name w:val="long_text"/>
    <w:basedOn w:val="DefaultParagraphFont"/>
    <w:rsid w:val="00A9653E"/>
  </w:style>
  <w:style w:type="paragraph" w:styleId="FootnoteText">
    <w:name w:val="footnote text"/>
    <w:basedOn w:val="Normal"/>
    <w:link w:val="FootnoteTextChar"/>
    <w:rsid w:val="00A9653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A9653E"/>
    <w:rPr>
      <w:rFonts w:ascii="Times New Roman" w:eastAsia="Times New Roman" w:hAnsi="Times New Roman" w:cs="Times New Roman"/>
      <w:sz w:val="20"/>
      <w:szCs w:val="20"/>
    </w:rPr>
  </w:style>
  <w:style w:type="character" w:styleId="FootnoteReference">
    <w:name w:val="footnote reference"/>
    <w:uiPriority w:val="99"/>
    <w:rsid w:val="00A9653E"/>
    <w:rPr>
      <w:vertAlign w:val="superscript"/>
    </w:rPr>
  </w:style>
  <w:style w:type="paragraph" w:styleId="BodyText">
    <w:name w:val="Body Text"/>
    <w:basedOn w:val="Normal"/>
    <w:link w:val="BodyTextChar"/>
    <w:rsid w:val="00A9653E"/>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9653E"/>
    <w:rPr>
      <w:rFonts w:ascii="Times New Roman" w:eastAsia="Times New Roman" w:hAnsi="Times New Roman" w:cs="Times New Roman"/>
      <w:szCs w:val="24"/>
    </w:rPr>
  </w:style>
  <w:style w:type="paragraph" w:customStyle="1" w:styleId="CharChar1">
    <w:name w:val="Char Char1"/>
    <w:basedOn w:val="Normal"/>
    <w:next w:val="Normal"/>
    <w:semiHidden/>
    <w:rsid w:val="00A9653E"/>
    <w:pPr>
      <w:spacing w:after="160" w:line="240" w:lineRule="exact"/>
    </w:pPr>
    <w:rPr>
      <w:rFonts w:ascii="Arial" w:eastAsia="Times New Roman" w:hAnsi="Arial" w:cs="Arial"/>
      <w:sz w:val="20"/>
      <w:szCs w:val="20"/>
      <w:lang w:val="en-GB"/>
    </w:rPr>
  </w:style>
  <w:style w:type="paragraph" w:styleId="Header">
    <w:name w:val="header"/>
    <w:aliases w:val="hd"/>
    <w:basedOn w:val="Normal"/>
    <w:link w:val="HeaderChar"/>
    <w:rsid w:val="00A9653E"/>
    <w:pPr>
      <w:tabs>
        <w:tab w:val="center" w:pos="4844"/>
        <w:tab w:val="right" w:pos="9689"/>
      </w:tabs>
      <w:spacing w:after="0" w:line="240" w:lineRule="auto"/>
    </w:pPr>
    <w:rPr>
      <w:rFonts w:ascii="Times LatArm" w:eastAsia="Times New Roman" w:hAnsi="Times LatArm" w:cs="Times New Roman"/>
      <w:sz w:val="24"/>
      <w:szCs w:val="24"/>
    </w:rPr>
  </w:style>
  <w:style w:type="character" w:customStyle="1" w:styleId="HeaderChar">
    <w:name w:val="Header Char"/>
    <w:aliases w:val="hd Char"/>
    <w:basedOn w:val="DefaultParagraphFont"/>
    <w:link w:val="Header"/>
    <w:rsid w:val="00A9653E"/>
    <w:rPr>
      <w:rFonts w:ascii="Times LatArm" w:eastAsia="Times New Roman" w:hAnsi="Times LatArm" w:cs="Times New Roman"/>
      <w:sz w:val="24"/>
      <w:szCs w:val="24"/>
    </w:rPr>
  </w:style>
  <w:style w:type="paragraph" w:styleId="BlockText">
    <w:name w:val="Block Text"/>
    <w:basedOn w:val="Normal"/>
    <w:rsid w:val="00A9653E"/>
    <w:pPr>
      <w:autoSpaceDE w:val="0"/>
      <w:autoSpaceDN w:val="0"/>
      <w:adjustRightInd w:val="0"/>
      <w:spacing w:after="0" w:line="240" w:lineRule="atLeast"/>
      <w:ind w:left="567" w:right="424" w:firstLine="709"/>
      <w:jc w:val="both"/>
    </w:pPr>
    <w:rPr>
      <w:rFonts w:ascii="Armenian Normal" w:eastAsia="Times New Roman" w:hAnsi="Armenian Normal" w:cs="Times New Roman"/>
      <w:color w:val="000000"/>
      <w:sz w:val="34"/>
      <w:szCs w:val="24"/>
      <w:lang w:val="es-AR"/>
    </w:rPr>
  </w:style>
  <w:style w:type="table" w:styleId="TableGrid">
    <w:name w:val="Table Grid"/>
    <w:basedOn w:val="TableNormal"/>
    <w:rsid w:val="00A9653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0">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customStyle="1" w:styleId="a1">
    <w:name w:val="Знак"/>
    <w:basedOn w:val="Normal"/>
    <w:next w:val="Normal"/>
    <w:semiHidden/>
    <w:rsid w:val="00A9653E"/>
    <w:pPr>
      <w:spacing w:after="160" w:line="240" w:lineRule="exact"/>
    </w:pPr>
    <w:rPr>
      <w:rFonts w:ascii="Arial" w:eastAsia="Times New Roman" w:hAnsi="Arial" w:cs="Arial"/>
      <w:sz w:val="20"/>
      <w:szCs w:val="20"/>
      <w:lang w:val="en-GB"/>
    </w:rPr>
  </w:style>
  <w:style w:type="paragraph" w:styleId="BodyTextIndent2">
    <w:name w:val="Body Text Indent 2"/>
    <w:basedOn w:val="Normal"/>
    <w:link w:val="BodyTextIndent2Char"/>
    <w:rsid w:val="00A9653E"/>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A9653E"/>
    <w:rPr>
      <w:rFonts w:ascii="Times New Roman" w:eastAsia="Times New Roman" w:hAnsi="Times New Roman" w:cs="Times New Roman"/>
      <w:sz w:val="24"/>
      <w:szCs w:val="24"/>
    </w:rPr>
  </w:style>
  <w:style w:type="paragraph" w:styleId="BalloonText">
    <w:name w:val="Balloon Text"/>
    <w:basedOn w:val="Normal"/>
    <w:link w:val="BalloonTextChar"/>
    <w:rsid w:val="00A9653E"/>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A9653E"/>
    <w:rPr>
      <w:rFonts w:ascii="Tahoma" w:eastAsia="Times New Roman" w:hAnsi="Tahoma" w:cs="Tahoma"/>
      <w:sz w:val="16"/>
      <w:szCs w:val="16"/>
    </w:rPr>
  </w:style>
  <w:style w:type="character" w:styleId="Hyperlink">
    <w:name w:val="Hyperlink"/>
    <w:rsid w:val="00A9653E"/>
    <w:rPr>
      <w:color w:val="0000FF"/>
      <w:u w:val="single"/>
    </w:rPr>
  </w:style>
  <w:style w:type="paragraph" w:styleId="EndnoteText">
    <w:name w:val="endnote text"/>
    <w:basedOn w:val="Normal"/>
    <w:link w:val="EndnoteTextChar"/>
    <w:rsid w:val="00A9653E"/>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A9653E"/>
    <w:rPr>
      <w:rFonts w:ascii="Times New Roman" w:eastAsia="Times New Roman" w:hAnsi="Times New Roman" w:cs="Times New Roman"/>
      <w:sz w:val="20"/>
      <w:szCs w:val="20"/>
    </w:rPr>
  </w:style>
  <w:style w:type="character" w:styleId="EndnoteReference">
    <w:name w:val="endnote reference"/>
    <w:rsid w:val="00A9653E"/>
    <w:rPr>
      <w:vertAlign w:val="superscript"/>
    </w:rPr>
  </w:style>
  <w:style w:type="paragraph" w:styleId="BodyTextIndent">
    <w:name w:val="Body Text Indent"/>
    <w:basedOn w:val="Normal"/>
    <w:link w:val="BodyTextIndentChar"/>
    <w:rsid w:val="00A9653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9653E"/>
    <w:rPr>
      <w:rFonts w:ascii="Times New Roman" w:eastAsia="Times New Roman" w:hAnsi="Times New Roman" w:cs="Times New Roman"/>
      <w:sz w:val="24"/>
      <w:szCs w:val="24"/>
    </w:rPr>
  </w:style>
  <w:style w:type="character" w:customStyle="1" w:styleId="FootnoteTextChar2">
    <w:name w:val="Footnote Text Char2"/>
    <w:semiHidden/>
    <w:rsid w:val="00A9653E"/>
    <w:rPr>
      <w:rFonts w:ascii="Times Armenian" w:hAnsi="Times Armenian"/>
      <w:lang w:val="en-US" w:eastAsia="en-US" w:bidi="ar-SA"/>
    </w:rPr>
  </w:style>
  <w:style w:type="character" w:styleId="CommentReference">
    <w:name w:val="annotation reference"/>
    <w:rsid w:val="00A9653E"/>
    <w:rPr>
      <w:sz w:val="16"/>
      <w:szCs w:val="16"/>
    </w:rPr>
  </w:style>
  <w:style w:type="paragraph" w:styleId="CommentText">
    <w:name w:val="annotation text"/>
    <w:basedOn w:val="Normal"/>
    <w:link w:val="CommentTextChar"/>
    <w:rsid w:val="00A9653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965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9653E"/>
    <w:rPr>
      <w:b/>
      <w:bCs/>
    </w:rPr>
  </w:style>
  <w:style w:type="character" w:customStyle="1" w:styleId="CommentSubjectChar">
    <w:name w:val="Comment Subject Char"/>
    <w:basedOn w:val="CommentTextChar"/>
    <w:link w:val="CommentSubject"/>
    <w:rsid w:val="00A9653E"/>
    <w:rPr>
      <w:rFonts w:ascii="Times New Roman" w:eastAsia="Times New Roman" w:hAnsi="Times New Roman" w:cs="Times New Roman"/>
      <w:b/>
      <w:bCs/>
      <w:sz w:val="20"/>
      <w:szCs w:val="20"/>
    </w:rPr>
  </w:style>
  <w:style w:type="paragraph" w:styleId="Title">
    <w:name w:val="Title"/>
    <w:basedOn w:val="Normal"/>
    <w:link w:val="TitleChar"/>
    <w:qFormat/>
    <w:rsid w:val="00A9653E"/>
    <w:pPr>
      <w:spacing w:after="0" w:line="312" w:lineRule="auto"/>
      <w:jc w:val="center"/>
    </w:pPr>
    <w:rPr>
      <w:rFonts w:ascii="Times LatArm" w:eastAsia="Times New Roman" w:hAnsi="Times LatArm" w:cs="Times New Roman"/>
      <w:b/>
      <w:sz w:val="24"/>
      <w:szCs w:val="20"/>
    </w:rPr>
  </w:style>
  <w:style w:type="character" w:customStyle="1" w:styleId="TitleChar">
    <w:name w:val="Title Char"/>
    <w:basedOn w:val="DefaultParagraphFont"/>
    <w:link w:val="Title"/>
    <w:rsid w:val="00A9653E"/>
    <w:rPr>
      <w:rFonts w:ascii="Times LatArm" w:eastAsia="Times New Roman" w:hAnsi="Times LatArm" w:cs="Times New Roman"/>
      <w:b/>
      <w:sz w:val="24"/>
      <w:szCs w:val="20"/>
    </w:rPr>
  </w:style>
  <w:style w:type="character" w:customStyle="1" w:styleId="apple-converted-space">
    <w:name w:val="apple-converted-space"/>
    <w:rsid w:val="00A9653E"/>
  </w:style>
  <w:style w:type="paragraph" w:styleId="ListParagraph">
    <w:name w:val="List Paragraph"/>
    <w:basedOn w:val="Normal"/>
    <w:uiPriority w:val="34"/>
    <w:qFormat/>
    <w:rsid w:val="00C43028"/>
    <w:pPr>
      <w:ind w:left="720"/>
      <w:contextualSpacing/>
    </w:pPr>
  </w:style>
  <w:style w:type="paragraph" w:styleId="Revision">
    <w:name w:val="Revision"/>
    <w:hidden/>
    <w:uiPriority w:val="99"/>
    <w:semiHidden/>
    <w:rsid w:val="002B1E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7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6D980-80CC-436C-BA5B-64C260DF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37</Pages>
  <Words>13913</Words>
  <Characters>79307</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Tigran Hakobyan</dc:creator>
  <cp:lastModifiedBy>Սուսաննա Քարտաշյան</cp:lastModifiedBy>
  <cp:revision>20</cp:revision>
  <dcterms:created xsi:type="dcterms:W3CDTF">2015-06-19T11:38:00Z</dcterms:created>
  <dcterms:modified xsi:type="dcterms:W3CDTF">2024-02-02T12:46:00Z</dcterms:modified>
</cp:coreProperties>
</file>